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FF72" w14:textId="77777777" w:rsidR="00FB1559" w:rsidRPr="00496081" w:rsidRDefault="00FB1559" w:rsidP="00496081">
      <w:pPr>
        <w:tabs>
          <w:tab w:val="center" w:pos="4680"/>
        </w:tabs>
        <w:suppressAutoHyphens/>
        <w:spacing w:after="0" w:line="240" w:lineRule="auto"/>
        <w:contextualSpacing/>
        <w:jc w:val="center"/>
        <w:outlineLvl w:val="0"/>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PENNSYLVANIA</w:t>
      </w:r>
    </w:p>
    <w:p w14:paraId="63B19194" w14:textId="77777777" w:rsidR="00FB1559" w:rsidRPr="00496081" w:rsidRDefault="00FB1559" w:rsidP="00496081">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PUBLIC UTILITY COMMISSION</w:t>
      </w:r>
    </w:p>
    <w:p w14:paraId="2E2ABA73" w14:textId="1048240A" w:rsidR="00FB1559" w:rsidRPr="00496081" w:rsidRDefault="00FB1559" w:rsidP="00496081">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Harrisburg, PA  171</w:t>
      </w:r>
      <w:r w:rsidR="002C5C38">
        <w:rPr>
          <w:rFonts w:ascii="Times New Roman" w:eastAsia="Times New Roman" w:hAnsi="Times New Roman" w:cs="Times New Roman"/>
          <w:b/>
          <w:sz w:val="26"/>
          <w:szCs w:val="26"/>
        </w:rPr>
        <w:t>20</w:t>
      </w:r>
    </w:p>
    <w:p w14:paraId="383FA5E5" w14:textId="23C5B2B7" w:rsidR="00FB1559" w:rsidRDefault="00FB1559" w:rsidP="00496081">
      <w:pPr>
        <w:tabs>
          <w:tab w:val="left" w:pos="-720"/>
        </w:tabs>
        <w:suppressAutoHyphens/>
        <w:spacing w:after="0" w:line="240" w:lineRule="auto"/>
        <w:contextualSpacing/>
        <w:rPr>
          <w:rFonts w:ascii="Times New Roman" w:eastAsia="Times New Roman" w:hAnsi="Times New Roman" w:cs="Times New Roman"/>
          <w:sz w:val="26"/>
          <w:szCs w:val="26"/>
        </w:rPr>
      </w:pPr>
    </w:p>
    <w:p w14:paraId="7265EE12" w14:textId="77777777" w:rsidR="00BA7718" w:rsidRPr="00496081" w:rsidRDefault="00BA7718" w:rsidP="00496081">
      <w:pPr>
        <w:tabs>
          <w:tab w:val="left" w:pos="-720"/>
        </w:tabs>
        <w:suppressAutoHyphens/>
        <w:spacing w:after="0" w:line="240" w:lineRule="auto"/>
        <w:contextualSpacing/>
        <w:rPr>
          <w:rFonts w:ascii="Times New Roman" w:eastAsia="Times New Roman" w:hAnsi="Times New Roman" w:cs="Times New Roman"/>
          <w:sz w:val="26"/>
          <w:szCs w:val="26"/>
        </w:rPr>
      </w:pPr>
    </w:p>
    <w:p w14:paraId="7CCC0D0B" w14:textId="2A0AD6AE" w:rsidR="00FB1559" w:rsidRPr="00496081" w:rsidRDefault="00A56FA6" w:rsidP="00496081">
      <w:pPr>
        <w:tabs>
          <w:tab w:val="right" w:pos="9360"/>
        </w:tabs>
        <w:suppressAutoHyphens/>
        <w:spacing w:after="0" w:line="240" w:lineRule="auto"/>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B1559" w:rsidRPr="00496081">
        <w:rPr>
          <w:rFonts w:ascii="Times New Roman" w:eastAsia="Times New Roman" w:hAnsi="Times New Roman" w:cs="Times New Roman"/>
          <w:sz w:val="26"/>
          <w:szCs w:val="26"/>
        </w:rPr>
        <w:t xml:space="preserve">Public Meeting held </w:t>
      </w:r>
      <w:r>
        <w:rPr>
          <w:rFonts w:ascii="Times New Roman" w:eastAsia="Times New Roman" w:hAnsi="Times New Roman" w:cs="Times New Roman"/>
          <w:sz w:val="26"/>
          <w:szCs w:val="26"/>
        </w:rPr>
        <w:t>October 28</w:t>
      </w:r>
      <w:r w:rsidR="00FB1559" w:rsidRPr="00496081">
        <w:rPr>
          <w:rFonts w:ascii="Times New Roman" w:eastAsia="Times New Roman" w:hAnsi="Times New Roman" w:cs="Times New Roman"/>
          <w:sz w:val="26"/>
          <w:szCs w:val="26"/>
        </w:rPr>
        <w:t>, 20</w:t>
      </w:r>
      <w:r>
        <w:rPr>
          <w:rFonts w:ascii="Times New Roman" w:eastAsia="Times New Roman" w:hAnsi="Times New Roman" w:cs="Times New Roman"/>
          <w:sz w:val="26"/>
          <w:szCs w:val="26"/>
        </w:rPr>
        <w:t>21</w:t>
      </w:r>
    </w:p>
    <w:p w14:paraId="3B1D4A72" w14:textId="4B6B2658" w:rsidR="00FB1559" w:rsidRDefault="00FB1559" w:rsidP="00496081">
      <w:pPr>
        <w:tabs>
          <w:tab w:val="left" w:pos="-720"/>
        </w:tabs>
        <w:suppressAutoHyphens/>
        <w:spacing w:after="0" w:line="240" w:lineRule="auto"/>
        <w:contextualSpacing/>
        <w:rPr>
          <w:rFonts w:ascii="Times New Roman" w:eastAsia="Times New Roman" w:hAnsi="Times New Roman" w:cs="Times New Roman"/>
          <w:sz w:val="26"/>
          <w:szCs w:val="26"/>
        </w:rPr>
      </w:pPr>
    </w:p>
    <w:p w14:paraId="68AAD6E8" w14:textId="77777777" w:rsidR="00BA7718" w:rsidRPr="00496081" w:rsidRDefault="00BA7718" w:rsidP="00496081">
      <w:pPr>
        <w:tabs>
          <w:tab w:val="left" w:pos="-720"/>
        </w:tabs>
        <w:suppressAutoHyphens/>
        <w:spacing w:after="0" w:line="240" w:lineRule="auto"/>
        <w:contextualSpacing/>
        <w:rPr>
          <w:rFonts w:ascii="Times New Roman" w:eastAsia="Times New Roman" w:hAnsi="Times New Roman" w:cs="Times New Roman"/>
          <w:sz w:val="26"/>
          <w:szCs w:val="26"/>
        </w:rPr>
      </w:pPr>
    </w:p>
    <w:p w14:paraId="6DBDBD2B" w14:textId="77777777" w:rsidR="00FB1559" w:rsidRPr="00496081" w:rsidRDefault="00FB1559" w:rsidP="00496081">
      <w:pPr>
        <w:tabs>
          <w:tab w:val="left" w:pos="-720"/>
        </w:tabs>
        <w:suppressAutoHyphens/>
        <w:spacing w:after="0" w:line="24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Commissioners Present:</w:t>
      </w:r>
    </w:p>
    <w:p w14:paraId="230F1EF2" w14:textId="77777777" w:rsidR="00FB1559" w:rsidRPr="00496081" w:rsidRDefault="00FB1559" w:rsidP="00496081">
      <w:pPr>
        <w:tabs>
          <w:tab w:val="left" w:pos="-720"/>
        </w:tabs>
        <w:suppressAutoHyphens/>
        <w:spacing w:after="0" w:line="240" w:lineRule="auto"/>
        <w:contextualSpacing/>
        <w:rPr>
          <w:rFonts w:ascii="Times New Roman" w:eastAsia="Times New Roman" w:hAnsi="Times New Roman" w:cs="Times New Roman"/>
          <w:sz w:val="26"/>
          <w:szCs w:val="26"/>
        </w:rPr>
      </w:pPr>
    </w:p>
    <w:p w14:paraId="081E782A" w14:textId="1A53E7F5" w:rsidR="004F30C6" w:rsidRPr="004F30C6" w:rsidRDefault="004F30C6" w:rsidP="004F30C6">
      <w:pPr>
        <w:spacing w:after="0" w:line="240" w:lineRule="auto"/>
        <w:ind w:firstLine="720"/>
        <w:rPr>
          <w:rFonts w:ascii="Times New Roman" w:hAnsi="Times New Roman" w:cs="Times New Roman"/>
          <w:sz w:val="26"/>
          <w:szCs w:val="26"/>
        </w:rPr>
      </w:pPr>
      <w:r w:rsidRPr="004F30C6">
        <w:rPr>
          <w:rFonts w:ascii="Times New Roman" w:hAnsi="Times New Roman" w:cs="Times New Roman"/>
          <w:sz w:val="26"/>
          <w:szCs w:val="26"/>
        </w:rPr>
        <w:t>Gladys Brown Dutrieuille, Chairman</w:t>
      </w:r>
      <w:r w:rsidR="00D0748B">
        <w:rPr>
          <w:rFonts w:ascii="Times New Roman" w:hAnsi="Times New Roman" w:cs="Times New Roman"/>
          <w:sz w:val="26"/>
          <w:szCs w:val="26"/>
        </w:rPr>
        <w:t>, Statement</w:t>
      </w:r>
    </w:p>
    <w:p w14:paraId="13F48714" w14:textId="09F7D8E8" w:rsidR="004F30C6" w:rsidRPr="004F30C6" w:rsidRDefault="004F30C6" w:rsidP="004F30C6">
      <w:pPr>
        <w:spacing w:after="0" w:line="240" w:lineRule="auto"/>
        <w:ind w:firstLine="720"/>
        <w:rPr>
          <w:rFonts w:ascii="Times New Roman" w:hAnsi="Times New Roman" w:cs="Times New Roman"/>
          <w:sz w:val="26"/>
          <w:szCs w:val="26"/>
        </w:rPr>
      </w:pPr>
      <w:r w:rsidRPr="004F30C6">
        <w:rPr>
          <w:rFonts w:ascii="Times New Roman" w:hAnsi="Times New Roman" w:cs="Times New Roman"/>
          <w:sz w:val="26"/>
          <w:szCs w:val="26"/>
        </w:rPr>
        <w:t>John F. Coleman, Jr.</w:t>
      </w:r>
      <w:r w:rsidR="002C5C38">
        <w:rPr>
          <w:rFonts w:ascii="Times New Roman" w:hAnsi="Times New Roman" w:cs="Times New Roman"/>
          <w:sz w:val="26"/>
          <w:szCs w:val="26"/>
        </w:rPr>
        <w:t>, Vice Chairman</w:t>
      </w:r>
    </w:p>
    <w:p w14:paraId="26EEB700" w14:textId="77777777" w:rsidR="004F30C6" w:rsidRPr="004F30C6" w:rsidRDefault="004F30C6" w:rsidP="004F30C6">
      <w:pPr>
        <w:spacing w:after="0" w:line="240" w:lineRule="auto"/>
        <w:ind w:firstLine="720"/>
        <w:rPr>
          <w:rFonts w:ascii="Times New Roman" w:hAnsi="Times New Roman" w:cs="Times New Roman"/>
          <w:sz w:val="26"/>
          <w:szCs w:val="26"/>
        </w:rPr>
      </w:pPr>
      <w:r w:rsidRPr="004F30C6">
        <w:rPr>
          <w:rFonts w:ascii="Times New Roman" w:hAnsi="Times New Roman" w:cs="Times New Roman"/>
          <w:sz w:val="26"/>
          <w:szCs w:val="26"/>
        </w:rPr>
        <w:t>Ralph V. Yanora</w:t>
      </w:r>
    </w:p>
    <w:p w14:paraId="73F8E528" w14:textId="2EEF3F56" w:rsidR="0003121C" w:rsidRDefault="0003121C" w:rsidP="00496081">
      <w:pPr>
        <w:spacing w:after="0" w:line="240" w:lineRule="auto"/>
        <w:contextualSpacing/>
        <w:rPr>
          <w:rFonts w:ascii="Times New Roman" w:eastAsia="Times New Roman" w:hAnsi="Times New Roman" w:cs="Times New Roman"/>
          <w:sz w:val="26"/>
          <w:szCs w:val="26"/>
        </w:rPr>
      </w:pPr>
    </w:p>
    <w:p w14:paraId="2DCC8B76" w14:textId="77777777" w:rsidR="00C016BC" w:rsidRPr="00496081" w:rsidRDefault="00C016BC" w:rsidP="00496081">
      <w:pPr>
        <w:spacing w:after="0" w:line="240" w:lineRule="auto"/>
        <w:contextualSpacing/>
        <w:rPr>
          <w:rFonts w:ascii="Times New Roman" w:eastAsia="Times New Roman" w:hAnsi="Times New Roman" w:cs="Times New Roman"/>
          <w:sz w:val="26"/>
          <w:szCs w:val="26"/>
        </w:rPr>
      </w:pPr>
    </w:p>
    <w:p w14:paraId="2E7C24CC" w14:textId="7A252BE2" w:rsidR="003F2D69" w:rsidRPr="00496081" w:rsidRDefault="003F2D69"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Pennsylvania Public Utility Commission</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R-20</w:t>
      </w:r>
      <w:r w:rsidR="00F7483A">
        <w:rPr>
          <w:rFonts w:ascii="Times New Roman" w:hAnsi="Times New Roman" w:cs="Times New Roman"/>
          <w:sz w:val="26"/>
          <w:szCs w:val="26"/>
        </w:rPr>
        <w:t>2</w:t>
      </w:r>
      <w:r w:rsidR="008E48E4">
        <w:rPr>
          <w:rFonts w:ascii="Times New Roman" w:hAnsi="Times New Roman" w:cs="Times New Roman"/>
          <w:sz w:val="26"/>
          <w:szCs w:val="26"/>
        </w:rPr>
        <w:t>1</w:t>
      </w:r>
      <w:r w:rsidRPr="00496081">
        <w:rPr>
          <w:rFonts w:ascii="Times New Roman" w:hAnsi="Times New Roman" w:cs="Times New Roman"/>
          <w:sz w:val="26"/>
          <w:szCs w:val="26"/>
        </w:rPr>
        <w:t>-</w:t>
      </w:r>
      <w:r w:rsidR="008E48E4">
        <w:rPr>
          <w:rFonts w:ascii="Times New Roman" w:hAnsi="Times New Roman" w:cs="Times New Roman"/>
          <w:sz w:val="26"/>
          <w:szCs w:val="26"/>
        </w:rPr>
        <w:t>3023618</w:t>
      </w:r>
    </w:p>
    <w:p w14:paraId="6B9C63EC" w14:textId="7C65DD88" w:rsidR="003F2D69" w:rsidRPr="00496081" w:rsidRDefault="003F2D69"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Office of Consumer Advocate</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C-20</w:t>
      </w:r>
      <w:r w:rsidR="008E48E4">
        <w:rPr>
          <w:rFonts w:ascii="Times New Roman" w:hAnsi="Times New Roman" w:cs="Times New Roman"/>
          <w:sz w:val="26"/>
          <w:szCs w:val="26"/>
        </w:rPr>
        <w:t>21</w:t>
      </w:r>
      <w:r w:rsidRPr="00496081">
        <w:rPr>
          <w:rFonts w:ascii="Times New Roman" w:hAnsi="Times New Roman" w:cs="Times New Roman"/>
          <w:sz w:val="26"/>
          <w:szCs w:val="26"/>
        </w:rPr>
        <w:t>-</w:t>
      </w:r>
      <w:r w:rsidR="005A20E3">
        <w:rPr>
          <w:rFonts w:ascii="Times New Roman" w:hAnsi="Times New Roman" w:cs="Times New Roman"/>
          <w:sz w:val="26"/>
          <w:szCs w:val="26"/>
        </w:rPr>
        <w:t>3024213</w:t>
      </w:r>
    </w:p>
    <w:p w14:paraId="69B24F51" w14:textId="7EC91294" w:rsidR="003F2D69" w:rsidRPr="00496081" w:rsidRDefault="00A063B3"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Office of Small Business Advocate</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C-20</w:t>
      </w:r>
      <w:r w:rsidR="005A20E3">
        <w:rPr>
          <w:rFonts w:ascii="Times New Roman" w:hAnsi="Times New Roman" w:cs="Times New Roman"/>
          <w:sz w:val="26"/>
          <w:szCs w:val="26"/>
        </w:rPr>
        <w:t>21</w:t>
      </w:r>
      <w:r w:rsidRPr="00496081">
        <w:rPr>
          <w:rFonts w:ascii="Times New Roman" w:hAnsi="Times New Roman" w:cs="Times New Roman"/>
          <w:sz w:val="26"/>
          <w:szCs w:val="26"/>
        </w:rPr>
        <w:t>-</w:t>
      </w:r>
      <w:r w:rsidR="00250BED">
        <w:rPr>
          <w:rFonts w:ascii="Times New Roman" w:hAnsi="Times New Roman" w:cs="Times New Roman"/>
          <w:sz w:val="26"/>
          <w:szCs w:val="26"/>
        </w:rPr>
        <w:t>3024200</w:t>
      </w:r>
    </w:p>
    <w:p w14:paraId="7899B68E" w14:textId="71AF0903" w:rsidR="00A063B3" w:rsidRPr="00496081" w:rsidRDefault="00C129E5"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Jennifer Mattingly</w:t>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t>C-20</w:t>
      </w:r>
      <w:r>
        <w:rPr>
          <w:rFonts w:ascii="Times New Roman" w:hAnsi="Times New Roman" w:cs="Times New Roman"/>
          <w:sz w:val="26"/>
          <w:szCs w:val="26"/>
        </w:rPr>
        <w:t>21</w:t>
      </w:r>
      <w:r w:rsidR="00A063B3" w:rsidRPr="00496081">
        <w:rPr>
          <w:rFonts w:ascii="Times New Roman" w:hAnsi="Times New Roman" w:cs="Times New Roman"/>
          <w:sz w:val="26"/>
          <w:szCs w:val="26"/>
        </w:rPr>
        <w:t>-</w:t>
      </w:r>
      <w:r w:rsidR="00AC431B">
        <w:rPr>
          <w:rFonts w:ascii="Times New Roman" w:hAnsi="Times New Roman" w:cs="Times New Roman"/>
          <w:sz w:val="26"/>
          <w:szCs w:val="26"/>
        </w:rPr>
        <w:t>3024500</w:t>
      </w:r>
    </w:p>
    <w:p w14:paraId="3BFD6783" w14:textId="3D071D50" w:rsidR="00A063B3" w:rsidRPr="00496081" w:rsidRDefault="00CA1A92"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Brandi Brace</w:t>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Pr>
          <w:rFonts w:ascii="Times New Roman" w:hAnsi="Times New Roman" w:cs="Times New Roman"/>
          <w:sz w:val="26"/>
          <w:szCs w:val="26"/>
        </w:rPr>
        <w:tab/>
      </w:r>
      <w:r w:rsidR="00A063B3" w:rsidRPr="00496081">
        <w:rPr>
          <w:rFonts w:ascii="Times New Roman" w:hAnsi="Times New Roman" w:cs="Times New Roman"/>
          <w:sz w:val="26"/>
          <w:szCs w:val="26"/>
        </w:rPr>
        <w:t>C-20</w:t>
      </w:r>
      <w:r>
        <w:rPr>
          <w:rFonts w:ascii="Times New Roman" w:hAnsi="Times New Roman" w:cs="Times New Roman"/>
          <w:sz w:val="26"/>
          <w:szCs w:val="26"/>
        </w:rPr>
        <w:t>21</w:t>
      </w:r>
      <w:r w:rsidR="00A063B3" w:rsidRPr="00496081">
        <w:rPr>
          <w:rFonts w:ascii="Times New Roman" w:hAnsi="Times New Roman" w:cs="Times New Roman"/>
          <w:sz w:val="26"/>
          <w:szCs w:val="26"/>
        </w:rPr>
        <w:t>-</w:t>
      </w:r>
      <w:r w:rsidR="005D566E">
        <w:rPr>
          <w:rFonts w:ascii="Times New Roman" w:hAnsi="Times New Roman" w:cs="Times New Roman"/>
          <w:sz w:val="26"/>
          <w:szCs w:val="26"/>
        </w:rPr>
        <w:t>3024613</w:t>
      </w:r>
    </w:p>
    <w:p w14:paraId="0378E53C" w14:textId="32AA59A3" w:rsidR="00A063B3" w:rsidRPr="00496081" w:rsidRDefault="00142709"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Kim Kotyk</w:t>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t>C-20</w:t>
      </w:r>
      <w:r>
        <w:rPr>
          <w:rFonts w:ascii="Times New Roman" w:hAnsi="Times New Roman" w:cs="Times New Roman"/>
          <w:sz w:val="26"/>
          <w:szCs w:val="26"/>
        </w:rPr>
        <w:t>21</w:t>
      </w:r>
      <w:r w:rsidR="00A063B3" w:rsidRPr="00496081">
        <w:rPr>
          <w:rFonts w:ascii="Times New Roman" w:hAnsi="Times New Roman" w:cs="Times New Roman"/>
          <w:sz w:val="26"/>
          <w:szCs w:val="26"/>
        </w:rPr>
        <w:t>-</w:t>
      </w:r>
      <w:r w:rsidR="00FC4F35">
        <w:rPr>
          <w:rFonts w:ascii="Times New Roman" w:hAnsi="Times New Roman" w:cs="Times New Roman"/>
          <w:sz w:val="26"/>
          <w:szCs w:val="26"/>
        </w:rPr>
        <w:t>3024833</w:t>
      </w:r>
    </w:p>
    <w:p w14:paraId="4FFEDDB4" w14:textId="18D95B7A" w:rsidR="00A063B3" w:rsidRDefault="00FC4F35"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Barbara </w:t>
      </w:r>
      <w:r w:rsidR="00F97244">
        <w:rPr>
          <w:rFonts w:ascii="Times New Roman" w:hAnsi="Times New Roman" w:cs="Times New Roman"/>
          <w:sz w:val="26"/>
          <w:szCs w:val="26"/>
        </w:rPr>
        <w:t>Brennan</w:t>
      </w:r>
      <w:r w:rsidR="00F97244">
        <w:rPr>
          <w:rFonts w:ascii="Times New Roman" w:hAnsi="Times New Roman" w:cs="Times New Roman"/>
          <w:sz w:val="26"/>
          <w:szCs w:val="26"/>
        </w:rPr>
        <w:tab/>
      </w:r>
      <w:r w:rsidR="00F97244">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r>
      <w:r w:rsidR="00A063B3" w:rsidRPr="00496081">
        <w:rPr>
          <w:rFonts w:ascii="Times New Roman" w:hAnsi="Times New Roman" w:cs="Times New Roman"/>
          <w:sz w:val="26"/>
          <w:szCs w:val="26"/>
        </w:rPr>
        <w:tab/>
        <w:t>C-20</w:t>
      </w:r>
      <w:r w:rsidR="00F97244">
        <w:rPr>
          <w:rFonts w:ascii="Times New Roman" w:hAnsi="Times New Roman" w:cs="Times New Roman"/>
          <w:sz w:val="26"/>
          <w:szCs w:val="26"/>
        </w:rPr>
        <w:t>21</w:t>
      </w:r>
      <w:r w:rsidR="00A063B3" w:rsidRPr="00496081">
        <w:rPr>
          <w:rFonts w:ascii="Times New Roman" w:hAnsi="Times New Roman" w:cs="Times New Roman"/>
          <w:sz w:val="26"/>
          <w:szCs w:val="26"/>
        </w:rPr>
        <w:t>-</w:t>
      </w:r>
      <w:r w:rsidR="00DD5C15">
        <w:rPr>
          <w:rFonts w:ascii="Times New Roman" w:hAnsi="Times New Roman" w:cs="Times New Roman"/>
          <w:sz w:val="26"/>
          <w:szCs w:val="26"/>
        </w:rPr>
        <w:t>3024846</w:t>
      </w:r>
    </w:p>
    <w:p w14:paraId="65971D9A" w14:textId="0A6DC259" w:rsidR="00DD5C15" w:rsidRDefault="00DD5C15"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Lindsey Yeider </w:t>
      </w:r>
      <w:r w:rsidR="00C83B03">
        <w:rPr>
          <w:rFonts w:ascii="Times New Roman" w:hAnsi="Times New Roman" w:cs="Times New Roman"/>
          <w:sz w:val="26"/>
          <w:szCs w:val="26"/>
        </w:rPr>
        <w:t>Wosik</w:t>
      </w:r>
      <w:r w:rsidR="00C83B03">
        <w:rPr>
          <w:rFonts w:ascii="Times New Roman" w:hAnsi="Times New Roman" w:cs="Times New Roman"/>
          <w:sz w:val="26"/>
          <w:szCs w:val="26"/>
        </w:rPr>
        <w:tab/>
      </w:r>
      <w:r w:rsidR="00C83B03">
        <w:rPr>
          <w:rFonts w:ascii="Times New Roman" w:hAnsi="Times New Roman" w:cs="Times New Roman"/>
          <w:sz w:val="26"/>
          <w:szCs w:val="26"/>
        </w:rPr>
        <w:tab/>
      </w:r>
      <w:r w:rsidR="00C83B03">
        <w:rPr>
          <w:rFonts w:ascii="Times New Roman" w:hAnsi="Times New Roman" w:cs="Times New Roman"/>
          <w:sz w:val="26"/>
          <w:szCs w:val="26"/>
        </w:rPr>
        <w:tab/>
      </w:r>
      <w:r w:rsidR="00C83B03">
        <w:rPr>
          <w:rFonts w:ascii="Times New Roman" w:hAnsi="Times New Roman" w:cs="Times New Roman"/>
          <w:sz w:val="26"/>
          <w:szCs w:val="26"/>
        </w:rPr>
        <w:tab/>
      </w:r>
      <w:r w:rsidR="00C83B03">
        <w:rPr>
          <w:rFonts w:ascii="Times New Roman" w:hAnsi="Times New Roman" w:cs="Times New Roman"/>
          <w:sz w:val="26"/>
          <w:szCs w:val="26"/>
        </w:rPr>
        <w:tab/>
      </w:r>
      <w:r w:rsidR="00C83B03">
        <w:rPr>
          <w:rFonts w:ascii="Times New Roman" w:hAnsi="Times New Roman" w:cs="Times New Roman"/>
          <w:sz w:val="26"/>
          <w:szCs w:val="26"/>
        </w:rPr>
        <w:tab/>
      </w:r>
      <w:r w:rsidR="00C83B03">
        <w:rPr>
          <w:rFonts w:ascii="Times New Roman" w:hAnsi="Times New Roman" w:cs="Times New Roman"/>
          <w:sz w:val="26"/>
          <w:szCs w:val="26"/>
        </w:rPr>
        <w:tab/>
      </w:r>
      <w:r w:rsidR="00371418">
        <w:rPr>
          <w:rFonts w:ascii="Times New Roman" w:hAnsi="Times New Roman" w:cs="Times New Roman"/>
          <w:sz w:val="26"/>
          <w:szCs w:val="26"/>
        </w:rPr>
        <w:t>C-2021-302</w:t>
      </w:r>
      <w:r w:rsidR="00FC3C1B">
        <w:rPr>
          <w:rFonts w:ascii="Times New Roman" w:hAnsi="Times New Roman" w:cs="Times New Roman"/>
          <w:sz w:val="26"/>
          <w:szCs w:val="26"/>
        </w:rPr>
        <w:t>4927</w:t>
      </w:r>
    </w:p>
    <w:p w14:paraId="2FC58109" w14:textId="6A00E3C4" w:rsidR="00FC3C1B" w:rsidRDefault="00FC3C1B"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Roger and Maria Hogue</w:t>
      </w:r>
      <w:r w:rsidR="003B0E42">
        <w:rPr>
          <w:rFonts w:ascii="Times New Roman" w:hAnsi="Times New Roman" w:cs="Times New Roman"/>
          <w:sz w:val="26"/>
          <w:szCs w:val="26"/>
        </w:rPr>
        <w:tab/>
      </w:r>
      <w:r w:rsidR="003B0E42">
        <w:rPr>
          <w:rFonts w:ascii="Times New Roman" w:hAnsi="Times New Roman" w:cs="Times New Roman"/>
          <w:sz w:val="26"/>
          <w:szCs w:val="26"/>
        </w:rPr>
        <w:tab/>
      </w:r>
      <w:r w:rsidR="003B0E42">
        <w:rPr>
          <w:rFonts w:ascii="Times New Roman" w:hAnsi="Times New Roman" w:cs="Times New Roman"/>
          <w:sz w:val="26"/>
          <w:szCs w:val="26"/>
        </w:rPr>
        <w:tab/>
      </w:r>
      <w:r w:rsidR="003B0E42">
        <w:rPr>
          <w:rFonts w:ascii="Times New Roman" w:hAnsi="Times New Roman" w:cs="Times New Roman"/>
          <w:sz w:val="26"/>
          <w:szCs w:val="26"/>
        </w:rPr>
        <w:tab/>
      </w:r>
      <w:r w:rsidR="003B0E42">
        <w:rPr>
          <w:rFonts w:ascii="Times New Roman" w:hAnsi="Times New Roman" w:cs="Times New Roman"/>
          <w:sz w:val="26"/>
          <w:szCs w:val="26"/>
        </w:rPr>
        <w:tab/>
      </w:r>
      <w:r w:rsidR="003B0E42">
        <w:rPr>
          <w:rFonts w:ascii="Times New Roman" w:hAnsi="Times New Roman" w:cs="Times New Roman"/>
          <w:sz w:val="26"/>
          <w:szCs w:val="26"/>
        </w:rPr>
        <w:tab/>
      </w:r>
      <w:r w:rsidR="003B0E42">
        <w:rPr>
          <w:rFonts w:ascii="Times New Roman" w:hAnsi="Times New Roman" w:cs="Times New Roman"/>
          <w:sz w:val="26"/>
          <w:szCs w:val="26"/>
        </w:rPr>
        <w:tab/>
        <w:t>C-</w:t>
      </w:r>
      <w:r w:rsidR="00462D73">
        <w:rPr>
          <w:rFonts w:ascii="Times New Roman" w:hAnsi="Times New Roman" w:cs="Times New Roman"/>
          <w:sz w:val="26"/>
          <w:szCs w:val="26"/>
        </w:rPr>
        <w:t>2021-</w:t>
      </w:r>
      <w:r w:rsidR="00BB4876">
        <w:rPr>
          <w:rFonts w:ascii="Times New Roman" w:hAnsi="Times New Roman" w:cs="Times New Roman"/>
          <w:sz w:val="26"/>
          <w:szCs w:val="26"/>
        </w:rPr>
        <w:t>3025072</w:t>
      </w:r>
    </w:p>
    <w:p w14:paraId="3F2ED7C1" w14:textId="0F8DB378" w:rsidR="00BB4876" w:rsidRDefault="00BB4876"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Lisa Infantino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w:t>
      </w:r>
      <w:r w:rsidR="003A0184">
        <w:rPr>
          <w:rFonts w:ascii="Times New Roman" w:hAnsi="Times New Roman" w:cs="Times New Roman"/>
          <w:sz w:val="26"/>
          <w:szCs w:val="26"/>
        </w:rPr>
        <w:t>2021-3025090</w:t>
      </w:r>
    </w:p>
    <w:p w14:paraId="4A2AC787" w14:textId="1B72879D" w:rsidR="003A0184" w:rsidRDefault="00236D67"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Mark Lazo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84923">
        <w:rPr>
          <w:rFonts w:ascii="Times New Roman" w:hAnsi="Times New Roman" w:cs="Times New Roman"/>
          <w:sz w:val="26"/>
          <w:szCs w:val="26"/>
        </w:rPr>
        <w:t>C-2021-</w:t>
      </w:r>
      <w:r w:rsidR="00FD3D92">
        <w:rPr>
          <w:rFonts w:ascii="Times New Roman" w:hAnsi="Times New Roman" w:cs="Times New Roman"/>
          <w:sz w:val="26"/>
          <w:szCs w:val="26"/>
        </w:rPr>
        <w:t>3025091</w:t>
      </w:r>
    </w:p>
    <w:p w14:paraId="13C9401E" w14:textId="5C6A3C7C" w:rsidR="00FD3D92" w:rsidRDefault="00FD3D92"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Bridgett Brosius</w:t>
      </w:r>
      <w:r w:rsidR="00F67602">
        <w:rPr>
          <w:rFonts w:ascii="Times New Roman" w:hAnsi="Times New Roman" w:cs="Times New Roman"/>
          <w:sz w:val="26"/>
          <w:szCs w:val="26"/>
        </w:rPr>
        <w:tab/>
      </w:r>
      <w:r w:rsidR="00F67602">
        <w:rPr>
          <w:rFonts w:ascii="Times New Roman" w:hAnsi="Times New Roman" w:cs="Times New Roman"/>
          <w:sz w:val="26"/>
          <w:szCs w:val="26"/>
        </w:rPr>
        <w:tab/>
      </w:r>
      <w:r w:rsidR="00F67602">
        <w:rPr>
          <w:rFonts w:ascii="Times New Roman" w:hAnsi="Times New Roman" w:cs="Times New Roman"/>
          <w:sz w:val="26"/>
          <w:szCs w:val="26"/>
        </w:rPr>
        <w:tab/>
      </w:r>
      <w:r w:rsidR="00F67602">
        <w:rPr>
          <w:rFonts w:ascii="Times New Roman" w:hAnsi="Times New Roman" w:cs="Times New Roman"/>
          <w:sz w:val="26"/>
          <w:szCs w:val="26"/>
        </w:rPr>
        <w:tab/>
      </w:r>
      <w:r w:rsidR="00F67602">
        <w:rPr>
          <w:rFonts w:ascii="Times New Roman" w:hAnsi="Times New Roman" w:cs="Times New Roman"/>
          <w:sz w:val="26"/>
          <w:szCs w:val="26"/>
        </w:rPr>
        <w:tab/>
      </w:r>
      <w:r w:rsidR="00F67602">
        <w:rPr>
          <w:rFonts w:ascii="Times New Roman" w:hAnsi="Times New Roman" w:cs="Times New Roman"/>
          <w:sz w:val="26"/>
          <w:szCs w:val="26"/>
        </w:rPr>
        <w:tab/>
      </w:r>
      <w:r w:rsidR="00F67602">
        <w:rPr>
          <w:rFonts w:ascii="Times New Roman" w:hAnsi="Times New Roman" w:cs="Times New Roman"/>
          <w:sz w:val="26"/>
          <w:szCs w:val="26"/>
        </w:rPr>
        <w:tab/>
      </w:r>
      <w:r w:rsidR="00F67602">
        <w:rPr>
          <w:rFonts w:ascii="Times New Roman" w:hAnsi="Times New Roman" w:cs="Times New Roman"/>
          <w:sz w:val="26"/>
          <w:szCs w:val="26"/>
        </w:rPr>
        <w:tab/>
        <w:t>C-2021-3025436</w:t>
      </w:r>
    </w:p>
    <w:p w14:paraId="729F48BF" w14:textId="63B6B036" w:rsidR="00F67602" w:rsidRDefault="00F67602" w:rsidP="00496081">
      <w:pPr>
        <w:spacing w:line="240" w:lineRule="auto"/>
        <w:contextualSpacing/>
        <w:rPr>
          <w:rFonts w:ascii="Times New Roman" w:hAnsi="Times New Roman" w:cs="Times New Roman"/>
          <w:sz w:val="26"/>
          <w:szCs w:val="26"/>
        </w:rPr>
      </w:pPr>
    </w:p>
    <w:p w14:paraId="3B74A881" w14:textId="0EE75E73" w:rsidR="003F2D69" w:rsidRPr="00496081" w:rsidRDefault="003F2D69"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ab/>
        <w:t>v.</w:t>
      </w:r>
    </w:p>
    <w:p w14:paraId="05713A9A" w14:textId="77777777" w:rsidR="003F2D69" w:rsidRPr="00496081" w:rsidRDefault="003F2D69" w:rsidP="00496081">
      <w:pPr>
        <w:spacing w:line="240" w:lineRule="auto"/>
        <w:contextualSpacing/>
        <w:rPr>
          <w:rFonts w:ascii="Times New Roman" w:hAnsi="Times New Roman" w:cs="Times New Roman"/>
          <w:sz w:val="26"/>
          <w:szCs w:val="26"/>
        </w:rPr>
      </w:pPr>
    </w:p>
    <w:p w14:paraId="63E1E256" w14:textId="0E10B8C3" w:rsidR="003F2D69" w:rsidRPr="00496081" w:rsidRDefault="006E6FDD" w:rsidP="00496081">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UGI Utilities, Inc. </w:t>
      </w:r>
      <w:r w:rsidR="008209B1">
        <w:rPr>
          <w:rFonts w:ascii="Times New Roman" w:hAnsi="Times New Roman" w:cs="Times New Roman"/>
          <w:sz w:val="26"/>
          <w:szCs w:val="26"/>
        </w:rPr>
        <w:t xml:space="preserve">– Electric Division </w:t>
      </w:r>
    </w:p>
    <w:p w14:paraId="6BB4E684" w14:textId="77777777" w:rsidR="003F2D69" w:rsidRPr="00496081" w:rsidRDefault="003F2D69" w:rsidP="00496081">
      <w:pPr>
        <w:spacing w:line="240" w:lineRule="auto"/>
        <w:contextualSpacing/>
        <w:rPr>
          <w:rFonts w:ascii="Times New Roman" w:hAnsi="Times New Roman" w:cs="Times New Roman"/>
          <w:sz w:val="26"/>
          <w:szCs w:val="26"/>
        </w:rPr>
      </w:pPr>
    </w:p>
    <w:p w14:paraId="15FC37AA" w14:textId="7D03736B" w:rsidR="00A063B3" w:rsidRDefault="00A063B3" w:rsidP="00BA7718">
      <w:pPr>
        <w:spacing w:line="360" w:lineRule="auto"/>
        <w:contextualSpacing/>
        <w:rPr>
          <w:rFonts w:ascii="Times New Roman" w:hAnsi="Times New Roman" w:cs="Times New Roman"/>
          <w:sz w:val="26"/>
          <w:szCs w:val="26"/>
        </w:rPr>
      </w:pPr>
    </w:p>
    <w:p w14:paraId="07F022D8" w14:textId="77777777" w:rsidR="00840676" w:rsidRPr="00496081" w:rsidRDefault="00840676" w:rsidP="00496081">
      <w:pPr>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 xml:space="preserve">OPINION </w:t>
      </w:r>
      <w:smartTag w:uri="urn:schemas-microsoft-com:office:smarttags" w:element="stockticker">
        <w:r w:rsidRPr="00496081">
          <w:rPr>
            <w:rFonts w:ascii="Times New Roman" w:eastAsia="Times New Roman" w:hAnsi="Times New Roman" w:cs="Times New Roman"/>
            <w:b/>
            <w:sz w:val="26"/>
            <w:szCs w:val="26"/>
          </w:rPr>
          <w:t>AND</w:t>
        </w:r>
      </w:smartTag>
      <w:r w:rsidRPr="00496081">
        <w:rPr>
          <w:rFonts w:ascii="Times New Roman" w:eastAsia="Times New Roman" w:hAnsi="Times New Roman" w:cs="Times New Roman"/>
          <w:b/>
          <w:sz w:val="26"/>
          <w:szCs w:val="26"/>
        </w:rPr>
        <w:t xml:space="preserve"> ORDER</w:t>
      </w:r>
    </w:p>
    <w:p w14:paraId="227560C8" w14:textId="77777777" w:rsidR="00EF699A" w:rsidRDefault="00EF699A" w:rsidP="00496081">
      <w:pPr>
        <w:contextualSpacing/>
        <w:rPr>
          <w:rFonts w:ascii="Times New Roman" w:eastAsia="Times New Roman" w:hAnsi="Times New Roman" w:cs="Times New Roman"/>
          <w:b/>
          <w:sz w:val="26"/>
          <w:szCs w:val="26"/>
        </w:rPr>
      </w:pPr>
    </w:p>
    <w:p w14:paraId="0C0EA7DC" w14:textId="77777777" w:rsidR="006226BC" w:rsidRPr="00496081" w:rsidRDefault="006226BC" w:rsidP="00496081">
      <w:pPr>
        <w:contextualSpacing/>
        <w:rPr>
          <w:rFonts w:ascii="Times New Roman" w:eastAsia="Times New Roman" w:hAnsi="Times New Roman" w:cs="Times New Roman"/>
          <w:b/>
          <w:sz w:val="26"/>
          <w:szCs w:val="26"/>
        </w:rPr>
      </w:pPr>
    </w:p>
    <w:p w14:paraId="294A562D" w14:textId="77777777" w:rsidR="00840676" w:rsidRPr="00496081" w:rsidRDefault="00840676" w:rsidP="00496081">
      <w:pPr>
        <w:keepNext/>
        <w:keepLines/>
        <w:spacing w:after="0" w:line="360" w:lineRule="auto"/>
        <w:contextualSpacing/>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BY THE COMMISSION:</w:t>
      </w:r>
    </w:p>
    <w:p w14:paraId="23D8B91E" w14:textId="77777777" w:rsidR="00840676" w:rsidRPr="00496081" w:rsidRDefault="00840676" w:rsidP="00BA7718">
      <w:pPr>
        <w:keepNext/>
        <w:keepLines/>
        <w:spacing w:after="0" w:line="240" w:lineRule="auto"/>
        <w:contextualSpacing/>
        <w:rPr>
          <w:rFonts w:ascii="Times New Roman" w:eastAsia="Times New Roman" w:hAnsi="Times New Roman" w:cs="Times New Roman"/>
          <w:sz w:val="26"/>
          <w:szCs w:val="26"/>
        </w:rPr>
      </w:pPr>
    </w:p>
    <w:p w14:paraId="4C42734A" w14:textId="7D485389" w:rsidR="00840676" w:rsidRPr="00496081" w:rsidRDefault="00840676"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Before the Pennsylvania Public Utility Commission (Commission) for</w:t>
      </w:r>
      <w:r w:rsidR="00A258F4" w:rsidRPr="00496081">
        <w:rPr>
          <w:rFonts w:ascii="Times New Roman" w:eastAsia="Times New Roman" w:hAnsi="Times New Roman" w:cs="Times New Roman"/>
          <w:sz w:val="26"/>
          <w:szCs w:val="26"/>
        </w:rPr>
        <w:t xml:space="preserve"> consideration and disposition</w:t>
      </w:r>
      <w:r w:rsidR="00D13DEF" w:rsidRPr="00496081">
        <w:rPr>
          <w:rFonts w:ascii="Times New Roman" w:eastAsia="Times New Roman" w:hAnsi="Times New Roman" w:cs="Times New Roman"/>
          <w:sz w:val="26"/>
          <w:szCs w:val="26"/>
        </w:rPr>
        <w:t xml:space="preserve"> are the following matters:</w:t>
      </w:r>
      <w:r w:rsidR="00A258F4" w:rsidRPr="00496081">
        <w:rPr>
          <w:rFonts w:ascii="Times New Roman" w:eastAsia="Times New Roman" w:hAnsi="Times New Roman" w:cs="Times New Roman"/>
          <w:sz w:val="26"/>
          <w:szCs w:val="26"/>
        </w:rPr>
        <w:t xml:space="preserve"> </w:t>
      </w:r>
      <w:r w:rsidR="00BE16F5">
        <w:rPr>
          <w:rFonts w:ascii="Times New Roman" w:eastAsia="Times New Roman" w:hAnsi="Times New Roman" w:cs="Times New Roman"/>
          <w:sz w:val="26"/>
          <w:szCs w:val="26"/>
        </w:rPr>
        <w:t xml:space="preserve"> </w:t>
      </w:r>
      <w:r w:rsidR="00D13DEF" w:rsidRPr="00496081">
        <w:rPr>
          <w:rFonts w:ascii="Times New Roman" w:eastAsia="Times New Roman" w:hAnsi="Times New Roman" w:cs="Times New Roman"/>
          <w:sz w:val="26"/>
          <w:szCs w:val="26"/>
        </w:rPr>
        <w:t>(1)</w:t>
      </w:r>
      <w:r w:rsidR="00A258F4" w:rsidRPr="00496081">
        <w:rPr>
          <w:rFonts w:ascii="Times New Roman" w:eastAsia="Times New Roman" w:hAnsi="Times New Roman" w:cs="Times New Roman"/>
          <w:sz w:val="26"/>
          <w:szCs w:val="26"/>
        </w:rPr>
        <w:t xml:space="preserve"> </w:t>
      </w:r>
      <w:bookmarkStart w:id="0" w:name="_Hlk84241412"/>
      <w:r w:rsidR="00A258F4" w:rsidRPr="00496081">
        <w:rPr>
          <w:rFonts w:ascii="Times New Roman" w:eastAsia="Times New Roman" w:hAnsi="Times New Roman" w:cs="Times New Roman"/>
          <w:sz w:val="26"/>
          <w:szCs w:val="26"/>
        </w:rPr>
        <w:t xml:space="preserve">the </w:t>
      </w:r>
      <w:r w:rsidR="00CE2958">
        <w:rPr>
          <w:rFonts w:ascii="Times New Roman" w:eastAsia="Times New Roman" w:hAnsi="Times New Roman" w:cs="Times New Roman"/>
          <w:sz w:val="26"/>
          <w:szCs w:val="26"/>
        </w:rPr>
        <w:t xml:space="preserve">Exceptions filed by </w:t>
      </w:r>
      <w:r w:rsidR="00AA46B4">
        <w:rPr>
          <w:rFonts w:ascii="Times New Roman" w:eastAsia="Times New Roman" w:hAnsi="Times New Roman" w:cs="Times New Roman"/>
          <w:sz w:val="26"/>
          <w:szCs w:val="26"/>
        </w:rPr>
        <w:t xml:space="preserve">Brandi Brace </w:t>
      </w:r>
      <w:r w:rsidR="007763DC">
        <w:rPr>
          <w:rFonts w:ascii="Times New Roman" w:eastAsia="Times New Roman" w:hAnsi="Times New Roman" w:cs="Times New Roman"/>
          <w:sz w:val="26"/>
          <w:szCs w:val="26"/>
        </w:rPr>
        <w:t>(Ms. Brace</w:t>
      </w:r>
      <w:r w:rsidR="00245ED2">
        <w:rPr>
          <w:rFonts w:ascii="Times New Roman" w:eastAsia="Times New Roman" w:hAnsi="Times New Roman" w:cs="Times New Roman"/>
          <w:sz w:val="26"/>
          <w:szCs w:val="26"/>
        </w:rPr>
        <w:t>)</w:t>
      </w:r>
      <w:r w:rsidR="007763DC">
        <w:rPr>
          <w:rFonts w:ascii="Times New Roman" w:eastAsia="Times New Roman" w:hAnsi="Times New Roman" w:cs="Times New Roman"/>
          <w:sz w:val="26"/>
          <w:szCs w:val="26"/>
        </w:rPr>
        <w:t xml:space="preserve"> </w:t>
      </w:r>
      <w:r w:rsidR="00AA46B4">
        <w:rPr>
          <w:rFonts w:ascii="Times New Roman" w:eastAsia="Times New Roman" w:hAnsi="Times New Roman" w:cs="Times New Roman"/>
          <w:sz w:val="26"/>
          <w:szCs w:val="26"/>
        </w:rPr>
        <w:t xml:space="preserve">on </w:t>
      </w:r>
      <w:r w:rsidR="00737E7F">
        <w:rPr>
          <w:rFonts w:ascii="Times New Roman" w:eastAsia="Times New Roman" w:hAnsi="Times New Roman" w:cs="Times New Roman"/>
          <w:sz w:val="26"/>
          <w:szCs w:val="26"/>
        </w:rPr>
        <w:t xml:space="preserve">September 14, </w:t>
      </w:r>
      <w:r w:rsidR="004C346A">
        <w:rPr>
          <w:rFonts w:ascii="Times New Roman" w:eastAsia="Times New Roman" w:hAnsi="Times New Roman" w:cs="Times New Roman"/>
          <w:sz w:val="26"/>
          <w:szCs w:val="26"/>
        </w:rPr>
        <w:t>2021</w:t>
      </w:r>
      <w:bookmarkEnd w:id="0"/>
      <w:r w:rsidR="004C346A">
        <w:rPr>
          <w:rFonts w:ascii="Times New Roman" w:eastAsia="Times New Roman" w:hAnsi="Times New Roman" w:cs="Times New Roman"/>
          <w:sz w:val="26"/>
          <w:szCs w:val="26"/>
        </w:rPr>
        <w:t xml:space="preserve">, to the Recommended Decision of </w:t>
      </w:r>
      <w:r w:rsidR="00FD7F72">
        <w:rPr>
          <w:rFonts w:ascii="Times New Roman" w:eastAsia="Times New Roman" w:hAnsi="Times New Roman" w:cs="Times New Roman"/>
          <w:sz w:val="26"/>
          <w:szCs w:val="26"/>
        </w:rPr>
        <w:lastRenderedPageBreak/>
        <w:t xml:space="preserve">Administrative Law Judge (ALJ) </w:t>
      </w:r>
      <w:r w:rsidR="0054654E">
        <w:rPr>
          <w:rFonts w:ascii="Times New Roman" w:eastAsia="Times New Roman" w:hAnsi="Times New Roman" w:cs="Times New Roman"/>
          <w:sz w:val="26"/>
          <w:szCs w:val="26"/>
        </w:rPr>
        <w:t xml:space="preserve">Steven K. Haas served on </w:t>
      </w:r>
      <w:r w:rsidR="007C3D1E">
        <w:rPr>
          <w:rFonts w:ascii="Times New Roman" w:eastAsia="Times New Roman" w:hAnsi="Times New Roman" w:cs="Times New Roman"/>
          <w:sz w:val="26"/>
          <w:szCs w:val="26"/>
        </w:rPr>
        <w:t xml:space="preserve">August 27, 2021, </w:t>
      </w:r>
      <w:r w:rsidR="001832C2">
        <w:rPr>
          <w:rFonts w:ascii="Times New Roman" w:eastAsia="Times New Roman" w:hAnsi="Times New Roman" w:cs="Times New Roman"/>
          <w:sz w:val="26"/>
          <w:szCs w:val="26"/>
        </w:rPr>
        <w:t>in the</w:t>
      </w:r>
      <w:r w:rsidR="007C3D1E">
        <w:rPr>
          <w:rFonts w:ascii="Times New Roman" w:eastAsia="Times New Roman" w:hAnsi="Times New Roman" w:cs="Times New Roman"/>
          <w:sz w:val="26"/>
          <w:szCs w:val="26"/>
        </w:rPr>
        <w:t xml:space="preserve"> </w:t>
      </w:r>
      <w:r w:rsidR="001832C2" w:rsidRPr="00496081">
        <w:rPr>
          <w:rFonts w:ascii="Times New Roman" w:eastAsia="Times New Roman" w:hAnsi="Times New Roman" w:cs="Times New Roman"/>
          <w:sz w:val="26"/>
          <w:szCs w:val="26"/>
        </w:rPr>
        <w:t>above-captioned general rate increase proceeding</w:t>
      </w:r>
      <w:r w:rsidR="00E2528A">
        <w:rPr>
          <w:rFonts w:ascii="Times New Roman" w:eastAsia="Times New Roman" w:hAnsi="Times New Roman" w:cs="Times New Roman"/>
          <w:sz w:val="26"/>
          <w:szCs w:val="26"/>
        </w:rPr>
        <w:t>; and (2</w:t>
      </w:r>
      <w:bookmarkStart w:id="1" w:name="_Hlk84429480"/>
      <w:r w:rsidR="00E2528A">
        <w:rPr>
          <w:rFonts w:ascii="Times New Roman" w:eastAsia="Times New Roman" w:hAnsi="Times New Roman" w:cs="Times New Roman"/>
          <w:sz w:val="26"/>
          <w:szCs w:val="26"/>
        </w:rPr>
        <w:t>) the</w:t>
      </w:r>
      <w:r w:rsidR="001832C2" w:rsidRPr="00496081">
        <w:rPr>
          <w:rFonts w:ascii="Times New Roman" w:eastAsia="Times New Roman" w:hAnsi="Times New Roman" w:cs="Times New Roman"/>
          <w:sz w:val="26"/>
          <w:szCs w:val="26"/>
        </w:rPr>
        <w:t xml:space="preserve"> </w:t>
      </w:r>
      <w:r w:rsidR="00A258F4" w:rsidRPr="00496081">
        <w:rPr>
          <w:rFonts w:ascii="Times New Roman" w:eastAsia="Times New Roman" w:hAnsi="Times New Roman" w:cs="Times New Roman"/>
          <w:sz w:val="26"/>
          <w:szCs w:val="26"/>
        </w:rPr>
        <w:t xml:space="preserve">Joint Petition for </w:t>
      </w:r>
      <w:r w:rsidR="0034243E">
        <w:rPr>
          <w:rFonts w:ascii="Times New Roman" w:eastAsia="Times New Roman" w:hAnsi="Times New Roman" w:cs="Times New Roman"/>
          <w:sz w:val="26"/>
          <w:szCs w:val="26"/>
        </w:rPr>
        <w:t>Approval of Settlement of All Issues</w:t>
      </w:r>
      <w:r w:rsidR="005506BB" w:rsidRPr="00496081">
        <w:rPr>
          <w:rFonts w:ascii="Times New Roman" w:eastAsia="Times New Roman" w:hAnsi="Times New Roman" w:cs="Times New Roman"/>
          <w:sz w:val="26"/>
          <w:szCs w:val="26"/>
        </w:rPr>
        <w:t xml:space="preserve"> </w:t>
      </w:r>
      <w:r w:rsidR="00A258F4" w:rsidRPr="00496081">
        <w:rPr>
          <w:rFonts w:ascii="Times New Roman" w:eastAsia="Times New Roman" w:hAnsi="Times New Roman" w:cs="Times New Roman"/>
          <w:sz w:val="26"/>
          <w:szCs w:val="26"/>
        </w:rPr>
        <w:t>(Joint Petition</w:t>
      </w:r>
      <w:r w:rsidR="00732BCB" w:rsidRPr="00496081">
        <w:rPr>
          <w:rFonts w:ascii="Times New Roman" w:eastAsia="Times New Roman" w:hAnsi="Times New Roman" w:cs="Times New Roman"/>
          <w:sz w:val="26"/>
          <w:szCs w:val="26"/>
        </w:rPr>
        <w:t xml:space="preserve"> or Settlement</w:t>
      </w:r>
      <w:r w:rsidR="00A258F4" w:rsidRPr="00496081">
        <w:rPr>
          <w:rFonts w:ascii="Times New Roman" w:eastAsia="Times New Roman" w:hAnsi="Times New Roman" w:cs="Times New Roman"/>
          <w:sz w:val="26"/>
          <w:szCs w:val="26"/>
        </w:rPr>
        <w:t xml:space="preserve">), filed </w:t>
      </w:r>
      <w:r w:rsidR="00C724C6">
        <w:rPr>
          <w:rFonts w:ascii="Times New Roman" w:eastAsia="Times New Roman" w:hAnsi="Times New Roman" w:cs="Times New Roman"/>
          <w:sz w:val="26"/>
          <w:szCs w:val="26"/>
        </w:rPr>
        <w:t xml:space="preserve">on July 19, 2021, </w:t>
      </w:r>
      <w:r w:rsidR="00C13697">
        <w:rPr>
          <w:rFonts w:ascii="Times New Roman" w:eastAsia="Times New Roman" w:hAnsi="Times New Roman" w:cs="Times New Roman"/>
          <w:sz w:val="26"/>
          <w:szCs w:val="26"/>
        </w:rPr>
        <w:t xml:space="preserve">by </w:t>
      </w:r>
      <w:r w:rsidR="00F36BFA">
        <w:rPr>
          <w:rFonts w:ascii="Times New Roman" w:eastAsia="Times New Roman" w:hAnsi="Times New Roman" w:cs="Times New Roman"/>
          <w:sz w:val="26"/>
          <w:szCs w:val="26"/>
        </w:rPr>
        <w:t>UGI</w:t>
      </w:r>
      <w:r w:rsidR="00BA7718">
        <w:rPr>
          <w:rFonts w:ascii="Times New Roman" w:eastAsia="Times New Roman" w:hAnsi="Times New Roman" w:cs="Times New Roman"/>
          <w:sz w:val="26"/>
          <w:szCs w:val="26"/>
        </w:rPr>
        <w:t> </w:t>
      </w:r>
      <w:r w:rsidR="00F36BFA">
        <w:rPr>
          <w:rFonts w:ascii="Times New Roman" w:eastAsia="Times New Roman" w:hAnsi="Times New Roman" w:cs="Times New Roman"/>
          <w:sz w:val="26"/>
          <w:szCs w:val="26"/>
        </w:rPr>
        <w:t>Utilities</w:t>
      </w:r>
      <w:r w:rsidR="003D2803">
        <w:rPr>
          <w:rFonts w:ascii="Times New Roman" w:eastAsia="Times New Roman" w:hAnsi="Times New Roman" w:cs="Times New Roman"/>
          <w:sz w:val="26"/>
          <w:szCs w:val="26"/>
        </w:rPr>
        <w:t xml:space="preserve">, Inc. – Electric Division (UGI Electric or the Company), </w:t>
      </w:r>
      <w:r w:rsidR="00810A1F">
        <w:rPr>
          <w:rFonts w:ascii="Times New Roman" w:eastAsia="Times New Roman" w:hAnsi="Times New Roman" w:cs="Times New Roman"/>
          <w:sz w:val="26"/>
          <w:szCs w:val="26"/>
        </w:rPr>
        <w:t>the Commission’s Bureau of Investigation</w:t>
      </w:r>
      <w:r w:rsidR="00231350">
        <w:rPr>
          <w:rFonts w:ascii="Times New Roman" w:eastAsia="Times New Roman" w:hAnsi="Times New Roman" w:cs="Times New Roman"/>
          <w:sz w:val="26"/>
          <w:szCs w:val="26"/>
        </w:rPr>
        <w:t xml:space="preserve"> and Enforcement (I&amp;E), </w:t>
      </w:r>
      <w:r w:rsidR="004A65EC">
        <w:rPr>
          <w:rFonts w:ascii="Times New Roman" w:eastAsia="Times New Roman" w:hAnsi="Times New Roman" w:cs="Times New Roman"/>
          <w:sz w:val="26"/>
          <w:szCs w:val="26"/>
        </w:rPr>
        <w:t>the Office of Consumer Advocate (OCA)</w:t>
      </w:r>
      <w:r w:rsidR="00E00885">
        <w:rPr>
          <w:rFonts w:ascii="Times New Roman" w:eastAsia="Times New Roman" w:hAnsi="Times New Roman" w:cs="Times New Roman"/>
          <w:sz w:val="26"/>
          <w:szCs w:val="26"/>
        </w:rPr>
        <w:t xml:space="preserve">, the Office of Small Business Advocate (OSBA), the Coalition for </w:t>
      </w:r>
      <w:r w:rsidR="00301570">
        <w:rPr>
          <w:rFonts w:ascii="Times New Roman" w:eastAsia="Times New Roman" w:hAnsi="Times New Roman" w:cs="Times New Roman"/>
          <w:sz w:val="26"/>
          <w:szCs w:val="26"/>
        </w:rPr>
        <w:t>Affordable Utility Services and Energy Efficiency in Pennsylvania (CAUSE-PA)</w:t>
      </w:r>
      <w:r w:rsidR="00C839D2">
        <w:rPr>
          <w:rFonts w:ascii="Times New Roman" w:eastAsia="Times New Roman" w:hAnsi="Times New Roman" w:cs="Times New Roman"/>
          <w:sz w:val="26"/>
          <w:szCs w:val="26"/>
        </w:rPr>
        <w:t xml:space="preserve">, </w:t>
      </w:r>
      <w:r w:rsidR="008451F8">
        <w:rPr>
          <w:rFonts w:ascii="Times New Roman" w:eastAsia="Times New Roman" w:hAnsi="Times New Roman" w:cs="Times New Roman"/>
          <w:sz w:val="26"/>
          <w:szCs w:val="26"/>
        </w:rPr>
        <w:t xml:space="preserve">the </w:t>
      </w:r>
      <w:r w:rsidR="00C839D2">
        <w:rPr>
          <w:rFonts w:ascii="Times New Roman" w:eastAsia="Times New Roman" w:hAnsi="Times New Roman" w:cs="Times New Roman"/>
          <w:sz w:val="26"/>
          <w:szCs w:val="26"/>
        </w:rPr>
        <w:t xml:space="preserve">Commission on Economic Opportunity (CEO), </w:t>
      </w:r>
      <w:r w:rsidR="008D4E81">
        <w:rPr>
          <w:rFonts w:ascii="Times New Roman" w:eastAsia="Times New Roman" w:hAnsi="Times New Roman" w:cs="Times New Roman"/>
          <w:sz w:val="26"/>
          <w:szCs w:val="26"/>
        </w:rPr>
        <w:t xml:space="preserve">ChargePoint, Inc. (ChargePoint), and the Retail </w:t>
      </w:r>
      <w:r w:rsidR="00EC004A">
        <w:rPr>
          <w:rFonts w:ascii="Times New Roman" w:eastAsia="Times New Roman" w:hAnsi="Times New Roman" w:cs="Times New Roman"/>
          <w:sz w:val="26"/>
          <w:szCs w:val="26"/>
        </w:rPr>
        <w:t>Energy Supply Association</w:t>
      </w:r>
      <w:r w:rsidR="00DC6E4B">
        <w:rPr>
          <w:rFonts w:ascii="Times New Roman" w:eastAsia="Times New Roman" w:hAnsi="Times New Roman" w:cs="Times New Roman"/>
          <w:sz w:val="26"/>
          <w:szCs w:val="26"/>
        </w:rPr>
        <w:t xml:space="preserve"> and NRG Energy, Inc. (together, </w:t>
      </w:r>
      <w:r w:rsidR="005F6E65">
        <w:rPr>
          <w:rFonts w:ascii="Times New Roman" w:eastAsia="Times New Roman" w:hAnsi="Times New Roman" w:cs="Times New Roman"/>
          <w:sz w:val="26"/>
          <w:szCs w:val="26"/>
        </w:rPr>
        <w:t xml:space="preserve">RESA/NRG) (collectively, </w:t>
      </w:r>
      <w:r w:rsidR="00FC208B">
        <w:rPr>
          <w:rFonts w:ascii="Times New Roman" w:eastAsia="Times New Roman" w:hAnsi="Times New Roman" w:cs="Times New Roman"/>
          <w:sz w:val="26"/>
          <w:szCs w:val="26"/>
        </w:rPr>
        <w:t xml:space="preserve">the </w:t>
      </w:r>
      <w:r w:rsidR="005F6E65">
        <w:rPr>
          <w:rFonts w:ascii="Times New Roman" w:eastAsia="Times New Roman" w:hAnsi="Times New Roman" w:cs="Times New Roman"/>
          <w:sz w:val="26"/>
          <w:szCs w:val="26"/>
        </w:rPr>
        <w:t>Joint Petitioners).</w:t>
      </w:r>
      <w:bookmarkEnd w:id="1"/>
      <w:r w:rsidR="005F6E65">
        <w:rPr>
          <w:rFonts w:ascii="Times New Roman" w:eastAsia="Times New Roman" w:hAnsi="Times New Roman" w:cs="Times New Roman"/>
          <w:sz w:val="26"/>
          <w:szCs w:val="26"/>
        </w:rPr>
        <w:t xml:space="preserve">  </w:t>
      </w:r>
      <w:r w:rsidR="00F02D2A">
        <w:rPr>
          <w:rFonts w:ascii="Times New Roman" w:eastAsia="Times New Roman" w:hAnsi="Times New Roman" w:cs="Times New Roman"/>
          <w:sz w:val="26"/>
          <w:szCs w:val="26"/>
        </w:rPr>
        <w:t xml:space="preserve">On </w:t>
      </w:r>
      <w:r w:rsidR="00585409">
        <w:rPr>
          <w:rFonts w:ascii="Times New Roman" w:eastAsia="Times New Roman" w:hAnsi="Times New Roman" w:cs="Times New Roman"/>
          <w:sz w:val="26"/>
          <w:szCs w:val="26"/>
        </w:rPr>
        <w:t xml:space="preserve">September 16, 2021, </w:t>
      </w:r>
      <w:r w:rsidR="00BF34D6">
        <w:rPr>
          <w:rFonts w:ascii="Times New Roman" w:eastAsia="Times New Roman" w:hAnsi="Times New Roman" w:cs="Times New Roman"/>
          <w:sz w:val="26"/>
          <w:szCs w:val="26"/>
        </w:rPr>
        <w:t xml:space="preserve">UGI Electric </w:t>
      </w:r>
      <w:r w:rsidR="008B4B01">
        <w:rPr>
          <w:rFonts w:ascii="Times New Roman" w:eastAsia="Times New Roman" w:hAnsi="Times New Roman" w:cs="Times New Roman"/>
          <w:sz w:val="26"/>
          <w:szCs w:val="26"/>
        </w:rPr>
        <w:t xml:space="preserve">and I&amp;E </w:t>
      </w:r>
      <w:r w:rsidR="00BF34D6">
        <w:rPr>
          <w:rFonts w:ascii="Times New Roman" w:eastAsia="Times New Roman" w:hAnsi="Times New Roman" w:cs="Times New Roman"/>
          <w:sz w:val="26"/>
          <w:szCs w:val="26"/>
        </w:rPr>
        <w:t xml:space="preserve">each filed a </w:t>
      </w:r>
      <w:r w:rsidR="007763DC">
        <w:rPr>
          <w:rFonts w:ascii="Times New Roman" w:eastAsia="Times New Roman" w:hAnsi="Times New Roman" w:cs="Times New Roman"/>
          <w:sz w:val="26"/>
          <w:szCs w:val="26"/>
        </w:rPr>
        <w:t xml:space="preserve">letter response </w:t>
      </w:r>
      <w:r w:rsidR="005E60C4">
        <w:rPr>
          <w:rFonts w:ascii="Times New Roman" w:eastAsia="Times New Roman" w:hAnsi="Times New Roman" w:cs="Times New Roman"/>
          <w:sz w:val="26"/>
          <w:szCs w:val="26"/>
        </w:rPr>
        <w:t xml:space="preserve">(Response) </w:t>
      </w:r>
      <w:r w:rsidR="007763DC">
        <w:rPr>
          <w:rFonts w:ascii="Times New Roman" w:eastAsia="Times New Roman" w:hAnsi="Times New Roman" w:cs="Times New Roman"/>
          <w:sz w:val="26"/>
          <w:szCs w:val="26"/>
        </w:rPr>
        <w:t xml:space="preserve">to Ms. </w:t>
      </w:r>
      <w:r w:rsidR="00245ED2">
        <w:rPr>
          <w:rFonts w:ascii="Times New Roman" w:eastAsia="Times New Roman" w:hAnsi="Times New Roman" w:cs="Times New Roman"/>
          <w:sz w:val="26"/>
          <w:szCs w:val="26"/>
        </w:rPr>
        <w:t xml:space="preserve">Brace’s Exceptions.  </w:t>
      </w:r>
    </w:p>
    <w:p w14:paraId="2C4DAAFC" w14:textId="77777777" w:rsidR="005B6850" w:rsidRPr="00496081" w:rsidRDefault="005B6850" w:rsidP="00496081">
      <w:pPr>
        <w:spacing w:line="360" w:lineRule="auto"/>
        <w:ind w:firstLine="1440"/>
        <w:contextualSpacing/>
        <w:rPr>
          <w:rFonts w:ascii="Times New Roman" w:eastAsia="Times New Roman" w:hAnsi="Times New Roman" w:cs="Times New Roman"/>
          <w:sz w:val="26"/>
          <w:szCs w:val="26"/>
        </w:rPr>
      </w:pPr>
    </w:p>
    <w:p w14:paraId="3AA55BDD" w14:textId="52C02D0E" w:rsidR="005B6850" w:rsidRPr="005752AC" w:rsidRDefault="005B6850" w:rsidP="00496081">
      <w:pPr>
        <w:spacing w:line="360" w:lineRule="auto"/>
        <w:ind w:firstLine="1440"/>
        <w:contextualSpacing/>
        <w:rPr>
          <w:rFonts w:ascii="Times New Roman" w:eastAsia="Times New Roman" w:hAnsi="Times New Roman" w:cs="Times New Roman"/>
          <w:sz w:val="26"/>
          <w:szCs w:val="26"/>
        </w:rPr>
      </w:pPr>
      <w:r w:rsidRPr="005752AC">
        <w:rPr>
          <w:rFonts w:ascii="Times New Roman" w:eastAsia="Times New Roman" w:hAnsi="Times New Roman" w:cs="Times New Roman"/>
          <w:sz w:val="26"/>
          <w:szCs w:val="26"/>
        </w:rPr>
        <w:t>For the reasons stated</w:t>
      </w:r>
      <w:r w:rsidR="005752AC">
        <w:rPr>
          <w:rFonts w:ascii="Times New Roman" w:eastAsia="Times New Roman" w:hAnsi="Times New Roman" w:cs="Times New Roman"/>
          <w:sz w:val="26"/>
          <w:szCs w:val="26"/>
        </w:rPr>
        <w:t xml:space="preserve"> below</w:t>
      </w:r>
      <w:r w:rsidRPr="005752AC">
        <w:rPr>
          <w:rFonts w:ascii="Times New Roman" w:eastAsia="Times New Roman" w:hAnsi="Times New Roman" w:cs="Times New Roman"/>
          <w:i/>
          <w:sz w:val="26"/>
          <w:szCs w:val="26"/>
        </w:rPr>
        <w:t>,</w:t>
      </w:r>
      <w:r w:rsidR="00F34505" w:rsidRPr="005752AC">
        <w:rPr>
          <w:rFonts w:ascii="Times New Roman" w:eastAsia="Times New Roman" w:hAnsi="Times New Roman" w:cs="Times New Roman"/>
          <w:sz w:val="26"/>
          <w:szCs w:val="26"/>
        </w:rPr>
        <w:t xml:space="preserve"> we shall</w:t>
      </w:r>
      <w:r w:rsidRPr="005752AC">
        <w:rPr>
          <w:rFonts w:ascii="Times New Roman" w:eastAsia="Times New Roman" w:hAnsi="Times New Roman" w:cs="Times New Roman"/>
          <w:sz w:val="26"/>
          <w:szCs w:val="26"/>
        </w:rPr>
        <w:t xml:space="preserve"> </w:t>
      </w:r>
      <w:r w:rsidR="005752AC">
        <w:rPr>
          <w:rFonts w:ascii="Times New Roman" w:eastAsia="Times New Roman" w:hAnsi="Times New Roman" w:cs="Times New Roman"/>
          <w:sz w:val="26"/>
          <w:szCs w:val="26"/>
        </w:rPr>
        <w:t>deny Ms. Brace’s</w:t>
      </w:r>
      <w:r w:rsidR="005506BB" w:rsidRPr="005752AC">
        <w:rPr>
          <w:rFonts w:ascii="Times New Roman" w:eastAsia="Times New Roman" w:hAnsi="Times New Roman" w:cs="Times New Roman"/>
          <w:sz w:val="26"/>
          <w:szCs w:val="26"/>
        </w:rPr>
        <w:t xml:space="preserve"> Exceptions</w:t>
      </w:r>
      <w:r w:rsidR="00884C9E" w:rsidRPr="005752AC">
        <w:rPr>
          <w:rFonts w:ascii="Times New Roman" w:eastAsia="Times New Roman" w:hAnsi="Times New Roman" w:cs="Times New Roman"/>
          <w:sz w:val="26"/>
          <w:szCs w:val="26"/>
        </w:rPr>
        <w:t xml:space="preserve">, </w:t>
      </w:r>
      <w:r w:rsidRPr="005752AC">
        <w:rPr>
          <w:rFonts w:ascii="Times New Roman" w:eastAsia="Times New Roman" w:hAnsi="Times New Roman" w:cs="Times New Roman"/>
          <w:sz w:val="26"/>
          <w:szCs w:val="26"/>
        </w:rPr>
        <w:t xml:space="preserve">adopt the Recommended Decision, </w:t>
      </w:r>
      <w:r w:rsidR="005506BB" w:rsidRPr="005752AC">
        <w:rPr>
          <w:rFonts w:ascii="Times New Roman" w:eastAsia="Times New Roman" w:hAnsi="Times New Roman" w:cs="Times New Roman"/>
          <w:sz w:val="26"/>
          <w:szCs w:val="26"/>
        </w:rPr>
        <w:t xml:space="preserve">and </w:t>
      </w:r>
      <w:r w:rsidRPr="005752AC">
        <w:rPr>
          <w:rFonts w:ascii="Times New Roman" w:eastAsia="Times New Roman" w:hAnsi="Times New Roman" w:cs="Times New Roman"/>
          <w:sz w:val="26"/>
          <w:szCs w:val="26"/>
        </w:rPr>
        <w:t>approve the Joint Petition</w:t>
      </w:r>
      <w:r w:rsidR="00AA42A4" w:rsidRPr="005752AC">
        <w:rPr>
          <w:rFonts w:ascii="Times New Roman" w:eastAsia="Times New Roman" w:hAnsi="Times New Roman" w:cs="Times New Roman"/>
          <w:sz w:val="26"/>
          <w:szCs w:val="26"/>
        </w:rPr>
        <w:t>, without modification</w:t>
      </w:r>
      <w:r w:rsidRPr="005752AC">
        <w:rPr>
          <w:rFonts w:ascii="Times New Roman" w:eastAsia="Times New Roman" w:hAnsi="Times New Roman" w:cs="Times New Roman"/>
          <w:sz w:val="26"/>
          <w:szCs w:val="26"/>
        </w:rPr>
        <w:t>.</w:t>
      </w:r>
    </w:p>
    <w:p w14:paraId="74C210B6" w14:textId="77777777" w:rsidR="009E1F23" w:rsidRPr="00496081" w:rsidRDefault="009E1F23" w:rsidP="00496081">
      <w:pPr>
        <w:pStyle w:val="ListParagraph"/>
        <w:spacing w:line="360" w:lineRule="auto"/>
        <w:ind w:left="0"/>
        <w:contextualSpacing/>
        <w:rPr>
          <w:sz w:val="26"/>
          <w:szCs w:val="26"/>
        </w:rPr>
      </w:pPr>
    </w:p>
    <w:p w14:paraId="540817BE" w14:textId="77777777" w:rsidR="009E1F23" w:rsidRPr="00496081" w:rsidRDefault="009E1F23" w:rsidP="00496081">
      <w:pPr>
        <w:pStyle w:val="ListParagraph"/>
        <w:keepNext/>
        <w:keepLines/>
        <w:spacing w:line="360" w:lineRule="auto"/>
        <w:ind w:left="0"/>
        <w:contextualSpacing/>
        <w:jc w:val="center"/>
        <w:rPr>
          <w:b/>
          <w:sz w:val="26"/>
          <w:szCs w:val="26"/>
        </w:rPr>
      </w:pPr>
      <w:r w:rsidRPr="00496081">
        <w:rPr>
          <w:b/>
          <w:sz w:val="26"/>
          <w:szCs w:val="26"/>
        </w:rPr>
        <w:t>I.</w:t>
      </w:r>
      <w:r w:rsidRPr="00496081">
        <w:rPr>
          <w:b/>
          <w:sz w:val="26"/>
          <w:szCs w:val="26"/>
        </w:rPr>
        <w:tab/>
      </w:r>
      <w:r w:rsidR="007D6BF0" w:rsidRPr="00496081">
        <w:rPr>
          <w:b/>
          <w:sz w:val="26"/>
          <w:szCs w:val="26"/>
        </w:rPr>
        <w:t>History of the Proceeding</w:t>
      </w:r>
    </w:p>
    <w:p w14:paraId="5583B727" w14:textId="525939ED" w:rsidR="007D6BF0" w:rsidRDefault="007D6BF0" w:rsidP="00496081">
      <w:pPr>
        <w:pStyle w:val="ListParagraph"/>
        <w:keepNext/>
        <w:keepLines/>
        <w:spacing w:line="360" w:lineRule="auto"/>
        <w:ind w:left="0"/>
        <w:contextualSpacing/>
        <w:jc w:val="center"/>
        <w:rPr>
          <w:sz w:val="26"/>
          <w:szCs w:val="26"/>
          <w:u w:val="single"/>
        </w:rPr>
      </w:pPr>
    </w:p>
    <w:p w14:paraId="62F33E43" w14:textId="77139F98" w:rsidR="00236695" w:rsidRPr="00877FC4" w:rsidRDefault="00C0364F" w:rsidP="0078709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00236695" w:rsidRPr="00877FC4">
        <w:rPr>
          <w:rFonts w:ascii="Times New Roman" w:hAnsi="Times New Roman" w:cs="Times New Roman"/>
          <w:sz w:val="26"/>
          <w:szCs w:val="26"/>
        </w:rPr>
        <w:t>n February 8, 2021, UGI Electric filed Supplement No. 26 to Electric Pa.</w:t>
      </w:r>
      <w:r w:rsidR="00BA7718">
        <w:rPr>
          <w:rFonts w:ascii="Times New Roman" w:hAnsi="Times New Roman" w:cs="Times New Roman"/>
          <w:sz w:val="26"/>
          <w:szCs w:val="26"/>
        </w:rPr>
        <w:t> </w:t>
      </w:r>
      <w:r w:rsidR="00236695" w:rsidRPr="00877FC4">
        <w:rPr>
          <w:rFonts w:ascii="Times New Roman" w:hAnsi="Times New Roman" w:cs="Times New Roman"/>
          <w:sz w:val="26"/>
          <w:szCs w:val="26"/>
        </w:rPr>
        <w:t>P.U.C. No. 6 (Tariff No. 6) and Supplement No. 2 to UGI Electric Tariff – Pa. P.U.C. No. 2S (Tariff No. 2S) to be</w:t>
      </w:r>
      <w:r>
        <w:rPr>
          <w:rFonts w:ascii="Times New Roman" w:hAnsi="Times New Roman" w:cs="Times New Roman"/>
          <w:sz w:val="26"/>
          <w:szCs w:val="26"/>
        </w:rPr>
        <w:t>come</w:t>
      </w:r>
      <w:r w:rsidR="00236695" w:rsidRPr="00877FC4">
        <w:rPr>
          <w:rFonts w:ascii="Times New Roman" w:hAnsi="Times New Roman" w:cs="Times New Roman"/>
          <w:sz w:val="26"/>
          <w:szCs w:val="26"/>
        </w:rPr>
        <w:t xml:space="preserve"> effective for service rendered on or after April 9, 2021.  The Company proposed changes to UGI Electric’s base retail distribution rates designed to produce an increase in annual revenues of approximately $8.7 million, based upon data for a fully projected future test year (FPFTY) ending September 30, 2022.   </w:t>
      </w:r>
    </w:p>
    <w:p w14:paraId="28A886F4"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6B91020C" w14:textId="7ECF4B1A" w:rsidR="00236695" w:rsidRPr="00877FC4" w:rsidRDefault="00236695" w:rsidP="00877FC4">
      <w:pPr>
        <w:spacing w:after="0" w:line="360" w:lineRule="auto"/>
        <w:ind w:firstLine="1440"/>
        <w:rPr>
          <w:rFonts w:ascii="Times New Roman" w:hAnsi="Times New Roman" w:cs="Times New Roman"/>
          <w:sz w:val="26"/>
          <w:szCs w:val="26"/>
        </w:rPr>
      </w:pPr>
      <w:r w:rsidRPr="00877FC4">
        <w:rPr>
          <w:rFonts w:ascii="Times New Roman" w:hAnsi="Times New Roman" w:cs="Times New Roman"/>
          <w:sz w:val="26"/>
          <w:szCs w:val="26"/>
        </w:rPr>
        <w:t>On February 9, 2021, I&amp;E filed a Notice of Appearance.</w:t>
      </w:r>
      <w:r w:rsidR="00C9392E">
        <w:rPr>
          <w:rFonts w:ascii="Times New Roman" w:hAnsi="Times New Roman" w:cs="Times New Roman"/>
          <w:sz w:val="26"/>
          <w:szCs w:val="26"/>
        </w:rPr>
        <w:t xml:space="preserve">  </w:t>
      </w:r>
      <w:r w:rsidRPr="00877FC4">
        <w:rPr>
          <w:rFonts w:ascii="Times New Roman" w:hAnsi="Times New Roman" w:cs="Times New Roman"/>
          <w:sz w:val="26"/>
          <w:szCs w:val="26"/>
        </w:rPr>
        <w:t>On February</w:t>
      </w:r>
      <w:r w:rsidR="00BA7718">
        <w:rPr>
          <w:rFonts w:ascii="Times New Roman" w:hAnsi="Times New Roman" w:cs="Times New Roman"/>
          <w:sz w:val="26"/>
          <w:szCs w:val="26"/>
        </w:rPr>
        <w:t> </w:t>
      </w:r>
      <w:r w:rsidRPr="00877FC4">
        <w:rPr>
          <w:rFonts w:ascii="Times New Roman" w:hAnsi="Times New Roman" w:cs="Times New Roman"/>
          <w:sz w:val="26"/>
          <w:szCs w:val="26"/>
        </w:rPr>
        <w:t>17,</w:t>
      </w:r>
      <w:r w:rsidR="00BA7718">
        <w:rPr>
          <w:rFonts w:ascii="Times New Roman" w:hAnsi="Times New Roman" w:cs="Times New Roman"/>
          <w:sz w:val="26"/>
          <w:szCs w:val="26"/>
        </w:rPr>
        <w:t> </w:t>
      </w:r>
      <w:r w:rsidRPr="00877FC4">
        <w:rPr>
          <w:rFonts w:ascii="Times New Roman" w:hAnsi="Times New Roman" w:cs="Times New Roman"/>
          <w:sz w:val="26"/>
          <w:szCs w:val="26"/>
        </w:rPr>
        <w:t xml:space="preserve">2021, </w:t>
      </w:r>
      <w:r w:rsidR="00EE4171">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OSBA filed a Notice of Appearance, Public Statement, and Formal Complaint, which was docketed at Docket No. C-2021-3024200.  Also on February 17, 2021, CEO filed a Petition to Intervene. </w:t>
      </w:r>
      <w:r w:rsidR="003B4B6C">
        <w:rPr>
          <w:rFonts w:ascii="Times New Roman" w:hAnsi="Times New Roman" w:cs="Times New Roman"/>
          <w:sz w:val="26"/>
          <w:szCs w:val="26"/>
        </w:rPr>
        <w:t xml:space="preserve"> </w:t>
      </w:r>
      <w:r w:rsidRPr="00877FC4">
        <w:rPr>
          <w:rFonts w:ascii="Times New Roman" w:hAnsi="Times New Roman" w:cs="Times New Roman"/>
          <w:sz w:val="26"/>
          <w:szCs w:val="26"/>
        </w:rPr>
        <w:t xml:space="preserve">On February 18, 2021, </w:t>
      </w:r>
      <w:r w:rsidR="003B4B6C">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OCA </w:t>
      </w:r>
      <w:r w:rsidRPr="00877FC4">
        <w:rPr>
          <w:rFonts w:ascii="Times New Roman" w:hAnsi="Times New Roman" w:cs="Times New Roman"/>
          <w:sz w:val="26"/>
          <w:szCs w:val="26"/>
        </w:rPr>
        <w:lastRenderedPageBreak/>
        <w:t xml:space="preserve">filed a Notice of Appearance, Public Statement, and Formal Complaint, which was docketed at Docket No. C-2021-3024213. </w:t>
      </w:r>
    </w:p>
    <w:p w14:paraId="350877A7"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4D66AFD4" w14:textId="5AB999D7" w:rsidR="00236695" w:rsidRPr="00877FC4" w:rsidRDefault="00236695" w:rsidP="00601CB6">
      <w:pPr>
        <w:spacing w:after="0" w:line="360" w:lineRule="auto"/>
        <w:ind w:firstLine="1440"/>
        <w:rPr>
          <w:rFonts w:ascii="Times New Roman" w:hAnsi="Times New Roman" w:cs="Times New Roman"/>
          <w:sz w:val="26"/>
          <w:szCs w:val="26"/>
        </w:rPr>
      </w:pPr>
      <w:r w:rsidRPr="00877FC4">
        <w:rPr>
          <w:rFonts w:ascii="Times New Roman" w:hAnsi="Times New Roman" w:cs="Times New Roman"/>
          <w:sz w:val="26"/>
          <w:szCs w:val="26"/>
        </w:rPr>
        <w:t xml:space="preserve">In addition to the </w:t>
      </w:r>
      <w:r w:rsidR="009227E8">
        <w:rPr>
          <w:rFonts w:ascii="Times New Roman" w:hAnsi="Times New Roman" w:cs="Times New Roman"/>
          <w:sz w:val="26"/>
          <w:szCs w:val="26"/>
        </w:rPr>
        <w:t>F</w:t>
      </w:r>
      <w:r w:rsidRPr="00877FC4">
        <w:rPr>
          <w:rFonts w:ascii="Times New Roman" w:hAnsi="Times New Roman" w:cs="Times New Roman"/>
          <w:sz w:val="26"/>
          <w:szCs w:val="26"/>
        </w:rPr>
        <w:t xml:space="preserve">ormal </w:t>
      </w:r>
      <w:r w:rsidR="009227E8">
        <w:rPr>
          <w:rFonts w:ascii="Times New Roman" w:hAnsi="Times New Roman" w:cs="Times New Roman"/>
          <w:sz w:val="26"/>
          <w:szCs w:val="26"/>
        </w:rPr>
        <w:t>C</w:t>
      </w:r>
      <w:r w:rsidRPr="00877FC4">
        <w:rPr>
          <w:rFonts w:ascii="Times New Roman" w:hAnsi="Times New Roman" w:cs="Times New Roman"/>
          <w:sz w:val="26"/>
          <w:szCs w:val="26"/>
        </w:rPr>
        <w:t xml:space="preserve">omplaints filed by </w:t>
      </w:r>
      <w:r w:rsidR="00601CB6">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OSBA and </w:t>
      </w:r>
      <w:r w:rsidR="00601CB6">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OCA, nine </w:t>
      </w:r>
      <w:r w:rsidR="00601CB6">
        <w:rPr>
          <w:rFonts w:ascii="Times New Roman" w:hAnsi="Times New Roman" w:cs="Times New Roman"/>
          <w:sz w:val="26"/>
          <w:szCs w:val="26"/>
        </w:rPr>
        <w:t>F</w:t>
      </w:r>
      <w:r w:rsidRPr="00877FC4">
        <w:rPr>
          <w:rFonts w:ascii="Times New Roman" w:hAnsi="Times New Roman" w:cs="Times New Roman"/>
          <w:sz w:val="26"/>
          <w:szCs w:val="26"/>
        </w:rPr>
        <w:t xml:space="preserve">ormal </w:t>
      </w:r>
      <w:r w:rsidR="00601CB6">
        <w:rPr>
          <w:rFonts w:ascii="Times New Roman" w:hAnsi="Times New Roman" w:cs="Times New Roman"/>
          <w:sz w:val="26"/>
          <w:szCs w:val="26"/>
        </w:rPr>
        <w:t>C</w:t>
      </w:r>
      <w:r w:rsidRPr="00877FC4">
        <w:rPr>
          <w:rFonts w:ascii="Times New Roman" w:hAnsi="Times New Roman" w:cs="Times New Roman"/>
          <w:sz w:val="26"/>
          <w:szCs w:val="26"/>
        </w:rPr>
        <w:t xml:space="preserve">omplaints were filed </w:t>
      </w:r>
      <w:r w:rsidRPr="00601CB6">
        <w:rPr>
          <w:rFonts w:ascii="Times New Roman" w:hAnsi="Times New Roman" w:cs="Times New Roman"/>
          <w:i/>
          <w:iCs/>
          <w:sz w:val="26"/>
          <w:szCs w:val="26"/>
        </w:rPr>
        <w:t>pro se</w:t>
      </w:r>
      <w:r w:rsidRPr="00877FC4">
        <w:rPr>
          <w:rFonts w:ascii="Times New Roman" w:hAnsi="Times New Roman" w:cs="Times New Roman"/>
          <w:sz w:val="26"/>
          <w:szCs w:val="26"/>
        </w:rPr>
        <w:t xml:space="preserve"> by </w:t>
      </w:r>
      <w:r w:rsidR="00601CB6">
        <w:rPr>
          <w:rFonts w:ascii="Times New Roman" w:hAnsi="Times New Roman" w:cs="Times New Roman"/>
          <w:sz w:val="26"/>
          <w:szCs w:val="26"/>
        </w:rPr>
        <w:t xml:space="preserve">the following </w:t>
      </w:r>
      <w:r w:rsidRPr="00877FC4">
        <w:rPr>
          <w:rFonts w:ascii="Times New Roman" w:hAnsi="Times New Roman" w:cs="Times New Roman"/>
          <w:sz w:val="26"/>
          <w:szCs w:val="26"/>
        </w:rPr>
        <w:t xml:space="preserve">UGI Electric customers: </w:t>
      </w:r>
      <w:r w:rsidR="00BE16F5">
        <w:rPr>
          <w:rFonts w:ascii="Times New Roman" w:hAnsi="Times New Roman" w:cs="Times New Roman"/>
          <w:sz w:val="26"/>
          <w:szCs w:val="26"/>
        </w:rPr>
        <w:t xml:space="preserve"> </w:t>
      </w:r>
      <w:r w:rsidRPr="00877FC4">
        <w:rPr>
          <w:rFonts w:ascii="Times New Roman" w:hAnsi="Times New Roman" w:cs="Times New Roman"/>
          <w:sz w:val="26"/>
          <w:szCs w:val="26"/>
        </w:rPr>
        <w:t>Jennifer Mattingly (C-2021-3024500), Brandi Brace (C-2021-3024613), Kim Kotyk (C</w:t>
      </w:r>
      <w:r w:rsidR="00BA7718">
        <w:rPr>
          <w:rFonts w:ascii="Times New Roman" w:hAnsi="Times New Roman" w:cs="Times New Roman"/>
          <w:sz w:val="26"/>
          <w:szCs w:val="26"/>
        </w:rPr>
        <w:noBreakHyphen/>
      </w:r>
      <w:r w:rsidRPr="00877FC4">
        <w:rPr>
          <w:rFonts w:ascii="Times New Roman" w:hAnsi="Times New Roman" w:cs="Times New Roman"/>
          <w:sz w:val="26"/>
          <w:szCs w:val="26"/>
        </w:rPr>
        <w:t>2021</w:t>
      </w:r>
      <w:r w:rsidR="00BA7718">
        <w:rPr>
          <w:rFonts w:ascii="Times New Roman" w:hAnsi="Times New Roman" w:cs="Times New Roman"/>
          <w:sz w:val="26"/>
          <w:szCs w:val="26"/>
        </w:rPr>
        <w:noBreakHyphen/>
      </w:r>
      <w:r w:rsidRPr="00877FC4">
        <w:rPr>
          <w:rFonts w:ascii="Times New Roman" w:hAnsi="Times New Roman" w:cs="Times New Roman"/>
          <w:sz w:val="26"/>
          <w:szCs w:val="26"/>
        </w:rPr>
        <w:t>3024833), Barbara Brennan (C-2021-3024846), Lindsey Yeider Wosik (C</w:t>
      </w:r>
      <w:r w:rsidR="00BA7718">
        <w:rPr>
          <w:rFonts w:ascii="Times New Roman" w:hAnsi="Times New Roman" w:cs="Times New Roman"/>
          <w:sz w:val="26"/>
          <w:szCs w:val="26"/>
        </w:rPr>
        <w:noBreakHyphen/>
      </w:r>
      <w:r w:rsidRPr="00877FC4">
        <w:rPr>
          <w:rFonts w:ascii="Times New Roman" w:hAnsi="Times New Roman" w:cs="Times New Roman"/>
          <w:sz w:val="26"/>
          <w:szCs w:val="26"/>
        </w:rPr>
        <w:t>2021-3024927), Roger and Maria Hogue (C-20213025072), Lisa Infantino (C</w:t>
      </w:r>
      <w:r w:rsidR="00BA7718">
        <w:rPr>
          <w:rFonts w:ascii="Times New Roman" w:hAnsi="Times New Roman" w:cs="Times New Roman"/>
          <w:sz w:val="26"/>
          <w:szCs w:val="26"/>
        </w:rPr>
        <w:noBreakHyphen/>
      </w:r>
      <w:r w:rsidRPr="00877FC4">
        <w:rPr>
          <w:rFonts w:ascii="Times New Roman" w:hAnsi="Times New Roman" w:cs="Times New Roman"/>
          <w:sz w:val="26"/>
          <w:szCs w:val="26"/>
        </w:rPr>
        <w:t>2021</w:t>
      </w:r>
      <w:r w:rsidR="00BA7718">
        <w:rPr>
          <w:rFonts w:ascii="Times New Roman" w:hAnsi="Times New Roman" w:cs="Times New Roman"/>
          <w:sz w:val="26"/>
          <w:szCs w:val="26"/>
        </w:rPr>
        <w:noBreakHyphen/>
      </w:r>
      <w:r w:rsidRPr="00877FC4">
        <w:rPr>
          <w:rFonts w:ascii="Times New Roman" w:hAnsi="Times New Roman" w:cs="Times New Roman"/>
          <w:sz w:val="26"/>
          <w:szCs w:val="26"/>
        </w:rPr>
        <w:t>3025090), Mark Lazo (C-2021-3025091)</w:t>
      </w:r>
      <w:r w:rsidR="00154E42">
        <w:rPr>
          <w:rFonts w:ascii="Times New Roman" w:hAnsi="Times New Roman" w:cs="Times New Roman"/>
          <w:sz w:val="26"/>
          <w:szCs w:val="26"/>
        </w:rPr>
        <w:t>,</w:t>
      </w:r>
      <w:r w:rsidRPr="00877FC4">
        <w:rPr>
          <w:rFonts w:ascii="Times New Roman" w:hAnsi="Times New Roman" w:cs="Times New Roman"/>
          <w:sz w:val="26"/>
          <w:szCs w:val="26"/>
        </w:rPr>
        <w:t xml:space="preserve"> and Bridgett Brosius (C</w:t>
      </w:r>
      <w:r w:rsidR="005A3D58">
        <w:rPr>
          <w:rFonts w:ascii="Times New Roman" w:hAnsi="Times New Roman" w:cs="Times New Roman"/>
          <w:sz w:val="26"/>
          <w:szCs w:val="26"/>
        </w:rPr>
        <w:noBreakHyphen/>
      </w:r>
      <w:r w:rsidRPr="00877FC4">
        <w:rPr>
          <w:rFonts w:ascii="Times New Roman" w:hAnsi="Times New Roman" w:cs="Times New Roman"/>
          <w:sz w:val="26"/>
          <w:szCs w:val="26"/>
        </w:rPr>
        <w:t>2021</w:t>
      </w:r>
      <w:r w:rsidR="005A3D58">
        <w:rPr>
          <w:rFonts w:ascii="Times New Roman" w:hAnsi="Times New Roman" w:cs="Times New Roman"/>
          <w:sz w:val="26"/>
          <w:szCs w:val="26"/>
        </w:rPr>
        <w:noBreakHyphen/>
      </w:r>
      <w:r w:rsidRPr="00877FC4">
        <w:rPr>
          <w:rFonts w:ascii="Times New Roman" w:hAnsi="Times New Roman" w:cs="Times New Roman"/>
          <w:sz w:val="26"/>
          <w:szCs w:val="26"/>
        </w:rPr>
        <w:t xml:space="preserve">3025436).  </w:t>
      </w:r>
    </w:p>
    <w:p w14:paraId="777445EF"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41D002F6" w14:textId="289700BC" w:rsidR="00236695" w:rsidRPr="00877FC4" w:rsidRDefault="00236695" w:rsidP="00777F1E">
      <w:pPr>
        <w:spacing w:after="0" w:line="360" w:lineRule="auto"/>
        <w:ind w:firstLine="1440"/>
        <w:rPr>
          <w:rFonts w:ascii="Times New Roman" w:hAnsi="Times New Roman" w:cs="Times New Roman"/>
          <w:sz w:val="26"/>
          <w:szCs w:val="26"/>
        </w:rPr>
      </w:pPr>
      <w:r w:rsidRPr="00877FC4">
        <w:rPr>
          <w:rFonts w:ascii="Times New Roman" w:hAnsi="Times New Roman" w:cs="Times New Roman"/>
          <w:sz w:val="26"/>
          <w:szCs w:val="26"/>
        </w:rPr>
        <w:t>On March 11, 2021, the Commission issued an Order suspending Tariff No.</w:t>
      </w:r>
      <w:r w:rsidR="005A3D58">
        <w:rPr>
          <w:rFonts w:ascii="Times New Roman" w:hAnsi="Times New Roman" w:cs="Times New Roman"/>
          <w:sz w:val="26"/>
          <w:szCs w:val="26"/>
        </w:rPr>
        <w:t> </w:t>
      </w:r>
      <w:r w:rsidRPr="00877FC4">
        <w:rPr>
          <w:rFonts w:ascii="Times New Roman" w:hAnsi="Times New Roman" w:cs="Times New Roman"/>
          <w:sz w:val="26"/>
          <w:szCs w:val="26"/>
        </w:rPr>
        <w:t xml:space="preserve">6 and Tariff No. 2S until November 9, 2021, unless permitted by Commission Order to become effective at an earlier date.  </w:t>
      </w:r>
    </w:p>
    <w:p w14:paraId="640E6A29"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180B9C16" w14:textId="77777777" w:rsidR="00236695" w:rsidRPr="00877FC4" w:rsidRDefault="00236695" w:rsidP="00821A33">
      <w:pPr>
        <w:spacing w:after="0" w:line="360" w:lineRule="auto"/>
        <w:ind w:left="720" w:firstLine="720"/>
        <w:rPr>
          <w:rFonts w:ascii="Times New Roman" w:hAnsi="Times New Roman" w:cs="Times New Roman"/>
          <w:sz w:val="26"/>
          <w:szCs w:val="26"/>
        </w:rPr>
      </w:pPr>
      <w:r w:rsidRPr="00877FC4">
        <w:rPr>
          <w:rFonts w:ascii="Times New Roman" w:hAnsi="Times New Roman" w:cs="Times New Roman"/>
          <w:sz w:val="26"/>
          <w:szCs w:val="26"/>
        </w:rPr>
        <w:t xml:space="preserve">On March 19, 2021, RESA/NRG filed a Petition to Intervene.   </w:t>
      </w:r>
    </w:p>
    <w:p w14:paraId="106FAEC5"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69BBF948" w14:textId="18BF7109" w:rsidR="00236695" w:rsidRPr="00877FC4" w:rsidRDefault="00236695" w:rsidP="00BE16F5">
      <w:pPr>
        <w:spacing w:after="0" w:line="360" w:lineRule="auto"/>
        <w:ind w:firstLine="1440"/>
        <w:rPr>
          <w:rFonts w:ascii="Times New Roman" w:hAnsi="Times New Roman" w:cs="Times New Roman"/>
          <w:sz w:val="26"/>
          <w:szCs w:val="26"/>
        </w:rPr>
      </w:pPr>
      <w:r w:rsidRPr="00877FC4">
        <w:rPr>
          <w:rFonts w:ascii="Times New Roman" w:hAnsi="Times New Roman" w:cs="Times New Roman"/>
          <w:sz w:val="26"/>
          <w:szCs w:val="26"/>
        </w:rPr>
        <w:t xml:space="preserve">A telephonic prehearing conference was held on March 22, 2021, at which time a litigation schedule was established.  </w:t>
      </w:r>
      <w:r w:rsidR="00E025CD">
        <w:rPr>
          <w:rFonts w:ascii="Times New Roman" w:hAnsi="Times New Roman" w:cs="Times New Roman"/>
          <w:sz w:val="26"/>
          <w:szCs w:val="26"/>
        </w:rPr>
        <w:t>The ALJ also</w:t>
      </w:r>
      <w:r w:rsidRPr="00877FC4">
        <w:rPr>
          <w:rFonts w:ascii="Times New Roman" w:hAnsi="Times New Roman" w:cs="Times New Roman"/>
          <w:sz w:val="26"/>
          <w:szCs w:val="26"/>
        </w:rPr>
        <w:t xml:space="preserve"> granted RESA/NRG’s Petition to Intervene. </w:t>
      </w:r>
    </w:p>
    <w:p w14:paraId="6B571DDD"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0BCD530F" w14:textId="52BB3545" w:rsidR="00236695" w:rsidRPr="00877FC4" w:rsidRDefault="002C3D0A" w:rsidP="00A47B58">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00EF7C46">
        <w:rPr>
          <w:rFonts w:ascii="Times New Roman" w:hAnsi="Times New Roman" w:cs="Times New Roman"/>
          <w:sz w:val="26"/>
          <w:szCs w:val="26"/>
        </w:rPr>
        <w:t>n</w:t>
      </w:r>
      <w:r w:rsidR="00236695" w:rsidRPr="00877FC4">
        <w:rPr>
          <w:rFonts w:ascii="Times New Roman" w:hAnsi="Times New Roman" w:cs="Times New Roman"/>
          <w:sz w:val="26"/>
          <w:szCs w:val="26"/>
        </w:rPr>
        <w:t xml:space="preserve"> March 25, 2021, CAUSE-PA filed a Petition to Intervene.  By Order dated April 14, 2021, </w:t>
      </w:r>
      <w:r w:rsidR="00A47B58">
        <w:rPr>
          <w:rFonts w:ascii="Times New Roman" w:hAnsi="Times New Roman" w:cs="Times New Roman"/>
          <w:sz w:val="26"/>
          <w:szCs w:val="26"/>
        </w:rPr>
        <w:t>the ALJ</w:t>
      </w:r>
      <w:r w:rsidR="00236695" w:rsidRPr="00877FC4">
        <w:rPr>
          <w:rFonts w:ascii="Times New Roman" w:hAnsi="Times New Roman" w:cs="Times New Roman"/>
          <w:sz w:val="26"/>
          <w:szCs w:val="26"/>
        </w:rPr>
        <w:t xml:space="preserve"> granted CAUSE-PA’s Petition to intervene. </w:t>
      </w:r>
    </w:p>
    <w:p w14:paraId="5EF82DA1"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71FB68C1" w14:textId="65C3288C" w:rsidR="00236695" w:rsidRPr="00877FC4" w:rsidRDefault="00236695" w:rsidP="00877FC4">
      <w:pPr>
        <w:spacing w:after="0" w:line="360" w:lineRule="auto"/>
        <w:ind w:firstLine="1440"/>
        <w:rPr>
          <w:rFonts w:ascii="Times New Roman" w:hAnsi="Times New Roman" w:cs="Times New Roman"/>
          <w:sz w:val="26"/>
          <w:szCs w:val="26"/>
        </w:rPr>
      </w:pPr>
      <w:r w:rsidRPr="00877FC4">
        <w:rPr>
          <w:rFonts w:ascii="Times New Roman" w:hAnsi="Times New Roman" w:cs="Times New Roman"/>
          <w:sz w:val="26"/>
          <w:szCs w:val="26"/>
        </w:rPr>
        <w:t xml:space="preserve">On April 5, 2021, </w:t>
      </w:r>
      <w:r w:rsidR="00F63BBD">
        <w:rPr>
          <w:rFonts w:ascii="Times New Roman" w:hAnsi="Times New Roman" w:cs="Times New Roman"/>
          <w:sz w:val="26"/>
          <w:szCs w:val="26"/>
        </w:rPr>
        <w:t xml:space="preserve">the Parties filed </w:t>
      </w:r>
      <w:r w:rsidRPr="00877FC4">
        <w:rPr>
          <w:rFonts w:ascii="Times New Roman" w:hAnsi="Times New Roman" w:cs="Times New Roman"/>
          <w:sz w:val="26"/>
          <w:szCs w:val="26"/>
        </w:rPr>
        <w:t>a Motion for Protective Order.  On April</w:t>
      </w:r>
      <w:r w:rsidR="005A3D58">
        <w:rPr>
          <w:rFonts w:ascii="Times New Roman" w:hAnsi="Times New Roman" w:cs="Times New Roman"/>
          <w:sz w:val="26"/>
          <w:szCs w:val="26"/>
        </w:rPr>
        <w:t> </w:t>
      </w:r>
      <w:r w:rsidRPr="00877FC4">
        <w:rPr>
          <w:rFonts w:ascii="Times New Roman" w:hAnsi="Times New Roman" w:cs="Times New Roman"/>
          <w:sz w:val="26"/>
          <w:szCs w:val="26"/>
        </w:rPr>
        <w:t xml:space="preserve">7, 2021, </w:t>
      </w:r>
      <w:r w:rsidR="00F63BBD">
        <w:rPr>
          <w:rFonts w:ascii="Times New Roman" w:hAnsi="Times New Roman" w:cs="Times New Roman"/>
          <w:sz w:val="26"/>
          <w:szCs w:val="26"/>
        </w:rPr>
        <w:t>the ALJ</w:t>
      </w:r>
      <w:r w:rsidRPr="00877FC4">
        <w:rPr>
          <w:rFonts w:ascii="Times New Roman" w:hAnsi="Times New Roman" w:cs="Times New Roman"/>
          <w:sz w:val="26"/>
          <w:szCs w:val="26"/>
        </w:rPr>
        <w:t xml:space="preserve"> issued a Protective Order consistent with the Motion for Protective Order.  </w:t>
      </w:r>
    </w:p>
    <w:p w14:paraId="54EEAA33"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4D4A89F6" w14:textId="69176C38" w:rsidR="00AD550D" w:rsidRDefault="00236695" w:rsidP="00F63BBD">
      <w:pPr>
        <w:spacing w:after="0" w:line="360" w:lineRule="auto"/>
        <w:ind w:firstLine="1440"/>
        <w:rPr>
          <w:rFonts w:ascii="Times New Roman" w:hAnsi="Times New Roman" w:cs="Times New Roman"/>
          <w:sz w:val="26"/>
          <w:szCs w:val="26"/>
        </w:rPr>
      </w:pPr>
      <w:r w:rsidRPr="00877FC4">
        <w:rPr>
          <w:rFonts w:ascii="Times New Roman" w:hAnsi="Times New Roman" w:cs="Times New Roman"/>
          <w:sz w:val="26"/>
          <w:szCs w:val="26"/>
        </w:rPr>
        <w:lastRenderedPageBreak/>
        <w:t xml:space="preserve">On April 28, 2021, two telephonic public input hearings were held.  </w:t>
      </w:r>
      <w:r w:rsidR="00AC5FBF">
        <w:rPr>
          <w:rFonts w:ascii="Times New Roman" w:hAnsi="Times New Roman" w:cs="Times New Roman"/>
          <w:sz w:val="26"/>
          <w:szCs w:val="26"/>
        </w:rPr>
        <w:t>A total of</w:t>
      </w:r>
      <w:r w:rsidRPr="00877FC4">
        <w:rPr>
          <w:rFonts w:ascii="Times New Roman" w:hAnsi="Times New Roman" w:cs="Times New Roman"/>
          <w:sz w:val="26"/>
          <w:szCs w:val="26"/>
        </w:rPr>
        <w:t xml:space="preserve"> eight witnesses testified at the public input hearings.</w:t>
      </w:r>
      <w:r w:rsidR="00AD550D">
        <w:rPr>
          <w:rFonts w:ascii="Times New Roman" w:hAnsi="Times New Roman" w:cs="Times New Roman"/>
          <w:sz w:val="26"/>
          <w:szCs w:val="26"/>
        </w:rPr>
        <w:t xml:space="preserve">  </w:t>
      </w:r>
      <w:r w:rsidR="00AD550D" w:rsidRPr="00AD550D">
        <w:rPr>
          <w:rFonts w:ascii="Times New Roman" w:hAnsi="Times New Roman" w:cs="Times New Roman"/>
          <w:i/>
          <w:iCs/>
          <w:sz w:val="26"/>
          <w:szCs w:val="26"/>
        </w:rPr>
        <w:t>See</w:t>
      </w:r>
      <w:r w:rsidR="00AD550D">
        <w:rPr>
          <w:rFonts w:ascii="Times New Roman" w:hAnsi="Times New Roman" w:cs="Times New Roman"/>
          <w:sz w:val="26"/>
          <w:szCs w:val="26"/>
        </w:rPr>
        <w:t xml:space="preserve"> R.D. at 45-46 for a discussion of the public input </w:t>
      </w:r>
      <w:r w:rsidR="00D417E9">
        <w:rPr>
          <w:rFonts w:ascii="Times New Roman" w:hAnsi="Times New Roman" w:cs="Times New Roman"/>
          <w:sz w:val="26"/>
          <w:szCs w:val="26"/>
        </w:rPr>
        <w:t xml:space="preserve">hearings witness </w:t>
      </w:r>
      <w:r w:rsidR="00AD550D">
        <w:rPr>
          <w:rFonts w:ascii="Times New Roman" w:hAnsi="Times New Roman" w:cs="Times New Roman"/>
          <w:sz w:val="26"/>
          <w:szCs w:val="26"/>
        </w:rPr>
        <w:t xml:space="preserve">testimony.  </w:t>
      </w:r>
    </w:p>
    <w:p w14:paraId="36AD163C" w14:textId="6A9E12F7" w:rsidR="00236695" w:rsidRPr="00877FC4" w:rsidRDefault="00AD550D" w:rsidP="00F63BBD">
      <w:pPr>
        <w:spacing w:after="0" w:line="360" w:lineRule="auto"/>
        <w:ind w:firstLine="1440"/>
        <w:rPr>
          <w:rFonts w:ascii="Times New Roman" w:hAnsi="Times New Roman" w:cs="Times New Roman"/>
          <w:sz w:val="26"/>
          <w:szCs w:val="26"/>
        </w:rPr>
      </w:pPr>
      <w:r w:rsidRPr="00AD550D">
        <w:rPr>
          <w:rFonts w:ascii="Times New Roman" w:hAnsi="Times New Roman" w:cs="Times New Roman"/>
          <w:sz w:val="26"/>
          <w:szCs w:val="26"/>
        </w:rPr>
        <w:t xml:space="preserve"> </w:t>
      </w:r>
      <w:r w:rsidR="00236695" w:rsidRPr="00877FC4">
        <w:rPr>
          <w:rFonts w:ascii="Times New Roman" w:hAnsi="Times New Roman" w:cs="Times New Roman"/>
          <w:sz w:val="26"/>
          <w:szCs w:val="26"/>
        </w:rPr>
        <w:t xml:space="preserve"> </w:t>
      </w:r>
    </w:p>
    <w:p w14:paraId="3E6CAAA9" w14:textId="262823E9" w:rsidR="00236695"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r w:rsidR="00745980">
        <w:rPr>
          <w:rFonts w:ascii="Times New Roman" w:hAnsi="Times New Roman" w:cs="Times New Roman"/>
          <w:sz w:val="26"/>
          <w:szCs w:val="26"/>
        </w:rPr>
        <w:tab/>
      </w:r>
      <w:r w:rsidR="00745980">
        <w:rPr>
          <w:rFonts w:ascii="Times New Roman" w:hAnsi="Times New Roman" w:cs="Times New Roman"/>
          <w:sz w:val="26"/>
          <w:szCs w:val="26"/>
        </w:rPr>
        <w:tab/>
      </w:r>
      <w:r w:rsidR="008670A4">
        <w:rPr>
          <w:rFonts w:ascii="Times New Roman" w:hAnsi="Times New Roman" w:cs="Times New Roman"/>
          <w:sz w:val="26"/>
          <w:szCs w:val="26"/>
        </w:rPr>
        <w:t xml:space="preserve">On May 3, 2021, </w:t>
      </w:r>
      <w:r w:rsidRPr="00877FC4">
        <w:rPr>
          <w:rFonts w:ascii="Times New Roman" w:hAnsi="Times New Roman" w:cs="Times New Roman"/>
          <w:sz w:val="26"/>
          <w:szCs w:val="26"/>
        </w:rPr>
        <w:t xml:space="preserve">I&amp;E, </w:t>
      </w:r>
      <w:r w:rsidR="008670A4">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OCA, </w:t>
      </w:r>
      <w:r w:rsidR="008670A4">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OSBA, CEO, ChargePoint, RESA/NRG, and Ms. Brace submitted written direct testimony and exhibits. </w:t>
      </w:r>
      <w:r w:rsidR="008670A4">
        <w:rPr>
          <w:rFonts w:ascii="Times New Roman" w:hAnsi="Times New Roman" w:cs="Times New Roman"/>
          <w:sz w:val="26"/>
          <w:szCs w:val="26"/>
        </w:rPr>
        <w:t xml:space="preserve"> </w:t>
      </w:r>
      <w:r w:rsidRPr="00877FC4">
        <w:rPr>
          <w:rFonts w:ascii="Times New Roman" w:hAnsi="Times New Roman" w:cs="Times New Roman"/>
          <w:sz w:val="26"/>
          <w:szCs w:val="26"/>
        </w:rPr>
        <w:t>On May</w:t>
      </w:r>
      <w:r w:rsidR="005A3D58">
        <w:rPr>
          <w:rFonts w:ascii="Times New Roman" w:hAnsi="Times New Roman" w:cs="Times New Roman"/>
          <w:sz w:val="26"/>
          <w:szCs w:val="26"/>
        </w:rPr>
        <w:t> </w:t>
      </w:r>
      <w:r w:rsidRPr="00877FC4">
        <w:rPr>
          <w:rFonts w:ascii="Times New Roman" w:hAnsi="Times New Roman" w:cs="Times New Roman"/>
          <w:sz w:val="26"/>
          <w:szCs w:val="26"/>
        </w:rPr>
        <w:t>27,</w:t>
      </w:r>
      <w:r w:rsidR="005A3D58">
        <w:rPr>
          <w:rFonts w:ascii="Times New Roman" w:hAnsi="Times New Roman" w:cs="Times New Roman"/>
          <w:sz w:val="26"/>
          <w:szCs w:val="26"/>
        </w:rPr>
        <w:t> </w:t>
      </w:r>
      <w:r w:rsidRPr="00877FC4">
        <w:rPr>
          <w:rFonts w:ascii="Times New Roman" w:hAnsi="Times New Roman" w:cs="Times New Roman"/>
          <w:sz w:val="26"/>
          <w:szCs w:val="26"/>
        </w:rPr>
        <w:t xml:space="preserve">2021, UGI Electric, I&amp;E, </w:t>
      </w:r>
      <w:r w:rsidR="008670A4">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OCA, </w:t>
      </w:r>
      <w:r w:rsidR="008670A4">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OSBA, ChargePoint, and RESA/NRG submitted written rebuttal testimony and exhibits. </w:t>
      </w:r>
      <w:r w:rsidR="008670A4">
        <w:rPr>
          <w:rFonts w:ascii="Times New Roman" w:hAnsi="Times New Roman" w:cs="Times New Roman"/>
          <w:sz w:val="26"/>
          <w:szCs w:val="26"/>
        </w:rPr>
        <w:t xml:space="preserve"> </w:t>
      </w:r>
      <w:r w:rsidRPr="00877FC4">
        <w:rPr>
          <w:rFonts w:ascii="Times New Roman" w:hAnsi="Times New Roman" w:cs="Times New Roman"/>
          <w:sz w:val="26"/>
          <w:szCs w:val="26"/>
        </w:rPr>
        <w:t xml:space="preserve">On June 10, 2021, UGI Electric, I&amp;E, </w:t>
      </w:r>
      <w:r w:rsidR="000D6B0F">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OCA, </w:t>
      </w:r>
      <w:r w:rsidR="000D6B0F">
        <w:rPr>
          <w:rFonts w:ascii="Times New Roman" w:hAnsi="Times New Roman" w:cs="Times New Roman"/>
          <w:sz w:val="26"/>
          <w:szCs w:val="26"/>
        </w:rPr>
        <w:t xml:space="preserve">the </w:t>
      </w:r>
      <w:r w:rsidRPr="00877FC4">
        <w:rPr>
          <w:rFonts w:ascii="Times New Roman" w:hAnsi="Times New Roman" w:cs="Times New Roman"/>
          <w:sz w:val="26"/>
          <w:szCs w:val="26"/>
        </w:rPr>
        <w:t xml:space="preserve">OSBA, and RESA/NRG submitted written surrebuttal testimony and exhibits. </w:t>
      </w:r>
      <w:r w:rsidR="00D1159C">
        <w:rPr>
          <w:rFonts w:ascii="Times New Roman" w:hAnsi="Times New Roman" w:cs="Times New Roman"/>
          <w:sz w:val="26"/>
          <w:szCs w:val="26"/>
        </w:rPr>
        <w:t xml:space="preserve"> </w:t>
      </w:r>
      <w:r w:rsidRPr="00877FC4">
        <w:rPr>
          <w:rFonts w:ascii="Times New Roman" w:hAnsi="Times New Roman" w:cs="Times New Roman"/>
          <w:sz w:val="26"/>
          <w:szCs w:val="26"/>
        </w:rPr>
        <w:t xml:space="preserve">On June 14, 2021, UGI Electric submitted written rejoinder testimony and exhibits. </w:t>
      </w:r>
    </w:p>
    <w:p w14:paraId="0F17EB44" w14:textId="77777777" w:rsidR="00D1159C" w:rsidRPr="00877FC4" w:rsidRDefault="00D1159C" w:rsidP="00877FC4">
      <w:pPr>
        <w:spacing w:after="0" w:line="360" w:lineRule="auto"/>
        <w:rPr>
          <w:rFonts w:ascii="Times New Roman" w:hAnsi="Times New Roman" w:cs="Times New Roman"/>
          <w:sz w:val="26"/>
          <w:szCs w:val="26"/>
        </w:rPr>
      </w:pPr>
    </w:p>
    <w:p w14:paraId="69DBDEAC" w14:textId="33C76300"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r w:rsidRPr="00877FC4">
        <w:rPr>
          <w:rFonts w:ascii="Times New Roman" w:hAnsi="Times New Roman" w:cs="Times New Roman"/>
          <w:sz w:val="26"/>
          <w:szCs w:val="26"/>
        </w:rPr>
        <w:tab/>
        <w:t xml:space="preserve"> </w:t>
      </w:r>
      <w:r w:rsidRPr="00877FC4">
        <w:rPr>
          <w:rFonts w:ascii="Times New Roman" w:hAnsi="Times New Roman" w:cs="Times New Roman"/>
          <w:sz w:val="26"/>
          <w:szCs w:val="26"/>
        </w:rPr>
        <w:tab/>
        <w:t xml:space="preserve">Following settlement discussions, UGI Electric notified </w:t>
      </w:r>
      <w:r w:rsidR="007C7038">
        <w:rPr>
          <w:rFonts w:ascii="Times New Roman" w:hAnsi="Times New Roman" w:cs="Times New Roman"/>
          <w:sz w:val="26"/>
          <w:szCs w:val="26"/>
        </w:rPr>
        <w:t xml:space="preserve">the ALJ </w:t>
      </w:r>
      <w:r w:rsidRPr="00877FC4">
        <w:rPr>
          <w:rFonts w:ascii="Times New Roman" w:hAnsi="Times New Roman" w:cs="Times New Roman"/>
          <w:sz w:val="26"/>
          <w:szCs w:val="26"/>
        </w:rPr>
        <w:t>on June</w:t>
      </w:r>
      <w:r w:rsidR="005A3D58">
        <w:rPr>
          <w:rFonts w:ascii="Times New Roman" w:hAnsi="Times New Roman" w:cs="Times New Roman"/>
          <w:sz w:val="26"/>
          <w:szCs w:val="26"/>
        </w:rPr>
        <w:t> </w:t>
      </w:r>
      <w:r w:rsidRPr="00877FC4">
        <w:rPr>
          <w:rFonts w:ascii="Times New Roman" w:hAnsi="Times New Roman" w:cs="Times New Roman"/>
          <w:sz w:val="26"/>
          <w:szCs w:val="26"/>
        </w:rPr>
        <w:t xml:space="preserve">14, 2021, that a settlement in principle was achieved with respect to all issues except for revenue allocation.  The Company requested that the remaining hearing dates be cancelled, all evidence be admitted by a written stipulation to be filed by June 18, 2021, and the Parties provide </w:t>
      </w:r>
      <w:r w:rsidR="00E51563">
        <w:rPr>
          <w:rFonts w:ascii="Times New Roman" w:hAnsi="Times New Roman" w:cs="Times New Roman"/>
          <w:sz w:val="26"/>
          <w:szCs w:val="26"/>
        </w:rPr>
        <w:t>the ALJ</w:t>
      </w:r>
      <w:r w:rsidRPr="00877FC4">
        <w:rPr>
          <w:rFonts w:ascii="Times New Roman" w:hAnsi="Times New Roman" w:cs="Times New Roman"/>
          <w:sz w:val="26"/>
          <w:szCs w:val="26"/>
        </w:rPr>
        <w:t xml:space="preserve"> with a Settlement and Statements in Support on or before July 19, 2021.  By electronic mail dated June 14, 2021, </w:t>
      </w:r>
      <w:r w:rsidR="00E51563">
        <w:rPr>
          <w:rFonts w:ascii="Times New Roman" w:hAnsi="Times New Roman" w:cs="Times New Roman"/>
          <w:sz w:val="26"/>
          <w:szCs w:val="26"/>
        </w:rPr>
        <w:t>the ALJ</w:t>
      </w:r>
      <w:r w:rsidRPr="00877FC4">
        <w:rPr>
          <w:rFonts w:ascii="Times New Roman" w:hAnsi="Times New Roman" w:cs="Times New Roman"/>
          <w:sz w:val="26"/>
          <w:szCs w:val="26"/>
        </w:rPr>
        <w:t xml:space="preserve"> granted the Company’s requests and advised the Parties that the remaining hearing dates would be canceled.  On June 15, 2021, a Notice was issued canceling the hearings scheduled for June</w:t>
      </w:r>
      <w:r w:rsidR="005A3D58">
        <w:rPr>
          <w:rFonts w:ascii="Times New Roman" w:hAnsi="Times New Roman" w:cs="Times New Roman"/>
          <w:sz w:val="26"/>
          <w:szCs w:val="26"/>
        </w:rPr>
        <w:t> </w:t>
      </w:r>
      <w:r w:rsidRPr="00877FC4">
        <w:rPr>
          <w:rFonts w:ascii="Times New Roman" w:hAnsi="Times New Roman" w:cs="Times New Roman"/>
          <w:sz w:val="26"/>
          <w:szCs w:val="26"/>
        </w:rPr>
        <w:t>15</w:t>
      </w:r>
      <w:r w:rsidR="005A3D58">
        <w:rPr>
          <w:rFonts w:ascii="Times New Roman" w:hAnsi="Times New Roman" w:cs="Times New Roman"/>
          <w:sz w:val="26"/>
          <w:szCs w:val="26"/>
        </w:rPr>
        <w:t> </w:t>
      </w:r>
      <w:r w:rsidRPr="00877FC4">
        <w:rPr>
          <w:rFonts w:ascii="Times New Roman" w:hAnsi="Times New Roman" w:cs="Times New Roman"/>
          <w:sz w:val="26"/>
          <w:szCs w:val="26"/>
        </w:rPr>
        <w:t>and</w:t>
      </w:r>
      <w:r w:rsidR="005A3D58">
        <w:rPr>
          <w:rFonts w:ascii="Times New Roman" w:hAnsi="Times New Roman" w:cs="Times New Roman"/>
          <w:sz w:val="26"/>
          <w:szCs w:val="26"/>
        </w:rPr>
        <w:t> </w:t>
      </w:r>
      <w:r w:rsidRPr="00877FC4">
        <w:rPr>
          <w:rFonts w:ascii="Times New Roman" w:hAnsi="Times New Roman" w:cs="Times New Roman"/>
          <w:sz w:val="26"/>
          <w:szCs w:val="26"/>
        </w:rPr>
        <w:t>16</w:t>
      </w:r>
      <w:r w:rsidR="005A3D58">
        <w:rPr>
          <w:rFonts w:ascii="Times New Roman" w:hAnsi="Times New Roman" w:cs="Times New Roman"/>
          <w:sz w:val="26"/>
          <w:szCs w:val="26"/>
        </w:rPr>
        <w:t>, </w:t>
      </w:r>
      <w:r w:rsidRPr="00877FC4">
        <w:rPr>
          <w:rFonts w:ascii="Times New Roman" w:hAnsi="Times New Roman" w:cs="Times New Roman"/>
          <w:sz w:val="26"/>
          <w:szCs w:val="26"/>
        </w:rPr>
        <w:t xml:space="preserve">2021. </w:t>
      </w:r>
    </w:p>
    <w:p w14:paraId="32FA5F0D" w14:textId="77777777" w:rsidR="00236695" w:rsidRPr="00877FC4" w:rsidRDefault="00236695" w:rsidP="00877FC4">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t xml:space="preserve"> </w:t>
      </w:r>
    </w:p>
    <w:p w14:paraId="4A1D4525" w14:textId="6D8AD566" w:rsidR="00236695" w:rsidRPr="00877FC4" w:rsidRDefault="00236695" w:rsidP="00877FC4">
      <w:pPr>
        <w:spacing w:after="0" w:line="360" w:lineRule="auto"/>
        <w:ind w:firstLine="1440"/>
        <w:rPr>
          <w:rFonts w:ascii="Times New Roman" w:hAnsi="Times New Roman" w:cs="Times New Roman"/>
          <w:sz w:val="26"/>
          <w:szCs w:val="26"/>
        </w:rPr>
      </w:pPr>
      <w:r w:rsidRPr="00877FC4">
        <w:rPr>
          <w:rFonts w:ascii="Times New Roman" w:hAnsi="Times New Roman" w:cs="Times New Roman"/>
          <w:sz w:val="26"/>
          <w:szCs w:val="26"/>
        </w:rPr>
        <w:t>On June 18, 2021, the Joint Petitioners filed a Joint Stipulation for Admission of Evidence</w:t>
      </w:r>
      <w:r w:rsidR="00AD06E8">
        <w:rPr>
          <w:rFonts w:ascii="Times New Roman" w:hAnsi="Times New Roman" w:cs="Times New Roman"/>
          <w:sz w:val="26"/>
          <w:szCs w:val="26"/>
        </w:rPr>
        <w:t xml:space="preserve"> (Joint Stipulation</w:t>
      </w:r>
      <w:r w:rsidR="00A86155">
        <w:rPr>
          <w:rFonts w:ascii="Times New Roman" w:hAnsi="Times New Roman" w:cs="Times New Roman"/>
          <w:sz w:val="26"/>
          <w:szCs w:val="26"/>
        </w:rPr>
        <w:t>)</w:t>
      </w:r>
      <w:r w:rsidRPr="00877FC4">
        <w:rPr>
          <w:rFonts w:ascii="Times New Roman" w:hAnsi="Times New Roman" w:cs="Times New Roman"/>
          <w:sz w:val="26"/>
          <w:szCs w:val="26"/>
        </w:rPr>
        <w:t xml:space="preserve">.  In the Joint Stipulation, the Joint Petitioners agreed to the admission into the record of all of the statements and exhibits submitted by the various </w:t>
      </w:r>
      <w:r w:rsidR="00A86155">
        <w:rPr>
          <w:rFonts w:ascii="Times New Roman" w:hAnsi="Times New Roman" w:cs="Times New Roman"/>
          <w:sz w:val="26"/>
          <w:szCs w:val="26"/>
        </w:rPr>
        <w:t>P</w:t>
      </w:r>
      <w:r w:rsidRPr="00877FC4">
        <w:rPr>
          <w:rFonts w:ascii="Times New Roman" w:hAnsi="Times New Roman" w:cs="Times New Roman"/>
          <w:sz w:val="26"/>
          <w:szCs w:val="26"/>
        </w:rPr>
        <w:t>arties during the course of the proceeding.  On June 29, 2021,</w:t>
      </w:r>
      <w:r w:rsidR="00A86155">
        <w:rPr>
          <w:rFonts w:ascii="Times New Roman" w:hAnsi="Times New Roman" w:cs="Times New Roman"/>
          <w:sz w:val="26"/>
          <w:szCs w:val="26"/>
        </w:rPr>
        <w:t xml:space="preserve"> the ALJ</w:t>
      </w:r>
      <w:r w:rsidRPr="00877FC4">
        <w:rPr>
          <w:rFonts w:ascii="Times New Roman" w:hAnsi="Times New Roman" w:cs="Times New Roman"/>
          <w:sz w:val="26"/>
          <w:szCs w:val="26"/>
        </w:rPr>
        <w:t xml:space="preserve"> issued an Order granting the Joint Stipulation.  The various statements and exhibits admitted into the record in this proceeding are identified in </w:t>
      </w:r>
      <w:r w:rsidR="006D3DB3">
        <w:rPr>
          <w:rFonts w:ascii="Times New Roman" w:hAnsi="Times New Roman" w:cs="Times New Roman"/>
          <w:sz w:val="26"/>
          <w:szCs w:val="26"/>
        </w:rPr>
        <w:t>the ALJ’s</w:t>
      </w:r>
      <w:r w:rsidRPr="00877FC4">
        <w:rPr>
          <w:rFonts w:ascii="Times New Roman" w:hAnsi="Times New Roman" w:cs="Times New Roman"/>
          <w:sz w:val="26"/>
          <w:szCs w:val="26"/>
        </w:rPr>
        <w:t xml:space="preserve"> June 29, 2021 Order.  </w:t>
      </w:r>
    </w:p>
    <w:p w14:paraId="2ADB5F76" w14:textId="56DC187A" w:rsidR="00236695" w:rsidRDefault="00236695" w:rsidP="00004E6C">
      <w:pPr>
        <w:spacing w:after="0" w:line="360" w:lineRule="auto"/>
        <w:rPr>
          <w:rFonts w:ascii="Times New Roman" w:hAnsi="Times New Roman" w:cs="Times New Roman"/>
          <w:sz w:val="26"/>
          <w:szCs w:val="26"/>
        </w:rPr>
      </w:pPr>
      <w:r w:rsidRPr="00877FC4">
        <w:rPr>
          <w:rFonts w:ascii="Times New Roman" w:hAnsi="Times New Roman" w:cs="Times New Roman"/>
          <w:sz w:val="26"/>
          <w:szCs w:val="26"/>
        </w:rPr>
        <w:lastRenderedPageBreak/>
        <w:t xml:space="preserve"> </w:t>
      </w:r>
      <w:r w:rsidR="00004E6C">
        <w:rPr>
          <w:rFonts w:ascii="Times New Roman" w:hAnsi="Times New Roman" w:cs="Times New Roman"/>
          <w:sz w:val="26"/>
          <w:szCs w:val="26"/>
        </w:rPr>
        <w:tab/>
      </w:r>
      <w:r w:rsidR="00004E6C">
        <w:rPr>
          <w:rFonts w:ascii="Times New Roman" w:hAnsi="Times New Roman" w:cs="Times New Roman"/>
          <w:sz w:val="26"/>
          <w:szCs w:val="26"/>
        </w:rPr>
        <w:tab/>
      </w:r>
      <w:r w:rsidRPr="00877FC4">
        <w:rPr>
          <w:rFonts w:ascii="Times New Roman" w:hAnsi="Times New Roman" w:cs="Times New Roman"/>
          <w:sz w:val="26"/>
          <w:szCs w:val="26"/>
        </w:rPr>
        <w:t>On July 19, 2021, the Joint Petitioners submitted the Joint Petition.  A deadline of July 26, 2021</w:t>
      </w:r>
      <w:r w:rsidR="00F764FE">
        <w:rPr>
          <w:rFonts w:ascii="Times New Roman" w:hAnsi="Times New Roman" w:cs="Times New Roman"/>
          <w:sz w:val="26"/>
          <w:szCs w:val="26"/>
        </w:rPr>
        <w:t>,</w:t>
      </w:r>
      <w:r w:rsidRPr="00877FC4">
        <w:rPr>
          <w:rFonts w:ascii="Times New Roman" w:hAnsi="Times New Roman" w:cs="Times New Roman"/>
          <w:sz w:val="26"/>
          <w:szCs w:val="26"/>
        </w:rPr>
        <w:t xml:space="preserve"> was established for filing comments to the Joint Petition.  </w:t>
      </w:r>
      <w:r w:rsidR="00F764FE" w:rsidRPr="00877FC4">
        <w:rPr>
          <w:rFonts w:ascii="Times New Roman" w:hAnsi="Times New Roman" w:cs="Times New Roman"/>
          <w:sz w:val="26"/>
          <w:szCs w:val="26"/>
        </w:rPr>
        <w:t>Lisa Infantino, Brandi Brace</w:t>
      </w:r>
      <w:r w:rsidR="00F764FE">
        <w:rPr>
          <w:rFonts w:ascii="Times New Roman" w:hAnsi="Times New Roman" w:cs="Times New Roman"/>
          <w:sz w:val="26"/>
          <w:szCs w:val="26"/>
        </w:rPr>
        <w:t>,</w:t>
      </w:r>
      <w:r w:rsidR="00D02CA8">
        <w:rPr>
          <w:rFonts w:ascii="Times New Roman" w:hAnsi="Times New Roman" w:cs="Times New Roman"/>
          <w:sz w:val="26"/>
          <w:szCs w:val="26"/>
        </w:rPr>
        <w:t xml:space="preserve"> </w:t>
      </w:r>
      <w:r w:rsidR="00F764FE" w:rsidRPr="00877FC4">
        <w:rPr>
          <w:rFonts w:ascii="Times New Roman" w:hAnsi="Times New Roman" w:cs="Times New Roman"/>
          <w:sz w:val="26"/>
          <w:szCs w:val="26"/>
        </w:rPr>
        <w:t>and Lindsey Yeider Wosik</w:t>
      </w:r>
      <w:r w:rsidR="00F764FE">
        <w:rPr>
          <w:rFonts w:ascii="Times New Roman" w:hAnsi="Times New Roman" w:cs="Times New Roman"/>
          <w:sz w:val="26"/>
          <w:szCs w:val="26"/>
        </w:rPr>
        <w:t xml:space="preserve"> filed </w:t>
      </w:r>
      <w:r w:rsidRPr="00877FC4">
        <w:rPr>
          <w:rFonts w:ascii="Times New Roman" w:hAnsi="Times New Roman" w:cs="Times New Roman"/>
          <w:sz w:val="26"/>
          <w:szCs w:val="26"/>
        </w:rPr>
        <w:t>Comments opposing the Joint Petition</w:t>
      </w:r>
      <w:r w:rsidR="00D02CA8">
        <w:rPr>
          <w:rFonts w:ascii="Times New Roman" w:hAnsi="Times New Roman" w:cs="Times New Roman"/>
          <w:sz w:val="26"/>
          <w:szCs w:val="26"/>
        </w:rPr>
        <w:t>, which the ALJ admitted</w:t>
      </w:r>
      <w:r w:rsidRPr="00877FC4">
        <w:rPr>
          <w:rFonts w:ascii="Times New Roman" w:hAnsi="Times New Roman" w:cs="Times New Roman"/>
          <w:sz w:val="26"/>
          <w:szCs w:val="26"/>
        </w:rPr>
        <w:t xml:space="preserve"> into the evidentiary record.  </w:t>
      </w:r>
      <w:r w:rsidR="00004E6C" w:rsidRPr="00004E6C">
        <w:rPr>
          <w:rFonts w:ascii="Times New Roman" w:hAnsi="Times New Roman" w:cs="Times New Roman"/>
          <w:i/>
          <w:iCs/>
          <w:sz w:val="26"/>
          <w:szCs w:val="26"/>
        </w:rPr>
        <w:t>See</w:t>
      </w:r>
      <w:r w:rsidR="00004E6C">
        <w:rPr>
          <w:rFonts w:ascii="Times New Roman" w:hAnsi="Times New Roman" w:cs="Times New Roman"/>
          <w:sz w:val="26"/>
          <w:szCs w:val="26"/>
        </w:rPr>
        <w:t xml:space="preserve"> R.D. at 47-48 for a discussion of the comments to the Joint Petition.  </w:t>
      </w:r>
      <w:r w:rsidRPr="00877FC4">
        <w:rPr>
          <w:rFonts w:ascii="Times New Roman" w:hAnsi="Times New Roman" w:cs="Times New Roman"/>
          <w:sz w:val="26"/>
          <w:szCs w:val="26"/>
        </w:rPr>
        <w:t xml:space="preserve">The record in this proceeding was closed on July 27, 2021, upon expiration of the deadline for the filing of comments to the Joint Petition.      </w:t>
      </w:r>
    </w:p>
    <w:p w14:paraId="2C4CFEBB" w14:textId="20D51D15" w:rsidR="00273B84" w:rsidRDefault="00273B84" w:rsidP="00933680">
      <w:pPr>
        <w:spacing w:after="0" w:line="360" w:lineRule="auto"/>
        <w:ind w:firstLine="1440"/>
        <w:rPr>
          <w:rFonts w:ascii="Times New Roman" w:hAnsi="Times New Roman" w:cs="Times New Roman"/>
          <w:sz w:val="26"/>
          <w:szCs w:val="26"/>
        </w:rPr>
      </w:pPr>
    </w:p>
    <w:p w14:paraId="2AC97D9B" w14:textId="4749DEE7" w:rsidR="00273B84" w:rsidRPr="00877FC4" w:rsidRDefault="00686EAA" w:rsidP="0093368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the Recommended Decision, served on August 27, 2021, </w:t>
      </w:r>
      <w:r w:rsidR="00293C0B">
        <w:rPr>
          <w:rFonts w:ascii="Times New Roman" w:hAnsi="Times New Roman" w:cs="Times New Roman"/>
          <w:sz w:val="26"/>
          <w:szCs w:val="26"/>
        </w:rPr>
        <w:t>ALJ H</w:t>
      </w:r>
      <w:r w:rsidR="007B1884">
        <w:rPr>
          <w:rFonts w:ascii="Times New Roman" w:hAnsi="Times New Roman" w:cs="Times New Roman"/>
          <w:sz w:val="26"/>
          <w:szCs w:val="26"/>
        </w:rPr>
        <w:t>aas recommended approval of the Joint Petition</w:t>
      </w:r>
      <w:r w:rsidR="00DE759C">
        <w:rPr>
          <w:rFonts w:ascii="Times New Roman" w:hAnsi="Times New Roman" w:cs="Times New Roman"/>
          <w:sz w:val="26"/>
          <w:szCs w:val="26"/>
        </w:rPr>
        <w:t xml:space="preserve">, finding that it is in the public interest and </w:t>
      </w:r>
      <w:r w:rsidR="003C6C8E">
        <w:rPr>
          <w:rFonts w:ascii="Times New Roman" w:hAnsi="Times New Roman" w:cs="Times New Roman"/>
          <w:sz w:val="26"/>
          <w:szCs w:val="26"/>
        </w:rPr>
        <w:t>supported by substantial evidence</w:t>
      </w:r>
      <w:r w:rsidR="007B1884">
        <w:rPr>
          <w:rFonts w:ascii="Times New Roman" w:hAnsi="Times New Roman" w:cs="Times New Roman"/>
          <w:sz w:val="26"/>
          <w:szCs w:val="26"/>
        </w:rPr>
        <w:t>.</w:t>
      </w:r>
      <w:r w:rsidR="00293C0B">
        <w:rPr>
          <w:rFonts w:ascii="Times New Roman" w:hAnsi="Times New Roman" w:cs="Times New Roman"/>
          <w:sz w:val="26"/>
          <w:szCs w:val="26"/>
        </w:rPr>
        <w:t xml:space="preserve"> </w:t>
      </w:r>
      <w:r w:rsidR="00EA1581">
        <w:rPr>
          <w:rFonts w:ascii="Times New Roman" w:hAnsi="Times New Roman" w:cs="Times New Roman"/>
          <w:sz w:val="26"/>
          <w:szCs w:val="26"/>
        </w:rPr>
        <w:t xml:space="preserve"> As previously noted, </w:t>
      </w:r>
      <w:r w:rsidR="00EA1581">
        <w:rPr>
          <w:rFonts w:ascii="Times New Roman" w:eastAsia="Times New Roman" w:hAnsi="Times New Roman" w:cs="Times New Roman"/>
          <w:sz w:val="26"/>
          <w:szCs w:val="26"/>
        </w:rPr>
        <w:t xml:space="preserve">Brandi Brace </w:t>
      </w:r>
      <w:r w:rsidR="00051C34">
        <w:rPr>
          <w:rFonts w:ascii="Times New Roman" w:eastAsia="Times New Roman" w:hAnsi="Times New Roman" w:cs="Times New Roman"/>
          <w:sz w:val="26"/>
          <w:szCs w:val="26"/>
        </w:rPr>
        <w:t xml:space="preserve">filed Exceptions to the Recommended Decision on </w:t>
      </w:r>
      <w:r w:rsidR="00EA1581">
        <w:rPr>
          <w:rFonts w:ascii="Times New Roman" w:eastAsia="Times New Roman" w:hAnsi="Times New Roman" w:cs="Times New Roman"/>
          <w:sz w:val="26"/>
          <w:szCs w:val="26"/>
        </w:rPr>
        <w:t>September 14, 2021</w:t>
      </w:r>
      <w:r w:rsidR="00051C34">
        <w:rPr>
          <w:rFonts w:ascii="Times New Roman" w:eastAsia="Times New Roman" w:hAnsi="Times New Roman" w:cs="Times New Roman"/>
          <w:sz w:val="26"/>
          <w:szCs w:val="26"/>
        </w:rPr>
        <w:t xml:space="preserve">, and UGI Electric and I&amp;E filed Responses to </w:t>
      </w:r>
      <w:r w:rsidR="005E60C4">
        <w:rPr>
          <w:rFonts w:ascii="Times New Roman" w:eastAsia="Times New Roman" w:hAnsi="Times New Roman" w:cs="Times New Roman"/>
          <w:sz w:val="26"/>
          <w:szCs w:val="26"/>
        </w:rPr>
        <w:t xml:space="preserve">Exceptions on September 16, 2021.  </w:t>
      </w:r>
    </w:p>
    <w:p w14:paraId="53F25328" w14:textId="77777777" w:rsidR="002B1C9F" w:rsidRPr="00496081" w:rsidRDefault="002B1C9F" w:rsidP="00496081">
      <w:pPr>
        <w:pStyle w:val="ListParagraph"/>
        <w:keepNext/>
        <w:keepLines/>
        <w:spacing w:line="360" w:lineRule="auto"/>
        <w:ind w:left="0"/>
        <w:contextualSpacing/>
        <w:jc w:val="center"/>
        <w:rPr>
          <w:sz w:val="26"/>
          <w:szCs w:val="26"/>
          <w:u w:val="single"/>
        </w:rPr>
      </w:pPr>
    </w:p>
    <w:p w14:paraId="32C74460" w14:textId="27795780" w:rsidR="009E1F23" w:rsidRPr="00496081" w:rsidRDefault="009E1F23" w:rsidP="00496081">
      <w:pPr>
        <w:keepNext/>
        <w:keepLines/>
        <w:spacing w:line="36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II.</w:t>
      </w:r>
      <w:r w:rsidRPr="00496081">
        <w:rPr>
          <w:rFonts w:ascii="Times New Roman" w:eastAsia="Times New Roman" w:hAnsi="Times New Roman" w:cs="Times New Roman"/>
          <w:b/>
          <w:sz w:val="26"/>
          <w:szCs w:val="26"/>
        </w:rPr>
        <w:tab/>
      </w:r>
      <w:r w:rsidR="00604CDD">
        <w:rPr>
          <w:rFonts w:ascii="Times New Roman" w:eastAsia="Times New Roman" w:hAnsi="Times New Roman" w:cs="Times New Roman"/>
          <w:b/>
          <w:sz w:val="26"/>
          <w:szCs w:val="26"/>
        </w:rPr>
        <w:t>Background</w:t>
      </w:r>
    </w:p>
    <w:p w14:paraId="2196D6F1" w14:textId="77777777" w:rsidR="009E1F23" w:rsidRPr="00496081" w:rsidRDefault="009E1F23" w:rsidP="00496081">
      <w:pPr>
        <w:keepNext/>
        <w:keepLines/>
        <w:spacing w:line="360" w:lineRule="auto"/>
        <w:ind w:firstLine="1440"/>
        <w:contextualSpacing/>
        <w:rPr>
          <w:rFonts w:ascii="Times New Roman" w:eastAsia="Times New Roman" w:hAnsi="Times New Roman" w:cs="Times New Roman"/>
          <w:sz w:val="26"/>
          <w:szCs w:val="26"/>
        </w:rPr>
      </w:pPr>
    </w:p>
    <w:p w14:paraId="32C09AA4" w14:textId="72F784A2" w:rsidR="00BF596E" w:rsidRDefault="007E32DB" w:rsidP="00BF6C77">
      <w:pPr>
        <w:spacing w:line="360" w:lineRule="auto"/>
        <w:ind w:firstLine="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UGI Electric</w:t>
      </w:r>
      <w:r w:rsidR="00B727D5">
        <w:rPr>
          <w:rFonts w:ascii="Times New Roman" w:eastAsia="Times New Roman" w:hAnsi="Times New Roman" w:cs="Times New Roman"/>
          <w:sz w:val="26"/>
          <w:szCs w:val="26"/>
        </w:rPr>
        <w:t xml:space="preserve">’s operations are </w:t>
      </w:r>
      <w:r w:rsidR="00FD4ED5">
        <w:rPr>
          <w:rFonts w:ascii="Times New Roman" w:eastAsia="Times New Roman" w:hAnsi="Times New Roman" w:cs="Times New Roman"/>
          <w:sz w:val="26"/>
          <w:szCs w:val="26"/>
        </w:rPr>
        <w:t xml:space="preserve">headquartered in Wilkes-Barre, Pennsylvania. </w:t>
      </w:r>
      <w:r>
        <w:rPr>
          <w:rFonts w:ascii="Times New Roman" w:eastAsia="Times New Roman" w:hAnsi="Times New Roman" w:cs="Times New Roman"/>
          <w:sz w:val="26"/>
          <w:szCs w:val="26"/>
        </w:rPr>
        <w:t xml:space="preserve"> </w:t>
      </w:r>
      <w:r w:rsidR="002137D5">
        <w:rPr>
          <w:rFonts w:ascii="Times New Roman" w:eastAsia="Times New Roman" w:hAnsi="Times New Roman" w:cs="Times New Roman"/>
          <w:sz w:val="26"/>
          <w:szCs w:val="26"/>
        </w:rPr>
        <w:t xml:space="preserve">UGI Electric </w:t>
      </w:r>
      <w:r w:rsidR="008D544A">
        <w:rPr>
          <w:rFonts w:ascii="Times New Roman" w:eastAsia="Times New Roman" w:hAnsi="Times New Roman" w:cs="Times New Roman"/>
          <w:sz w:val="26"/>
          <w:szCs w:val="26"/>
        </w:rPr>
        <w:t xml:space="preserve">provides electric distribution service to residential, commercial, and </w:t>
      </w:r>
      <w:r w:rsidR="00D11B44">
        <w:rPr>
          <w:rFonts w:ascii="Times New Roman" w:eastAsia="Times New Roman" w:hAnsi="Times New Roman" w:cs="Times New Roman"/>
          <w:sz w:val="26"/>
          <w:szCs w:val="26"/>
        </w:rPr>
        <w:t>industrial electric customers in Luzerne</w:t>
      </w:r>
      <w:r w:rsidR="00491A4B">
        <w:rPr>
          <w:rFonts w:ascii="Times New Roman" w:eastAsia="Times New Roman" w:hAnsi="Times New Roman" w:cs="Times New Roman"/>
          <w:sz w:val="26"/>
          <w:szCs w:val="26"/>
        </w:rPr>
        <w:t xml:space="preserve"> and Wyoming Counties and </w:t>
      </w:r>
      <w:r w:rsidR="00713868">
        <w:rPr>
          <w:rFonts w:ascii="Times New Roman" w:eastAsia="Times New Roman" w:hAnsi="Times New Roman" w:cs="Times New Roman"/>
          <w:sz w:val="26"/>
          <w:szCs w:val="26"/>
        </w:rPr>
        <w:t xml:space="preserve">thirty-five municipalities.  </w:t>
      </w:r>
      <w:r w:rsidR="00983A5B" w:rsidRPr="00496081">
        <w:rPr>
          <w:rFonts w:ascii="Times New Roman" w:eastAsia="Times New Roman" w:hAnsi="Times New Roman" w:cs="Times New Roman"/>
          <w:sz w:val="26"/>
          <w:szCs w:val="26"/>
        </w:rPr>
        <w:t xml:space="preserve">As of </w:t>
      </w:r>
      <w:r w:rsidR="005C1B84">
        <w:rPr>
          <w:rFonts w:ascii="Times New Roman" w:eastAsia="Times New Roman" w:hAnsi="Times New Roman" w:cs="Times New Roman"/>
          <w:sz w:val="26"/>
          <w:szCs w:val="26"/>
        </w:rPr>
        <w:t>September</w:t>
      </w:r>
      <w:r w:rsidR="00983A5B" w:rsidRPr="00496081">
        <w:rPr>
          <w:rFonts w:ascii="Times New Roman" w:eastAsia="Times New Roman" w:hAnsi="Times New Roman" w:cs="Times New Roman"/>
          <w:sz w:val="26"/>
          <w:szCs w:val="26"/>
        </w:rPr>
        <w:t xml:space="preserve"> 30, 20</w:t>
      </w:r>
      <w:r w:rsidR="00C37F9C">
        <w:rPr>
          <w:rFonts w:ascii="Times New Roman" w:eastAsia="Times New Roman" w:hAnsi="Times New Roman" w:cs="Times New Roman"/>
          <w:sz w:val="26"/>
          <w:szCs w:val="26"/>
        </w:rPr>
        <w:t>22</w:t>
      </w:r>
      <w:r w:rsidR="00983A5B" w:rsidRPr="00496081">
        <w:rPr>
          <w:rFonts w:ascii="Times New Roman" w:eastAsia="Times New Roman" w:hAnsi="Times New Roman" w:cs="Times New Roman"/>
          <w:sz w:val="26"/>
          <w:szCs w:val="26"/>
        </w:rPr>
        <w:t xml:space="preserve">, </w:t>
      </w:r>
      <w:r w:rsidR="00C37F9C">
        <w:rPr>
          <w:rFonts w:ascii="Times New Roman" w:eastAsia="Times New Roman" w:hAnsi="Times New Roman" w:cs="Times New Roman"/>
          <w:sz w:val="26"/>
          <w:szCs w:val="26"/>
        </w:rPr>
        <w:t xml:space="preserve">UGI Electric </w:t>
      </w:r>
      <w:r w:rsidR="00983A5B" w:rsidRPr="00496081">
        <w:rPr>
          <w:rFonts w:ascii="Times New Roman" w:eastAsia="Times New Roman" w:hAnsi="Times New Roman" w:cs="Times New Roman"/>
          <w:sz w:val="26"/>
          <w:szCs w:val="26"/>
        </w:rPr>
        <w:t xml:space="preserve">served a total of </w:t>
      </w:r>
      <w:r w:rsidR="00DF71B5">
        <w:rPr>
          <w:rFonts w:ascii="Times New Roman" w:eastAsia="Times New Roman" w:hAnsi="Times New Roman" w:cs="Times New Roman"/>
          <w:sz w:val="26"/>
          <w:szCs w:val="26"/>
        </w:rPr>
        <w:t>6</w:t>
      </w:r>
      <w:r w:rsidR="00BF596E" w:rsidRPr="00496081">
        <w:rPr>
          <w:rFonts w:ascii="Times New Roman" w:eastAsia="Times New Roman" w:hAnsi="Times New Roman" w:cs="Times New Roman"/>
          <w:sz w:val="26"/>
          <w:szCs w:val="26"/>
        </w:rPr>
        <w:t>3</w:t>
      </w:r>
      <w:r w:rsidR="00DF71B5">
        <w:rPr>
          <w:rFonts w:ascii="Times New Roman" w:eastAsia="Times New Roman" w:hAnsi="Times New Roman" w:cs="Times New Roman"/>
          <w:sz w:val="26"/>
          <w:szCs w:val="26"/>
        </w:rPr>
        <w:t>,</w:t>
      </w:r>
      <w:r w:rsidR="007762FB">
        <w:rPr>
          <w:rFonts w:ascii="Times New Roman" w:eastAsia="Times New Roman" w:hAnsi="Times New Roman" w:cs="Times New Roman"/>
          <w:sz w:val="26"/>
          <w:szCs w:val="26"/>
        </w:rPr>
        <w:t>072</w:t>
      </w:r>
      <w:r w:rsidR="00BF596E" w:rsidRPr="00496081">
        <w:rPr>
          <w:rFonts w:ascii="Times New Roman" w:eastAsia="Times New Roman" w:hAnsi="Times New Roman" w:cs="Times New Roman"/>
          <w:sz w:val="26"/>
          <w:szCs w:val="26"/>
        </w:rPr>
        <w:t xml:space="preserve"> customers.  </w:t>
      </w:r>
      <w:r w:rsidR="00007A87">
        <w:rPr>
          <w:rFonts w:ascii="Times New Roman" w:eastAsia="Times New Roman" w:hAnsi="Times New Roman" w:cs="Times New Roman"/>
          <w:sz w:val="26"/>
          <w:szCs w:val="26"/>
        </w:rPr>
        <w:t xml:space="preserve">UGI Electric Exh. F. </w:t>
      </w:r>
    </w:p>
    <w:p w14:paraId="75D3C10A" w14:textId="77777777" w:rsidR="00CE408A" w:rsidRDefault="00CE408A" w:rsidP="00BF6C77">
      <w:pPr>
        <w:spacing w:line="360" w:lineRule="auto"/>
        <w:ind w:firstLine="1440"/>
        <w:contextualSpacing/>
        <w:rPr>
          <w:rFonts w:ascii="Times New Roman" w:eastAsia="Times New Roman" w:hAnsi="Times New Roman" w:cs="Times New Roman"/>
          <w:sz w:val="26"/>
          <w:szCs w:val="26"/>
        </w:rPr>
      </w:pPr>
    </w:p>
    <w:p w14:paraId="024ADC2E" w14:textId="3D3075A6" w:rsidR="00CE408A" w:rsidRDefault="00CE408A" w:rsidP="005A3D58">
      <w:pPr>
        <w:spacing w:after="0" w:line="360" w:lineRule="auto"/>
        <w:ind w:firstLine="1440"/>
        <w:rPr>
          <w:rFonts w:ascii="Times New Roman" w:hAnsi="Times New Roman" w:cs="Times New Roman"/>
          <w:sz w:val="26"/>
          <w:szCs w:val="26"/>
        </w:rPr>
      </w:pPr>
      <w:r w:rsidRPr="00CE408A">
        <w:rPr>
          <w:rFonts w:ascii="Times New Roman" w:hAnsi="Times New Roman" w:cs="Times New Roman"/>
          <w:sz w:val="26"/>
          <w:szCs w:val="26"/>
        </w:rPr>
        <w:t xml:space="preserve">In its original filing, UGI Electric proposed rates designed to result in an increase in annual distribution operating revenues of approximately $8.7 million, an increase of approximately 10% over existing rates.  If approved, the total average monthly bill of a residential customer using 1,000 kWh per month would have increased from $110.18 to $123.83.  </w:t>
      </w:r>
      <w:r w:rsidR="007E0C8B">
        <w:rPr>
          <w:rFonts w:ascii="Times New Roman" w:hAnsi="Times New Roman" w:cs="Times New Roman"/>
          <w:sz w:val="26"/>
          <w:szCs w:val="26"/>
        </w:rPr>
        <w:t xml:space="preserve">UGI Electric Statement of Reasons.  </w:t>
      </w:r>
      <w:r w:rsidRPr="00CE408A">
        <w:rPr>
          <w:rFonts w:ascii="Times New Roman" w:hAnsi="Times New Roman" w:cs="Times New Roman"/>
          <w:sz w:val="26"/>
          <w:szCs w:val="26"/>
        </w:rPr>
        <w:t xml:space="preserve">Under the </w:t>
      </w:r>
      <w:r w:rsidR="00974A5B">
        <w:rPr>
          <w:rFonts w:ascii="Times New Roman" w:hAnsi="Times New Roman" w:cs="Times New Roman"/>
          <w:sz w:val="26"/>
          <w:szCs w:val="26"/>
        </w:rPr>
        <w:t>S</w:t>
      </w:r>
      <w:r w:rsidRPr="00CE408A">
        <w:rPr>
          <w:rFonts w:ascii="Times New Roman" w:hAnsi="Times New Roman" w:cs="Times New Roman"/>
          <w:sz w:val="26"/>
          <w:szCs w:val="26"/>
        </w:rPr>
        <w:t xml:space="preserve">ettlement, the increase in UGI Electric’s rates will result in additional annual distribution operating revenues of approximately $6.15 million, an increase of approximately 7.1% over </w:t>
      </w:r>
      <w:r w:rsidRPr="00CE408A">
        <w:rPr>
          <w:rFonts w:ascii="Times New Roman" w:hAnsi="Times New Roman" w:cs="Times New Roman"/>
          <w:sz w:val="26"/>
          <w:szCs w:val="26"/>
        </w:rPr>
        <w:lastRenderedPageBreak/>
        <w:t>existing rates.  If the Commission approves the settlement without modification, the total average monthly bill of a residential customer using 1,000 kWh per month would increase from $110.18 to $119.69.</w:t>
      </w:r>
      <w:r w:rsidR="00D93E79">
        <w:rPr>
          <w:rFonts w:ascii="Times New Roman" w:hAnsi="Times New Roman" w:cs="Times New Roman"/>
          <w:sz w:val="26"/>
          <w:szCs w:val="26"/>
        </w:rPr>
        <w:t xml:space="preserve">  Joint Petition, Appendices A and B.  </w:t>
      </w:r>
      <w:r w:rsidRPr="00CE408A">
        <w:rPr>
          <w:rFonts w:ascii="Times New Roman" w:hAnsi="Times New Roman" w:cs="Times New Roman"/>
          <w:sz w:val="26"/>
          <w:szCs w:val="26"/>
        </w:rPr>
        <w:t xml:space="preserve"> </w:t>
      </w:r>
    </w:p>
    <w:p w14:paraId="071E4556" w14:textId="77777777" w:rsidR="005A3D58" w:rsidRDefault="005A3D58" w:rsidP="005A3D58">
      <w:pPr>
        <w:spacing w:after="0" w:line="360" w:lineRule="auto"/>
        <w:ind w:firstLine="1440"/>
        <w:rPr>
          <w:rFonts w:ascii="Times New Roman" w:hAnsi="Times New Roman" w:cs="Times New Roman"/>
          <w:sz w:val="26"/>
          <w:szCs w:val="26"/>
        </w:rPr>
      </w:pPr>
    </w:p>
    <w:p w14:paraId="7678216B" w14:textId="77777777" w:rsidR="009E1F23" w:rsidRPr="00496081" w:rsidRDefault="009E1F23" w:rsidP="005A3D58">
      <w:pPr>
        <w:keepNext/>
        <w:keepLines/>
        <w:spacing w:after="0" w:line="36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III.</w:t>
      </w:r>
      <w:r w:rsidRPr="00496081">
        <w:rPr>
          <w:rFonts w:ascii="Times New Roman" w:eastAsia="Times New Roman" w:hAnsi="Times New Roman" w:cs="Times New Roman"/>
          <w:b/>
          <w:sz w:val="26"/>
          <w:szCs w:val="26"/>
        </w:rPr>
        <w:tab/>
        <w:t>Discussion</w:t>
      </w:r>
    </w:p>
    <w:p w14:paraId="79A70E2A" w14:textId="77777777" w:rsidR="009E1F23" w:rsidRPr="00496081" w:rsidRDefault="009E1F23" w:rsidP="005A3D58">
      <w:pPr>
        <w:keepNext/>
        <w:keepLines/>
        <w:spacing w:after="0" w:line="360" w:lineRule="auto"/>
        <w:contextualSpacing/>
        <w:rPr>
          <w:rFonts w:ascii="Times New Roman" w:eastAsia="Times New Roman" w:hAnsi="Times New Roman" w:cs="Times New Roman"/>
          <w:sz w:val="26"/>
          <w:szCs w:val="26"/>
        </w:rPr>
      </w:pPr>
    </w:p>
    <w:p w14:paraId="13ED681C" w14:textId="5BBECB5F" w:rsidR="007347E4" w:rsidRDefault="007347E4" w:rsidP="005A3D58">
      <w:pPr>
        <w:spacing w:after="0" w:line="360" w:lineRule="auto"/>
        <w:ind w:firstLine="1440"/>
        <w:rPr>
          <w:rFonts w:ascii="Times New Roman" w:eastAsia="Times New Roman" w:hAnsi="Times New Roman" w:cs="Times New Roman"/>
          <w:sz w:val="26"/>
          <w:szCs w:val="26"/>
        </w:rPr>
      </w:pPr>
      <w:r w:rsidRPr="007347E4">
        <w:rPr>
          <w:rFonts w:ascii="Times New Roman" w:eastAsia="Times New Roman" w:hAnsi="Times New Roman" w:cs="Times New Roman"/>
          <w:sz w:val="26"/>
          <w:szCs w:val="26"/>
        </w:rPr>
        <w:t>As a preliminary matter, we note that the ALJ reached t</w:t>
      </w:r>
      <w:r w:rsidR="00C1416C">
        <w:rPr>
          <w:rFonts w:ascii="Times New Roman" w:eastAsia="Times New Roman" w:hAnsi="Times New Roman" w:cs="Times New Roman"/>
          <w:sz w:val="26"/>
          <w:szCs w:val="26"/>
        </w:rPr>
        <w:t>welve</w:t>
      </w:r>
      <w:r w:rsidRPr="007347E4">
        <w:rPr>
          <w:rFonts w:ascii="Times New Roman" w:eastAsia="Times New Roman" w:hAnsi="Times New Roman" w:cs="Times New Roman"/>
          <w:sz w:val="26"/>
          <w:szCs w:val="26"/>
        </w:rPr>
        <w:t xml:space="preserve"> Conclusions of Law.  R.D. at </w:t>
      </w:r>
      <w:r w:rsidR="00C1416C">
        <w:rPr>
          <w:rFonts w:ascii="Times New Roman" w:eastAsia="Times New Roman" w:hAnsi="Times New Roman" w:cs="Times New Roman"/>
          <w:sz w:val="26"/>
          <w:szCs w:val="26"/>
        </w:rPr>
        <w:t>47-48</w:t>
      </w:r>
      <w:r w:rsidRPr="007347E4">
        <w:rPr>
          <w:rFonts w:ascii="Times New Roman" w:eastAsia="Times New Roman" w:hAnsi="Times New Roman" w:cs="Times New Roman"/>
          <w:sz w:val="26"/>
          <w:szCs w:val="26"/>
        </w:rPr>
        <w:t>.  We will adopt the Conclusions of Law unless they are overruled expressly or by necessary implication.</w:t>
      </w:r>
    </w:p>
    <w:p w14:paraId="251BE678" w14:textId="77777777" w:rsidR="007347E4" w:rsidRPr="007347E4" w:rsidRDefault="007347E4" w:rsidP="007347E4">
      <w:pPr>
        <w:spacing w:after="0" w:line="360" w:lineRule="auto"/>
        <w:ind w:firstLine="1440"/>
        <w:rPr>
          <w:rFonts w:ascii="Times New Roman" w:eastAsia="Times New Roman" w:hAnsi="Times New Roman" w:cs="Times New Roman"/>
          <w:sz w:val="26"/>
          <w:szCs w:val="26"/>
        </w:rPr>
      </w:pPr>
    </w:p>
    <w:p w14:paraId="15BFC494" w14:textId="77777777" w:rsidR="007347E4" w:rsidRPr="007347E4" w:rsidRDefault="007347E4" w:rsidP="007347E4">
      <w:pPr>
        <w:spacing w:after="0" w:line="360" w:lineRule="auto"/>
        <w:ind w:firstLine="1440"/>
        <w:rPr>
          <w:rFonts w:ascii="Times New Roman" w:eastAsia="Times New Roman" w:hAnsi="Times New Roman" w:cs="Times New Roman"/>
          <w:sz w:val="26"/>
          <w:szCs w:val="26"/>
        </w:rPr>
      </w:pPr>
      <w:r w:rsidRPr="007347E4">
        <w:rPr>
          <w:rFonts w:ascii="Times New Roman" w:eastAsia="Times New Roman" w:hAnsi="Times New Roman" w:cs="Times New Roman"/>
          <w:sz w:val="26"/>
          <w:szCs w:val="26"/>
        </w:rPr>
        <w:t xml:space="preserve">Additionally, as we proceed in our review of the various positions espoused in this proceeding, we are not required to consider expressly or at great length each and every contention raised by a party to our proceedings.  </w:t>
      </w:r>
      <w:r w:rsidRPr="007347E4">
        <w:rPr>
          <w:rFonts w:ascii="Times New Roman" w:eastAsia="Times New Roman" w:hAnsi="Times New Roman" w:cs="Times New Roman"/>
          <w:i/>
          <w:sz w:val="26"/>
          <w:szCs w:val="26"/>
        </w:rPr>
        <w:t>University of Pennsylvania</w:t>
      </w:r>
      <w:r w:rsidRPr="007347E4">
        <w:rPr>
          <w:rFonts w:ascii="Times New Roman" w:eastAsia="Times New Roman" w:hAnsi="Times New Roman" w:cs="Times New Roman"/>
          <w:sz w:val="26"/>
          <w:szCs w:val="26"/>
        </w:rPr>
        <w:t xml:space="preserve"> </w:t>
      </w:r>
      <w:r w:rsidRPr="007347E4">
        <w:rPr>
          <w:rFonts w:ascii="Times New Roman" w:eastAsia="Times New Roman" w:hAnsi="Times New Roman" w:cs="Times New Roman"/>
          <w:i/>
          <w:sz w:val="26"/>
          <w:szCs w:val="26"/>
        </w:rPr>
        <w:t>v. Pa. PUC</w:t>
      </w:r>
      <w:r w:rsidRPr="007347E4">
        <w:rPr>
          <w:rFonts w:ascii="Times New Roman" w:eastAsia="Times New Roman" w:hAnsi="Times New Roman" w:cs="Times New Roman"/>
          <w:sz w:val="26"/>
          <w:szCs w:val="26"/>
        </w:rPr>
        <w:t xml:space="preserve">, 485 A.2d 1217, 1222 (Pa. Cmwlth. 1984).  Any exception or argument that is not specifically addressed herein shall be deemed to have been duly considered and denied without further discussion. </w:t>
      </w:r>
    </w:p>
    <w:p w14:paraId="1658E4EF" w14:textId="77777777" w:rsidR="00334263" w:rsidRPr="00496081" w:rsidRDefault="00334263" w:rsidP="00496081">
      <w:pPr>
        <w:spacing w:line="360" w:lineRule="auto"/>
        <w:contextualSpacing/>
        <w:rPr>
          <w:rFonts w:ascii="Times New Roman" w:eastAsia="Times New Roman" w:hAnsi="Times New Roman" w:cs="Times New Roman"/>
          <w:sz w:val="26"/>
          <w:szCs w:val="26"/>
        </w:rPr>
      </w:pPr>
    </w:p>
    <w:p w14:paraId="6B5351A1" w14:textId="77777777" w:rsidR="009E1F23" w:rsidRPr="00496081" w:rsidRDefault="009E1F23" w:rsidP="00496081">
      <w:pPr>
        <w:keepNext/>
        <w:keepLines/>
        <w:spacing w:line="360" w:lineRule="auto"/>
        <w:contextualSpacing/>
        <w:rPr>
          <w:rFonts w:ascii="Times New Roman" w:hAnsi="Times New Roman" w:cs="Times New Roman"/>
          <w:b/>
          <w:sz w:val="26"/>
          <w:szCs w:val="26"/>
        </w:rPr>
      </w:pPr>
      <w:r w:rsidRPr="00496081">
        <w:rPr>
          <w:rFonts w:ascii="Times New Roman" w:eastAsia="Times New Roman" w:hAnsi="Times New Roman" w:cs="Times New Roman"/>
          <w:b/>
          <w:sz w:val="26"/>
          <w:szCs w:val="26"/>
        </w:rPr>
        <w:t>A.</w:t>
      </w:r>
      <w:r w:rsidR="00E148D8" w:rsidRPr="00496081">
        <w:rPr>
          <w:rFonts w:ascii="Times New Roman" w:hAnsi="Times New Roman" w:cs="Times New Roman"/>
          <w:b/>
          <w:sz w:val="26"/>
          <w:szCs w:val="26"/>
        </w:rPr>
        <w:tab/>
        <w:t>Legal Standard</w:t>
      </w:r>
      <w:r w:rsidR="006A6F2E" w:rsidRPr="00496081">
        <w:rPr>
          <w:rFonts w:ascii="Times New Roman" w:hAnsi="Times New Roman" w:cs="Times New Roman"/>
          <w:b/>
          <w:sz w:val="26"/>
          <w:szCs w:val="26"/>
        </w:rPr>
        <w:t>s</w:t>
      </w:r>
    </w:p>
    <w:p w14:paraId="766F7F27" w14:textId="77777777" w:rsidR="009E1F23" w:rsidRPr="00496081" w:rsidRDefault="009E1F23" w:rsidP="00496081">
      <w:pPr>
        <w:keepNext/>
        <w:keepLines/>
        <w:spacing w:line="360" w:lineRule="auto"/>
        <w:ind w:firstLine="1440"/>
        <w:contextualSpacing/>
        <w:rPr>
          <w:rFonts w:ascii="Times New Roman" w:hAnsi="Times New Roman" w:cs="Times New Roman"/>
          <w:sz w:val="26"/>
          <w:szCs w:val="26"/>
        </w:rPr>
      </w:pPr>
    </w:p>
    <w:p w14:paraId="2E6DEA23" w14:textId="5E10A454"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The purpose of this investigation is to establish rates for </w:t>
      </w:r>
      <w:r w:rsidR="00E7350C">
        <w:rPr>
          <w:rFonts w:ascii="Times New Roman" w:eastAsia="Times New Roman" w:hAnsi="Times New Roman" w:cs="Times New Roman"/>
          <w:sz w:val="26"/>
          <w:szCs w:val="26"/>
        </w:rPr>
        <w:t>UGI Electric</w:t>
      </w:r>
      <w:r w:rsidRPr="00496081">
        <w:rPr>
          <w:rFonts w:ascii="Times New Roman" w:eastAsia="Times New Roman" w:hAnsi="Times New Roman" w:cs="Times New Roman"/>
          <w:sz w:val="26"/>
          <w:szCs w:val="26"/>
        </w:rPr>
        <w:t xml:space="preserve">’s customers that are “just and reasonable” pursuant to Section 1301 of the Public Utility Code (Code), 66 Pa. C.S. § 1301.  </w:t>
      </w:r>
    </w:p>
    <w:p w14:paraId="49BC1B01" w14:textId="77777777"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p>
    <w:p w14:paraId="5064CA7B" w14:textId="6364202B"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The Commission applies certain principles in deciding any general rate increase case brought under Section 1308(d) of the Code, 66 Pa. C.S. § 1308(d).  A</w:t>
      </w:r>
      <w:r w:rsidR="00BF6C77">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 xml:space="preserve">public utility seeking a general rate increase is entitled to an opportunity to earn a fair rate of return on the value of the property dedicated to public service.  </w:t>
      </w:r>
      <w:r w:rsidRPr="00496081">
        <w:rPr>
          <w:rFonts w:ascii="Times New Roman" w:eastAsia="Times New Roman" w:hAnsi="Times New Roman" w:cs="Times New Roman"/>
          <w:i/>
          <w:sz w:val="26"/>
          <w:szCs w:val="26"/>
        </w:rPr>
        <w:t>Bluefield Water Works and Improvement Co. v. Public Service Comm’n of West Virginia</w:t>
      </w:r>
      <w:r w:rsidRPr="005A3D58">
        <w:rPr>
          <w:rFonts w:ascii="Times New Roman" w:eastAsia="Times New Roman" w:hAnsi="Times New Roman" w:cs="Times New Roman"/>
          <w:iCs/>
          <w:sz w:val="26"/>
          <w:szCs w:val="26"/>
        </w:rPr>
        <w:t>,</w:t>
      </w:r>
      <w:r w:rsidRPr="00496081">
        <w:rPr>
          <w:rFonts w:ascii="Times New Roman" w:eastAsia="Times New Roman" w:hAnsi="Times New Roman" w:cs="Times New Roman"/>
          <w:sz w:val="26"/>
          <w:szCs w:val="26"/>
        </w:rPr>
        <w:t xml:space="preserve"> 262</w:t>
      </w:r>
      <w:r w:rsidR="003B394C">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U.S.</w:t>
      </w:r>
      <w:r w:rsidR="003B394C">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679</w:t>
      </w:r>
      <w:r w:rsidR="003B394C">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(1923) (</w:t>
      </w:r>
      <w:r w:rsidRPr="00496081">
        <w:rPr>
          <w:rFonts w:ascii="Times New Roman" w:eastAsia="Times New Roman" w:hAnsi="Times New Roman" w:cs="Times New Roman"/>
          <w:i/>
          <w:sz w:val="26"/>
          <w:szCs w:val="26"/>
        </w:rPr>
        <w:t>Bluefield</w:t>
      </w:r>
      <w:r w:rsidRPr="00496081">
        <w:rPr>
          <w:rFonts w:ascii="Times New Roman" w:eastAsia="Times New Roman" w:hAnsi="Times New Roman" w:cs="Times New Roman"/>
          <w:sz w:val="26"/>
          <w:szCs w:val="26"/>
        </w:rPr>
        <w:t xml:space="preserve">).  In determining what constitutes a fair rate of return, the </w:t>
      </w:r>
      <w:r w:rsidRPr="00496081">
        <w:rPr>
          <w:rFonts w:ascii="Times New Roman" w:eastAsia="Times New Roman" w:hAnsi="Times New Roman" w:cs="Times New Roman"/>
          <w:sz w:val="26"/>
          <w:szCs w:val="26"/>
        </w:rPr>
        <w:lastRenderedPageBreak/>
        <w:t xml:space="preserve">Commission is guided by the criteria set forth in </w:t>
      </w:r>
      <w:r w:rsidRPr="00496081">
        <w:rPr>
          <w:rFonts w:ascii="Times New Roman" w:eastAsia="Times New Roman" w:hAnsi="Times New Roman" w:cs="Times New Roman"/>
          <w:i/>
          <w:sz w:val="26"/>
          <w:szCs w:val="26"/>
        </w:rPr>
        <w:t xml:space="preserve">Bluefield, supra, </w:t>
      </w:r>
      <w:r w:rsidRPr="00496081">
        <w:rPr>
          <w:rFonts w:ascii="Times New Roman" w:eastAsia="Times New Roman" w:hAnsi="Times New Roman" w:cs="Times New Roman"/>
          <w:sz w:val="26"/>
          <w:szCs w:val="26"/>
        </w:rPr>
        <w:t xml:space="preserve">and </w:t>
      </w:r>
      <w:r w:rsidRPr="00496081">
        <w:rPr>
          <w:rFonts w:ascii="Times New Roman" w:eastAsia="Times New Roman" w:hAnsi="Times New Roman" w:cs="Times New Roman"/>
          <w:i/>
          <w:sz w:val="26"/>
          <w:szCs w:val="26"/>
        </w:rPr>
        <w:t>Federal Power Comm’n v. Hope</w:t>
      </w:r>
      <w:r w:rsidR="005A3D58">
        <w:rPr>
          <w:rFonts w:ascii="Times New Roman" w:eastAsia="Times New Roman" w:hAnsi="Times New Roman" w:cs="Times New Roman"/>
          <w:i/>
          <w:sz w:val="26"/>
          <w:szCs w:val="26"/>
        </w:rPr>
        <w:t> </w:t>
      </w:r>
      <w:r w:rsidRPr="00496081">
        <w:rPr>
          <w:rFonts w:ascii="Times New Roman" w:eastAsia="Times New Roman" w:hAnsi="Times New Roman" w:cs="Times New Roman"/>
          <w:i/>
          <w:sz w:val="26"/>
          <w:szCs w:val="26"/>
        </w:rPr>
        <w:t>Natural Gas Co.</w:t>
      </w:r>
      <w:r w:rsidRPr="00496081">
        <w:rPr>
          <w:rFonts w:ascii="Times New Roman" w:eastAsia="Times New Roman" w:hAnsi="Times New Roman" w:cs="Times New Roman"/>
          <w:sz w:val="26"/>
          <w:szCs w:val="26"/>
        </w:rPr>
        <w:t>, 320 U.S. 591 (1944)</w:t>
      </w:r>
      <w:r w:rsidR="00267882">
        <w:rPr>
          <w:rFonts w:ascii="Times New Roman" w:eastAsia="Times New Roman" w:hAnsi="Times New Roman" w:cs="Times New Roman"/>
          <w:sz w:val="26"/>
          <w:szCs w:val="26"/>
        </w:rPr>
        <w:t xml:space="preserve"> (</w:t>
      </w:r>
      <w:r w:rsidR="00267882">
        <w:rPr>
          <w:rFonts w:ascii="Times New Roman" w:eastAsia="Times New Roman" w:hAnsi="Times New Roman" w:cs="Times New Roman"/>
          <w:i/>
          <w:iCs/>
          <w:sz w:val="26"/>
          <w:szCs w:val="26"/>
        </w:rPr>
        <w:t>Hope Natural Gas)</w:t>
      </w:r>
      <w:r w:rsidRPr="00496081">
        <w:rPr>
          <w:rFonts w:ascii="Times New Roman" w:eastAsia="Times New Roman" w:hAnsi="Times New Roman" w:cs="Times New Roman"/>
          <w:sz w:val="26"/>
          <w:szCs w:val="26"/>
        </w:rPr>
        <w:t xml:space="preserve">.  In </w:t>
      </w:r>
      <w:r w:rsidRPr="00496081">
        <w:rPr>
          <w:rFonts w:ascii="Times New Roman" w:eastAsia="Times New Roman" w:hAnsi="Times New Roman" w:cs="Times New Roman"/>
          <w:i/>
          <w:sz w:val="26"/>
          <w:szCs w:val="26"/>
        </w:rPr>
        <w:t>Bluefield</w:t>
      </w:r>
      <w:r w:rsidRPr="00496081">
        <w:rPr>
          <w:rFonts w:ascii="Times New Roman" w:eastAsia="Times New Roman" w:hAnsi="Times New Roman" w:cs="Times New Roman"/>
          <w:sz w:val="26"/>
          <w:szCs w:val="26"/>
        </w:rPr>
        <w:t>, the United States Supreme Court stated:</w:t>
      </w:r>
    </w:p>
    <w:p w14:paraId="45B8B7B6" w14:textId="77777777" w:rsidR="00880B79" w:rsidRPr="00496081" w:rsidRDefault="00880B79" w:rsidP="005A3D58">
      <w:pPr>
        <w:spacing w:after="0" w:line="240" w:lineRule="auto"/>
        <w:ind w:firstLine="1440"/>
        <w:contextualSpacing/>
        <w:rPr>
          <w:rFonts w:ascii="Times New Roman" w:eastAsia="Times New Roman" w:hAnsi="Times New Roman" w:cs="Times New Roman"/>
          <w:sz w:val="26"/>
          <w:szCs w:val="26"/>
        </w:rPr>
      </w:pPr>
    </w:p>
    <w:p w14:paraId="5A6C9197" w14:textId="77777777" w:rsidR="00880B79" w:rsidRPr="00496081" w:rsidRDefault="00880B79" w:rsidP="00496081">
      <w:pPr>
        <w:spacing w:after="0" w:line="240" w:lineRule="auto"/>
        <w:ind w:left="1440" w:right="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p>
    <w:p w14:paraId="121A2AD8" w14:textId="77777777" w:rsidR="00880B79" w:rsidRPr="00496081" w:rsidRDefault="00880B79" w:rsidP="00496081">
      <w:pPr>
        <w:spacing w:after="0" w:line="240" w:lineRule="auto"/>
        <w:ind w:left="1440" w:right="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A rate of return may be too high or too low by changes affecting opportunities for investment, the money market and business conditions generally.</w:t>
      </w:r>
    </w:p>
    <w:p w14:paraId="0B07810B" w14:textId="77777777" w:rsidR="006A0BF3" w:rsidRPr="00496081" w:rsidRDefault="006A0BF3" w:rsidP="005A3D58">
      <w:pPr>
        <w:spacing w:after="0" w:line="360" w:lineRule="auto"/>
        <w:ind w:left="1440" w:right="1440"/>
        <w:contextualSpacing/>
        <w:rPr>
          <w:rFonts w:ascii="Times New Roman" w:eastAsia="Times New Roman" w:hAnsi="Times New Roman" w:cs="Times New Roman"/>
          <w:sz w:val="26"/>
          <w:szCs w:val="26"/>
        </w:rPr>
      </w:pPr>
    </w:p>
    <w:p w14:paraId="39EE3A98" w14:textId="77777777" w:rsidR="00880B79" w:rsidRPr="00496081" w:rsidRDefault="00880B79" w:rsidP="00496081">
      <w:pPr>
        <w:spacing w:after="0" w:line="360" w:lineRule="auto"/>
        <w:contextualSpacing/>
        <w:rPr>
          <w:rFonts w:ascii="Times New Roman" w:hAnsi="Times New Roman" w:cs="Times New Roman"/>
          <w:sz w:val="26"/>
          <w:szCs w:val="26"/>
        </w:rPr>
      </w:pPr>
      <w:r w:rsidRPr="00496081">
        <w:rPr>
          <w:rFonts w:ascii="Times New Roman" w:hAnsi="Times New Roman" w:cs="Times New Roman"/>
          <w:i/>
          <w:sz w:val="26"/>
          <w:szCs w:val="26"/>
        </w:rPr>
        <w:t>Bluefield</w:t>
      </w:r>
      <w:r w:rsidRPr="005A3D58">
        <w:rPr>
          <w:rFonts w:ascii="Times New Roman" w:hAnsi="Times New Roman" w:cs="Times New Roman"/>
          <w:iCs/>
          <w:sz w:val="26"/>
          <w:szCs w:val="26"/>
        </w:rPr>
        <w:t>,</w:t>
      </w:r>
      <w:r w:rsidRPr="00496081">
        <w:rPr>
          <w:rFonts w:ascii="Times New Roman" w:hAnsi="Times New Roman" w:cs="Times New Roman"/>
          <w:i/>
          <w:sz w:val="26"/>
          <w:szCs w:val="26"/>
        </w:rPr>
        <w:t xml:space="preserve"> </w:t>
      </w:r>
      <w:r w:rsidR="00893BCA" w:rsidRPr="00496081">
        <w:rPr>
          <w:rFonts w:ascii="Times New Roman" w:hAnsi="Times New Roman" w:cs="Times New Roman"/>
          <w:sz w:val="26"/>
          <w:szCs w:val="26"/>
        </w:rPr>
        <w:t>262 U.S. at 692-</w:t>
      </w:r>
      <w:r w:rsidRPr="00496081">
        <w:rPr>
          <w:rFonts w:ascii="Times New Roman" w:hAnsi="Times New Roman" w:cs="Times New Roman"/>
          <w:sz w:val="26"/>
          <w:szCs w:val="26"/>
        </w:rPr>
        <w:t>3.</w:t>
      </w:r>
    </w:p>
    <w:p w14:paraId="034AAA85" w14:textId="77777777"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p>
    <w:p w14:paraId="627C66DD" w14:textId="77777777" w:rsidR="00880B79" w:rsidRPr="00496081" w:rsidDel="00906BF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The public utility seeking a Section 1308(d) general rate increase has the burden of proof to establish the justness and reasonableness of every element of the rate increase request.  Regarding the</w:t>
      </w:r>
      <w:r w:rsidRPr="00496081" w:rsidDel="00906BF1">
        <w:rPr>
          <w:rFonts w:ascii="Times New Roman" w:eastAsia="Times New Roman" w:hAnsi="Times New Roman" w:cs="Times New Roman"/>
          <w:sz w:val="26"/>
          <w:szCs w:val="26"/>
        </w:rPr>
        <w:t xml:space="preserve"> burden of proof</w:t>
      </w:r>
      <w:r w:rsidRPr="00496081">
        <w:rPr>
          <w:rFonts w:ascii="Times New Roman" w:eastAsia="Times New Roman" w:hAnsi="Times New Roman" w:cs="Times New Roman"/>
          <w:sz w:val="26"/>
          <w:szCs w:val="26"/>
        </w:rPr>
        <w:t xml:space="preserve"> in a proceeding involving a proposed increase in rates by a public utility</w:t>
      </w:r>
      <w:r w:rsidRPr="00496081" w:rsidDel="00906BF1">
        <w:rPr>
          <w:rFonts w:ascii="Times New Roman" w:eastAsia="Times New Roman" w:hAnsi="Times New Roman" w:cs="Times New Roman"/>
          <w:sz w:val="26"/>
          <w:szCs w:val="26"/>
        </w:rPr>
        <w:t>, Section 315(a) of the Code provides:</w:t>
      </w:r>
    </w:p>
    <w:p w14:paraId="59830F1E" w14:textId="77777777" w:rsidR="00880B79" w:rsidRPr="00496081" w:rsidDel="00906BF1" w:rsidRDefault="00880B79" w:rsidP="00EC003F">
      <w:pPr>
        <w:spacing w:after="0" w:line="240" w:lineRule="auto"/>
        <w:ind w:firstLine="1440"/>
        <w:contextualSpacing/>
        <w:rPr>
          <w:rFonts w:ascii="Times New Roman" w:eastAsia="Times New Roman" w:hAnsi="Times New Roman" w:cs="Times New Roman"/>
          <w:sz w:val="26"/>
          <w:szCs w:val="26"/>
        </w:rPr>
      </w:pPr>
    </w:p>
    <w:p w14:paraId="13E7D2C9" w14:textId="77777777" w:rsidR="002D0362" w:rsidRPr="00496081" w:rsidRDefault="00880B79" w:rsidP="00496081">
      <w:pPr>
        <w:numPr>
          <w:ilvl w:val="0"/>
          <w:numId w:val="2"/>
        </w:numPr>
        <w:spacing w:after="0" w:line="240" w:lineRule="auto"/>
        <w:ind w:left="1440" w:right="1440" w:firstLine="360"/>
        <w:contextualSpacing/>
        <w:rPr>
          <w:rFonts w:ascii="Times New Roman" w:eastAsia="Times New Roman" w:hAnsi="Times New Roman" w:cs="Times New Roman"/>
          <w:sz w:val="26"/>
          <w:szCs w:val="26"/>
        </w:rPr>
      </w:pPr>
      <w:r w:rsidRPr="00496081" w:rsidDel="00906BF1">
        <w:rPr>
          <w:rFonts w:ascii="Times New Roman" w:eastAsia="Times New Roman" w:hAnsi="Times New Roman" w:cs="Times New Roman"/>
          <w:b/>
          <w:sz w:val="26"/>
          <w:szCs w:val="26"/>
        </w:rPr>
        <w:t>Reasonableness of rates.—</w:t>
      </w:r>
      <w:r w:rsidRPr="00496081" w:rsidDel="00906BF1">
        <w:rPr>
          <w:rFonts w:ascii="Times New Roman" w:eastAsia="Times New Roman" w:hAnsi="Times New Roman" w:cs="Times New Roman"/>
          <w:sz w:val="26"/>
          <w:szCs w:val="26"/>
        </w:rPr>
        <w:t xml:space="preserve">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w:t>
      </w:r>
    </w:p>
    <w:p w14:paraId="3F8E172D" w14:textId="77777777" w:rsidR="00880B79" w:rsidRPr="00496081" w:rsidRDefault="00880B79" w:rsidP="00496081">
      <w:pPr>
        <w:keepNext/>
        <w:keepLines/>
        <w:spacing w:after="0" w:line="240" w:lineRule="auto"/>
        <w:ind w:left="1440" w:right="1440"/>
        <w:contextualSpacing/>
        <w:rPr>
          <w:rFonts w:ascii="Times New Roman" w:eastAsia="Times New Roman" w:hAnsi="Times New Roman" w:cs="Times New Roman"/>
          <w:sz w:val="26"/>
          <w:szCs w:val="26"/>
        </w:rPr>
      </w:pPr>
      <w:r w:rsidRPr="00496081" w:rsidDel="00906BF1">
        <w:rPr>
          <w:rFonts w:ascii="Times New Roman" w:eastAsia="Times New Roman" w:hAnsi="Times New Roman" w:cs="Times New Roman"/>
          <w:sz w:val="26"/>
          <w:szCs w:val="26"/>
        </w:rPr>
        <w:lastRenderedPageBreak/>
        <w:t>shall give to the hearing and decision of any such proceeding preference over all other proceedings, and decide the same as speedily as possible.</w:t>
      </w:r>
    </w:p>
    <w:p w14:paraId="4FAC515A" w14:textId="77777777" w:rsidR="002D0362" w:rsidRPr="00496081" w:rsidDel="00906BF1" w:rsidRDefault="002D0362" w:rsidP="00922F6B">
      <w:pPr>
        <w:keepNext/>
        <w:keepLines/>
        <w:spacing w:after="0" w:line="360" w:lineRule="auto"/>
        <w:ind w:left="1440" w:right="1440"/>
        <w:contextualSpacing/>
        <w:rPr>
          <w:rFonts w:ascii="Times New Roman" w:eastAsia="Times New Roman" w:hAnsi="Times New Roman" w:cs="Times New Roman"/>
          <w:sz w:val="26"/>
          <w:szCs w:val="26"/>
        </w:rPr>
      </w:pPr>
    </w:p>
    <w:p w14:paraId="20B9C3B0" w14:textId="77777777" w:rsidR="00880B79" w:rsidRPr="00496081" w:rsidRDefault="00880B79" w:rsidP="00496081">
      <w:pPr>
        <w:spacing w:after="0" w:line="360" w:lineRule="auto"/>
        <w:contextualSpacing/>
        <w:rPr>
          <w:rFonts w:ascii="Times New Roman" w:eastAsia="Times New Roman" w:hAnsi="Times New Roman" w:cs="Times New Roman"/>
          <w:b/>
          <w:sz w:val="26"/>
          <w:szCs w:val="26"/>
        </w:rPr>
      </w:pPr>
      <w:r w:rsidRPr="00496081" w:rsidDel="00906BF1">
        <w:rPr>
          <w:rFonts w:ascii="Times New Roman" w:eastAsia="Times New Roman" w:hAnsi="Times New Roman" w:cs="Times New Roman"/>
          <w:sz w:val="26"/>
          <w:szCs w:val="26"/>
        </w:rPr>
        <w:t xml:space="preserve">66 Pa. C.S. § 315(a).  </w:t>
      </w:r>
    </w:p>
    <w:p w14:paraId="1194F030" w14:textId="77777777"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p>
    <w:p w14:paraId="19CF0C39" w14:textId="3B712274"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In the instant proceeding, the Joint Petitioners have reached an accord on all the issues and claims that arose in this proceeding and submitted the Settlement for the Commission’s review</w:t>
      </w:r>
      <w:r w:rsidR="00393B7C" w:rsidRPr="00496081">
        <w:rPr>
          <w:rFonts w:ascii="Times New Roman" w:eastAsia="Times New Roman" w:hAnsi="Times New Roman" w:cs="Times New Roman"/>
          <w:sz w:val="26"/>
          <w:szCs w:val="26"/>
        </w:rPr>
        <w:t xml:space="preserve"> and approval</w:t>
      </w:r>
      <w:r w:rsidRPr="00496081">
        <w:rPr>
          <w:rFonts w:ascii="Times New Roman" w:eastAsia="Times New Roman" w:hAnsi="Times New Roman" w:cs="Times New Roman"/>
          <w:sz w:val="26"/>
          <w:szCs w:val="26"/>
        </w:rPr>
        <w:t xml:space="preserve">.  The Commission has expressed a policy of encouraging settlements.  </w:t>
      </w:r>
      <w:r w:rsidRPr="00496081">
        <w:rPr>
          <w:rFonts w:ascii="Times New Roman" w:eastAsia="Times New Roman" w:hAnsi="Times New Roman" w:cs="Times New Roman"/>
          <w:i/>
          <w:sz w:val="26"/>
          <w:szCs w:val="26"/>
        </w:rPr>
        <w:t>See</w:t>
      </w:r>
      <w:r w:rsidRPr="00496081">
        <w:rPr>
          <w:rFonts w:ascii="Times New Roman" w:eastAsia="Times New Roman" w:hAnsi="Times New Roman" w:cs="Times New Roman"/>
          <w:sz w:val="26"/>
          <w:szCs w:val="26"/>
        </w:rPr>
        <w:t xml:space="preserve"> 52 Pa. Code §§ 5.231, 69.401.  The Commission has stated that settlement results are often preferable to those achieved after a fully litigated proceeding.  52 Pa. Code </w:t>
      </w:r>
      <w:r w:rsidR="0030709E">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69.401.  A settlement in a proceeding may reduce or eliminate the substantial time, effort, and expense that otherwise may be used or incurred in litigating a proceeding.</w:t>
      </w:r>
      <w:r w:rsidRPr="00496081">
        <w:rPr>
          <w:rFonts w:ascii="Times New Roman" w:eastAsia="Times New Roman" w:hAnsi="Times New Roman" w:cs="Times New Roman"/>
          <w:sz w:val="26"/>
          <w:szCs w:val="26"/>
          <w:vertAlign w:val="superscript"/>
        </w:rPr>
        <w:footnoteReference w:id="1"/>
      </w:r>
      <w:r w:rsidRPr="00496081">
        <w:rPr>
          <w:rFonts w:ascii="Times New Roman" w:eastAsia="Times New Roman" w:hAnsi="Times New Roman" w:cs="Times New Roman"/>
          <w:sz w:val="26"/>
          <w:szCs w:val="26"/>
        </w:rPr>
        <w:t xml:space="preserve"> </w:t>
      </w:r>
      <w:r w:rsidR="00884C9E"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 xml:space="preserve">Rate cases, in general, are expensive to litigate and the reasonable costs of such litigation is an operating expense recovered in the rates approved by the Commission.  This means that a settlement, which allows the parties to avoid or minimize the substantial costs of litigation, may yield potential savings for the </w:t>
      </w:r>
      <w:r w:rsidR="00D31A5F">
        <w:rPr>
          <w:rFonts w:ascii="Times New Roman" w:eastAsia="Times New Roman" w:hAnsi="Times New Roman" w:cs="Times New Roman"/>
          <w:sz w:val="26"/>
          <w:szCs w:val="26"/>
        </w:rPr>
        <w:t>C</w:t>
      </w:r>
      <w:r w:rsidRPr="00496081">
        <w:rPr>
          <w:rFonts w:ascii="Times New Roman" w:eastAsia="Times New Roman" w:hAnsi="Times New Roman" w:cs="Times New Roman"/>
          <w:sz w:val="26"/>
          <w:szCs w:val="26"/>
        </w:rPr>
        <w:t>ompany’s customers.  Thus, a settlement, whether full or partial, may directly benefit the named parties as well as indirectly benefit the customers of the public utility involved in the case.  For this and other sound reasons, settlements are encouraged by long</w:t>
      </w:r>
      <w:r w:rsidRPr="00496081">
        <w:rPr>
          <w:rFonts w:ascii="Times New Roman" w:eastAsia="Times New Roman" w:hAnsi="Times New Roman" w:cs="Times New Roman"/>
          <w:sz w:val="26"/>
          <w:szCs w:val="26"/>
        </w:rPr>
        <w:noBreakHyphen/>
        <w:t>standing Commission policy.</w:t>
      </w:r>
    </w:p>
    <w:p w14:paraId="3714B5AF" w14:textId="60D96454" w:rsidR="00880B79" w:rsidRDefault="00880B79" w:rsidP="00496081">
      <w:pPr>
        <w:spacing w:after="0" w:line="360" w:lineRule="auto"/>
        <w:ind w:firstLine="1440"/>
        <w:contextualSpacing/>
        <w:rPr>
          <w:rFonts w:ascii="Times New Roman" w:eastAsia="Times New Roman" w:hAnsi="Times New Roman" w:cs="Times New Roman"/>
          <w:sz w:val="26"/>
          <w:szCs w:val="26"/>
        </w:rPr>
      </w:pPr>
    </w:p>
    <w:p w14:paraId="52B7544F" w14:textId="67D5F977" w:rsidR="006111A1" w:rsidRPr="006111A1" w:rsidRDefault="006111A1" w:rsidP="006111A1">
      <w:pPr>
        <w:spacing w:after="0" w:line="360" w:lineRule="auto"/>
        <w:ind w:firstLine="1440"/>
        <w:contextualSpacing/>
        <w:rPr>
          <w:rFonts w:ascii="Times New Roman" w:eastAsia="Times New Roman" w:hAnsi="Times New Roman" w:cs="Times New Roman"/>
          <w:sz w:val="26"/>
          <w:szCs w:val="26"/>
        </w:rPr>
      </w:pPr>
      <w:r w:rsidRPr="006111A1">
        <w:rPr>
          <w:rFonts w:ascii="Times New Roman" w:eastAsia="Times New Roman" w:hAnsi="Times New Roman" w:cs="Times New Roman"/>
          <w:sz w:val="26"/>
          <w:szCs w:val="26"/>
        </w:rPr>
        <w:t xml:space="preserve">The ALJ noted that the Settlement is a “black box” settlement.  This means that the parties were not able to agree on each and every element of the revenue </w:t>
      </w:r>
      <w:r w:rsidRPr="006111A1">
        <w:rPr>
          <w:rFonts w:ascii="Times New Roman" w:eastAsia="Times New Roman" w:hAnsi="Times New Roman" w:cs="Times New Roman"/>
          <w:sz w:val="26"/>
          <w:szCs w:val="26"/>
        </w:rPr>
        <w:lastRenderedPageBreak/>
        <w:t>requirement calculation.  The Commission has recognized that “black box” settlements can serve an important purpose in reaching consensus in rate cases:</w:t>
      </w:r>
    </w:p>
    <w:p w14:paraId="5E2A31C4" w14:textId="77777777" w:rsidR="006111A1" w:rsidRPr="006111A1" w:rsidRDefault="006111A1" w:rsidP="006111A1">
      <w:pPr>
        <w:spacing w:after="0" w:line="240" w:lineRule="auto"/>
        <w:ind w:left="1440" w:right="1440"/>
        <w:contextualSpacing/>
        <w:rPr>
          <w:rFonts w:ascii="Times New Roman" w:eastAsia="Times New Roman" w:hAnsi="Times New Roman" w:cs="Times New Roman"/>
          <w:sz w:val="26"/>
          <w:szCs w:val="26"/>
        </w:rPr>
      </w:pPr>
    </w:p>
    <w:p w14:paraId="13C40898" w14:textId="6A054AEE" w:rsidR="006111A1" w:rsidRPr="006111A1" w:rsidRDefault="006111A1" w:rsidP="006111A1">
      <w:pPr>
        <w:spacing w:after="0" w:line="240" w:lineRule="auto"/>
        <w:ind w:left="1440" w:right="1440"/>
        <w:contextualSpacing/>
        <w:rPr>
          <w:rFonts w:ascii="Times New Roman" w:eastAsia="Times New Roman" w:hAnsi="Times New Roman" w:cs="Times New Roman"/>
          <w:sz w:val="26"/>
          <w:szCs w:val="26"/>
        </w:rPr>
      </w:pPr>
      <w:r w:rsidRPr="006111A1">
        <w:rPr>
          <w:rFonts w:ascii="Times New Roman" w:eastAsia="Times New Roman" w:hAnsi="Times New Roman" w:cs="Times New Roman"/>
          <w:sz w:val="26"/>
          <w:szCs w:val="26"/>
        </w:rPr>
        <w:t xml:space="preserve">We have historically permitted the use of “black box” settlements as a means of promoting settlement among the parties in contentious base rate proceedings.  Settlement of rate cases saves a significant amount of time and expense for customers, companies, and the Commission and often results in alternatives that may not have been realized during the litigation process.  Determining a company’s revenue requirement is a calculation involving many complex and interrelated adjustments that affect expenses, depreciation, rate base, taxes and the company’s cost of capital.  Reaching an agreement between various parties on each component of a rate increase can be difficult and impractical in many cases.  </w:t>
      </w:r>
    </w:p>
    <w:p w14:paraId="628A6145" w14:textId="77777777" w:rsidR="006111A1" w:rsidRPr="006111A1" w:rsidRDefault="006111A1" w:rsidP="006111A1">
      <w:pPr>
        <w:spacing w:after="0" w:line="360" w:lineRule="auto"/>
        <w:ind w:left="1440" w:right="1440"/>
        <w:contextualSpacing/>
        <w:rPr>
          <w:rFonts w:ascii="Times New Roman" w:eastAsia="Times New Roman" w:hAnsi="Times New Roman" w:cs="Times New Roman"/>
          <w:sz w:val="26"/>
          <w:szCs w:val="26"/>
        </w:rPr>
      </w:pPr>
    </w:p>
    <w:p w14:paraId="71C27ACA" w14:textId="1E43B7E6" w:rsidR="006111A1" w:rsidRPr="006111A1" w:rsidRDefault="006111A1" w:rsidP="006111A1">
      <w:pPr>
        <w:spacing w:after="0" w:line="360" w:lineRule="auto"/>
        <w:rPr>
          <w:rFonts w:ascii="Times New Roman" w:hAnsi="Times New Roman" w:cs="Times New Roman"/>
          <w:color w:val="000000"/>
          <w:sz w:val="26"/>
          <w:szCs w:val="26"/>
        </w:rPr>
      </w:pPr>
      <w:r w:rsidRPr="006111A1">
        <w:rPr>
          <w:rFonts w:ascii="Times New Roman" w:hAnsi="Times New Roman" w:cs="Times New Roman"/>
          <w:i/>
          <w:color w:val="000000"/>
          <w:sz w:val="26"/>
          <w:szCs w:val="26"/>
        </w:rPr>
        <w:t>Pa.</w:t>
      </w:r>
      <w:r w:rsidRPr="006111A1">
        <w:rPr>
          <w:rFonts w:ascii="Times New Roman" w:hAnsi="Times New Roman" w:cs="Times New Roman"/>
          <w:color w:val="000000"/>
          <w:sz w:val="26"/>
          <w:szCs w:val="26"/>
        </w:rPr>
        <w:t xml:space="preserve"> </w:t>
      </w:r>
      <w:r w:rsidRPr="006111A1">
        <w:rPr>
          <w:rFonts w:ascii="Times New Roman" w:hAnsi="Times New Roman" w:cs="Times New Roman"/>
          <w:i/>
          <w:color w:val="000000"/>
          <w:sz w:val="26"/>
          <w:szCs w:val="26"/>
        </w:rPr>
        <w:t>PUC v. Peoples TWP LLC</w:t>
      </w:r>
      <w:r w:rsidRPr="006111A1">
        <w:rPr>
          <w:rFonts w:ascii="Times New Roman" w:hAnsi="Times New Roman" w:cs="Times New Roman"/>
          <w:color w:val="000000"/>
          <w:sz w:val="26"/>
          <w:szCs w:val="26"/>
        </w:rPr>
        <w:t>, Docket No. R-2013-2355886 (Order entered December 19, 2013)</w:t>
      </w:r>
      <w:r w:rsidR="00B478E8">
        <w:rPr>
          <w:rFonts w:ascii="Times New Roman" w:hAnsi="Times New Roman" w:cs="Times New Roman"/>
          <w:color w:val="000000"/>
          <w:sz w:val="26"/>
          <w:szCs w:val="26"/>
        </w:rPr>
        <w:t xml:space="preserve"> (</w:t>
      </w:r>
      <w:r w:rsidR="00B478E8">
        <w:rPr>
          <w:rFonts w:ascii="Times New Roman" w:hAnsi="Times New Roman" w:cs="Times New Roman"/>
          <w:i/>
          <w:iCs/>
          <w:color w:val="000000"/>
          <w:sz w:val="26"/>
          <w:szCs w:val="26"/>
        </w:rPr>
        <w:t>Peoples TWP</w:t>
      </w:r>
      <w:r w:rsidR="0051297B">
        <w:rPr>
          <w:rFonts w:ascii="Times New Roman" w:hAnsi="Times New Roman" w:cs="Times New Roman"/>
          <w:i/>
          <w:iCs/>
          <w:color w:val="000000"/>
          <w:sz w:val="26"/>
          <w:szCs w:val="26"/>
        </w:rPr>
        <w:t>)</w:t>
      </w:r>
      <w:r w:rsidRPr="006111A1">
        <w:rPr>
          <w:rFonts w:ascii="Times New Roman" w:hAnsi="Times New Roman" w:cs="Times New Roman"/>
          <w:color w:val="000000"/>
          <w:sz w:val="26"/>
          <w:szCs w:val="26"/>
        </w:rPr>
        <w:t>, at 28 (citations omitted).</w:t>
      </w:r>
    </w:p>
    <w:p w14:paraId="4CED98B5" w14:textId="77777777" w:rsidR="006111A1" w:rsidRPr="006111A1" w:rsidRDefault="006111A1" w:rsidP="006111A1">
      <w:pPr>
        <w:suppressAutoHyphens/>
        <w:spacing w:after="0" w:line="360" w:lineRule="auto"/>
        <w:contextualSpacing/>
        <w:rPr>
          <w:rFonts w:ascii="Times New Roman" w:eastAsia="Times New Roman" w:hAnsi="Times New Roman" w:cs="Times New Roman"/>
          <w:sz w:val="26"/>
          <w:szCs w:val="26"/>
        </w:rPr>
      </w:pPr>
    </w:p>
    <w:p w14:paraId="308ABF49" w14:textId="5028DE45" w:rsidR="00734968" w:rsidRPr="00496081" w:rsidRDefault="00880B7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In order to accept a settlement, the Commission must determine that the proposed terms and conditions of the settlement are in the public interest.  </w:t>
      </w:r>
      <w:r w:rsidRPr="00496081">
        <w:rPr>
          <w:rFonts w:ascii="Times New Roman" w:eastAsia="Times New Roman" w:hAnsi="Times New Roman" w:cs="Times New Roman"/>
          <w:i/>
          <w:sz w:val="26"/>
          <w:szCs w:val="26"/>
        </w:rPr>
        <w:t>Pa. PUC v. York Water Co.</w:t>
      </w:r>
      <w:r w:rsidRPr="00496081">
        <w:rPr>
          <w:rFonts w:ascii="Times New Roman" w:eastAsia="Times New Roman" w:hAnsi="Times New Roman" w:cs="Times New Roman"/>
          <w:sz w:val="26"/>
          <w:szCs w:val="26"/>
        </w:rPr>
        <w:t>, Docket No. R</w:t>
      </w:r>
      <w:r w:rsidRPr="00496081">
        <w:rPr>
          <w:rFonts w:ascii="Times New Roman" w:eastAsia="Times New Roman" w:hAnsi="Times New Roman" w:cs="Times New Roman"/>
          <w:sz w:val="26"/>
          <w:szCs w:val="26"/>
        </w:rPr>
        <w:noBreakHyphen/>
        <w:t xml:space="preserve">00049165 (Order entered October 4, 2004); </w:t>
      </w:r>
      <w:r w:rsidRPr="00496081">
        <w:rPr>
          <w:rFonts w:ascii="Times New Roman" w:eastAsia="Times New Roman" w:hAnsi="Times New Roman" w:cs="Times New Roman"/>
          <w:i/>
          <w:sz w:val="26"/>
          <w:szCs w:val="26"/>
        </w:rPr>
        <w:t>see generally</w:t>
      </w:r>
      <w:r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i/>
          <w:sz w:val="26"/>
          <w:szCs w:val="26"/>
        </w:rPr>
        <w:t>Pa. PUC v. C. S. Water and Sewer Assoc.</w:t>
      </w:r>
      <w:r w:rsidRPr="00496081">
        <w:rPr>
          <w:rFonts w:ascii="Times New Roman" w:eastAsia="Times New Roman" w:hAnsi="Times New Roman" w:cs="Times New Roman"/>
          <w:sz w:val="26"/>
          <w:szCs w:val="26"/>
        </w:rPr>
        <w:t>, Docket Nos. R-881147</w:t>
      </w:r>
      <w:r w:rsidR="0030709E">
        <w:rPr>
          <w:rFonts w:ascii="Times New Roman" w:eastAsia="Times New Roman" w:hAnsi="Times New Roman" w:cs="Times New Roman"/>
          <w:sz w:val="26"/>
          <w:szCs w:val="26"/>
        </w:rPr>
        <w:t>,</w:t>
      </w:r>
      <w:r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i/>
          <w:sz w:val="26"/>
          <w:szCs w:val="26"/>
        </w:rPr>
        <w:t>et al</w:t>
      </w:r>
      <w:r w:rsidRPr="00496081">
        <w:rPr>
          <w:rFonts w:ascii="Times New Roman" w:eastAsia="Times New Roman" w:hAnsi="Times New Roman" w:cs="Times New Roman"/>
          <w:sz w:val="26"/>
          <w:szCs w:val="26"/>
        </w:rPr>
        <w:t>., 74</w:t>
      </w:r>
      <w:r w:rsidR="00922F6B">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Pa.</w:t>
      </w:r>
      <w:r w:rsidR="00922F6B">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P.U.C.</w:t>
      </w:r>
      <w:r w:rsidR="00922F6B">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767 (Order entered July 22, 1991) (</w:t>
      </w:r>
      <w:r w:rsidRPr="00496081">
        <w:rPr>
          <w:rFonts w:ascii="Times New Roman" w:eastAsia="Times New Roman" w:hAnsi="Times New Roman" w:cs="Times New Roman"/>
          <w:i/>
          <w:sz w:val="26"/>
          <w:szCs w:val="26"/>
        </w:rPr>
        <w:t>CS Water and Sewer</w:t>
      </w:r>
      <w:r w:rsidRPr="00496081">
        <w:rPr>
          <w:rFonts w:ascii="Times New Roman" w:eastAsia="Times New Roman" w:hAnsi="Times New Roman" w:cs="Times New Roman"/>
          <w:sz w:val="26"/>
          <w:szCs w:val="26"/>
        </w:rPr>
        <w:t xml:space="preserve">).  The focus of the inquiry for determining whether a proposed settlement should be approved is whether the proposed terms and conditions foster, promote </w:t>
      </w:r>
      <w:r w:rsidR="00884C9E" w:rsidRPr="00496081">
        <w:rPr>
          <w:rFonts w:ascii="Times New Roman" w:eastAsia="Times New Roman" w:hAnsi="Times New Roman" w:cs="Times New Roman"/>
          <w:sz w:val="26"/>
          <w:szCs w:val="26"/>
        </w:rPr>
        <w:t xml:space="preserve">and serve the public interest.  </w:t>
      </w:r>
      <w:r w:rsidR="00884C9E" w:rsidRPr="00496081">
        <w:rPr>
          <w:rFonts w:ascii="Times New Roman" w:eastAsia="Times New Roman" w:hAnsi="Times New Roman" w:cs="Times New Roman"/>
          <w:i/>
          <w:sz w:val="26"/>
          <w:szCs w:val="26"/>
        </w:rPr>
        <w:t xml:space="preserve">See </w:t>
      </w:r>
      <w:r w:rsidR="00734968" w:rsidRPr="00496081">
        <w:rPr>
          <w:rFonts w:ascii="Times New Roman" w:eastAsia="Times New Roman" w:hAnsi="Times New Roman" w:cs="Times New Roman"/>
          <w:i/>
          <w:sz w:val="26"/>
          <w:szCs w:val="26"/>
        </w:rPr>
        <w:t>Pa.</w:t>
      </w:r>
      <w:r w:rsidR="00922F6B">
        <w:rPr>
          <w:rFonts w:ascii="Times New Roman" w:eastAsia="Times New Roman" w:hAnsi="Times New Roman" w:cs="Times New Roman"/>
          <w:i/>
          <w:sz w:val="26"/>
          <w:szCs w:val="26"/>
        </w:rPr>
        <w:t> </w:t>
      </w:r>
      <w:r w:rsidR="00734968" w:rsidRPr="00496081">
        <w:rPr>
          <w:rFonts w:ascii="Times New Roman" w:eastAsia="Times New Roman" w:hAnsi="Times New Roman" w:cs="Times New Roman"/>
          <w:i/>
          <w:sz w:val="26"/>
          <w:szCs w:val="26"/>
        </w:rPr>
        <w:t>PUC, et al. v. City of Lancaster – Bureau of Water</w:t>
      </w:r>
      <w:r w:rsidR="00734968" w:rsidRPr="00496081">
        <w:rPr>
          <w:rFonts w:ascii="Times New Roman" w:eastAsia="Times New Roman" w:hAnsi="Times New Roman" w:cs="Times New Roman"/>
          <w:sz w:val="26"/>
          <w:szCs w:val="26"/>
        </w:rPr>
        <w:t xml:space="preserve">, Docket Nos. R-2010-2179103, </w:t>
      </w:r>
      <w:r w:rsidR="00734968" w:rsidRPr="00496081">
        <w:rPr>
          <w:rFonts w:ascii="Times New Roman" w:eastAsia="Times New Roman" w:hAnsi="Times New Roman" w:cs="Times New Roman"/>
          <w:i/>
          <w:sz w:val="26"/>
          <w:szCs w:val="26"/>
        </w:rPr>
        <w:t>et</w:t>
      </w:r>
      <w:r w:rsidR="00922F6B">
        <w:rPr>
          <w:rFonts w:ascii="Times New Roman" w:eastAsia="Times New Roman" w:hAnsi="Times New Roman" w:cs="Times New Roman"/>
          <w:i/>
          <w:sz w:val="26"/>
          <w:szCs w:val="26"/>
        </w:rPr>
        <w:t> </w:t>
      </w:r>
      <w:r w:rsidR="00734968" w:rsidRPr="00496081">
        <w:rPr>
          <w:rFonts w:ascii="Times New Roman" w:eastAsia="Times New Roman" w:hAnsi="Times New Roman" w:cs="Times New Roman"/>
          <w:i/>
          <w:sz w:val="26"/>
          <w:szCs w:val="26"/>
        </w:rPr>
        <w:t>al</w:t>
      </w:r>
      <w:r w:rsidR="00734968" w:rsidRPr="00496081">
        <w:rPr>
          <w:rFonts w:ascii="Times New Roman" w:eastAsia="Times New Roman" w:hAnsi="Times New Roman" w:cs="Times New Roman"/>
          <w:sz w:val="26"/>
          <w:szCs w:val="26"/>
        </w:rPr>
        <w:t>. (Order entered July 14, 2011)</w:t>
      </w:r>
      <w:r w:rsidR="00884C9E" w:rsidRPr="00496081">
        <w:rPr>
          <w:rFonts w:ascii="Times New Roman" w:eastAsia="Times New Roman" w:hAnsi="Times New Roman" w:cs="Times New Roman"/>
          <w:sz w:val="26"/>
          <w:szCs w:val="26"/>
        </w:rPr>
        <w:t>,</w:t>
      </w:r>
      <w:r w:rsidR="00734968"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 xml:space="preserve">citing </w:t>
      </w:r>
      <w:r w:rsidRPr="00496081">
        <w:rPr>
          <w:rFonts w:ascii="Times New Roman" w:eastAsia="Times New Roman" w:hAnsi="Times New Roman" w:cs="Times New Roman"/>
          <w:i/>
          <w:sz w:val="26"/>
          <w:szCs w:val="26"/>
        </w:rPr>
        <w:t>Warner v. GTE North, Inc</w:t>
      </w:r>
      <w:r w:rsidRPr="00496081">
        <w:rPr>
          <w:rFonts w:ascii="Times New Roman" w:eastAsia="Times New Roman" w:hAnsi="Times New Roman" w:cs="Times New Roman"/>
          <w:sz w:val="26"/>
          <w:szCs w:val="26"/>
        </w:rPr>
        <w:t>., Docket No. C</w:t>
      </w:r>
      <w:r w:rsidR="00922F6B">
        <w:rPr>
          <w:rFonts w:ascii="Times New Roman" w:eastAsia="Times New Roman" w:hAnsi="Times New Roman" w:cs="Times New Roman"/>
          <w:sz w:val="26"/>
          <w:szCs w:val="26"/>
        </w:rPr>
        <w:noBreakHyphen/>
      </w:r>
      <w:r w:rsidRPr="00496081">
        <w:rPr>
          <w:rFonts w:ascii="Times New Roman" w:eastAsia="Times New Roman" w:hAnsi="Times New Roman" w:cs="Times New Roman"/>
          <w:sz w:val="26"/>
          <w:szCs w:val="26"/>
        </w:rPr>
        <w:t xml:space="preserve">00902815 (Order entered April 1, 1996) and </w:t>
      </w:r>
      <w:r w:rsidRPr="00496081">
        <w:rPr>
          <w:rFonts w:ascii="Times New Roman" w:eastAsia="Times New Roman" w:hAnsi="Times New Roman" w:cs="Times New Roman"/>
          <w:i/>
          <w:sz w:val="26"/>
          <w:szCs w:val="26"/>
        </w:rPr>
        <w:t>CS Water and Sewer</w:t>
      </w:r>
      <w:r w:rsidR="00E938EB" w:rsidRPr="00496081">
        <w:rPr>
          <w:rFonts w:ascii="Times New Roman" w:eastAsia="Times New Roman" w:hAnsi="Times New Roman" w:cs="Times New Roman"/>
          <w:i/>
          <w:sz w:val="26"/>
          <w:szCs w:val="26"/>
        </w:rPr>
        <w:t>.</w:t>
      </w:r>
      <w:r w:rsidR="00734968" w:rsidRPr="00496081">
        <w:rPr>
          <w:rFonts w:ascii="Times New Roman" w:eastAsia="Times New Roman" w:hAnsi="Times New Roman" w:cs="Times New Roman"/>
          <w:sz w:val="26"/>
          <w:szCs w:val="26"/>
        </w:rPr>
        <w:t xml:space="preserve"> </w:t>
      </w:r>
      <w:r w:rsidR="00E15089" w:rsidRPr="00496081">
        <w:rPr>
          <w:rFonts w:ascii="Times New Roman" w:eastAsia="Times New Roman" w:hAnsi="Times New Roman" w:cs="Times New Roman"/>
          <w:sz w:val="26"/>
          <w:szCs w:val="26"/>
        </w:rPr>
        <w:t xml:space="preserve"> Moreover, </w:t>
      </w:r>
      <w:r w:rsidR="00734968" w:rsidRPr="00496081">
        <w:rPr>
          <w:rFonts w:ascii="Times New Roman" w:eastAsia="Calibri" w:hAnsi="Times New Roman" w:cs="Times New Roman"/>
          <w:snapToGrid w:val="0"/>
          <w:sz w:val="26"/>
          <w:szCs w:val="26"/>
        </w:rPr>
        <w:t>Section</w:t>
      </w:r>
      <w:r w:rsidR="00922F6B">
        <w:rPr>
          <w:rFonts w:ascii="Times New Roman" w:eastAsia="Calibri" w:hAnsi="Times New Roman" w:cs="Times New Roman"/>
          <w:snapToGrid w:val="0"/>
          <w:sz w:val="26"/>
          <w:szCs w:val="26"/>
        </w:rPr>
        <w:t> </w:t>
      </w:r>
      <w:r w:rsidR="00734968" w:rsidRPr="00496081">
        <w:rPr>
          <w:rFonts w:ascii="Times New Roman" w:eastAsia="Calibri" w:hAnsi="Times New Roman" w:cs="Times New Roman"/>
          <w:snapToGrid w:val="0"/>
          <w:sz w:val="26"/>
          <w:szCs w:val="26"/>
        </w:rPr>
        <w:t xml:space="preserve">332(a) of the Code, 66 Pa. C.S. § 332(a), provides that the party seeking a rule or order from the Commission has the burden of proof in that proceeding.  </w:t>
      </w:r>
      <w:r w:rsidR="00734968" w:rsidRPr="00496081">
        <w:rPr>
          <w:rFonts w:ascii="Times New Roman" w:eastAsia="Times New Roman" w:hAnsi="Times New Roman" w:cs="Times New Roman"/>
          <w:sz w:val="26"/>
          <w:szCs w:val="26"/>
        </w:rPr>
        <w:t xml:space="preserve">Consequently, in this proceeding, </w:t>
      </w:r>
      <w:r w:rsidR="00734968" w:rsidRPr="00496081">
        <w:rPr>
          <w:rFonts w:ascii="Times New Roman" w:eastAsia="Times New Roman" w:hAnsi="Times New Roman" w:cs="Times New Roman"/>
          <w:bCs/>
          <w:sz w:val="26"/>
          <w:szCs w:val="26"/>
        </w:rPr>
        <w:t>the Joint Petitioners have</w:t>
      </w:r>
      <w:r w:rsidR="00734968" w:rsidRPr="00496081">
        <w:rPr>
          <w:rFonts w:ascii="Times New Roman" w:eastAsia="Times New Roman" w:hAnsi="Times New Roman" w:cs="Times New Roman"/>
          <w:sz w:val="26"/>
          <w:szCs w:val="26"/>
        </w:rPr>
        <w:t xml:space="preserve"> the burden of showing that the terms and conditions of the Settlement are in the public interest. </w:t>
      </w:r>
    </w:p>
    <w:p w14:paraId="18699AAD" w14:textId="77777777" w:rsidR="00DB1F26" w:rsidRPr="0049608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hAnsi="Times New Roman" w:cs="Times New Roman"/>
          <w:sz w:val="26"/>
          <w:szCs w:val="26"/>
        </w:rPr>
        <w:lastRenderedPageBreak/>
        <w:t xml:space="preserve">Finally, a Commission decision must be supported by substantial evidence in the record.  “Substantial evidence” is such relevant evidence that a reasonable mind might accept as adequate to support a conclusion.  More is required than a mere trace of evidence or a suspicion of the existence of a fact sought to be established.  </w:t>
      </w:r>
      <w:r w:rsidRPr="00496081">
        <w:rPr>
          <w:rFonts w:ascii="Times New Roman" w:hAnsi="Times New Roman" w:cs="Times New Roman"/>
          <w:i/>
          <w:sz w:val="26"/>
          <w:szCs w:val="26"/>
        </w:rPr>
        <w:t xml:space="preserve">Norfolk &amp; Western Ry. Co. v. Pa. PUC, </w:t>
      </w:r>
      <w:r w:rsidRPr="00496081">
        <w:rPr>
          <w:rFonts w:ascii="Times New Roman" w:hAnsi="Times New Roman" w:cs="Times New Roman"/>
          <w:sz w:val="26"/>
          <w:szCs w:val="26"/>
        </w:rPr>
        <w:t xml:space="preserve">489 Pa. 109, 413 A.2d 1037 (1980); </w:t>
      </w:r>
      <w:r w:rsidRPr="00496081">
        <w:rPr>
          <w:rFonts w:ascii="Times New Roman" w:hAnsi="Times New Roman" w:cs="Times New Roman"/>
          <w:i/>
          <w:sz w:val="26"/>
          <w:szCs w:val="26"/>
        </w:rPr>
        <w:t>Erie Resistor Corp. v. Unemployment Comp. Bd. of Review</w:t>
      </w:r>
      <w:r w:rsidRPr="00496081">
        <w:rPr>
          <w:rFonts w:ascii="Times New Roman" w:hAnsi="Times New Roman" w:cs="Times New Roman"/>
          <w:sz w:val="26"/>
          <w:szCs w:val="26"/>
        </w:rPr>
        <w:t xml:space="preserve">, 166 A.2d 96 (Pa. Super. 1961); </w:t>
      </w:r>
      <w:r w:rsidRPr="00496081">
        <w:rPr>
          <w:rFonts w:ascii="Times New Roman" w:hAnsi="Times New Roman" w:cs="Times New Roman"/>
          <w:i/>
          <w:sz w:val="26"/>
          <w:szCs w:val="26"/>
        </w:rPr>
        <w:t>Murphy v. Comm. Dept. of Public Welfare, White Haven Center</w:t>
      </w:r>
      <w:r w:rsidRPr="00496081">
        <w:rPr>
          <w:rFonts w:ascii="Times New Roman" w:hAnsi="Times New Roman" w:cs="Times New Roman"/>
          <w:sz w:val="26"/>
          <w:szCs w:val="26"/>
        </w:rPr>
        <w:t>, 480 A.2d 382 (Pa. Cmwlth. 1984).</w:t>
      </w:r>
    </w:p>
    <w:p w14:paraId="265F94B9" w14:textId="77777777" w:rsidR="009E1F23" w:rsidRPr="00496081" w:rsidRDefault="009E1F23" w:rsidP="00496081">
      <w:pPr>
        <w:spacing w:line="360" w:lineRule="auto"/>
        <w:ind w:firstLine="1440"/>
        <w:contextualSpacing/>
        <w:rPr>
          <w:rFonts w:ascii="Times New Roman" w:hAnsi="Times New Roman" w:cs="Times New Roman"/>
          <w:sz w:val="26"/>
          <w:szCs w:val="26"/>
        </w:rPr>
      </w:pPr>
    </w:p>
    <w:p w14:paraId="3BD947B0" w14:textId="77777777" w:rsidR="009E1F23" w:rsidRPr="00496081" w:rsidRDefault="009E1F23" w:rsidP="00496081">
      <w:pPr>
        <w:keepNext/>
        <w:keepLines/>
        <w:spacing w:line="360" w:lineRule="auto"/>
        <w:contextualSpacing/>
        <w:rPr>
          <w:rFonts w:ascii="Times New Roman" w:hAnsi="Times New Roman" w:cs="Times New Roman"/>
          <w:sz w:val="26"/>
          <w:szCs w:val="26"/>
        </w:rPr>
      </w:pPr>
      <w:r w:rsidRPr="00496081">
        <w:rPr>
          <w:rFonts w:ascii="Times New Roman" w:hAnsi="Times New Roman" w:cs="Times New Roman"/>
          <w:b/>
          <w:sz w:val="26"/>
          <w:szCs w:val="26"/>
        </w:rPr>
        <w:t>B.</w:t>
      </w:r>
      <w:r w:rsidRPr="00496081">
        <w:rPr>
          <w:rFonts w:ascii="Times New Roman" w:hAnsi="Times New Roman" w:cs="Times New Roman"/>
          <w:b/>
          <w:sz w:val="26"/>
          <w:szCs w:val="26"/>
        </w:rPr>
        <w:tab/>
        <w:t xml:space="preserve">Joint </w:t>
      </w:r>
      <w:r w:rsidR="007C6C52" w:rsidRPr="00496081">
        <w:rPr>
          <w:rFonts w:ascii="Times New Roman" w:hAnsi="Times New Roman" w:cs="Times New Roman"/>
          <w:b/>
          <w:sz w:val="26"/>
          <w:szCs w:val="26"/>
        </w:rPr>
        <w:t xml:space="preserve">Petition for </w:t>
      </w:r>
      <w:r w:rsidRPr="00496081">
        <w:rPr>
          <w:rFonts w:ascii="Times New Roman" w:hAnsi="Times New Roman" w:cs="Times New Roman"/>
          <w:b/>
          <w:sz w:val="26"/>
          <w:szCs w:val="26"/>
        </w:rPr>
        <w:t>Settlement</w:t>
      </w:r>
    </w:p>
    <w:p w14:paraId="199FF38C" w14:textId="77777777" w:rsidR="009E1F23" w:rsidRPr="00496081" w:rsidRDefault="009E1F23" w:rsidP="00496081">
      <w:pPr>
        <w:keepNext/>
        <w:keepLines/>
        <w:spacing w:line="360" w:lineRule="auto"/>
        <w:contextualSpacing/>
        <w:rPr>
          <w:rFonts w:ascii="Times New Roman" w:hAnsi="Times New Roman" w:cs="Times New Roman"/>
          <w:sz w:val="26"/>
          <w:szCs w:val="26"/>
        </w:rPr>
      </w:pPr>
    </w:p>
    <w:p w14:paraId="284EF5B6" w14:textId="77777777" w:rsidR="00366F56" w:rsidRPr="00496081" w:rsidRDefault="007C6C52" w:rsidP="00496081">
      <w:pPr>
        <w:keepNext/>
        <w:keepLines/>
        <w:spacing w:line="360" w:lineRule="auto"/>
        <w:ind w:left="1440" w:hanging="720"/>
        <w:contextualSpacing/>
        <w:rPr>
          <w:rFonts w:ascii="Times New Roman" w:hAnsi="Times New Roman" w:cs="Times New Roman"/>
          <w:sz w:val="26"/>
          <w:szCs w:val="26"/>
        </w:rPr>
      </w:pPr>
      <w:r w:rsidRPr="00496081">
        <w:rPr>
          <w:rFonts w:ascii="Times New Roman" w:hAnsi="Times New Roman" w:cs="Times New Roman"/>
          <w:b/>
          <w:sz w:val="26"/>
          <w:szCs w:val="26"/>
        </w:rPr>
        <w:t>1.</w:t>
      </w:r>
      <w:r w:rsidRPr="00496081">
        <w:rPr>
          <w:rFonts w:ascii="Times New Roman" w:hAnsi="Times New Roman" w:cs="Times New Roman"/>
          <w:b/>
          <w:sz w:val="26"/>
          <w:szCs w:val="26"/>
        </w:rPr>
        <w:tab/>
        <w:t xml:space="preserve">Terms and Conditions of the </w:t>
      </w:r>
      <w:r w:rsidR="00B43A4E" w:rsidRPr="00496081">
        <w:rPr>
          <w:rFonts w:ascii="Times New Roman" w:hAnsi="Times New Roman" w:cs="Times New Roman"/>
          <w:b/>
          <w:sz w:val="26"/>
          <w:szCs w:val="26"/>
        </w:rPr>
        <w:t>Settlement</w:t>
      </w:r>
    </w:p>
    <w:p w14:paraId="78351544" w14:textId="77777777" w:rsidR="00B43A4E" w:rsidRPr="00496081" w:rsidRDefault="00B43A4E" w:rsidP="00496081">
      <w:pPr>
        <w:keepNext/>
        <w:keepLines/>
        <w:spacing w:line="360" w:lineRule="auto"/>
        <w:contextualSpacing/>
        <w:rPr>
          <w:rFonts w:ascii="Times New Roman" w:hAnsi="Times New Roman" w:cs="Times New Roman"/>
          <w:sz w:val="26"/>
          <w:szCs w:val="26"/>
        </w:rPr>
      </w:pPr>
    </w:p>
    <w:p w14:paraId="3964E7F7" w14:textId="7ABA1143" w:rsidR="004461A6" w:rsidRPr="004461A6" w:rsidRDefault="004461A6" w:rsidP="00762A11">
      <w:pPr>
        <w:spacing w:after="0" w:line="360" w:lineRule="auto"/>
        <w:ind w:firstLine="1440"/>
        <w:rPr>
          <w:rFonts w:ascii="Times New Roman" w:hAnsi="Times New Roman" w:cs="Times New Roman"/>
          <w:sz w:val="26"/>
          <w:szCs w:val="26"/>
        </w:rPr>
      </w:pPr>
      <w:r w:rsidRPr="004461A6">
        <w:rPr>
          <w:rFonts w:ascii="Times New Roman" w:hAnsi="Times New Roman" w:cs="Times New Roman"/>
          <w:sz w:val="26"/>
          <w:szCs w:val="26"/>
        </w:rPr>
        <w:t>Th</w:t>
      </w:r>
      <w:r>
        <w:rPr>
          <w:rFonts w:ascii="Times New Roman" w:hAnsi="Times New Roman" w:cs="Times New Roman"/>
          <w:sz w:val="26"/>
          <w:szCs w:val="26"/>
        </w:rPr>
        <w:t>e</w:t>
      </w:r>
      <w:r w:rsidRPr="004461A6">
        <w:rPr>
          <w:rFonts w:ascii="Times New Roman" w:hAnsi="Times New Roman" w:cs="Times New Roman"/>
          <w:sz w:val="26"/>
          <w:szCs w:val="26"/>
        </w:rPr>
        <w:t xml:space="preserve"> Settlement represents a full settlement of all issues and concerns raised </w:t>
      </w:r>
      <w:r w:rsidR="00650AF3">
        <w:rPr>
          <w:rFonts w:ascii="Times New Roman" w:hAnsi="Times New Roman" w:cs="Times New Roman"/>
          <w:sz w:val="26"/>
          <w:szCs w:val="26"/>
        </w:rPr>
        <w:t xml:space="preserve">by the Joint Petitioners </w:t>
      </w:r>
      <w:r w:rsidRPr="004461A6">
        <w:rPr>
          <w:rFonts w:ascii="Times New Roman" w:hAnsi="Times New Roman" w:cs="Times New Roman"/>
          <w:sz w:val="26"/>
          <w:szCs w:val="26"/>
        </w:rPr>
        <w:t xml:space="preserve">in the instant proceeding.  The Settlement provides for increases in rates, as set forth in the </w:t>
      </w:r>
      <w:r w:rsidRPr="004461A6">
        <w:rPr>
          <w:rFonts w:ascii="Times New Roman" w:hAnsi="Times New Roman" w:cs="Times New Roman"/>
          <w:i/>
          <w:sz w:val="26"/>
          <w:szCs w:val="26"/>
        </w:rPr>
        <w:t>pro forma</w:t>
      </w:r>
      <w:r w:rsidRPr="004461A6">
        <w:rPr>
          <w:rFonts w:ascii="Times New Roman" w:hAnsi="Times New Roman" w:cs="Times New Roman"/>
          <w:sz w:val="26"/>
          <w:szCs w:val="26"/>
        </w:rPr>
        <w:t xml:space="preserve"> tariff supplement attached </w:t>
      </w:r>
      <w:r w:rsidR="006E09C8">
        <w:rPr>
          <w:rFonts w:ascii="Times New Roman" w:hAnsi="Times New Roman" w:cs="Times New Roman"/>
          <w:sz w:val="26"/>
          <w:szCs w:val="26"/>
        </w:rPr>
        <w:t xml:space="preserve">to the </w:t>
      </w:r>
      <w:r w:rsidR="000A6BF1">
        <w:rPr>
          <w:rFonts w:ascii="Times New Roman" w:hAnsi="Times New Roman" w:cs="Times New Roman"/>
          <w:sz w:val="26"/>
          <w:szCs w:val="26"/>
        </w:rPr>
        <w:t>Joint Petition</w:t>
      </w:r>
      <w:r w:rsidR="006E09C8">
        <w:rPr>
          <w:rFonts w:ascii="Times New Roman" w:hAnsi="Times New Roman" w:cs="Times New Roman"/>
          <w:sz w:val="26"/>
          <w:szCs w:val="26"/>
        </w:rPr>
        <w:t xml:space="preserve"> as </w:t>
      </w:r>
      <w:r w:rsidRPr="00A205B8">
        <w:rPr>
          <w:rFonts w:ascii="Times New Roman" w:hAnsi="Times New Roman" w:cs="Times New Roman"/>
          <w:bCs/>
          <w:sz w:val="26"/>
          <w:szCs w:val="26"/>
        </w:rPr>
        <w:t>Appendix A</w:t>
      </w:r>
      <w:r w:rsidRPr="004461A6">
        <w:rPr>
          <w:rFonts w:ascii="Times New Roman" w:hAnsi="Times New Roman" w:cs="Times New Roman"/>
          <w:sz w:val="26"/>
          <w:szCs w:val="26"/>
        </w:rPr>
        <w:t xml:space="preserve"> and the proof of revenues attached </w:t>
      </w:r>
      <w:r w:rsidR="006E09C8">
        <w:rPr>
          <w:rFonts w:ascii="Times New Roman" w:hAnsi="Times New Roman" w:cs="Times New Roman"/>
          <w:sz w:val="26"/>
          <w:szCs w:val="26"/>
        </w:rPr>
        <w:t xml:space="preserve">to the </w:t>
      </w:r>
      <w:r w:rsidR="000A6BF1">
        <w:rPr>
          <w:rFonts w:ascii="Times New Roman" w:hAnsi="Times New Roman" w:cs="Times New Roman"/>
          <w:sz w:val="26"/>
          <w:szCs w:val="26"/>
        </w:rPr>
        <w:t>Joint Petition</w:t>
      </w:r>
      <w:r w:rsidRPr="004461A6">
        <w:rPr>
          <w:rFonts w:ascii="Times New Roman" w:hAnsi="Times New Roman" w:cs="Times New Roman"/>
          <w:sz w:val="26"/>
          <w:szCs w:val="26"/>
        </w:rPr>
        <w:t xml:space="preserve"> as </w:t>
      </w:r>
      <w:r w:rsidRPr="00A205B8">
        <w:rPr>
          <w:rFonts w:ascii="Times New Roman" w:hAnsi="Times New Roman" w:cs="Times New Roman"/>
          <w:bCs/>
          <w:sz w:val="26"/>
          <w:szCs w:val="26"/>
        </w:rPr>
        <w:t>Appendix B</w:t>
      </w:r>
      <w:r w:rsidRPr="004461A6">
        <w:rPr>
          <w:rFonts w:ascii="Times New Roman" w:hAnsi="Times New Roman" w:cs="Times New Roman"/>
          <w:sz w:val="26"/>
          <w:szCs w:val="26"/>
        </w:rPr>
        <w:t>, designed to produce a net increase in annual distribution operating revenues of $6.15 million, based upon a F</w:t>
      </w:r>
      <w:r w:rsidR="00135D9F">
        <w:rPr>
          <w:rFonts w:ascii="Times New Roman" w:hAnsi="Times New Roman" w:cs="Times New Roman"/>
          <w:sz w:val="26"/>
          <w:szCs w:val="26"/>
        </w:rPr>
        <w:t>PFTY</w:t>
      </w:r>
      <w:r w:rsidRPr="004461A6">
        <w:rPr>
          <w:rFonts w:ascii="Times New Roman" w:hAnsi="Times New Roman" w:cs="Times New Roman"/>
          <w:sz w:val="26"/>
          <w:szCs w:val="26"/>
        </w:rPr>
        <w:t xml:space="preserve"> ending September 30, 2022.  Proposed Findings of Fact, Conclusions of Law, and Ordering Paragraphs are </w:t>
      </w:r>
      <w:r w:rsidR="00786EA9">
        <w:rPr>
          <w:rFonts w:ascii="Times New Roman" w:hAnsi="Times New Roman" w:cs="Times New Roman"/>
          <w:sz w:val="26"/>
          <w:szCs w:val="26"/>
        </w:rPr>
        <w:t>included</w:t>
      </w:r>
      <w:r w:rsidRPr="004461A6">
        <w:rPr>
          <w:rFonts w:ascii="Times New Roman" w:hAnsi="Times New Roman" w:cs="Times New Roman"/>
          <w:sz w:val="26"/>
          <w:szCs w:val="26"/>
        </w:rPr>
        <w:t xml:space="preserve"> as </w:t>
      </w:r>
      <w:r w:rsidRPr="00A205B8">
        <w:rPr>
          <w:rFonts w:ascii="Times New Roman" w:hAnsi="Times New Roman" w:cs="Times New Roman"/>
          <w:bCs/>
          <w:sz w:val="26"/>
          <w:szCs w:val="26"/>
        </w:rPr>
        <w:t>Appendices C</w:t>
      </w:r>
      <w:r w:rsidR="006264DA">
        <w:rPr>
          <w:rFonts w:ascii="Times New Roman" w:hAnsi="Times New Roman" w:cs="Times New Roman"/>
          <w:bCs/>
          <w:sz w:val="26"/>
          <w:szCs w:val="26"/>
        </w:rPr>
        <w:t xml:space="preserve"> through</w:t>
      </w:r>
      <w:r w:rsidR="00762A11">
        <w:rPr>
          <w:rFonts w:ascii="Times New Roman" w:hAnsi="Times New Roman" w:cs="Times New Roman"/>
          <w:bCs/>
          <w:sz w:val="26"/>
          <w:szCs w:val="26"/>
        </w:rPr>
        <w:t xml:space="preserve"> </w:t>
      </w:r>
      <w:r w:rsidRPr="00A205B8">
        <w:rPr>
          <w:rFonts w:ascii="Times New Roman" w:hAnsi="Times New Roman" w:cs="Times New Roman"/>
          <w:bCs/>
          <w:sz w:val="26"/>
          <w:szCs w:val="26"/>
        </w:rPr>
        <w:t>E</w:t>
      </w:r>
      <w:r w:rsidR="00934781">
        <w:rPr>
          <w:rFonts w:ascii="Times New Roman" w:hAnsi="Times New Roman" w:cs="Times New Roman"/>
          <w:bCs/>
          <w:sz w:val="26"/>
          <w:szCs w:val="26"/>
        </w:rPr>
        <w:t xml:space="preserve"> of the </w:t>
      </w:r>
      <w:r w:rsidR="00757792">
        <w:rPr>
          <w:rFonts w:ascii="Times New Roman" w:hAnsi="Times New Roman" w:cs="Times New Roman"/>
          <w:bCs/>
          <w:sz w:val="26"/>
          <w:szCs w:val="26"/>
        </w:rPr>
        <w:t>Joint Petition</w:t>
      </w:r>
      <w:r w:rsidRPr="004461A6">
        <w:rPr>
          <w:rFonts w:ascii="Times New Roman" w:hAnsi="Times New Roman" w:cs="Times New Roman"/>
          <w:sz w:val="26"/>
          <w:szCs w:val="26"/>
        </w:rPr>
        <w:t>, respectively.</w:t>
      </w:r>
      <w:r w:rsidR="00B83E67">
        <w:rPr>
          <w:rFonts w:ascii="Times New Roman" w:hAnsi="Times New Roman" w:cs="Times New Roman"/>
          <w:sz w:val="26"/>
          <w:szCs w:val="26"/>
        </w:rPr>
        <w:t xml:space="preserve">  Appendices F</w:t>
      </w:r>
      <w:r w:rsidR="006264DA">
        <w:rPr>
          <w:rFonts w:ascii="Times New Roman" w:hAnsi="Times New Roman" w:cs="Times New Roman"/>
          <w:sz w:val="26"/>
          <w:szCs w:val="26"/>
        </w:rPr>
        <w:t xml:space="preserve"> through </w:t>
      </w:r>
      <w:r w:rsidR="00A14145">
        <w:rPr>
          <w:rFonts w:ascii="Times New Roman" w:hAnsi="Times New Roman" w:cs="Times New Roman"/>
          <w:sz w:val="26"/>
          <w:szCs w:val="26"/>
        </w:rPr>
        <w:t>M</w:t>
      </w:r>
      <w:r w:rsidR="001F616D">
        <w:rPr>
          <w:rFonts w:ascii="Times New Roman" w:hAnsi="Times New Roman" w:cs="Times New Roman"/>
          <w:sz w:val="26"/>
          <w:szCs w:val="26"/>
        </w:rPr>
        <w:t xml:space="preserve"> represent the Statements in Support of </w:t>
      </w:r>
      <w:r w:rsidR="006264DA">
        <w:rPr>
          <w:rFonts w:ascii="Times New Roman" w:hAnsi="Times New Roman" w:cs="Times New Roman"/>
          <w:sz w:val="26"/>
          <w:szCs w:val="26"/>
        </w:rPr>
        <w:t xml:space="preserve">UGI Electric, </w:t>
      </w:r>
      <w:r w:rsidR="003B4BD4">
        <w:rPr>
          <w:rFonts w:ascii="Times New Roman" w:hAnsi="Times New Roman" w:cs="Times New Roman"/>
          <w:sz w:val="26"/>
          <w:szCs w:val="26"/>
        </w:rPr>
        <w:t xml:space="preserve">I&amp;E, </w:t>
      </w:r>
      <w:r w:rsidR="00D10024">
        <w:rPr>
          <w:rFonts w:ascii="Times New Roman" w:hAnsi="Times New Roman" w:cs="Times New Roman"/>
          <w:sz w:val="26"/>
          <w:szCs w:val="26"/>
        </w:rPr>
        <w:t xml:space="preserve">the OCA, </w:t>
      </w:r>
      <w:r w:rsidR="00AF469E">
        <w:rPr>
          <w:rFonts w:ascii="Times New Roman" w:hAnsi="Times New Roman" w:cs="Times New Roman"/>
          <w:sz w:val="26"/>
          <w:szCs w:val="26"/>
        </w:rPr>
        <w:t>the OSBA, CAUSE-PA, CEO</w:t>
      </w:r>
      <w:r w:rsidR="00A14145">
        <w:rPr>
          <w:rFonts w:ascii="Times New Roman" w:hAnsi="Times New Roman" w:cs="Times New Roman"/>
          <w:sz w:val="26"/>
          <w:szCs w:val="26"/>
        </w:rPr>
        <w:t>, ChargePoint,</w:t>
      </w:r>
      <w:r w:rsidR="001F616D">
        <w:rPr>
          <w:rFonts w:ascii="Times New Roman" w:hAnsi="Times New Roman" w:cs="Times New Roman"/>
          <w:sz w:val="26"/>
          <w:szCs w:val="26"/>
        </w:rPr>
        <w:t xml:space="preserve"> and</w:t>
      </w:r>
      <w:r w:rsidR="00A14145">
        <w:rPr>
          <w:rFonts w:ascii="Times New Roman" w:hAnsi="Times New Roman" w:cs="Times New Roman"/>
          <w:sz w:val="26"/>
          <w:szCs w:val="26"/>
        </w:rPr>
        <w:t xml:space="preserve"> RESA/NRG,</w:t>
      </w:r>
      <w:r w:rsidR="00B54BE5">
        <w:rPr>
          <w:rFonts w:ascii="Times New Roman" w:hAnsi="Times New Roman" w:cs="Times New Roman"/>
          <w:sz w:val="26"/>
          <w:szCs w:val="26"/>
        </w:rPr>
        <w:t xml:space="preserve"> respectively.  </w:t>
      </w:r>
      <w:r w:rsidR="00D92B71">
        <w:rPr>
          <w:rFonts w:ascii="Times New Roman" w:hAnsi="Times New Roman" w:cs="Times New Roman"/>
          <w:sz w:val="26"/>
          <w:szCs w:val="26"/>
        </w:rPr>
        <w:t xml:space="preserve">  </w:t>
      </w:r>
      <w:r w:rsidR="00934781">
        <w:rPr>
          <w:rFonts w:ascii="Times New Roman" w:hAnsi="Times New Roman" w:cs="Times New Roman"/>
          <w:sz w:val="26"/>
          <w:szCs w:val="26"/>
        </w:rPr>
        <w:t xml:space="preserve">  </w:t>
      </w:r>
      <w:r w:rsidRPr="004461A6">
        <w:rPr>
          <w:rFonts w:ascii="Times New Roman" w:hAnsi="Times New Roman" w:cs="Times New Roman"/>
          <w:sz w:val="26"/>
          <w:szCs w:val="26"/>
        </w:rPr>
        <w:t xml:space="preserve">   </w:t>
      </w:r>
    </w:p>
    <w:p w14:paraId="52DAC10A" w14:textId="77777777" w:rsidR="001F616D" w:rsidRDefault="001F616D" w:rsidP="00496081">
      <w:pPr>
        <w:spacing w:line="360" w:lineRule="auto"/>
        <w:ind w:firstLine="1440"/>
        <w:contextualSpacing/>
        <w:rPr>
          <w:rFonts w:ascii="Times New Roman" w:hAnsi="Times New Roman" w:cs="Times New Roman"/>
          <w:bCs/>
          <w:sz w:val="26"/>
          <w:szCs w:val="26"/>
        </w:rPr>
      </w:pPr>
    </w:p>
    <w:p w14:paraId="546A287F" w14:textId="596FF8D1" w:rsidR="002442A2" w:rsidRPr="00496081" w:rsidRDefault="002442A2" w:rsidP="00496081">
      <w:pPr>
        <w:spacing w:line="360" w:lineRule="auto"/>
        <w:ind w:firstLine="1440"/>
        <w:contextualSpacing/>
        <w:rPr>
          <w:rFonts w:ascii="Times New Roman" w:hAnsi="Times New Roman" w:cs="Times New Roman"/>
          <w:bCs/>
          <w:sz w:val="26"/>
          <w:szCs w:val="26"/>
        </w:rPr>
      </w:pPr>
      <w:r w:rsidRPr="00496081">
        <w:rPr>
          <w:rFonts w:ascii="Times New Roman" w:hAnsi="Times New Roman" w:cs="Times New Roman"/>
          <w:bCs/>
          <w:sz w:val="26"/>
          <w:szCs w:val="26"/>
        </w:rPr>
        <w:t>The essential terms of the Settlement a</w:t>
      </w:r>
      <w:r w:rsidR="00992095" w:rsidRPr="00496081">
        <w:rPr>
          <w:rFonts w:ascii="Times New Roman" w:hAnsi="Times New Roman" w:cs="Times New Roman"/>
          <w:bCs/>
          <w:sz w:val="26"/>
          <w:szCs w:val="26"/>
        </w:rPr>
        <w:t xml:space="preserve">re set forth in </w:t>
      </w:r>
      <w:r w:rsidR="00700FD0">
        <w:rPr>
          <w:rFonts w:ascii="Times New Roman" w:hAnsi="Times New Roman" w:cs="Times New Roman"/>
          <w:bCs/>
          <w:sz w:val="26"/>
          <w:szCs w:val="26"/>
        </w:rPr>
        <w:t>Section</w:t>
      </w:r>
      <w:r w:rsidR="00D5731D">
        <w:rPr>
          <w:rFonts w:ascii="Times New Roman" w:hAnsi="Times New Roman" w:cs="Times New Roman"/>
          <w:bCs/>
          <w:sz w:val="26"/>
          <w:szCs w:val="26"/>
        </w:rPr>
        <w:t xml:space="preserve"> III of the Joint Petition</w:t>
      </w:r>
      <w:r w:rsidR="0083542A" w:rsidRPr="00496081">
        <w:rPr>
          <w:rFonts w:ascii="Times New Roman" w:hAnsi="Times New Roman" w:cs="Times New Roman"/>
          <w:bCs/>
          <w:sz w:val="26"/>
          <w:szCs w:val="26"/>
        </w:rPr>
        <w:t xml:space="preserve">, which </w:t>
      </w:r>
      <w:r w:rsidR="008E23D1" w:rsidRPr="00496081">
        <w:rPr>
          <w:rFonts w:ascii="Times New Roman" w:hAnsi="Times New Roman" w:cs="Times New Roman"/>
          <w:bCs/>
          <w:sz w:val="26"/>
          <w:szCs w:val="26"/>
        </w:rPr>
        <w:t>is shown below in full as it</w:t>
      </w:r>
      <w:r w:rsidR="0083542A" w:rsidRPr="00496081">
        <w:rPr>
          <w:rFonts w:ascii="Times New Roman" w:hAnsi="Times New Roman" w:cs="Times New Roman"/>
          <w:bCs/>
          <w:sz w:val="26"/>
          <w:szCs w:val="26"/>
        </w:rPr>
        <w:t xml:space="preserve"> appear</w:t>
      </w:r>
      <w:r w:rsidR="008E23D1" w:rsidRPr="00496081">
        <w:rPr>
          <w:rFonts w:ascii="Times New Roman" w:hAnsi="Times New Roman" w:cs="Times New Roman"/>
          <w:bCs/>
          <w:sz w:val="26"/>
          <w:szCs w:val="26"/>
        </w:rPr>
        <w:t>s</w:t>
      </w:r>
      <w:r w:rsidR="0083542A" w:rsidRPr="00496081">
        <w:rPr>
          <w:rFonts w:ascii="Times New Roman" w:hAnsi="Times New Roman" w:cs="Times New Roman"/>
          <w:bCs/>
          <w:sz w:val="26"/>
          <w:szCs w:val="26"/>
        </w:rPr>
        <w:t xml:space="preserve"> in the Joint Petition:</w:t>
      </w:r>
    </w:p>
    <w:p w14:paraId="07A05FF0" w14:textId="77777777" w:rsidR="002F0822" w:rsidRPr="00496081" w:rsidRDefault="002F0822" w:rsidP="00922F6B">
      <w:pPr>
        <w:spacing w:after="0" w:line="240" w:lineRule="auto"/>
        <w:ind w:firstLine="1440"/>
        <w:contextualSpacing/>
        <w:rPr>
          <w:rFonts w:ascii="Times New Roman" w:hAnsi="Times New Roman" w:cs="Times New Roman"/>
          <w:bCs/>
          <w:sz w:val="26"/>
          <w:szCs w:val="26"/>
        </w:rPr>
      </w:pPr>
    </w:p>
    <w:p w14:paraId="48A160B3" w14:textId="4189EB8D" w:rsidR="001015EC" w:rsidRDefault="009A2CF3" w:rsidP="000B3A02">
      <w:pPr>
        <w:pStyle w:val="Heading6"/>
        <w:tabs>
          <w:tab w:val="center" w:pos="878"/>
          <w:tab w:val="center" w:pos="2034"/>
        </w:tabs>
        <w:spacing w:after="0" w:line="240" w:lineRule="auto"/>
        <w:ind w:left="1440" w:right="1440"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Pr>
          <w:rFonts w:ascii="Times New Roman" w:eastAsia="Times New Roman" w:hAnsi="Times New Roman" w:cs="Times New Roman"/>
          <w:sz w:val="26"/>
          <w:szCs w:val="26"/>
        </w:rPr>
        <w:tab/>
      </w:r>
      <w:r w:rsidR="00F74798">
        <w:rPr>
          <w:rFonts w:ascii="Times New Roman" w:eastAsia="Times New Roman" w:hAnsi="Times New Roman" w:cs="Times New Roman"/>
          <w:sz w:val="26"/>
          <w:szCs w:val="26"/>
        </w:rPr>
        <w:tab/>
      </w:r>
      <w:r w:rsidR="001015EC" w:rsidRPr="00927471">
        <w:rPr>
          <w:rFonts w:ascii="Times New Roman" w:eastAsia="Times New Roman" w:hAnsi="Times New Roman" w:cs="Times New Roman"/>
          <w:sz w:val="26"/>
          <w:szCs w:val="26"/>
        </w:rPr>
        <w:t xml:space="preserve">GENERAL </w:t>
      </w:r>
    </w:p>
    <w:p w14:paraId="07A0A95A" w14:textId="77777777" w:rsidR="009B5B93" w:rsidRDefault="009B5B93" w:rsidP="009B5B93">
      <w:pPr>
        <w:spacing w:after="0" w:line="240" w:lineRule="auto"/>
        <w:ind w:left="2160" w:right="1440"/>
        <w:jc w:val="both"/>
        <w:rPr>
          <w:rFonts w:ascii="Times New Roman" w:hAnsi="Times New Roman" w:cs="Times New Roman"/>
          <w:sz w:val="26"/>
          <w:szCs w:val="26"/>
        </w:rPr>
      </w:pPr>
    </w:p>
    <w:p w14:paraId="2AFF63FB" w14:textId="77777777" w:rsidR="009B5B93" w:rsidRDefault="009B5B93" w:rsidP="00F74798">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1015EC" w:rsidRPr="00927471">
        <w:rPr>
          <w:rFonts w:ascii="Times New Roman" w:hAnsi="Times New Roman" w:cs="Times New Roman"/>
          <w:sz w:val="26"/>
          <w:szCs w:val="26"/>
        </w:rPr>
        <w:t xml:space="preserve">The following terms of this Settlement reflect a carefully balanced compromise of the Joint Petitioners’ </w:t>
      </w:r>
      <w:r w:rsidR="001015EC" w:rsidRPr="00927471">
        <w:rPr>
          <w:rFonts w:ascii="Times New Roman" w:hAnsi="Times New Roman" w:cs="Times New Roman"/>
          <w:sz w:val="26"/>
          <w:szCs w:val="26"/>
        </w:rPr>
        <w:lastRenderedPageBreak/>
        <w:t xml:space="preserve">positions on various issues.  The Joint Petitioners agree that the Settlement is in the public interest.  </w:t>
      </w:r>
    </w:p>
    <w:p w14:paraId="72079BB3" w14:textId="0FFAFE6D" w:rsidR="001015EC" w:rsidRPr="00927471" w:rsidRDefault="001015EC" w:rsidP="00F74798">
      <w:pPr>
        <w:spacing w:after="0" w:line="240" w:lineRule="auto"/>
        <w:ind w:left="1440" w:right="1440" w:firstLine="720"/>
        <w:rPr>
          <w:rFonts w:ascii="Times New Roman" w:hAnsi="Times New Roman" w:cs="Times New Roman"/>
          <w:sz w:val="26"/>
          <w:szCs w:val="26"/>
        </w:rPr>
      </w:pPr>
      <w:r w:rsidRPr="00927471">
        <w:rPr>
          <w:rFonts w:ascii="Times New Roman" w:hAnsi="Times New Roman" w:cs="Times New Roman"/>
          <w:sz w:val="26"/>
          <w:szCs w:val="26"/>
        </w:rPr>
        <w:t xml:space="preserve"> </w:t>
      </w:r>
    </w:p>
    <w:p w14:paraId="28ED18B7" w14:textId="4C4B81AC" w:rsidR="001015EC" w:rsidRDefault="009B5B93" w:rsidP="00F74798">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1015EC" w:rsidRPr="00927471">
        <w:rPr>
          <w:rFonts w:ascii="Times New Roman" w:hAnsi="Times New Roman" w:cs="Times New Roman"/>
          <w:sz w:val="26"/>
          <w:szCs w:val="26"/>
        </w:rPr>
        <w:t xml:space="preserve">The Joint Petitioners agree that UGI Electric’s distribution base rate increase filing should be approved, including those tariff changes included in and specifically identified in </w:t>
      </w:r>
      <w:r w:rsidR="001015EC" w:rsidRPr="00927471">
        <w:rPr>
          <w:rFonts w:ascii="Times New Roman" w:hAnsi="Times New Roman" w:cs="Times New Roman"/>
          <w:b/>
          <w:sz w:val="26"/>
          <w:szCs w:val="26"/>
        </w:rPr>
        <w:t>Appendix A</w:t>
      </w:r>
      <w:r w:rsidR="001015EC" w:rsidRPr="00927471">
        <w:rPr>
          <w:rFonts w:ascii="Times New Roman" w:hAnsi="Times New Roman" w:cs="Times New Roman"/>
          <w:sz w:val="26"/>
          <w:szCs w:val="26"/>
        </w:rPr>
        <w:t xml:space="preserve"> attached hereto, subject to the terms and conditions of this Settlement that are specified below. </w:t>
      </w:r>
    </w:p>
    <w:p w14:paraId="07BA9109" w14:textId="77777777" w:rsidR="00F74798" w:rsidRPr="00927471" w:rsidRDefault="00F74798" w:rsidP="00F74798">
      <w:pPr>
        <w:spacing w:after="0" w:line="240" w:lineRule="auto"/>
        <w:ind w:left="1440" w:right="1440" w:firstLine="720"/>
        <w:rPr>
          <w:rFonts w:ascii="Times New Roman" w:hAnsi="Times New Roman" w:cs="Times New Roman"/>
          <w:sz w:val="26"/>
          <w:szCs w:val="26"/>
        </w:rPr>
      </w:pPr>
    </w:p>
    <w:p w14:paraId="150A3E35" w14:textId="1DDD76F2" w:rsidR="003D1F26" w:rsidRPr="00105483" w:rsidRDefault="00105483" w:rsidP="003D1F26">
      <w:pPr>
        <w:spacing w:after="0" w:line="240" w:lineRule="auto"/>
        <w:ind w:left="1440" w:right="1440"/>
        <w:rPr>
          <w:rFonts w:ascii="Times New Roman" w:hAnsi="Times New Roman" w:cs="Times New Roman"/>
          <w:b/>
          <w:bCs/>
          <w:sz w:val="26"/>
          <w:szCs w:val="26"/>
        </w:rPr>
      </w:pPr>
      <w:r w:rsidRPr="00105483">
        <w:rPr>
          <w:rFonts w:ascii="Times New Roman" w:hAnsi="Times New Roman" w:cs="Times New Roman"/>
          <w:b/>
          <w:bCs/>
          <w:sz w:val="26"/>
          <w:szCs w:val="26"/>
        </w:rPr>
        <w:t>B.</w:t>
      </w:r>
      <w:r w:rsidRPr="00105483">
        <w:rPr>
          <w:rFonts w:ascii="Times New Roman" w:hAnsi="Times New Roman" w:cs="Times New Roman"/>
          <w:b/>
          <w:bCs/>
          <w:sz w:val="26"/>
          <w:szCs w:val="26"/>
        </w:rPr>
        <w:tab/>
        <w:t>REVENUE REQUIREMENT</w:t>
      </w:r>
    </w:p>
    <w:p w14:paraId="36F3DFD6" w14:textId="5428F157" w:rsidR="00AC73BA" w:rsidRPr="003D1F26" w:rsidRDefault="00AC73BA" w:rsidP="003D1F26">
      <w:pPr>
        <w:spacing w:after="0" w:line="240" w:lineRule="auto"/>
        <w:ind w:left="1440" w:right="1440"/>
        <w:rPr>
          <w:rFonts w:ascii="Times New Roman" w:hAnsi="Times New Roman" w:cs="Times New Roman"/>
          <w:sz w:val="26"/>
          <w:szCs w:val="26"/>
        </w:rPr>
      </w:pPr>
      <w:r>
        <w:tab/>
      </w:r>
    </w:p>
    <w:p w14:paraId="3D523500" w14:textId="265CDE90" w:rsidR="001015EC" w:rsidRDefault="001015EC" w:rsidP="003B394C">
      <w:pPr>
        <w:spacing w:after="0" w:line="240" w:lineRule="auto"/>
        <w:ind w:left="1440" w:right="1440"/>
        <w:rPr>
          <w:rFonts w:ascii="Times New Roman" w:hAnsi="Times New Roman" w:cs="Times New Roman"/>
          <w:sz w:val="26"/>
          <w:szCs w:val="26"/>
        </w:rPr>
      </w:pPr>
      <w:r w:rsidRPr="003D1F26">
        <w:rPr>
          <w:rFonts w:ascii="Times New Roman" w:hAnsi="Times New Roman" w:cs="Times New Roman"/>
          <w:sz w:val="26"/>
          <w:szCs w:val="26"/>
        </w:rPr>
        <w:t xml:space="preserve">44. </w:t>
      </w:r>
      <w:r w:rsidR="0003713E">
        <w:rPr>
          <w:rFonts w:ascii="Times New Roman" w:hAnsi="Times New Roman" w:cs="Times New Roman"/>
          <w:sz w:val="26"/>
          <w:szCs w:val="26"/>
        </w:rPr>
        <w:tab/>
      </w:r>
      <w:r w:rsidRPr="003D1F26">
        <w:rPr>
          <w:rFonts w:ascii="Times New Roman" w:hAnsi="Times New Roman" w:cs="Times New Roman"/>
          <w:sz w:val="26"/>
          <w:szCs w:val="26"/>
        </w:rPr>
        <w:t xml:space="preserve">UGI Electric will be permitted to submit a revised tariff supplement consistent with </w:t>
      </w:r>
      <w:r w:rsidRPr="003D1F26">
        <w:rPr>
          <w:rFonts w:ascii="Times New Roman" w:hAnsi="Times New Roman" w:cs="Times New Roman"/>
          <w:b/>
          <w:sz w:val="26"/>
          <w:szCs w:val="26"/>
        </w:rPr>
        <w:t>Appendix A</w:t>
      </w:r>
      <w:r w:rsidRPr="003D1F26">
        <w:rPr>
          <w:rFonts w:ascii="Times New Roman" w:hAnsi="Times New Roman" w:cs="Times New Roman"/>
          <w:sz w:val="26"/>
          <w:szCs w:val="26"/>
        </w:rPr>
        <w:t xml:space="preserve"> that is designed to produce an annual distribution revenue increase of $6.15 million, to become effective on or before November</w:t>
      </w:r>
      <w:r w:rsidR="003B394C">
        <w:rPr>
          <w:rFonts w:ascii="Times New Roman" w:hAnsi="Times New Roman" w:cs="Times New Roman"/>
          <w:sz w:val="26"/>
          <w:szCs w:val="26"/>
        </w:rPr>
        <w:t> </w:t>
      </w:r>
      <w:r w:rsidRPr="003D1F26">
        <w:rPr>
          <w:rFonts w:ascii="Times New Roman" w:hAnsi="Times New Roman" w:cs="Times New Roman"/>
          <w:sz w:val="26"/>
          <w:szCs w:val="26"/>
        </w:rPr>
        <w:t xml:space="preserve">9, 2021, for service rendered thereafter.  The increase in annual distribution rate revenue is in lieu of the as filed increase of approximately $8.7 million. </w:t>
      </w:r>
      <w:r w:rsidR="00B63453">
        <w:rPr>
          <w:rFonts w:ascii="Times New Roman" w:hAnsi="Times New Roman" w:cs="Times New Roman"/>
          <w:sz w:val="26"/>
          <w:szCs w:val="26"/>
        </w:rPr>
        <w:t xml:space="preserve"> </w:t>
      </w:r>
      <w:r w:rsidRPr="003D1F26">
        <w:rPr>
          <w:rFonts w:ascii="Times New Roman" w:hAnsi="Times New Roman" w:cs="Times New Roman"/>
          <w:sz w:val="26"/>
          <w:szCs w:val="26"/>
        </w:rPr>
        <w:t xml:space="preserve">The settlement as to revenue requirement shall be a “black box” settlement, except for the items set forth below. </w:t>
      </w:r>
    </w:p>
    <w:p w14:paraId="71E46006" w14:textId="6144AD21" w:rsidR="009F4651" w:rsidRDefault="009F4651" w:rsidP="003B394C">
      <w:pPr>
        <w:spacing w:after="0" w:line="240" w:lineRule="auto"/>
        <w:ind w:left="1440" w:right="1440"/>
        <w:rPr>
          <w:rFonts w:ascii="Times New Roman" w:hAnsi="Times New Roman" w:cs="Times New Roman"/>
          <w:sz w:val="26"/>
          <w:szCs w:val="26"/>
        </w:rPr>
      </w:pPr>
    </w:p>
    <w:p w14:paraId="15C82602" w14:textId="7508F46B" w:rsidR="001015EC" w:rsidRDefault="000127F8" w:rsidP="003B394C">
      <w:pPr>
        <w:pStyle w:val="Heading6"/>
        <w:tabs>
          <w:tab w:val="center" w:pos="885"/>
        </w:tabs>
        <w:spacing w:after="0" w:line="240" w:lineRule="auto"/>
        <w:ind w:left="360" w:right="1440"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C2BDA">
        <w:rPr>
          <w:rFonts w:ascii="Times New Roman" w:eastAsia="Times New Roman" w:hAnsi="Times New Roman" w:cs="Times New Roman"/>
          <w:sz w:val="26"/>
          <w:szCs w:val="26"/>
        </w:rPr>
        <w:tab/>
        <w:t>C</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sidR="001015EC" w:rsidRPr="003D1F26">
        <w:rPr>
          <w:rFonts w:ascii="Times New Roman" w:eastAsia="Times New Roman" w:hAnsi="Times New Roman" w:cs="Times New Roman"/>
          <w:sz w:val="26"/>
          <w:szCs w:val="26"/>
        </w:rPr>
        <w:t xml:space="preserve">REVENUE ALLOCATION AND RATE DESIGN </w:t>
      </w:r>
    </w:p>
    <w:p w14:paraId="7FF2E122" w14:textId="77777777" w:rsidR="000127F8" w:rsidRPr="000127F8" w:rsidRDefault="000127F8" w:rsidP="003B394C">
      <w:pPr>
        <w:spacing w:after="0" w:line="240" w:lineRule="auto"/>
        <w:ind w:left="360"/>
      </w:pPr>
    </w:p>
    <w:p w14:paraId="1426FC65" w14:textId="5485D679" w:rsidR="001015EC" w:rsidRPr="00DC2BDA" w:rsidRDefault="001015EC" w:rsidP="003B394C">
      <w:pPr>
        <w:numPr>
          <w:ilvl w:val="0"/>
          <w:numId w:val="6"/>
        </w:numPr>
        <w:spacing w:after="0" w:line="240" w:lineRule="auto"/>
        <w:ind w:left="1440" w:right="1440"/>
        <w:rPr>
          <w:rFonts w:ascii="Times New Roman" w:hAnsi="Times New Roman" w:cs="Times New Roman"/>
          <w:sz w:val="26"/>
          <w:szCs w:val="26"/>
        </w:rPr>
      </w:pPr>
      <w:r w:rsidRPr="00DC2BDA">
        <w:rPr>
          <w:rFonts w:ascii="Times New Roman" w:hAnsi="Times New Roman" w:cs="Times New Roman"/>
          <w:sz w:val="26"/>
          <w:szCs w:val="26"/>
          <w:u w:val="single" w:color="000000"/>
        </w:rPr>
        <w:t>Billing Determinants</w:t>
      </w:r>
      <w:r w:rsidRPr="00DC2BDA">
        <w:rPr>
          <w:rFonts w:ascii="Times New Roman" w:hAnsi="Times New Roman" w:cs="Times New Roman"/>
          <w:sz w:val="26"/>
          <w:szCs w:val="26"/>
        </w:rPr>
        <w:t xml:space="preserve">:  Billing determinants will be based on the Company’s UGI Electric Exhibit E, Proof of Revenue. </w:t>
      </w:r>
    </w:p>
    <w:p w14:paraId="64ECB6D7" w14:textId="77777777" w:rsidR="00DC2BDA" w:rsidRPr="00DC2BDA" w:rsidRDefault="00DC2BDA" w:rsidP="00DC2BDA">
      <w:pPr>
        <w:spacing w:after="0" w:line="240" w:lineRule="auto"/>
        <w:ind w:left="2160" w:right="1440"/>
        <w:rPr>
          <w:rFonts w:ascii="Times New Roman" w:hAnsi="Times New Roman" w:cs="Times New Roman"/>
          <w:sz w:val="26"/>
          <w:szCs w:val="26"/>
        </w:rPr>
      </w:pPr>
    </w:p>
    <w:p w14:paraId="36AD6803" w14:textId="3290032D" w:rsidR="001015EC" w:rsidRDefault="001015EC" w:rsidP="00DC2BDA">
      <w:pPr>
        <w:numPr>
          <w:ilvl w:val="0"/>
          <w:numId w:val="6"/>
        </w:numPr>
        <w:spacing w:after="0" w:line="240" w:lineRule="auto"/>
        <w:ind w:left="1440" w:right="1440"/>
        <w:rPr>
          <w:rFonts w:ascii="Times New Roman" w:hAnsi="Times New Roman" w:cs="Times New Roman"/>
          <w:sz w:val="26"/>
          <w:szCs w:val="26"/>
        </w:rPr>
      </w:pPr>
      <w:r w:rsidRPr="003D1F26">
        <w:rPr>
          <w:rFonts w:ascii="Times New Roman" w:hAnsi="Times New Roman" w:cs="Times New Roman"/>
          <w:sz w:val="26"/>
          <w:szCs w:val="26"/>
          <w:u w:val="single" w:color="000000"/>
        </w:rPr>
        <w:t>Revenue Allocation</w:t>
      </w:r>
      <w:r w:rsidRPr="003D1F26">
        <w:rPr>
          <w:rFonts w:ascii="Times New Roman" w:hAnsi="Times New Roman" w:cs="Times New Roman"/>
          <w:sz w:val="26"/>
          <w:szCs w:val="26"/>
        </w:rPr>
        <w:t xml:space="preserve">:  Class revenue allocation will be based on the following table: </w:t>
      </w:r>
    </w:p>
    <w:p w14:paraId="59D69F87" w14:textId="77777777" w:rsidR="007B3569" w:rsidRPr="003D1F26" w:rsidRDefault="007B3569" w:rsidP="007B3569">
      <w:pPr>
        <w:spacing w:after="0" w:line="240" w:lineRule="auto"/>
        <w:ind w:left="1440" w:right="1440"/>
        <w:rPr>
          <w:rFonts w:ascii="Times New Roman" w:hAnsi="Times New Roman" w:cs="Times New Roman"/>
          <w:sz w:val="26"/>
          <w:szCs w:val="26"/>
        </w:rPr>
      </w:pPr>
    </w:p>
    <w:tbl>
      <w:tblPr>
        <w:tblStyle w:val="TableGrid"/>
        <w:tblW w:w="10061" w:type="dxa"/>
        <w:tblInd w:w="-355" w:type="dxa"/>
        <w:tblCellMar>
          <w:top w:w="48" w:type="dxa"/>
          <w:left w:w="28" w:type="dxa"/>
          <w:right w:w="18" w:type="dxa"/>
        </w:tblCellMar>
        <w:tblLook w:val="04A0" w:firstRow="1" w:lastRow="0" w:firstColumn="1" w:lastColumn="0" w:noHBand="0" w:noVBand="1"/>
      </w:tblPr>
      <w:tblGrid>
        <w:gridCol w:w="1086"/>
        <w:gridCol w:w="1344"/>
        <w:gridCol w:w="976"/>
        <w:gridCol w:w="1403"/>
        <w:gridCol w:w="1269"/>
        <w:gridCol w:w="1273"/>
        <w:gridCol w:w="1174"/>
        <w:gridCol w:w="1029"/>
        <w:gridCol w:w="1002"/>
      </w:tblGrid>
      <w:tr w:rsidR="001015EC" w:rsidRPr="00CE04F3" w14:paraId="65154429" w14:textId="77777777" w:rsidTr="001C7490">
        <w:trPr>
          <w:trHeight w:val="659"/>
        </w:trPr>
        <w:tc>
          <w:tcPr>
            <w:tcW w:w="1761" w:type="dxa"/>
            <w:tcBorders>
              <w:top w:val="single" w:sz="5" w:space="0" w:color="D4D4D4"/>
              <w:left w:val="single" w:sz="5" w:space="0" w:color="D4D4D4"/>
              <w:bottom w:val="single" w:sz="4" w:space="0" w:color="000000"/>
              <w:right w:val="single" w:sz="5" w:space="0" w:color="D4D4D4"/>
            </w:tcBorders>
            <w:vAlign w:val="bottom"/>
          </w:tcPr>
          <w:p w14:paraId="357C1335" w14:textId="77777777" w:rsidR="001015EC" w:rsidRPr="00CE04F3" w:rsidRDefault="001015EC" w:rsidP="003B394C">
            <w:pPr>
              <w:keepNext/>
              <w:keepLines/>
              <w:ind w:right="26"/>
              <w:jc w:val="center"/>
              <w:rPr>
                <w:rFonts w:ascii="Times New Roman" w:hAnsi="Times New Roman" w:cs="Times New Roman"/>
                <w:sz w:val="26"/>
                <w:szCs w:val="26"/>
              </w:rPr>
            </w:pPr>
            <w:r w:rsidRPr="00CE04F3">
              <w:rPr>
                <w:rFonts w:ascii="Times New Roman" w:eastAsia="Arial" w:hAnsi="Times New Roman" w:cs="Times New Roman"/>
                <w:b/>
                <w:sz w:val="26"/>
                <w:szCs w:val="26"/>
              </w:rPr>
              <w:lastRenderedPageBreak/>
              <w:t>Rate</w:t>
            </w:r>
          </w:p>
        </w:tc>
        <w:tc>
          <w:tcPr>
            <w:tcW w:w="966" w:type="dxa"/>
            <w:tcBorders>
              <w:top w:val="single" w:sz="5" w:space="0" w:color="D4D4D4"/>
              <w:left w:val="single" w:sz="5" w:space="0" w:color="D4D4D4"/>
              <w:bottom w:val="single" w:sz="4" w:space="0" w:color="000000"/>
              <w:right w:val="single" w:sz="5" w:space="0" w:color="D4D4D4"/>
            </w:tcBorders>
            <w:vAlign w:val="bottom"/>
          </w:tcPr>
          <w:p w14:paraId="73F9A31B" w14:textId="77777777" w:rsidR="001015EC" w:rsidRPr="00CE04F3" w:rsidRDefault="001015EC" w:rsidP="003B394C">
            <w:pPr>
              <w:keepNext/>
              <w:keepLines/>
              <w:ind w:left="99"/>
              <w:rPr>
                <w:rFonts w:ascii="Times New Roman" w:hAnsi="Times New Roman" w:cs="Times New Roman"/>
                <w:sz w:val="26"/>
                <w:szCs w:val="26"/>
              </w:rPr>
            </w:pPr>
            <w:r w:rsidRPr="00CE04F3">
              <w:rPr>
                <w:rFonts w:ascii="Times New Roman" w:eastAsia="Arial" w:hAnsi="Times New Roman" w:cs="Times New Roman"/>
                <w:b/>
                <w:sz w:val="26"/>
                <w:szCs w:val="26"/>
              </w:rPr>
              <w:t>Customers</w:t>
            </w:r>
          </w:p>
        </w:tc>
        <w:tc>
          <w:tcPr>
            <w:tcW w:w="962" w:type="dxa"/>
            <w:tcBorders>
              <w:top w:val="single" w:sz="5" w:space="0" w:color="D4D4D4"/>
              <w:left w:val="single" w:sz="5" w:space="0" w:color="D4D4D4"/>
              <w:bottom w:val="single" w:sz="4" w:space="0" w:color="000000"/>
              <w:right w:val="single" w:sz="5" w:space="0" w:color="D4D4D4"/>
            </w:tcBorders>
            <w:vAlign w:val="bottom"/>
          </w:tcPr>
          <w:p w14:paraId="4AF32E41" w14:textId="77777777" w:rsidR="001015EC" w:rsidRPr="00CE04F3" w:rsidRDefault="001015EC" w:rsidP="003B394C">
            <w:pPr>
              <w:keepNext/>
              <w:keepLines/>
              <w:ind w:right="5"/>
              <w:jc w:val="center"/>
              <w:rPr>
                <w:rFonts w:ascii="Times New Roman" w:hAnsi="Times New Roman" w:cs="Times New Roman"/>
                <w:sz w:val="26"/>
                <w:szCs w:val="26"/>
              </w:rPr>
            </w:pPr>
            <w:r w:rsidRPr="00CE04F3">
              <w:rPr>
                <w:rFonts w:ascii="Times New Roman" w:eastAsia="Arial" w:hAnsi="Times New Roman" w:cs="Times New Roman"/>
                <w:b/>
                <w:sz w:val="26"/>
                <w:szCs w:val="26"/>
              </w:rPr>
              <w:t>Fixtures</w:t>
            </w:r>
          </w:p>
        </w:tc>
        <w:tc>
          <w:tcPr>
            <w:tcW w:w="1147" w:type="dxa"/>
            <w:tcBorders>
              <w:top w:val="single" w:sz="5" w:space="0" w:color="D4D4D4"/>
              <w:left w:val="single" w:sz="5" w:space="0" w:color="D4D4D4"/>
              <w:bottom w:val="single" w:sz="4" w:space="0" w:color="000000"/>
              <w:right w:val="single" w:sz="5" w:space="0" w:color="D4D4D4"/>
            </w:tcBorders>
            <w:vAlign w:val="bottom"/>
          </w:tcPr>
          <w:p w14:paraId="6E425FBB" w14:textId="77777777" w:rsidR="001015EC" w:rsidRPr="00CE04F3" w:rsidRDefault="001015EC" w:rsidP="003B394C">
            <w:pPr>
              <w:keepNext/>
              <w:keepLines/>
              <w:ind w:right="8"/>
              <w:jc w:val="center"/>
              <w:rPr>
                <w:rFonts w:ascii="Times New Roman" w:hAnsi="Times New Roman" w:cs="Times New Roman"/>
                <w:sz w:val="26"/>
                <w:szCs w:val="26"/>
              </w:rPr>
            </w:pPr>
            <w:r w:rsidRPr="00CE04F3">
              <w:rPr>
                <w:rFonts w:ascii="Times New Roman" w:eastAsia="Arial" w:hAnsi="Times New Roman" w:cs="Times New Roman"/>
                <w:b/>
                <w:sz w:val="26"/>
                <w:szCs w:val="26"/>
              </w:rPr>
              <w:t>Sales (kWh)</w:t>
            </w:r>
          </w:p>
        </w:tc>
        <w:tc>
          <w:tcPr>
            <w:tcW w:w="1014" w:type="dxa"/>
            <w:tcBorders>
              <w:top w:val="single" w:sz="5" w:space="0" w:color="D4D4D4"/>
              <w:left w:val="single" w:sz="5" w:space="0" w:color="D4D4D4"/>
              <w:bottom w:val="single" w:sz="4" w:space="0" w:color="000000"/>
              <w:right w:val="single" w:sz="5" w:space="0" w:color="D4D4D4"/>
            </w:tcBorders>
            <w:vAlign w:val="bottom"/>
          </w:tcPr>
          <w:p w14:paraId="035F8D43" w14:textId="77777777" w:rsidR="001015EC" w:rsidRPr="00CE04F3" w:rsidRDefault="001015EC" w:rsidP="003B394C">
            <w:pPr>
              <w:keepNext/>
              <w:keepLines/>
              <w:ind w:left="173" w:hanging="151"/>
              <w:rPr>
                <w:rFonts w:ascii="Times New Roman" w:hAnsi="Times New Roman" w:cs="Times New Roman"/>
                <w:sz w:val="26"/>
                <w:szCs w:val="26"/>
              </w:rPr>
            </w:pPr>
            <w:r w:rsidRPr="00CE04F3">
              <w:rPr>
                <w:rFonts w:ascii="Times New Roman" w:eastAsia="Arial" w:hAnsi="Times New Roman" w:cs="Times New Roman"/>
                <w:b/>
                <w:sz w:val="26"/>
                <w:szCs w:val="26"/>
              </w:rPr>
              <w:t>Total Present Revenue</w:t>
            </w:r>
          </w:p>
        </w:tc>
        <w:tc>
          <w:tcPr>
            <w:tcW w:w="1018" w:type="dxa"/>
            <w:tcBorders>
              <w:top w:val="single" w:sz="5" w:space="0" w:color="D4D4D4"/>
              <w:left w:val="single" w:sz="5" w:space="0" w:color="D4D4D4"/>
              <w:bottom w:val="single" w:sz="4" w:space="0" w:color="000000"/>
              <w:right w:val="single" w:sz="5" w:space="0" w:color="D4D4D4"/>
            </w:tcBorders>
            <w:vAlign w:val="bottom"/>
          </w:tcPr>
          <w:p w14:paraId="03BAEE6D" w14:textId="77777777" w:rsidR="001015EC" w:rsidRPr="00CE04F3" w:rsidRDefault="001015EC" w:rsidP="003B394C">
            <w:pPr>
              <w:keepNext/>
              <w:keepLines/>
              <w:ind w:left="177" w:hanging="22"/>
              <w:rPr>
                <w:rFonts w:ascii="Times New Roman" w:hAnsi="Times New Roman" w:cs="Times New Roman"/>
                <w:sz w:val="26"/>
                <w:szCs w:val="26"/>
              </w:rPr>
            </w:pPr>
            <w:r w:rsidRPr="00CE04F3">
              <w:rPr>
                <w:rFonts w:ascii="Times New Roman" w:eastAsia="Arial" w:hAnsi="Times New Roman" w:cs="Times New Roman"/>
                <w:b/>
                <w:sz w:val="26"/>
                <w:szCs w:val="26"/>
              </w:rPr>
              <w:t>Proposed Revenue</w:t>
            </w:r>
          </w:p>
        </w:tc>
        <w:tc>
          <w:tcPr>
            <w:tcW w:w="1006" w:type="dxa"/>
            <w:tcBorders>
              <w:top w:val="single" w:sz="5" w:space="0" w:color="D4D4D4"/>
              <w:left w:val="single" w:sz="5" w:space="0" w:color="D4D4D4"/>
              <w:bottom w:val="single" w:sz="4" w:space="0" w:color="000000"/>
              <w:right w:val="single" w:sz="5" w:space="0" w:color="D4D4D4"/>
            </w:tcBorders>
            <w:vAlign w:val="bottom"/>
          </w:tcPr>
          <w:p w14:paraId="35599015" w14:textId="77777777" w:rsidR="001015EC" w:rsidRPr="00CE04F3" w:rsidRDefault="001015EC" w:rsidP="003B394C">
            <w:pPr>
              <w:keepNext/>
              <w:keepLines/>
              <w:ind w:left="217" w:hanging="43"/>
              <w:rPr>
                <w:rFonts w:ascii="Times New Roman" w:hAnsi="Times New Roman" w:cs="Times New Roman"/>
                <w:sz w:val="26"/>
                <w:szCs w:val="26"/>
              </w:rPr>
            </w:pPr>
            <w:r w:rsidRPr="00CE04F3">
              <w:rPr>
                <w:rFonts w:ascii="Times New Roman" w:eastAsia="Arial" w:hAnsi="Times New Roman" w:cs="Times New Roman"/>
                <w:b/>
                <w:sz w:val="26"/>
                <w:szCs w:val="26"/>
              </w:rPr>
              <w:t>Revenue Change</w:t>
            </w:r>
          </w:p>
        </w:tc>
        <w:tc>
          <w:tcPr>
            <w:tcW w:w="1182" w:type="dxa"/>
            <w:tcBorders>
              <w:top w:val="single" w:sz="5" w:space="0" w:color="D4D4D4"/>
              <w:left w:val="single" w:sz="5" w:space="0" w:color="D4D4D4"/>
              <w:bottom w:val="single" w:sz="4" w:space="0" w:color="000000"/>
              <w:right w:val="single" w:sz="5" w:space="0" w:color="D4D4D4"/>
            </w:tcBorders>
          </w:tcPr>
          <w:p w14:paraId="47F95038" w14:textId="77777777" w:rsidR="001015EC" w:rsidRPr="00CE04F3" w:rsidRDefault="001015EC" w:rsidP="003B394C">
            <w:pPr>
              <w:keepNext/>
              <w:keepLines/>
              <w:spacing w:after="2"/>
              <w:ind w:left="130" w:hanging="117"/>
              <w:rPr>
                <w:rFonts w:ascii="Times New Roman" w:hAnsi="Times New Roman" w:cs="Times New Roman"/>
                <w:sz w:val="26"/>
                <w:szCs w:val="26"/>
              </w:rPr>
            </w:pPr>
            <w:r w:rsidRPr="00CE04F3">
              <w:rPr>
                <w:rFonts w:ascii="Times New Roman" w:eastAsia="Arial" w:hAnsi="Times New Roman" w:cs="Times New Roman"/>
                <w:b/>
                <w:sz w:val="26"/>
                <w:szCs w:val="26"/>
              </w:rPr>
              <w:t xml:space="preserve">Percent Change from Present </w:t>
            </w:r>
          </w:p>
          <w:p w14:paraId="42873EF9" w14:textId="77777777" w:rsidR="001015EC" w:rsidRPr="00CE04F3" w:rsidRDefault="001015EC" w:rsidP="003B394C">
            <w:pPr>
              <w:keepNext/>
              <w:keepLines/>
              <w:ind w:right="14"/>
              <w:jc w:val="center"/>
              <w:rPr>
                <w:rFonts w:ascii="Times New Roman" w:hAnsi="Times New Roman" w:cs="Times New Roman"/>
                <w:sz w:val="26"/>
                <w:szCs w:val="26"/>
              </w:rPr>
            </w:pPr>
            <w:r w:rsidRPr="00CE04F3">
              <w:rPr>
                <w:rFonts w:ascii="Times New Roman" w:eastAsia="Arial" w:hAnsi="Times New Roman" w:cs="Times New Roman"/>
                <w:b/>
                <w:sz w:val="26"/>
                <w:szCs w:val="26"/>
              </w:rPr>
              <w:t>Revenue</w:t>
            </w:r>
          </w:p>
        </w:tc>
        <w:tc>
          <w:tcPr>
            <w:tcW w:w="1006" w:type="dxa"/>
            <w:tcBorders>
              <w:top w:val="single" w:sz="5" w:space="0" w:color="D4D4D4"/>
              <w:left w:val="single" w:sz="5" w:space="0" w:color="D4D4D4"/>
              <w:bottom w:val="single" w:sz="4" w:space="0" w:color="000000"/>
              <w:right w:val="single" w:sz="5" w:space="0" w:color="D4D4D4"/>
            </w:tcBorders>
          </w:tcPr>
          <w:p w14:paraId="5987ACFF" w14:textId="77777777" w:rsidR="001015EC" w:rsidRPr="00CE04F3" w:rsidRDefault="001015EC" w:rsidP="003B394C">
            <w:pPr>
              <w:keepNext/>
              <w:keepLines/>
              <w:spacing w:after="8"/>
              <w:ind w:right="17"/>
              <w:jc w:val="center"/>
              <w:rPr>
                <w:rFonts w:ascii="Times New Roman" w:hAnsi="Times New Roman" w:cs="Times New Roman"/>
                <w:sz w:val="26"/>
                <w:szCs w:val="26"/>
              </w:rPr>
            </w:pPr>
            <w:r w:rsidRPr="00CE04F3">
              <w:rPr>
                <w:rFonts w:ascii="Times New Roman" w:eastAsia="Arial" w:hAnsi="Times New Roman" w:cs="Times New Roman"/>
                <w:b/>
                <w:sz w:val="26"/>
                <w:szCs w:val="26"/>
              </w:rPr>
              <w:t xml:space="preserve">Percent of </w:t>
            </w:r>
          </w:p>
          <w:p w14:paraId="4504AAF9" w14:textId="77777777" w:rsidR="001015EC" w:rsidRPr="00CE04F3" w:rsidRDefault="001015EC" w:rsidP="003B394C">
            <w:pPr>
              <w:keepNext/>
              <w:keepLines/>
              <w:spacing w:after="10"/>
              <w:ind w:right="29"/>
              <w:jc w:val="center"/>
              <w:rPr>
                <w:rFonts w:ascii="Times New Roman" w:hAnsi="Times New Roman" w:cs="Times New Roman"/>
                <w:sz w:val="26"/>
                <w:szCs w:val="26"/>
              </w:rPr>
            </w:pPr>
            <w:r w:rsidRPr="00CE04F3">
              <w:rPr>
                <w:rFonts w:ascii="Times New Roman" w:eastAsia="Arial" w:hAnsi="Times New Roman" w:cs="Times New Roman"/>
                <w:b/>
                <w:sz w:val="26"/>
                <w:szCs w:val="26"/>
              </w:rPr>
              <w:t xml:space="preserve">Total Rate </w:t>
            </w:r>
          </w:p>
          <w:p w14:paraId="5F1FE15B" w14:textId="77777777" w:rsidR="001015EC" w:rsidRPr="00CE04F3" w:rsidRDefault="001015EC" w:rsidP="003B394C">
            <w:pPr>
              <w:keepNext/>
              <w:keepLines/>
              <w:ind w:right="17"/>
              <w:jc w:val="center"/>
              <w:rPr>
                <w:rFonts w:ascii="Times New Roman" w:hAnsi="Times New Roman" w:cs="Times New Roman"/>
                <w:sz w:val="26"/>
                <w:szCs w:val="26"/>
              </w:rPr>
            </w:pPr>
            <w:r w:rsidRPr="00CE04F3">
              <w:rPr>
                <w:rFonts w:ascii="Times New Roman" w:eastAsia="Arial" w:hAnsi="Times New Roman" w:cs="Times New Roman"/>
                <w:b/>
                <w:sz w:val="26"/>
                <w:szCs w:val="26"/>
              </w:rPr>
              <w:t>Increase</w:t>
            </w:r>
          </w:p>
        </w:tc>
      </w:tr>
      <w:tr w:rsidR="001015EC" w:rsidRPr="00CE04F3" w14:paraId="5A182F61" w14:textId="77777777" w:rsidTr="001C7490">
        <w:trPr>
          <w:trHeight w:val="214"/>
        </w:trPr>
        <w:tc>
          <w:tcPr>
            <w:tcW w:w="1761" w:type="dxa"/>
            <w:tcBorders>
              <w:top w:val="single" w:sz="4" w:space="0" w:color="000000"/>
              <w:left w:val="single" w:sz="5" w:space="0" w:color="D4D4D4"/>
              <w:bottom w:val="single" w:sz="5" w:space="0" w:color="D4D4D4"/>
              <w:right w:val="single" w:sz="5" w:space="0" w:color="D4D4D4"/>
            </w:tcBorders>
          </w:tcPr>
          <w:p w14:paraId="7BE4CC81" w14:textId="77777777" w:rsidR="001015EC" w:rsidRPr="00CE04F3" w:rsidRDefault="001015EC" w:rsidP="003B394C">
            <w:pPr>
              <w:keepNext/>
              <w:keepLines/>
              <w:spacing w:line="259" w:lineRule="auto"/>
              <w:rPr>
                <w:rFonts w:ascii="Times New Roman" w:hAnsi="Times New Roman" w:cs="Times New Roman"/>
                <w:sz w:val="26"/>
                <w:szCs w:val="26"/>
              </w:rPr>
            </w:pPr>
            <w:r w:rsidRPr="00CE04F3">
              <w:rPr>
                <w:rFonts w:ascii="Times New Roman" w:eastAsia="Calibri" w:hAnsi="Times New Roman" w:cs="Times New Roman"/>
                <w:sz w:val="26"/>
                <w:szCs w:val="26"/>
              </w:rPr>
              <w:t xml:space="preserve">R </w:t>
            </w:r>
          </w:p>
        </w:tc>
        <w:tc>
          <w:tcPr>
            <w:tcW w:w="966" w:type="dxa"/>
            <w:tcBorders>
              <w:top w:val="single" w:sz="4" w:space="0" w:color="000000"/>
              <w:left w:val="single" w:sz="5" w:space="0" w:color="D4D4D4"/>
              <w:bottom w:val="single" w:sz="5" w:space="0" w:color="D4D4D4"/>
              <w:right w:val="single" w:sz="5" w:space="0" w:color="D4D4D4"/>
            </w:tcBorders>
          </w:tcPr>
          <w:p w14:paraId="13867B7C" w14:textId="77777777" w:rsidR="001015EC" w:rsidRPr="00CE04F3" w:rsidRDefault="001015EC" w:rsidP="003B394C">
            <w:pPr>
              <w:keepNext/>
              <w:keepLines/>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55,038</w:t>
            </w:r>
          </w:p>
        </w:tc>
        <w:tc>
          <w:tcPr>
            <w:tcW w:w="962" w:type="dxa"/>
            <w:tcBorders>
              <w:top w:val="single" w:sz="4" w:space="0" w:color="000000"/>
              <w:left w:val="single" w:sz="5" w:space="0" w:color="D4D4D4"/>
              <w:bottom w:val="single" w:sz="5" w:space="0" w:color="D4D4D4"/>
              <w:right w:val="single" w:sz="5" w:space="0" w:color="D4D4D4"/>
            </w:tcBorders>
          </w:tcPr>
          <w:p w14:paraId="293BF906" w14:textId="77777777" w:rsidR="001015EC" w:rsidRPr="00CE04F3" w:rsidRDefault="001015EC" w:rsidP="003B394C">
            <w:pPr>
              <w:keepNext/>
              <w:keepLines/>
              <w:spacing w:after="160" w:line="259" w:lineRule="auto"/>
              <w:rPr>
                <w:rFonts w:ascii="Times New Roman" w:hAnsi="Times New Roman" w:cs="Times New Roman"/>
                <w:sz w:val="26"/>
                <w:szCs w:val="26"/>
              </w:rPr>
            </w:pPr>
          </w:p>
        </w:tc>
        <w:tc>
          <w:tcPr>
            <w:tcW w:w="1147" w:type="dxa"/>
            <w:tcBorders>
              <w:top w:val="single" w:sz="4" w:space="0" w:color="000000"/>
              <w:left w:val="single" w:sz="5" w:space="0" w:color="D4D4D4"/>
              <w:bottom w:val="single" w:sz="5" w:space="0" w:color="D4D4D4"/>
              <w:right w:val="single" w:sz="5" w:space="0" w:color="D4D4D4"/>
            </w:tcBorders>
          </w:tcPr>
          <w:p w14:paraId="7CCD1EC3" w14:textId="77777777" w:rsidR="001015EC" w:rsidRPr="00CE04F3" w:rsidRDefault="001015EC" w:rsidP="003B394C">
            <w:pPr>
              <w:keepNext/>
              <w:keepLines/>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568,717,339</w:t>
            </w:r>
          </w:p>
        </w:tc>
        <w:tc>
          <w:tcPr>
            <w:tcW w:w="1014" w:type="dxa"/>
            <w:tcBorders>
              <w:top w:val="single" w:sz="4" w:space="0" w:color="000000"/>
              <w:left w:val="single" w:sz="5" w:space="0" w:color="D4D4D4"/>
              <w:bottom w:val="single" w:sz="5" w:space="0" w:color="D4D4D4"/>
              <w:right w:val="single" w:sz="5" w:space="0" w:color="D4D4D4"/>
            </w:tcBorders>
          </w:tcPr>
          <w:p w14:paraId="642218E5" w14:textId="77777777" w:rsidR="001015EC" w:rsidRPr="00CE04F3" w:rsidRDefault="001015EC" w:rsidP="003B394C">
            <w:pPr>
              <w:keepNext/>
              <w:keepLines/>
              <w:spacing w:line="259" w:lineRule="auto"/>
              <w:ind w:left="53"/>
              <w:rPr>
                <w:rFonts w:ascii="Times New Roman" w:hAnsi="Times New Roman" w:cs="Times New Roman"/>
                <w:sz w:val="26"/>
                <w:szCs w:val="26"/>
              </w:rPr>
            </w:pPr>
            <w:r w:rsidRPr="00CE04F3">
              <w:rPr>
                <w:rFonts w:ascii="Times New Roman" w:eastAsia="Calibri" w:hAnsi="Times New Roman" w:cs="Times New Roman"/>
                <w:sz w:val="26"/>
                <w:szCs w:val="26"/>
              </w:rPr>
              <w:t>$   63,035,939</w:t>
            </w:r>
          </w:p>
        </w:tc>
        <w:tc>
          <w:tcPr>
            <w:tcW w:w="1018" w:type="dxa"/>
            <w:tcBorders>
              <w:top w:val="single" w:sz="4" w:space="0" w:color="000000"/>
              <w:left w:val="single" w:sz="5" w:space="0" w:color="D4D4D4"/>
              <w:bottom w:val="single" w:sz="5" w:space="0" w:color="D4D4D4"/>
              <w:right w:val="single" w:sz="5" w:space="0" w:color="D4D4D4"/>
            </w:tcBorders>
          </w:tcPr>
          <w:p w14:paraId="0B22055A" w14:textId="77777777" w:rsidR="001015EC" w:rsidRPr="00CE04F3" w:rsidRDefault="001015EC" w:rsidP="003B394C">
            <w:pPr>
              <w:keepNext/>
              <w:keepLines/>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68,479,988</w:t>
            </w:r>
          </w:p>
        </w:tc>
        <w:tc>
          <w:tcPr>
            <w:tcW w:w="1006" w:type="dxa"/>
            <w:tcBorders>
              <w:top w:val="single" w:sz="4" w:space="0" w:color="000000"/>
              <w:left w:val="single" w:sz="5" w:space="0" w:color="D4D4D4"/>
              <w:bottom w:val="single" w:sz="5" w:space="0" w:color="D4D4D4"/>
              <w:right w:val="single" w:sz="5" w:space="0" w:color="D4D4D4"/>
            </w:tcBorders>
          </w:tcPr>
          <w:p w14:paraId="33340059" w14:textId="77777777" w:rsidR="001015EC" w:rsidRPr="00CE04F3" w:rsidRDefault="001015EC" w:rsidP="003B394C">
            <w:pPr>
              <w:keepNext/>
              <w:keepLines/>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5,444,049</w:t>
            </w:r>
          </w:p>
        </w:tc>
        <w:tc>
          <w:tcPr>
            <w:tcW w:w="1182" w:type="dxa"/>
            <w:tcBorders>
              <w:top w:val="single" w:sz="4" w:space="0" w:color="000000"/>
              <w:left w:val="single" w:sz="5" w:space="0" w:color="D4D4D4"/>
              <w:bottom w:val="single" w:sz="5" w:space="0" w:color="D4D4D4"/>
              <w:right w:val="single" w:sz="5" w:space="0" w:color="D4D4D4"/>
            </w:tcBorders>
          </w:tcPr>
          <w:p w14:paraId="6CFE2814" w14:textId="77777777" w:rsidR="001015EC" w:rsidRPr="00CE04F3" w:rsidRDefault="001015EC" w:rsidP="003B394C">
            <w:pPr>
              <w:keepNext/>
              <w:keepLines/>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8.6%</w:t>
            </w:r>
          </w:p>
        </w:tc>
        <w:tc>
          <w:tcPr>
            <w:tcW w:w="1006" w:type="dxa"/>
            <w:tcBorders>
              <w:top w:val="single" w:sz="4" w:space="0" w:color="000000"/>
              <w:left w:val="single" w:sz="5" w:space="0" w:color="D4D4D4"/>
              <w:bottom w:val="single" w:sz="5" w:space="0" w:color="D4D4D4"/>
              <w:right w:val="single" w:sz="5" w:space="0" w:color="D4D4D4"/>
            </w:tcBorders>
          </w:tcPr>
          <w:p w14:paraId="6D54679F" w14:textId="77777777" w:rsidR="001015EC" w:rsidRPr="00CE04F3" w:rsidRDefault="001015EC" w:rsidP="003B394C">
            <w:pPr>
              <w:keepNext/>
              <w:keepLines/>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88.5%</w:t>
            </w:r>
          </w:p>
        </w:tc>
      </w:tr>
      <w:tr w:rsidR="001015EC" w:rsidRPr="00CE04F3" w14:paraId="28446831" w14:textId="77777777" w:rsidTr="001C7490">
        <w:trPr>
          <w:trHeight w:val="218"/>
        </w:trPr>
        <w:tc>
          <w:tcPr>
            <w:tcW w:w="1761" w:type="dxa"/>
            <w:tcBorders>
              <w:top w:val="single" w:sz="5" w:space="0" w:color="D4D4D4"/>
              <w:left w:val="single" w:sz="5" w:space="0" w:color="D4D4D4"/>
              <w:bottom w:val="single" w:sz="5" w:space="0" w:color="D4D4D4"/>
              <w:right w:val="single" w:sz="5" w:space="0" w:color="D4D4D4"/>
            </w:tcBorders>
          </w:tcPr>
          <w:p w14:paraId="6CDE7660" w14:textId="77777777" w:rsidR="001015EC" w:rsidRPr="00CE04F3" w:rsidRDefault="001015EC" w:rsidP="003B394C">
            <w:pPr>
              <w:keepNext/>
              <w:keepLines/>
              <w:spacing w:line="259" w:lineRule="auto"/>
              <w:rPr>
                <w:rFonts w:ascii="Times New Roman" w:hAnsi="Times New Roman" w:cs="Times New Roman"/>
                <w:sz w:val="26"/>
                <w:szCs w:val="26"/>
              </w:rPr>
            </w:pPr>
            <w:r w:rsidRPr="00CE04F3">
              <w:rPr>
                <w:rFonts w:ascii="Times New Roman" w:eastAsia="Calibri" w:hAnsi="Times New Roman" w:cs="Times New Roman"/>
                <w:sz w:val="26"/>
                <w:szCs w:val="26"/>
              </w:rPr>
              <w:t>GS-1</w:t>
            </w:r>
          </w:p>
        </w:tc>
        <w:tc>
          <w:tcPr>
            <w:tcW w:w="966" w:type="dxa"/>
            <w:tcBorders>
              <w:top w:val="single" w:sz="5" w:space="0" w:color="D4D4D4"/>
              <w:left w:val="single" w:sz="5" w:space="0" w:color="D4D4D4"/>
              <w:bottom w:val="single" w:sz="5" w:space="0" w:color="D4D4D4"/>
              <w:right w:val="single" w:sz="5" w:space="0" w:color="D4D4D4"/>
            </w:tcBorders>
          </w:tcPr>
          <w:p w14:paraId="2D702E6C" w14:textId="77777777" w:rsidR="001015EC" w:rsidRPr="00CE04F3" w:rsidRDefault="001015EC" w:rsidP="003B394C">
            <w:pPr>
              <w:keepNext/>
              <w:keepLines/>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5,505</w:t>
            </w:r>
          </w:p>
        </w:tc>
        <w:tc>
          <w:tcPr>
            <w:tcW w:w="962" w:type="dxa"/>
            <w:tcBorders>
              <w:top w:val="single" w:sz="5" w:space="0" w:color="D4D4D4"/>
              <w:left w:val="single" w:sz="5" w:space="0" w:color="D4D4D4"/>
              <w:bottom w:val="single" w:sz="5" w:space="0" w:color="D4D4D4"/>
              <w:right w:val="single" w:sz="5" w:space="0" w:color="D4D4D4"/>
            </w:tcBorders>
          </w:tcPr>
          <w:p w14:paraId="43B1AE4A" w14:textId="77777777" w:rsidR="001015EC" w:rsidRPr="00CE04F3" w:rsidRDefault="001015EC" w:rsidP="003B394C">
            <w:pPr>
              <w:keepNext/>
              <w:keepLines/>
              <w:spacing w:after="160" w:line="259" w:lineRule="auto"/>
              <w:rPr>
                <w:rFonts w:ascii="Times New Roman" w:hAnsi="Times New Roman" w:cs="Times New Roman"/>
                <w:sz w:val="26"/>
                <w:szCs w:val="26"/>
              </w:rPr>
            </w:pPr>
          </w:p>
        </w:tc>
        <w:tc>
          <w:tcPr>
            <w:tcW w:w="1147" w:type="dxa"/>
            <w:tcBorders>
              <w:top w:val="single" w:sz="5" w:space="0" w:color="D4D4D4"/>
              <w:left w:val="single" w:sz="5" w:space="0" w:color="D4D4D4"/>
              <w:bottom w:val="single" w:sz="5" w:space="0" w:color="D4D4D4"/>
              <w:right w:val="single" w:sz="5" w:space="0" w:color="D4D4D4"/>
            </w:tcBorders>
          </w:tcPr>
          <w:p w14:paraId="12782A8C" w14:textId="77777777" w:rsidR="001015EC" w:rsidRPr="00CE04F3" w:rsidRDefault="001015EC" w:rsidP="003B394C">
            <w:pPr>
              <w:keepNext/>
              <w:keepLines/>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28,887,813</w:t>
            </w:r>
          </w:p>
        </w:tc>
        <w:tc>
          <w:tcPr>
            <w:tcW w:w="1014" w:type="dxa"/>
            <w:tcBorders>
              <w:top w:val="single" w:sz="5" w:space="0" w:color="D4D4D4"/>
              <w:left w:val="single" w:sz="5" w:space="0" w:color="D4D4D4"/>
              <w:bottom w:val="single" w:sz="5" w:space="0" w:color="D4D4D4"/>
              <w:right w:val="single" w:sz="5" w:space="0" w:color="D4D4D4"/>
            </w:tcBorders>
          </w:tcPr>
          <w:p w14:paraId="2704F249" w14:textId="77777777" w:rsidR="001015EC" w:rsidRPr="00CE04F3" w:rsidRDefault="001015EC" w:rsidP="003B394C">
            <w:pPr>
              <w:keepNext/>
              <w:keepLines/>
              <w:spacing w:line="259" w:lineRule="auto"/>
              <w:ind w:left="53"/>
              <w:rPr>
                <w:rFonts w:ascii="Times New Roman" w:hAnsi="Times New Roman" w:cs="Times New Roman"/>
                <w:sz w:val="26"/>
                <w:szCs w:val="26"/>
              </w:rPr>
            </w:pPr>
            <w:r w:rsidRPr="00CE04F3">
              <w:rPr>
                <w:rFonts w:ascii="Times New Roman" w:eastAsia="Calibri" w:hAnsi="Times New Roman" w:cs="Times New Roman"/>
                <w:sz w:val="26"/>
                <w:szCs w:val="26"/>
              </w:rPr>
              <w:t>$      3,682,960</w:t>
            </w:r>
          </w:p>
        </w:tc>
        <w:tc>
          <w:tcPr>
            <w:tcW w:w="1018" w:type="dxa"/>
            <w:tcBorders>
              <w:top w:val="single" w:sz="5" w:space="0" w:color="D4D4D4"/>
              <w:left w:val="single" w:sz="5" w:space="0" w:color="D4D4D4"/>
              <w:bottom w:val="single" w:sz="5" w:space="0" w:color="D4D4D4"/>
              <w:right w:val="single" w:sz="5" w:space="0" w:color="D4D4D4"/>
            </w:tcBorders>
          </w:tcPr>
          <w:p w14:paraId="03CFA18E" w14:textId="77777777" w:rsidR="001015EC" w:rsidRPr="00CE04F3" w:rsidRDefault="001015EC" w:rsidP="003B394C">
            <w:pPr>
              <w:keepNext/>
              <w:keepLines/>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4,064,084</w:t>
            </w:r>
          </w:p>
        </w:tc>
        <w:tc>
          <w:tcPr>
            <w:tcW w:w="1006" w:type="dxa"/>
            <w:tcBorders>
              <w:top w:val="single" w:sz="5" w:space="0" w:color="D4D4D4"/>
              <w:left w:val="single" w:sz="5" w:space="0" w:color="D4D4D4"/>
              <w:bottom w:val="single" w:sz="5" w:space="0" w:color="D4D4D4"/>
              <w:right w:val="single" w:sz="5" w:space="0" w:color="D4D4D4"/>
            </w:tcBorders>
          </w:tcPr>
          <w:p w14:paraId="4F757F8E" w14:textId="77777777" w:rsidR="001015EC" w:rsidRPr="00CE04F3" w:rsidRDefault="001015EC" w:rsidP="003B394C">
            <w:pPr>
              <w:keepNext/>
              <w:keepLines/>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381,124</w:t>
            </w:r>
          </w:p>
        </w:tc>
        <w:tc>
          <w:tcPr>
            <w:tcW w:w="1182" w:type="dxa"/>
            <w:tcBorders>
              <w:top w:val="single" w:sz="5" w:space="0" w:color="D4D4D4"/>
              <w:left w:val="single" w:sz="5" w:space="0" w:color="D4D4D4"/>
              <w:bottom w:val="single" w:sz="5" w:space="0" w:color="D4D4D4"/>
              <w:right w:val="single" w:sz="5" w:space="0" w:color="D4D4D4"/>
            </w:tcBorders>
          </w:tcPr>
          <w:p w14:paraId="69AB428D" w14:textId="77777777" w:rsidR="001015EC" w:rsidRPr="00CE04F3" w:rsidRDefault="001015EC" w:rsidP="003B394C">
            <w:pPr>
              <w:keepNext/>
              <w:keepLines/>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10.3%</w:t>
            </w:r>
          </w:p>
        </w:tc>
        <w:tc>
          <w:tcPr>
            <w:tcW w:w="1006" w:type="dxa"/>
            <w:tcBorders>
              <w:top w:val="single" w:sz="5" w:space="0" w:color="D4D4D4"/>
              <w:left w:val="single" w:sz="5" w:space="0" w:color="D4D4D4"/>
              <w:bottom w:val="single" w:sz="5" w:space="0" w:color="D4D4D4"/>
              <w:right w:val="single" w:sz="5" w:space="0" w:color="D4D4D4"/>
            </w:tcBorders>
          </w:tcPr>
          <w:p w14:paraId="6A24FE80" w14:textId="77777777" w:rsidR="001015EC" w:rsidRPr="00CE04F3" w:rsidRDefault="001015EC" w:rsidP="003B394C">
            <w:pPr>
              <w:keepNext/>
              <w:keepLines/>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6.2%</w:t>
            </w:r>
          </w:p>
        </w:tc>
      </w:tr>
      <w:tr w:rsidR="001015EC" w:rsidRPr="00CE04F3" w14:paraId="4206DBE2" w14:textId="77777777" w:rsidTr="001C7490">
        <w:trPr>
          <w:trHeight w:val="217"/>
        </w:trPr>
        <w:tc>
          <w:tcPr>
            <w:tcW w:w="1761" w:type="dxa"/>
            <w:tcBorders>
              <w:top w:val="single" w:sz="5" w:space="0" w:color="D4D4D4"/>
              <w:left w:val="single" w:sz="5" w:space="0" w:color="D4D4D4"/>
              <w:bottom w:val="single" w:sz="5" w:space="0" w:color="D4D4D4"/>
              <w:right w:val="single" w:sz="5" w:space="0" w:color="D4D4D4"/>
            </w:tcBorders>
          </w:tcPr>
          <w:p w14:paraId="635DE4A8" w14:textId="77777777" w:rsidR="001015EC" w:rsidRPr="00CE04F3" w:rsidRDefault="001015EC" w:rsidP="003B394C">
            <w:pPr>
              <w:keepNext/>
              <w:spacing w:line="259" w:lineRule="auto"/>
              <w:rPr>
                <w:rFonts w:ascii="Times New Roman" w:hAnsi="Times New Roman" w:cs="Times New Roman"/>
                <w:sz w:val="26"/>
                <w:szCs w:val="26"/>
              </w:rPr>
            </w:pPr>
            <w:r w:rsidRPr="00CE04F3">
              <w:rPr>
                <w:rFonts w:ascii="Times New Roman" w:eastAsia="Calibri" w:hAnsi="Times New Roman" w:cs="Times New Roman"/>
                <w:sz w:val="26"/>
                <w:szCs w:val="26"/>
              </w:rPr>
              <w:t>GS-4</w:t>
            </w:r>
          </w:p>
        </w:tc>
        <w:tc>
          <w:tcPr>
            <w:tcW w:w="966" w:type="dxa"/>
            <w:tcBorders>
              <w:top w:val="single" w:sz="5" w:space="0" w:color="D4D4D4"/>
              <w:left w:val="single" w:sz="5" w:space="0" w:color="D4D4D4"/>
              <w:bottom w:val="single" w:sz="5" w:space="0" w:color="D4D4D4"/>
              <w:right w:val="single" w:sz="5" w:space="0" w:color="D4D4D4"/>
            </w:tcBorders>
          </w:tcPr>
          <w:p w14:paraId="2419FE77" w14:textId="77777777" w:rsidR="001015EC" w:rsidRPr="00CE04F3" w:rsidRDefault="001015EC" w:rsidP="003B394C">
            <w:pPr>
              <w:keepNext/>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2,267</w:t>
            </w:r>
          </w:p>
        </w:tc>
        <w:tc>
          <w:tcPr>
            <w:tcW w:w="962" w:type="dxa"/>
            <w:tcBorders>
              <w:top w:val="single" w:sz="5" w:space="0" w:color="D4D4D4"/>
              <w:left w:val="single" w:sz="5" w:space="0" w:color="D4D4D4"/>
              <w:bottom w:val="single" w:sz="5" w:space="0" w:color="D4D4D4"/>
              <w:right w:val="single" w:sz="5" w:space="0" w:color="D4D4D4"/>
            </w:tcBorders>
          </w:tcPr>
          <w:p w14:paraId="1443D142" w14:textId="77777777" w:rsidR="001015EC" w:rsidRPr="00CE04F3" w:rsidRDefault="001015EC" w:rsidP="003B394C">
            <w:pPr>
              <w:keepNext/>
              <w:spacing w:after="160" w:line="259" w:lineRule="auto"/>
              <w:rPr>
                <w:rFonts w:ascii="Times New Roman" w:hAnsi="Times New Roman" w:cs="Times New Roman"/>
                <w:sz w:val="26"/>
                <w:szCs w:val="26"/>
              </w:rPr>
            </w:pPr>
          </w:p>
        </w:tc>
        <w:tc>
          <w:tcPr>
            <w:tcW w:w="1147" w:type="dxa"/>
            <w:tcBorders>
              <w:top w:val="single" w:sz="5" w:space="0" w:color="D4D4D4"/>
              <w:left w:val="single" w:sz="5" w:space="0" w:color="D4D4D4"/>
              <w:bottom w:val="single" w:sz="5" w:space="0" w:color="D4D4D4"/>
              <w:right w:val="single" w:sz="5" w:space="0" w:color="D4D4D4"/>
            </w:tcBorders>
          </w:tcPr>
          <w:p w14:paraId="08BF8308" w14:textId="77777777" w:rsidR="001015EC" w:rsidRPr="00CE04F3" w:rsidRDefault="001015EC" w:rsidP="003B394C">
            <w:pPr>
              <w:keepNext/>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118,790,076</w:t>
            </w:r>
          </w:p>
        </w:tc>
        <w:tc>
          <w:tcPr>
            <w:tcW w:w="1014" w:type="dxa"/>
            <w:tcBorders>
              <w:top w:val="single" w:sz="5" w:space="0" w:color="D4D4D4"/>
              <w:left w:val="single" w:sz="5" w:space="0" w:color="D4D4D4"/>
              <w:bottom w:val="single" w:sz="5" w:space="0" w:color="D4D4D4"/>
              <w:right w:val="single" w:sz="5" w:space="0" w:color="D4D4D4"/>
            </w:tcBorders>
          </w:tcPr>
          <w:p w14:paraId="36128A45" w14:textId="77777777" w:rsidR="001015EC" w:rsidRPr="00CE04F3" w:rsidRDefault="001015EC" w:rsidP="003B394C">
            <w:pPr>
              <w:keepNext/>
              <w:spacing w:line="259" w:lineRule="auto"/>
              <w:ind w:left="53"/>
              <w:rPr>
                <w:rFonts w:ascii="Times New Roman" w:hAnsi="Times New Roman" w:cs="Times New Roman"/>
                <w:sz w:val="26"/>
                <w:szCs w:val="26"/>
              </w:rPr>
            </w:pPr>
            <w:r w:rsidRPr="00CE04F3">
              <w:rPr>
                <w:rFonts w:ascii="Times New Roman" w:eastAsia="Calibri" w:hAnsi="Times New Roman" w:cs="Times New Roman"/>
                <w:sz w:val="26"/>
                <w:szCs w:val="26"/>
              </w:rPr>
              <w:t>$   10,097,017</w:t>
            </w:r>
          </w:p>
        </w:tc>
        <w:tc>
          <w:tcPr>
            <w:tcW w:w="1018" w:type="dxa"/>
            <w:tcBorders>
              <w:top w:val="single" w:sz="5" w:space="0" w:color="D4D4D4"/>
              <w:left w:val="single" w:sz="5" w:space="0" w:color="D4D4D4"/>
              <w:bottom w:val="single" w:sz="5" w:space="0" w:color="D4D4D4"/>
              <w:right w:val="single" w:sz="5" w:space="0" w:color="D4D4D4"/>
            </w:tcBorders>
          </w:tcPr>
          <w:p w14:paraId="004F5409" w14:textId="77777777" w:rsidR="001015EC" w:rsidRPr="00CE04F3" w:rsidRDefault="001015EC" w:rsidP="003B394C">
            <w:pPr>
              <w:keepNext/>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10,224,476</w:t>
            </w:r>
          </w:p>
        </w:tc>
        <w:tc>
          <w:tcPr>
            <w:tcW w:w="1006" w:type="dxa"/>
            <w:tcBorders>
              <w:top w:val="single" w:sz="5" w:space="0" w:color="D4D4D4"/>
              <w:left w:val="single" w:sz="5" w:space="0" w:color="D4D4D4"/>
              <w:bottom w:val="single" w:sz="5" w:space="0" w:color="D4D4D4"/>
              <w:right w:val="single" w:sz="5" w:space="0" w:color="D4D4D4"/>
            </w:tcBorders>
          </w:tcPr>
          <w:p w14:paraId="7E577E02" w14:textId="77777777" w:rsidR="001015EC" w:rsidRPr="00CE04F3" w:rsidRDefault="001015EC" w:rsidP="003B394C">
            <w:pPr>
              <w:keepNext/>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127,459</w:t>
            </w:r>
          </w:p>
        </w:tc>
        <w:tc>
          <w:tcPr>
            <w:tcW w:w="1182" w:type="dxa"/>
            <w:tcBorders>
              <w:top w:val="single" w:sz="5" w:space="0" w:color="D4D4D4"/>
              <w:left w:val="single" w:sz="5" w:space="0" w:color="D4D4D4"/>
              <w:bottom w:val="single" w:sz="5" w:space="0" w:color="D4D4D4"/>
              <w:right w:val="single" w:sz="5" w:space="0" w:color="D4D4D4"/>
            </w:tcBorders>
          </w:tcPr>
          <w:p w14:paraId="7D8A2163" w14:textId="77777777" w:rsidR="001015EC" w:rsidRPr="00CE04F3" w:rsidRDefault="001015EC" w:rsidP="003B394C">
            <w:pPr>
              <w:keepNext/>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1.3%</w:t>
            </w:r>
          </w:p>
        </w:tc>
        <w:tc>
          <w:tcPr>
            <w:tcW w:w="1006" w:type="dxa"/>
            <w:tcBorders>
              <w:top w:val="single" w:sz="5" w:space="0" w:color="D4D4D4"/>
              <w:left w:val="single" w:sz="5" w:space="0" w:color="D4D4D4"/>
              <w:bottom w:val="single" w:sz="5" w:space="0" w:color="D4D4D4"/>
              <w:right w:val="single" w:sz="5" w:space="0" w:color="D4D4D4"/>
            </w:tcBorders>
          </w:tcPr>
          <w:p w14:paraId="372FDB8F" w14:textId="77777777" w:rsidR="001015EC" w:rsidRPr="00CE04F3" w:rsidRDefault="001015EC" w:rsidP="003B394C">
            <w:pPr>
              <w:keepNext/>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2.1%</w:t>
            </w:r>
          </w:p>
        </w:tc>
      </w:tr>
      <w:tr w:rsidR="001015EC" w:rsidRPr="00CE04F3" w14:paraId="46E6C61B" w14:textId="77777777" w:rsidTr="001C7490">
        <w:trPr>
          <w:trHeight w:val="216"/>
        </w:trPr>
        <w:tc>
          <w:tcPr>
            <w:tcW w:w="1761" w:type="dxa"/>
            <w:tcBorders>
              <w:top w:val="single" w:sz="5" w:space="0" w:color="D4D4D4"/>
              <w:left w:val="single" w:sz="5" w:space="0" w:color="D4D4D4"/>
              <w:bottom w:val="single" w:sz="5" w:space="0" w:color="D4D4D4"/>
              <w:right w:val="single" w:sz="5" w:space="0" w:color="D4D4D4"/>
            </w:tcBorders>
          </w:tcPr>
          <w:p w14:paraId="1C2E4C43" w14:textId="77777777" w:rsidR="001015EC" w:rsidRPr="00CE04F3" w:rsidRDefault="001015EC" w:rsidP="001C7490">
            <w:pPr>
              <w:spacing w:line="259" w:lineRule="auto"/>
              <w:rPr>
                <w:rFonts w:ascii="Times New Roman" w:hAnsi="Times New Roman" w:cs="Times New Roman"/>
                <w:sz w:val="26"/>
                <w:szCs w:val="26"/>
              </w:rPr>
            </w:pPr>
            <w:r w:rsidRPr="00CE04F3">
              <w:rPr>
                <w:rFonts w:ascii="Times New Roman" w:eastAsia="Calibri" w:hAnsi="Times New Roman" w:cs="Times New Roman"/>
                <w:sz w:val="26"/>
                <w:szCs w:val="26"/>
              </w:rPr>
              <w:t>GS-5</w:t>
            </w:r>
          </w:p>
        </w:tc>
        <w:tc>
          <w:tcPr>
            <w:tcW w:w="966" w:type="dxa"/>
            <w:tcBorders>
              <w:top w:val="single" w:sz="5" w:space="0" w:color="D4D4D4"/>
              <w:left w:val="single" w:sz="5" w:space="0" w:color="D4D4D4"/>
              <w:bottom w:val="single" w:sz="5" w:space="0" w:color="D4D4D4"/>
              <w:right w:val="single" w:sz="5" w:space="0" w:color="D4D4D4"/>
            </w:tcBorders>
          </w:tcPr>
          <w:p w14:paraId="3730740B"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59</w:t>
            </w:r>
          </w:p>
        </w:tc>
        <w:tc>
          <w:tcPr>
            <w:tcW w:w="962" w:type="dxa"/>
            <w:tcBorders>
              <w:top w:val="single" w:sz="5" w:space="0" w:color="D4D4D4"/>
              <w:left w:val="single" w:sz="5" w:space="0" w:color="D4D4D4"/>
              <w:bottom w:val="single" w:sz="5" w:space="0" w:color="D4D4D4"/>
              <w:right w:val="single" w:sz="5" w:space="0" w:color="D4D4D4"/>
            </w:tcBorders>
          </w:tcPr>
          <w:p w14:paraId="58E08B55" w14:textId="77777777" w:rsidR="001015EC" w:rsidRPr="00CE04F3" w:rsidRDefault="001015EC" w:rsidP="001C7490">
            <w:pPr>
              <w:spacing w:after="160" w:line="259" w:lineRule="auto"/>
              <w:rPr>
                <w:rFonts w:ascii="Times New Roman" w:hAnsi="Times New Roman" w:cs="Times New Roman"/>
                <w:sz w:val="26"/>
                <w:szCs w:val="26"/>
              </w:rPr>
            </w:pPr>
          </w:p>
        </w:tc>
        <w:tc>
          <w:tcPr>
            <w:tcW w:w="1147" w:type="dxa"/>
            <w:tcBorders>
              <w:top w:val="single" w:sz="5" w:space="0" w:color="D4D4D4"/>
              <w:left w:val="single" w:sz="5" w:space="0" w:color="D4D4D4"/>
              <w:bottom w:val="single" w:sz="5" w:space="0" w:color="D4D4D4"/>
              <w:right w:val="single" w:sz="5" w:space="0" w:color="D4D4D4"/>
            </w:tcBorders>
          </w:tcPr>
          <w:p w14:paraId="394E24B4"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1,109,050</w:t>
            </w:r>
          </w:p>
        </w:tc>
        <w:tc>
          <w:tcPr>
            <w:tcW w:w="1014" w:type="dxa"/>
            <w:tcBorders>
              <w:top w:val="single" w:sz="5" w:space="0" w:color="D4D4D4"/>
              <w:left w:val="single" w:sz="5" w:space="0" w:color="D4D4D4"/>
              <w:bottom w:val="single" w:sz="5" w:space="0" w:color="D4D4D4"/>
              <w:right w:val="single" w:sz="5" w:space="0" w:color="D4D4D4"/>
            </w:tcBorders>
          </w:tcPr>
          <w:p w14:paraId="05E2EBA7" w14:textId="77777777" w:rsidR="001015EC" w:rsidRPr="00CE04F3" w:rsidRDefault="001015EC" w:rsidP="001C7490">
            <w:pPr>
              <w:spacing w:line="259" w:lineRule="auto"/>
              <w:ind w:left="53"/>
              <w:rPr>
                <w:rFonts w:ascii="Times New Roman" w:hAnsi="Times New Roman" w:cs="Times New Roman"/>
                <w:sz w:val="26"/>
                <w:szCs w:val="26"/>
              </w:rPr>
            </w:pPr>
            <w:r w:rsidRPr="00CE04F3">
              <w:rPr>
                <w:rFonts w:ascii="Times New Roman" w:eastAsia="Calibri" w:hAnsi="Times New Roman" w:cs="Times New Roman"/>
                <w:sz w:val="26"/>
                <w:szCs w:val="26"/>
              </w:rPr>
              <w:t>$            88,046</w:t>
            </w:r>
          </w:p>
        </w:tc>
        <w:tc>
          <w:tcPr>
            <w:tcW w:w="1018" w:type="dxa"/>
            <w:tcBorders>
              <w:top w:val="single" w:sz="5" w:space="0" w:color="D4D4D4"/>
              <w:left w:val="single" w:sz="5" w:space="0" w:color="D4D4D4"/>
              <w:bottom w:val="single" w:sz="5" w:space="0" w:color="D4D4D4"/>
              <w:right w:val="single" w:sz="5" w:space="0" w:color="D4D4D4"/>
            </w:tcBorders>
          </w:tcPr>
          <w:p w14:paraId="6D772C79"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98,791</w:t>
            </w:r>
          </w:p>
        </w:tc>
        <w:tc>
          <w:tcPr>
            <w:tcW w:w="1006" w:type="dxa"/>
            <w:tcBorders>
              <w:top w:val="single" w:sz="5" w:space="0" w:color="D4D4D4"/>
              <w:left w:val="single" w:sz="5" w:space="0" w:color="D4D4D4"/>
              <w:bottom w:val="single" w:sz="5" w:space="0" w:color="D4D4D4"/>
              <w:right w:val="single" w:sz="5" w:space="0" w:color="D4D4D4"/>
            </w:tcBorders>
          </w:tcPr>
          <w:p w14:paraId="0FF210C0"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10,745</w:t>
            </w:r>
          </w:p>
        </w:tc>
        <w:tc>
          <w:tcPr>
            <w:tcW w:w="1182" w:type="dxa"/>
            <w:tcBorders>
              <w:top w:val="single" w:sz="5" w:space="0" w:color="D4D4D4"/>
              <w:left w:val="single" w:sz="5" w:space="0" w:color="D4D4D4"/>
              <w:bottom w:val="single" w:sz="5" w:space="0" w:color="D4D4D4"/>
              <w:right w:val="single" w:sz="5" w:space="0" w:color="D4D4D4"/>
            </w:tcBorders>
          </w:tcPr>
          <w:p w14:paraId="547953B7" w14:textId="77777777" w:rsidR="001015EC" w:rsidRPr="00CE04F3" w:rsidRDefault="001015EC" w:rsidP="001C7490">
            <w:pPr>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12.2%</w:t>
            </w:r>
          </w:p>
        </w:tc>
        <w:tc>
          <w:tcPr>
            <w:tcW w:w="1006" w:type="dxa"/>
            <w:tcBorders>
              <w:top w:val="single" w:sz="5" w:space="0" w:color="D4D4D4"/>
              <w:left w:val="single" w:sz="5" w:space="0" w:color="D4D4D4"/>
              <w:bottom w:val="single" w:sz="5" w:space="0" w:color="D4D4D4"/>
              <w:right w:val="single" w:sz="5" w:space="0" w:color="D4D4D4"/>
            </w:tcBorders>
          </w:tcPr>
          <w:p w14:paraId="4D8D75A3" w14:textId="77777777" w:rsidR="001015EC" w:rsidRPr="00CE04F3" w:rsidRDefault="001015EC" w:rsidP="001C7490">
            <w:pPr>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0.2%</w:t>
            </w:r>
          </w:p>
        </w:tc>
      </w:tr>
      <w:tr w:rsidR="001015EC" w:rsidRPr="00CE04F3" w14:paraId="5049986B" w14:textId="77777777" w:rsidTr="001C7490">
        <w:trPr>
          <w:trHeight w:val="216"/>
        </w:trPr>
        <w:tc>
          <w:tcPr>
            <w:tcW w:w="1761" w:type="dxa"/>
            <w:tcBorders>
              <w:top w:val="single" w:sz="5" w:space="0" w:color="D4D4D4"/>
              <w:left w:val="single" w:sz="5" w:space="0" w:color="D4D4D4"/>
              <w:bottom w:val="single" w:sz="5" w:space="0" w:color="D4D4D4"/>
              <w:right w:val="single" w:sz="5" w:space="0" w:color="D4D4D4"/>
            </w:tcBorders>
          </w:tcPr>
          <w:p w14:paraId="1E4AD61F" w14:textId="77777777" w:rsidR="001015EC" w:rsidRPr="00CE04F3" w:rsidRDefault="001015EC" w:rsidP="001C7490">
            <w:pPr>
              <w:spacing w:line="259" w:lineRule="auto"/>
              <w:rPr>
                <w:rFonts w:ascii="Times New Roman" w:hAnsi="Times New Roman" w:cs="Times New Roman"/>
                <w:sz w:val="26"/>
                <w:szCs w:val="26"/>
              </w:rPr>
            </w:pPr>
            <w:r w:rsidRPr="00CE04F3">
              <w:rPr>
                <w:rFonts w:ascii="Times New Roman" w:eastAsia="Calibri" w:hAnsi="Times New Roman" w:cs="Times New Roman"/>
                <w:sz w:val="26"/>
                <w:szCs w:val="26"/>
              </w:rPr>
              <w:t>FCP</w:t>
            </w:r>
          </w:p>
        </w:tc>
        <w:tc>
          <w:tcPr>
            <w:tcW w:w="966" w:type="dxa"/>
            <w:tcBorders>
              <w:top w:val="single" w:sz="5" w:space="0" w:color="D4D4D4"/>
              <w:left w:val="single" w:sz="5" w:space="0" w:color="D4D4D4"/>
              <w:bottom w:val="single" w:sz="5" w:space="0" w:color="D4D4D4"/>
              <w:right w:val="single" w:sz="5" w:space="0" w:color="D4D4D4"/>
            </w:tcBorders>
          </w:tcPr>
          <w:p w14:paraId="380534B6"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7</w:t>
            </w:r>
          </w:p>
        </w:tc>
        <w:tc>
          <w:tcPr>
            <w:tcW w:w="962" w:type="dxa"/>
            <w:tcBorders>
              <w:top w:val="single" w:sz="5" w:space="0" w:color="D4D4D4"/>
              <w:left w:val="single" w:sz="5" w:space="0" w:color="D4D4D4"/>
              <w:bottom w:val="single" w:sz="5" w:space="0" w:color="D4D4D4"/>
              <w:right w:val="single" w:sz="5" w:space="0" w:color="D4D4D4"/>
            </w:tcBorders>
          </w:tcPr>
          <w:p w14:paraId="3AC3EE9A" w14:textId="77777777" w:rsidR="001015EC" w:rsidRPr="00CE04F3" w:rsidRDefault="001015EC" w:rsidP="001C7490">
            <w:pPr>
              <w:spacing w:after="160" w:line="259" w:lineRule="auto"/>
              <w:rPr>
                <w:rFonts w:ascii="Times New Roman" w:hAnsi="Times New Roman" w:cs="Times New Roman"/>
                <w:sz w:val="26"/>
                <w:szCs w:val="26"/>
              </w:rPr>
            </w:pPr>
          </w:p>
        </w:tc>
        <w:tc>
          <w:tcPr>
            <w:tcW w:w="1147" w:type="dxa"/>
            <w:tcBorders>
              <w:top w:val="single" w:sz="5" w:space="0" w:color="D4D4D4"/>
              <w:left w:val="single" w:sz="5" w:space="0" w:color="D4D4D4"/>
              <w:bottom w:val="single" w:sz="5" w:space="0" w:color="D4D4D4"/>
              <w:right w:val="single" w:sz="5" w:space="0" w:color="D4D4D4"/>
            </w:tcBorders>
          </w:tcPr>
          <w:p w14:paraId="09A5648A"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739,452</w:t>
            </w:r>
          </w:p>
        </w:tc>
        <w:tc>
          <w:tcPr>
            <w:tcW w:w="1014" w:type="dxa"/>
            <w:tcBorders>
              <w:top w:val="single" w:sz="5" w:space="0" w:color="D4D4D4"/>
              <w:left w:val="single" w:sz="5" w:space="0" w:color="D4D4D4"/>
              <w:bottom w:val="single" w:sz="5" w:space="0" w:color="D4D4D4"/>
              <w:right w:val="single" w:sz="5" w:space="0" w:color="D4D4D4"/>
            </w:tcBorders>
          </w:tcPr>
          <w:p w14:paraId="290EA666" w14:textId="77777777" w:rsidR="001015EC" w:rsidRPr="00CE04F3" w:rsidRDefault="001015EC" w:rsidP="001C7490">
            <w:pPr>
              <w:spacing w:line="259" w:lineRule="auto"/>
              <w:ind w:left="53"/>
              <w:rPr>
                <w:rFonts w:ascii="Times New Roman" w:hAnsi="Times New Roman" w:cs="Times New Roman"/>
                <w:sz w:val="26"/>
                <w:szCs w:val="26"/>
              </w:rPr>
            </w:pPr>
            <w:r w:rsidRPr="00CE04F3">
              <w:rPr>
                <w:rFonts w:ascii="Times New Roman" w:eastAsia="Calibri" w:hAnsi="Times New Roman" w:cs="Times New Roman"/>
                <w:sz w:val="26"/>
                <w:szCs w:val="26"/>
              </w:rPr>
              <w:t>$            17,598</w:t>
            </w:r>
          </w:p>
        </w:tc>
        <w:tc>
          <w:tcPr>
            <w:tcW w:w="1018" w:type="dxa"/>
            <w:tcBorders>
              <w:top w:val="single" w:sz="5" w:space="0" w:color="D4D4D4"/>
              <w:left w:val="single" w:sz="5" w:space="0" w:color="D4D4D4"/>
              <w:bottom w:val="single" w:sz="5" w:space="0" w:color="D4D4D4"/>
              <w:right w:val="single" w:sz="5" w:space="0" w:color="D4D4D4"/>
            </w:tcBorders>
          </w:tcPr>
          <w:p w14:paraId="32126D99"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17,577</w:t>
            </w:r>
          </w:p>
        </w:tc>
        <w:tc>
          <w:tcPr>
            <w:tcW w:w="1006" w:type="dxa"/>
            <w:tcBorders>
              <w:top w:val="single" w:sz="5" w:space="0" w:color="D4D4D4"/>
              <w:left w:val="single" w:sz="5" w:space="0" w:color="D4D4D4"/>
              <w:bottom w:val="single" w:sz="5" w:space="0" w:color="D4D4D4"/>
              <w:right w:val="single" w:sz="5" w:space="0" w:color="D4D4D4"/>
            </w:tcBorders>
          </w:tcPr>
          <w:p w14:paraId="0803588F"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(21)</w:t>
            </w:r>
          </w:p>
        </w:tc>
        <w:tc>
          <w:tcPr>
            <w:tcW w:w="1182" w:type="dxa"/>
            <w:tcBorders>
              <w:top w:val="single" w:sz="5" w:space="0" w:color="D4D4D4"/>
              <w:left w:val="single" w:sz="5" w:space="0" w:color="D4D4D4"/>
              <w:bottom w:val="single" w:sz="5" w:space="0" w:color="D4D4D4"/>
              <w:right w:val="single" w:sz="5" w:space="0" w:color="D4D4D4"/>
            </w:tcBorders>
          </w:tcPr>
          <w:p w14:paraId="03690E7D" w14:textId="77777777" w:rsidR="001015EC" w:rsidRPr="00CE04F3" w:rsidRDefault="001015EC" w:rsidP="001C7490">
            <w:pPr>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-0.1%</w:t>
            </w:r>
          </w:p>
        </w:tc>
        <w:tc>
          <w:tcPr>
            <w:tcW w:w="1006" w:type="dxa"/>
            <w:tcBorders>
              <w:top w:val="single" w:sz="5" w:space="0" w:color="D4D4D4"/>
              <w:left w:val="single" w:sz="5" w:space="0" w:color="D4D4D4"/>
              <w:bottom w:val="single" w:sz="5" w:space="0" w:color="D4D4D4"/>
              <w:right w:val="single" w:sz="5" w:space="0" w:color="D4D4D4"/>
            </w:tcBorders>
          </w:tcPr>
          <w:p w14:paraId="705D8F26" w14:textId="77777777" w:rsidR="001015EC" w:rsidRPr="00CE04F3" w:rsidRDefault="001015EC" w:rsidP="001C7490">
            <w:pPr>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0.0%</w:t>
            </w:r>
          </w:p>
        </w:tc>
      </w:tr>
      <w:tr w:rsidR="001015EC" w:rsidRPr="00CE04F3" w14:paraId="0A6AE296" w14:textId="77777777" w:rsidTr="001C7490">
        <w:trPr>
          <w:trHeight w:val="216"/>
        </w:trPr>
        <w:tc>
          <w:tcPr>
            <w:tcW w:w="1761" w:type="dxa"/>
            <w:tcBorders>
              <w:top w:val="single" w:sz="5" w:space="0" w:color="D4D4D4"/>
              <w:left w:val="single" w:sz="5" w:space="0" w:color="D4D4D4"/>
              <w:bottom w:val="single" w:sz="5" w:space="0" w:color="D4D4D4"/>
              <w:right w:val="single" w:sz="5" w:space="0" w:color="D4D4D4"/>
            </w:tcBorders>
          </w:tcPr>
          <w:p w14:paraId="32692534" w14:textId="77777777" w:rsidR="001015EC" w:rsidRPr="00CE04F3" w:rsidRDefault="001015EC" w:rsidP="001C7490">
            <w:pPr>
              <w:spacing w:line="259" w:lineRule="auto"/>
              <w:rPr>
                <w:rFonts w:ascii="Times New Roman" w:hAnsi="Times New Roman" w:cs="Times New Roman"/>
                <w:sz w:val="26"/>
                <w:szCs w:val="26"/>
              </w:rPr>
            </w:pPr>
            <w:r w:rsidRPr="00CE04F3">
              <w:rPr>
                <w:rFonts w:ascii="Times New Roman" w:eastAsia="Calibri" w:hAnsi="Times New Roman" w:cs="Times New Roman"/>
                <w:sz w:val="26"/>
                <w:szCs w:val="26"/>
              </w:rPr>
              <w:t>Lighting</w:t>
            </w:r>
          </w:p>
        </w:tc>
        <w:tc>
          <w:tcPr>
            <w:tcW w:w="966" w:type="dxa"/>
            <w:tcBorders>
              <w:top w:val="single" w:sz="5" w:space="0" w:color="D4D4D4"/>
              <w:left w:val="single" w:sz="5" w:space="0" w:color="D4D4D4"/>
              <w:bottom w:val="single" w:sz="5" w:space="0" w:color="D4D4D4"/>
              <w:right w:val="single" w:sz="5" w:space="0" w:color="D4D4D4"/>
            </w:tcBorders>
          </w:tcPr>
          <w:p w14:paraId="06C4F7B0" w14:textId="77777777" w:rsidR="001015EC" w:rsidRPr="00CE04F3" w:rsidRDefault="001015EC" w:rsidP="001C7490">
            <w:pPr>
              <w:spacing w:after="160" w:line="259" w:lineRule="auto"/>
              <w:rPr>
                <w:rFonts w:ascii="Times New Roman" w:hAnsi="Times New Roman" w:cs="Times New Roman"/>
                <w:sz w:val="26"/>
                <w:szCs w:val="26"/>
              </w:rPr>
            </w:pPr>
          </w:p>
        </w:tc>
        <w:tc>
          <w:tcPr>
            <w:tcW w:w="962" w:type="dxa"/>
            <w:tcBorders>
              <w:top w:val="single" w:sz="5" w:space="0" w:color="D4D4D4"/>
              <w:left w:val="single" w:sz="5" w:space="0" w:color="D4D4D4"/>
              <w:bottom w:val="single" w:sz="5" w:space="0" w:color="D4D4D4"/>
              <w:right w:val="single" w:sz="5" w:space="0" w:color="D4D4D4"/>
            </w:tcBorders>
          </w:tcPr>
          <w:p w14:paraId="4D5ECC77"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9,112</w:t>
            </w:r>
          </w:p>
        </w:tc>
        <w:tc>
          <w:tcPr>
            <w:tcW w:w="1147" w:type="dxa"/>
            <w:tcBorders>
              <w:top w:val="single" w:sz="5" w:space="0" w:color="D4D4D4"/>
              <w:left w:val="single" w:sz="5" w:space="0" w:color="D4D4D4"/>
              <w:bottom w:val="single" w:sz="5" w:space="0" w:color="D4D4D4"/>
              <w:right w:val="single" w:sz="5" w:space="0" w:color="D4D4D4"/>
            </w:tcBorders>
          </w:tcPr>
          <w:p w14:paraId="48D6CD8B"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7,421,188</w:t>
            </w:r>
          </w:p>
        </w:tc>
        <w:tc>
          <w:tcPr>
            <w:tcW w:w="1014" w:type="dxa"/>
            <w:tcBorders>
              <w:top w:val="single" w:sz="5" w:space="0" w:color="D4D4D4"/>
              <w:left w:val="single" w:sz="5" w:space="0" w:color="D4D4D4"/>
              <w:bottom w:val="single" w:sz="5" w:space="0" w:color="D4D4D4"/>
              <w:right w:val="single" w:sz="5" w:space="0" w:color="D4D4D4"/>
            </w:tcBorders>
          </w:tcPr>
          <w:p w14:paraId="73981EF1" w14:textId="77777777" w:rsidR="001015EC" w:rsidRPr="00CE04F3" w:rsidRDefault="001015EC" w:rsidP="001C7490">
            <w:pPr>
              <w:spacing w:line="259" w:lineRule="auto"/>
              <w:ind w:left="53"/>
              <w:rPr>
                <w:rFonts w:ascii="Times New Roman" w:hAnsi="Times New Roman" w:cs="Times New Roman"/>
                <w:sz w:val="26"/>
                <w:szCs w:val="26"/>
              </w:rPr>
            </w:pPr>
            <w:r w:rsidRPr="00CE04F3">
              <w:rPr>
                <w:rFonts w:ascii="Times New Roman" w:eastAsia="Calibri" w:hAnsi="Times New Roman" w:cs="Times New Roman"/>
                <w:sz w:val="26"/>
                <w:szCs w:val="26"/>
              </w:rPr>
              <w:t>$      1,430,978</w:t>
            </w:r>
          </w:p>
        </w:tc>
        <w:tc>
          <w:tcPr>
            <w:tcW w:w="1018" w:type="dxa"/>
            <w:tcBorders>
              <w:top w:val="single" w:sz="5" w:space="0" w:color="D4D4D4"/>
              <w:left w:val="single" w:sz="5" w:space="0" w:color="D4D4D4"/>
              <w:bottom w:val="single" w:sz="5" w:space="0" w:color="D4D4D4"/>
              <w:right w:val="single" w:sz="5" w:space="0" w:color="D4D4D4"/>
            </w:tcBorders>
          </w:tcPr>
          <w:p w14:paraId="2DE7EE66"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1,430,949</w:t>
            </w:r>
          </w:p>
        </w:tc>
        <w:tc>
          <w:tcPr>
            <w:tcW w:w="1006" w:type="dxa"/>
            <w:tcBorders>
              <w:top w:val="single" w:sz="5" w:space="0" w:color="D4D4D4"/>
              <w:left w:val="single" w:sz="5" w:space="0" w:color="D4D4D4"/>
              <w:bottom w:val="single" w:sz="5" w:space="0" w:color="D4D4D4"/>
              <w:right w:val="single" w:sz="5" w:space="0" w:color="D4D4D4"/>
            </w:tcBorders>
          </w:tcPr>
          <w:p w14:paraId="35B199CB"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(29)</w:t>
            </w:r>
          </w:p>
        </w:tc>
        <w:tc>
          <w:tcPr>
            <w:tcW w:w="1182" w:type="dxa"/>
            <w:tcBorders>
              <w:top w:val="single" w:sz="5" w:space="0" w:color="D4D4D4"/>
              <w:left w:val="single" w:sz="5" w:space="0" w:color="D4D4D4"/>
              <w:bottom w:val="single" w:sz="5" w:space="0" w:color="D4D4D4"/>
              <w:right w:val="single" w:sz="5" w:space="0" w:color="D4D4D4"/>
            </w:tcBorders>
          </w:tcPr>
          <w:p w14:paraId="7965D94F" w14:textId="77777777" w:rsidR="001015EC" w:rsidRPr="00CE04F3" w:rsidRDefault="001015EC" w:rsidP="001C7490">
            <w:pPr>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0.0%</w:t>
            </w:r>
          </w:p>
        </w:tc>
        <w:tc>
          <w:tcPr>
            <w:tcW w:w="1006" w:type="dxa"/>
            <w:tcBorders>
              <w:top w:val="single" w:sz="5" w:space="0" w:color="D4D4D4"/>
              <w:left w:val="single" w:sz="5" w:space="0" w:color="D4D4D4"/>
              <w:bottom w:val="single" w:sz="5" w:space="0" w:color="D4D4D4"/>
              <w:right w:val="single" w:sz="5" w:space="0" w:color="D4D4D4"/>
            </w:tcBorders>
          </w:tcPr>
          <w:p w14:paraId="534EA05D" w14:textId="77777777" w:rsidR="001015EC" w:rsidRPr="00CE04F3" w:rsidRDefault="001015EC" w:rsidP="001C7490">
            <w:pPr>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0.0%</w:t>
            </w:r>
          </w:p>
        </w:tc>
      </w:tr>
      <w:tr w:rsidR="001015EC" w:rsidRPr="00CE04F3" w14:paraId="50654EE2" w14:textId="77777777" w:rsidTr="001C7490">
        <w:trPr>
          <w:trHeight w:val="218"/>
        </w:trPr>
        <w:tc>
          <w:tcPr>
            <w:tcW w:w="1761" w:type="dxa"/>
            <w:tcBorders>
              <w:top w:val="single" w:sz="5" w:space="0" w:color="D4D4D4"/>
              <w:left w:val="single" w:sz="5" w:space="0" w:color="D4D4D4"/>
              <w:bottom w:val="single" w:sz="4" w:space="0" w:color="000000"/>
              <w:right w:val="single" w:sz="5" w:space="0" w:color="D4D4D4"/>
            </w:tcBorders>
          </w:tcPr>
          <w:p w14:paraId="41833CF4" w14:textId="77777777" w:rsidR="001015EC" w:rsidRPr="00CE04F3" w:rsidRDefault="001015EC" w:rsidP="001C7490">
            <w:pPr>
              <w:spacing w:line="259" w:lineRule="auto"/>
              <w:rPr>
                <w:rFonts w:ascii="Times New Roman" w:hAnsi="Times New Roman" w:cs="Times New Roman"/>
                <w:sz w:val="26"/>
                <w:szCs w:val="26"/>
              </w:rPr>
            </w:pPr>
            <w:r w:rsidRPr="00CE04F3">
              <w:rPr>
                <w:rFonts w:ascii="Times New Roman" w:eastAsia="Calibri" w:hAnsi="Times New Roman" w:cs="Times New Roman"/>
                <w:sz w:val="26"/>
                <w:szCs w:val="26"/>
              </w:rPr>
              <w:t>LP</w:t>
            </w:r>
          </w:p>
        </w:tc>
        <w:tc>
          <w:tcPr>
            <w:tcW w:w="966" w:type="dxa"/>
            <w:tcBorders>
              <w:top w:val="single" w:sz="5" w:space="0" w:color="D4D4D4"/>
              <w:left w:val="single" w:sz="5" w:space="0" w:color="D4D4D4"/>
              <w:bottom w:val="single" w:sz="4" w:space="0" w:color="000000"/>
              <w:right w:val="single" w:sz="5" w:space="0" w:color="D4D4D4"/>
            </w:tcBorders>
          </w:tcPr>
          <w:p w14:paraId="62C639C6"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197</w:t>
            </w:r>
          </w:p>
        </w:tc>
        <w:tc>
          <w:tcPr>
            <w:tcW w:w="962" w:type="dxa"/>
            <w:tcBorders>
              <w:top w:val="single" w:sz="5" w:space="0" w:color="D4D4D4"/>
              <w:left w:val="single" w:sz="5" w:space="0" w:color="D4D4D4"/>
              <w:bottom w:val="single" w:sz="4" w:space="0" w:color="000000"/>
              <w:right w:val="single" w:sz="5" w:space="0" w:color="D4D4D4"/>
            </w:tcBorders>
          </w:tcPr>
          <w:p w14:paraId="69A358AA" w14:textId="77777777" w:rsidR="001015EC" w:rsidRPr="00CE04F3" w:rsidRDefault="001015EC" w:rsidP="001C7490">
            <w:pPr>
              <w:spacing w:after="160" w:line="259" w:lineRule="auto"/>
              <w:rPr>
                <w:rFonts w:ascii="Times New Roman" w:hAnsi="Times New Roman" w:cs="Times New Roman"/>
                <w:sz w:val="26"/>
                <w:szCs w:val="26"/>
              </w:rPr>
            </w:pPr>
          </w:p>
        </w:tc>
        <w:tc>
          <w:tcPr>
            <w:tcW w:w="1147" w:type="dxa"/>
            <w:tcBorders>
              <w:top w:val="single" w:sz="5" w:space="0" w:color="D4D4D4"/>
              <w:left w:val="single" w:sz="5" w:space="0" w:color="D4D4D4"/>
              <w:bottom w:val="single" w:sz="4" w:space="0" w:color="000000"/>
              <w:right w:val="single" w:sz="5" w:space="0" w:color="D4D4D4"/>
            </w:tcBorders>
          </w:tcPr>
          <w:p w14:paraId="3A8D55A3"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sz w:val="26"/>
                <w:szCs w:val="26"/>
              </w:rPr>
              <w:t>267,219,118</w:t>
            </w:r>
          </w:p>
        </w:tc>
        <w:tc>
          <w:tcPr>
            <w:tcW w:w="1014" w:type="dxa"/>
            <w:tcBorders>
              <w:top w:val="single" w:sz="5" w:space="0" w:color="D4D4D4"/>
              <w:left w:val="single" w:sz="5" w:space="0" w:color="D4D4D4"/>
              <w:bottom w:val="single" w:sz="4" w:space="0" w:color="000000"/>
              <w:right w:val="single" w:sz="5" w:space="0" w:color="D4D4D4"/>
            </w:tcBorders>
          </w:tcPr>
          <w:p w14:paraId="5B1B2CEC" w14:textId="77777777" w:rsidR="001015EC" w:rsidRPr="00CE04F3" w:rsidRDefault="001015EC" w:rsidP="001C7490">
            <w:pPr>
              <w:spacing w:line="259" w:lineRule="auto"/>
              <w:ind w:left="53"/>
              <w:rPr>
                <w:rFonts w:ascii="Times New Roman" w:hAnsi="Times New Roman" w:cs="Times New Roman"/>
                <w:sz w:val="26"/>
                <w:szCs w:val="26"/>
              </w:rPr>
            </w:pPr>
            <w:r w:rsidRPr="00CE04F3">
              <w:rPr>
                <w:rFonts w:ascii="Times New Roman" w:eastAsia="Calibri" w:hAnsi="Times New Roman" w:cs="Times New Roman"/>
                <w:sz w:val="26"/>
                <w:szCs w:val="26"/>
              </w:rPr>
              <w:t>$      7,681,646</w:t>
            </w:r>
          </w:p>
        </w:tc>
        <w:tc>
          <w:tcPr>
            <w:tcW w:w="1018" w:type="dxa"/>
            <w:tcBorders>
              <w:top w:val="single" w:sz="5" w:space="0" w:color="D4D4D4"/>
              <w:left w:val="single" w:sz="5" w:space="0" w:color="D4D4D4"/>
              <w:bottom w:val="single" w:sz="4" w:space="0" w:color="000000"/>
              <w:right w:val="single" w:sz="5" w:space="0" w:color="D4D4D4"/>
            </w:tcBorders>
          </w:tcPr>
          <w:p w14:paraId="3C974A5A"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7,868,396</w:t>
            </w:r>
          </w:p>
        </w:tc>
        <w:tc>
          <w:tcPr>
            <w:tcW w:w="1006" w:type="dxa"/>
            <w:tcBorders>
              <w:top w:val="single" w:sz="5" w:space="0" w:color="D4D4D4"/>
              <w:left w:val="single" w:sz="5" w:space="0" w:color="D4D4D4"/>
              <w:bottom w:val="single" w:sz="4" w:space="0" w:color="000000"/>
              <w:right w:val="single" w:sz="5" w:space="0" w:color="D4D4D4"/>
            </w:tcBorders>
          </w:tcPr>
          <w:p w14:paraId="130C38C3"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186,749</w:t>
            </w:r>
          </w:p>
        </w:tc>
        <w:tc>
          <w:tcPr>
            <w:tcW w:w="1182" w:type="dxa"/>
            <w:tcBorders>
              <w:top w:val="single" w:sz="5" w:space="0" w:color="D4D4D4"/>
              <w:left w:val="single" w:sz="5" w:space="0" w:color="D4D4D4"/>
              <w:bottom w:val="single" w:sz="4" w:space="0" w:color="000000"/>
              <w:right w:val="single" w:sz="5" w:space="0" w:color="D4D4D4"/>
            </w:tcBorders>
          </w:tcPr>
          <w:p w14:paraId="56EA510D" w14:textId="77777777" w:rsidR="001015EC" w:rsidRPr="00CE04F3" w:rsidRDefault="001015EC" w:rsidP="001C7490">
            <w:pPr>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2.4%</w:t>
            </w:r>
          </w:p>
        </w:tc>
        <w:tc>
          <w:tcPr>
            <w:tcW w:w="1006" w:type="dxa"/>
            <w:tcBorders>
              <w:top w:val="single" w:sz="5" w:space="0" w:color="D4D4D4"/>
              <w:left w:val="single" w:sz="5" w:space="0" w:color="D4D4D4"/>
              <w:bottom w:val="single" w:sz="4" w:space="0" w:color="000000"/>
              <w:right w:val="single" w:sz="5" w:space="0" w:color="D4D4D4"/>
            </w:tcBorders>
          </w:tcPr>
          <w:p w14:paraId="7634531C" w14:textId="77777777" w:rsidR="001015EC" w:rsidRPr="00CE04F3" w:rsidRDefault="001015EC" w:rsidP="001C7490">
            <w:pPr>
              <w:spacing w:line="259" w:lineRule="auto"/>
              <w:ind w:right="11"/>
              <w:jc w:val="right"/>
              <w:rPr>
                <w:rFonts w:ascii="Times New Roman" w:hAnsi="Times New Roman" w:cs="Times New Roman"/>
                <w:sz w:val="26"/>
                <w:szCs w:val="26"/>
              </w:rPr>
            </w:pPr>
            <w:r w:rsidRPr="00CE04F3">
              <w:rPr>
                <w:rFonts w:ascii="Times New Roman" w:eastAsia="Calibri" w:hAnsi="Times New Roman" w:cs="Times New Roman"/>
                <w:sz w:val="26"/>
                <w:szCs w:val="26"/>
              </w:rPr>
              <w:t>3.0%</w:t>
            </w:r>
          </w:p>
        </w:tc>
      </w:tr>
      <w:tr w:rsidR="001015EC" w:rsidRPr="00CE04F3" w14:paraId="6ED232D3" w14:textId="77777777" w:rsidTr="001C7490">
        <w:trPr>
          <w:trHeight w:val="227"/>
        </w:trPr>
        <w:tc>
          <w:tcPr>
            <w:tcW w:w="1761" w:type="dxa"/>
            <w:tcBorders>
              <w:top w:val="single" w:sz="4" w:space="0" w:color="000000"/>
              <w:left w:val="single" w:sz="5" w:space="0" w:color="D4D4D4"/>
              <w:bottom w:val="double" w:sz="4" w:space="0" w:color="000000"/>
              <w:right w:val="single" w:sz="5" w:space="0" w:color="D4D4D4"/>
            </w:tcBorders>
          </w:tcPr>
          <w:p w14:paraId="59901BBA" w14:textId="77777777" w:rsidR="001015EC" w:rsidRPr="00CE04F3" w:rsidRDefault="001015EC" w:rsidP="001C7490">
            <w:pPr>
              <w:spacing w:line="259" w:lineRule="auto"/>
              <w:rPr>
                <w:rFonts w:ascii="Times New Roman" w:hAnsi="Times New Roman" w:cs="Times New Roman"/>
                <w:sz w:val="26"/>
                <w:szCs w:val="26"/>
              </w:rPr>
            </w:pPr>
            <w:r w:rsidRPr="00CE04F3">
              <w:rPr>
                <w:rFonts w:ascii="Times New Roman" w:eastAsia="Calibri" w:hAnsi="Times New Roman" w:cs="Times New Roman"/>
                <w:b/>
                <w:sz w:val="26"/>
                <w:szCs w:val="26"/>
              </w:rPr>
              <w:t>Total - Rate Class</w:t>
            </w:r>
          </w:p>
        </w:tc>
        <w:tc>
          <w:tcPr>
            <w:tcW w:w="966" w:type="dxa"/>
            <w:tcBorders>
              <w:top w:val="single" w:sz="4" w:space="0" w:color="000000"/>
              <w:left w:val="single" w:sz="5" w:space="0" w:color="D4D4D4"/>
              <w:bottom w:val="double" w:sz="4" w:space="0" w:color="000000"/>
              <w:right w:val="single" w:sz="5" w:space="0" w:color="D4D4D4"/>
            </w:tcBorders>
          </w:tcPr>
          <w:p w14:paraId="0884906E"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b/>
                <w:sz w:val="26"/>
                <w:szCs w:val="26"/>
              </w:rPr>
              <w:t>63,072</w:t>
            </w:r>
          </w:p>
        </w:tc>
        <w:tc>
          <w:tcPr>
            <w:tcW w:w="962" w:type="dxa"/>
            <w:tcBorders>
              <w:top w:val="single" w:sz="4" w:space="0" w:color="000000"/>
              <w:left w:val="single" w:sz="5" w:space="0" w:color="D4D4D4"/>
              <w:bottom w:val="double" w:sz="4" w:space="0" w:color="000000"/>
              <w:right w:val="single" w:sz="5" w:space="0" w:color="D4D4D4"/>
            </w:tcBorders>
          </w:tcPr>
          <w:p w14:paraId="60A587FA" w14:textId="77777777" w:rsidR="001015EC" w:rsidRPr="00CE04F3" w:rsidRDefault="001015EC" w:rsidP="001C7490">
            <w:pPr>
              <w:spacing w:after="160" w:line="259" w:lineRule="auto"/>
              <w:rPr>
                <w:rFonts w:ascii="Times New Roman" w:hAnsi="Times New Roman" w:cs="Times New Roman"/>
                <w:sz w:val="26"/>
                <w:szCs w:val="26"/>
              </w:rPr>
            </w:pPr>
          </w:p>
        </w:tc>
        <w:tc>
          <w:tcPr>
            <w:tcW w:w="1147" w:type="dxa"/>
            <w:tcBorders>
              <w:top w:val="single" w:sz="4" w:space="0" w:color="000000"/>
              <w:left w:val="single" w:sz="5" w:space="0" w:color="D4D4D4"/>
              <w:bottom w:val="double" w:sz="4" w:space="0" w:color="000000"/>
              <w:right w:val="single" w:sz="5" w:space="0" w:color="D4D4D4"/>
            </w:tcBorders>
          </w:tcPr>
          <w:p w14:paraId="495E6E9E" w14:textId="77777777" w:rsidR="001015EC" w:rsidRPr="00CE04F3" w:rsidRDefault="001015EC" w:rsidP="001C7490">
            <w:pPr>
              <w:spacing w:line="259" w:lineRule="auto"/>
              <w:ind w:right="56"/>
              <w:jc w:val="right"/>
              <w:rPr>
                <w:rFonts w:ascii="Times New Roman" w:hAnsi="Times New Roman" w:cs="Times New Roman"/>
                <w:sz w:val="26"/>
                <w:szCs w:val="26"/>
              </w:rPr>
            </w:pPr>
            <w:r w:rsidRPr="00CE04F3">
              <w:rPr>
                <w:rFonts w:ascii="Times New Roman" w:eastAsia="Calibri" w:hAnsi="Times New Roman" w:cs="Times New Roman"/>
                <w:b/>
                <w:sz w:val="26"/>
                <w:szCs w:val="26"/>
              </w:rPr>
              <w:t>992,884,035</w:t>
            </w:r>
          </w:p>
        </w:tc>
        <w:tc>
          <w:tcPr>
            <w:tcW w:w="1014" w:type="dxa"/>
            <w:tcBorders>
              <w:top w:val="single" w:sz="4" w:space="0" w:color="000000"/>
              <w:left w:val="single" w:sz="5" w:space="0" w:color="D4D4D4"/>
              <w:bottom w:val="double" w:sz="4" w:space="0" w:color="000000"/>
              <w:right w:val="single" w:sz="5" w:space="0" w:color="D4D4D4"/>
            </w:tcBorders>
          </w:tcPr>
          <w:p w14:paraId="46C67359" w14:textId="77777777" w:rsidR="001015EC" w:rsidRPr="00CE04F3" w:rsidRDefault="001015EC" w:rsidP="001C7490">
            <w:pPr>
              <w:spacing w:line="259" w:lineRule="auto"/>
              <w:ind w:left="53"/>
              <w:rPr>
                <w:rFonts w:ascii="Times New Roman" w:hAnsi="Times New Roman" w:cs="Times New Roman"/>
                <w:sz w:val="26"/>
                <w:szCs w:val="26"/>
              </w:rPr>
            </w:pPr>
            <w:r w:rsidRPr="00CE04F3">
              <w:rPr>
                <w:rFonts w:ascii="Times New Roman" w:eastAsia="Calibri" w:hAnsi="Times New Roman" w:cs="Times New Roman"/>
                <w:b/>
                <w:sz w:val="26"/>
                <w:szCs w:val="26"/>
              </w:rPr>
              <w:t>$   86,034,185</w:t>
            </w:r>
          </w:p>
        </w:tc>
        <w:tc>
          <w:tcPr>
            <w:tcW w:w="1018" w:type="dxa"/>
            <w:tcBorders>
              <w:top w:val="single" w:sz="4" w:space="0" w:color="000000"/>
              <w:left w:val="single" w:sz="5" w:space="0" w:color="D4D4D4"/>
              <w:bottom w:val="double" w:sz="4" w:space="0" w:color="000000"/>
              <w:right w:val="single" w:sz="5" w:space="0" w:color="D4D4D4"/>
            </w:tcBorders>
          </w:tcPr>
          <w:p w14:paraId="4643EFE7"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b/>
                <w:sz w:val="26"/>
                <w:szCs w:val="26"/>
              </w:rPr>
              <w:t>$   92,184,260</w:t>
            </w:r>
          </w:p>
        </w:tc>
        <w:tc>
          <w:tcPr>
            <w:tcW w:w="1006" w:type="dxa"/>
            <w:tcBorders>
              <w:top w:val="single" w:sz="4" w:space="0" w:color="000000"/>
              <w:left w:val="single" w:sz="5" w:space="0" w:color="D4D4D4"/>
              <w:bottom w:val="double" w:sz="4" w:space="0" w:color="000000"/>
              <w:right w:val="single" w:sz="5" w:space="0" w:color="D4D4D4"/>
            </w:tcBorders>
          </w:tcPr>
          <w:p w14:paraId="37575134"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b/>
                <w:sz w:val="26"/>
                <w:szCs w:val="26"/>
              </w:rPr>
              <w:t>$     6,150,075</w:t>
            </w:r>
          </w:p>
        </w:tc>
        <w:tc>
          <w:tcPr>
            <w:tcW w:w="1182" w:type="dxa"/>
            <w:tcBorders>
              <w:top w:val="single" w:sz="4" w:space="0" w:color="000000"/>
              <w:left w:val="single" w:sz="5" w:space="0" w:color="D4D4D4"/>
              <w:bottom w:val="double" w:sz="4" w:space="0" w:color="000000"/>
              <w:right w:val="single" w:sz="5" w:space="0" w:color="D4D4D4"/>
            </w:tcBorders>
          </w:tcPr>
          <w:p w14:paraId="2BD2FB07" w14:textId="77777777" w:rsidR="001015EC" w:rsidRPr="00CE04F3" w:rsidRDefault="001015EC" w:rsidP="001C7490">
            <w:pPr>
              <w:spacing w:line="259" w:lineRule="auto"/>
              <w:ind w:right="8"/>
              <w:jc w:val="right"/>
              <w:rPr>
                <w:rFonts w:ascii="Times New Roman" w:hAnsi="Times New Roman" w:cs="Times New Roman"/>
                <w:sz w:val="26"/>
                <w:szCs w:val="26"/>
              </w:rPr>
            </w:pPr>
            <w:r w:rsidRPr="00CE04F3">
              <w:rPr>
                <w:rFonts w:ascii="Times New Roman" w:eastAsia="Calibri" w:hAnsi="Times New Roman" w:cs="Times New Roman"/>
                <w:b/>
                <w:sz w:val="26"/>
                <w:szCs w:val="26"/>
              </w:rPr>
              <w:t>7.1%</w:t>
            </w:r>
          </w:p>
        </w:tc>
        <w:tc>
          <w:tcPr>
            <w:tcW w:w="1006" w:type="dxa"/>
            <w:tcBorders>
              <w:top w:val="single" w:sz="4" w:space="0" w:color="000000"/>
              <w:left w:val="single" w:sz="5" w:space="0" w:color="D4D4D4"/>
              <w:bottom w:val="double" w:sz="4" w:space="0" w:color="000000"/>
              <w:right w:val="single" w:sz="5" w:space="0" w:color="D4D4D4"/>
            </w:tcBorders>
          </w:tcPr>
          <w:p w14:paraId="57F50BCA" w14:textId="77777777" w:rsidR="001015EC" w:rsidRPr="00CE04F3" w:rsidRDefault="001015EC" w:rsidP="001C7490">
            <w:pPr>
              <w:spacing w:after="160" w:line="259" w:lineRule="auto"/>
              <w:rPr>
                <w:rFonts w:ascii="Times New Roman" w:hAnsi="Times New Roman" w:cs="Times New Roman"/>
                <w:sz w:val="26"/>
                <w:szCs w:val="26"/>
              </w:rPr>
            </w:pPr>
          </w:p>
        </w:tc>
      </w:tr>
      <w:tr w:rsidR="001015EC" w:rsidRPr="00CE04F3" w14:paraId="3623DC50" w14:textId="77777777" w:rsidTr="001C7490">
        <w:trPr>
          <w:trHeight w:val="227"/>
        </w:trPr>
        <w:tc>
          <w:tcPr>
            <w:tcW w:w="1761" w:type="dxa"/>
            <w:tcBorders>
              <w:top w:val="double" w:sz="4" w:space="0" w:color="000000"/>
              <w:left w:val="single" w:sz="5" w:space="0" w:color="D4D4D4"/>
              <w:bottom w:val="single" w:sz="4" w:space="0" w:color="D4D4D4"/>
              <w:right w:val="single" w:sz="5" w:space="0" w:color="D4D4D4"/>
            </w:tcBorders>
          </w:tcPr>
          <w:p w14:paraId="10F4BED1" w14:textId="77777777" w:rsidR="001015EC" w:rsidRPr="00CE04F3" w:rsidRDefault="001015EC" w:rsidP="001C7490">
            <w:pPr>
              <w:spacing w:after="160" w:line="259" w:lineRule="auto"/>
              <w:rPr>
                <w:rFonts w:ascii="Times New Roman" w:hAnsi="Times New Roman" w:cs="Times New Roman"/>
                <w:sz w:val="26"/>
                <w:szCs w:val="26"/>
              </w:rPr>
            </w:pPr>
          </w:p>
        </w:tc>
        <w:tc>
          <w:tcPr>
            <w:tcW w:w="966" w:type="dxa"/>
            <w:tcBorders>
              <w:top w:val="double" w:sz="4" w:space="0" w:color="000000"/>
              <w:left w:val="single" w:sz="5" w:space="0" w:color="D4D4D4"/>
              <w:bottom w:val="single" w:sz="4" w:space="0" w:color="D4D4D4"/>
              <w:right w:val="single" w:sz="5" w:space="0" w:color="D4D4D4"/>
            </w:tcBorders>
          </w:tcPr>
          <w:p w14:paraId="18491CA3" w14:textId="77777777" w:rsidR="001015EC" w:rsidRPr="00CE04F3" w:rsidRDefault="001015EC" w:rsidP="001C7490">
            <w:pPr>
              <w:spacing w:after="160" w:line="259" w:lineRule="auto"/>
              <w:rPr>
                <w:rFonts w:ascii="Times New Roman" w:hAnsi="Times New Roman" w:cs="Times New Roman"/>
                <w:sz w:val="26"/>
                <w:szCs w:val="26"/>
              </w:rPr>
            </w:pPr>
          </w:p>
        </w:tc>
        <w:tc>
          <w:tcPr>
            <w:tcW w:w="962" w:type="dxa"/>
            <w:tcBorders>
              <w:top w:val="double" w:sz="4" w:space="0" w:color="000000"/>
              <w:left w:val="single" w:sz="5" w:space="0" w:color="D4D4D4"/>
              <w:bottom w:val="single" w:sz="4" w:space="0" w:color="D4D4D4"/>
              <w:right w:val="single" w:sz="5" w:space="0" w:color="D4D4D4"/>
            </w:tcBorders>
          </w:tcPr>
          <w:p w14:paraId="47DC6258" w14:textId="77777777" w:rsidR="001015EC" w:rsidRPr="00CE04F3" w:rsidRDefault="001015EC" w:rsidP="001C7490">
            <w:pPr>
              <w:spacing w:after="160" w:line="259" w:lineRule="auto"/>
              <w:rPr>
                <w:rFonts w:ascii="Times New Roman" w:hAnsi="Times New Roman" w:cs="Times New Roman"/>
                <w:sz w:val="26"/>
                <w:szCs w:val="26"/>
              </w:rPr>
            </w:pPr>
          </w:p>
        </w:tc>
        <w:tc>
          <w:tcPr>
            <w:tcW w:w="1147" w:type="dxa"/>
            <w:tcBorders>
              <w:top w:val="double" w:sz="4" w:space="0" w:color="000000"/>
              <w:left w:val="single" w:sz="5" w:space="0" w:color="D4D4D4"/>
              <w:bottom w:val="single" w:sz="4" w:space="0" w:color="D4D4D4"/>
              <w:right w:val="single" w:sz="5" w:space="0" w:color="D4D4D4"/>
            </w:tcBorders>
          </w:tcPr>
          <w:p w14:paraId="6CB5AE98" w14:textId="77777777" w:rsidR="001015EC" w:rsidRPr="00CE04F3" w:rsidRDefault="001015EC" w:rsidP="001C7490">
            <w:pPr>
              <w:spacing w:after="160" w:line="259" w:lineRule="auto"/>
              <w:rPr>
                <w:rFonts w:ascii="Times New Roman" w:hAnsi="Times New Roman" w:cs="Times New Roman"/>
                <w:sz w:val="26"/>
                <w:szCs w:val="26"/>
              </w:rPr>
            </w:pPr>
          </w:p>
        </w:tc>
        <w:tc>
          <w:tcPr>
            <w:tcW w:w="1014" w:type="dxa"/>
            <w:tcBorders>
              <w:top w:val="double" w:sz="4" w:space="0" w:color="000000"/>
              <w:left w:val="single" w:sz="5" w:space="0" w:color="D4D4D4"/>
              <w:bottom w:val="single" w:sz="4" w:space="0" w:color="D4D4D4"/>
              <w:right w:val="single" w:sz="5" w:space="0" w:color="D4D4D4"/>
            </w:tcBorders>
          </w:tcPr>
          <w:p w14:paraId="10F7FB40" w14:textId="77777777" w:rsidR="001015EC" w:rsidRPr="00CE04F3" w:rsidRDefault="001015EC" w:rsidP="001C7490">
            <w:pPr>
              <w:spacing w:after="160" w:line="259" w:lineRule="auto"/>
              <w:rPr>
                <w:rFonts w:ascii="Times New Roman" w:hAnsi="Times New Roman" w:cs="Times New Roman"/>
                <w:sz w:val="26"/>
                <w:szCs w:val="26"/>
              </w:rPr>
            </w:pPr>
          </w:p>
        </w:tc>
        <w:tc>
          <w:tcPr>
            <w:tcW w:w="1018" w:type="dxa"/>
            <w:tcBorders>
              <w:top w:val="double" w:sz="4" w:space="0" w:color="000000"/>
              <w:left w:val="single" w:sz="5" w:space="0" w:color="D4D4D4"/>
              <w:bottom w:val="single" w:sz="4" w:space="0" w:color="D4D4D4"/>
              <w:right w:val="single" w:sz="5" w:space="0" w:color="D4D4D4"/>
            </w:tcBorders>
          </w:tcPr>
          <w:p w14:paraId="146E8DCF" w14:textId="77777777" w:rsidR="001015EC" w:rsidRPr="00CE04F3" w:rsidRDefault="001015EC" w:rsidP="001C7490">
            <w:pPr>
              <w:spacing w:after="160" w:line="259" w:lineRule="auto"/>
              <w:rPr>
                <w:rFonts w:ascii="Times New Roman" w:hAnsi="Times New Roman" w:cs="Times New Roman"/>
                <w:sz w:val="26"/>
                <w:szCs w:val="26"/>
              </w:rPr>
            </w:pPr>
          </w:p>
        </w:tc>
        <w:tc>
          <w:tcPr>
            <w:tcW w:w="1006" w:type="dxa"/>
            <w:tcBorders>
              <w:top w:val="double" w:sz="4" w:space="0" w:color="000000"/>
              <w:left w:val="single" w:sz="5" w:space="0" w:color="D4D4D4"/>
              <w:bottom w:val="single" w:sz="4" w:space="0" w:color="D4D4D4"/>
              <w:right w:val="single" w:sz="5" w:space="0" w:color="D4D4D4"/>
            </w:tcBorders>
          </w:tcPr>
          <w:p w14:paraId="70430395" w14:textId="77777777" w:rsidR="001015EC" w:rsidRPr="00CE04F3" w:rsidRDefault="001015EC" w:rsidP="001C7490">
            <w:pPr>
              <w:spacing w:after="160" w:line="259" w:lineRule="auto"/>
              <w:rPr>
                <w:rFonts w:ascii="Times New Roman" w:hAnsi="Times New Roman" w:cs="Times New Roman"/>
                <w:sz w:val="26"/>
                <w:szCs w:val="26"/>
              </w:rPr>
            </w:pPr>
          </w:p>
        </w:tc>
        <w:tc>
          <w:tcPr>
            <w:tcW w:w="1182" w:type="dxa"/>
            <w:tcBorders>
              <w:top w:val="double" w:sz="4" w:space="0" w:color="000000"/>
              <w:left w:val="single" w:sz="5" w:space="0" w:color="D4D4D4"/>
              <w:bottom w:val="single" w:sz="4" w:space="0" w:color="D4D4D4"/>
              <w:right w:val="single" w:sz="5" w:space="0" w:color="D4D4D4"/>
            </w:tcBorders>
          </w:tcPr>
          <w:p w14:paraId="55ED4C9C" w14:textId="77777777" w:rsidR="001015EC" w:rsidRPr="00CE04F3" w:rsidRDefault="001015EC" w:rsidP="001C7490">
            <w:pPr>
              <w:spacing w:after="160" w:line="259" w:lineRule="auto"/>
              <w:rPr>
                <w:rFonts w:ascii="Times New Roman" w:hAnsi="Times New Roman" w:cs="Times New Roman"/>
                <w:sz w:val="26"/>
                <w:szCs w:val="26"/>
              </w:rPr>
            </w:pPr>
          </w:p>
        </w:tc>
        <w:tc>
          <w:tcPr>
            <w:tcW w:w="1006" w:type="dxa"/>
            <w:tcBorders>
              <w:top w:val="double" w:sz="4" w:space="0" w:color="000000"/>
              <w:left w:val="single" w:sz="5" w:space="0" w:color="D4D4D4"/>
              <w:bottom w:val="single" w:sz="4" w:space="0" w:color="D4D4D4"/>
              <w:right w:val="single" w:sz="5" w:space="0" w:color="D4D4D4"/>
            </w:tcBorders>
          </w:tcPr>
          <w:p w14:paraId="0BA0E2A7" w14:textId="77777777" w:rsidR="001015EC" w:rsidRPr="00CE04F3" w:rsidRDefault="001015EC" w:rsidP="001C7490">
            <w:pPr>
              <w:spacing w:after="160" w:line="259" w:lineRule="auto"/>
              <w:rPr>
                <w:rFonts w:ascii="Times New Roman" w:hAnsi="Times New Roman" w:cs="Times New Roman"/>
                <w:sz w:val="26"/>
                <w:szCs w:val="26"/>
              </w:rPr>
            </w:pPr>
          </w:p>
        </w:tc>
      </w:tr>
      <w:tr w:rsidR="001015EC" w:rsidRPr="00CE04F3" w14:paraId="2D8952AF" w14:textId="77777777" w:rsidTr="001C7490">
        <w:trPr>
          <w:trHeight w:val="216"/>
        </w:trPr>
        <w:tc>
          <w:tcPr>
            <w:tcW w:w="1761" w:type="dxa"/>
            <w:tcBorders>
              <w:top w:val="single" w:sz="4" w:space="0" w:color="D4D4D4"/>
              <w:left w:val="single" w:sz="5" w:space="0" w:color="D4D4D4"/>
              <w:bottom w:val="single" w:sz="4" w:space="0" w:color="D4D4D4"/>
              <w:right w:val="single" w:sz="5" w:space="0" w:color="D4D4D4"/>
            </w:tcBorders>
          </w:tcPr>
          <w:p w14:paraId="18C7B305" w14:textId="77777777" w:rsidR="001015EC" w:rsidRPr="00CE04F3" w:rsidRDefault="001015EC" w:rsidP="001C7490">
            <w:pPr>
              <w:spacing w:line="259" w:lineRule="auto"/>
              <w:rPr>
                <w:rFonts w:ascii="Times New Roman" w:hAnsi="Times New Roman" w:cs="Times New Roman"/>
                <w:sz w:val="26"/>
                <w:szCs w:val="26"/>
              </w:rPr>
            </w:pPr>
            <w:r w:rsidRPr="00CE04F3">
              <w:rPr>
                <w:rFonts w:ascii="Times New Roman" w:eastAsia="Calibri" w:hAnsi="Times New Roman" w:cs="Times New Roman"/>
                <w:sz w:val="26"/>
                <w:szCs w:val="26"/>
              </w:rPr>
              <w:t>Other Operating Revenue</w:t>
            </w:r>
          </w:p>
        </w:tc>
        <w:tc>
          <w:tcPr>
            <w:tcW w:w="966" w:type="dxa"/>
            <w:tcBorders>
              <w:top w:val="single" w:sz="4" w:space="0" w:color="D4D4D4"/>
              <w:left w:val="single" w:sz="5" w:space="0" w:color="D4D4D4"/>
              <w:bottom w:val="single" w:sz="4" w:space="0" w:color="D4D4D4"/>
              <w:right w:val="single" w:sz="5" w:space="0" w:color="D4D4D4"/>
            </w:tcBorders>
          </w:tcPr>
          <w:p w14:paraId="402B8502" w14:textId="77777777" w:rsidR="001015EC" w:rsidRPr="00CE04F3" w:rsidRDefault="001015EC" w:rsidP="001C7490">
            <w:pPr>
              <w:spacing w:after="160" w:line="259" w:lineRule="auto"/>
              <w:rPr>
                <w:rFonts w:ascii="Times New Roman" w:hAnsi="Times New Roman" w:cs="Times New Roman"/>
                <w:sz w:val="26"/>
                <w:szCs w:val="26"/>
              </w:rPr>
            </w:pPr>
          </w:p>
        </w:tc>
        <w:tc>
          <w:tcPr>
            <w:tcW w:w="962" w:type="dxa"/>
            <w:tcBorders>
              <w:top w:val="single" w:sz="4" w:space="0" w:color="D4D4D4"/>
              <w:left w:val="single" w:sz="5" w:space="0" w:color="D4D4D4"/>
              <w:bottom w:val="single" w:sz="4" w:space="0" w:color="D4D4D4"/>
              <w:right w:val="single" w:sz="5" w:space="0" w:color="D4D4D4"/>
            </w:tcBorders>
          </w:tcPr>
          <w:p w14:paraId="609A6E6C" w14:textId="77777777" w:rsidR="001015EC" w:rsidRPr="00CE04F3" w:rsidRDefault="001015EC" w:rsidP="001C7490">
            <w:pPr>
              <w:spacing w:after="160" w:line="259" w:lineRule="auto"/>
              <w:rPr>
                <w:rFonts w:ascii="Times New Roman" w:hAnsi="Times New Roman" w:cs="Times New Roman"/>
                <w:sz w:val="26"/>
                <w:szCs w:val="26"/>
              </w:rPr>
            </w:pPr>
          </w:p>
        </w:tc>
        <w:tc>
          <w:tcPr>
            <w:tcW w:w="1147" w:type="dxa"/>
            <w:tcBorders>
              <w:top w:val="single" w:sz="4" w:space="0" w:color="D4D4D4"/>
              <w:left w:val="single" w:sz="5" w:space="0" w:color="D4D4D4"/>
              <w:bottom w:val="single" w:sz="4" w:space="0" w:color="D4D4D4"/>
              <w:right w:val="single" w:sz="5" w:space="0" w:color="D4D4D4"/>
            </w:tcBorders>
          </w:tcPr>
          <w:p w14:paraId="1F8B1721" w14:textId="77777777" w:rsidR="001015EC" w:rsidRPr="00CE04F3" w:rsidRDefault="001015EC" w:rsidP="001C7490">
            <w:pPr>
              <w:spacing w:after="160" w:line="259" w:lineRule="auto"/>
              <w:rPr>
                <w:rFonts w:ascii="Times New Roman" w:hAnsi="Times New Roman" w:cs="Times New Roman"/>
                <w:sz w:val="26"/>
                <w:szCs w:val="26"/>
              </w:rPr>
            </w:pPr>
          </w:p>
        </w:tc>
        <w:tc>
          <w:tcPr>
            <w:tcW w:w="1014" w:type="dxa"/>
            <w:tcBorders>
              <w:top w:val="single" w:sz="4" w:space="0" w:color="D4D4D4"/>
              <w:left w:val="single" w:sz="5" w:space="0" w:color="D4D4D4"/>
              <w:bottom w:val="single" w:sz="4" w:space="0" w:color="D4D4D4"/>
              <w:right w:val="single" w:sz="5" w:space="0" w:color="D4D4D4"/>
            </w:tcBorders>
          </w:tcPr>
          <w:p w14:paraId="36030410" w14:textId="77777777" w:rsidR="001015EC" w:rsidRPr="00CE04F3" w:rsidRDefault="001015EC" w:rsidP="001C7490">
            <w:pPr>
              <w:spacing w:line="259" w:lineRule="auto"/>
              <w:ind w:left="53"/>
              <w:rPr>
                <w:rFonts w:ascii="Times New Roman" w:hAnsi="Times New Roman" w:cs="Times New Roman"/>
                <w:sz w:val="26"/>
                <w:szCs w:val="26"/>
              </w:rPr>
            </w:pPr>
            <w:r w:rsidRPr="00CE04F3">
              <w:rPr>
                <w:rFonts w:ascii="Times New Roman" w:eastAsia="Calibri" w:hAnsi="Times New Roman" w:cs="Times New Roman"/>
                <w:sz w:val="26"/>
                <w:szCs w:val="26"/>
              </w:rPr>
              <w:t>$      1,029,976</w:t>
            </w:r>
          </w:p>
        </w:tc>
        <w:tc>
          <w:tcPr>
            <w:tcW w:w="1018" w:type="dxa"/>
            <w:tcBorders>
              <w:top w:val="single" w:sz="4" w:space="0" w:color="D4D4D4"/>
              <w:left w:val="single" w:sz="5" w:space="0" w:color="D4D4D4"/>
              <w:bottom w:val="single" w:sz="4" w:space="0" w:color="D4D4D4"/>
              <w:right w:val="single" w:sz="5" w:space="0" w:color="D4D4D4"/>
            </w:tcBorders>
          </w:tcPr>
          <w:p w14:paraId="2CBFA0B2"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1,029,976</w:t>
            </w:r>
          </w:p>
        </w:tc>
        <w:tc>
          <w:tcPr>
            <w:tcW w:w="1006" w:type="dxa"/>
            <w:tcBorders>
              <w:top w:val="single" w:sz="4" w:space="0" w:color="D4D4D4"/>
              <w:left w:val="single" w:sz="5" w:space="0" w:color="D4D4D4"/>
              <w:bottom w:val="single" w:sz="4" w:space="0" w:color="D4D4D4"/>
              <w:right w:val="single" w:sz="5" w:space="0" w:color="D4D4D4"/>
            </w:tcBorders>
          </w:tcPr>
          <w:p w14:paraId="4E84A00F"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sz w:val="26"/>
                <w:szCs w:val="26"/>
              </w:rPr>
              <w:t>$                  -</w:t>
            </w:r>
          </w:p>
        </w:tc>
        <w:tc>
          <w:tcPr>
            <w:tcW w:w="1182" w:type="dxa"/>
            <w:tcBorders>
              <w:top w:val="single" w:sz="4" w:space="0" w:color="D4D4D4"/>
              <w:left w:val="single" w:sz="5" w:space="0" w:color="D4D4D4"/>
              <w:bottom w:val="single" w:sz="4" w:space="0" w:color="D4D4D4"/>
              <w:right w:val="single" w:sz="5" w:space="0" w:color="D4D4D4"/>
            </w:tcBorders>
          </w:tcPr>
          <w:p w14:paraId="50FD3FA8" w14:textId="77777777" w:rsidR="001015EC" w:rsidRPr="00CE04F3" w:rsidRDefault="001015EC" w:rsidP="001C7490">
            <w:pPr>
              <w:spacing w:after="160" w:line="259" w:lineRule="auto"/>
              <w:rPr>
                <w:rFonts w:ascii="Times New Roman" w:hAnsi="Times New Roman" w:cs="Times New Roman"/>
                <w:sz w:val="26"/>
                <w:szCs w:val="26"/>
              </w:rPr>
            </w:pPr>
          </w:p>
        </w:tc>
        <w:tc>
          <w:tcPr>
            <w:tcW w:w="1006" w:type="dxa"/>
            <w:tcBorders>
              <w:top w:val="single" w:sz="4" w:space="0" w:color="D4D4D4"/>
              <w:left w:val="single" w:sz="5" w:space="0" w:color="D4D4D4"/>
              <w:bottom w:val="single" w:sz="4" w:space="0" w:color="D4D4D4"/>
              <w:right w:val="single" w:sz="5" w:space="0" w:color="D4D4D4"/>
            </w:tcBorders>
          </w:tcPr>
          <w:p w14:paraId="1E7FF290" w14:textId="77777777" w:rsidR="001015EC" w:rsidRPr="00CE04F3" w:rsidRDefault="001015EC" w:rsidP="001C7490">
            <w:pPr>
              <w:spacing w:after="160" w:line="259" w:lineRule="auto"/>
              <w:rPr>
                <w:rFonts w:ascii="Times New Roman" w:hAnsi="Times New Roman" w:cs="Times New Roman"/>
                <w:sz w:val="26"/>
                <w:szCs w:val="26"/>
              </w:rPr>
            </w:pPr>
          </w:p>
        </w:tc>
      </w:tr>
      <w:tr w:rsidR="001015EC" w:rsidRPr="00CE04F3" w14:paraId="79C9EDC0" w14:textId="77777777" w:rsidTr="001C7490">
        <w:trPr>
          <w:trHeight w:val="216"/>
        </w:trPr>
        <w:tc>
          <w:tcPr>
            <w:tcW w:w="1761" w:type="dxa"/>
            <w:tcBorders>
              <w:top w:val="single" w:sz="4" w:space="0" w:color="D4D4D4"/>
              <w:left w:val="single" w:sz="5" w:space="0" w:color="D4D4D4"/>
              <w:bottom w:val="single" w:sz="4" w:space="0" w:color="000000"/>
              <w:right w:val="single" w:sz="5" w:space="0" w:color="D4D4D4"/>
            </w:tcBorders>
          </w:tcPr>
          <w:p w14:paraId="0835CB49" w14:textId="77777777" w:rsidR="001015EC" w:rsidRPr="00CE04F3" w:rsidRDefault="001015EC" w:rsidP="001C7490">
            <w:pPr>
              <w:spacing w:after="160" w:line="259" w:lineRule="auto"/>
              <w:rPr>
                <w:rFonts w:ascii="Times New Roman" w:hAnsi="Times New Roman" w:cs="Times New Roman"/>
                <w:sz w:val="26"/>
                <w:szCs w:val="26"/>
              </w:rPr>
            </w:pPr>
          </w:p>
        </w:tc>
        <w:tc>
          <w:tcPr>
            <w:tcW w:w="966" w:type="dxa"/>
            <w:tcBorders>
              <w:top w:val="single" w:sz="4" w:space="0" w:color="D4D4D4"/>
              <w:left w:val="single" w:sz="5" w:space="0" w:color="D4D4D4"/>
              <w:bottom w:val="single" w:sz="4" w:space="0" w:color="000000"/>
              <w:right w:val="single" w:sz="5" w:space="0" w:color="D4D4D4"/>
            </w:tcBorders>
          </w:tcPr>
          <w:p w14:paraId="12C45C7B" w14:textId="77777777" w:rsidR="001015EC" w:rsidRPr="00CE04F3" w:rsidRDefault="001015EC" w:rsidP="001C7490">
            <w:pPr>
              <w:spacing w:after="160" w:line="259" w:lineRule="auto"/>
              <w:rPr>
                <w:rFonts w:ascii="Times New Roman" w:hAnsi="Times New Roman" w:cs="Times New Roman"/>
                <w:sz w:val="26"/>
                <w:szCs w:val="26"/>
              </w:rPr>
            </w:pPr>
          </w:p>
        </w:tc>
        <w:tc>
          <w:tcPr>
            <w:tcW w:w="962" w:type="dxa"/>
            <w:tcBorders>
              <w:top w:val="single" w:sz="4" w:space="0" w:color="D4D4D4"/>
              <w:left w:val="single" w:sz="5" w:space="0" w:color="D4D4D4"/>
              <w:bottom w:val="single" w:sz="4" w:space="0" w:color="000000"/>
              <w:right w:val="single" w:sz="5" w:space="0" w:color="D4D4D4"/>
            </w:tcBorders>
          </w:tcPr>
          <w:p w14:paraId="121C8D90" w14:textId="77777777" w:rsidR="001015EC" w:rsidRPr="00CE04F3" w:rsidRDefault="001015EC" w:rsidP="001C7490">
            <w:pPr>
              <w:spacing w:after="160" w:line="259" w:lineRule="auto"/>
              <w:rPr>
                <w:rFonts w:ascii="Times New Roman" w:hAnsi="Times New Roman" w:cs="Times New Roman"/>
                <w:sz w:val="26"/>
                <w:szCs w:val="26"/>
              </w:rPr>
            </w:pPr>
          </w:p>
        </w:tc>
        <w:tc>
          <w:tcPr>
            <w:tcW w:w="1147" w:type="dxa"/>
            <w:tcBorders>
              <w:top w:val="single" w:sz="4" w:space="0" w:color="D4D4D4"/>
              <w:left w:val="single" w:sz="5" w:space="0" w:color="D4D4D4"/>
              <w:bottom w:val="single" w:sz="4" w:space="0" w:color="000000"/>
              <w:right w:val="single" w:sz="5" w:space="0" w:color="D4D4D4"/>
            </w:tcBorders>
          </w:tcPr>
          <w:p w14:paraId="6C6F8D99" w14:textId="77777777" w:rsidR="001015EC" w:rsidRPr="00CE04F3" w:rsidRDefault="001015EC" w:rsidP="001C7490">
            <w:pPr>
              <w:spacing w:after="160" w:line="259" w:lineRule="auto"/>
              <w:rPr>
                <w:rFonts w:ascii="Times New Roman" w:hAnsi="Times New Roman" w:cs="Times New Roman"/>
                <w:sz w:val="26"/>
                <w:szCs w:val="26"/>
              </w:rPr>
            </w:pPr>
          </w:p>
        </w:tc>
        <w:tc>
          <w:tcPr>
            <w:tcW w:w="1014" w:type="dxa"/>
            <w:tcBorders>
              <w:top w:val="single" w:sz="4" w:space="0" w:color="D4D4D4"/>
              <w:left w:val="single" w:sz="5" w:space="0" w:color="D4D4D4"/>
              <w:bottom w:val="single" w:sz="4" w:space="0" w:color="000000"/>
              <w:right w:val="single" w:sz="5" w:space="0" w:color="D4D4D4"/>
            </w:tcBorders>
          </w:tcPr>
          <w:p w14:paraId="0E9820F1" w14:textId="77777777" w:rsidR="001015EC" w:rsidRPr="00CE04F3" w:rsidRDefault="001015EC" w:rsidP="001C7490">
            <w:pPr>
              <w:spacing w:after="160" w:line="259" w:lineRule="auto"/>
              <w:rPr>
                <w:rFonts w:ascii="Times New Roman" w:hAnsi="Times New Roman" w:cs="Times New Roman"/>
                <w:sz w:val="26"/>
                <w:szCs w:val="26"/>
              </w:rPr>
            </w:pPr>
          </w:p>
        </w:tc>
        <w:tc>
          <w:tcPr>
            <w:tcW w:w="1018" w:type="dxa"/>
            <w:tcBorders>
              <w:top w:val="single" w:sz="4" w:space="0" w:color="D4D4D4"/>
              <w:left w:val="single" w:sz="5" w:space="0" w:color="D4D4D4"/>
              <w:bottom w:val="single" w:sz="4" w:space="0" w:color="000000"/>
              <w:right w:val="single" w:sz="5" w:space="0" w:color="D4D4D4"/>
            </w:tcBorders>
          </w:tcPr>
          <w:p w14:paraId="7D3488DA" w14:textId="77777777" w:rsidR="001015EC" w:rsidRPr="00CE04F3" w:rsidRDefault="001015EC" w:rsidP="001C7490">
            <w:pPr>
              <w:spacing w:after="160" w:line="259" w:lineRule="auto"/>
              <w:rPr>
                <w:rFonts w:ascii="Times New Roman" w:hAnsi="Times New Roman" w:cs="Times New Roman"/>
                <w:sz w:val="26"/>
                <w:szCs w:val="26"/>
              </w:rPr>
            </w:pPr>
          </w:p>
        </w:tc>
        <w:tc>
          <w:tcPr>
            <w:tcW w:w="1006" w:type="dxa"/>
            <w:tcBorders>
              <w:top w:val="single" w:sz="4" w:space="0" w:color="D4D4D4"/>
              <w:left w:val="single" w:sz="5" w:space="0" w:color="D4D4D4"/>
              <w:bottom w:val="single" w:sz="4" w:space="0" w:color="000000"/>
              <w:right w:val="single" w:sz="5" w:space="0" w:color="D4D4D4"/>
            </w:tcBorders>
          </w:tcPr>
          <w:p w14:paraId="63730216" w14:textId="77777777" w:rsidR="001015EC" w:rsidRPr="00CE04F3" w:rsidRDefault="001015EC" w:rsidP="001C7490">
            <w:pPr>
              <w:spacing w:after="160" w:line="259" w:lineRule="auto"/>
              <w:rPr>
                <w:rFonts w:ascii="Times New Roman" w:hAnsi="Times New Roman" w:cs="Times New Roman"/>
                <w:sz w:val="26"/>
                <w:szCs w:val="26"/>
              </w:rPr>
            </w:pPr>
          </w:p>
        </w:tc>
        <w:tc>
          <w:tcPr>
            <w:tcW w:w="1182" w:type="dxa"/>
            <w:tcBorders>
              <w:top w:val="single" w:sz="4" w:space="0" w:color="D4D4D4"/>
              <w:left w:val="single" w:sz="5" w:space="0" w:color="D4D4D4"/>
              <w:bottom w:val="single" w:sz="4" w:space="0" w:color="000000"/>
              <w:right w:val="single" w:sz="5" w:space="0" w:color="D4D4D4"/>
            </w:tcBorders>
          </w:tcPr>
          <w:p w14:paraId="4E23FF9A" w14:textId="77777777" w:rsidR="001015EC" w:rsidRPr="00CE04F3" w:rsidRDefault="001015EC" w:rsidP="001C7490">
            <w:pPr>
              <w:spacing w:after="160" w:line="259" w:lineRule="auto"/>
              <w:rPr>
                <w:rFonts w:ascii="Times New Roman" w:hAnsi="Times New Roman" w:cs="Times New Roman"/>
                <w:sz w:val="26"/>
                <w:szCs w:val="26"/>
              </w:rPr>
            </w:pPr>
          </w:p>
        </w:tc>
        <w:tc>
          <w:tcPr>
            <w:tcW w:w="1006" w:type="dxa"/>
            <w:tcBorders>
              <w:top w:val="single" w:sz="4" w:space="0" w:color="D4D4D4"/>
              <w:left w:val="single" w:sz="5" w:space="0" w:color="D4D4D4"/>
              <w:bottom w:val="single" w:sz="4" w:space="0" w:color="000000"/>
              <w:right w:val="single" w:sz="5" w:space="0" w:color="D4D4D4"/>
            </w:tcBorders>
          </w:tcPr>
          <w:p w14:paraId="56118937" w14:textId="77777777" w:rsidR="001015EC" w:rsidRPr="00CE04F3" w:rsidRDefault="001015EC" w:rsidP="001C7490">
            <w:pPr>
              <w:spacing w:after="160" w:line="259" w:lineRule="auto"/>
              <w:rPr>
                <w:rFonts w:ascii="Times New Roman" w:hAnsi="Times New Roman" w:cs="Times New Roman"/>
                <w:sz w:val="26"/>
                <w:szCs w:val="26"/>
              </w:rPr>
            </w:pPr>
          </w:p>
        </w:tc>
      </w:tr>
      <w:tr w:rsidR="001015EC" w:rsidRPr="00CE04F3" w14:paraId="4311A63A" w14:textId="77777777" w:rsidTr="001C7490">
        <w:trPr>
          <w:trHeight w:val="217"/>
        </w:trPr>
        <w:tc>
          <w:tcPr>
            <w:tcW w:w="1761" w:type="dxa"/>
            <w:tcBorders>
              <w:top w:val="single" w:sz="4" w:space="0" w:color="000000"/>
              <w:left w:val="single" w:sz="5" w:space="0" w:color="D4D4D4"/>
              <w:bottom w:val="single" w:sz="5" w:space="0" w:color="000000"/>
              <w:right w:val="single" w:sz="5" w:space="0" w:color="D4D4D4"/>
            </w:tcBorders>
          </w:tcPr>
          <w:p w14:paraId="52B2D8BC" w14:textId="77777777" w:rsidR="001015EC" w:rsidRPr="00CE04F3" w:rsidRDefault="001015EC" w:rsidP="001C7490">
            <w:pPr>
              <w:spacing w:line="259" w:lineRule="auto"/>
              <w:rPr>
                <w:rFonts w:ascii="Times New Roman" w:hAnsi="Times New Roman" w:cs="Times New Roman"/>
                <w:sz w:val="26"/>
                <w:szCs w:val="26"/>
              </w:rPr>
            </w:pPr>
            <w:r w:rsidRPr="00CE04F3">
              <w:rPr>
                <w:rFonts w:ascii="Times New Roman" w:eastAsia="Calibri" w:hAnsi="Times New Roman" w:cs="Times New Roman"/>
                <w:b/>
                <w:sz w:val="26"/>
                <w:szCs w:val="26"/>
              </w:rPr>
              <w:t>Total Revenue</w:t>
            </w:r>
          </w:p>
        </w:tc>
        <w:tc>
          <w:tcPr>
            <w:tcW w:w="966" w:type="dxa"/>
            <w:tcBorders>
              <w:top w:val="single" w:sz="4" w:space="0" w:color="000000"/>
              <w:left w:val="single" w:sz="5" w:space="0" w:color="D4D4D4"/>
              <w:bottom w:val="single" w:sz="5" w:space="0" w:color="000000"/>
              <w:right w:val="single" w:sz="5" w:space="0" w:color="D4D4D4"/>
            </w:tcBorders>
          </w:tcPr>
          <w:p w14:paraId="3231730C" w14:textId="77777777" w:rsidR="001015EC" w:rsidRPr="00CE04F3" w:rsidRDefault="001015EC" w:rsidP="001C7490">
            <w:pPr>
              <w:spacing w:after="160" w:line="259" w:lineRule="auto"/>
              <w:rPr>
                <w:rFonts w:ascii="Times New Roman" w:hAnsi="Times New Roman" w:cs="Times New Roman"/>
                <w:sz w:val="26"/>
                <w:szCs w:val="26"/>
              </w:rPr>
            </w:pPr>
          </w:p>
        </w:tc>
        <w:tc>
          <w:tcPr>
            <w:tcW w:w="962" w:type="dxa"/>
            <w:tcBorders>
              <w:top w:val="single" w:sz="4" w:space="0" w:color="000000"/>
              <w:left w:val="single" w:sz="5" w:space="0" w:color="D4D4D4"/>
              <w:bottom w:val="single" w:sz="5" w:space="0" w:color="000000"/>
              <w:right w:val="single" w:sz="5" w:space="0" w:color="D4D4D4"/>
            </w:tcBorders>
          </w:tcPr>
          <w:p w14:paraId="2E176987" w14:textId="77777777" w:rsidR="001015EC" w:rsidRPr="00CE04F3" w:rsidRDefault="001015EC" w:rsidP="001C7490">
            <w:pPr>
              <w:spacing w:after="160" w:line="259" w:lineRule="auto"/>
              <w:rPr>
                <w:rFonts w:ascii="Times New Roman" w:hAnsi="Times New Roman" w:cs="Times New Roman"/>
                <w:sz w:val="26"/>
                <w:szCs w:val="26"/>
              </w:rPr>
            </w:pPr>
          </w:p>
        </w:tc>
        <w:tc>
          <w:tcPr>
            <w:tcW w:w="1147" w:type="dxa"/>
            <w:tcBorders>
              <w:top w:val="single" w:sz="4" w:space="0" w:color="000000"/>
              <w:left w:val="single" w:sz="5" w:space="0" w:color="D4D4D4"/>
              <w:bottom w:val="single" w:sz="5" w:space="0" w:color="000000"/>
              <w:right w:val="single" w:sz="5" w:space="0" w:color="D4D4D4"/>
            </w:tcBorders>
          </w:tcPr>
          <w:p w14:paraId="53383589" w14:textId="77777777" w:rsidR="001015EC" w:rsidRPr="00CE04F3" w:rsidRDefault="001015EC" w:rsidP="001C7490">
            <w:pPr>
              <w:spacing w:after="160" w:line="259" w:lineRule="auto"/>
              <w:rPr>
                <w:rFonts w:ascii="Times New Roman" w:hAnsi="Times New Roman" w:cs="Times New Roman"/>
                <w:sz w:val="26"/>
                <w:szCs w:val="26"/>
              </w:rPr>
            </w:pPr>
          </w:p>
        </w:tc>
        <w:tc>
          <w:tcPr>
            <w:tcW w:w="1014" w:type="dxa"/>
            <w:tcBorders>
              <w:top w:val="single" w:sz="4" w:space="0" w:color="000000"/>
              <w:left w:val="single" w:sz="5" w:space="0" w:color="D4D4D4"/>
              <w:bottom w:val="single" w:sz="5" w:space="0" w:color="000000"/>
              <w:right w:val="single" w:sz="5" w:space="0" w:color="D4D4D4"/>
            </w:tcBorders>
          </w:tcPr>
          <w:p w14:paraId="2E6AAC47" w14:textId="77777777" w:rsidR="001015EC" w:rsidRPr="00CE04F3" w:rsidRDefault="001015EC" w:rsidP="001C7490">
            <w:pPr>
              <w:spacing w:line="259" w:lineRule="auto"/>
              <w:ind w:left="53"/>
              <w:rPr>
                <w:rFonts w:ascii="Times New Roman" w:hAnsi="Times New Roman" w:cs="Times New Roman"/>
                <w:sz w:val="26"/>
                <w:szCs w:val="26"/>
              </w:rPr>
            </w:pPr>
            <w:r w:rsidRPr="00CE04F3">
              <w:rPr>
                <w:rFonts w:ascii="Times New Roman" w:eastAsia="Calibri" w:hAnsi="Times New Roman" w:cs="Times New Roman"/>
                <w:b/>
                <w:sz w:val="26"/>
                <w:szCs w:val="26"/>
              </w:rPr>
              <w:t>$   87,064,161</w:t>
            </w:r>
          </w:p>
        </w:tc>
        <w:tc>
          <w:tcPr>
            <w:tcW w:w="1018" w:type="dxa"/>
            <w:tcBorders>
              <w:top w:val="single" w:sz="4" w:space="0" w:color="000000"/>
              <w:left w:val="single" w:sz="5" w:space="0" w:color="D4D4D4"/>
              <w:bottom w:val="single" w:sz="5" w:space="0" w:color="000000"/>
              <w:right w:val="single" w:sz="5" w:space="0" w:color="D4D4D4"/>
            </w:tcBorders>
          </w:tcPr>
          <w:p w14:paraId="4D5FDBA9"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b/>
                <w:sz w:val="26"/>
                <w:szCs w:val="26"/>
              </w:rPr>
              <w:t>$   93,214,236</w:t>
            </w:r>
          </w:p>
        </w:tc>
        <w:tc>
          <w:tcPr>
            <w:tcW w:w="1006" w:type="dxa"/>
            <w:tcBorders>
              <w:top w:val="single" w:sz="4" w:space="0" w:color="000000"/>
              <w:left w:val="single" w:sz="5" w:space="0" w:color="D4D4D4"/>
              <w:bottom w:val="single" w:sz="5" w:space="0" w:color="000000"/>
              <w:right w:val="single" w:sz="5" w:space="0" w:color="D4D4D4"/>
            </w:tcBorders>
          </w:tcPr>
          <w:p w14:paraId="717AC140" w14:textId="77777777" w:rsidR="001015EC" w:rsidRPr="00CE04F3" w:rsidRDefault="001015EC" w:rsidP="001C7490">
            <w:pPr>
              <w:spacing w:line="259" w:lineRule="auto"/>
              <w:ind w:left="56"/>
              <w:rPr>
                <w:rFonts w:ascii="Times New Roman" w:hAnsi="Times New Roman" w:cs="Times New Roman"/>
                <w:sz w:val="26"/>
                <w:szCs w:val="26"/>
              </w:rPr>
            </w:pPr>
            <w:r w:rsidRPr="00CE04F3">
              <w:rPr>
                <w:rFonts w:ascii="Times New Roman" w:eastAsia="Calibri" w:hAnsi="Times New Roman" w:cs="Times New Roman"/>
                <w:b/>
                <w:sz w:val="26"/>
                <w:szCs w:val="26"/>
              </w:rPr>
              <w:t>$     6,150,075</w:t>
            </w:r>
          </w:p>
        </w:tc>
        <w:tc>
          <w:tcPr>
            <w:tcW w:w="1182" w:type="dxa"/>
            <w:tcBorders>
              <w:top w:val="single" w:sz="4" w:space="0" w:color="000000"/>
              <w:left w:val="single" w:sz="5" w:space="0" w:color="D4D4D4"/>
              <w:bottom w:val="single" w:sz="5" w:space="0" w:color="000000"/>
              <w:right w:val="single" w:sz="5" w:space="0" w:color="D4D4D4"/>
            </w:tcBorders>
          </w:tcPr>
          <w:p w14:paraId="0D54B2CF" w14:textId="77777777" w:rsidR="001015EC" w:rsidRPr="00CE04F3" w:rsidRDefault="001015EC" w:rsidP="001C7490">
            <w:pPr>
              <w:spacing w:line="259" w:lineRule="auto"/>
              <w:ind w:right="8"/>
              <w:jc w:val="right"/>
              <w:rPr>
                <w:rFonts w:ascii="Times New Roman" w:hAnsi="Times New Roman" w:cs="Times New Roman"/>
                <w:sz w:val="26"/>
                <w:szCs w:val="26"/>
              </w:rPr>
            </w:pPr>
            <w:r w:rsidRPr="00CE04F3">
              <w:rPr>
                <w:rFonts w:ascii="Times New Roman" w:eastAsia="Calibri" w:hAnsi="Times New Roman" w:cs="Times New Roman"/>
                <w:b/>
                <w:sz w:val="26"/>
                <w:szCs w:val="26"/>
              </w:rPr>
              <w:t>7.1%</w:t>
            </w:r>
          </w:p>
        </w:tc>
        <w:tc>
          <w:tcPr>
            <w:tcW w:w="1006" w:type="dxa"/>
            <w:tcBorders>
              <w:top w:val="single" w:sz="4" w:space="0" w:color="000000"/>
              <w:left w:val="single" w:sz="5" w:space="0" w:color="D4D4D4"/>
              <w:bottom w:val="single" w:sz="5" w:space="0" w:color="000000"/>
              <w:right w:val="single" w:sz="5" w:space="0" w:color="D4D4D4"/>
            </w:tcBorders>
          </w:tcPr>
          <w:p w14:paraId="055C5ABD" w14:textId="77777777" w:rsidR="001015EC" w:rsidRPr="00CE04F3" w:rsidRDefault="001015EC" w:rsidP="001C7490">
            <w:pPr>
              <w:spacing w:after="160" w:line="259" w:lineRule="auto"/>
              <w:rPr>
                <w:rFonts w:ascii="Times New Roman" w:hAnsi="Times New Roman" w:cs="Times New Roman"/>
                <w:sz w:val="26"/>
                <w:szCs w:val="26"/>
              </w:rPr>
            </w:pPr>
          </w:p>
        </w:tc>
      </w:tr>
    </w:tbl>
    <w:p w14:paraId="2743E309" w14:textId="77777777" w:rsidR="007B3569" w:rsidRPr="007B3569" w:rsidRDefault="007B3569" w:rsidP="00277FBD">
      <w:pPr>
        <w:numPr>
          <w:ilvl w:val="0"/>
          <w:numId w:val="6"/>
        </w:numPr>
        <w:spacing w:after="0" w:line="240" w:lineRule="auto"/>
        <w:ind w:right="1440" w:firstLine="1440"/>
        <w:jc w:val="right"/>
        <w:rPr>
          <w:rFonts w:ascii="Times New Roman" w:hAnsi="Times New Roman" w:cs="Times New Roman"/>
          <w:sz w:val="26"/>
          <w:szCs w:val="26"/>
        </w:rPr>
      </w:pPr>
    </w:p>
    <w:p w14:paraId="31101B7D" w14:textId="6E25F701" w:rsidR="001015EC" w:rsidRPr="00277FBD" w:rsidRDefault="007B3569" w:rsidP="004A5C75">
      <w:pPr>
        <w:keepNext/>
        <w:keepLines/>
        <w:spacing w:after="0" w:line="240" w:lineRule="auto"/>
        <w:ind w:left="1440" w:right="1440"/>
        <w:rPr>
          <w:rFonts w:ascii="Times New Roman" w:hAnsi="Times New Roman" w:cs="Times New Roman"/>
          <w:sz w:val="26"/>
          <w:szCs w:val="26"/>
        </w:rPr>
      </w:pPr>
      <w:r w:rsidRPr="007B3569">
        <w:rPr>
          <w:rFonts w:ascii="Times New Roman" w:hAnsi="Times New Roman" w:cs="Times New Roman"/>
          <w:sz w:val="26"/>
          <w:szCs w:val="26"/>
        </w:rPr>
        <w:lastRenderedPageBreak/>
        <w:t>47.</w:t>
      </w:r>
      <w:r w:rsidRPr="007B3569">
        <w:rPr>
          <w:rFonts w:ascii="Times New Roman" w:hAnsi="Times New Roman" w:cs="Times New Roman"/>
          <w:sz w:val="26"/>
          <w:szCs w:val="26"/>
        </w:rPr>
        <w:tab/>
      </w:r>
      <w:r w:rsidR="001015EC" w:rsidRPr="00277FBD">
        <w:rPr>
          <w:rFonts w:ascii="Times New Roman" w:hAnsi="Times New Roman" w:cs="Times New Roman"/>
          <w:sz w:val="26"/>
          <w:szCs w:val="26"/>
          <w:u w:val="single" w:color="000000"/>
        </w:rPr>
        <w:t>Monthly Customer Charges</w:t>
      </w:r>
      <w:r w:rsidR="001015EC" w:rsidRPr="00277FBD">
        <w:rPr>
          <w:rFonts w:ascii="Times New Roman" w:hAnsi="Times New Roman" w:cs="Times New Roman"/>
          <w:sz w:val="26"/>
          <w:szCs w:val="26"/>
        </w:rPr>
        <w:t xml:space="preserve">: The customer charges shall be those proposed by the Company, except as set forth below: </w:t>
      </w:r>
    </w:p>
    <w:p w14:paraId="328798BE" w14:textId="77777777" w:rsidR="004A5C75" w:rsidRDefault="004A5C75" w:rsidP="004A5C75">
      <w:pPr>
        <w:keepNext/>
        <w:keepLines/>
        <w:spacing w:after="0" w:line="240" w:lineRule="auto"/>
        <w:ind w:left="1450" w:right="1440" w:firstLine="1440"/>
        <w:rPr>
          <w:rFonts w:ascii="Times New Roman" w:hAnsi="Times New Roman" w:cs="Times New Roman"/>
          <w:sz w:val="26"/>
          <w:szCs w:val="26"/>
        </w:rPr>
      </w:pPr>
    </w:p>
    <w:p w14:paraId="51FB4BD2" w14:textId="2D8716EF" w:rsidR="001015EC" w:rsidRPr="00277FBD" w:rsidRDefault="001015EC" w:rsidP="004A5C75">
      <w:pPr>
        <w:keepNext/>
        <w:keepLines/>
        <w:spacing w:after="0" w:line="240" w:lineRule="auto"/>
        <w:ind w:left="1450" w:right="1440" w:firstLine="1440"/>
        <w:rPr>
          <w:rFonts w:ascii="Times New Roman" w:hAnsi="Times New Roman" w:cs="Times New Roman"/>
          <w:sz w:val="26"/>
          <w:szCs w:val="26"/>
        </w:rPr>
      </w:pPr>
      <w:r w:rsidRPr="00277FBD">
        <w:rPr>
          <w:rFonts w:ascii="Times New Roman" w:hAnsi="Times New Roman" w:cs="Times New Roman"/>
          <w:sz w:val="26"/>
          <w:szCs w:val="26"/>
        </w:rPr>
        <w:t xml:space="preserve">Rate R:  $9.50 per month ($13.00 proposed) </w:t>
      </w:r>
    </w:p>
    <w:p w14:paraId="3098A715" w14:textId="77777777" w:rsidR="001015EC" w:rsidRPr="00277FBD" w:rsidRDefault="001015EC" w:rsidP="004A5C75">
      <w:pPr>
        <w:keepNext/>
        <w:keepLines/>
        <w:spacing w:after="0" w:line="240" w:lineRule="auto"/>
        <w:ind w:left="2880" w:right="1440" w:firstLine="10"/>
        <w:rPr>
          <w:rFonts w:ascii="Times New Roman" w:hAnsi="Times New Roman" w:cs="Times New Roman"/>
          <w:sz w:val="26"/>
          <w:szCs w:val="26"/>
        </w:rPr>
      </w:pPr>
      <w:r w:rsidRPr="00277FBD">
        <w:rPr>
          <w:rFonts w:ascii="Times New Roman" w:hAnsi="Times New Roman" w:cs="Times New Roman"/>
          <w:sz w:val="26"/>
          <w:szCs w:val="26"/>
        </w:rPr>
        <w:t xml:space="preserve">Rate GS-1: $13.00 per month ($14.00 proposed) </w:t>
      </w:r>
    </w:p>
    <w:p w14:paraId="134756EA" w14:textId="77777777" w:rsidR="007B3569" w:rsidRDefault="007B3569" w:rsidP="004A5C75">
      <w:pPr>
        <w:keepNext/>
        <w:keepLines/>
        <w:spacing w:after="0" w:line="240" w:lineRule="auto"/>
        <w:ind w:left="1440" w:right="1440"/>
        <w:rPr>
          <w:rFonts w:ascii="Times New Roman" w:hAnsi="Times New Roman" w:cs="Times New Roman"/>
          <w:sz w:val="26"/>
          <w:szCs w:val="26"/>
          <w:u w:val="single" w:color="000000"/>
        </w:rPr>
      </w:pPr>
    </w:p>
    <w:p w14:paraId="6B4EAAC4" w14:textId="2E1D6296" w:rsidR="001015EC" w:rsidRDefault="007B3569" w:rsidP="004A5C75">
      <w:pPr>
        <w:keepNext/>
        <w:keepLines/>
        <w:spacing w:after="0" w:line="240" w:lineRule="auto"/>
        <w:ind w:left="1440" w:right="1440"/>
        <w:rPr>
          <w:rFonts w:ascii="Times New Roman" w:hAnsi="Times New Roman" w:cs="Times New Roman"/>
          <w:sz w:val="26"/>
          <w:szCs w:val="26"/>
        </w:rPr>
      </w:pPr>
      <w:r w:rsidRPr="007B3569">
        <w:rPr>
          <w:rFonts w:ascii="Times New Roman" w:hAnsi="Times New Roman" w:cs="Times New Roman"/>
          <w:sz w:val="26"/>
          <w:szCs w:val="26"/>
        </w:rPr>
        <w:t>48.</w:t>
      </w:r>
      <w:r w:rsidRPr="007B3569">
        <w:rPr>
          <w:rFonts w:ascii="Times New Roman" w:hAnsi="Times New Roman" w:cs="Times New Roman"/>
          <w:sz w:val="26"/>
          <w:szCs w:val="26"/>
        </w:rPr>
        <w:tab/>
      </w:r>
      <w:r w:rsidR="001015EC" w:rsidRPr="00277FBD">
        <w:rPr>
          <w:rFonts w:ascii="Times New Roman" w:hAnsi="Times New Roman" w:cs="Times New Roman"/>
          <w:sz w:val="26"/>
          <w:szCs w:val="26"/>
          <w:u w:val="single" w:color="000000"/>
        </w:rPr>
        <w:t>Rate Flood Control Power (“FCP”)</w:t>
      </w:r>
      <w:r w:rsidR="001015EC" w:rsidRPr="00277FBD">
        <w:rPr>
          <w:rFonts w:ascii="Times New Roman" w:hAnsi="Times New Roman" w:cs="Times New Roman"/>
          <w:sz w:val="26"/>
          <w:szCs w:val="26"/>
        </w:rPr>
        <w:t xml:space="preserve">: The Company will include a proposal to eliminate, consolidate, or otherwise support Rate FCP as a separately identified class in the cost of service presented in the Company’s next rate case. </w:t>
      </w:r>
    </w:p>
    <w:p w14:paraId="385BD468" w14:textId="77777777" w:rsidR="002B5BA5" w:rsidRPr="00277FBD" w:rsidRDefault="002B5BA5" w:rsidP="004A5C75">
      <w:pPr>
        <w:keepNext/>
        <w:keepLines/>
        <w:spacing w:after="0" w:line="240" w:lineRule="auto"/>
        <w:ind w:left="1440" w:right="1440"/>
        <w:rPr>
          <w:rFonts w:ascii="Times New Roman" w:hAnsi="Times New Roman" w:cs="Times New Roman"/>
          <w:sz w:val="26"/>
          <w:szCs w:val="26"/>
        </w:rPr>
      </w:pPr>
    </w:p>
    <w:p w14:paraId="43FA0EC0" w14:textId="5374142A" w:rsidR="001015EC" w:rsidRDefault="00B60D81" w:rsidP="00B60D81">
      <w:pPr>
        <w:pStyle w:val="Heading6"/>
        <w:tabs>
          <w:tab w:val="center" w:pos="883"/>
          <w:tab w:val="left" w:pos="1440"/>
          <w:tab w:val="left" w:pos="2160"/>
          <w:tab w:val="center" w:pos="2893"/>
        </w:tabs>
        <w:spacing w:after="0" w:line="240" w:lineRule="auto"/>
        <w:ind w:left="360" w:right="1440"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       </w:t>
      </w:r>
      <w:r>
        <w:rPr>
          <w:rFonts w:ascii="Times New Roman" w:eastAsia="Times New Roman" w:hAnsi="Times New Roman" w:cs="Times New Roman"/>
          <w:sz w:val="26"/>
          <w:szCs w:val="26"/>
        </w:rPr>
        <w:tab/>
      </w:r>
      <w:r w:rsidR="001015EC" w:rsidRPr="002B5BA5">
        <w:rPr>
          <w:rFonts w:ascii="Times New Roman" w:eastAsia="Times New Roman" w:hAnsi="Times New Roman" w:cs="Times New Roman"/>
          <w:sz w:val="26"/>
          <w:szCs w:val="26"/>
        </w:rPr>
        <w:t xml:space="preserve">PROGRAMS/PROPOSALS </w:t>
      </w:r>
    </w:p>
    <w:p w14:paraId="0FD27676" w14:textId="77777777" w:rsidR="00B60D81" w:rsidRPr="00B60D81" w:rsidRDefault="00B60D81" w:rsidP="00060244">
      <w:pPr>
        <w:spacing w:after="0"/>
        <w:ind w:left="360"/>
      </w:pPr>
    </w:p>
    <w:p w14:paraId="12035080" w14:textId="05AB2821" w:rsidR="001015EC" w:rsidRPr="00485BAC" w:rsidRDefault="001015EC" w:rsidP="001669DC">
      <w:pPr>
        <w:numPr>
          <w:ilvl w:val="0"/>
          <w:numId w:val="7"/>
        </w:numPr>
        <w:spacing w:after="0" w:line="240" w:lineRule="auto"/>
        <w:ind w:right="1440"/>
        <w:rPr>
          <w:rFonts w:ascii="Times New Roman" w:hAnsi="Times New Roman" w:cs="Times New Roman"/>
          <w:sz w:val="26"/>
          <w:szCs w:val="26"/>
        </w:rPr>
      </w:pPr>
      <w:r w:rsidRPr="00485BAC">
        <w:rPr>
          <w:rFonts w:ascii="Times New Roman" w:hAnsi="Times New Roman" w:cs="Times New Roman"/>
          <w:sz w:val="26"/>
          <w:szCs w:val="26"/>
          <w:u w:val="single" w:color="000000"/>
        </w:rPr>
        <w:t>Battery Storage</w:t>
      </w:r>
      <w:r w:rsidRPr="00485BAC">
        <w:rPr>
          <w:rFonts w:ascii="Times New Roman" w:hAnsi="Times New Roman" w:cs="Times New Roman"/>
          <w:sz w:val="26"/>
          <w:szCs w:val="26"/>
        </w:rPr>
        <w:t xml:space="preserve">: The battery storage proposal is approved, except that the Company will not use the battery storage system to participate in the PJM Interconnection LLC (“PJM”) Frequency Regulation Market.  The inclusion of the battery storage project shall be considered a pilot for purposes of this Settlement.  The Commission’s approval of UGI Electric’s battery storage proposal in this proceeding shall not serve as precedent for any future UGI Electric battery storage proposal or any other electric utility’s battery storage proposal.  This Settlement reflects a carefully-crafted compromise of the parties’ positions and is based on the small size of the battery and the unique circumstances of the Ruckle Hill Road distribution circuit, including its voltage, its status as a worst performing circuit, the surrounding terrain, the nearby vegetation, and the load served by this circuit. </w:t>
      </w:r>
    </w:p>
    <w:p w14:paraId="43E9C1A7" w14:textId="77777777" w:rsidR="006A6320" w:rsidRDefault="006A6320" w:rsidP="006A6320">
      <w:pPr>
        <w:spacing w:after="0" w:line="240" w:lineRule="auto"/>
        <w:ind w:left="1440" w:right="1440"/>
        <w:jc w:val="both"/>
        <w:rPr>
          <w:rFonts w:ascii="Times New Roman" w:hAnsi="Times New Roman" w:cs="Times New Roman"/>
          <w:sz w:val="26"/>
          <w:szCs w:val="26"/>
        </w:rPr>
      </w:pPr>
    </w:p>
    <w:p w14:paraId="2433F413" w14:textId="602065C8" w:rsidR="001015EC" w:rsidRDefault="006A6320" w:rsidP="00976C33">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As part of the battery storage pilot, UGI Electric will maintain and provide information concerning the duration, extent, cause, and times for each outage, the duration and times the battery storage system was used to maintain service during the outage, and loads on the facilities served by the battery storage system just prior to and during the outage.  Such information will be provided in annual reports filed with the Commission by January 1st of each year that the battery storage system remains in service, with the first annual report to be filed by January 1, 2023. </w:t>
      </w:r>
    </w:p>
    <w:p w14:paraId="55ED8631" w14:textId="77777777" w:rsidR="00A50816" w:rsidRPr="002B5BA5" w:rsidRDefault="00A50816" w:rsidP="00976C33">
      <w:pPr>
        <w:spacing w:after="0" w:line="240" w:lineRule="auto"/>
        <w:ind w:left="1440" w:right="1440"/>
        <w:rPr>
          <w:rFonts w:ascii="Times New Roman" w:hAnsi="Times New Roman" w:cs="Times New Roman"/>
          <w:sz w:val="26"/>
          <w:szCs w:val="26"/>
        </w:rPr>
      </w:pPr>
    </w:p>
    <w:p w14:paraId="782751DE" w14:textId="0C567189" w:rsidR="001015EC" w:rsidRPr="002B5BA5" w:rsidRDefault="00A50816" w:rsidP="00A50816">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lastRenderedPageBreak/>
        <w:t>51.</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The Joint Petitioners’ agreement to this Settlement is without prejudice to future challenges to any other distribution system upgrades on the Ruckle Hill Road distribution circuit that may occur in the future including, but not limited to, a proposal to remove the battery from rate base. </w:t>
      </w:r>
    </w:p>
    <w:p w14:paraId="471C66C5" w14:textId="77777777" w:rsidR="00577216" w:rsidRPr="00577216" w:rsidRDefault="00577216" w:rsidP="00577216">
      <w:pPr>
        <w:spacing w:after="0" w:line="240" w:lineRule="auto"/>
        <w:ind w:left="2160" w:right="1440"/>
        <w:jc w:val="both"/>
        <w:rPr>
          <w:rFonts w:ascii="Times New Roman" w:hAnsi="Times New Roman" w:cs="Times New Roman"/>
          <w:sz w:val="26"/>
          <w:szCs w:val="26"/>
        </w:rPr>
      </w:pPr>
    </w:p>
    <w:p w14:paraId="177CB11B" w14:textId="6848828C" w:rsidR="001015EC" w:rsidRPr="002B5BA5" w:rsidRDefault="00577216" w:rsidP="00577216">
      <w:pPr>
        <w:spacing w:after="0" w:line="240" w:lineRule="auto"/>
        <w:ind w:left="1440" w:right="1440"/>
        <w:rPr>
          <w:rFonts w:ascii="Times New Roman" w:hAnsi="Times New Roman" w:cs="Times New Roman"/>
          <w:sz w:val="26"/>
          <w:szCs w:val="26"/>
        </w:rPr>
      </w:pPr>
      <w:r w:rsidRPr="00577216">
        <w:rPr>
          <w:rFonts w:ascii="Times New Roman" w:hAnsi="Times New Roman" w:cs="Times New Roman"/>
          <w:sz w:val="26"/>
          <w:szCs w:val="26"/>
        </w:rPr>
        <w:t>52.</w:t>
      </w:r>
      <w:r w:rsidRPr="00577216">
        <w:rPr>
          <w:rFonts w:ascii="Times New Roman" w:hAnsi="Times New Roman" w:cs="Times New Roman"/>
          <w:sz w:val="26"/>
          <w:szCs w:val="26"/>
        </w:rPr>
        <w:tab/>
      </w:r>
      <w:r w:rsidR="001015EC" w:rsidRPr="00577216">
        <w:rPr>
          <w:rFonts w:ascii="Times New Roman" w:hAnsi="Times New Roman" w:cs="Times New Roman"/>
          <w:sz w:val="26"/>
          <w:szCs w:val="26"/>
          <w:u w:val="single"/>
        </w:rPr>
        <w:t>Electric Vehicle Charging</w:t>
      </w:r>
      <w:r w:rsidR="001015EC" w:rsidRPr="002B5BA5">
        <w:rPr>
          <w:rFonts w:ascii="Times New Roman" w:hAnsi="Times New Roman" w:cs="Times New Roman"/>
          <w:sz w:val="26"/>
          <w:szCs w:val="26"/>
        </w:rPr>
        <w:t xml:space="preserve">: The EV make-ready charging infrastructure tariff provisions are accepted as filed, except that the Company will revise Rule 5-l and Rule 5-m of its proposed electric service tariff to state the following: </w:t>
      </w:r>
    </w:p>
    <w:p w14:paraId="04EC29CA" w14:textId="77777777" w:rsidR="0065688E" w:rsidRDefault="0065688E" w:rsidP="0065688E">
      <w:pPr>
        <w:spacing w:after="0" w:line="240" w:lineRule="auto"/>
        <w:ind w:left="1080" w:right="1440"/>
        <w:jc w:val="right"/>
        <w:rPr>
          <w:rFonts w:ascii="Times New Roman" w:hAnsi="Times New Roman" w:cs="Times New Roman"/>
          <w:sz w:val="26"/>
          <w:szCs w:val="26"/>
        </w:rPr>
      </w:pPr>
    </w:p>
    <w:p w14:paraId="52884CB8" w14:textId="49A62FFF" w:rsidR="001015EC" w:rsidRPr="002B5BA5" w:rsidRDefault="0065688E" w:rsidP="008327CF">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a.</w:t>
      </w:r>
      <w:r w:rsidR="008327CF">
        <w:rPr>
          <w:rFonts w:ascii="Times New Roman" w:hAnsi="Times New Roman" w:cs="Times New Roman"/>
          <w:sz w:val="26"/>
          <w:szCs w:val="26"/>
        </w:rPr>
        <w:tab/>
      </w:r>
      <w:r w:rsidR="001015EC" w:rsidRPr="002B5BA5">
        <w:rPr>
          <w:rFonts w:ascii="Times New Roman" w:hAnsi="Times New Roman" w:cs="Times New Roman"/>
          <w:sz w:val="26"/>
          <w:szCs w:val="26"/>
        </w:rPr>
        <w:t>Rule 5-l: Service to Electric Vehicle Supply Equipment. For Qualified Electric</w:t>
      </w:r>
      <w:r w:rsidR="008327CF">
        <w:rPr>
          <w:rFonts w:ascii="Times New Roman" w:hAnsi="Times New Roman" w:cs="Times New Roman"/>
          <w:sz w:val="26"/>
          <w:szCs w:val="26"/>
        </w:rPr>
        <w:t xml:space="preserve"> </w:t>
      </w:r>
      <w:r w:rsidR="001015EC" w:rsidRPr="002B5BA5">
        <w:rPr>
          <w:rFonts w:ascii="Times New Roman" w:hAnsi="Times New Roman" w:cs="Times New Roman"/>
          <w:sz w:val="26"/>
          <w:szCs w:val="26"/>
        </w:rPr>
        <w:t xml:space="preserve">Vehicle Charging Stations (“Qualified EV Charging Stations”) which will be accessible to the public for charging access, the Company shall provide all required investment without contribution and will design and install the required infrastructure facilities necessary for operation of such Qualified EV Charging Stations (including any new conductor replacement, transformers, overhead service wire, and meters; inclusive of any make ready work located in front of the meter). </w:t>
      </w:r>
      <w:r w:rsidR="009C4802">
        <w:rPr>
          <w:rFonts w:ascii="Times New Roman" w:hAnsi="Times New Roman" w:cs="Times New Roman"/>
          <w:sz w:val="26"/>
          <w:szCs w:val="26"/>
        </w:rPr>
        <w:t xml:space="preserve"> </w:t>
      </w:r>
      <w:r w:rsidR="001015EC" w:rsidRPr="002B5BA5">
        <w:rPr>
          <w:rFonts w:ascii="Times New Roman" w:hAnsi="Times New Roman" w:cs="Times New Roman"/>
          <w:sz w:val="26"/>
          <w:szCs w:val="26"/>
        </w:rPr>
        <w:t xml:space="preserve">Such facilities shall be provided at no required contribution to the customer as part of an EV infrastructure pilot, which will end September 30, 2026.  Qualified EV Charging Stations may be supplied electricity by an EGS.  </w:t>
      </w:r>
    </w:p>
    <w:p w14:paraId="6DB2040F" w14:textId="77777777" w:rsidR="00184F7B" w:rsidRDefault="00184F7B" w:rsidP="009C4802">
      <w:pPr>
        <w:spacing w:after="0" w:line="240" w:lineRule="auto"/>
        <w:ind w:left="2160" w:right="1440"/>
        <w:rPr>
          <w:rFonts w:ascii="Times New Roman" w:hAnsi="Times New Roman" w:cs="Times New Roman"/>
          <w:sz w:val="26"/>
          <w:szCs w:val="26"/>
        </w:rPr>
      </w:pPr>
    </w:p>
    <w:p w14:paraId="4DA0B1C9" w14:textId="1D5EDC41" w:rsidR="001015EC" w:rsidRDefault="009C4802" w:rsidP="009C4802">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1015EC" w:rsidRPr="002B5BA5">
        <w:rPr>
          <w:rFonts w:ascii="Times New Roman" w:hAnsi="Times New Roman" w:cs="Times New Roman"/>
          <w:sz w:val="26"/>
          <w:szCs w:val="26"/>
        </w:rPr>
        <w:t>Rule 5-m: Qualified EV Charging Stations shall be defined as one (1) to four (4) DC Fast Charge (“DCFC”) stations of 50 kW or greater, or at least four</w:t>
      </w:r>
      <w:r w:rsidR="003B394C">
        <w:rPr>
          <w:rFonts w:ascii="Times New Roman" w:hAnsi="Times New Roman" w:cs="Times New Roman"/>
          <w:sz w:val="26"/>
          <w:szCs w:val="26"/>
        </w:rPr>
        <w:t> </w:t>
      </w:r>
      <w:r w:rsidR="001015EC" w:rsidRPr="002B5BA5">
        <w:rPr>
          <w:rFonts w:ascii="Times New Roman" w:hAnsi="Times New Roman" w:cs="Times New Roman"/>
          <w:sz w:val="26"/>
          <w:szCs w:val="26"/>
        </w:rPr>
        <w:t xml:space="preserve">(4) Level 2 charging stations, which are compatible with the Company’s distribution system and are located within 400 feet of a Company 3-phase primary distribution circuit line, or in another location where the Company, in its sole discretion, anticipates that adequate public availability and access is being provided.  DCFC installation locations may also be inclusive of one or more adjacent Level 2 charging stations.  All qualifying chargers must have smart or network capabilities and be tested for safety by a national testing laboratory such as Underwriters </w:t>
      </w:r>
      <w:r w:rsidR="001015EC" w:rsidRPr="002B5BA5">
        <w:rPr>
          <w:rFonts w:ascii="Times New Roman" w:hAnsi="Times New Roman" w:cs="Times New Roman"/>
          <w:sz w:val="26"/>
          <w:szCs w:val="26"/>
        </w:rPr>
        <w:lastRenderedPageBreak/>
        <w:t xml:space="preserve">Laboratories (“UL”).  Qualifying Level 2 chargers must be ENERGY STAR certified. </w:t>
      </w:r>
    </w:p>
    <w:p w14:paraId="4502132B" w14:textId="77777777" w:rsidR="009C4802" w:rsidRPr="002B5BA5" w:rsidRDefault="009C4802" w:rsidP="009C4802">
      <w:pPr>
        <w:spacing w:after="0" w:line="240" w:lineRule="auto"/>
        <w:ind w:left="2160" w:right="1440"/>
        <w:rPr>
          <w:rFonts w:ascii="Times New Roman" w:hAnsi="Times New Roman" w:cs="Times New Roman"/>
          <w:sz w:val="26"/>
          <w:szCs w:val="26"/>
        </w:rPr>
      </w:pPr>
    </w:p>
    <w:p w14:paraId="15DDAE2A" w14:textId="77777777" w:rsidR="009C4802" w:rsidRDefault="009C4802" w:rsidP="009C4802">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r>
      <w:r w:rsidR="001015EC" w:rsidRPr="002B5BA5">
        <w:rPr>
          <w:rFonts w:ascii="Times New Roman" w:hAnsi="Times New Roman" w:cs="Times New Roman"/>
          <w:sz w:val="26"/>
          <w:szCs w:val="26"/>
        </w:rPr>
        <w:t>Beginning with the operation of the second Qualified EV Charging Station in the Company’s service territory, the Company shall post aggregated metered usage data for Qualified EV Charging Stations on a monthly and anonymized basis to its Energy Management Website (kWh and kW billing determinant use data) for interested parties to review.  This requirement shall end on September 30, 2026.</w:t>
      </w:r>
    </w:p>
    <w:p w14:paraId="28D1596B" w14:textId="7C2AED47" w:rsidR="001015EC" w:rsidRPr="002B5BA5" w:rsidRDefault="001015EC" w:rsidP="009C4802">
      <w:pPr>
        <w:spacing w:after="0" w:line="240" w:lineRule="auto"/>
        <w:ind w:left="1440" w:right="1440"/>
        <w:rPr>
          <w:rFonts w:ascii="Times New Roman" w:hAnsi="Times New Roman" w:cs="Times New Roman"/>
          <w:sz w:val="26"/>
          <w:szCs w:val="26"/>
        </w:rPr>
      </w:pPr>
      <w:r w:rsidRPr="002B5BA5">
        <w:rPr>
          <w:rFonts w:ascii="Times New Roman" w:hAnsi="Times New Roman" w:cs="Times New Roman"/>
          <w:sz w:val="26"/>
          <w:szCs w:val="26"/>
        </w:rPr>
        <w:t xml:space="preserve"> </w:t>
      </w:r>
    </w:p>
    <w:p w14:paraId="026018D8" w14:textId="363A7711" w:rsidR="001015EC" w:rsidRDefault="009C4802" w:rsidP="009C4802">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Make-ready infrastructure for purposes of this Settlement does not include any behind-the-meter costs associated with the installation of EV charging stations.  </w:t>
      </w:r>
    </w:p>
    <w:p w14:paraId="7BF69E8A" w14:textId="77777777" w:rsidR="007C51CF" w:rsidRPr="002B5BA5" w:rsidRDefault="007C51CF" w:rsidP="009C4802">
      <w:pPr>
        <w:spacing w:after="0" w:line="240" w:lineRule="auto"/>
        <w:ind w:left="1440" w:right="1440"/>
        <w:rPr>
          <w:rFonts w:ascii="Times New Roman" w:hAnsi="Times New Roman" w:cs="Times New Roman"/>
          <w:sz w:val="26"/>
          <w:szCs w:val="26"/>
        </w:rPr>
      </w:pPr>
    </w:p>
    <w:p w14:paraId="3BA5C812" w14:textId="0835EF0C" w:rsidR="001015EC" w:rsidRDefault="007C51CF" w:rsidP="007C51CF">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55.</w:t>
      </w:r>
      <w:r>
        <w:rPr>
          <w:rFonts w:ascii="Times New Roman" w:hAnsi="Times New Roman" w:cs="Times New Roman"/>
          <w:sz w:val="26"/>
          <w:szCs w:val="26"/>
        </w:rPr>
        <w:tab/>
      </w:r>
      <w:r w:rsidR="001015EC" w:rsidRPr="002B5BA5">
        <w:rPr>
          <w:rFonts w:ascii="Times New Roman" w:hAnsi="Times New Roman" w:cs="Times New Roman"/>
          <w:sz w:val="26"/>
          <w:szCs w:val="26"/>
        </w:rPr>
        <w:t>UGI Electric withdraws, without prejudice, its proposals to: (1) recover the capital and operating costs associated with the Company’s installation and ownership of EV charging stations on its distribution system; and (2)</w:t>
      </w:r>
      <w:r w:rsidR="003B394C">
        <w:rPr>
          <w:rFonts w:ascii="Times New Roman" w:hAnsi="Times New Roman" w:cs="Times New Roman"/>
          <w:sz w:val="26"/>
          <w:szCs w:val="26"/>
        </w:rPr>
        <w:t> </w:t>
      </w:r>
      <w:r w:rsidR="001015EC" w:rsidRPr="002B5BA5">
        <w:rPr>
          <w:rFonts w:ascii="Times New Roman" w:hAnsi="Times New Roman" w:cs="Times New Roman"/>
          <w:sz w:val="26"/>
          <w:szCs w:val="26"/>
        </w:rPr>
        <w:t xml:space="preserve">establish Rate EV-C.  </w:t>
      </w:r>
    </w:p>
    <w:p w14:paraId="49409696" w14:textId="77777777" w:rsidR="004A5C75" w:rsidRPr="002B5BA5" w:rsidRDefault="004A5C75" w:rsidP="007C51CF">
      <w:pPr>
        <w:spacing w:after="0" w:line="240" w:lineRule="auto"/>
        <w:ind w:left="1440" w:right="1440"/>
        <w:rPr>
          <w:rFonts w:ascii="Times New Roman" w:hAnsi="Times New Roman" w:cs="Times New Roman"/>
          <w:sz w:val="26"/>
          <w:szCs w:val="26"/>
        </w:rPr>
      </w:pPr>
    </w:p>
    <w:p w14:paraId="61F93DD2" w14:textId="7B64E513" w:rsidR="001015EC" w:rsidRDefault="00112837" w:rsidP="00112837">
      <w:pPr>
        <w:pStyle w:val="Heading6"/>
        <w:tabs>
          <w:tab w:val="center" w:pos="876"/>
        </w:tabs>
        <w:spacing w:after="0" w:line="240" w:lineRule="auto"/>
        <w:ind w:left="360" w:right="1440"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E.</w:t>
      </w:r>
      <w:r>
        <w:rPr>
          <w:rFonts w:ascii="Times New Roman" w:eastAsia="Times New Roman" w:hAnsi="Times New Roman" w:cs="Times New Roman"/>
          <w:sz w:val="26"/>
          <w:szCs w:val="26"/>
        </w:rPr>
        <w:tab/>
      </w:r>
      <w:r w:rsidR="001015EC" w:rsidRPr="002B5BA5">
        <w:rPr>
          <w:rFonts w:ascii="Times New Roman" w:eastAsia="Times New Roman" w:hAnsi="Times New Roman" w:cs="Times New Roman"/>
          <w:sz w:val="26"/>
          <w:szCs w:val="26"/>
        </w:rPr>
        <w:t xml:space="preserve">DSIC/REPORTING </w:t>
      </w:r>
    </w:p>
    <w:p w14:paraId="514AB742" w14:textId="77777777" w:rsidR="00112837" w:rsidRPr="00112837" w:rsidRDefault="00112837" w:rsidP="00112837">
      <w:pPr>
        <w:spacing w:after="0" w:line="240" w:lineRule="auto"/>
        <w:ind w:left="2160" w:right="1440"/>
        <w:jc w:val="both"/>
        <w:rPr>
          <w:rFonts w:ascii="Times New Roman" w:hAnsi="Times New Roman" w:cs="Times New Roman"/>
          <w:sz w:val="26"/>
          <w:szCs w:val="26"/>
        </w:rPr>
      </w:pPr>
    </w:p>
    <w:p w14:paraId="31C5859F" w14:textId="038129E6" w:rsidR="001015EC" w:rsidRPr="002B5BA5" w:rsidRDefault="00112837" w:rsidP="00112837">
      <w:pPr>
        <w:spacing w:after="0" w:line="240" w:lineRule="auto"/>
        <w:ind w:left="1440" w:right="1440"/>
        <w:rPr>
          <w:rFonts w:ascii="Times New Roman" w:hAnsi="Times New Roman" w:cs="Times New Roman"/>
          <w:sz w:val="26"/>
          <w:szCs w:val="26"/>
        </w:rPr>
      </w:pPr>
      <w:r w:rsidRPr="00112837">
        <w:rPr>
          <w:rFonts w:ascii="Times New Roman" w:hAnsi="Times New Roman" w:cs="Times New Roman"/>
          <w:sz w:val="26"/>
          <w:szCs w:val="26"/>
        </w:rPr>
        <w:t>56.</w:t>
      </w:r>
      <w:r w:rsidRPr="00112837">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Test Year Plant Reporting</w:t>
      </w:r>
      <w:r w:rsidR="001015EC" w:rsidRPr="002B5BA5">
        <w:rPr>
          <w:rFonts w:ascii="Times New Roman" w:hAnsi="Times New Roman" w:cs="Times New Roman"/>
          <w:sz w:val="26"/>
          <w:szCs w:val="26"/>
        </w:rPr>
        <w:t xml:space="preserve">:  The Company shall submit an update to UGI Electric Exhibit A, Schedule C-2 no later than January 1, 2022, which will include actual capital expenditures, plant additions, and retirements by month from October 1, 2020 through September 30, 2021.  An additional update for actuals from October 1, </w:t>
      </w:r>
      <w:proofErr w:type="gramStart"/>
      <w:r w:rsidR="001015EC" w:rsidRPr="002B5BA5">
        <w:rPr>
          <w:rFonts w:ascii="Times New Roman" w:hAnsi="Times New Roman" w:cs="Times New Roman"/>
          <w:sz w:val="26"/>
          <w:szCs w:val="26"/>
        </w:rPr>
        <w:t>2021</w:t>
      </w:r>
      <w:proofErr w:type="gramEnd"/>
      <w:r w:rsidR="001015EC" w:rsidRPr="002B5BA5">
        <w:rPr>
          <w:rFonts w:ascii="Times New Roman" w:hAnsi="Times New Roman" w:cs="Times New Roman"/>
          <w:sz w:val="26"/>
          <w:szCs w:val="26"/>
        </w:rPr>
        <w:t xml:space="preserve"> through September</w:t>
      </w:r>
      <w:r w:rsidR="003B394C">
        <w:rPr>
          <w:rFonts w:ascii="Times New Roman" w:hAnsi="Times New Roman" w:cs="Times New Roman"/>
          <w:sz w:val="26"/>
          <w:szCs w:val="26"/>
        </w:rPr>
        <w:t> </w:t>
      </w:r>
      <w:r w:rsidR="001015EC" w:rsidRPr="002B5BA5">
        <w:rPr>
          <w:rFonts w:ascii="Times New Roman" w:hAnsi="Times New Roman" w:cs="Times New Roman"/>
          <w:sz w:val="26"/>
          <w:szCs w:val="26"/>
        </w:rPr>
        <w:t>30, 2022 shall be filed no later than January</w:t>
      </w:r>
      <w:r w:rsidR="003B394C">
        <w:rPr>
          <w:rFonts w:ascii="Times New Roman" w:hAnsi="Times New Roman" w:cs="Times New Roman"/>
          <w:sz w:val="26"/>
          <w:szCs w:val="26"/>
        </w:rPr>
        <w:t> </w:t>
      </w:r>
      <w:r w:rsidR="001015EC" w:rsidRPr="002B5BA5">
        <w:rPr>
          <w:rFonts w:ascii="Times New Roman" w:hAnsi="Times New Roman" w:cs="Times New Roman"/>
          <w:sz w:val="26"/>
          <w:szCs w:val="26"/>
        </w:rPr>
        <w:t>2,</w:t>
      </w:r>
      <w:r w:rsidR="003B394C">
        <w:rPr>
          <w:rFonts w:ascii="Times New Roman" w:hAnsi="Times New Roman" w:cs="Times New Roman"/>
          <w:sz w:val="26"/>
          <w:szCs w:val="26"/>
        </w:rPr>
        <w:t> </w:t>
      </w:r>
      <w:r w:rsidR="001015EC" w:rsidRPr="002B5BA5">
        <w:rPr>
          <w:rFonts w:ascii="Times New Roman" w:hAnsi="Times New Roman" w:cs="Times New Roman"/>
          <w:sz w:val="26"/>
          <w:szCs w:val="26"/>
        </w:rPr>
        <w:t xml:space="preserve">2023. </w:t>
      </w:r>
      <w:r>
        <w:rPr>
          <w:rFonts w:ascii="Times New Roman" w:hAnsi="Times New Roman" w:cs="Times New Roman"/>
          <w:sz w:val="26"/>
          <w:szCs w:val="26"/>
        </w:rPr>
        <w:br/>
      </w:r>
    </w:p>
    <w:p w14:paraId="06EA7F7B" w14:textId="7A4412E6" w:rsidR="001015EC" w:rsidRDefault="00112837" w:rsidP="002B5BA5">
      <w:pPr>
        <w:spacing w:after="0" w:line="240" w:lineRule="auto"/>
        <w:ind w:left="1440" w:right="1440"/>
        <w:rPr>
          <w:rFonts w:ascii="Times New Roman" w:hAnsi="Times New Roman" w:cs="Times New Roman"/>
          <w:sz w:val="26"/>
          <w:szCs w:val="26"/>
        </w:rPr>
      </w:pPr>
      <w:r w:rsidRPr="00112837">
        <w:rPr>
          <w:rFonts w:ascii="Times New Roman" w:hAnsi="Times New Roman" w:cs="Times New Roman"/>
          <w:sz w:val="26"/>
          <w:szCs w:val="26"/>
        </w:rPr>
        <w:t>57.</w:t>
      </w:r>
      <w:r w:rsidRPr="00112837">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DSIC Eligible Plant</w:t>
      </w:r>
      <w:r w:rsidR="001015EC" w:rsidRPr="002B5BA5">
        <w:rPr>
          <w:rFonts w:ascii="Times New Roman" w:hAnsi="Times New Roman" w:cs="Times New Roman"/>
          <w:sz w:val="26"/>
          <w:szCs w:val="26"/>
        </w:rPr>
        <w:t xml:space="preserve">:  As of the effective date of rates in this proceeding, UGI Electric will be eligible to include plant additions in the Distribution System Improvement Charge (“DSIC”) once the Company’s total net plant balances exceed $152,150,000.  The foregoing provision is included solely for purposes of calculating the DSIC and is not determinative for future ratemaking purposes of the projected additions to be included in rate base in a FPFTY filing. </w:t>
      </w:r>
    </w:p>
    <w:p w14:paraId="20960E0C" w14:textId="77777777" w:rsidR="00112837" w:rsidRPr="002B5BA5" w:rsidRDefault="00112837" w:rsidP="002B5BA5">
      <w:pPr>
        <w:spacing w:after="0" w:line="240" w:lineRule="auto"/>
        <w:ind w:left="1440" w:right="1440"/>
        <w:rPr>
          <w:rFonts w:ascii="Times New Roman" w:hAnsi="Times New Roman" w:cs="Times New Roman"/>
          <w:sz w:val="26"/>
          <w:szCs w:val="26"/>
        </w:rPr>
      </w:pPr>
    </w:p>
    <w:p w14:paraId="6D2947A1" w14:textId="081FBB08" w:rsidR="001015EC" w:rsidRDefault="004B4A7D" w:rsidP="004B4A7D">
      <w:pPr>
        <w:spacing w:after="0" w:line="240" w:lineRule="auto"/>
        <w:ind w:left="1440" w:right="1440"/>
        <w:rPr>
          <w:rFonts w:ascii="Times New Roman" w:hAnsi="Times New Roman" w:cs="Times New Roman"/>
          <w:sz w:val="26"/>
          <w:szCs w:val="26"/>
        </w:rPr>
      </w:pPr>
      <w:r w:rsidRPr="004B4A7D">
        <w:rPr>
          <w:rFonts w:ascii="Times New Roman" w:hAnsi="Times New Roman" w:cs="Times New Roman"/>
          <w:sz w:val="26"/>
          <w:szCs w:val="26"/>
        </w:rPr>
        <w:t>58.</w:t>
      </w:r>
      <w:r w:rsidRPr="004B4A7D">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DSIC Equity Return</w:t>
      </w:r>
      <w:r w:rsidR="001015EC" w:rsidRPr="002B5BA5">
        <w:rPr>
          <w:rFonts w:ascii="Times New Roman" w:hAnsi="Times New Roman" w:cs="Times New Roman"/>
          <w:sz w:val="26"/>
          <w:szCs w:val="26"/>
        </w:rPr>
        <w:t xml:space="preserve">:  For purposes of calculating its DSIC, UGI Electric shall use the equity return rate for electric </w:t>
      </w:r>
      <w:r w:rsidR="001015EC" w:rsidRPr="002B5BA5">
        <w:rPr>
          <w:rFonts w:ascii="Times New Roman" w:hAnsi="Times New Roman" w:cs="Times New Roman"/>
          <w:sz w:val="26"/>
          <w:szCs w:val="26"/>
        </w:rPr>
        <w:lastRenderedPageBreak/>
        <w:t xml:space="preserve">utilities contained in the Commission’s most recent Quarterly Report on the Earnings of Jurisdictional Utilities and shall update the equity return rate each quarter consistent with any changes to the equity return rate for electric utilities contained in the most recent Quarterly Earnings Report, consistent with 66 Pa. C.S. § 1357(b)(3), until such time as the DSIC is reset pursuant to the provisions of 66 Pa. C.S. § 1358(b)(1). </w:t>
      </w:r>
    </w:p>
    <w:p w14:paraId="4456C6FF" w14:textId="77777777" w:rsidR="00DF7DB9" w:rsidRPr="002B5BA5" w:rsidRDefault="00DF7DB9" w:rsidP="004B4A7D">
      <w:pPr>
        <w:spacing w:after="0" w:line="240" w:lineRule="auto"/>
        <w:ind w:left="1440" w:right="1440"/>
        <w:rPr>
          <w:rFonts w:ascii="Times New Roman" w:hAnsi="Times New Roman" w:cs="Times New Roman"/>
          <w:sz w:val="26"/>
          <w:szCs w:val="26"/>
        </w:rPr>
      </w:pPr>
    </w:p>
    <w:p w14:paraId="63ADEECC" w14:textId="57FECDC7" w:rsidR="001015EC" w:rsidRPr="002B5BA5" w:rsidRDefault="001015EC" w:rsidP="002B5BA5">
      <w:pPr>
        <w:pStyle w:val="Heading6"/>
        <w:tabs>
          <w:tab w:val="center" w:pos="869"/>
          <w:tab w:val="center" w:pos="2273"/>
        </w:tabs>
        <w:spacing w:after="0" w:line="240" w:lineRule="auto"/>
        <w:ind w:left="1440" w:right="1440" w:firstLine="0"/>
        <w:jc w:val="left"/>
        <w:rPr>
          <w:rFonts w:ascii="Times New Roman" w:hAnsi="Times New Roman" w:cs="Times New Roman"/>
          <w:sz w:val="26"/>
          <w:szCs w:val="26"/>
        </w:rPr>
      </w:pPr>
      <w:r w:rsidRPr="002B5BA5">
        <w:rPr>
          <w:rFonts w:ascii="Times New Roman" w:hAnsi="Times New Roman" w:cs="Times New Roman"/>
          <w:noProof/>
          <w:sz w:val="26"/>
          <w:szCs w:val="26"/>
        </w:rPr>
        <w:drawing>
          <wp:inline distT="0" distB="0" distL="0" distR="0" wp14:anchorId="2D2F2673" wp14:editId="04E2D875">
            <wp:extent cx="134087" cy="115836"/>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8"/>
                    <a:stretch>
                      <a:fillRect/>
                    </a:stretch>
                  </pic:blipFill>
                  <pic:spPr>
                    <a:xfrm>
                      <a:off x="0" y="0"/>
                      <a:ext cx="134087" cy="115836"/>
                    </a:xfrm>
                    <a:prstGeom prst="rect">
                      <a:avLst/>
                    </a:prstGeom>
                  </pic:spPr>
                </pic:pic>
              </a:graphicData>
            </a:graphic>
          </wp:inline>
        </w:drawing>
      </w:r>
      <w:r w:rsidRPr="002B5BA5">
        <w:rPr>
          <w:rFonts w:ascii="Times New Roman" w:eastAsia="Times New Roman" w:hAnsi="Times New Roman" w:cs="Times New Roman"/>
          <w:sz w:val="26"/>
          <w:szCs w:val="26"/>
        </w:rPr>
        <w:tab/>
      </w:r>
      <w:r w:rsidR="00DF7DB9">
        <w:rPr>
          <w:rFonts w:ascii="Times New Roman" w:eastAsia="Times New Roman" w:hAnsi="Times New Roman" w:cs="Times New Roman"/>
          <w:sz w:val="26"/>
          <w:szCs w:val="26"/>
        </w:rPr>
        <w:t xml:space="preserve">        </w:t>
      </w:r>
      <w:r w:rsidRPr="002B5BA5">
        <w:rPr>
          <w:rFonts w:ascii="Times New Roman" w:eastAsia="Times New Roman" w:hAnsi="Times New Roman" w:cs="Times New Roman"/>
          <w:sz w:val="26"/>
          <w:szCs w:val="26"/>
        </w:rPr>
        <w:t xml:space="preserve">ACCOUNTING </w:t>
      </w:r>
    </w:p>
    <w:p w14:paraId="76BBD86F" w14:textId="77777777" w:rsidR="00DF7DB9" w:rsidRDefault="00DF7DB9" w:rsidP="00DF7DB9">
      <w:pPr>
        <w:spacing w:after="0" w:line="240" w:lineRule="auto"/>
        <w:ind w:right="1440"/>
        <w:jc w:val="both"/>
        <w:rPr>
          <w:rFonts w:ascii="Times New Roman" w:hAnsi="Times New Roman" w:cs="Times New Roman"/>
          <w:sz w:val="26"/>
          <w:szCs w:val="26"/>
          <w:u w:val="single" w:color="000000"/>
        </w:rPr>
      </w:pPr>
    </w:p>
    <w:p w14:paraId="22AF01B8" w14:textId="0C5F6E4E" w:rsidR="001015EC" w:rsidRDefault="00C1534D" w:rsidP="00C71947">
      <w:pPr>
        <w:spacing w:after="0" w:line="240" w:lineRule="auto"/>
        <w:ind w:left="1440" w:right="1440"/>
        <w:rPr>
          <w:rFonts w:ascii="Times New Roman" w:hAnsi="Times New Roman" w:cs="Times New Roman"/>
          <w:sz w:val="26"/>
          <w:szCs w:val="26"/>
        </w:rPr>
      </w:pPr>
      <w:r w:rsidRPr="00C1534D">
        <w:rPr>
          <w:rFonts w:ascii="Times New Roman" w:hAnsi="Times New Roman" w:cs="Times New Roman"/>
          <w:sz w:val="26"/>
          <w:szCs w:val="26"/>
        </w:rPr>
        <w:t>59.</w:t>
      </w:r>
      <w:r w:rsidRPr="00C1534D">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Depreciation Rates</w:t>
      </w:r>
      <w:r w:rsidR="001015EC" w:rsidRPr="002B5BA5">
        <w:rPr>
          <w:rFonts w:ascii="Times New Roman" w:hAnsi="Times New Roman" w:cs="Times New Roman"/>
          <w:sz w:val="26"/>
          <w:szCs w:val="26"/>
        </w:rPr>
        <w:t xml:space="preserve">:  For purposes of this Settlement, UGI Electric’s as-filed depreciation rates are accepted. </w:t>
      </w:r>
    </w:p>
    <w:p w14:paraId="44176A39" w14:textId="77777777" w:rsidR="00C1534D" w:rsidRPr="002B5BA5" w:rsidRDefault="00C1534D" w:rsidP="00C1534D">
      <w:pPr>
        <w:spacing w:after="0" w:line="240" w:lineRule="auto"/>
        <w:ind w:left="1440" w:right="1440" w:firstLine="720"/>
        <w:rPr>
          <w:rFonts w:ascii="Times New Roman" w:hAnsi="Times New Roman" w:cs="Times New Roman"/>
          <w:sz w:val="26"/>
          <w:szCs w:val="26"/>
        </w:rPr>
      </w:pPr>
    </w:p>
    <w:p w14:paraId="2EE1C21E" w14:textId="46892731" w:rsidR="001015EC" w:rsidRDefault="00C1534D" w:rsidP="00C71947">
      <w:pPr>
        <w:spacing w:after="0" w:line="240" w:lineRule="auto"/>
        <w:ind w:left="1440" w:right="1440"/>
        <w:rPr>
          <w:rFonts w:ascii="Times New Roman" w:hAnsi="Times New Roman" w:cs="Times New Roman"/>
          <w:sz w:val="26"/>
          <w:szCs w:val="26"/>
        </w:rPr>
      </w:pPr>
      <w:r w:rsidRPr="00C1534D">
        <w:rPr>
          <w:rFonts w:ascii="Times New Roman" w:hAnsi="Times New Roman" w:cs="Times New Roman"/>
          <w:sz w:val="26"/>
          <w:szCs w:val="26"/>
        </w:rPr>
        <w:t>60.</w:t>
      </w:r>
      <w:r w:rsidRPr="00C1534D">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ADIT/EDFIT</w:t>
      </w:r>
      <w:r w:rsidR="001015EC" w:rsidRPr="002B5BA5">
        <w:rPr>
          <w:rFonts w:ascii="Times New Roman" w:hAnsi="Times New Roman" w:cs="Times New Roman"/>
          <w:sz w:val="26"/>
          <w:szCs w:val="26"/>
        </w:rPr>
        <w:t xml:space="preserve">:  The Company’s Accumulated Deferred Income Tax (“ADIT”) and pro-rationing methodology as required by Treasury Regulation 1.167(l)-1(h)(6)(ii) is accepted.  </w:t>
      </w:r>
      <w:r w:rsidR="001015EC" w:rsidRPr="002B5BA5">
        <w:rPr>
          <w:rFonts w:ascii="Times New Roman" w:hAnsi="Times New Roman" w:cs="Times New Roman"/>
          <w:i/>
          <w:sz w:val="26"/>
          <w:szCs w:val="26"/>
        </w:rPr>
        <w:t xml:space="preserve">See </w:t>
      </w:r>
      <w:r w:rsidR="001015EC" w:rsidRPr="002B5BA5">
        <w:rPr>
          <w:rFonts w:ascii="Times New Roman" w:hAnsi="Times New Roman" w:cs="Times New Roman"/>
          <w:sz w:val="26"/>
          <w:szCs w:val="26"/>
        </w:rPr>
        <w:t xml:space="preserve">26 C.F.R. § 1.167(l).  Further, the Company’s method to amortize Excess Accumulated Deferred Federal Income Taxes (“EDFIT”) according to the Average Rate Assumption Method (“ARAM”) is accepted.  Absent a change in federal or state law, regulation, judicial precedent or policy, the remaining unamortized EDFIT balance will continue as a reduction to rate base in all future proceedings until the full amount is returned to ratepayers. </w:t>
      </w:r>
    </w:p>
    <w:p w14:paraId="16B16BC7" w14:textId="77777777" w:rsidR="001B2720" w:rsidRPr="002B5BA5" w:rsidRDefault="001B2720" w:rsidP="001B2720">
      <w:pPr>
        <w:spacing w:after="0" w:line="240" w:lineRule="auto"/>
        <w:ind w:left="1440" w:right="1440" w:firstLine="720"/>
        <w:rPr>
          <w:rFonts w:ascii="Times New Roman" w:hAnsi="Times New Roman" w:cs="Times New Roman"/>
          <w:sz w:val="26"/>
          <w:szCs w:val="26"/>
        </w:rPr>
      </w:pPr>
    </w:p>
    <w:p w14:paraId="25E0BD4F" w14:textId="2E8011BC" w:rsidR="001015EC" w:rsidRDefault="001B2720" w:rsidP="001B2720">
      <w:pPr>
        <w:spacing w:after="0" w:line="240" w:lineRule="auto"/>
        <w:ind w:left="1440" w:right="1440"/>
        <w:rPr>
          <w:rFonts w:ascii="Times New Roman" w:hAnsi="Times New Roman" w:cs="Times New Roman"/>
          <w:sz w:val="26"/>
          <w:szCs w:val="26"/>
        </w:rPr>
      </w:pPr>
      <w:r w:rsidRPr="001B2720">
        <w:rPr>
          <w:rFonts w:ascii="Times New Roman" w:hAnsi="Times New Roman" w:cs="Times New Roman"/>
          <w:sz w:val="26"/>
          <w:szCs w:val="26"/>
        </w:rPr>
        <w:t>61.</w:t>
      </w:r>
      <w:r w:rsidRPr="001B2720">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Repairs Allowance</w:t>
      </w:r>
      <w:r w:rsidR="001015EC" w:rsidRPr="002B5BA5">
        <w:rPr>
          <w:rFonts w:ascii="Times New Roman" w:hAnsi="Times New Roman" w:cs="Times New Roman"/>
          <w:sz w:val="26"/>
          <w:szCs w:val="26"/>
        </w:rPr>
        <w:t>:  For purposes of determining the revenue requirement in this case, all capitalized repairs deductions claimed on a tax return have been normalized for ratemaking purposes, and the appropriate related amount of tax effect of those deductions has been treated similarly to Accumulated Deferred Income Taxes as a reduction to UGI</w:t>
      </w:r>
      <w:r w:rsidR="003B394C">
        <w:rPr>
          <w:rFonts w:ascii="Times New Roman" w:hAnsi="Times New Roman" w:cs="Times New Roman"/>
          <w:sz w:val="26"/>
          <w:szCs w:val="26"/>
        </w:rPr>
        <w:t> </w:t>
      </w:r>
      <w:r w:rsidR="001015EC" w:rsidRPr="002B5BA5">
        <w:rPr>
          <w:rFonts w:ascii="Times New Roman" w:hAnsi="Times New Roman" w:cs="Times New Roman"/>
          <w:sz w:val="26"/>
          <w:szCs w:val="26"/>
        </w:rPr>
        <w:t xml:space="preserve">Electric’s rate base. </w:t>
      </w:r>
    </w:p>
    <w:p w14:paraId="7E38414B" w14:textId="77777777" w:rsidR="00E7445C" w:rsidRPr="002B5BA5" w:rsidRDefault="00E7445C" w:rsidP="001B2720">
      <w:pPr>
        <w:spacing w:after="0" w:line="240" w:lineRule="auto"/>
        <w:ind w:left="1440" w:right="1440"/>
        <w:rPr>
          <w:rFonts w:ascii="Times New Roman" w:hAnsi="Times New Roman" w:cs="Times New Roman"/>
          <w:sz w:val="26"/>
          <w:szCs w:val="26"/>
        </w:rPr>
      </w:pPr>
    </w:p>
    <w:p w14:paraId="39CB5352" w14:textId="0BE90DD4" w:rsidR="001015EC" w:rsidRDefault="00E7445C" w:rsidP="00E7445C">
      <w:pPr>
        <w:spacing w:after="0" w:line="240" w:lineRule="auto"/>
        <w:ind w:left="1440" w:right="1440"/>
        <w:rPr>
          <w:rFonts w:ascii="Times New Roman" w:hAnsi="Times New Roman" w:cs="Times New Roman"/>
          <w:sz w:val="26"/>
          <w:szCs w:val="26"/>
        </w:rPr>
      </w:pPr>
      <w:r w:rsidRPr="00E7445C">
        <w:rPr>
          <w:rFonts w:ascii="Times New Roman" w:hAnsi="Times New Roman" w:cs="Times New Roman"/>
          <w:sz w:val="26"/>
          <w:szCs w:val="26"/>
        </w:rPr>
        <w:t>62.</w:t>
      </w:r>
      <w:r w:rsidRPr="00E7445C">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IT Cost Capital Treatment</w:t>
      </w:r>
      <w:r w:rsidR="001015EC" w:rsidRPr="002B5BA5">
        <w:rPr>
          <w:rFonts w:ascii="Times New Roman" w:hAnsi="Times New Roman" w:cs="Times New Roman"/>
          <w:sz w:val="26"/>
          <w:szCs w:val="26"/>
        </w:rPr>
        <w:t>:  For purposes of this Settlement, UGI Electric’s as-filed capital treatment of certain IT costs is accepted.  UGI Electric will capitalize IT costs that include preliminary-stage project work, business and technology reengineering activities, current state assessments, reengineering business processes to adapt to new systems, data conversion, data cleansing and migration, pre-implementation training practices, cloud computing software implementation, and Hypercare.  (</w:t>
      </w:r>
      <w:r w:rsidR="001015EC" w:rsidRPr="002B5BA5">
        <w:rPr>
          <w:rFonts w:ascii="Times New Roman" w:hAnsi="Times New Roman" w:cs="Times New Roman"/>
          <w:i/>
          <w:sz w:val="26"/>
          <w:szCs w:val="26"/>
        </w:rPr>
        <w:t>See</w:t>
      </w:r>
      <w:r w:rsidR="001015EC" w:rsidRPr="002B5BA5">
        <w:rPr>
          <w:rFonts w:ascii="Times New Roman" w:hAnsi="Times New Roman" w:cs="Times New Roman"/>
          <w:sz w:val="26"/>
          <w:szCs w:val="26"/>
        </w:rPr>
        <w:t xml:space="preserve"> UGI Electric St. No. 4, pp. 14-16.) </w:t>
      </w:r>
    </w:p>
    <w:p w14:paraId="48483F8A" w14:textId="3B36A556" w:rsidR="001015EC" w:rsidRDefault="00E7445C" w:rsidP="00E7445C">
      <w:pPr>
        <w:spacing w:after="0" w:line="240" w:lineRule="auto"/>
        <w:ind w:left="1440" w:right="1440"/>
        <w:rPr>
          <w:rFonts w:ascii="Times New Roman" w:hAnsi="Times New Roman" w:cs="Times New Roman"/>
          <w:sz w:val="26"/>
          <w:szCs w:val="26"/>
        </w:rPr>
      </w:pPr>
      <w:r w:rsidRPr="00E7445C">
        <w:rPr>
          <w:rFonts w:ascii="Times New Roman" w:hAnsi="Times New Roman" w:cs="Times New Roman"/>
          <w:sz w:val="26"/>
          <w:szCs w:val="26"/>
        </w:rPr>
        <w:lastRenderedPageBreak/>
        <w:t>63.</w:t>
      </w:r>
      <w:r w:rsidRPr="00E7445C">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COVID-19 Cost Deferral</w:t>
      </w:r>
      <w:r w:rsidR="001015EC" w:rsidRPr="002B5BA5">
        <w:rPr>
          <w:rFonts w:ascii="Times New Roman" w:hAnsi="Times New Roman" w:cs="Times New Roman"/>
          <w:sz w:val="26"/>
          <w:szCs w:val="26"/>
        </w:rPr>
        <w:t xml:space="preserve">:  The Company’s revenue increase provided in this Settlement is reflective of a three-year amortization of the Company’s COVID-19 regulatory asset related to incremental uncollectible accounts expense, or $337,666 per year, which includes all incremental uncollectible expense through September 30, 2020.   </w:t>
      </w:r>
    </w:p>
    <w:p w14:paraId="3A71ACE2" w14:textId="77777777" w:rsidR="00F32A87" w:rsidRPr="002B5BA5" w:rsidRDefault="00F32A87" w:rsidP="00E7445C">
      <w:pPr>
        <w:spacing w:after="0" w:line="240" w:lineRule="auto"/>
        <w:ind w:left="1440" w:right="1440"/>
        <w:rPr>
          <w:rFonts w:ascii="Times New Roman" w:hAnsi="Times New Roman" w:cs="Times New Roman"/>
          <w:sz w:val="26"/>
          <w:szCs w:val="26"/>
        </w:rPr>
      </w:pPr>
    </w:p>
    <w:p w14:paraId="5860C985" w14:textId="77777777" w:rsidR="00F32A87" w:rsidRDefault="00F32A87" w:rsidP="00F32A87">
      <w:pPr>
        <w:spacing w:after="0" w:line="240" w:lineRule="auto"/>
        <w:ind w:left="1440" w:right="1440"/>
        <w:rPr>
          <w:rFonts w:ascii="Times New Roman" w:hAnsi="Times New Roman" w:cs="Times New Roman"/>
          <w:sz w:val="26"/>
          <w:szCs w:val="26"/>
        </w:rPr>
      </w:pPr>
      <w:r w:rsidRPr="00F32A87">
        <w:rPr>
          <w:rFonts w:ascii="Times New Roman" w:hAnsi="Times New Roman" w:cs="Times New Roman"/>
          <w:sz w:val="26"/>
          <w:szCs w:val="26"/>
        </w:rPr>
        <w:t>64.</w:t>
      </w:r>
      <w:r w:rsidRPr="00F32A87">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Rate Case Expense</w:t>
      </w:r>
      <w:r w:rsidR="001015EC" w:rsidRPr="002B5BA5">
        <w:rPr>
          <w:rFonts w:ascii="Times New Roman" w:hAnsi="Times New Roman" w:cs="Times New Roman"/>
          <w:sz w:val="26"/>
          <w:szCs w:val="26"/>
        </w:rPr>
        <w:t xml:space="preserve">:  The Company’s revenue increase provided in this Settlement is reflective of a three-year normalization for ratemaking purposes and a three-year amortization for accounting purposes.  The Company will not claim any unamortized amount in a future rate case and agrees that normalization of rate case expense (as opposed to amortization) is the proper treatment for ratemaking purposes. </w:t>
      </w:r>
    </w:p>
    <w:p w14:paraId="16BA674E" w14:textId="799EB3B3" w:rsidR="001015EC" w:rsidRPr="002B5BA5" w:rsidRDefault="001015EC" w:rsidP="00F32A87">
      <w:pPr>
        <w:spacing w:after="0" w:line="240" w:lineRule="auto"/>
        <w:ind w:left="1440" w:right="1440"/>
        <w:rPr>
          <w:rFonts w:ascii="Times New Roman" w:hAnsi="Times New Roman" w:cs="Times New Roman"/>
          <w:sz w:val="26"/>
          <w:szCs w:val="26"/>
        </w:rPr>
      </w:pPr>
      <w:r w:rsidRPr="002B5BA5">
        <w:rPr>
          <w:rFonts w:ascii="Times New Roman" w:hAnsi="Times New Roman" w:cs="Times New Roman"/>
          <w:sz w:val="26"/>
          <w:szCs w:val="26"/>
        </w:rPr>
        <w:t xml:space="preserve"> </w:t>
      </w:r>
    </w:p>
    <w:p w14:paraId="0819CA78" w14:textId="3B61B249" w:rsidR="001015EC" w:rsidRPr="002B5BA5" w:rsidRDefault="001608F0" w:rsidP="00F32A87">
      <w:pPr>
        <w:spacing w:after="0" w:line="240" w:lineRule="auto"/>
        <w:ind w:left="1440" w:right="1440"/>
        <w:rPr>
          <w:rFonts w:ascii="Times New Roman" w:hAnsi="Times New Roman" w:cs="Times New Roman"/>
          <w:sz w:val="26"/>
          <w:szCs w:val="26"/>
        </w:rPr>
      </w:pPr>
      <w:r w:rsidRPr="001608F0">
        <w:rPr>
          <w:rFonts w:ascii="Times New Roman" w:hAnsi="Times New Roman" w:cs="Times New Roman"/>
          <w:sz w:val="26"/>
          <w:szCs w:val="26"/>
        </w:rPr>
        <w:t>65.</w:t>
      </w:r>
      <w:r w:rsidRPr="001608F0">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Company Owned Service Expenditures (“COS-E”)</w:t>
      </w:r>
      <w:r w:rsidR="001015EC" w:rsidRPr="002B5BA5">
        <w:rPr>
          <w:rFonts w:ascii="Times New Roman" w:hAnsi="Times New Roman" w:cs="Times New Roman"/>
          <w:sz w:val="26"/>
          <w:szCs w:val="26"/>
        </w:rPr>
        <w:t xml:space="preserve">:  Effective October 1, 2021, the Company will be permitted, for book accounting purposes, to record the costs associated with its Company-Owned Services (“COS”) Transition Program as capital investment.  The capital investment recorded for recovery from ratepayers will be capped at $5,000,000.  To the extent that the costs exceed the $5,000,000 capitalization cap subsequent to October 1, 2021, the Company will expense the excess and may seek recovery in a future rate case with all parties reserving their rights to challenge any claimed expense (above the $5,000,000). </w:t>
      </w:r>
    </w:p>
    <w:p w14:paraId="3C69198A" w14:textId="408C2E8C" w:rsidR="008F4FCC" w:rsidRDefault="008F4FCC" w:rsidP="008F4FCC">
      <w:pPr>
        <w:pStyle w:val="Heading6"/>
        <w:tabs>
          <w:tab w:val="center" w:pos="892"/>
          <w:tab w:val="center" w:pos="3825"/>
        </w:tabs>
        <w:spacing w:after="0" w:line="240" w:lineRule="auto"/>
        <w:ind w:left="360" w:right="1440" w:firstLine="0"/>
        <w:jc w:val="left"/>
        <w:rPr>
          <w:rFonts w:ascii="Times New Roman" w:eastAsia="Times New Roman" w:hAnsi="Times New Roman" w:cs="Times New Roman"/>
          <w:sz w:val="26"/>
          <w:szCs w:val="26"/>
        </w:rPr>
      </w:pPr>
    </w:p>
    <w:p w14:paraId="5CE2854D" w14:textId="5636110B" w:rsidR="00940621" w:rsidRPr="00940621" w:rsidRDefault="00940621" w:rsidP="00940621">
      <w:pPr>
        <w:rPr>
          <w:rFonts w:ascii="Times New Roman" w:hAnsi="Times New Roman" w:cs="Times New Roman"/>
          <w:b/>
          <w:bCs/>
          <w:sz w:val="26"/>
          <w:szCs w:val="26"/>
        </w:rPr>
      </w:pPr>
      <w:r>
        <w:tab/>
      </w:r>
      <w:r>
        <w:tab/>
      </w:r>
      <w:r w:rsidR="006032A3" w:rsidRPr="006032A3">
        <w:rPr>
          <w:rFonts w:ascii="Times New Roman" w:hAnsi="Times New Roman" w:cs="Times New Roman"/>
          <w:b/>
          <w:bCs/>
          <w:sz w:val="26"/>
          <w:szCs w:val="26"/>
        </w:rPr>
        <w:t>G</w:t>
      </w:r>
      <w:r w:rsidRPr="006032A3">
        <w:rPr>
          <w:rFonts w:ascii="Times New Roman" w:hAnsi="Times New Roman" w:cs="Times New Roman"/>
          <w:b/>
          <w:bCs/>
          <w:sz w:val="26"/>
          <w:szCs w:val="26"/>
        </w:rPr>
        <w:t>.</w:t>
      </w:r>
      <w:r w:rsidR="006032A3">
        <w:rPr>
          <w:rFonts w:ascii="Times New Roman" w:hAnsi="Times New Roman" w:cs="Times New Roman"/>
          <w:b/>
          <w:bCs/>
          <w:sz w:val="26"/>
          <w:szCs w:val="26"/>
        </w:rPr>
        <w:tab/>
        <w:t>COMPANY’S COVID-19 RELIEF EFFORTS</w:t>
      </w:r>
    </w:p>
    <w:p w14:paraId="21038088" w14:textId="7A0E327E" w:rsidR="001015EC" w:rsidRDefault="001015EC" w:rsidP="00082120">
      <w:pPr>
        <w:spacing w:after="0" w:line="240" w:lineRule="auto"/>
        <w:ind w:left="1440" w:right="1440"/>
        <w:rPr>
          <w:rFonts w:ascii="Times New Roman" w:hAnsi="Times New Roman" w:cs="Times New Roman"/>
          <w:sz w:val="26"/>
          <w:szCs w:val="26"/>
        </w:rPr>
      </w:pPr>
      <w:r w:rsidRPr="002B5BA5">
        <w:rPr>
          <w:rFonts w:ascii="Times New Roman" w:hAnsi="Times New Roman" w:cs="Times New Roman"/>
          <w:sz w:val="26"/>
          <w:szCs w:val="26"/>
        </w:rPr>
        <w:t xml:space="preserve">66. </w:t>
      </w:r>
      <w:r w:rsidR="00082120">
        <w:rPr>
          <w:rFonts w:ascii="Times New Roman" w:hAnsi="Times New Roman" w:cs="Times New Roman"/>
          <w:sz w:val="26"/>
          <w:szCs w:val="26"/>
        </w:rPr>
        <w:tab/>
      </w:r>
      <w:r w:rsidRPr="002B5BA5">
        <w:rPr>
          <w:rFonts w:ascii="Times New Roman" w:hAnsi="Times New Roman" w:cs="Times New Roman"/>
          <w:sz w:val="26"/>
          <w:szCs w:val="26"/>
        </w:rPr>
        <w:t xml:space="preserve">The Company will continue to assist customers impacted by COVID-19 through various efforts and initiatives to promote existing Company assistance programs and to facilitate customer access to COVID-19 pandemic-related public utility assistance sources, including the Coronavirus Aid, Relief, and Economic Security Act (“CARES Act”) and the American Rescue Plan.  The Company’s ongoing pandemic relief efforts include the following measures: </w:t>
      </w:r>
    </w:p>
    <w:p w14:paraId="0DB41485" w14:textId="77777777" w:rsidR="00082120" w:rsidRPr="002B5BA5" w:rsidRDefault="00082120" w:rsidP="00082120">
      <w:pPr>
        <w:spacing w:after="0" w:line="240" w:lineRule="auto"/>
        <w:ind w:left="1440" w:right="1440"/>
        <w:rPr>
          <w:rFonts w:ascii="Times New Roman" w:hAnsi="Times New Roman" w:cs="Times New Roman"/>
          <w:sz w:val="26"/>
          <w:szCs w:val="26"/>
        </w:rPr>
      </w:pPr>
    </w:p>
    <w:p w14:paraId="1E6699E8" w14:textId="76BEB6DC" w:rsidR="001015EC" w:rsidRDefault="001015EC" w:rsidP="00E43B1D">
      <w:pPr>
        <w:numPr>
          <w:ilvl w:val="0"/>
          <w:numId w:val="10"/>
        </w:numPr>
        <w:spacing w:after="0" w:line="240" w:lineRule="auto"/>
        <w:ind w:left="2160" w:right="1440"/>
        <w:jc w:val="both"/>
        <w:rPr>
          <w:rFonts w:ascii="Times New Roman" w:hAnsi="Times New Roman" w:cs="Times New Roman"/>
          <w:sz w:val="26"/>
          <w:szCs w:val="26"/>
        </w:rPr>
      </w:pPr>
      <w:r w:rsidRPr="002B5BA5">
        <w:rPr>
          <w:rFonts w:ascii="Times New Roman" w:hAnsi="Times New Roman" w:cs="Times New Roman"/>
          <w:sz w:val="26"/>
          <w:szCs w:val="26"/>
        </w:rPr>
        <w:t xml:space="preserve">Mass media campaign promoting UGI Utilities, Inc. assistance programs and CARES Act funding. </w:t>
      </w:r>
    </w:p>
    <w:p w14:paraId="0D79FBFA" w14:textId="77777777" w:rsidR="00E43B1D" w:rsidRPr="002B5BA5" w:rsidRDefault="00E43B1D" w:rsidP="00E43B1D">
      <w:pPr>
        <w:spacing w:after="0" w:line="240" w:lineRule="auto"/>
        <w:ind w:left="2160" w:right="1440"/>
        <w:jc w:val="both"/>
        <w:rPr>
          <w:rFonts w:ascii="Times New Roman" w:hAnsi="Times New Roman" w:cs="Times New Roman"/>
          <w:sz w:val="26"/>
          <w:szCs w:val="26"/>
        </w:rPr>
      </w:pPr>
    </w:p>
    <w:p w14:paraId="4B5602FE" w14:textId="1C8B89EF" w:rsidR="001015EC" w:rsidRDefault="001015EC" w:rsidP="00E43B1D">
      <w:pPr>
        <w:numPr>
          <w:ilvl w:val="0"/>
          <w:numId w:val="10"/>
        </w:numPr>
        <w:spacing w:after="0" w:line="240" w:lineRule="auto"/>
        <w:ind w:left="2160" w:right="1440"/>
        <w:rPr>
          <w:rFonts w:ascii="Times New Roman" w:hAnsi="Times New Roman" w:cs="Times New Roman"/>
          <w:sz w:val="26"/>
          <w:szCs w:val="26"/>
        </w:rPr>
      </w:pPr>
      <w:r w:rsidRPr="00E43B1D">
        <w:rPr>
          <w:rFonts w:ascii="Times New Roman" w:hAnsi="Times New Roman" w:cs="Times New Roman"/>
          <w:sz w:val="26"/>
          <w:szCs w:val="26"/>
        </w:rPr>
        <w:lastRenderedPageBreak/>
        <w:t xml:space="preserve">Direct mail and email campaign(s) targeting customers with arrearages whom UGI Electric determines may benefit from Company assistance programs and/or CARES Act programs. </w:t>
      </w:r>
    </w:p>
    <w:p w14:paraId="30375B0F" w14:textId="77777777" w:rsidR="00E43B1D" w:rsidRPr="00E43B1D" w:rsidRDefault="00E43B1D" w:rsidP="00E43B1D">
      <w:pPr>
        <w:spacing w:after="0" w:line="240" w:lineRule="auto"/>
        <w:ind w:left="2160" w:right="1440"/>
        <w:rPr>
          <w:rFonts w:ascii="Times New Roman" w:hAnsi="Times New Roman" w:cs="Times New Roman"/>
          <w:sz w:val="26"/>
          <w:szCs w:val="26"/>
        </w:rPr>
      </w:pPr>
    </w:p>
    <w:p w14:paraId="3DBDB19A" w14:textId="7C5B09F7" w:rsidR="001015EC" w:rsidRDefault="001015EC" w:rsidP="00640FCC">
      <w:pPr>
        <w:numPr>
          <w:ilvl w:val="0"/>
          <w:numId w:val="10"/>
        </w:numPr>
        <w:spacing w:after="0" w:line="240" w:lineRule="auto"/>
        <w:ind w:left="2160" w:right="1440"/>
        <w:rPr>
          <w:rFonts w:ascii="Times New Roman" w:hAnsi="Times New Roman" w:cs="Times New Roman"/>
          <w:sz w:val="26"/>
          <w:szCs w:val="26"/>
        </w:rPr>
      </w:pPr>
      <w:r w:rsidRPr="002B5BA5">
        <w:rPr>
          <w:rFonts w:ascii="Times New Roman" w:hAnsi="Times New Roman" w:cs="Times New Roman"/>
          <w:sz w:val="26"/>
          <w:szCs w:val="26"/>
        </w:rPr>
        <w:t xml:space="preserve">Bill inserts to all customers alerting them about Company assistance programs and CARES Act programs. </w:t>
      </w:r>
    </w:p>
    <w:p w14:paraId="4B9A4556" w14:textId="77777777" w:rsidR="00640FCC" w:rsidRPr="002B5BA5" w:rsidRDefault="00640FCC" w:rsidP="00640FCC">
      <w:pPr>
        <w:spacing w:after="0" w:line="240" w:lineRule="auto"/>
        <w:ind w:left="2160" w:right="1440"/>
        <w:rPr>
          <w:rFonts w:ascii="Times New Roman" w:hAnsi="Times New Roman" w:cs="Times New Roman"/>
          <w:sz w:val="26"/>
          <w:szCs w:val="26"/>
        </w:rPr>
      </w:pPr>
    </w:p>
    <w:p w14:paraId="315326EE" w14:textId="023524C1" w:rsidR="001015EC" w:rsidRDefault="001015EC" w:rsidP="00640FCC">
      <w:pPr>
        <w:numPr>
          <w:ilvl w:val="0"/>
          <w:numId w:val="10"/>
        </w:numPr>
        <w:spacing w:after="0" w:line="240" w:lineRule="auto"/>
        <w:ind w:left="2160" w:right="1440"/>
        <w:rPr>
          <w:rFonts w:ascii="Times New Roman" w:hAnsi="Times New Roman" w:cs="Times New Roman"/>
          <w:sz w:val="26"/>
          <w:szCs w:val="26"/>
        </w:rPr>
      </w:pPr>
      <w:r w:rsidRPr="002B5BA5">
        <w:rPr>
          <w:rFonts w:ascii="Times New Roman" w:hAnsi="Times New Roman" w:cs="Times New Roman"/>
          <w:sz w:val="26"/>
          <w:szCs w:val="26"/>
        </w:rPr>
        <w:t xml:space="preserve">Coordination with CARES Act program providers in the Company’s service territory to facilitate and enable direct communication with the Company on CARES Act application requests.  This work will include a direct hotline number for provider use, an ability for benefit payments to be made on multiple accounts with one check, an option to make payments via credit card, as well as Company Call Center staff training to promote CARES Act Programs for qualifying customers, in addition to Company programs and available Commission COVID19 payment arrangement options. </w:t>
      </w:r>
    </w:p>
    <w:p w14:paraId="4BCFB038" w14:textId="77777777" w:rsidR="003B394C" w:rsidRDefault="003B394C" w:rsidP="003B394C">
      <w:pPr>
        <w:spacing w:after="0" w:line="240" w:lineRule="auto"/>
        <w:ind w:right="1440"/>
        <w:rPr>
          <w:rFonts w:ascii="Times New Roman" w:hAnsi="Times New Roman" w:cs="Times New Roman"/>
          <w:sz w:val="26"/>
          <w:szCs w:val="26"/>
        </w:rPr>
      </w:pPr>
    </w:p>
    <w:p w14:paraId="5E0944F6" w14:textId="0B5F7B6A" w:rsidR="001015EC" w:rsidRDefault="001015EC" w:rsidP="00640FCC">
      <w:pPr>
        <w:numPr>
          <w:ilvl w:val="0"/>
          <w:numId w:val="10"/>
        </w:numPr>
        <w:spacing w:after="0" w:line="240" w:lineRule="auto"/>
        <w:ind w:left="2160" w:right="1440"/>
        <w:rPr>
          <w:rFonts w:ascii="Times New Roman" w:hAnsi="Times New Roman" w:cs="Times New Roman"/>
          <w:sz w:val="26"/>
          <w:szCs w:val="26"/>
        </w:rPr>
      </w:pPr>
      <w:r w:rsidRPr="002B5BA5">
        <w:rPr>
          <w:rFonts w:ascii="Times New Roman" w:hAnsi="Times New Roman" w:cs="Times New Roman"/>
          <w:sz w:val="26"/>
          <w:szCs w:val="26"/>
        </w:rPr>
        <w:t xml:space="preserve">Modification of the above efforts, as </w:t>
      </w:r>
      <w:proofErr w:type="gramStart"/>
      <w:r w:rsidRPr="002B5BA5">
        <w:rPr>
          <w:rFonts w:ascii="Times New Roman" w:hAnsi="Times New Roman" w:cs="Times New Roman"/>
          <w:sz w:val="26"/>
          <w:szCs w:val="26"/>
        </w:rPr>
        <w:t>appropriate, once</w:t>
      </w:r>
      <w:proofErr w:type="gramEnd"/>
      <w:r w:rsidRPr="002B5BA5">
        <w:rPr>
          <w:rFonts w:ascii="Times New Roman" w:hAnsi="Times New Roman" w:cs="Times New Roman"/>
          <w:sz w:val="26"/>
          <w:szCs w:val="26"/>
        </w:rPr>
        <w:t xml:space="preserve"> American Rescue Plan funding becomes available via defined program(s). </w:t>
      </w:r>
    </w:p>
    <w:p w14:paraId="690E528B" w14:textId="77777777" w:rsidR="00640FCC" w:rsidRPr="002B5BA5" w:rsidRDefault="00640FCC" w:rsidP="00640FCC">
      <w:pPr>
        <w:spacing w:after="0" w:line="240" w:lineRule="auto"/>
        <w:ind w:left="2160" w:right="1440"/>
        <w:rPr>
          <w:rFonts w:ascii="Times New Roman" w:hAnsi="Times New Roman" w:cs="Times New Roman"/>
          <w:sz w:val="26"/>
          <w:szCs w:val="26"/>
        </w:rPr>
      </w:pPr>
    </w:p>
    <w:p w14:paraId="0288ED7C" w14:textId="77777777" w:rsidR="000E5729" w:rsidRDefault="001015EC" w:rsidP="002C52F7">
      <w:pPr>
        <w:numPr>
          <w:ilvl w:val="0"/>
          <w:numId w:val="10"/>
        </w:numPr>
        <w:spacing w:after="0" w:line="240" w:lineRule="auto"/>
        <w:ind w:left="2160" w:right="1440"/>
        <w:rPr>
          <w:rFonts w:ascii="Times New Roman" w:hAnsi="Times New Roman" w:cs="Times New Roman"/>
          <w:sz w:val="26"/>
          <w:szCs w:val="26"/>
        </w:rPr>
      </w:pPr>
      <w:r w:rsidRPr="002B5BA5">
        <w:rPr>
          <w:rFonts w:ascii="Times New Roman" w:hAnsi="Times New Roman" w:cs="Times New Roman"/>
          <w:sz w:val="26"/>
          <w:szCs w:val="26"/>
        </w:rPr>
        <w:t xml:space="preserve">Solicitation of customers who received LIHEAP in the prior 12 months for enrollment in the Company’s CAP two times a year.  </w:t>
      </w:r>
    </w:p>
    <w:p w14:paraId="24A77CAB" w14:textId="100DF551" w:rsidR="001015EC" w:rsidRPr="002B5BA5" w:rsidRDefault="001015EC" w:rsidP="000E5729">
      <w:pPr>
        <w:spacing w:after="0" w:line="240" w:lineRule="auto"/>
        <w:ind w:left="2160" w:right="1440"/>
        <w:rPr>
          <w:rFonts w:ascii="Times New Roman" w:hAnsi="Times New Roman" w:cs="Times New Roman"/>
          <w:sz w:val="26"/>
          <w:szCs w:val="26"/>
        </w:rPr>
      </w:pPr>
      <w:r w:rsidRPr="002B5BA5">
        <w:rPr>
          <w:rFonts w:ascii="Times New Roman" w:hAnsi="Times New Roman" w:cs="Times New Roman"/>
          <w:sz w:val="26"/>
          <w:szCs w:val="26"/>
        </w:rPr>
        <w:t xml:space="preserve"> </w:t>
      </w:r>
    </w:p>
    <w:p w14:paraId="486663CB" w14:textId="6DA7CE40" w:rsidR="001015EC" w:rsidRDefault="001015EC" w:rsidP="002C52F7">
      <w:pPr>
        <w:numPr>
          <w:ilvl w:val="0"/>
          <w:numId w:val="10"/>
        </w:numPr>
        <w:spacing w:after="0" w:line="240" w:lineRule="auto"/>
        <w:ind w:left="2160" w:right="1440"/>
        <w:rPr>
          <w:rFonts w:ascii="Times New Roman" w:hAnsi="Times New Roman" w:cs="Times New Roman"/>
          <w:sz w:val="26"/>
          <w:szCs w:val="26"/>
        </w:rPr>
      </w:pPr>
      <w:r w:rsidRPr="002B5BA5">
        <w:rPr>
          <w:rFonts w:ascii="Times New Roman" w:hAnsi="Times New Roman" w:cs="Times New Roman"/>
          <w:sz w:val="26"/>
          <w:szCs w:val="26"/>
        </w:rPr>
        <w:t xml:space="preserve">Solicitation of customers who self-reported Level 1 income in the prior 12 months for enrollment in the Company’s CAP two times a year. </w:t>
      </w:r>
    </w:p>
    <w:p w14:paraId="59A04E95" w14:textId="77777777" w:rsidR="002C52F7" w:rsidRPr="002B5BA5" w:rsidRDefault="002C52F7" w:rsidP="002C52F7">
      <w:pPr>
        <w:spacing w:after="0" w:line="240" w:lineRule="auto"/>
        <w:ind w:left="2160" w:right="1440"/>
        <w:rPr>
          <w:rFonts w:ascii="Times New Roman" w:hAnsi="Times New Roman" w:cs="Times New Roman"/>
          <w:sz w:val="26"/>
          <w:szCs w:val="26"/>
        </w:rPr>
      </w:pPr>
    </w:p>
    <w:p w14:paraId="1B0F3B04" w14:textId="3F888196" w:rsidR="001015EC" w:rsidRDefault="004A5C75" w:rsidP="004A5C75">
      <w:pPr>
        <w:pStyle w:val="Heading6"/>
        <w:tabs>
          <w:tab w:val="center" w:pos="1440"/>
          <w:tab w:val="center" w:pos="2777"/>
        </w:tabs>
        <w:spacing w:after="0" w:line="240" w:lineRule="auto"/>
        <w:ind w:left="1440" w:right="1440" w:firstLine="0"/>
        <w:jc w:val="left"/>
        <w:rPr>
          <w:rFonts w:ascii="Times New Roman" w:eastAsia="Times New Roman" w:hAnsi="Times New Roman" w:cs="Times New Roman"/>
          <w:sz w:val="26"/>
          <w:szCs w:val="26"/>
        </w:rPr>
      </w:pPr>
      <w:r>
        <w:rPr>
          <w:rFonts w:ascii="Times New Roman" w:hAnsi="Times New Roman" w:cs="Times New Roman"/>
          <w:noProof/>
          <w:sz w:val="26"/>
          <w:szCs w:val="26"/>
        </w:rPr>
        <w:t>H.</w:t>
      </w:r>
      <w:r w:rsidR="001015EC" w:rsidRPr="002B5BA5">
        <w:rPr>
          <w:rFonts w:ascii="Times New Roman" w:eastAsia="Times New Roman" w:hAnsi="Times New Roman" w:cs="Times New Roman"/>
          <w:sz w:val="26"/>
          <w:szCs w:val="26"/>
        </w:rPr>
        <w:tab/>
      </w:r>
      <w:r w:rsidR="002C52F7">
        <w:rPr>
          <w:rFonts w:ascii="Times New Roman" w:eastAsia="Times New Roman" w:hAnsi="Times New Roman" w:cs="Times New Roman"/>
          <w:sz w:val="26"/>
          <w:szCs w:val="26"/>
        </w:rPr>
        <w:t xml:space="preserve">         </w:t>
      </w:r>
      <w:r w:rsidR="001015EC" w:rsidRPr="002B5BA5">
        <w:rPr>
          <w:rFonts w:ascii="Times New Roman" w:eastAsia="Times New Roman" w:hAnsi="Times New Roman" w:cs="Times New Roman"/>
          <w:sz w:val="26"/>
          <w:szCs w:val="26"/>
        </w:rPr>
        <w:t xml:space="preserve">UNIVERSAL SERVICES </w:t>
      </w:r>
    </w:p>
    <w:p w14:paraId="06006234" w14:textId="77777777" w:rsidR="00BE34E9" w:rsidRPr="00BE34E9" w:rsidRDefault="00BE34E9" w:rsidP="00BE34E9">
      <w:pPr>
        <w:spacing w:after="0" w:line="240" w:lineRule="auto"/>
      </w:pPr>
    </w:p>
    <w:p w14:paraId="3257BAE2" w14:textId="1E599095" w:rsidR="001015EC" w:rsidRDefault="001015EC" w:rsidP="00D17C70">
      <w:pPr>
        <w:numPr>
          <w:ilvl w:val="0"/>
          <w:numId w:val="11"/>
        </w:numPr>
        <w:spacing w:after="0" w:line="240" w:lineRule="auto"/>
        <w:ind w:left="1440" w:right="1440"/>
        <w:rPr>
          <w:rFonts w:ascii="Times New Roman" w:hAnsi="Times New Roman" w:cs="Times New Roman"/>
          <w:sz w:val="26"/>
          <w:szCs w:val="26"/>
        </w:rPr>
      </w:pPr>
      <w:r w:rsidRPr="002B5BA5">
        <w:rPr>
          <w:rFonts w:ascii="Times New Roman" w:hAnsi="Times New Roman" w:cs="Times New Roman"/>
          <w:sz w:val="26"/>
          <w:szCs w:val="26"/>
          <w:u w:val="single" w:color="000000"/>
        </w:rPr>
        <w:t>Rider C – Universal Service Plan Rider</w:t>
      </w:r>
      <w:r w:rsidRPr="002B5BA5">
        <w:rPr>
          <w:rFonts w:ascii="Times New Roman" w:hAnsi="Times New Roman" w:cs="Times New Roman"/>
          <w:sz w:val="26"/>
          <w:szCs w:val="26"/>
        </w:rPr>
        <w:t xml:space="preserve">: Throughout Rider C, the as-filed updated participant number of “the number of CAP enrollees as September 30, 2021” shall be replaced with “3,231”. </w:t>
      </w:r>
    </w:p>
    <w:p w14:paraId="6D0C5D5F" w14:textId="77777777" w:rsidR="00286A6B" w:rsidRPr="002B5BA5" w:rsidRDefault="00286A6B" w:rsidP="00286A6B">
      <w:pPr>
        <w:spacing w:after="0" w:line="240" w:lineRule="auto"/>
        <w:ind w:left="2160" w:right="1440"/>
        <w:rPr>
          <w:rFonts w:ascii="Times New Roman" w:hAnsi="Times New Roman" w:cs="Times New Roman"/>
          <w:sz w:val="26"/>
          <w:szCs w:val="26"/>
        </w:rPr>
      </w:pPr>
    </w:p>
    <w:p w14:paraId="772E0645" w14:textId="4D64E45A" w:rsidR="001015EC" w:rsidRDefault="001015EC" w:rsidP="003B394C">
      <w:pPr>
        <w:keepNext/>
        <w:numPr>
          <w:ilvl w:val="0"/>
          <w:numId w:val="11"/>
        </w:numPr>
        <w:spacing w:after="0" w:line="240" w:lineRule="auto"/>
        <w:ind w:left="1440" w:right="1440"/>
        <w:rPr>
          <w:rFonts w:ascii="Times New Roman" w:hAnsi="Times New Roman" w:cs="Times New Roman"/>
          <w:sz w:val="26"/>
          <w:szCs w:val="26"/>
        </w:rPr>
      </w:pPr>
      <w:r w:rsidRPr="00286A6B">
        <w:rPr>
          <w:rFonts w:ascii="Times New Roman" w:hAnsi="Times New Roman" w:cs="Times New Roman"/>
          <w:sz w:val="26"/>
          <w:szCs w:val="26"/>
          <w:u w:val="single" w:color="000000"/>
        </w:rPr>
        <w:lastRenderedPageBreak/>
        <w:t>WARM Initiative</w:t>
      </w:r>
      <w:r w:rsidRPr="00286A6B">
        <w:rPr>
          <w:rFonts w:ascii="Times New Roman" w:hAnsi="Times New Roman" w:cs="Times New Roman"/>
          <w:sz w:val="26"/>
          <w:szCs w:val="26"/>
        </w:rPr>
        <w:t xml:space="preserve">:  The Company agrees to include the following provisions in its WARM Initiative: </w:t>
      </w:r>
    </w:p>
    <w:p w14:paraId="32991DA6" w14:textId="77777777" w:rsidR="003B394C" w:rsidRPr="00286A6B" w:rsidRDefault="003B394C" w:rsidP="003B394C">
      <w:pPr>
        <w:keepNext/>
        <w:spacing w:after="0" w:line="240" w:lineRule="auto"/>
        <w:ind w:right="1440"/>
        <w:rPr>
          <w:rFonts w:ascii="Times New Roman" w:hAnsi="Times New Roman" w:cs="Times New Roman"/>
          <w:sz w:val="26"/>
          <w:szCs w:val="26"/>
        </w:rPr>
      </w:pPr>
    </w:p>
    <w:p w14:paraId="3BB37469" w14:textId="0E09A981" w:rsidR="001015EC" w:rsidRPr="002B5BA5" w:rsidRDefault="00C84753" w:rsidP="00C84753">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Perform a solicitation of customers who received LIHEAP in the prior 12 months for enrollment in the Company’s CAP 2 times a year. </w:t>
      </w:r>
    </w:p>
    <w:p w14:paraId="6FFBCE00" w14:textId="77777777" w:rsidR="00286A6B" w:rsidRDefault="00286A6B" w:rsidP="00286A6B">
      <w:pPr>
        <w:spacing w:after="0" w:line="240" w:lineRule="auto"/>
        <w:ind w:left="2880" w:right="1440"/>
        <w:rPr>
          <w:rFonts w:ascii="Times New Roman" w:hAnsi="Times New Roman" w:cs="Times New Roman"/>
          <w:sz w:val="26"/>
          <w:szCs w:val="26"/>
        </w:rPr>
      </w:pPr>
    </w:p>
    <w:p w14:paraId="6E85B6FC" w14:textId="65B64A9E" w:rsidR="001015EC" w:rsidRPr="002B5BA5" w:rsidRDefault="00C84753" w:rsidP="00C84753">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Perform a solicitation of customers who self-reported Level 1 income in the prior 12 months for enrollment in the Company’s CAP 2 times a year. </w:t>
      </w:r>
    </w:p>
    <w:p w14:paraId="350975AC" w14:textId="77777777" w:rsidR="00286A6B" w:rsidRDefault="00286A6B" w:rsidP="00286A6B">
      <w:pPr>
        <w:spacing w:after="0" w:line="240" w:lineRule="auto"/>
        <w:ind w:left="2880" w:right="1440"/>
        <w:rPr>
          <w:rFonts w:ascii="Times New Roman" w:hAnsi="Times New Roman" w:cs="Times New Roman"/>
          <w:sz w:val="26"/>
          <w:szCs w:val="26"/>
        </w:rPr>
      </w:pPr>
    </w:p>
    <w:p w14:paraId="1AC9CF65" w14:textId="5A8DF988" w:rsidR="001015EC" w:rsidRDefault="00C84753" w:rsidP="00C84753">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Accept verbal self-reported income eligibility for customers at or below 250% of the Federal Poverty Level during the Winter Moratorium for purposes of winter shutoff protections, requests for deferred payment arrangements, or any other customer contact with the call center for an unpaid bill. Normal income verification requirements maintained by the Company shall apply upon the end of the Winter Moratorium period. </w:t>
      </w:r>
    </w:p>
    <w:p w14:paraId="13AAB20C" w14:textId="77777777" w:rsidR="00C84753" w:rsidRPr="002B5BA5" w:rsidRDefault="00C84753" w:rsidP="00C84753">
      <w:pPr>
        <w:spacing w:after="0" w:line="240" w:lineRule="auto"/>
        <w:ind w:left="2160" w:right="1440"/>
        <w:rPr>
          <w:rFonts w:ascii="Times New Roman" w:hAnsi="Times New Roman" w:cs="Times New Roman"/>
          <w:sz w:val="26"/>
          <w:szCs w:val="26"/>
        </w:rPr>
      </w:pPr>
    </w:p>
    <w:p w14:paraId="4B261442" w14:textId="04BA7EDF" w:rsidR="001015EC" w:rsidRDefault="009877CA" w:rsidP="009877CA">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Accept verification of income eligibility by any community-based organization (“CBO”) in the Company’s service territory delivering public or private assistance. </w:t>
      </w:r>
    </w:p>
    <w:p w14:paraId="01A1E983" w14:textId="77777777" w:rsidR="009877CA" w:rsidRPr="002B5BA5" w:rsidRDefault="009877CA" w:rsidP="009877CA">
      <w:pPr>
        <w:spacing w:after="0" w:line="240" w:lineRule="auto"/>
        <w:ind w:left="2160" w:right="1440"/>
        <w:rPr>
          <w:rFonts w:ascii="Times New Roman" w:hAnsi="Times New Roman" w:cs="Times New Roman"/>
          <w:sz w:val="26"/>
          <w:szCs w:val="26"/>
        </w:rPr>
      </w:pPr>
    </w:p>
    <w:p w14:paraId="0EE3F528" w14:textId="62012430" w:rsidR="001015EC" w:rsidRDefault="009877CA" w:rsidP="009877CA">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Contact of administrators of applicable PA DHS public assistance programs, requesting that they ask DHS applicants enrolling in their public assistance programs to designate whether the DHS applicants want UGI Electric to be informed of their income eligibility for various customer service protections propounded by the Commission.  Each household who the program administrators identify to UGI Electric as answering in the affirmative shall be deemed by UGI Electric as a Confirmed Low-Income customer and/or a customer eligible for winter shutoff protections. Normal income verification requirements maintained by the Company shall apply thereafter (for enrollment/participation in UGI Electric Universal Service programs). </w:t>
      </w:r>
    </w:p>
    <w:p w14:paraId="60D6280B" w14:textId="77777777" w:rsidR="00760A39" w:rsidRPr="002B5BA5" w:rsidRDefault="00760A39" w:rsidP="009877CA">
      <w:pPr>
        <w:spacing w:after="0" w:line="240" w:lineRule="auto"/>
        <w:ind w:left="2160" w:right="1440"/>
        <w:rPr>
          <w:rFonts w:ascii="Times New Roman" w:hAnsi="Times New Roman" w:cs="Times New Roman"/>
          <w:sz w:val="26"/>
          <w:szCs w:val="26"/>
        </w:rPr>
      </w:pPr>
    </w:p>
    <w:p w14:paraId="5A40B674" w14:textId="7665F23E" w:rsidR="001015EC" w:rsidRDefault="00760A39" w:rsidP="00760A39">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lastRenderedPageBreak/>
        <w:t>f.</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Provide written materials, which solicit participation in UGI Electric’s CAP and/or identification of customers eligible for winter shutoff protections, to:  </w:t>
      </w:r>
    </w:p>
    <w:p w14:paraId="400B3567" w14:textId="77777777" w:rsidR="003B394C" w:rsidRPr="002B5BA5" w:rsidRDefault="003B394C" w:rsidP="00760A39">
      <w:pPr>
        <w:spacing w:after="0" w:line="240" w:lineRule="auto"/>
        <w:ind w:left="2160" w:right="1440"/>
        <w:rPr>
          <w:rFonts w:ascii="Times New Roman" w:hAnsi="Times New Roman" w:cs="Times New Roman"/>
          <w:sz w:val="26"/>
          <w:szCs w:val="26"/>
        </w:rPr>
      </w:pPr>
    </w:p>
    <w:p w14:paraId="62313BB4" w14:textId="77777777" w:rsidR="006948AA" w:rsidRDefault="001015EC" w:rsidP="00A63B51">
      <w:pPr>
        <w:spacing w:after="0" w:line="240" w:lineRule="auto"/>
        <w:ind w:left="2160" w:right="1440" w:firstLine="720"/>
        <w:rPr>
          <w:rFonts w:ascii="Times New Roman" w:hAnsi="Times New Roman" w:cs="Times New Roman"/>
          <w:sz w:val="26"/>
          <w:szCs w:val="26"/>
        </w:rPr>
      </w:pPr>
      <w:r w:rsidRPr="002B5BA5">
        <w:rPr>
          <w:rFonts w:ascii="Times New Roman" w:hAnsi="Times New Roman" w:cs="Times New Roman"/>
          <w:sz w:val="26"/>
          <w:szCs w:val="26"/>
        </w:rPr>
        <w:t xml:space="preserve">i. </w:t>
      </w:r>
      <w:r w:rsidR="00083657">
        <w:rPr>
          <w:rFonts w:ascii="Times New Roman" w:hAnsi="Times New Roman" w:cs="Times New Roman"/>
          <w:sz w:val="26"/>
          <w:szCs w:val="26"/>
        </w:rPr>
        <w:tab/>
      </w:r>
      <w:r w:rsidRPr="002B5BA5">
        <w:rPr>
          <w:rFonts w:ascii="Times New Roman" w:hAnsi="Times New Roman" w:cs="Times New Roman"/>
          <w:sz w:val="26"/>
          <w:szCs w:val="26"/>
        </w:rPr>
        <w:t xml:space="preserve">Public school districts in the Company’s service territory, so that they can distribute the materials  to school households with students eligible for the federal free and reduced school meals program; and/or Head Start programs; and  </w:t>
      </w:r>
    </w:p>
    <w:p w14:paraId="5CA4AE99" w14:textId="77777777" w:rsidR="006948AA" w:rsidRDefault="006948AA" w:rsidP="00A63B51">
      <w:pPr>
        <w:spacing w:after="0" w:line="240" w:lineRule="auto"/>
        <w:ind w:left="2160" w:right="1440" w:firstLine="720"/>
        <w:rPr>
          <w:rFonts w:ascii="Times New Roman" w:hAnsi="Times New Roman" w:cs="Times New Roman"/>
          <w:sz w:val="26"/>
          <w:szCs w:val="26"/>
        </w:rPr>
      </w:pPr>
    </w:p>
    <w:p w14:paraId="5FEE9A6A" w14:textId="0AB1ADAE" w:rsidR="001015EC" w:rsidRDefault="001015EC" w:rsidP="006948AA">
      <w:pPr>
        <w:spacing w:after="0" w:line="240" w:lineRule="auto"/>
        <w:ind w:left="2160" w:right="1440" w:firstLine="720"/>
        <w:rPr>
          <w:rFonts w:ascii="Times New Roman" w:hAnsi="Times New Roman" w:cs="Times New Roman"/>
          <w:sz w:val="26"/>
          <w:szCs w:val="26"/>
        </w:rPr>
      </w:pPr>
      <w:r w:rsidRPr="002B5BA5">
        <w:rPr>
          <w:rFonts w:ascii="Times New Roman" w:hAnsi="Times New Roman" w:cs="Times New Roman"/>
          <w:sz w:val="26"/>
          <w:szCs w:val="26"/>
        </w:rPr>
        <w:t xml:space="preserve">ii. Community and faith-based food pantries, soup kitchens, and emergency shelters.   </w:t>
      </w:r>
    </w:p>
    <w:p w14:paraId="3977D4C6" w14:textId="77777777" w:rsidR="00083657" w:rsidRPr="002B5BA5" w:rsidRDefault="00083657" w:rsidP="00083657">
      <w:pPr>
        <w:spacing w:after="0" w:line="240" w:lineRule="auto"/>
        <w:ind w:left="1440" w:right="1440" w:firstLine="720"/>
        <w:rPr>
          <w:rFonts w:ascii="Times New Roman" w:hAnsi="Times New Roman" w:cs="Times New Roman"/>
          <w:sz w:val="26"/>
          <w:szCs w:val="26"/>
        </w:rPr>
      </w:pPr>
    </w:p>
    <w:p w14:paraId="5FA6B40A" w14:textId="19A22E75" w:rsidR="001015EC" w:rsidRDefault="0086199D" w:rsidP="0086199D">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g.</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Provide written CAP solicitation materials to be delivered by local and/or county offices delivering benefits through the federal Supplemental Nutrition Assistance Program (“SNAP”) (Food Stamps), as well as through local Public Housing Authorities. </w:t>
      </w:r>
    </w:p>
    <w:p w14:paraId="7DDCFCD7" w14:textId="77777777" w:rsidR="0086199D" w:rsidRPr="002B5BA5" w:rsidRDefault="0086199D" w:rsidP="0086199D">
      <w:pPr>
        <w:spacing w:after="0" w:line="240" w:lineRule="auto"/>
        <w:ind w:left="2160" w:right="1440"/>
        <w:rPr>
          <w:rFonts w:ascii="Times New Roman" w:hAnsi="Times New Roman" w:cs="Times New Roman"/>
          <w:sz w:val="26"/>
          <w:szCs w:val="26"/>
        </w:rPr>
      </w:pPr>
    </w:p>
    <w:p w14:paraId="1955D42E" w14:textId="010C1C94" w:rsidR="001015EC" w:rsidRDefault="00A63B51" w:rsidP="00A63B51">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Only include earned income from household occupants aged 18 years and older when verifying household income. </w:t>
      </w:r>
    </w:p>
    <w:p w14:paraId="48B0FEA1" w14:textId="77777777" w:rsidR="00A63B51" w:rsidRPr="002B5BA5" w:rsidRDefault="00A63B51" w:rsidP="00A63B51">
      <w:pPr>
        <w:spacing w:after="0" w:line="240" w:lineRule="auto"/>
        <w:ind w:left="2160" w:right="1440"/>
        <w:rPr>
          <w:rFonts w:ascii="Times New Roman" w:hAnsi="Times New Roman" w:cs="Times New Roman"/>
          <w:sz w:val="26"/>
          <w:szCs w:val="26"/>
        </w:rPr>
      </w:pPr>
    </w:p>
    <w:p w14:paraId="0CB99572" w14:textId="1E3DB494" w:rsidR="001015EC" w:rsidRDefault="00A63B51" w:rsidP="00A63B51">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Any incremental costs incurred by the Company in the administration of items (e)(h) will be deferred for recovery, without interest, in the Company’s next base rate case. </w:t>
      </w:r>
    </w:p>
    <w:p w14:paraId="40454817" w14:textId="77777777" w:rsidR="00A63B51" w:rsidRPr="002B5BA5" w:rsidRDefault="00A63B51" w:rsidP="00A63B51">
      <w:pPr>
        <w:spacing w:after="0" w:line="240" w:lineRule="auto"/>
        <w:ind w:left="2160" w:right="1440"/>
        <w:rPr>
          <w:rFonts w:ascii="Times New Roman" w:hAnsi="Times New Roman" w:cs="Times New Roman"/>
          <w:sz w:val="26"/>
          <w:szCs w:val="26"/>
        </w:rPr>
      </w:pPr>
    </w:p>
    <w:p w14:paraId="46A6FAC0" w14:textId="1A1EF0C8" w:rsidR="001015EC" w:rsidRDefault="001015EC" w:rsidP="00D17C70">
      <w:pPr>
        <w:numPr>
          <w:ilvl w:val="0"/>
          <w:numId w:val="11"/>
        </w:numPr>
        <w:spacing w:after="0" w:line="240" w:lineRule="auto"/>
        <w:ind w:left="1440" w:right="1440"/>
        <w:rPr>
          <w:rFonts w:ascii="Times New Roman" w:hAnsi="Times New Roman" w:cs="Times New Roman"/>
          <w:sz w:val="26"/>
          <w:szCs w:val="26"/>
        </w:rPr>
      </w:pPr>
      <w:r w:rsidRPr="002B5BA5">
        <w:rPr>
          <w:rFonts w:ascii="Times New Roman" w:hAnsi="Times New Roman" w:cs="Times New Roman"/>
          <w:sz w:val="26"/>
          <w:szCs w:val="26"/>
          <w:u w:val="single" w:color="000000"/>
        </w:rPr>
        <w:t>Refund of Security Deposits after Enrollment in LIURP or Low-Income EE&amp;C</w:t>
      </w:r>
      <w:r w:rsidRPr="002B5BA5">
        <w:rPr>
          <w:rFonts w:ascii="Times New Roman" w:hAnsi="Times New Roman" w:cs="Times New Roman"/>
          <w:sz w:val="26"/>
          <w:szCs w:val="26"/>
        </w:rPr>
        <w:t xml:space="preserve"> </w:t>
      </w:r>
      <w:r w:rsidRPr="002B5BA5">
        <w:rPr>
          <w:rFonts w:ascii="Times New Roman" w:hAnsi="Times New Roman" w:cs="Times New Roman"/>
          <w:sz w:val="26"/>
          <w:szCs w:val="26"/>
          <w:u w:val="single" w:color="000000"/>
        </w:rPr>
        <w:t>Programs</w:t>
      </w:r>
      <w:r w:rsidRPr="002B5BA5">
        <w:rPr>
          <w:rFonts w:ascii="Times New Roman" w:hAnsi="Times New Roman" w:cs="Times New Roman"/>
          <w:sz w:val="26"/>
          <w:szCs w:val="26"/>
        </w:rPr>
        <w:t xml:space="preserve">:  Upon a customer being enrolled in the Company’s Low-Income Usage Reduction Program (“LIURP”) or any low-income usage reduction program in the Company’s Energy Efficiency and Conservation Plan, and after weatherization services are completed, any and all remaining security deposits on the customers’ accounts will be refunded. </w:t>
      </w:r>
    </w:p>
    <w:p w14:paraId="3007EF51" w14:textId="77777777" w:rsidR="008B55D8" w:rsidRPr="002B5BA5" w:rsidRDefault="008B55D8" w:rsidP="008B55D8">
      <w:pPr>
        <w:spacing w:after="0" w:line="240" w:lineRule="auto"/>
        <w:ind w:left="2160" w:right="1440"/>
        <w:rPr>
          <w:rFonts w:ascii="Times New Roman" w:hAnsi="Times New Roman" w:cs="Times New Roman"/>
          <w:sz w:val="26"/>
          <w:szCs w:val="26"/>
        </w:rPr>
      </w:pPr>
    </w:p>
    <w:p w14:paraId="0EEE6468" w14:textId="02141EDD" w:rsidR="001015EC" w:rsidRDefault="008B55D8" w:rsidP="00D17C70">
      <w:pPr>
        <w:spacing w:after="0" w:line="240" w:lineRule="auto"/>
        <w:ind w:left="1440" w:right="1440"/>
        <w:jc w:val="both"/>
        <w:rPr>
          <w:rFonts w:ascii="Times New Roman" w:hAnsi="Times New Roman" w:cs="Times New Roman"/>
          <w:sz w:val="26"/>
          <w:szCs w:val="26"/>
        </w:rPr>
      </w:pPr>
      <w:r w:rsidRPr="008B55D8">
        <w:rPr>
          <w:rFonts w:ascii="Times New Roman" w:hAnsi="Times New Roman" w:cs="Times New Roman"/>
          <w:sz w:val="26"/>
          <w:szCs w:val="26"/>
        </w:rPr>
        <w:t>70.</w:t>
      </w:r>
      <w:r w:rsidRPr="008B55D8">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LIURP</w:t>
      </w:r>
      <w:r w:rsidR="001015EC" w:rsidRPr="002B5BA5">
        <w:rPr>
          <w:rFonts w:ascii="Times New Roman" w:hAnsi="Times New Roman" w:cs="Times New Roman"/>
          <w:sz w:val="26"/>
          <w:szCs w:val="26"/>
        </w:rPr>
        <w:t xml:space="preserve">: </w:t>
      </w:r>
    </w:p>
    <w:p w14:paraId="58F0B2F7" w14:textId="77777777" w:rsidR="00D948CB" w:rsidRPr="002B5BA5" w:rsidRDefault="00D948CB" w:rsidP="008B55D8">
      <w:pPr>
        <w:spacing w:after="0" w:line="240" w:lineRule="auto"/>
        <w:ind w:left="1440" w:right="1440" w:firstLine="720"/>
        <w:jc w:val="both"/>
        <w:rPr>
          <w:rFonts w:ascii="Times New Roman" w:hAnsi="Times New Roman" w:cs="Times New Roman"/>
          <w:sz w:val="26"/>
          <w:szCs w:val="26"/>
        </w:rPr>
      </w:pPr>
    </w:p>
    <w:p w14:paraId="6A8E9649" w14:textId="549368F0" w:rsidR="001015EC" w:rsidRDefault="00D948CB" w:rsidP="00D17C70">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LIURP spending will be increased commensurate with the percentage rate increase to the residential class resulting from this case; </w:t>
      </w:r>
    </w:p>
    <w:p w14:paraId="362DAB9C" w14:textId="77777777" w:rsidR="00D17C70" w:rsidRPr="002B5BA5" w:rsidRDefault="00D17C70" w:rsidP="00D17C70">
      <w:pPr>
        <w:spacing w:after="0" w:line="240" w:lineRule="auto"/>
        <w:ind w:left="2160" w:right="1440"/>
        <w:rPr>
          <w:rFonts w:ascii="Times New Roman" w:hAnsi="Times New Roman" w:cs="Times New Roman"/>
          <w:sz w:val="26"/>
          <w:szCs w:val="26"/>
        </w:rPr>
      </w:pPr>
    </w:p>
    <w:p w14:paraId="7B286AAC" w14:textId="450CEC3F" w:rsidR="001015EC" w:rsidRDefault="00D17C70" w:rsidP="00D17C70">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The Company will continue to use the CBOs it has traditionally utilized in the administration and implementation of its universal service programs; and </w:t>
      </w:r>
    </w:p>
    <w:p w14:paraId="1BD00A1A" w14:textId="77777777" w:rsidR="00D17C70" w:rsidRPr="002B5BA5" w:rsidRDefault="00D17C70" w:rsidP="00D17C70">
      <w:pPr>
        <w:spacing w:after="0" w:line="240" w:lineRule="auto"/>
        <w:ind w:left="2160" w:right="1440"/>
        <w:rPr>
          <w:rFonts w:ascii="Times New Roman" w:hAnsi="Times New Roman" w:cs="Times New Roman"/>
          <w:sz w:val="26"/>
          <w:szCs w:val="26"/>
        </w:rPr>
      </w:pPr>
    </w:p>
    <w:p w14:paraId="589147DC" w14:textId="2D91AFF6" w:rsidR="001015EC" w:rsidRDefault="00D17C70" w:rsidP="00D17C70">
      <w:pPr>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1015EC" w:rsidRPr="002B5BA5">
        <w:rPr>
          <w:rFonts w:ascii="Times New Roman" w:hAnsi="Times New Roman" w:cs="Times New Roman"/>
          <w:sz w:val="26"/>
          <w:szCs w:val="26"/>
        </w:rPr>
        <w:t xml:space="preserve">In regards to the large carryover of LIURP funding from 2020, the Company will increase the LIURP budgets of the CBOs that have the demonstrated capacity to do the additional work, i.e., CBOs that have fulfilled their past LIURP budgets and have the capacity for increased budgets. </w:t>
      </w:r>
    </w:p>
    <w:p w14:paraId="491828F0" w14:textId="77777777" w:rsidR="00D17C70" w:rsidRPr="002B5BA5" w:rsidRDefault="00D17C70" w:rsidP="00D17C70">
      <w:pPr>
        <w:spacing w:after="0" w:line="240" w:lineRule="auto"/>
        <w:ind w:left="2160" w:right="1440"/>
        <w:rPr>
          <w:rFonts w:ascii="Times New Roman" w:hAnsi="Times New Roman" w:cs="Times New Roman"/>
          <w:sz w:val="26"/>
          <w:szCs w:val="26"/>
        </w:rPr>
      </w:pPr>
    </w:p>
    <w:p w14:paraId="587EBB08" w14:textId="5B800733" w:rsidR="001015EC" w:rsidRDefault="00D17C70" w:rsidP="00D17C70">
      <w:pPr>
        <w:spacing w:after="0" w:line="240" w:lineRule="auto"/>
        <w:ind w:left="1440" w:right="1440"/>
        <w:rPr>
          <w:rFonts w:ascii="Times New Roman" w:hAnsi="Times New Roman" w:cs="Times New Roman"/>
          <w:sz w:val="26"/>
          <w:szCs w:val="26"/>
        </w:rPr>
      </w:pPr>
      <w:r w:rsidRPr="00D17C70">
        <w:rPr>
          <w:rFonts w:ascii="Times New Roman" w:hAnsi="Times New Roman" w:cs="Times New Roman"/>
          <w:sz w:val="26"/>
          <w:szCs w:val="26"/>
        </w:rPr>
        <w:t>71.</w:t>
      </w:r>
      <w:r w:rsidRPr="00D17C70">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Operation Share</w:t>
      </w:r>
      <w:r w:rsidR="001015EC" w:rsidRPr="002B5BA5">
        <w:rPr>
          <w:rFonts w:ascii="Times New Roman" w:hAnsi="Times New Roman" w:cs="Times New Roman"/>
          <w:sz w:val="26"/>
          <w:szCs w:val="26"/>
        </w:rPr>
        <w:t xml:space="preserve">:  The Company’s contribution to Operation Share will be increased commensurate with the percentage rate increase to the residential class resulting from this case. </w:t>
      </w:r>
    </w:p>
    <w:p w14:paraId="59A11C2C" w14:textId="77777777" w:rsidR="00D17C70" w:rsidRPr="002B5BA5" w:rsidRDefault="00D17C70" w:rsidP="00D17C70">
      <w:pPr>
        <w:spacing w:after="0" w:line="240" w:lineRule="auto"/>
        <w:ind w:left="1440" w:right="1440"/>
        <w:rPr>
          <w:rFonts w:ascii="Times New Roman" w:hAnsi="Times New Roman" w:cs="Times New Roman"/>
          <w:sz w:val="26"/>
          <w:szCs w:val="26"/>
        </w:rPr>
      </w:pPr>
    </w:p>
    <w:p w14:paraId="10DA0244" w14:textId="7EEA6602" w:rsidR="001015EC" w:rsidRPr="002B5BA5" w:rsidRDefault="00D17C70" w:rsidP="00D17C70">
      <w:pPr>
        <w:spacing w:after="0" w:line="240" w:lineRule="auto"/>
        <w:ind w:left="1440" w:right="1440"/>
        <w:jc w:val="both"/>
        <w:rPr>
          <w:rFonts w:ascii="Times New Roman" w:hAnsi="Times New Roman" w:cs="Times New Roman"/>
          <w:sz w:val="26"/>
          <w:szCs w:val="26"/>
        </w:rPr>
      </w:pPr>
      <w:r w:rsidRPr="00D17C70">
        <w:rPr>
          <w:rFonts w:ascii="Times New Roman" w:hAnsi="Times New Roman" w:cs="Times New Roman"/>
          <w:sz w:val="26"/>
          <w:szCs w:val="26"/>
        </w:rPr>
        <w:t>72.</w:t>
      </w:r>
      <w:r w:rsidRPr="00D17C70">
        <w:rPr>
          <w:rFonts w:ascii="Times New Roman" w:hAnsi="Times New Roman" w:cs="Times New Roman"/>
          <w:sz w:val="26"/>
          <w:szCs w:val="26"/>
        </w:rPr>
        <w:tab/>
      </w:r>
      <w:r w:rsidR="001015EC" w:rsidRPr="002B5BA5">
        <w:rPr>
          <w:rFonts w:ascii="Times New Roman" w:hAnsi="Times New Roman" w:cs="Times New Roman"/>
          <w:sz w:val="26"/>
          <w:szCs w:val="26"/>
          <w:u w:val="single" w:color="000000"/>
        </w:rPr>
        <w:t>Release of Previously Collected Security Deposits</w:t>
      </w:r>
      <w:r w:rsidR="001015EC" w:rsidRPr="002B5BA5">
        <w:rPr>
          <w:rFonts w:ascii="Times New Roman" w:hAnsi="Times New Roman" w:cs="Times New Roman"/>
          <w:sz w:val="26"/>
          <w:szCs w:val="26"/>
        </w:rPr>
        <w:t xml:space="preserve">:  On a monthly basis, UGI Electric will review currently held security deposits and will issue a bill credit or refund for any deposit previously collected from a confirmed low-income customer.  </w:t>
      </w:r>
    </w:p>
    <w:p w14:paraId="60D6F5B9" w14:textId="30271E78" w:rsidR="001D5B38" w:rsidRDefault="001D5B38" w:rsidP="001D5B38">
      <w:pPr>
        <w:spacing w:line="360" w:lineRule="auto"/>
        <w:contextualSpacing/>
        <w:rPr>
          <w:rFonts w:ascii="Times New Roman" w:hAnsi="Times New Roman" w:cs="Times New Roman"/>
          <w:sz w:val="26"/>
          <w:szCs w:val="26"/>
        </w:rPr>
      </w:pPr>
    </w:p>
    <w:p w14:paraId="67C8C193" w14:textId="19A0B70F" w:rsidR="001D5B38" w:rsidRDefault="008E1812" w:rsidP="001D5B38">
      <w:pPr>
        <w:spacing w:line="360" w:lineRule="auto"/>
        <w:contextualSpacing/>
        <w:rPr>
          <w:rFonts w:ascii="Times New Roman" w:hAnsi="Times New Roman" w:cs="Times New Roman"/>
          <w:sz w:val="26"/>
          <w:szCs w:val="26"/>
        </w:rPr>
      </w:pPr>
      <w:r>
        <w:rPr>
          <w:rFonts w:ascii="Times New Roman" w:hAnsi="Times New Roman" w:cs="Times New Roman"/>
          <w:sz w:val="26"/>
          <w:szCs w:val="26"/>
        </w:rPr>
        <w:t>Joint Petition</w:t>
      </w:r>
      <w:r w:rsidR="001D5B38">
        <w:rPr>
          <w:rFonts w:ascii="Times New Roman" w:hAnsi="Times New Roman" w:cs="Times New Roman"/>
          <w:sz w:val="26"/>
          <w:szCs w:val="26"/>
        </w:rPr>
        <w:t xml:space="preserve"> at 7-17.</w:t>
      </w:r>
    </w:p>
    <w:p w14:paraId="3E5A7432" w14:textId="77777777" w:rsidR="001D5B38" w:rsidRPr="002B5BA5" w:rsidRDefault="001D5B38" w:rsidP="008E5644">
      <w:pPr>
        <w:spacing w:line="360" w:lineRule="auto"/>
        <w:contextualSpacing/>
        <w:rPr>
          <w:rFonts w:ascii="Times New Roman" w:hAnsi="Times New Roman" w:cs="Times New Roman"/>
          <w:sz w:val="26"/>
          <w:szCs w:val="26"/>
        </w:rPr>
      </w:pPr>
    </w:p>
    <w:p w14:paraId="090E8633" w14:textId="3E59F9E1" w:rsidR="0096688B" w:rsidRPr="00496081" w:rsidRDefault="00732BCB"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In addition to the specific terms to which the Joint Petitioners have agreed, the Settlement contains </w:t>
      </w:r>
      <w:r w:rsidR="0083542A" w:rsidRPr="00496081">
        <w:rPr>
          <w:rFonts w:ascii="Times New Roman" w:hAnsi="Times New Roman" w:cs="Times New Roman"/>
          <w:sz w:val="26"/>
          <w:szCs w:val="26"/>
        </w:rPr>
        <w:t>other general terms and conditions typically found in settlements submitted to the Commission</w:t>
      </w:r>
      <w:r w:rsidRPr="00496081">
        <w:rPr>
          <w:rFonts w:ascii="Times New Roman" w:hAnsi="Times New Roman" w:cs="Times New Roman"/>
          <w:sz w:val="26"/>
          <w:szCs w:val="26"/>
        </w:rPr>
        <w:t xml:space="preserve">.  </w:t>
      </w:r>
      <w:r w:rsidR="0083542A" w:rsidRPr="00496081">
        <w:rPr>
          <w:rFonts w:ascii="Times New Roman" w:hAnsi="Times New Roman" w:cs="Times New Roman"/>
          <w:sz w:val="26"/>
          <w:szCs w:val="26"/>
        </w:rPr>
        <w:t>Specifically, the Joint Petitioners</w:t>
      </w:r>
      <w:r w:rsidRPr="00496081">
        <w:rPr>
          <w:rFonts w:ascii="Times New Roman" w:hAnsi="Times New Roman" w:cs="Times New Roman"/>
          <w:sz w:val="26"/>
          <w:szCs w:val="26"/>
        </w:rPr>
        <w:t xml:space="preserve"> </w:t>
      </w:r>
      <w:r w:rsidR="0083542A" w:rsidRPr="00496081">
        <w:rPr>
          <w:rFonts w:ascii="Times New Roman" w:hAnsi="Times New Roman" w:cs="Times New Roman"/>
          <w:sz w:val="26"/>
          <w:szCs w:val="26"/>
        </w:rPr>
        <w:t xml:space="preserve">agreed that the </w:t>
      </w:r>
      <w:r w:rsidRPr="00496081">
        <w:rPr>
          <w:rFonts w:ascii="Times New Roman" w:hAnsi="Times New Roman" w:cs="Times New Roman"/>
          <w:sz w:val="26"/>
          <w:szCs w:val="26"/>
        </w:rPr>
        <w:t xml:space="preserve">Settlement is conditioned upon the Commission’s approval of all the terms and conditions contained therein without modification.  The </w:t>
      </w:r>
      <w:r w:rsidR="0083542A" w:rsidRPr="00496081">
        <w:rPr>
          <w:rFonts w:ascii="Times New Roman" w:hAnsi="Times New Roman" w:cs="Times New Roman"/>
          <w:sz w:val="26"/>
          <w:szCs w:val="26"/>
        </w:rPr>
        <w:t>Joint Petition</w:t>
      </w:r>
      <w:r w:rsidRPr="00496081">
        <w:rPr>
          <w:rFonts w:ascii="Times New Roman" w:hAnsi="Times New Roman" w:cs="Times New Roman"/>
          <w:sz w:val="26"/>
          <w:szCs w:val="26"/>
        </w:rPr>
        <w:t xml:space="preserve"> establishes the procedure by which any of the Joint Petitioners may withdraw from the Settlement and proceed to litigate this case if the Commission should act to modify </w:t>
      </w:r>
      <w:r w:rsidR="00D86764" w:rsidRPr="00496081">
        <w:rPr>
          <w:rFonts w:ascii="Times New Roman" w:hAnsi="Times New Roman" w:cs="Times New Roman"/>
          <w:sz w:val="26"/>
          <w:szCs w:val="26"/>
        </w:rPr>
        <w:t xml:space="preserve">or reject </w:t>
      </w:r>
      <w:r w:rsidRPr="00496081">
        <w:rPr>
          <w:rFonts w:ascii="Times New Roman" w:hAnsi="Times New Roman" w:cs="Times New Roman"/>
          <w:sz w:val="26"/>
          <w:szCs w:val="26"/>
        </w:rPr>
        <w:t xml:space="preserve">the </w:t>
      </w:r>
      <w:r w:rsidR="00D86764" w:rsidRPr="00496081">
        <w:rPr>
          <w:rFonts w:ascii="Times New Roman" w:hAnsi="Times New Roman" w:cs="Times New Roman"/>
          <w:sz w:val="26"/>
          <w:szCs w:val="26"/>
        </w:rPr>
        <w:t xml:space="preserve">Settlement.  </w:t>
      </w:r>
      <w:r w:rsidR="00584E5F">
        <w:rPr>
          <w:rFonts w:ascii="Times New Roman" w:hAnsi="Times New Roman" w:cs="Times New Roman"/>
          <w:sz w:val="26"/>
          <w:szCs w:val="26"/>
        </w:rPr>
        <w:t>Additionally</w:t>
      </w:r>
      <w:r w:rsidR="00D24D21" w:rsidRPr="00496081">
        <w:rPr>
          <w:rFonts w:ascii="Times New Roman" w:hAnsi="Times New Roman" w:cs="Times New Roman"/>
          <w:sz w:val="26"/>
          <w:szCs w:val="26"/>
        </w:rPr>
        <w:t>, the Joint Petitioners submit</w:t>
      </w:r>
      <w:r w:rsidR="00CE34F4" w:rsidRPr="00496081">
        <w:rPr>
          <w:rFonts w:ascii="Times New Roman" w:hAnsi="Times New Roman" w:cs="Times New Roman"/>
          <w:sz w:val="26"/>
          <w:szCs w:val="26"/>
        </w:rPr>
        <w:t>ted</w:t>
      </w:r>
      <w:r w:rsidR="00D24D21" w:rsidRPr="00496081">
        <w:rPr>
          <w:rFonts w:ascii="Times New Roman" w:hAnsi="Times New Roman" w:cs="Times New Roman"/>
          <w:sz w:val="26"/>
          <w:szCs w:val="26"/>
        </w:rPr>
        <w:t xml:space="preserve"> that the Settlement is made without</w:t>
      </w:r>
      <w:r w:rsidR="00D86764" w:rsidRPr="00496081">
        <w:rPr>
          <w:rFonts w:ascii="Times New Roman" w:hAnsi="Times New Roman" w:cs="Times New Roman"/>
          <w:sz w:val="26"/>
          <w:szCs w:val="26"/>
        </w:rPr>
        <w:t xml:space="preserve"> any </w:t>
      </w:r>
      <w:r w:rsidR="0096688B" w:rsidRPr="00496081">
        <w:rPr>
          <w:rFonts w:ascii="Times New Roman" w:hAnsi="Times New Roman" w:cs="Times New Roman"/>
          <w:sz w:val="26"/>
          <w:szCs w:val="26"/>
        </w:rPr>
        <w:t>admission</w:t>
      </w:r>
      <w:r w:rsidR="00D86764" w:rsidRPr="00496081">
        <w:rPr>
          <w:rFonts w:ascii="Times New Roman" w:hAnsi="Times New Roman" w:cs="Times New Roman"/>
          <w:sz w:val="26"/>
          <w:szCs w:val="26"/>
        </w:rPr>
        <w:t xml:space="preserve"> against, or prejudice to, any position which any of the Joint Petitioners</w:t>
      </w:r>
      <w:r w:rsidR="00D24D21" w:rsidRPr="00496081">
        <w:rPr>
          <w:rFonts w:ascii="Times New Roman" w:hAnsi="Times New Roman" w:cs="Times New Roman"/>
          <w:sz w:val="26"/>
          <w:szCs w:val="26"/>
        </w:rPr>
        <w:t xml:space="preserve"> might adopt in </w:t>
      </w:r>
      <w:r w:rsidR="003F5352">
        <w:rPr>
          <w:rFonts w:ascii="Times New Roman" w:hAnsi="Times New Roman" w:cs="Times New Roman"/>
          <w:sz w:val="26"/>
          <w:szCs w:val="26"/>
        </w:rPr>
        <w:t xml:space="preserve">any subsequent litigation of this proceeding or in </w:t>
      </w:r>
      <w:r w:rsidR="00D24D21" w:rsidRPr="00496081">
        <w:rPr>
          <w:rFonts w:ascii="Times New Roman" w:hAnsi="Times New Roman" w:cs="Times New Roman"/>
          <w:sz w:val="26"/>
          <w:szCs w:val="26"/>
        </w:rPr>
        <w:t>future proceedings</w:t>
      </w:r>
      <w:r w:rsidR="00D86764" w:rsidRPr="00496081">
        <w:rPr>
          <w:rFonts w:ascii="Times New Roman" w:hAnsi="Times New Roman" w:cs="Times New Roman"/>
          <w:sz w:val="26"/>
          <w:szCs w:val="26"/>
        </w:rPr>
        <w:t xml:space="preserve">.  </w:t>
      </w:r>
      <w:r w:rsidR="003F5352">
        <w:rPr>
          <w:rFonts w:ascii="Times New Roman" w:hAnsi="Times New Roman" w:cs="Times New Roman"/>
          <w:sz w:val="26"/>
          <w:szCs w:val="26"/>
        </w:rPr>
        <w:t xml:space="preserve">Joint Petition at 18.  </w:t>
      </w:r>
      <w:r w:rsidR="00955321" w:rsidRPr="00496081">
        <w:rPr>
          <w:rFonts w:ascii="Times New Roman" w:hAnsi="Times New Roman" w:cs="Times New Roman"/>
          <w:sz w:val="26"/>
          <w:szCs w:val="26"/>
        </w:rPr>
        <w:t>Moreover</w:t>
      </w:r>
      <w:r w:rsidR="0096688B" w:rsidRPr="00496081">
        <w:rPr>
          <w:rFonts w:ascii="Times New Roman" w:hAnsi="Times New Roman" w:cs="Times New Roman"/>
          <w:sz w:val="26"/>
          <w:szCs w:val="26"/>
        </w:rPr>
        <w:t xml:space="preserve">, </w:t>
      </w:r>
      <w:r w:rsidR="0083542A" w:rsidRPr="00496081">
        <w:rPr>
          <w:rFonts w:ascii="Times New Roman" w:hAnsi="Times New Roman" w:cs="Times New Roman"/>
          <w:sz w:val="26"/>
          <w:szCs w:val="26"/>
        </w:rPr>
        <w:t xml:space="preserve">the Joint Petitioners waived their right to </w:t>
      </w:r>
      <w:r w:rsidR="0083542A" w:rsidRPr="00496081">
        <w:rPr>
          <w:rFonts w:ascii="Times New Roman" w:hAnsi="Times New Roman" w:cs="Times New Roman"/>
          <w:sz w:val="26"/>
          <w:szCs w:val="26"/>
        </w:rPr>
        <w:lastRenderedPageBreak/>
        <w:t xml:space="preserve">file Exceptions in this case </w:t>
      </w:r>
      <w:r w:rsidR="006F76E2" w:rsidRPr="00496081">
        <w:rPr>
          <w:rFonts w:ascii="Times New Roman" w:hAnsi="Times New Roman" w:cs="Times New Roman"/>
          <w:sz w:val="26"/>
          <w:szCs w:val="26"/>
        </w:rPr>
        <w:t>i</w:t>
      </w:r>
      <w:r w:rsidR="0083542A" w:rsidRPr="00496081">
        <w:rPr>
          <w:rFonts w:ascii="Times New Roman" w:hAnsi="Times New Roman" w:cs="Times New Roman"/>
          <w:sz w:val="26"/>
          <w:szCs w:val="26"/>
        </w:rPr>
        <w:t xml:space="preserve">f the ALJ recommended </w:t>
      </w:r>
      <w:r w:rsidR="001A2831">
        <w:rPr>
          <w:rFonts w:ascii="Times New Roman" w:hAnsi="Times New Roman" w:cs="Times New Roman"/>
          <w:sz w:val="26"/>
          <w:szCs w:val="26"/>
        </w:rPr>
        <w:t xml:space="preserve">that </w:t>
      </w:r>
      <w:r w:rsidR="0083542A" w:rsidRPr="00496081">
        <w:rPr>
          <w:rFonts w:ascii="Times New Roman" w:hAnsi="Times New Roman" w:cs="Times New Roman"/>
          <w:sz w:val="26"/>
          <w:szCs w:val="26"/>
        </w:rPr>
        <w:t xml:space="preserve">the Commission adopt the Settlement </w:t>
      </w:r>
      <w:r w:rsidR="001A2831">
        <w:rPr>
          <w:rFonts w:ascii="Times New Roman" w:hAnsi="Times New Roman" w:cs="Times New Roman"/>
          <w:sz w:val="26"/>
          <w:szCs w:val="26"/>
        </w:rPr>
        <w:t>without modification</w:t>
      </w:r>
      <w:r w:rsidR="0083542A" w:rsidRPr="00496081">
        <w:rPr>
          <w:rFonts w:ascii="Times New Roman" w:hAnsi="Times New Roman" w:cs="Times New Roman"/>
          <w:sz w:val="26"/>
          <w:szCs w:val="26"/>
        </w:rPr>
        <w:t xml:space="preserve">.  </w:t>
      </w:r>
      <w:r w:rsidR="001A2831" w:rsidRPr="001A2831">
        <w:rPr>
          <w:rFonts w:ascii="Times New Roman" w:hAnsi="Times New Roman" w:cs="Times New Roman"/>
          <w:i/>
          <w:iCs/>
          <w:sz w:val="26"/>
          <w:szCs w:val="26"/>
        </w:rPr>
        <w:t>Id</w:t>
      </w:r>
      <w:r w:rsidR="001A2831">
        <w:rPr>
          <w:rFonts w:ascii="Times New Roman" w:hAnsi="Times New Roman" w:cs="Times New Roman"/>
          <w:sz w:val="26"/>
          <w:szCs w:val="26"/>
        </w:rPr>
        <w:t xml:space="preserve">. at 19.  </w:t>
      </w:r>
    </w:p>
    <w:p w14:paraId="0D3F0F39" w14:textId="77777777" w:rsidR="00B43A4E" w:rsidRPr="00496081" w:rsidRDefault="00B43A4E" w:rsidP="00496081">
      <w:pPr>
        <w:spacing w:line="360" w:lineRule="auto"/>
        <w:ind w:firstLine="1440"/>
        <w:contextualSpacing/>
        <w:rPr>
          <w:rFonts w:ascii="Times New Roman" w:hAnsi="Times New Roman" w:cs="Times New Roman"/>
          <w:sz w:val="26"/>
          <w:szCs w:val="26"/>
        </w:rPr>
      </w:pPr>
    </w:p>
    <w:p w14:paraId="4737B621" w14:textId="3EFEB313" w:rsidR="00B43A4E" w:rsidRPr="00496081" w:rsidRDefault="00B43A4E" w:rsidP="00496081">
      <w:pPr>
        <w:keepNext/>
        <w:keepLines/>
        <w:spacing w:line="360" w:lineRule="auto"/>
        <w:ind w:left="1440" w:hanging="720"/>
        <w:contextualSpacing/>
        <w:rPr>
          <w:rFonts w:ascii="Times New Roman" w:hAnsi="Times New Roman" w:cs="Times New Roman"/>
          <w:sz w:val="26"/>
          <w:szCs w:val="26"/>
        </w:rPr>
      </w:pPr>
      <w:r w:rsidRPr="00496081">
        <w:rPr>
          <w:rFonts w:ascii="Times New Roman" w:hAnsi="Times New Roman" w:cs="Times New Roman"/>
          <w:b/>
          <w:sz w:val="26"/>
          <w:szCs w:val="26"/>
        </w:rPr>
        <w:t>2.</w:t>
      </w:r>
      <w:r w:rsidRPr="00496081">
        <w:rPr>
          <w:rFonts w:ascii="Times New Roman" w:hAnsi="Times New Roman" w:cs="Times New Roman"/>
          <w:b/>
          <w:sz w:val="26"/>
          <w:szCs w:val="26"/>
        </w:rPr>
        <w:tab/>
        <w:t>Statements in Support</w:t>
      </w:r>
      <w:r w:rsidR="007B042C" w:rsidRPr="00496081">
        <w:rPr>
          <w:rFonts w:ascii="Times New Roman" w:hAnsi="Times New Roman" w:cs="Times New Roman"/>
          <w:b/>
          <w:sz w:val="26"/>
          <w:szCs w:val="26"/>
        </w:rPr>
        <w:t xml:space="preserve"> of the Settlement</w:t>
      </w:r>
      <w:r w:rsidR="009A381C">
        <w:rPr>
          <w:rStyle w:val="FootnoteReference"/>
          <w:rFonts w:ascii="Times New Roman" w:hAnsi="Times New Roman" w:cs="Times New Roman"/>
          <w:b/>
          <w:sz w:val="26"/>
          <w:szCs w:val="26"/>
        </w:rPr>
        <w:footnoteReference w:id="2"/>
      </w:r>
    </w:p>
    <w:p w14:paraId="3F52E136" w14:textId="77777777" w:rsidR="00B43A4E" w:rsidRPr="00496081" w:rsidRDefault="00B43A4E" w:rsidP="00496081">
      <w:pPr>
        <w:keepNext/>
        <w:keepLines/>
        <w:spacing w:line="360" w:lineRule="auto"/>
        <w:contextualSpacing/>
        <w:rPr>
          <w:rFonts w:ascii="Times New Roman" w:hAnsi="Times New Roman" w:cs="Times New Roman"/>
          <w:sz w:val="26"/>
          <w:szCs w:val="26"/>
        </w:rPr>
      </w:pPr>
    </w:p>
    <w:p w14:paraId="6996AA8F" w14:textId="27B9DA1D" w:rsidR="00B43A4E" w:rsidRPr="00496081" w:rsidRDefault="00B43A4E" w:rsidP="00496081">
      <w:pPr>
        <w:keepNext/>
        <w:keepLines/>
        <w:spacing w:line="360" w:lineRule="auto"/>
        <w:ind w:left="2160" w:hanging="720"/>
        <w:contextualSpacing/>
        <w:rPr>
          <w:rFonts w:ascii="Times New Roman" w:hAnsi="Times New Roman" w:cs="Times New Roman"/>
          <w:b/>
          <w:sz w:val="26"/>
          <w:szCs w:val="26"/>
        </w:rPr>
      </w:pPr>
      <w:r w:rsidRPr="00496081">
        <w:rPr>
          <w:rFonts w:ascii="Times New Roman" w:hAnsi="Times New Roman" w:cs="Times New Roman"/>
          <w:b/>
          <w:sz w:val="26"/>
          <w:szCs w:val="26"/>
        </w:rPr>
        <w:t>a.</w:t>
      </w:r>
      <w:r w:rsidRPr="00496081">
        <w:rPr>
          <w:rFonts w:ascii="Times New Roman" w:hAnsi="Times New Roman" w:cs="Times New Roman"/>
          <w:b/>
          <w:sz w:val="26"/>
          <w:szCs w:val="26"/>
        </w:rPr>
        <w:tab/>
      </w:r>
      <w:r w:rsidR="006A4CA2">
        <w:rPr>
          <w:rFonts w:ascii="Times New Roman" w:hAnsi="Times New Roman" w:cs="Times New Roman"/>
          <w:b/>
          <w:sz w:val="26"/>
          <w:szCs w:val="26"/>
        </w:rPr>
        <w:t>UGI Electric</w:t>
      </w:r>
    </w:p>
    <w:p w14:paraId="541A16E6" w14:textId="34352A43" w:rsidR="00B43A4E" w:rsidRDefault="00B43A4E" w:rsidP="00741783">
      <w:pPr>
        <w:spacing w:line="360" w:lineRule="auto"/>
        <w:ind w:firstLine="1440"/>
        <w:contextualSpacing/>
        <w:rPr>
          <w:rFonts w:ascii="Times New Roman" w:hAnsi="Times New Roman" w:cs="Times New Roman"/>
          <w:sz w:val="26"/>
          <w:szCs w:val="26"/>
        </w:rPr>
      </w:pPr>
    </w:p>
    <w:p w14:paraId="205471F1" w14:textId="77777777" w:rsidR="000B6158" w:rsidRDefault="00730D62" w:rsidP="00741783">
      <w:pPr>
        <w:spacing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UGI Electric states that the </w:t>
      </w:r>
      <w:r w:rsidR="00A93BD7">
        <w:rPr>
          <w:rFonts w:ascii="Times New Roman" w:hAnsi="Times New Roman" w:cs="Times New Roman"/>
          <w:sz w:val="26"/>
          <w:szCs w:val="26"/>
        </w:rPr>
        <w:t xml:space="preserve">agreed-upon </w:t>
      </w:r>
      <w:r w:rsidR="003D54FC">
        <w:rPr>
          <w:rFonts w:ascii="Times New Roman" w:hAnsi="Times New Roman" w:cs="Times New Roman"/>
          <w:sz w:val="26"/>
          <w:szCs w:val="26"/>
        </w:rPr>
        <w:t xml:space="preserve">revenue allocation provides movement toward cost of service </w:t>
      </w:r>
      <w:r w:rsidR="0065490D">
        <w:rPr>
          <w:rFonts w:ascii="Times New Roman" w:hAnsi="Times New Roman" w:cs="Times New Roman"/>
          <w:sz w:val="26"/>
          <w:szCs w:val="26"/>
        </w:rPr>
        <w:t xml:space="preserve">for all rate classes under the Company’s class cost of service study.  </w:t>
      </w:r>
      <w:r w:rsidR="00DC7931">
        <w:rPr>
          <w:rFonts w:ascii="Times New Roman" w:hAnsi="Times New Roman" w:cs="Times New Roman"/>
          <w:sz w:val="26"/>
          <w:szCs w:val="26"/>
        </w:rPr>
        <w:t xml:space="preserve">Thus, UGI Electric submits that the Settlement’s proposed </w:t>
      </w:r>
      <w:r w:rsidR="00B21E3D">
        <w:rPr>
          <w:rFonts w:ascii="Times New Roman" w:hAnsi="Times New Roman" w:cs="Times New Roman"/>
          <w:sz w:val="26"/>
          <w:szCs w:val="26"/>
        </w:rPr>
        <w:t xml:space="preserve">revenue allocation is consistent with </w:t>
      </w:r>
      <w:r w:rsidR="00807288">
        <w:rPr>
          <w:rFonts w:ascii="Times New Roman" w:hAnsi="Times New Roman" w:cs="Times New Roman"/>
          <w:i/>
          <w:iCs/>
          <w:sz w:val="26"/>
          <w:szCs w:val="26"/>
        </w:rPr>
        <w:t>Lloyd v. Pa. PUC</w:t>
      </w:r>
      <w:r w:rsidR="00807288">
        <w:rPr>
          <w:rFonts w:ascii="Times New Roman" w:hAnsi="Times New Roman" w:cs="Times New Roman"/>
          <w:sz w:val="26"/>
          <w:szCs w:val="26"/>
        </w:rPr>
        <w:t>, 904 A.2d 1010</w:t>
      </w:r>
      <w:r w:rsidR="00155A2C">
        <w:rPr>
          <w:rFonts w:ascii="Times New Roman" w:hAnsi="Times New Roman" w:cs="Times New Roman"/>
          <w:sz w:val="26"/>
          <w:szCs w:val="26"/>
        </w:rPr>
        <w:t xml:space="preserve"> (Pa. Cmwlth. 2006) (</w:t>
      </w:r>
      <w:r w:rsidR="00155A2C" w:rsidRPr="00155A2C">
        <w:rPr>
          <w:rFonts w:ascii="Times New Roman" w:hAnsi="Times New Roman" w:cs="Times New Roman"/>
          <w:i/>
          <w:iCs/>
          <w:sz w:val="26"/>
          <w:szCs w:val="26"/>
        </w:rPr>
        <w:t>Lloyd</w:t>
      </w:r>
      <w:r w:rsidR="00155A2C">
        <w:rPr>
          <w:rFonts w:ascii="Times New Roman" w:hAnsi="Times New Roman" w:cs="Times New Roman"/>
          <w:sz w:val="26"/>
          <w:szCs w:val="26"/>
        </w:rPr>
        <w:t>)</w:t>
      </w:r>
      <w:r w:rsidR="002E3F0C">
        <w:rPr>
          <w:rFonts w:ascii="Times New Roman" w:hAnsi="Times New Roman" w:cs="Times New Roman"/>
          <w:sz w:val="26"/>
          <w:szCs w:val="26"/>
        </w:rPr>
        <w:t xml:space="preserve"> and other appellate court precedent </w:t>
      </w:r>
      <w:r w:rsidR="00151DD1">
        <w:rPr>
          <w:rFonts w:ascii="Times New Roman" w:hAnsi="Times New Roman" w:cs="Times New Roman"/>
          <w:sz w:val="26"/>
          <w:szCs w:val="26"/>
        </w:rPr>
        <w:t xml:space="preserve">regarding revenue allocation.  UGI Electric Statement in Support at </w:t>
      </w:r>
      <w:r w:rsidR="001524C8">
        <w:rPr>
          <w:rFonts w:ascii="Times New Roman" w:hAnsi="Times New Roman" w:cs="Times New Roman"/>
          <w:sz w:val="26"/>
          <w:szCs w:val="26"/>
        </w:rPr>
        <w:t>7-8.</w:t>
      </w:r>
      <w:r w:rsidR="008E23B3">
        <w:rPr>
          <w:rFonts w:ascii="Times New Roman" w:hAnsi="Times New Roman" w:cs="Times New Roman"/>
          <w:sz w:val="26"/>
          <w:szCs w:val="26"/>
        </w:rPr>
        <w:t xml:space="preserve">  Similarly, UGI Electric avers that the overall rate design reflects </w:t>
      </w:r>
      <w:r w:rsidR="00752001">
        <w:rPr>
          <w:rFonts w:ascii="Times New Roman" w:hAnsi="Times New Roman" w:cs="Times New Roman"/>
          <w:sz w:val="26"/>
          <w:szCs w:val="26"/>
        </w:rPr>
        <w:t xml:space="preserve">a gradual increase in rates over the course of the FPFTY, moves all customer </w:t>
      </w:r>
      <w:r w:rsidR="00846E00">
        <w:rPr>
          <w:rFonts w:ascii="Times New Roman" w:hAnsi="Times New Roman" w:cs="Times New Roman"/>
          <w:sz w:val="26"/>
          <w:szCs w:val="26"/>
        </w:rPr>
        <w:t xml:space="preserve">classes toward </w:t>
      </w:r>
      <w:r w:rsidR="000F21D3">
        <w:rPr>
          <w:rFonts w:ascii="Times New Roman" w:hAnsi="Times New Roman" w:cs="Times New Roman"/>
          <w:sz w:val="26"/>
          <w:szCs w:val="26"/>
        </w:rPr>
        <w:t>the overall cost of service</w:t>
      </w:r>
      <w:r w:rsidR="005D1CF0">
        <w:rPr>
          <w:rFonts w:ascii="Times New Roman" w:hAnsi="Times New Roman" w:cs="Times New Roman"/>
          <w:sz w:val="26"/>
          <w:szCs w:val="26"/>
        </w:rPr>
        <w:t xml:space="preserve">, and strikes a reasonable balance between </w:t>
      </w:r>
      <w:r w:rsidR="00FD0EEC">
        <w:rPr>
          <w:rFonts w:ascii="Times New Roman" w:hAnsi="Times New Roman" w:cs="Times New Roman"/>
          <w:sz w:val="26"/>
          <w:szCs w:val="26"/>
        </w:rPr>
        <w:t xml:space="preserve">the interests of consumers and the Company.  UGI Electric Statement in Support at 10.  </w:t>
      </w:r>
    </w:p>
    <w:p w14:paraId="4757F860" w14:textId="77777777" w:rsidR="000B6158" w:rsidRDefault="000B6158" w:rsidP="00741783">
      <w:pPr>
        <w:spacing w:line="360" w:lineRule="auto"/>
        <w:ind w:firstLine="1440"/>
        <w:contextualSpacing/>
        <w:rPr>
          <w:rFonts w:ascii="Times New Roman" w:hAnsi="Times New Roman" w:cs="Times New Roman"/>
          <w:sz w:val="26"/>
          <w:szCs w:val="26"/>
        </w:rPr>
      </w:pPr>
    </w:p>
    <w:p w14:paraId="769B5ED3" w14:textId="190DCC09" w:rsidR="004C3348" w:rsidRPr="00EA490E" w:rsidRDefault="000B6158" w:rsidP="00D0653E">
      <w:pPr>
        <w:spacing w:after="0" w:line="360" w:lineRule="auto"/>
        <w:ind w:firstLine="1440"/>
        <w:rPr>
          <w:rFonts w:ascii="Times New Roman" w:hAnsi="Times New Roman" w:cs="Times New Roman"/>
          <w:sz w:val="26"/>
          <w:szCs w:val="26"/>
        </w:rPr>
      </w:pPr>
      <w:r w:rsidRPr="00EA490E">
        <w:rPr>
          <w:rFonts w:ascii="Times New Roman" w:hAnsi="Times New Roman" w:cs="Times New Roman"/>
          <w:sz w:val="26"/>
          <w:szCs w:val="26"/>
        </w:rPr>
        <w:t>UGI Electric also discusse</w:t>
      </w:r>
      <w:r w:rsidR="00277201" w:rsidRPr="00EA490E">
        <w:rPr>
          <w:rFonts w:ascii="Times New Roman" w:hAnsi="Times New Roman" w:cs="Times New Roman"/>
          <w:sz w:val="26"/>
          <w:szCs w:val="26"/>
        </w:rPr>
        <w:t>d</w:t>
      </w:r>
      <w:r w:rsidRPr="00EA490E">
        <w:rPr>
          <w:rFonts w:ascii="Times New Roman" w:hAnsi="Times New Roman" w:cs="Times New Roman"/>
          <w:sz w:val="26"/>
          <w:szCs w:val="26"/>
        </w:rPr>
        <w:t xml:space="preserve"> </w:t>
      </w:r>
      <w:r w:rsidR="005B2F30" w:rsidRPr="00EA490E">
        <w:rPr>
          <w:rFonts w:ascii="Times New Roman" w:hAnsi="Times New Roman" w:cs="Times New Roman"/>
          <w:sz w:val="26"/>
          <w:szCs w:val="26"/>
        </w:rPr>
        <w:t xml:space="preserve">its battery storage proposal.  </w:t>
      </w:r>
      <w:r w:rsidR="005A0A00" w:rsidRPr="00EA490E">
        <w:rPr>
          <w:rFonts w:ascii="Times New Roman" w:hAnsi="Times New Roman" w:cs="Times New Roman"/>
          <w:sz w:val="26"/>
          <w:szCs w:val="26"/>
        </w:rPr>
        <w:t>UGI Electric proposed to install and interconnect a utility-owned, small</w:t>
      </w:r>
      <w:r w:rsidR="00D0653E">
        <w:rPr>
          <w:rFonts w:ascii="Times New Roman" w:hAnsi="Times New Roman" w:cs="Times New Roman"/>
          <w:sz w:val="26"/>
          <w:szCs w:val="26"/>
        </w:rPr>
        <w:t>-</w:t>
      </w:r>
      <w:r w:rsidR="005A0A00" w:rsidRPr="00EA490E">
        <w:rPr>
          <w:rFonts w:ascii="Times New Roman" w:hAnsi="Times New Roman" w:cs="Times New Roman"/>
          <w:sz w:val="26"/>
          <w:szCs w:val="26"/>
        </w:rPr>
        <w:t>scale, 1.25 MWh battery storage system as a targeted means to enhance resiliency and improve reliability on a worst performing distribution circuit located in Wapwallopen, P</w:t>
      </w:r>
      <w:r w:rsidR="002D4DCD">
        <w:rPr>
          <w:rFonts w:ascii="Times New Roman" w:hAnsi="Times New Roman" w:cs="Times New Roman"/>
          <w:sz w:val="26"/>
          <w:szCs w:val="26"/>
        </w:rPr>
        <w:t>ennsylvania</w:t>
      </w:r>
      <w:r w:rsidR="005A0A00" w:rsidRPr="00EA490E">
        <w:rPr>
          <w:rFonts w:ascii="Times New Roman" w:hAnsi="Times New Roman" w:cs="Times New Roman"/>
          <w:sz w:val="26"/>
          <w:szCs w:val="26"/>
        </w:rPr>
        <w:t xml:space="preserve">: the Ruckle Hill Road distribution circuit. </w:t>
      </w:r>
      <w:r w:rsidR="008054AC">
        <w:rPr>
          <w:rFonts w:ascii="Times New Roman" w:hAnsi="Times New Roman" w:cs="Times New Roman"/>
          <w:sz w:val="26"/>
          <w:szCs w:val="26"/>
        </w:rPr>
        <w:t xml:space="preserve"> </w:t>
      </w:r>
      <w:r w:rsidR="007C1131" w:rsidRPr="007C1131">
        <w:rPr>
          <w:rFonts w:ascii="Times New Roman" w:hAnsi="Times New Roman" w:cs="Times New Roman"/>
          <w:i/>
          <w:iCs/>
          <w:sz w:val="26"/>
          <w:szCs w:val="26"/>
        </w:rPr>
        <w:t>Id</w:t>
      </w:r>
      <w:r w:rsidR="007C1131">
        <w:rPr>
          <w:rFonts w:ascii="Times New Roman" w:hAnsi="Times New Roman" w:cs="Times New Roman"/>
          <w:sz w:val="26"/>
          <w:szCs w:val="26"/>
        </w:rPr>
        <w:t>.</w:t>
      </w:r>
      <w:r w:rsidR="008054AC">
        <w:rPr>
          <w:rFonts w:ascii="Times New Roman" w:hAnsi="Times New Roman" w:cs="Times New Roman"/>
          <w:sz w:val="26"/>
          <w:szCs w:val="26"/>
        </w:rPr>
        <w:t xml:space="preserve"> at 10; </w:t>
      </w:r>
      <w:r w:rsidR="005A0A00" w:rsidRPr="00EA490E">
        <w:rPr>
          <w:rFonts w:ascii="Times New Roman" w:hAnsi="Times New Roman" w:cs="Times New Roman"/>
          <w:sz w:val="26"/>
          <w:szCs w:val="26"/>
        </w:rPr>
        <w:t>UGI Electric St. 3</w:t>
      </w:r>
      <w:r w:rsidR="008054AC">
        <w:rPr>
          <w:rFonts w:ascii="Times New Roman" w:hAnsi="Times New Roman" w:cs="Times New Roman"/>
          <w:sz w:val="26"/>
          <w:szCs w:val="26"/>
        </w:rPr>
        <w:t xml:space="preserve"> at</w:t>
      </w:r>
      <w:r w:rsidR="005A0A00" w:rsidRPr="00EA490E">
        <w:rPr>
          <w:rFonts w:ascii="Times New Roman" w:hAnsi="Times New Roman" w:cs="Times New Roman"/>
          <w:sz w:val="26"/>
          <w:szCs w:val="26"/>
        </w:rPr>
        <w:t xml:space="preserve"> 24, 26; UGI Electric St. 3-R</w:t>
      </w:r>
      <w:r w:rsidR="000370EC">
        <w:rPr>
          <w:rFonts w:ascii="Times New Roman" w:hAnsi="Times New Roman" w:cs="Times New Roman"/>
          <w:sz w:val="26"/>
          <w:szCs w:val="26"/>
        </w:rPr>
        <w:t xml:space="preserve"> at</w:t>
      </w:r>
      <w:r w:rsidR="005A0A00" w:rsidRPr="00EA490E">
        <w:rPr>
          <w:rFonts w:ascii="Times New Roman" w:hAnsi="Times New Roman" w:cs="Times New Roman"/>
          <w:sz w:val="26"/>
          <w:szCs w:val="26"/>
        </w:rPr>
        <w:t xml:space="preserve"> 14.  </w:t>
      </w:r>
      <w:r w:rsidR="004C3348" w:rsidRPr="00EA490E">
        <w:rPr>
          <w:rFonts w:ascii="Times New Roman" w:hAnsi="Times New Roman" w:cs="Times New Roman"/>
          <w:sz w:val="26"/>
          <w:szCs w:val="26"/>
        </w:rPr>
        <w:t>At a cost of $1.5 million, UGI Electric determined that the battery storage proposal was the most cost</w:t>
      </w:r>
      <w:r w:rsidR="000370EC">
        <w:rPr>
          <w:rFonts w:ascii="Times New Roman" w:hAnsi="Times New Roman" w:cs="Times New Roman"/>
          <w:sz w:val="26"/>
          <w:szCs w:val="26"/>
        </w:rPr>
        <w:t xml:space="preserve"> </w:t>
      </w:r>
      <w:r w:rsidR="004C3348" w:rsidRPr="00EA490E">
        <w:rPr>
          <w:rFonts w:ascii="Times New Roman" w:hAnsi="Times New Roman" w:cs="Times New Roman"/>
          <w:sz w:val="26"/>
          <w:szCs w:val="26"/>
        </w:rPr>
        <w:t xml:space="preserve">effective solution.  </w:t>
      </w:r>
      <w:r w:rsidR="00973258">
        <w:rPr>
          <w:rFonts w:ascii="Times New Roman" w:hAnsi="Times New Roman" w:cs="Times New Roman"/>
          <w:sz w:val="26"/>
          <w:szCs w:val="26"/>
        </w:rPr>
        <w:t xml:space="preserve">UGI Electric Statement in Support at 12; </w:t>
      </w:r>
      <w:r w:rsidR="004C3348" w:rsidRPr="00EA490E">
        <w:rPr>
          <w:rFonts w:ascii="Times New Roman" w:hAnsi="Times New Roman" w:cs="Times New Roman"/>
          <w:sz w:val="26"/>
          <w:szCs w:val="26"/>
        </w:rPr>
        <w:t xml:space="preserve">UGI </w:t>
      </w:r>
      <w:r w:rsidR="004C3348" w:rsidRPr="00EA490E">
        <w:rPr>
          <w:rFonts w:ascii="Times New Roman" w:hAnsi="Times New Roman" w:cs="Times New Roman"/>
          <w:sz w:val="26"/>
          <w:szCs w:val="26"/>
        </w:rPr>
        <w:lastRenderedPageBreak/>
        <w:t>Electric St. 3-R</w:t>
      </w:r>
      <w:r w:rsidR="00973258">
        <w:rPr>
          <w:rFonts w:ascii="Times New Roman" w:hAnsi="Times New Roman" w:cs="Times New Roman"/>
          <w:sz w:val="26"/>
          <w:szCs w:val="26"/>
        </w:rPr>
        <w:t xml:space="preserve"> at</w:t>
      </w:r>
      <w:r w:rsidR="004C3348" w:rsidRPr="00EA490E">
        <w:rPr>
          <w:rFonts w:ascii="Times New Roman" w:hAnsi="Times New Roman" w:cs="Times New Roman"/>
          <w:sz w:val="26"/>
          <w:szCs w:val="26"/>
        </w:rPr>
        <w:t xml:space="preserve"> 17-18.  </w:t>
      </w:r>
      <w:r w:rsidR="006960A2">
        <w:rPr>
          <w:rFonts w:ascii="Times New Roman" w:hAnsi="Times New Roman" w:cs="Times New Roman"/>
          <w:sz w:val="26"/>
          <w:szCs w:val="26"/>
        </w:rPr>
        <w:t xml:space="preserve">Additionally, </w:t>
      </w:r>
      <w:r w:rsidR="004C3348" w:rsidRPr="00EA490E">
        <w:rPr>
          <w:rFonts w:ascii="Times New Roman" w:hAnsi="Times New Roman" w:cs="Times New Roman"/>
          <w:sz w:val="26"/>
          <w:szCs w:val="26"/>
        </w:rPr>
        <w:t xml:space="preserve">to help defray the costs of the project, the Company proposed using the battery storage system to participate in PJM Interconnection LLC’s (PJM) Frequency Regulation Market, which would generate revenues that would be flowed back to customers when using the battery during non-storm conditions.  </w:t>
      </w:r>
      <w:r w:rsidR="006960A2">
        <w:rPr>
          <w:rFonts w:ascii="Times New Roman" w:hAnsi="Times New Roman" w:cs="Times New Roman"/>
          <w:sz w:val="26"/>
          <w:szCs w:val="26"/>
        </w:rPr>
        <w:t xml:space="preserve">UGI Electric Statement in Support at 12; </w:t>
      </w:r>
      <w:r w:rsidR="004C3348" w:rsidRPr="00EA490E">
        <w:rPr>
          <w:rFonts w:ascii="Times New Roman" w:hAnsi="Times New Roman" w:cs="Times New Roman"/>
          <w:sz w:val="26"/>
          <w:szCs w:val="26"/>
        </w:rPr>
        <w:t xml:space="preserve">UGI Electric St. 3-R </w:t>
      </w:r>
      <w:r w:rsidR="006960A2">
        <w:rPr>
          <w:rFonts w:ascii="Times New Roman" w:hAnsi="Times New Roman" w:cs="Times New Roman"/>
          <w:sz w:val="26"/>
          <w:szCs w:val="26"/>
        </w:rPr>
        <w:t>at</w:t>
      </w:r>
      <w:r w:rsidR="003B394C">
        <w:rPr>
          <w:rFonts w:ascii="Times New Roman" w:hAnsi="Times New Roman" w:cs="Times New Roman"/>
          <w:sz w:val="26"/>
          <w:szCs w:val="26"/>
        </w:rPr>
        <w:t> </w:t>
      </w:r>
      <w:r w:rsidR="004C3348" w:rsidRPr="00EA490E">
        <w:rPr>
          <w:rFonts w:ascii="Times New Roman" w:hAnsi="Times New Roman" w:cs="Times New Roman"/>
          <w:sz w:val="26"/>
          <w:szCs w:val="26"/>
        </w:rPr>
        <w:t>18,</w:t>
      </w:r>
      <w:r w:rsidR="003B394C">
        <w:rPr>
          <w:rFonts w:ascii="Times New Roman" w:hAnsi="Times New Roman" w:cs="Times New Roman"/>
          <w:sz w:val="26"/>
          <w:szCs w:val="26"/>
        </w:rPr>
        <w:t> </w:t>
      </w:r>
      <w:r w:rsidR="004C3348" w:rsidRPr="00EA490E">
        <w:rPr>
          <w:rFonts w:ascii="Times New Roman" w:hAnsi="Times New Roman" w:cs="Times New Roman"/>
          <w:sz w:val="26"/>
          <w:szCs w:val="26"/>
        </w:rPr>
        <w:t xml:space="preserve">25. </w:t>
      </w:r>
    </w:p>
    <w:p w14:paraId="70930E6B" w14:textId="77777777" w:rsidR="001E2E84" w:rsidRDefault="001E2E84" w:rsidP="00EA490E">
      <w:pPr>
        <w:spacing w:after="0" w:line="360" w:lineRule="auto"/>
        <w:ind w:firstLine="720"/>
        <w:rPr>
          <w:rFonts w:ascii="Times New Roman" w:hAnsi="Times New Roman" w:cs="Times New Roman"/>
          <w:sz w:val="26"/>
          <w:szCs w:val="26"/>
        </w:rPr>
      </w:pPr>
    </w:p>
    <w:p w14:paraId="1A8C44F4" w14:textId="28B64696" w:rsidR="00EA490E" w:rsidRDefault="001E2E84" w:rsidP="001E2E8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UGI Electric avers that </w:t>
      </w:r>
      <w:r w:rsidR="00805621">
        <w:rPr>
          <w:rFonts w:ascii="Times New Roman" w:hAnsi="Times New Roman" w:cs="Times New Roman"/>
          <w:sz w:val="26"/>
          <w:szCs w:val="26"/>
        </w:rPr>
        <w:t xml:space="preserve">its </w:t>
      </w:r>
      <w:r w:rsidR="00EA490E" w:rsidRPr="00EA490E">
        <w:rPr>
          <w:rFonts w:ascii="Times New Roman" w:hAnsi="Times New Roman" w:cs="Times New Roman"/>
          <w:sz w:val="26"/>
          <w:szCs w:val="26"/>
        </w:rPr>
        <w:t xml:space="preserve">battery storage proposal, as modified by the Settlement, constitutes a reasonable compromise of the </w:t>
      </w:r>
      <w:r w:rsidR="00805621">
        <w:rPr>
          <w:rFonts w:ascii="Times New Roman" w:hAnsi="Times New Roman" w:cs="Times New Roman"/>
          <w:sz w:val="26"/>
          <w:szCs w:val="26"/>
        </w:rPr>
        <w:t>P</w:t>
      </w:r>
      <w:r w:rsidR="00EA490E" w:rsidRPr="00EA490E">
        <w:rPr>
          <w:rFonts w:ascii="Times New Roman" w:hAnsi="Times New Roman" w:cs="Times New Roman"/>
          <w:sz w:val="26"/>
          <w:szCs w:val="26"/>
        </w:rPr>
        <w:t xml:space="preserve">arties’ positions.  </w:t>
      </w:r>
      <w:r w:rsidR="006506EB">
        <w:rPr>
          <w:rFonts w:ascii="Times New Roman" w:hAnsi="Times New Roman" w:cs="Times New Roman"/>
          <w:sz w:val="26"/>
          <w:szCs w:val="26"/>
        </w:rPr>
        <w:t xml:space="preserve">UGI Electric Statement in Support at 14.  </w:t>
      </w:r>
      <w:r w:rsidR="00805621">
        <w:rPr>
          <w:rFonts w:ascii="Times New Roman" w:hAnsi="Times New Roman" w:cs="Times New Roman"/>
          <w:sz w:val="26"/>
          <w:szCs w:val="26"/>
        </w:rPr>
        <w:t xml:space="preserve">UGI </w:t>
      </w:r>
      <w:r w:rsidR="006506EB">
        <w:rPr>
          <w:rFonts w:ascii="Times New Roman" w:hAnsi="Times New Roman" w:cs="Times New Roman"/>
          <w:sz w:val="26"/>
          <w:szCs w:val="26"/>
        </w:rPr>
        <w:t xml:space="preserve">Electric </w:t>
      </w:r>
      <w:r w:rsidR="00805621">
        <w:rPr>
          <w:rFonts w:ascii="Times New Roman" w:hAnsi="Times New Roman" w:cs="Times New Roman"/>
          <w:sz w:val="26"/>
          <w:szCs w:val="26"/>
        </w:rPr>
        <w:t>states that t</w:t>
      </w:r>
      <w:r w:rsidR="00EA490E" w:rsidRPr="00EA490E">
        <w:rPr>
          <w:rFonts w:ascii="Times New Roman" w:hAnsi="Times New Roman" w:cs="Times New Roman"/>
          <w:sz w:val="26"/>
          <w:szCs w:val="26"/>
        </w:rPr>
        <w:t xml:space="preserve">he Settlement will enable the Company to address the unique issues experienced on </w:t>
      </w:r>
      <w:r w:rsidR="00DE3866">
        <w:rPr>
          <w:rFonts w:ascii="Times New Roman" w:hAnsi="Times New Roman" w:cs="Times New Roman"/>
          <w:sz w:val="26"/>
          <w:szCs w:val="26"/>
        </w:rPr>
        <w:t>the impacted</w:t>
      </w:r>
      <w:r w:rsidR="00EA490E" w:rsidRPr="00EA490E">
        <w:rPr>
          <w:rFonts w:ascii="Times New Roman" w:hAnsi="Times New Roman" w:cs="Times New Roman"/>
          <w:sz w:val="26"/>
          <w:szCs w:val="26"/>
        </w:rPr>
        <w:t xml:space="preserve"> circuit through the installation and rate base recovery of the battery storage system, while avoiding the issues raised by the other </w:t>
      </w:r>
      <w:r w:rsidR="00DE3866">
        <w:rPr>
          <w:rFonts w:ascii="Times New Roman" w:hAnsi="Times New Roman" w:cs="Times New Roman"/>
          <w:sz w:val="26"/>
          <w:szCs w:val="26"/>
        </w:rPr>
        <w:t>P</w:t>
      </w:r>
      <w:r w:rsidR="00EA490E" w:rsidRPr="00EA490E">
        <w:rPr>
          <w:rFonts w:ascii="Times New Roman" w:hAnsi="Times New Roman" w:cs="Times New Roman"/>
          <w:sz w:val="26"/>
          <w:szCs w:val="26"/>
        </w:rPr>
        <w:t xml:space="preserve">arties </w:t>
      </w:r>
      <w:r w:rsidR="00F3012C">
        <w:rPr>
          <w:rFonts w:ascii="Times New Roman" w:hAnsi="Times New Roman" w:cs="Times New Roman"/>
          <w:sz w:val="26"/>
          <w:szCs w:val="26"/>
        </w:rPr>
        <w:t xml:space="preserve">who opposed </w:t>
      </w:r>
      <w:r w:rsidR="00EA490E" w:rsidRPr="00EA490E">
        <w:rPr>
          <w:rFonts w:ascii="Times New Roman" w:hAnsi="Times New Roman" w:cs="Times New Roman"/>
          <w:sz w:val="26"/>
          <w:szCs w:val="26"/>
        </w:rPr>
        <w:t xml:space="preserve">participation in the PJM Frequency Regulation Market.  </w:t>
      </w:r>
      <w:r w:rsidR="001E2E45">
        <w:rPr>
          <w:rFonts w:ascii="Times New Roman" w:hAnsi="Times New Roman" w:cs="Times New Roman"/>
          <w:sz w:val="26"/>
          <w:szCs w:val="26"/>
        </w:rPr>
        <w:t>The Company submits that</w:t>
      </w:r>
      <w:r w:rsidR="00EA490E" w:rsidRPr="00EA490E">
        <w:rPr>
          <w:rFonts w:ascii="Times New Roman" w:hAnsi="Times New Roman" w:cs="Times New Roman"/>
          <w:sz w:val="26"/>
          <w:szCs w:val="26"/>
        </w:rPr>
        <w:t xml:space="preserve"> the battery storage provisions of the Settlement are just, reasonable, and in the public interest and, therefore, should be approved without modification.</w:t>
      </w:r>
      <w:r w:rsidR="006506EB">
        <w:rPr>
          <w:rFonts w:ascii="Times New Roman" w:hAnsi="Times New Roman" w:cs="Times New Roman"/>
          <w:sz w:val="26"/>
          <w:szCs w:val="26"/>
        </w:rPr>
        <w:t xml:space="preserve">  </w:t>
      </w:r>
      <w:r w:rsidR="006506EB" w:rsidRPr="006506EB">
        <w:rPr>
          <w:rFonts w:ascii="Times New Roman" w:hAnsi="Times New Roman" w:cs="Times New Roman"/>
          <w:i/>
          <w:iCs/>
          <w:sz w:val="26"/>
          <w:szCs w:val="26"/>
        </w:rPr>
        <w:t>Id</w:t>
      </w:r>
      <w:r w:rsidR="006506EB">
        <w:rPr>
          <w:rFonts w:ascii="Times New Roman" w:hAnsi="Times New Roman" w:cs="Times New Roman"/>
          <w:sz w:val="26"/>
          <w:szCs w:val="26"/>
        </w:rPr>
        <w:t xml:space="preserve">. at 15.  </w:t>
      </w:r>
      <w:r w:rsidR="00EA490E" w:rsidRPr="00EA490E">
        <w:rPr>
          <w:rFonts w:ascii="Times New Roman" w:hAnsi="Times New Roman" w:cs="Times New Roman"/>
          <w:sz w:val="26"/>
          <w:szCs w:val="26"/>
        </w:rPr>
        <w:t xml:space="preserve"> </w:t>
      </w:r>
    </w:p>
    <w:p w14:paraId="1AF8F9A2" w14:textId="77777777" w:rsidR="00DF06D3" w:rsidRDefault="00DF06D3" w:rsidP="001E2E84">
      <w:pPr>
        <w:spacing w:after="0" w:line="360" w:lineRule="auto"/>
        <w:ind w:firstLine="1440"/>
        <w:rPr>
          <w:rFonts w:ascii="Times New Roman" w:hAnsi="Times New Roman" w:cs="Times New Roman"/>
          <w:sz w:val="26"/>
          <w:szCs w:val="26"/>
        </w:rPr>
      </w:pPr>
    </w:p>
    <w:p w14:paraId="6E127676" w14:textId="38AA1429" w:rsidR="00CE36A6" w:rsidRDefault="00C94F9D" w:rsidP="00CE36A6">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Regarding </w:t>
      </w:r>
      <w:bookmarkStart w:id="2" w:name="_Hlk84502062"/>
      <w:r>
        <w:rPr>
          <w:rFonts w:ascii="Times New Roman" w:hAnsi="Times New Roman" w:cs="Times New Roman"/>
          <w:sz w:val="26"/>
          <w:szCs w:val="26"/>
        </w:rPr>
        <w:t>COVID</w:t>
      </w:r>
      <w:r w:rsidR="0020322A">
        <w:rPr>
          <w:rFonts w:ascii="Times New Roman" w:hAnsi="Times New Roman" w:cs="Times New Roman"/>
          <w:sz w:val="26"/>
          <w:szCs w:val="26"/>
        </w:rPr>
        <w:t>-19 Cost Deferral</w:t>
      </w:r>
      <w:bookmarkEnd w:id="2"/>
      <w:r w:rsidR="0020322A">
        <w:rPr>
          <w:rFonts w:ascii="Times New Roman" w:hAnsi="Times New Roman" w:cs="Times New Roman"/>
          <w:sz w:val="26"/>
          <w:szCs w:val="26"/>
        </w:rPr>
        <w:t xml:space="preserve">, UGI Electric noted that </w:t>
      </w:r>
      <w:r w:rsidR="00BA605C">
        <w:rPr>
          <w:rFonts w:ascii="Times New Roman" w:hAnsi="Times New Roman" w:cs="Times New Roman"/>
          <w:sz w:val="26"/>
          <w:szCs w:val="26"/>
        </w:rPr>
        <w:t xml:space="preserve">the Commission issued a Secretarial Letter </w:t>
      </w:r>
      <w:r w:rsidR="00F63D35">
        <w:rPr>
          <w:rFonts w:ascii="Times New Roman" w:hAnsi="Times New Roman" w:cs="Times New Roman"/>
          <w:sz w:val="26"/>
          <w:szCs w:val="26"/>
        </w:rPr>
        <w:t>on May 13, 2020</w:t>
      </w:r>
      <w:r w:rsidR="00B15880">
        <w:rPr>
          <w:rFonts w:ascii="Times New Roman" w:hAnsi="Times New Roman" w:cs="Times New Roman"/>
          <w:sz w:val="26"/>
          <w:szCs w:val="26"/>
        </w:rPr>
        <w:t xml:space="preserve"> (</w:t>
      </w:r>
      <w:bookmarkStart w:id="3" w:name="_Hlk84502404"/>
      <w:r w:rsidR="00B15880" w:rsidRPr="00B15880">
        <w:rPr>
          <w:rFonts w:ascii="Times New Roman" w:hAnsi="Times New Roman" w:cs="Times New Roman"/>
          <w:i/>
          <w:iCs/>
          <w:sz w:val="26"/>
          <w:szCs w:val="26"/>
        </w:rPr>
        <w:t>May 2020 Secretarial Letter</w:t>
      </w:r>
      <w:bookmarkEnd w:id="3"/>
      <w:r w:rsidR="00B15880">
        <w:rPr>
          <w:rFonts w:ascii="Times New Roman" w:hAnsi="Times New Roman" w:cs="Times New Roman"/>
          <w:sz w:val="26"/>
          <w:szCs w:val="26"/>
        </w:rPr>
        <w:t>)</w:t>
      </w:r>
      <w:r w:rsidR="00F63D35">
        <w:rPr>
          <w:rFonts w:ascii="Times New Roman" w:hAnsi="Times New Roman" w:cs="Times New Roman"/>
          <w:sz w:val="26"/>
          <w:szCs w:val="26"/>
        </w:rPr>
        <w:t xml:space="preserve">, in response to Governor Wolf’s Proclamation of </w:t>
      </w:r>
      <w:r w:rsidR="00C17FDA">
        <w:rPr>
          <w:rFonts w:ascii="Times New Roman" w:hAnsi="Times New Roman" w:cs="Times New Roman"/>
          <w:sz w:val="26"/>
          <w:szCs w:val="26"/>
        </w:rPr>
        <w:t>Disaster Emergency (Emergency Proclamation)</w:t>
      </w:r>
      <w:r w:rsidR="00C71050">
        <w:rPr>
          <w:rFonts w:ascii="Times New Roman" w:hAnsi="Times New Roman" w:cs="Times New Roman"/>
          <w:sz w:val="26"/>
          <w:szCs w:val="26"/>
        </w:rPr>
        <w:t xml:space="preserve"> that declared an emergency throughout Pennsylvania in response to the COVID-19 pandemic</w:t>
      </w:r>
      <w:r w:rsidR="007E2B76">
        <w:rPr>
          <w:rFonts w:ascii="Times New Roman" w:hAnsi="Times New Roman" w:cs="Times New Roman"/>
          <w:sz w:val="26"/>
          <w:szCs w:val="26"/>
        </w:rPr>
        <w:t xml:space="preserve">.  </w:t>
      </w:r>
      <w:r w:rsidR="00AB4180">
        <w:rPr>
          <w:rFonts w:ascii="Times New Roman" w:hAnsi="Times New Roman" w:cs="Times New Roman"/>
          <w:sz w:val="26"/>
          <w:szCs w:val="26"/>
        </w:rPr>
        <w:t>The Company submitted that i</w:t>
      </w:r>
      <w:r w:rsidR="007E2B76">
        <w:rPr>
          <w:rFonts w:ascii="Times New Roman" w:hAnsi="Times New Roman" w:cs="Times New Roman"/>
          <w:sz w:val="26"/>
          <w:szCs w:val="26"/>
        </w:rPr>
        <w:t xml:space="preserve">n the </w:t>
      </w:r>
      <w:r w:rsidR="00B15880" w:rsidRPr="00B15880">
        <w:rPr>
          <w:rFonts w:ascii="Times New Roman" w:hAnsi="Times New Roman" w:cs="Times New Roman"/>
          <w:i/>
          <w:iCs/>
          <w:sz w:val="26"/>
          <w:szCs w:val="26"/>
        </w:rPr>
        <w:t>May 2020 Secretarial Letter</w:t>
      </w:r>
      <w:r w:rsidR="007E2B76">
        <w:rPr>
          <w:rFonts w:ascii="Times New Roman" w:hAnsi="Times New Roman" w:cs="Times New Roman"/>
          <w:sz w:val="26"/>
          <w:szCs w:val="26"/>
        </w:rPr>
        <w:t xml:space="preserve">, </w:t>
      </w:r>
      <w:r w:rsidR="00EF5142">
        <w:rPr>
          <w:rFonts w:ascii="Times New Roman" w:hAnsi="Times New Roman" w:cs="Times New Roman"/>
          <w:sz w:val="26"/>
          <w:szCs w:val="26"/>
        </w:rPr>
        <w:t>utilities were authorized to create regulatory</w:t>
      </w:r>
      <w:r w:rsidR="009F7903">
        <w:rPr>
          <w:rFonts w:ascii="Times New Roman" w:hAnsi="Times New Roman" w:cs="Times New Roman"/>
          <w:sz w:val="26"/>
          <w:szCs w:val="26"/>
        </w:rPr>
        <w:t xml:space="preserve"> assets for incremental uncollectible expenses</w:t>
      </w:r>
      <w:r w:rsidR="00627978">
        <w:rPr>
          <w:rFonts w:ascii="Times New Roman" w:hAnsi="Times New Roman" w:cs="Times New Roman"/>
          <w:sz w:val="26"/>
          <w:szCs w:val="26"/>
        </w:rPr>
        <w:t xml:space="preserve"> related to COVID-19 above those embedded in </w:t>
      </w:r>
      <w:r w:rsidR="001C7BC7">
        <w:rPr>
          <w:rFonts w:ascii="Times New Roman" w:hAnsi="Times New Roman" w:cs="Times New Roman"/>
          <w:sz w:val="26"/>
          <w:szCs w:val="26"/>
        </w:rPr>
        <w:t>base rates</w:t>
      </w:r>
      <w:r w:rsidR="00675DD4">
        <w:rPr>
          <w:rFonts w:ascii="Times New Roman" w:hAnsi="Times New Roman" w:cs="Times New Roman"/>
          <w:sz w:val="26"/>
          <w:szCs w:val="26"/>
        </w:rPr>
        <w:t xml:space="preserve"> and to claim deferred COVID</w:t>
      </w:r>
      <w:r w:rsidR="004A5C75">
        <w:rPr>
          <w:rFonts w:ascii="Times New Roman" w:hAnsi="Times New Roman" w:cs="Times New Roman"/>
          <w:sz w:val="26"/>
          <w:szCs w:val="26"/>
        </w:rPr>
        <w:noBreakHyphen/>
      </w:r>
      <w:r w:rsidR="00675DD4">
        <w:rPr>
          <w:rFonts w:ascii="Times New Roman" w:hAnsi="Times New Roman" w:cs="Times New Roman"/>
          <w:sz w:val="26"/>
          <w:szCs w:val="26"/>
        </w:rPr>
        <w:t xml:space="preserve">19 </w:t>
      </w:r>
      <w:r w:rsidR="0051190D">
        <w:rPr>
          <w:rFonts w:ascii="Times New Roman" w:hAnsi="Times New Roman" w:cs="Times New Roman"/>
          <w:sz w:val="26"/>
          <w:szCs w:val="26"/>
        </w:rPr>
        <w:t>costs at the first available opportunity</w:t>
      </w:r>
      <w:r w:rsidR="001C7BC7">
        <w:rPr>
          <w:rFonts w:ascii="Times New Roman" w:hAnsi="Times New Roman" w:cs="Times New Roman"/>
          <w:sz w:val="26"/>
          <w:szCs w:val="26"/>
        </w:rPr>
        <w:t>.  UGI Electric Statement in Support at</w:t>
      </w:r>
      <w:r w:rsidR="004A5C75">
        <w:rPr>
          <w:rFonts w:ascii="Times New Roman" w:hAnsi="Times New Roman" w:cs="Times New Roman"/>
          <w:sz w:val="26"/>
          <w:szCs w:val="26"/>
        </w:rPr>
        <w:t> </w:t>
      </w:r>
      <w:r w:rsidR="001C7BC7">
        <w:rPr>
          <w:rFonts w:ascii="Times New Roman" w:hAnsi="Times New Roman" w:cs="Times New Roman"/>
          <w:sz w:val="26"/>
          <w:szCs w:val="26"/>
        </w:rPr>
        <w:t xml:space="preserve">26; </w:t>
      </w:r>
      <w:r w:rsidR="000235AB">
        <w:rPr>
          <w:rFonts w:ascii="Times New Roman" w:hAnsi="Times New Roman" w:cs="Times New Roman"/>
          <w:sz w:val="26"/>
          <w:szCs w:val="26"/>
        </w:rPr>
        <w:t>UGI Electric St. 4 at 17.</w:t>
      </w:r>
      <w:r w:rsidR="00575024">
        <w:rPr>
          <w:rFonts w:ascii="Times New Roman" w:hAnsi="Times New Roman" w:cs="Times New Roman"/>
          <w:sz w:val="26"/>
          <w:szCs w:val="26"/>
        </w:rPr>
        <w:t xml:space="preserve">  The Company explained that </w:t>
      </w:r>
      <w:r w:rsidR="0034400A">
        <w:rPr>
          <w:rFonts w:ascii="Times New Roman" w:hAnsi="Times New Roman" w:cs="Times New Roman"/>
          <w:sz w:val="26"/>
          <w:szCs w:val="26"/>
        </w:rPr>
        <w:t>u</w:t>
      </w:r>
      <w:r w:rsidR="00575024" w:rsidRPr="00575024">
        <w:rPr>
          <w:rFonts w:ascii="Times New Roman" w:hAnsi="Times New Roman" w:cs="Times New Roman"/>
          <w:sz w:val="26"/>
          <w:szCs w:val="26"/>
        </w:rPr>
        <w:t xml:space="preserve">nder the Settlement, </w:t>
      </w:r>
      <w:r w:rsidR="0034400A">
        <w:rPr>
          <w:rFonts w:ascii="Times New Roman" w:hAnsi="Times New Roman" w:cs="Times New Roman"/>
          <w:sz w:val="26"/>
          <w:szCs w:val="26"/>
        </w:rPr>
        <w:t>its</w:t>
      </w:r>
      <w:r w:rsidR="00575024" w:rsidRPr="00575024">
        <w:rPr>
          <w:rFonts w:ascii="Times New Roman" w:hAnsi="Times New Roman" w:cs="Times New Roman"/>
          <w:sz w:val="26"/>
          <w:szCs w:val="26"/>
        </w:rPr>
        <w:t xml:space="preserve"> revenue increase reflects a three-year amortization of the Company’s COVID-19 regulatory asset related to incremental uncollectible accounts expense, or $337,666 per year (</w:t>
      </w:r>
      <w:r w:rsidR="00575024" w:rsidRPr="00313144">
        <w:rPr>
          <w:rFonts w:ascii="Times New Roman" w:hAnsi="Times New Roman" w:cs="Times New Roman"/>
          <w:i/>
          <w:iCs/>
          <w:sz w:val="26"/>
          <w:szCs w:val="26"/>
        </w:rPr>
        <w:t>i.e</w:t>
      </w:r>
      <w:r w:rsidR="00575024" w:rsidRPr="00575024">
        <w:rPr>
          <w:rFonts w:ascii="Times New Roman" w:hAnsi="Times New Roman" w:cs="Times New Roman"/>
          <w:sz w:val="26"/>
          <w:szCs w:val="26"/>
        </w:rPr>
        <w:t xml:space="preserve">., $1,013,000 ÷ 3), which includes all incremental uncollectible expense through </w:t>
      </w:r>
      <w:r w:rsidR="00575024" w:rsidRPr="00575024">
        <w:rPr>
          <w:rFonts w:ascii="Times New Roman" w:hAnsi="Times New Roman" w:cs="Times New Roman"/>
          <w:sz w:val="26"/>
          <w:szCs w:val="26"/>
        </w:rPr>
        <w:lastRenderedPageBreak/>
        <w:t xml:space="preserve">September 30, 2020.  </w:t>
      </w:r>
      <w:r w:rsidR="00845A10">
        <w:rPr>
          <w:rFonts w:ascii="Times New Roman" w:hAnsi="Times New Roman" w:cs="Times New Roman"/>
          <w:sz w:val="26"/>
          <w:szCs w:val="26"/>
        </w:rPr>
        <w:t>The Company believes t</w:t>
      </w:r>
      <w:r w:rsidR="00575024" w:rsidRPr="00575024">
        <w:rPr>
          <w:rFonts w:ascii="Times New Roman" w:hAnsi="Times New Roman" w:cs="Times New Roman"/>
          <w:sz w:val="26"/>
          <w:szCs w:val="26"/>
        </w:rPr>
        <w:t xml:space="preserve">his constitutes a reasonable compromise of the </w:t>
      </w:r>
      <w:r w:rsidR="00727D9D">
        <w:rPr>
          <w:rFonts w:ascii="Times New Roman" w:hAnsi="Times New Roman" w:cs="Times New Roman"/>
          <w:sz w:val="26"/>
          <w:szCs w:val="26"/>
        </w:rPr>
        <w:t>Joint Petitioners</w:t>
      </w:r>
      <w:r w:rsidR="00575024" w:rsidRPr="00575024">
        <w:rPr>
          <w:rFonts w:ascii="Times New Roman" w:hAnsi="Times New Roman" w:cs="Times New Roman"/>
          <w:sz w:val="26"/>
          <w:szCs w:val="26"/>
        </w:rPr>
        <w:t xml:space="preserve">’ positions, which ranged from </w:t>
      </w:r>
      <w:r w:rsidR="00727D9D">
        <w:rPr>
          <w:rFonts w:ascii="Times New Roman" w:hAnsi="Times New Roman" w:cs="Times New Roman"/>
          <w:sz w:val="26"/>
          <w:szCs w:val="26"/>
        </w:rPr>
        <w:t>the</w:t>
      </w:r>
      <w:r w:rsidR="00575024" w:rsidRPr="00575024">
        <w:rPr>
          <w:rFonts w:ascii="Times New Roman" w:hAnsi="Times New Roman" w:cs="Times New Roman"/>
          <w:sz w:val="26"/>
          <w:szCs w:val="26"/>
        </w:rPr>
        <w:t xml:space="preserve"> two-year amortization period </w:t>
      </w:r>
      <w:r w:rsidR="0004302C">
        <w:rPr>
          <w:rFonts w:ascii="Times New Roman" w:hAnsi="Times New Roman" w:cs="Times New Roman"/>
          <w:sz w:val="26"/>
          <w:szCs w:val="26"/>
        </w:rPr>
        <w:t xml:space="preserve">UGI Electric </w:t>
      </w:r>
      <w:r w:rsidR="00575024" w:rsidRPr="00575024">
        <w:rPr>
          <w:rFonts w:ascii="Times New Roman" w:hAnsi="Times New Roman" w:cs="Times New Roman"/>
          <w:sz w:val="26"/>
          <w:szCs w:val="26"/>
        </w:rPr>
        <w:t>proposed to the five-year amortization period</w:t>
      </w:r>
      <w:r w:rsidR="0004302C">
        <w:rPr>
          <w:rFonts w:ascii="Times New Roman" w:hAnsi="Times New Roman" w:cs="Times New Roman"/>
          <w:sz w:val="26"/>
          <w:szCs w:val="26"/>
        </w:rPr>
        <w:t xml:space="preserve"> the OCA</w:t>
      </w:r>
      <w:r w:rsidR="00575024" w:rsidRPr="00575024">
        <w:rPr>
          <w:rFonts w:ascii="Times New Roman" w:hAnsi="Times New Roman" w:cs="Times New Roman"/>
          <w:sz w:val="26"/>
          <w:szCs w:val="26"/>
        </w:rPr>
        <w:t xml:space="preserve"> recommended.  </w:t>
      </w:r>
      <w:r w:rsidR="00BE01C8">
        <w:rPr>
          <w:rFonts w:ascii="Times New Roman" w:hAnsi="Times New Roman" w:cs="Times New Roman"/>
          <w:sz w:val="26"/>
          <w:szCs w:val="26"/>
        </w:rPr>
        <w:t>UGI Electric Statement in Support at 26-27.</w:t>
      </w:r>
    </w:p>
    <w:p w14:paraId="19253039" w14:textId="77777777" w:rsidR="00CE36A6" w:rsidRDefault="00CE36A6" w:rsidP="00CE36A6">
      <w:pPr>
        <w:spacing w:after="0" w:line="360" w:lineRule="auto"/>
        <w:ind w:firstLine="1440"/>
        <w:rPr>
          <w:rFonts w:ascii="Times New Roman" w:hAnsi="Times New Roman" w:cs="Times New Roman"/>
          <w:sz w:val="26"/>
          <w:szCs w:val="26"/>
        </w:rPr>
      </w:pPr>
    </w:p>
    <w:p w14:paraId="4549A1C4" w14:textId="77777777" w:rsidR="00CE36A6" w:rsidRDefault="00BC0723" w:rsidP="00CE36A6">
      <w:pPr>
        <w:spacing w:after="0" w:line="360" w:lineRule="auto"/>
        <w:ind w:firstLine="1440"/>
        <w:rPr>
          <w:rFonts w:ascii="Times New Roman" w:hAnsi="Times New Roman" w:cs="Times New Roman"/>
          <w:b/>
          <w:sz w:val="26"/>
          <w:szCs w:val="26"/>
        </w:rPr>
      </w:pPr>
      <w:r w:rsidRPr="00496081">
        <w:rPr>
          <w:rFonts w:ascii="Times New Roman" w:hAnsi="Times New Roman" w:cs="Times New Roman"/>
          <w:b/>
          <w:sz w:val="26"/>
          <w:szCs w:val="26"/>
        </w:rPr>
        <w:t>b.</w:t>
      </w:r>
      <w:r w:rsidRPr="00496081">
        <w:rPr>
          <w:rFonts w:ascii="Times New Roman" w:hAnsi="Times New Roman" w:cs="Times New Roman"/>
          <w:b/>
          <w:sz w:val="26"/>
          <w:szCs w:val="26"/>
        </w:rPr>
        <w:tab/>
        <w:t>I&amp;E</w:t>
      </w:r>
    </w:p>
    <w:p w14:paraId="21873EA6" w14:textId="77777777" w:rsidR="00CE36A6" w:rsidRDefault="00CE36A6" w:rsidP="00CE36A6">
      <w:pPr>
        <w:spacing w:after="0" w:line="360" w:lineRule="auto"/>
        <w:ind w:firstLine="1440"/>
        <w:rPr>
          <w:rFonts w:ascii="Times New Roman" w:hAnsi="Times New Roman" w:cs="Times New Roman"/>
          <w:b/>
          <w:sz w:val="26"/>
          <w:szCs w:val="26"/>
        </w:rPr>
      </w:pPr>
    </w:p>
    <w:p w14:paraId="3AFD9B3C" w14:textId="34CFC361" w:rsidR="006B5051" w:rsidRDefault="006B5051" w:rsidP="00CE36A6">
      <w:pPr>
        <w:spacing w:after="0" w:line="360" w:lineRule="auto"/>
        <w:ind w:firstLine="1440"/>
        <w:rPr>
          <w:rFonts w:ascii="Times New Roman" w:hAnsi="Times New Roman" w:cs="Times New Roman"/>
          <w:sz w:val="26"/>
        </w:rPr>
      </w:pPr>
      <w:r w:rsidRPr="00817583">
        <w:rPr>
          <w:rFonts w:ascii="Times New Roman" w:hAnsi="Times New Roman" w:cs="Times New Roman"/>
          <w:sz w:val="26"/>
          <w:szCs w:val="26"/>
        </w:rPr>
        <w:t>I</w:t>
      </w:r>
      <w:r w:rsidR="00817583">
        <w:rPr>
          <w:rFonts w:ascii="Times New Roman" w:hAnsi="Times New Roman" w:cs="Times New Roman"/>
          <w:sz w:val="26"/>
          <w:szCs w:val="26"/>
        </w:rPr>
        <w:t xml:space="preserve">&amp;E fully supports the negotiated </w:t>
      </w:r>
      <w:r w:rsidR="0022535F">
        <w:rPr>
          <w:rFonts w:ascii="Times New Roman" w:hAnsi="Times New Roman" w:cs="Times New Roman"/>
          <w:sz w:val="26"/>
          <w:szCs w:val="26"/>
        </w:rPr>
        <w:t xml:space="preserve">level of overall base rate revenue increase compared to UGI Electric’s </w:t>
      </w:r>
      <w:r w:rsidR="002430C5">
        <w:rPr>
          <w:rFonts w:ascii="Times New Roman" w:hAnsi="Times New Roman" w:cs="Times New Roman"/>
          <w:sz w:val="26"/>
          <w:szCs w:val="26"/>
        </w:rPr>
        <w:t xml:space="preserve">original request.  </w:t>
      </w:r>
      <w:r w:rsidR="001E0731">
        <w:rPr>
          <w:rFonts w:ascii="Times New Roman" w:hAnsi="Times New Roman" w:cs="Times New Roman"/>
          <w:sz w:val="26"/>
          <w:szCs w:val="26"/>
        </w:rPr>
        <w:t>I&amp;E indicates that w</w:t>
      </w:r>
      <w:r w:rsidR="001E0731" w:rsidRPr="001E0731">
        <w:rPr>
          <w:rFonts w:ascii="Times New Roman" w:hAnsi="Times New Roman" w:cs="Times New Roman"/>
          <w:sz w:val="26"/>
        </w:rPr>
        <w:t xml:space="preserve">hile the overall revenue requirement is a “black box” compromise, the overall revenue levels are within the levels advanced on the evidentiary record and reflect a full compromise of all revenue-related issues </w:t>
      </w:r>
      <w:r w:rsidR="001E0731">
        <w:rPr>
          <w:rFonts w:ascii="Times New Roman" w:hAnsi="Times New Roman" w:cs="Times New Roman"/>
          <w:sz w:val="26"/>
        </w:rPr>
        <w:t xml:space="preserve">the Parties </w:t>
      </w:r>
      <w:r w:rsidR="001E0731" w:rsidRPr="001E0731">
        <w:rPr>
          <w:rFonts w:ascii="Times New Roman" w:hAnsi="Times New Roman" w:cs="Times New Roman"/>
          <w:sz w:val="26"/>
        </w:rPr>
        <w:t>raised.</w:t>
      </w:r>
      <w:r w:rsidR="001E0731">
        <w:rPr>
          <w:rFonts w:ascii="Times New Roman" w:hAnsi="Times New Roman" w:cs="Times New Roman"/>
          <w:sz w:val="26"/>
        </w:rPr>
        <w:t xml:space="preserve">  I&amp;E Statement in Support at 8.  </w:t>
      </w:r>
      <w:r w:rsidR="004A421F">
        <w:rPr>
          <w:rFonts w:ascii="Times New Roman" w:hAnsi="Times New Roman" w:cs="Times New Roman"/>
          <w:sz w:val="26"/>
        </w:rPr>
        <w:t xml:space="preserve">I&amp;E also supports the </w:t>
      </w:r>
      <w:r w:rsidR="00332EF2">
        <w:rPr>
          <w:rFonts w:ascii="Times New Roman" w:hAnsi="Times New Roman" w:cs="Times New Roman"/>
          <w:sz w:val="26"/>
        </w:rPr>
        <w:t xml:space="preserve">revenue allocation and rate design Settlement terms as </w:t>
      </w:r>
      <w:r w:rsidR="00C63C56">
        <w:rPr>
          <w:rFonts w:ascii="Times New Roman" w:hAnsi="Times New Roman" w:cs="Times New Roman"/>
          <w:sz w:val="26"/>
        </w:rPr>
        <w:t>a full and fair compromise that provides the Company, the Joint Petitioners,</w:t>
      </w:r>
      <w:r w:rsidR="00343614">
        <w:rPr>
          <w:rFonts w:ascii="Times New Roman" w:hAnsi="Times New Roman" w:cs="Times New Roman"/>
          <w:sz w:val="26"/>
        </w:rPr>
        <w:t xml:space="preserve"> affected ratepayers, and the Commission with regulatory certainty</w:t>
      </w:r>
      <w:r w:rsidR="00EF08B8">
        <w:rPr>
          <w:rFonts w:ascii="Times New Roman" w:hAnsi="Times New Roman" w:cs="Times New Roman"/>
          <w:sz w:val="26"/>
        </w:rPr>
        <w:t xml:space="preserve"> and resolution of the revenue allocation/rate design</w:t>
      </w:r>
      <w:r w:rsidR="00C63C56">
        <w:rPr>
          <w:rFonts w:ascii="Times New Roman" w:hAnsi="Times New Roman" w:cs="Times New Roman"/>
          <w:sz w:val="26"/>
        </w:rPr>
        <w:t xml:space="preserve"> </w:t>
      </w:r>
      <w:r w:rsidR="00EF08B8">
        <w:rPr>
          <w:rFonts w:ascii="Times New Roman" w:hAnsi="Times New Roman" w:cs="Times New Roman"/>
          <w:sz w:val="26"/>
        </w:rPr>
        <w:t xml:space="preserve">issue, all of which are in the public interest.  </w:t>
      </w:r>
      <w:r w:rsidR="00360BAF" w:rsidRPr="00360BAF">
        <w:rPr>
          <w:rFonts w:ascii="Times New Roman" w:hAnsi="Times New Roman" w:cs="Times New Roman"/>
          <w:i/>
          <w:iCs/>
          <w:sz w:val="26"/>
        </w:rPr>
        <w:t>Id</w:t>
      </w:r>
      <w:r w:rsidR="00360BAF">
        <w:rPr>
          <w:rFonts w:ascii="Times New Roman" w:hAnsi="Times New Roman" w:cs="Times New Roman"/>
          <w:sz w:val="26"/>
        </w:rPr>
        <w:t>.</w:t>
      </w:r>
      <w:r w:rsidR="00EF08B8">
        <w:rPr>
          <w:rFonts w:ascii="Times New Roman" w:hAnsi="Times New Roman" w:cs="Times New Roman"/>
          <w:sz w:val="26"/>
        </w:rPr>
        <w:t xml:space="preserve"> at 10-11.  </w:t>
      </w:r>
    </w:p>
    <w:p w14:paraId="0ECEC40B" w14:textId="77777777" w:rsidR="00DB28EB" w:rsidRDefault="00DB28EB" w:rsidP="007068CA">
      <w:pPr>
        <w:spacing w:after="0" w:line="360" w:lineRule="auto"/>
        <w:ind w:firstLine="1440"/>
        <w:rPr>
          <w:rFonts w:ascii="Times New Roman" w:hAnsi="Times New Roman" w:cs="Times New Roman"/>
          <w:sz w:val="26"/>
        </w:rPr>
      </w:pPr>
    </w:p>
    <w:p w14:paraId="68C780E0" w14:textId="607757F1" w:rsidR="00EA5104" w:rsidRPr="00CC0A1A" w:rsidRDefault="00EE4ADF" w:rsidP="007068CA">
      <w:pPr>
        <w:spacing w:after="0" w:line="360" w:lineRule="auto"/>
        <w:ind w:firstLine="1440"/>
        <w:rPr>
          <w:rFonts w:ascii="Times New Roman" w:hAnsi="Times New Roman" w:cs="Times New Roman"/>
        </w:rPr>
      </w:pPr>
      <w:r w:rsidRPr="00CC0A1A">
        <w:rPr>
          <w:rFonts w:ascii="Times New Roman" w:hAnsi="Times New Roman" w:cs="Times New Roman"/>
          <w:sz w:val="26"/>
        </w:rPr>
        <w:t xml:space="preserve">Regarding UGI Electric’s battery </w:t>
      </w:r>
      <w:r w:rsidR="00DF2258" w:rsidRPr="00CC0A1A">
        <w:rPr>
          <w:rFonts w:ascii="Times New Roman" w:hAnsi="Times New Roman" w:cs="Times New Roman"/>
          <w:sz w:val="26"/>
        </w:rPr>
        <w:t xml:space="preserve">storage proposal, I&amp;E initially noted its concerns regarding the </w:t>
      </w:r>
      <w:r w:rsidR="00E400AC" w:rsidRPr="00CC0A1A">
        <w:rPr>
          <w:rFonts w:ascii="Times New Roman" w:hAnsi="Times New Roman" w:cs="Times New Roman"/>
          <w:sz w:val="26"/>
        </w:rPr>
        <w:t xml:space="preserve">proposal.  </w:t>
      </w:r>
      <w:r w:rsidR="007778FF" w:rsidRPr="00CC0A1A">
        <w:rPr>
          <w:rFonts w:ascii="Times New Roman" w:hAnsi="Times New Roman" w:cs="Times New Roman"/>
          <w:sz w:val="26"/>
        </w:rPr>
        <w:t>Amon</w:t>
      </w:r>
      <w:r w:rsidR="00663FBD" w:rsidRPr="00CC0A1A">
        <w:rPr>
          <w:rFonts w:ascii="Times New Roman" w:hAnsi="Times New Roman" w:cs="Times New Roman"/>
          <w:sz w:val="26"/>
        </w:rPr>
        <w:t xml:space="preserve">g its concerns, </w:t>
      </w:r>
      <w:r w:rsidR="007778FF" w:rsidRPr="00CC0A1A">
        <w:rPr>
          <w:rFonts w:ascii="Times New Roman" w:hAnsi="Times New Roman" w:cs="Times New Roman"/>
          <w:sz w:val="26"/>
        </w:rPr>
        <w:t xml:space="preserve">I&amp;E argued </w:t>
      </w:r>
      <w:r w:rsidR="00663FBD" w:rsidRPr="00CC0A1A">
        <w:rPr>
          <w:rFonts w:ascii="Times New Roman" w:hAnsi="Times New Roman" w:cs="Times New Roman"/>
          <w:sz w:val="26"/>
        </w:rPr>
        <w:t xml:space="preserve">in its testimony </w:t>
      </w:r>
      <w:r w:rsidR="007778FF" w:rsidRPr="00CC0A1A">
        <w:rPr>
          <w:rFonts w:ascii="Times New Roman" w:hAnsi="Times New Roman" w:cs="Times New Roman"/>
          <w:sz w:val="26"/>
        </w:rPr>
        <w:t xml:space="preserve">that UGI Electric’s </w:t>
      </w:r>
      <w:r w:rsidR="00360BAF">
        <w:rPr>
          <w:rFonts w:ascii="Times New Roman" w:hAnsi="Times New Roman" w:cs="Times New Roman"/>
          <w:sz w:val="26"/>
        </w:rPr>
        <w:t>b</w:t>
      </w:r>
      <w:r w:rsidR="007778FF" w:rsidRPr="00CC0A1A">
        <w:rPr>
          <w:rFonts w:ascii="Times New Roman" w:hAnsi="Times New Roman" w:cs="Times New Roman"/>
          <w:sz w:val="26"/>
        </w:rPr>
        <w:t xml:space="preserve">attery </w:t>
      </w:r>
      <w:r w:rsidR="00360BAF">
        <w:rPr>
          <w:rFonts w:ascii="Times New Roman" w:hAnsi="Times New Roman" w:cs="Times New Roman"/>
          <w:sz w:val="26"/>
        </w:rPr>
        <w:t>s</w:t>
      </w:r>
      <w:r w:rsidR="007778FF" w:rsidRPr="00CC0A1A">
        <w:rPr>
          <w:rFonts w:ascii="Times New Roman" w:hAnsi="Times New Roman" w:cs="Times New Roman"/>
          <w:sz w:val="26"/>
        </w:rPr>
        <w:t xml:space="preserve">torage </w:t>
      </w:r>
      <w:r w:rsidR="00360BAF">
        <w:rPr>
          <w:rFonts w:ascii="Times New Roman" w:hAnsi="Times New Roman" w:cs="Times New Roman"/>
          <w:sz w:val="26"/>
        </w:rPr>
        <w:t>proposal</w:t>
      </w:r>
      <w:r w:rsidR="007778FF" w:rsidRPr="00CC0A1A">
        <w:rPr>
          <w:rFonts w:ascii="Times New Roman" w:hAnsi="Times New Roman" w:cs="Times New Roman"/>
          <w:sz w:val="26"/>
        </w:rPr>
        <w:t xml:space="preserve"> should be denied because the battery storage pro</w:t>
      </w:r>
      <w:r w:rsidR="00360BAF">
        <w:rPr>
          <w:rFonts w:ascii="Times New Roman" w:hAnsi="Times New Roman" w:cs="Times New Roman"/>
          <w:sz w:val="26"/>
        </w:rPr>
        <w:t>posal</w:t>
      </w:r>
      <w:r w:rsidR="007778FF" w:rsidRPr="00CC0A1A">
        <w:rPr>
          <w:rFonts w:ascii="Times New Roman" w:hAnsi="Times New Roman" w:cs="Times New Roman"/>
          <w:sz w:val="26"/>
        </w:rPr>
        <w:t xml:space="preserve"> is more appropriately considered a generation asset rather than a distribution asset due to the ability o</w:t>
      </w:r>
      <w:r w:rsidR="00C45032" w:rsidRPr="00CC0A1A">
        <w:rPr>
          <w:rFonts w:ascii="Times New Roman" w:hAnsi="Times New Roman" w:cs="Times New Roman"/>
          <w:sz w:val="26"/>
        </w:rPr>
        <w:t>f</w:t>
      </w:r>
      <w:r w:rsidR="007778FF" w:rsidRPr="00CC0A1A">
        <w:rPr>
          <w:rFonts w:ascii="Times New Roman" w:hAnsi="Times New Roman" w:cs="Times New Roman"/>
          <w:sz w:val="26"/>
        </w:rPr>
        <w:t xml:space="preserve"> UGI Electric to profit from the battery storage’s ability to store and release power to either UGI Electric’s own customers or to the PJM Market D.  </w:t>
      </w:r>
      <w:r w:rsidR="00FF7858" w:rsidRPr="00CC0A1A">
        <w:rPr>
          <w:rFonts w:ascii="Times New Roman" w:hAnsi="Times New Roman" w:cs="Times New Roman"/>
          <w:sz w:val="26"/>
        </w:rPr>
        <w:t xml:space="preserve">I&amp;E also argued that </w:t>
      </w:r>
      <w:r w:rsidR="007778FF" w:rsidRPr="00CC0A1A">
        <w:rPr>
          <w:rFonts w:ascii="Times New Roman" w:hAnsi="Times New Roman" w:cs="Times New Roman"/>
          <w:sz w:val="26"/>
        </w:rPr>
        <w:t xml:space="preserve">the Commission currently has an open docket where this issue is being considered and is </w:t>
      </w:r>
      <w:r w:rsidR="00FF7858" w:rsidRPr="00CC0A1A">
        <w:rPr>
          <w:rFonts w:ascii="Times New Roman" w:hAnsi="Times New Roman" w:cs="Times New Roman"/>
          <w:sz w:val="26"/>
        </w:rPr>
        <w:t>not yet r</w:t>
      </w:r>
      <w:r w:rsidR="007778FF" w:rsidRPr="00CC0A1A">
        <w:rPr>
          <w:rFonts w:ascii="Times New Roman" w:hAnsi="Times New Roman" w:cs="Times New Roman"/>
          <w:sz w:val="26"/>
        </w:rPr>
        <w:t>esolved.</w:t>
      </w:r>
      <w:r w:rsidR="007068CA">
        <w:rPr>
          <w:rFonts w:ascii="Times New Roman" w:hAnsi="Times New Roman" w:cs="Times New Roman"/>
          <w:sz w:val="26"/>
        </w:rPr>
        <w:t xml:space="preserve"> </w:t>
      </w:r>
      <w:r w:rsidR="007778FF" w:rsidRPr="00CC0A1A">
        <w:rPr>
          <w:rFonts w:ascii="Times New Roman" w:hAnsi="Times New Roman" w:cs="Times New Roman"/>
          <w:sz w:val="26"/>
        </w:rPr>
        <w:t xml:space="preserve"> </w:t>
      </w:r>
      <w:r w:rsidR="00020CD5" w:rsidRPr="00020CD5">
        <w:rPr>
          <w:rFonts w:ascii="Times New Roman" w:hAnsi="Times New Roman" w:cs="Times New Roman"/>
          <w:i/>
          <w:iCs/>
          <w:sz w:val="26"/>
        </w:rPr>
        <w:t>Id</w:t>
      </w:r>
      <w:r w:rsidR="00020CD5">
        <w:rPr>
          <w:rFonts w:ascii="Times New Roman" w:hAnsi="Times New Roman" w:cs="Times New Roman"/>
          <w:sz w:val="26"/>
        </w:rPr>
        <w:t>.</w:t>
      </w:r>
      <w:r w:rsidR="00E90016" w:rsidRPr="00CC0A1A">
        <w:rPr>
          <w:rFonts w:ascii="Times New Roman" w:hAnsi="Times New Roman" w:cs="Times New Roman"/>
          <w:sz w:val="26"/>
        </w:rPr>
        <w:t xml:space="preserve"> at 14 (citing I&amp;E St. </w:t>
      </w:r>
      <w:r w:rsidR="00BD5287" w:rsidRPr="00CC0A1A">
        <w:rPr>
          <w:rFonts w:ascii="Times New Roman" w:hAnsi="Times New Roman" w:cs="Times New Roman"/>
          <w:sz w:val="26"/>
        </w:rPr>
        <w:t>3 at 9; I&amp;E St. 3-</w:t>
      </w:r>
      <w:r w:rsidR="003A0A52" w:rsidRPr="00CC0A1A">
        <w:rPr>
          <w:rFonts w:ascii="Times New Roman" w:hAnsi="Times New Roman" w:cs="Times New Roman"/>
          <w:sz w:val="26"/>
        </w:rPr>
        <w:t>S</w:t>
      </w:r>
      <w:r w:rsidR="00BD5287" w:rsidRPr="00CC0A1A">
        <w:rPr>
          <w:rFonts w:ascii="Times New Roman" w:hAnsi="Times New Roman" w:cs="Times New Roman"/>
          <w:sz w:val="26"/>
        </w:rPr>
        <w:t>R at 3,</w:t>
      </w:r>
      <w:r w:rsidR="003A0A52" w:rsidRPr="00CC0A1A">
        <w:rPr>
          <w:rFonts w:ascii="Times New Roman" w:hAnsi="Times New Roman" w:cs="Times New Roman"/>
          <w:sz w:val="26"/>
        </w:rPr>
        <w:t xml:space="preserve"> 4-5; </w:t>
      </w:r>
      <w:r w:rsidR="00F47581">
        <w:rPr>
          <w:rFonts w:ascii="Times New Roman" w:hAnsi="Times New Roman" w:cs="Times New Roman"/>
          <w:sz w:val="26"/>
        </w:rPr>
        <w:t>s</w:t>
      </w:r>
      <w:r w:rsidR="00F47581" w:rsidRPr="00EB5FC3">
        <w:rPr>
          <w:rFonts w:ascii="Times New Roman" w:hAnsi="Times New Roman" w:cs="Times New Roman"/>
          <w:i/>
          <w:iCs/>
          <w:sz w:val="26"/>
          <w:szCs w:val="26"/>
        </w:rPr>
        <w:t>ee</w:t>
      </w:r>
      <w:r w:rsidR="00F47581" w:rsidRPr="00EB5FC3">
        <w:rPr>
          <w:rFonts w:ascii="Times New Roman" w:eastAsia="Times New Roman" w:hAnsi="Times New Roman" w:cs="Times New Roman"/>
          <w:i/>
          <w:iCs/>
          <w:sz w:val="26"/>
          <w:szCs w:val="26"/>
        </w:rPr>
        <w:t xml:space="preserve"> Policy Proceeding-Utilization of Storage Resources as Electric Distribution Assets</w:t>
      </w:r>
      <w:r w:rsidR="00F47581" w:rsidRPr="00EB5FC3">
        <w:rPr>
          <w:rFonts w:ascii="Times New Roman" w:eastAsia="Times New Roman" w:hAnsi="Times New Roman" w:cs="Times New Roman"/>
          <w:sz w:val="26"/>
          <w:szCs w:val="26"/>
        </w:rPr>
        <w:t>, Docket No. M-2020-3022877 (Secretarial Letters issued December 3, 2020</w:t>
      </w:r>
      <w:r w:rsidR="00F47581">
        <w:rPr>
          <w:rFonts w:ascii="Times New Roman" w:eastAsia="Times New Roman" w:hAnsi="Times New Roman" w:cs="Times New Roman"/>
          <w:sz w:val="26"/>
          <w:szCs w:val="26"/>
        </w:rPr>
        <w:t xml:space="preserve"> (</w:t>
      </w:r>
      <w:r w:rsidR="00F47581" w:rsidRPr="00791210">
        <w:rPr>
          <w:rFonts w:ascii="Times New Roman" w:eastAsia="Times New Roman" w:hAnsi="Times New Roman" w:cs="Times New Roman"/>
          <w:i/>
          <w:iCs/>
          <w:sz w:val="26"/>
          <w:szCs w:val="26"/>
        </w:rPr>
        <w:t>December</w:t>
      </w:r>
      <w:r w:rsidR="00D45641">
        <w:rPr>
          <w:rFonts w:ascii="Times New Roman" w:eastAsia="Times New Roman" w:hAnsi="Times New Roman" w:cs="Times New Roman"/>
          <w:i/>
          <w:iCs/>
          <w:sz w:val="26"/>
          <w:szCs w:val="26"/>
        </w:rPr>
        <w:t> </w:t>
      </w:r>
      <w:r w:rsidR="00F47581" w:rsidRPr="00791210">
        <w:rPr>
          <w:rFonts w:ascii="Times New Roman" w:eastAsia="Times New Roman" w:hAnsi="Times New Roman" w:cs="Times New Roman"/>
          <w:i/>
          <w:iCs/>
          <w:sz w:val="26"/>
          <w:szCs w:val="26"/>
        </w:rPr>
        <w:t>2020 Secretarial Letter</w:t>
      </w:r>
      <w:r w:rsidR="00F47581">
        <w:rPr>
          <w:rFonts w:ascii="Times New Roman" w:eastAsia="Times New Roman" w:hAnsi="Times New Roman" w:cs="Times New Roman"/>
          <w:sz w:val="26"/>
          <w:szCs w:val="26"/>
        </w:rPr>
        <w:t>)</w:t>
      </w:r>
      <w:r w:rsidR="00F47581" w:rsidRPr="00EB5FC3">
        <w:rPr>
          <w:rFonts w:ascii="Times New Roman" w:eastAsia="Times New Roman" w:hAnsi="Times New Roman" w:cs="Times New Roman"/>
          <w:sz w:val="26"/>
          <w:szCs w:val="26"/>
        </w:rPr>
        <w:t xml:space="preserve"> and August 12, 2021).</w:t>
      </w:r>
      <w:r w:rsidR="00F47581">
        <w:rPr>
          <w:rFonts w:ascii="Times New Roman" w:eastAsia="Times New Roman" w:hAnsi="Times New Roman" w:cs="Times New Roman"/>
          <w:sz w:val="26"/>
          <w:szCs w:val="26"/>
        </w:rPr>
        <w:t xml:space="preserve">  </w:t>
      </w:r>
      <w:r w:rsidR="00294592" w:rsidRPr="00CC0A1A">
        <w:rPr>
          <w:rFonts w:ascii="Times New Roman" w:hAnsi="Times New Roman" w:cs="Times New Roman"/>
          <w:sz w:val="26"/>
        </w:rPr>
        <w:t xml:space="preserve">Due to </w:t>
      </w:r>
      <w:r w:rsidR="00F924BE" w:rsidRPr="00CC0A1A">
        <w:rPr>
          <w:rFonts w:ascii="Times New Roman" w:hAnsi="Times New Roman" w:cs="Times New Roman"/>
          <w:sz w:val="26"/>
        </w:rPr>
        <w:t xml:space="preserve">adjustments made to the </w:t>
      </w:r>
      <w:r w:rsidR="00F47581">
        <w:rPr>
          <w:rFonts w:ascii="Times New Roman" w:hAnsi="Times New Roman" w:cs="Times New Roman"/>
          <w:sz w:val="26"/>
        </w:rPr>
        <w:t>b</w:t>
      </w:r>
      <w:r w:rsidR="00F924BE" w:rsidRPr="00CC0A1A">
        <w:rPr>
          <w:rFonts w:ascii="Times New Roman" w:hAnsi="Times New Roman" w:cs="Times New Roman"/>
          <w:sz w:val="26"/>
        </w:rPr>
        <w:t xml:space="preserve">attery </w:t>
      </w:r>
      <w:r w:rsidR="00F47581">
        <w:rPr>
          <w:rFonts w:ascii="Times New Roman" w:hAnsi="Times New Roman" w:cs="Times New Roman"/>
          <w:sz w:val="26"/>
        </w:rPr>
        <w:t>s</w:t>
      </w:r>
      <w:r w:rsidR="00F924BE" w:rsidRPr="00CC0A1A">
        <w:rPr>
          <w:rFonts w:ascii="Times New Roman" w:hAnsi="Times New Roman" w:cs="Times New Roman"/>
          <w:sz w:val="26"/>
        </w:rPr>
        <w:t xml:space="preserve">torage </w:t>
      </w:r>
      <w:r w:rsidR="00F47581">
        <w:rPr>
          <w:rFonts w:ascii="Times New Roman" w:hAnsi="Times New Roman" w:cs="Times New Roman"/>
          <w:sz w:val="26"/>
        </w:rPr>
        <w:t>proposal</w:t>
      </w:r>
      <w:r w:rsidR="00F924BE" w:rsidRPr="00CC0A1A">
        <w:rPr>
          <w:rFonts w:ascii="Times New Roman" w:hAnsi="Times New Roman" w:cs="Times New Roman"/>
          <w:sz w:val="26"/>
        </w:rPr>
        <w:t xml:space="preserve"> in the Settlement, I&amp;E supports </w:t>
      </w:r>
      <w:r w:rsidR="00EA5104" w:rsidRPr="00CC0A1A">
        <w:rPr>
          <w:rFonts w:ascii="Times New Roman" w:hAnsi="Times New Roman" w:cs="Times New Roman"/>
          <w:sz w:val="26"/>
        </w:rPr>
        <w:t xml:space="preserve">the Settlement provisions </w:t>
      </w:r>
      <w:r w:rsidR="00CC0A1A" w:rsidRPr="00CC0A1A">
        <w:rPr>
          <w:rFonts w:ascii="Times New Roman" w:hAnsi="Times New Roman" w:cs="Times New Roman"/>
          <w:sz w:val="26"/>
        </w:rPr>
        <w:t xml:space="preserve">as </w:t>
      </w:r>
      <w:r w:rsidR="00CC0A1A" w:rsidRPr="00CC0A1A">
        <w:rPr>
          <w:rFonts w:ascii="Times New Roman" w:hAnsi="Times New Roman" w:cs="Times New Roman"/>
          <w:sz w:val="26"/>
        </w:rPr>
        <w:lastRenderedPageBreak/>
        <w:t>a full and fair compromise that provides UGI, the Joint Petitioners, affected ratepayers, and the Commission with regulatory certainty and with a resolution regarding the battery storage proposal, all of which is in the public interest.</w:t>
      </w:r>
      <w:r w:rsidR="00D24BE2">
        <w:rPr>
          <w:rFonts w:ascii="Times New Roman" w:hAnsi="Times New Roman" w:cs="Times New Roman"/>
          <w:sz w:val="26"/>
        </w:rPr>
        <w:t xml:space="preserve">  </w:t>
      </w:r>
      <w:r w:rsidR="003B37BD">
        <w:rPr>
          <w:rFonts w:ascii="Times New Roman" w:hAnsi="Times New Roman" w:cs="Times New Roman"/>
          <w:sz w:val="26"/>
        </w:rPr>
        <w:t>I&amp;E Statement in Support at 16.</w:t>
      </w:r>
      <w:r w:rsidR="007068CA">
        <w:rPr>
          <w:rFonts w:ascii="Times New Roman" w:hAnsi="Times New Roman" w:cs="Times New Roman"/>
          <w:sz w:val="26"/>
        </w:rPr>
        <w:t xml:space="preserve">  </w:t>
      </w:r>
      <w:r w:rsidR="00C36C99">
        <w:rPr>
          <w:rFonts w:ascii="Times New Roman" w:hAnsi="Times New Roman" w:cs="Times New Roman"/>
          <w:sz w:val="26"/>
        </w:rPr>
        <w:t>I&amp;E submits that t</w:t>
      </w:r>
      <w:r w:rsidR="00EA5104" w:rsidRPr="00CC0A1A">
        <w:rPr>
          <w:rFonts w:ascii="Times New Roman" w:hAnsi="Times New Roman" w:cs="Times New Roman"/>
          <w:sz w:val="26"/>
        </w:rPr>
        <w:t>h</w:t>
      </w:r>
      <w:r w:rsidR="00C36C99">
        <w:rPr>
          <w:rFonts w:ascii="Times New Roman" w:hAnsi="Times New Roman" w:cs="Times New Roman"/>
          <w:sz w:val="26"/>
        </w:rPr>
        <w:t>e</w:t>
      </w:r>
      <w:r w:rsidR="00EA5104" w:rsidRPr="00CC0A1A">
        <w:rPr>
          <w:rFonts w:ascii="Times New Roman" w:hAnsi="Times New Roman" w:cs="Times New Roman"/>
          <w:sz w:val="26"/>
        </w:rPr>
        <w:t xml:space="preserve"> Settlement reflects a carefully-crafted compromise of the </w:t>
      </w:r>
      <w:r w:rsidR="00DB6753">
        <w:rPr>
          <w:rFonts w:ascii="Times New Roman" w:hAnsi="Times New Roman" w:cs="Times New Roman"/>
          <w:sz w:val="26"/>
        </w:rPr>
        <w:t>Joint Petitioners</w:t>
      </w:r>
      <w:r w:rsidR="00EA5104" w:rsidRPr="00CC0A1A">
        <w:rPr>
          <w:rFonts w:ascii="Times New Roman" w:hAnsi="Times New Roman" w:cs="Times New Roman"/>
          <w:sz w:val="26"/>
        </w:rPr>
        <w:t>’ positions and is based on the small size of the battery and the unique circumstances of the Ruckle Hill distribution circuit, including its voltage, its status as a worst performing circuit, the surrounding terrain, the nearby vegetation, and the load served by this circuit.</w:t>
      </w:r>
      <w:r w:rsidR="00C36C99">
        <w:rPr>
          <w:rFonts w:ascii="Times New Roman" w:hAnsi="Times New Roman" w:cs="Times New Roman"/>
          <w:sz w:val="26"/>
        </w:rPr>
        <w:t xml:space="preserve">  </w:t>
      </w:r>
      <w:r w:rsidR="007068CA" w:rsidRPr="007068CA">
        <w:rPr>
          <w:rFonts w:ascii="Times New Roman" w:hAnsi="Times New Roman" w:cs="Times New Roman"/>
          <w:i/>
          <w:iCs/>
          <w:sz w:val="26"/>
        </w:rPr>
        <w:t>Id</w:t>
      </w:r>
      <w:r w:rsidR="007068CA">
        <w:rPr>
          <w:rFonts w:ascii="Times New Roman" w:hAnsi="Times New Roman" w:cs="Times New Roman"/>
          <w:sz w:val="26"/>
        </w:rPr>
        <w:t xml:space="preserve">. at 11. </w:t>
      </w:r>
      <w:r w:rsidR="00EA5104" w:rsidRPr="00CC0A1A">
        <w:rPr>
          <w:rFonts w:ascii="Times New Roman" w:hAnsi="Times New Roman" w:cs="Times New Roman"/>
          <w:sz w:val="26"/>
        </w:rPr>
        <w:t xml:space="preserve"> </w:t>
      </w:r>
    </w:p>
    <w:p w14:paraId="41F45BD4" w14:textId="48A7F3D5" w:rsidR="007778FF" w:rsidRPr="00CC0A1A" w:rsidRDefault="00F924BE" w:rsidP="00CC0A1A">
      <w:pPr>
        <w:spacing w:after="0" w:line="360" w:lineRule="auto"/>
        <w:ind w:firstLine="1440"/>
        <w:rPr>
          <w:rFonts w:ascii="Times New Roman" w:hAnsi="Times New Roman" w:cs="Times New Roman"/>
        </w:rPr>
      </w:pPr>
      <w:r w:rsidRPr="00CC0A1A">
        <w:rPr>
          <w:rFonts w:ascii="Times New Roman" w:hAnsi="Times New Roman" w:cs="Times New Roman"/>
          <w:sz w:val="26"/>
        </w:rPr>
        <w:t xml:space="preserve"> </w:t>
      </w:r>
      <w:r w:rsidR="0017545E" w:rsidRPr="00CC0A1A">
        <w:rPr>
          <w:rFonts w:ascii="Times New Roman" w:hAnsi="Times New Roman" w:cs="Times New Roman"/>
          <w:sz w:val="26"/>
        </w:rPr>
        <w:t xml:space="preserve"> </w:t>
      </w:r>
      <w:r w:rsidR="00BD5287" w:rsidRPr="00CC0A1A">
        <w:rPr>
          <w:rFonts w:ascii="Times New Roman" w:hAnsi="Times New Roman" w:cs="Times New Roman"/>
          <w:sz w:val="26"/>
        </w:rPr>
        <w:t xml:space="preserve"> </w:t>
      </w:r>
      <w:r w:rsidR="007778FF" w:rsidRPr="00CC0A1A">
        <w:rPr>
          <w:rFonts w:ascii="Times New Roman" w:hAnsi="Times New Roman" w:cs="Times New Roman"/>
          <w:sz w:val="26"/>
        </w:rPr>
        <w:t xml:space="preserve">  </w:t>
      </w:r>
    </w:p>
    <w:p w14:paraId="0DCD781A" w14:textId="06382D11" w:rsidR="00DF142D" w:rsidRDefault="00E400AC" w:rsidP="00DF142D">
      <w:pPr>
        <w:spacing w:after="0" w:line="360" w:lineRule="auto"/>
        <w:ind w:right="346" w:hanging="14"/>
      </w:pPr>
      <w:r>
        <w:rPr>
          <w:rFonts w:ascii="Times New Roman" w:hAnsi="Times New Roman" w:cs="Times New Roman"/>
          <w:sz w:val="26"/>
        </w:rPr>
        <w:t xml:space="preserve"> </w:t>
      </w:r>
      <w:r w:rsidR="00DB6753">
        <w:rPr>
          <w:rFonts w:ascii="Times New Roman" w:hAnsi="Times New Roman" w:cs="Times New Roman"/>
          <w:sz w:val="26"/>
        </w:rPr>
        <w:tab/>
      </w:r>
      <w:r w:rsidR="00DB6753">
        <w:rPr>
          <w:rFonts w:ascii="Times New Roman" w:hAnsi="Times New Roman" w:cs="Times New Roman"/>
          <w:sz w:val="26"/>
        </w:rPr>
        <w:tab/>
      </w:r>
      <w:r w:rsidR="00B9107D">
        <w:rPr>
          <w:rFonts w:ascii="Times New Roman" w:hAnsi="Times New Roman" w:cs="Times New Roman"/>
          <w:sz w:val="26"/>
        </w:rPr>
        <w:t xml:space="preserve">Regarding the COVID-19 Cost Deferral Settlement provisions, I&amp;E initially recommended </w:t>
      </w:r>
      <w:r w:rsidR="000555AF">
        <w:rPr>
          <w:rFonts w:ascii="Times New Roman" w:hAnsi="Times New Roman" w:cs="Times New Roman"/>
          <w:sz w:val="26"/>
        </w:rPr>
        <w:t xml:space="preserve">disallowance of the Company’s claim.  </w:t>
      </w:r>
      <w:r w:rsidR="00EA55B3" w:rsidRPr="00EA55B3">
        <w:rPr>
          <w:rFonts w:ascii="Times New Roman" w:hAnsi="Times New Roman" w:cs="Times New Roman"/>
          <w:i/>
          <w:iCs/>
          <w:sz w:val="26"/>
        </w:rPr>
        <w:t>Id</w:t>
      </w:r>
      <w:r w:rsidR="00EA55B3">
        <w:rPr>
          <w:rFonts w:ascii="Times New Roman" w:hAnsi="Times New Roman" w:cs="Times New Roman"/>
          <w:sz w:val="26"/>
        </w:rPr>
        <w:t>.</w:t>
      </w:r>
      <w:r w:rsidR="000555AF">
        <w:rPr>
          <w:rFonts w:ascii="Times New Roman" w:hAnsi="Times New Roman" w:cs="Times New Roman"/>
          <w:sz w:val="26"/>
        </w:rPr>
        <w:t xml:space="preserve"> at 26</w:t>
      </w:r>
      <w:r w:rsidR="0032343C">
        <w:rPr>
          <w:rFonts w:ascii="Times New Roman" w:hAnsi="Times New Roman" w:cs="Times New Roman"/>
          <w:sz w:val="26"/>
        </w:rPr>
        <w:t xml:space="preserve"> (citing I&amp;E St.</w:t>
      </w:r>
      <w:r w:rsidR="00D45641">
        <w:rPr>
          <w:rFonts w:ascii="Times New Roman" w:hAnsi="Times New Roman" w:cs="Times New Roman"/>
          <w:sz w:val="26"/>
        </w:rPr>
        <w:t> </w:t>
      </w:r>
      <w:r w:rsidR="0032343C">
        <w:rPr>
          <w:rFonts w:ascii="Times New Roman" w:hAnsi="Times New Roman" w:cs="Times New Roman"/>
          <w:sz w:val="26"/>
        </w:rPr>
        <w:t xml:space="preserve">1 at 14).  </w:t>
      </w:r>
      <w:r w:rsidR="002134E5">
        <w:rPr>
          <w:rFonts w:ascii="Times New Roman" w:hAnsi="Times New Roman" w:cs="Times New Roman"/>
          <w:sz w:val="26"/>
        </w:rPr>
        <w:t>However, i</w:t>
      </w:r>
      <w:r w:rsidR="00DF142D" w:rsidRPr="00DF142D">
        <w:rPr>
          <w:rFonts w:ascii="Times New Roman" w:hAnsi="Times New Roman" w:cs="Times New Roman"/>
          <w:sz w:val="26"/>
        </w:rPr>
        <w:t xml:space="preserve">n consideration of the testimony </w:t>
      </w:r>
      <w:r w:rsidR="00ED263A">
        <w:rPr>
          <w:rFonts w:ascii="Times New Roman" w:hAnsi="Times New Roman" w:cs="Times New Roman"/>
          <w:sz w:val="26"/>
        </w:rPr>
        <w:t xml:space="preserve">I&amp;E </w:t>
      </w:r>
      <w:r w:rsidR="00DF142D" w:rsidRPr="00DF142D">
        <w:rPr>
          <w:rFonts w:ascii="Times New Roman" w:hAnsi="Times New Roman" w:cs="Times New Roman"/>
          <w:sz w:val="26"/>
        </w:rPr>
        <w:t>presented and the extensive negotiations with the Company and the Joint Petitioners, I&amp;E supports th</w:t>
      </w:r>
      <w:r w:rsidR="00F96EC9">
        <w:rPr>
          <w:rFonts w:ascii="Times New Roman" w:hAnsi="Times New Roman" w:cs="Times New Roman"/>
          <w:sz w:val="26"/>
        </w:rPr>
        <w:t>e</w:t>
      </w:r>
      <w:r w:rsidR="00DF142D" w:rsidRPr="00DF142D">
        <w:rPr>
          <w:rFonts w:ascii="Times New Roman" w:hAnsi="Times New Roman" w:cs="Times New Roman"/>
          <w:sz w:val="26"/>
        </w:rPr>
        <w:t xml:space="preserve"> settle</w:t>
      </w:r>
      <w:r w:rsidR="00F96EC9">
        <w:rPr>
          <w:rFonts w:ascii="Times New Roman" w:hAnsi="Times New Roman" w:cs="Times New Roman"/>
          <w:sz w:val="26"/>
        </w:rPr>
        <w:t>ment provisions reg</w:t>
      </w:r>
      <w:r w:rsidR="00DF142D" w:rsidRPr="00DF142D">
        <w:rPr>
          <w:rFonts w:ascii="Times New Roman" w:hAnsi="Times New Roman" w:cs="Times New Roman"/>
          <w:sz w:val="26"/>
        </w:rPr>
        <w:t>arding COVID-19 cost deferral recovery as a full and fair compromise that provides UGI</w:t>
      </w:r>
      <w:r w:rsidR="00F96EC9">
        <w:rPr>
          <w:rFonts w:ascii="Times New Roman" w:hAnsi="Times New Roman" w:cs="Times New Roman"/>
          <w:sz w:val="26"/>
        </w:rPr>
        <w:t xml:space="preserve"> Electric</w:t>
      </w:r>
      <w:r w:rsidR="00DF142D" w:rsidRPr="00DF142D">
        <w:rPr>
          <w:rFonts w:ascii="Times New Roman" w:hAnsi="Times New Roman" w:cs="Times New Roman"/>
          <w:sz w:val="26"/>
        </w:rPr>
        <w:t>, the Joint Petitioners, affected ratepayers, and the Commission with regulatory certainty and a resolution of the COVID-19 cost deferral recovery issue, all of which is in the public interest.</w:t>
      </w:r>
      <w:r w:rsidR="007C29B6">
        <w:rPr>
          <w:rFonts w:ascii="Times New Roman" w:hAnsi="Times New Roman" w:cs="Times New Roman"/>
          <w:sz w:val="26"/>
        </w:rPr>
        <w:t xml:space="preserve">  I&amp;E Statement in Support at 27-28.  </w:t>
      </w:r>
      <w:r w:rsidR="00DF142D">
        <w:rPr>
          <w:sz w:val="26"/>
        </w:rPr>
        <w:t xml:space="preserve">   </w:t>
      </w:r>
    </w:p>
    <w:p w14:paraId="14B2AFE7" w14:textId="77777777" w:rsidR="000929CF" w:rsidRPr="00496081" w:rsidRDefault="000929CF" w:rsidP="00496081">
      <w:pPr>
        <w:spacing w:line="360" w:lineRule="auto"/>
        <w:ind w:firstLine="1440"/>
        <w:contextualSpacing/>
        <w:rPr>
          <w:rFonts w:ascii="Times New Roman" w:hAnsi="Times New Roman" w:cs="Times New Roman"/>
          <w:sz w:val="26"/>
          <w:szCs w:val="26"/>
        </w:rPr>
      </w:pPr>
    </w:p>
    <w:p w14:paraId="2612EB4A" w14:textId="2D8D5013" w:rsidR="00B43A4E" w:rsidRPr="00496081" w:rsidRDefault="00BC0723" w:rsidP="00496081">
      <w:pPr>
        <w:keepNext/>
        <w:keepLines/>
        <w:spacing w:line="360" w:lineRule="auto"/>
        <w:ind w:left="2160" w:hanging="720"/>
        <w:contextualSpacing/>
        <w:rPr>
          <w:rFonts w:ascii="Times New Roman" w:hAnsi="Times New Roman" w:cs="Times New Roman"/>
          <w:b/>
          <w:sz w:val="26"/>
          <w:szCs w:val="26"/>
        </w:rPr>
      </w:pPr>
      <w:r w:rsidRPr="00496081">
        <w:rPr>
          <w:rFonts w:ascii="Times New Roman" w:hAnsi="Times New Roman" w:cs="Times New Roman"/>
          <w:b/>
          <w:sz w:val="26"/>
          <w:szCs w:val="26"/>
        </w:rPr>
        <w:t>c</w:t>
      </w:r>
      <w:r w:rsidR="00B43A4E" w:rsidRPr="00496081">
        <w:rPr>
          <w:rFonts w:ascii="Times New Roman" w:hAnsi="Times New Roman" w:cs="Times New Roman"/>
          <w:b/>
          <w:sz w:val="26"/>
          <w:szCs w:val="26"/>
        </w:rPr>
        <w:t>.</w:t>
      </w:r>
      <w:r w:rsidR="00B43A4E" w:rsidRPr="00496081">
        <w:rPr>
          <w:rFonts w:ascii="Times New Roman" w:hAnsi="Times New Roman" w:cs="Times New Roman"/>
          <w:b/>
          <w:sz w:val="26"/>
          <w:szCs w:val="26"/>
        </w:rPr>
        <w:tab/>
      </w:r>
      <w:r w:rsidR="005974C0">
        <w:rPr>
          <w:rFonts w:ascii="Times New Roman" w:hAnsi="Times New Roman" w:cs="Times New Roman"/>
          <w:b/>
          <w:sz w:val="26"/>
          <w:szCs w:val="26"/>
        </w:rPr>
        <w:t xml:space="preserve">The </w:t>
      </w:r>
      <w:r w:rsidR="00B43A4E" w:rsidRPr="00496081">
        <w:rPr>
          <w:rFonts w:ascii="Times New Roman" w:hAnsi="Times New Roman" w:cs="Times New Roman"/>
          <w:b/>
          <w:sz w:val="26"/>
          <w:szCs w:val="26"/>
        </w:rPr>
        <w:t>OCA</w:t>
      </w:r>
    </w:p>
    <w:p w14:paraId="3ED93C77" w14:textId="2CD817A2" w:rsidR="00B43A4E" w:rsidRDefault="00B43A4E" w:rsidP="00496081">
      <w:pPr>
        <w:keepNext/>
        <w:keepLines/>
        <w:spacing w:line="360" w:lineRule="auto"/>
        <w:ind w:firstLine="1440"/>
        <w:contextualSpacing/>
        <w:rPr>
          <w:rFonts w:ascii="Times New Roman" w:hAnsi="Times New Roman" w:cs="Times New Roman"/>
          <w:sz w:val="26"/>
          <w:szCs w:val="26"/>
        </w:rPr>
      </w:pPr>
    </w:p>
    <w:p w14:paraId="19AEEDB8" w14:textId="6F31C942" w:rsidR="006D00B7" w:rsidRPr="006D00B7" w:rsidRDefault="00840DD6" w:rsidP="00BA2AD9">
      <w:pPr>
        <w:spacing w:after="0" w:line="360" w:lineRule="auto"/>
        <w:ind w:firstLine="1440"/>
        <w:rPr>
          <w:rFonts w:ascii="Times New Roman" w:hAnsi="Times New Roman" w:cs="Times New Roman"/>
          <w:sz w:val="26"/>
          <w:szCs w:val="26"/>
        </w:rPr>
      </w:pPr>
      <w:r w:rsidRPr="006D00B7">
        <w:rPr>
          <w:rFonts w:ascii="Times New Roman" w:hAnsi="Times New Roman" w:cs="Times New Roman"/>
          <w:sz w:val="26"/>
          <w:szCs w:val="26"/>
        </w:rPr>
        <w:t xml:space="preserve">Based on the OCA’s analysis of UGI Electric’s filing, discovery responses, and testimony by all </w:t>
      </w:r>
      <w:r w:rsidR="006D00B7">
        <w:rPr>
          <w:rFonts w:ascii="Times New Roman" w:hAnsi="Times New Roman" w:cs="Times New Roman"/>
          <w:sz w:val="26"/>
          <w:szCs w:val="26"/>
        </w:rPr>
        <w:t>P</w:t>
      </w:r>
      <w:r w:rsidRPr="006D00B7">
        <w:rPr>
          <w:rFonts w:ascii="Times New Roman" w:hAnsi="Times New Roman" w:cs="Times New Roman"/>
          <w:sz w:val="26"/>
          <w:szCs w:val="26"/>
        </w:rPr>
        <w:t xml:space="preserve">arties, the </w:t>
      </w:r>
      <w:r w:rsidR="00A23F7D">
        <w:rPr>
          <w:rFonts w:ascii="Times New Roman" w:hAnsi="Times New Roman" w:cs="Times New Roman"/>
          <w:sz w:val="26"/>
          <w:szCs w:val="26"/>
        </w:rPr>
        <w:t xml:space="preserve">OCA avers that the </w:t>
      </w:r>
      <w:r w:rsidRPr="006D00B7">
        <w:rPr>
          <w:rFonts w:ascii="Times New Roman" w:hAnsi="Times New Roman" w:cs="Times New Roman"/>
          <w:sz w:val="26"/>
          <w:szCs w:val="26"/>
        </w:rPr>
        <w:t>revenue increase under the Settlement represents a result that would be within the range of likely outcomes in the event of full litigation of th</w:t>
      </w:r>
      <w:r w:rsidR="004D330A">
        <w:rPr>
          <w:rFonts w:ascii="Times New Roman" w:hAnsi="Times New Roman" w:cs="Times New Roman"/>
          <w:sz w:val="26"/>
          <w:szCs w:val="26"/>
        </w:rPr>
        <w:t>is</w:t>
      </w:r>
      <w:r w:rsidRPr="006D00B7">
        <w:rPr>
          <w:rFonts w:ascii="Times New Roman" w:hAnsi="Times New Roman" w:cs="Times New Roman"/>
          <w:sz w:val="26"/>
          <w:szCs w:val="26"/>
        </w:rPr>
        <w:t xml:space="preserve"> case.  </w:t>
      </w:r>
      <w:r w:rsidR="00A23F7D">
        <w:rPr>
          <w:rFonts w:ascii="Times New Roman" w:hAnsi="Times New Roman" w:cs="Times New Roman"/>
          <w:sz w:val="26"/>
          <w:szCs w:val="26"/>
        </w:rPr>
        <w:t>Thus</w:t>
      </w:r>
      <w:r w:rsidRPr="006D00B7">
        <w:rPr>
          <w:rFonts w:ascii="Times New Roman" w:hAnsi="Times New Roman" w:cs="Times New Roman"/>
          <w:sz w:val="26"/>
          <w:szCs w:val="26"/>
        </w:rPr>
        <w:t>, the OCA submits that the increase agreed to in this Settlement is in the public interest and in the interest of UGI Electric’s ratepayers</w:t>
      </w:r>
      <w:r w:rsidR="000941DF">
        <w:rPr>
          <w:rFonts w:ascii="Times New Roman" w:hAnsi="Times New Roman" w:cs="Times New Roman"/>
          <w:sz w:val="26"/>
          <w:szCs w:val="26"/>
        </w:rPr>
        <w:t>. O</w:t>
      </w:r>
      <w:r w:rsidR="00100FE7">
        <w:rPr>
          <w:rFonts w:ascii="Times New Roman" w:hAnsi="Times New Roman" w:cs="Times New Roman"/>
          <w:sz w:val="26"/>
          <w:szCs w:val="26"/>
        </w:rPr>
        <w:t>CA Statement in Support at 7.</w:t>
      </w:r>
      <w:r w:rsidR="000941DF">
        <w:rPr>
          <w:rFonts w:ascii="Times New Roman" w:hAnsi="Times New Roman" w:cs="Times New Roman"/>
          <w:sz w:val="26"/>
          <w:szCs w:val="26"/>
        </w:rPr>
        <w:t xml:space="preserve">  </w:t>
      </w:r>
      <w:r w:rsidR="00EF096B">
        <w:rPr>
          <w:rFonts w:ascii="Times New Roman" w:hAnsi="Times New Roman" w:cs="Times New Roman"/>
          <w:sz w:val="26"/>
          <w:szCs w:val="26"/>
        </w:rPr>
        <w:t>Additionally, b</w:t>
      </w:r>
      <w:r w:rsidR="00496F42" w:rsidRPr="006D00B7">
        <w:rPr>
          <w:rFonts w:ascii="Times New Roman" w:hAnsi="Times New Roman" w:cs="Times New Roman"/>
          <w:sz w:val="26"/>
          <w:szCs w:val="26"/>
        </w:rPr>
        <w:t xml:space="preserve">ased on the OCA’s review of the cost of service studies presented in this proceeding and the varying revenue allocation proposals, the OCA views the Settlement to be within the range of reasonable outcomes that would </w:t>
      </w:r>
      <w:r w:rsidR="00496F42" w:rsidRPr="006D00B7">
        <w:rPr>
          <w:rFonts w:ascii="Times New Roman" w:hAnsi="Times New Roman" w:cs="Times New Roman"/>
          <w:sz w:val="26"/>
          <w:szCs w:val="26"/>
        </w:rPr>
        <w:lastRenderedPageBreak/>
        <w:t xml:space="preserve">result from full litigation of this case.  </w:t>
      </w:r>
      <w:r w:rsidR="00EF096B">
        <w:rPr>
          <w:rFonts w:ascii="Times New Roman" w:hAnsi="Times New Roman" w:cs="Times New Roman"/>
          <w:sz w:val="26"/>
          <w:szCs w:val="26"/>
        </w:rPr>
        <w:t>T</w:t>
      </w:r>
      <w:r w:rsidR="006D00B7" w:rsidRPr="006D00B7">
        <w:rPr>
          <w:rFonts w:ascii="Times New Roman" w:hAnsi="Times New Roman" w:cs="Times New Roman"/>
          <w:sz w:val="26"/>
          <w:szCs w:val="26"/>
        </w:rPr>
        <w:t xml:space="preserve">he </w:t>
      </w:r>
      <w:r w:rsidR="00EF096B">
        <w:rPr>
          <w:rFonts w:ascii="Times New Roman" w:hAnsi="Times New Roman" w:cs="Times New Roman"/>
          <w:sz w:val="26"/>
          <w:szCs w:val="26"/>
        </w:rPr>
        <w:t xml:space="preserve">OCA states that the </w:t>
      </w:r>
      <w:r w:rsidR="006D00B7" w:rsidRPr="006D00B7">
        <w:rPr>
          <w:rFonts w:ascii="Times New Roman" w:hAnsi="Times New Roman" w:cs="Times New Roman"/>
          <w:sz w:val="26"/>
          <w:szCs w:val="26"/>
        </w:rPr>
        <w:t>Settlement reduces the impact of th</w:t>
      </w:r>
      <w:r w:rsidR="00EF096B">
        <w:rPr>
          <w:rFonts w:ascii="Times New Roman" w:hAnsi="Times New Roman" w:cs="Times New Roman"/>
          <w:sz w:val="26"/>
          <w:szCs w:val="26"/>
        </w:rPr>
        <w:t>e</w:t>
      </w:r>
      <w:r w:rsidR="006D00B7" w:rsidRPr="006D00B7">
        <w:rPr>
          <w:rFonts w:ascii="Times New Roman" w:hAnsi="Times New Roman" w:cs="Times New Roman"/>
          <w:sz w:val="26"/>
          <w:szCs w:val="26"/>
        </w:rPr>
        <w:t xml:space="preserve"> rate increase on residential customers.  </w:t>
      </w:r>
      <w:r w:rsidR="0077369D">
        <w:rPr>
          <w:rFonts w:ascii="Times New Roman" w:hAnsi="Times New Roman" w:cs="Times New Roman"/>
          <w:sz w:val="26"/>
          <w:szCs w:val="26"/>
        </w:rPr>
        <w:t>Further, t</w:t>
      </w:r>
      <w:r w:rsidR="00EF096B">
        <w:rPr>
          <w:rFonts w:ascii="Times New Roman" w:hAnsi="Times New Roman" w:cs="Times New Roman"/>
          <w:sz w:val="26"/>
          <w:szCs w:val="26"/>
        </w:rPr>
        <w:t xml:space="preserve">he OCA </w:t>
      </w:r>
      <w:r w:rsidR="0077369D">
        <w:rPr>
          <w:rFonts w:ascii="Times New Roman" w:hAnsi="Times New Roman" w:cs="Times New Roman"/>
          <w:sz w:val="26"/>
          <w:szCs w:val="26"/>
        </w:rPr>
        <w:t xml:space="preserve">asserts that </w:t>
      </w:r>
      <w:r w:rsidR="006D00B7" w:rsidRPr="006D00B7">
        <w:rPr>
          <w:rFonts w:ascii="Times New Roman" w:hAnsi="Times New Roman" w:cs="Times New Roman"/>
          <w:sz w:val="26"/>
          <w:szCs w:val="26"/>
        </w:rPr>
        <w:t xml:space="preserve">reducing the amount of the increase allocated to the fixed monthly customer charge will ensure that customers have greater control over lowering their monthly bills through conservation and usage reduction efforts. </w:t>
      </w:r>
      <w:r w:rsidR="0077369D">
        <w:rPr>
          <w:rFonts w:ascii="Times New Roman" w:hAnsi="Times New Roman" w:cs="Times New Roman"/>
          <w:sz w:val="26"/>
          <w:szCs w:val="26"/>
        </w:rPr>
        <w:t xml:space="preserve"> </w:t>
      </w:r>
      <w:r w:rsidR="006D00B7" w:rsidRPr="006D00B7">
        <w:rPr>
          <w:rFonts w:ascii="Times New Roman" w:hAnsi="Times New Roman" w:cs="Times New Roman"/>
          <w:sz w:val="26"/>
          <w:szCs w:val="26"/>
        </w:rPr>
        <w:t xml:space="preserve">Accordingly, the OCA submits that the revenue allocation is reasonable, </w:t>
      </w:r>
      <w:r w:rsidR="00504A03">
        <w:rPr>
          <w:rFonts w:ascii="Times New Roman" w:hAnsi="Times New Roman" w:cs="Times New Roman"/>
          <w:sz w:val="26"/>
          <w:szCs w:val="26"/>
        </w:rPr>
        <w:t xml:space="preserve">is </w:t>
      </w:r>
      <w:r w:rsidR="006D00B7" w:rsidRPr="006D00B7">
        <w:rPr>
          <w:rFonts w:ascii="Times New Roman" w:hAnsi="Times New Roman" w:cs="Times New Roman"/>
          <w:sz w:val="26"/>
          <w:szCs w:val="26"/>
        </w:rPr>
        <w:t xml:space="preserve">in the public interest, and should </w:t>
      </w:r>
      <w:r w:rsidR="00504A03">
        <w:rPr>
          <w:rFonts w:ascii="Times New Roman" w:hAnsi="Times New Roman" w:cs="Times New Roman"/>
          <w:sz w:val="26"/>
          <w:szCs w:val="26"/>
        </w:rPr>
        <w:t xml:space="preserve">therefore </w:t>
      </w:r>
      <w:r w:rsidR="006D00B7" w:rsidRPr="006D00B7">
        <w:rPr>
          <w:rFonts w:ascii="Times New Roman" w:hAnsi="Times New Roman" w:cs="Times New Roman"/>
          <w:sz w:val="26"/>
          <w:szCs w:val="26"/>
        </w:rPr>
        <w:t>be approved.</w:t>
      </w:r>
      <w:r w:rsidR="0077369D">
        <w:rPr>
          <w:rFonts w:ascii="Times New Roman" w:hAnsi="Times New Roman" w:cs="Times New Roman"/>
          <w:sz w:val="26"/>
          <w:szCs w:val="26"/>
        </w:rPr>
        <w:t xml:space="preserve">  </w:t>
      </w:r>
      <w:r w:rsidR="0077369D" w:rsidRPr="0077369D">
        <w:rPr>
          <w:rFonts w:ascii="Times New Roman" w:hAnsi="Times New Roman" w:cs="Times New Roman"/>
          <w:i/>
          <w:iCs/>
          <w:sz w:val="26"/>
          <w:szCs w:val="26"/>
        </w:rPr>
        <w:t>Id</w:t>
      </w:r>
      <w:r w:rsidR="0077369D">
        <w:rPr>
          <w:rFonts w:ascii="Times New Roman" w:hAnsi="Times New Roman" w:cs="Times New Roman"/>
          <w:sz w:val="26"/>
          <w:szCs w:val="26"/>
        </w:rPr>
        <w:t xml:space="preserve">. at 8.  </w:t>
      </w:r>
      <w:r w:rsidR="006D00B7" w:rsidRPr="006D00B7">
        <w:rPr>
          <w:rFonts w:ascii="Times New Roman" w:hAnsi="Times New Roman" w:cs="Times New Roman"/>
          <w:sz w:val="26"/>
          <w:szCs w:val="26"/>
        </w:rPr>
        <w:t xml:space="preserve">  </w:t>
      </w:r>
    </w:p>
    <w:p w14:paraId="790F7565" w14:textId="066FDCA7" w:rsidR="005547F5" w:rsidRDefault="005547F5" w:rsidP="00496081">
      <w:pPr>
        <w:keepNext/>
        <w:keepLines/>
        <w:spacing w:line="360" w:lineRule="auto"/>
        <w:ind w:firstLine="1440"/>
        <w:contextualSpacing/>
        <w:rPr>
          <w:rFonts w:ascii="Times New Roman" w:hAnsi="Times New Roman" w:cs="Times New Roman"/>
          <w:sz w:val="26"/>
          <w:szCs w:val="26"/>
        </w:rPr>
      </w:pPr>
    </w:p>
    <w:p w14:paraId="5ED7B5C1" w14:textId="77777777" w:rsidR="00D45641" w:rsidRDefault="00822608" w:rsidP="00822608">
      <w:pPr>
        <w:spacing w:after="0" w:line="360" w:lineRule="auto"/>
        <w:ind w:left="90" w:firstLine="1350"/>
        <w:rPr>
          <w:rFonts w:ascii="Times New Roman" w:hAnsi="Times New Roman" w:cs="Times New Roman"/>
          <w:sz w:val="26"/>
          <w:szCs w:val="26"/>
        </w:rPr>
      </w:pPr>
      <w:r>
        <w:rPr>
          <w:rFonts w:ascii="Times New Roman" w:hAnsi="Times New Roman" w:cs="Times New Roman"/>
          <w:sz w:val="26"/>
          <w:szCs w:val="26"/>
        </w:rPr>
        <w:t>Regarding</w:t>
      </w:r>
      <w:r w:rsidR="00E52B5E" w:rsidRPr="00822608">
        <w:rPr>
          <w:rFonts w:ascii="Times New Roman" w:hAnsi="Times New Roman" w:cs="Times New Roman"/>
          <w:sz w:val="26"/>
          <w:szCs w:val="26"/>
        </w:rPr>
        <w:t xml:space="preserve"> the Company’s battery storage proposal, the OCA initially </w:t>
      </w:r>
      <w:r w:rsidR="00395479" w:rsidRPr="00822608">
        <w:rPr>
          <w:rFonts w:ascii="Times New Roman" w:hAnsi="Times New Roman" w:cs="Times New Roman"/>
          <w:sz w:val="26"/>
          <w:szCs w:val="26"/>
        </w:rPr>
        <w:t xml:space="preserve">recommended that the Commission reject the proposal.  </w:t>
      </w:r>
      <w:r w:rsidR="004370AA">
        <w:rPr>
          <w:rFonts w:ascii="Times New Roman" w:hAnsi="Times New Roman" w:cs="Times New Roman"/>
          <w:sz w:val="26"/>
          <w:szCs w:val="26"/>
        </w:rPr>
        <w:t xml:space="preserve">The OCA was concerned that </w:t>
      </w:r>
      <w:r w:rsidRPr="00822608">
        <w:rPr>
          <w:rFonts w:ascii="Times New Roman" w:hAnsi="Times New Roman" w:cs="Times New Roman"/>
          <w:sz w:val="26"/>
          <w:szCs w:val="26"/>
        </w:rPr>
        <w:t xml:space="preserve">the battery may perform a generation function such that the Company’s ownership may violate Section 2804(14) of the Code, </w:t>
      </w:r>
      <w:r w:rsidR="00603B96">
        <w:rPr>
          <w:rFonts w:ascii="Times New Roman" w:hAnsi="Times New Roman" w:cs="Times New Roman"/>
          <w:sz w:val="26"/>
          <w:szCs w:val="26"/>
        </w:rPr>
        <w:t>66 Pa. C.S. § 2804</w:t>
      </w:r>
      <w:r w:rsidR="006526E1">
        <w:rPr>
          <w:rFonts w:ascii="Times New Roman" w:hAnsi="Times New Roman" w:cs="Times New Roman"/>
          <w:sz w:val="26"/>
          <w:szCs w:val="26"/>
        </w:rPr>
        <w:t>(14)</w:t>
      </w:r>
      <w:r w:rsidR="00E673E0">
        <w:rPr>
          <w:rFonts w:ascii="Times New Roman" w:hAnsi="Times New Roman" w:cs="Times New Roman"/>
          <w:sz w:val="26"/>
          <w:szCs w:val="26"/>
        </w:rPr>
        <w:t>,</w:t>
      </w:r>
      <w:r w:rsidR="006526E1">
        <w:rPr>
          <w:rFonts w:ascii="Times New Roman" w:hAnsi="Times New Roman" w:cs="Times New Roman"/>
          <w:sz w:val="26"/>
          <w:szCs w:val="26"/>
        </w:rPr>
        <w:t xml:space="preserve"> </w:t>
      </w:r>
      <w:r w:rsidRPr="00822608">
        <w:rPr>
          <w:rFonts w:ascii="Times New Roman" w:hAnsi="Times New Roman" w:cs="Times New Roman"/>
          <w:sz w:val="26"/>
          <w:szCs w:val="26"/>
        </w:rPr>
        <w:t>that the Company ha</w:t>
      </w:r>
      <w:r w:rsidR="0011274E">
        <w:rPr>
          <w:rFonts w:ascii="Times New Roman" w:hAnsi="Times New Roman" w:cs="Times New Roman"/>
          <w:sz w:val="26"/>
          <w:szCs w:val="26"/>
        </w:rPr>
        <w:t>d</w:t>
      </w:r>
      <w:r w:rsidRPr="00822608">
        <w:rPr>
          <w:rFonts w:ascii="Times New Roman" w:hAnsi="Times New Roman" w:cs="Times New Roman"/>
          <w:sz w:val="26"/>
          <w:szCs w:val="26"/>
        </w:rPr>
        <w:t xml:space="preserve"> not demonstrated that the </w:t>
      </w:r>
      <w:r w:rsidR="0011274E">
        <w:rPr>
          <w:rFonts w:ascii="Times New Roman" w:hAnsi="Times New Roman" w:cs="Times New Roman"/>
          <w:sz w:val="26"/>
          <w:szCs w:val="26"/>
        </w:rPr>
        <w:t>proposal was</w:t>
      </w:r>
      <w:r w:rsidRPr="00822608">
        <w:rPr>
          <w:rFonts w:ascii="Times New Roman" w:hAnsi="Times New Roman" w:cs="Times New Roman"/>
          <w:sz w:val="26"/>
          <w:szCs w:val="26"/>
        </w:rPr>
        <w:t xml:space="preserve"> the most cost effective approach to meeting the demands of the </w:t>
      </w:r>
      <w:r w:rsidR="00603B96">
        <w:rPr>
          <w:rFonts w:ascii="Times New Roman" w:hAnsi="Times New Roman" w:cs="Times New Roman"/>
          <w:sz w:val="26"/>
          <w:szCs w:val="26"/>
        </w:rPr>
        <w:t>sixty-eight</w:t>
      </w:r>
      <w:r w:rsidRPr="00822608">
        <w:rPr>
          <w:rFonts w:ascii="Times New Roman" w:hAnsi="Times New Roman" w:cs="Times New Roman"/>
          <w:sz w:val="26"/>
          <w:szCs w:val="26"/>
        </w:rPr>
        <w:t xml:space="preserve"> customers in the battery’s footprint, and that the battery </w:t>
      </w:r>
      <w:r w:rsidR="00CA6460">
        <w:rPr>
          <w:rFonts w:ascii="Times New Roman" w:hAnsi="Times New Roman" w:cs="Times New Roman"/>
          <w:sz w:val="26"/>
          <w:szCs w:val="26"/>
        </w:rPr>
        <w:t>was</w:t>
      </w:r>
      <w:r w:rsidRPr="00822608">
        <w:rPr>
          <w:rFonts w:ascii="Times New Roman" w:hAnsi="Times New Roman" w:cs="Times New Roman"/>
          <w:sz w:val="26"/>
          <w:szCs w:val="26"/>
        </w:rPr>
        <w:t xml:space="preserve"> not sufficiently charged for service if it participate</w:t>
      </w:r>
      <w:r w:rsidR="00CA6460">
        <w:rPr>
          <w:rFonts w:ascii="Times New Roman" w:hAnsi="Times New Roman" w:cs="Times New Roman"/>
          <w:sz w:val="26"/>
          <w:szCs w:val="26"/>
        </w:rPr>
        <w:t>d</w:t>
      </w:r>
      <w:r w:rsidRPr="00822608">
        <w:rPr>
          <w:rFonts w:ascii="Times New Roman" w:hAnsi="Times New Roman" w:cs="Times New Roman"/>
          <w:sz w:val="26"/>
          <w:szCs w:val="26"/>
        </w:rPr>
        <w:t xml:space="preserve"> in PJM’s Frequency Regulation Market.</w:t>
      </w:r>
      <w:r w:rsidR="006526E1">
        <w:rPr>
          <w:rFonts w:ascii="Times New Roman" w:hAnsi="Times New Roman" w:cs="Times New Roman"/>
          <w:sz w:val="26"/>
          <w:szCs w:val="26"/>
        </w:rPr>
        <w:t xml:space="preserve">  OCA Statement in Support at 10-11 (citing</w:t>
      </w:r>
      <w:r w:rsidRPr="00822608">
        <w:rPr>
          <w:rFonts w:ascii="Times New Roman" w:hAnsi="Times New Roman" w:cs="Times New Roman"/>
          <w:sz w:val="26"/>
          <w:szCs w:val="26"/>
        </w:rPr>
        <w:t xml:space="preserve"> OCA St. 3 at 26-27).</w:t>
      </w:r>
      <w:r w:rsidR="00C12A23">
        <w:rPr>
          <w:rFonts w:ascii="Times New Roman" w:hAnsi="Times New Roman" w:cs="Times New Roman"/>
          <w:sz w:val="26"/>
          <w:szCs w:val="26"/>
        </w:rPr>
        <w:t xml:space="preserve">  </w:t>
      </w:r>
      <w:r w:rsidR="00745F40">
        <w:rPr>
          <w:rFonts w:ascii="Times New Roman" w:hAnsi="Times New Roman" w:cs="Times New Roman"/>
          <w:sz w:val="26"/>
          <w:szCs w:val="26"/>
        </w:rPr>
        <w:t xml:space="preserve">Based on the </w:t>
      </w:r>
      <w:r w:rsidR="0070090C">
        <w:rPr>
          <w:rFonts w:ascii="Times New Roman" w:hAnsi="Times New Roman" w:cs="Times New Roman"/>
          <w:sz w:val="26"/>
          <w:szCs w:val="26"/>
        </w:rPr>
        <w:t>Joint Petitioners</w:t>
      </w:r>
      <w:r w:rsidR="00745F40">
        <w:rPr>
          <w:rFonts w:ascii="Times New Roman" w:hAnsi="Times New Roman" w:cs="Times New Roman"/>
          <w:sz w:val="26"/>
          <w:szCs w:val="26"/>
        </w:rPr>
        <w:t xml:space="preserve">’ agreements, the OCA now </w:t>
      </w:r>
      <w:r w:rsidR="00693186">
        <w:rPr>
          <w:rFonts w:ascii="Times New Roman" w:hAnsi="Times New Roman" w:cs="Times New Roman"/>
          <w:sz w:val="26"/>
          <w:szCs w:val="26"/>
        </w:rPr>
        <w:t>supports the settlement of this issue as a fair resolution</w:t>
      </w:r>
      <w:r w:rsidR="00B46739">
        <w:rPr>
          <w:rFonts w:ascii="Times New Roman" w:hAnsi="Times New Roman" w:cs="Times New Roman"/>
          <w:sz w:val="26"/>
          <w:szCs w:val="26"/>
        </w:rPr>
        <w:t xml:space="preserve">.  The OCA avers that the </w:t>
      </w:r>
      <w:r w:rsidR="00B46739" w:rsidRPr="00B46739">
        <w:rPr>
          <w:rFonts w:ascii="Times New Roman" w:hAnsi="Times New Roman" w:cs="Times New Roman"/>
          <w:sz w:val="26"/>
          <w:szCs w:val="26"/>
        </w:rPr>
        <w:t xml:space="preserve">Settlement will provide the </w:t>
      </w:r>
      <w:r w:rsidR="00B46739">
        <w:rPr>
          <w:rFonts w:ascii="Times New Roman" w:hAnsi="Times New Roman" w:cs="Times New Roman"/>
          <w:sz w:val="26"/>
          <w:szCs w:val="26"/>
        </w:rPr>
        <w:t>P</w:t>
      </w:r>
      <w:r w:rsidR="00B46739" w:rsidRPr="00B46739">
        <w:rPr>
          <w:rFonts w:ascii="Times New Roman" w:hAnsi="Times New Roman" w:cs="Times New Roman"/>
          <w:sz w:val="26"/>
          <w:szCs w:val="26"/>
        </w:rPr>
        <w:t xml:space="preserve">arties </w:t>
      </w:r>
      <w:r w:rsidR="004B360B">
        <w:rPr>
          <w:rFonts w:ascii="Times New Roman" w:hAnsi="Times New Roman" w:cs="Times New Roman"/>
          <w:sz w:val="26"/>
          <w:szCs w:val="26"/>
        </w:rPr>
        <w:t xml:space="preserve">with </w:t>
      </w:r>
      <w:r w:rsidR="00B46739" w:rsidRPr="00B46739">
        <w:rPr>
          <w:rFonts w:ascii="Times New Roman" w:hAnsi="Times New Roman" w:cs="Times New Roman"/>
          <w:sz w:val="26"/>
          <w:szCs w:val="26"/>
        </w:rPr>
        <w:t xml:space="preserve">an opportunity to learn and understand how the Company operates the battery, the benefits </w:t>
      </w:r>
      <w:r w:rsidR="004B360B">
        <w:rPr>
          <w:rFonts w:ascii="Times New Roman" w:hAnsi="Times New Roman" w:cs="Times New Roman"/>
          <w:sz w:val="26"/>
          <w:szCs w:val="26"/>
        </w:rPr>
        <w:t>the battery</w:t>
      </w:r>
      <w:r w:rsidR="00B46739" w:rsidRPr="00B46739">
        <w:rPr>
          <w:rFonts w:ascii="Times New Roman" w:hAnsi="Times New Roman" w:cs="Times New Roman"/>
          <w:sz w:val="26"/>
          <w:szCs w:val="26"/>
        </w:rPr>
        <w:t xml:space="preserve"> provides, and the extent to which </w:t>
      </w:r>
      <w:r w:rsidR="004B360B">
        <w:rPr>
          <w:rFonts w:ascii="Times New Roman" w:hAnsi="Times New Roman" w:cs="Times New Roman"/>
          <w:sz w:val="26"/>
          <w:szCs w:val="26"/>
        </w:rPr>
        <w:t>the battery</w:t>
      </w:r>
      <w:r w:rsidR="00B46739" w:rsidRPr="00B46739">
        <w:rPr>
          <w:rFonts w:ascii="Times New Roman" w:hAnsi="Times New Roman" w:cs="Times New Roman"/>
          <w:sz w:val="26"/>
          <w:szCs w:val="26"/>
        </w:rPr>
        <w:t xml:space="preserve"> enhances the reliability of the </w:t>
      </w:r>
      <w:r w:rsidR="004B360B">
        <w:rPr>
          <w:rFonts w:ascii="Times New Roman" w:hAnsi="Times New Roman" w:cs="Times New Roman"/>
          <w:sz w:val="26"/>
          <w:szCs w:val="26"/>
        </w:rPr>
        <w:t xml:space="preserve">Company’s </w:t>
      </w:r>
      <w:r w:rsidR="00B46739" w:rsidRPr="00B46739">
        <w:rPr>
          <w:rFonts w:ascii="Times New Roman" w:hAnsi="Times New Roman" w:cs="Times New Roman"/>
          <w:sz w:val="26"/>
          <w:szCs w:val="26"/>
        </w:rPr>
        <w:t xml:space="preserve">distribution system.  </w:t>
      </w:r>
      <w:r w:rsidR="00863D9B">
        <w:rPr>
          <w:rFonts w:ascii="Times New Roman" w:hAnsi="Times New Roman" w:cs="Times New Roman"/>
          <w:sz w:val="26"/>
          <w:szCs w:val="26"/>
        </w:rPr>
        <w:t xml:space="preserve">OCA Statement in Support at 11.  </w:t>
      </w:r>
      <w:r w:rsidR="00B46739">
        <w:rPr>
          <w:rFonts w:ascii="Times New Roman" w:hAnsi="Times New Roman" w:cs="Times New Roman"/>
          <w:sz w:val="26"/>
          <w:szCs w:val="26"/>
        </w:rPr>
        <w:t>The OCA e</w:t>
      </w:r>
      <w:r w:rsidR="00863D9B">
        <w:rPr>
          <w:rFonts w:ascii="Times New Roman" w:hAnsi="Times New Roman" w:cs="Times New Roman"/>
          <w:sz w:val="26"/>
          <w:szCs w:val="26"/>
        </w:rPr>
        <w:t>mphasized that</w:t>
      </w:r>
      <w:r w:rsidR="00B46739" w:rsidRPr="00B46739">
        <w:rPr>
          <w:rFonts w:ascii="Times New Roman" w:hAnsi="Times New Roman" w:cs="Times New Roman"/>
          <w:sz w:val="26"/>
          <w:szCs w:val="26"/>
        </w:rPr>
        <w:t xml:space="preserve"> if the Company fails to demonstrate these benefits, the Settlement allows the </w:t>
      </w:r>
      <w:r w:rsidR="00CE3AE7">
        <w:rPr>
          <w:rFonts w:ascii="Times New Roman" w:hAnsi="Times New Roman" w:cs="Times New Roman"/>
          <w:sz w:val="26"/>
          <w:szCs w:val="26"/>
        </w:rPr>
        <w:t>P</w:t>
      </w:r>
      <w:r w:rsidR="008C184B">
        <w:rPr>
          <w:rFonts w:ascii="Times New Roman" w:hAnsi="Times New Roman" w:cs="Times New Roman"/>
          <w:sz w:val="26"/>
          <w:szCs w:val="26"/>
        </w:rPr>
        <w:t>a</w:t>
      </w:r>
      <w:r w:rsidR="00B46739" w:rsidRPr="00B46739">
        <w:rPr>
          <w:rFonts w:ascii="Times New Roman" w:hAnsi="Times New Roman" w:cs="Times New Roman"/>
          <w:sz w:val="26"/>
          <w:szCs w:val="26"/>
        </w:rPr>
        <w:t>rties to recommend removal of the battery asset from rate base in a future base rate proceeding.</w:t>
      </w:r>
      <w:r w:rsidR="00863D9B">
        <w:rPr>
          <w:rFonts w:ascii="Times New Roman" w:hAnsi="Times New Roman" w:cs="Times New Roman"/>
          <w:sz w:val="26"/>
          <w:szCs w:val="26"/>
        </w:rPr>
        <w:t xml:space="preserve">  </w:t>
      </w:r>
      <w:r w:rsidR="00863D9B" w:rsidRPr="00863D9B">
        <w:rPr>
          <w:rFonts w:ascii="Times New Roman" w:hAnsi="Times New Roman" w:cs="Times New Roman"/>
          <w:i/>
          <w:iCs/>
          <w:sz w:val="26"/>
          <w:szCs w:val="26"/>
        </w:rPr>
        <w:t>Id</w:t>
      </w:r>
      <w:r w:rsidR="00863D9B">
        <w:rPr>
          <w:rFonts w:ascii="Times New Roman" w:hAnsi="Times New Roman" w:cs="Times New Roman"/>
          <w:sz w:val="26"/>
          <w:szCs w:val="26"/>
        </w:rPr>
        <w:t xml:space="preserve">. at 11-12.  </w:t>
      </w:r>
    </w:p>
    <w:p w14:paraId="2FD400AB" w14:textId="55C0C1CD" w:rsidR="00822608" w:rsidRPr="00B46739" w:rsidRDefault="00745F40" w:rsidP="00822608">
      <w:pPr>
        <w:spacing w:after="0" w:line="360" w:lineRule="auto"/>
        <w:ind w:left="90" w:firstLine="1350"/>
        <w:rPr>
          <w:rFonts w:ascii="Times New Roman" w:hAnsi="Times New Roman" w:cs="Times New Roman"/>
          <w:sz w:val="26"/>
          <w:szCs w:val="26"/>
        </w:rPr>
      </w:pPr>
      <w:r w:rsidRPr="00B46739">
        <w:rPr>
          <w:rFonts w:ascii="Times New Roman" w:hAnsi="Times New Roman" w:cs="Times New Roman"/>
          <w:sz w:val="26"/>
          <w:szCs w:val="26"/>
        </w:rPr>
        <w:t xml:space="preserve"> </w:t>
      </w:r>
      <w:r w:rsidR="00822608" w:rsidRPr="00B46739">
        <w:rPr>
          <w:rFonts w:ascii="Times New Roman" w:hAnsi="Times New Roman" w:cs="Times New Roman"/>
          <w:sz w:val="26"/>
          <w:szCs w:val="26"/>
        </w:rPr>
        <w:t xml:space="preserve"> </w:t>
      </w:r>
    </w:p>
    <w:p w14:paraId="065D6378" w14:textId="01A1C872" w:rsidR="00E111BA" w:rsidRPr="00496081" w:rsidRDefault="00E111BA" w:rsidP="00D45641">
      <w:pPr>
        <w:keepNext/>
        <w:spacing w:line="360" w:lineRule="auto"/>
        <w:ind w:firstLine="1440"/>
        <w:contextualSpacing/>
        <w:rPr>
          <w:rFonts w:ascii="Times New Roman" w:hAnsi="Times New Roman" w:cs="Times New Roman"/>
          <w:b/>
          <w:sz w:val="26"/>
          <w:szCs w:val="26"/>
        </w:rPr>
      </w:pPr>
      <w:r w:rsidRPr="00496081">
        <w:rPr>
          <w:rFonts w:ascii="Times New Roman" w:hAnsi="Times New Roman" w:cs="Times New Roman"/>
          <w:b/>
          <w:sz w:val="26"/>
          <w:szCs w:val="26"/>
        </w:rPr>
        <w:lastRenderedPageBreak/>
        <w:t>d.</w:t>
      </w:r>
      <w:r w:rsidRPr="00496081">
        <w:rPr>
          <w:rFonts w:ascii="Times New Roman" w:hAnsi="Times New Roman" w:cs="Times New Roman"/>
          <w:b/>
          <w:sz w:val="26"/>
          <w:szCs w:val="26"/>
        </w:rPr>
        <w:tab/>
      </w:r>
      <w:r w:rsidR="00F7719F">
        <w:rPr>
          <w:rFonts w:ascii="Times New Roman" w:hAnsi="Times New Roman" w:cs="Times New Roman"/>
          <w:b/>
          <w:sz w:val="26"/>
          <w:szCs w:val="26"/>
        </w:rPr>
        <w:t xml:space="preserve">The </w:t>
      </w:r>
      <w:r w:rsidRPr="00496081">
        <w:rPr>
          <w:rFonts w:ascii="Times New Roman" w:hAnsi="Times New Roman" w:cs="Times New Roman"/>
          <w:b/>
          <w:sz w:val="26"/>
          <w:szCs w:val="26"/>
        </w:rPr>
        <w:t>OSBA</w:t>
      </w:r>
    </w:p>
    <w:p w14:paraId="47BDAFF6" w14:textId="77777777" w:rsidR="00E111BA" w:rsidRPr="00496081" w:rsidRDefault="00E111BA" w:rsidP="00D45641">
      <w:pPr>
        <w:keepNext/>
        <w:keepLines/>
        <w:spacing w:line="360" w:lineRule="auto"/>
        <w:ind w:firstLine="1440"/>
        <w:contextualSpacing/>
        <w:rPr>
          <w:rFonts w:ascii="Times New Roman" w:hAnsi="Times New Roman" w:cs="Times New Roman"/>
          <w:sz w:val="26"/>
          <w:szCs w:val="26"/>
        </w:rPr>
      </w:pPr>
    </w:p>
    <w:p w14:paraId="76D9710D" w14:textId="41293AF2" w:rsidR="003C1CCA" w:rsidRPr="003C1CCA" w:rsidRDefault="0072606C" w:rsidP="00D45641">
      <w:pPr>
        <w:keepNext/>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OSBA notes that the Joint Petition</w:t>
      </w:r>
      <w:r w:rsidR="003C1CCA" w:rsidRPr="003C1CCA">
        <w:rPr>
          <w:rFonts w:ascii="Times New Roman" w:hAnsi="Times New Roman" w:cs="Times New Roman"/>
          <w:sz w:val="26"/>
          <w:szCs w:val="26"/>
        </w:rPr>
        <w:t xml:space="preserve"> proposes the following revenue allocation for the GS-1 and GS-4 classes:   </w:t>
      </w:r>
    </w:p>
    <w:p w14:paraId="68D01919" w14:textId="77777777" w:rsidR="0065607D" w:rsidRDefault="003C1CCA" w:rsidP="00D45641">
      <w:pPr>
        <w:keepNext/>
        <w:tabs>
          <w:tab w:val="left" w:pos="1440"/>
          <w:tab w:val="center" w:pos="1976"/>
          <w:tab w:val="center" w:pos="4723"/>
        </w:tabs>
        <w:spacing w:after="0" w:line="240" w:lineRule="auto"/>
        <w:rPr>
          <w:rFonts w:ascii="Times New Roman" w:eastAsia="Calibri" w:hAnsi="Times New Roman" w:cs="Times New Roman"/>
          <w:sz w:val="26"/>
          <w:szCs w:val="26"/>
        </w:rPr>
      </w:pPr>
      <w:r w:rsidRPr="003C1CCA">
        <w:rPr>
          <w:rFonts w:ascii="Times New Roman" w:eastAsia="Calibri" w:hAnsi="Times New Roman" w:cs="Times New Roman"/>
          <w:sz w:val="26"/>
          <w:szCs w:val="26"/>
        </w:rPr>
        <w:tab/>
      </w:r>
    </w:p>
    <w:p w14:paraId="0ED2E76D" w14:textId="125FCB12" w:rsidR="003C1CCA" w:rsidRPr="003C1CCA" w:rsidRDefault="0065607D" w:rsidP="00D45641">
      <w:pPr>
        <w:keepNext/>
        <w:tabs>
          <w:tab w:val="left" w:pos="1440"/>
          <w:tab w:val="center" w:pos="1976"/>
          <w:tab w:val="center" w:pos="4723"/>
        </w:tabs>
        <w:spacing w:after="0" w:line="240" w:lineRule="auto"/>
        <w:rPr>
          <w:rFonts w:ascii="Times New Roman" w:hAnsi="Times New Roman" w:cs="Times New Roman"/>
          <w:sz w:val="26"/>
          <w:szCs w:val="26"/>
        </w:rPr>
      </w:pPr>
      <w:r>
        <w:rPr>
          <w:rFonts w:ascii="Times New Roman" w:eastAsia="Calibri" w:hAnsi="Times New Roman" w:cs="Times New Roman"/>
          <w:sz w:val="26"/>
          <w:szCs w:val="26"/>
        </w:rPr>
        <w:tab/>
      </w:r>
      <w:r w:rsidR="003C1CCA" w:rsidRPr="003C1CCA">
        <w:rPr>
          <w:rFonts w:ascii="Times New Roman" w:hAnsi="Times New Roman" w:cs="Times New Roman"/>
          <w:sz w:val="26"/>
          <w:szCs w:val="26"/>
        </w:rPr>
        <w:t xml:space="preserve">Rate GS-1: </w:t>
      </w:r>
      <w:r w:rsidR="003C1CCA" w:rsidRPr="003C1CCA">
        <w:rPr>
          <w:rFonts w:ascii="Times New Roman" w:hAnsi="Times New Roman" w:cs="Times New Roman"/>
          <w:sz w:val="26"/>
          <w:szCs w:val="26"/>
        </w:rPr>
        <w:tab/>
        <w:t xml:space="preserve">$ 391,869  (19.3 percent of base rates) </w:t>
      </w:r>
    </w:p>
    <w:p w14:paraId="4C05030F" w14:textId="77777777" w:rsidR="003C1CCA" w:rsidRPr="003C1CCA" w:rsidRDefault="003C1CCA" w:rsidP="00D45641">
      <w:pPr>
        <w:keepNext/>
        <w:tabs>
          <w:tab w:val="left" w:pos="1440"/>
          <w:tab w:val="center" w:pos="1976"/>
          <w:tab w:val="center" w:pos="4663"/>
        </w:tabs>
        <w:spacing w:after="0" w:line="240" w:lineRule="auto"/>
        <w:rPr>
          <w:rFonts w:ascii="Times New Roman" w:hAnsi="Times New Roman" w:cs="Times New Roman"/>
          <w:sz w:val="26"/>
          <w:szCs w:val="26"/>
        </w:rPr>
      </w:pPr>
      <w:r w:rsidRPr="003C1CCA">
        <w:rPr>
          <w:rFonts w:ascii="Times New Roman" w:eastAsia="Calibri" w:hAnsi="Times New Roman" w:cs="Times New Roman"/>
          <w:sz w:val="26"/>
          <w:szCs w:val="26"/>
        </w:rPr>
        <w:tab/>
      </w:r>
      <w:r w:rsidRPr="003C1CCA">
        <w:rPr>
          <w:rFonts w:ascii="Times New Roman" w:hAnsi="Times New Roman" w:cs="Times New Roman"/>
          <w:sz w:val="26"/>
          <w:szCs w:val="26"/>
        </w:rPr>
        <w:t xml:space="preserve">Rate GS-4: </w:t>
      </w:r>
      <w:r w:rsidRPr="003C1CCA">
        <w:rPr>
          <w:rFonts w:ascii="Times New Roman" w:hAnsi="Times New Roman" w:cs="Times New Roman"/>
          <w:sz w:val="26"/>
          <w:szCs w:val="26"/>
        </w:rPr>
        <w:tab/>
        <w:t xml:space="preserve">$ 127,437  (2.6 percent of base rates) </w:t>
      </w:r>
    </w:p>
    <w:p w14:paraId="3E806E31" w14:textId="77777777" w:rsidR="0065607D" w:rsidRDefault="0065607D" w:rsidP="003C1CCA">
      <w:pPr>
        <w:spacing w:after="0" w:line="360" w:lineRule="auto"/>
        <w:ind w:left="-5"/>
        <w:rPr>
          <w:rFonts w:ascii="Times New Roman" w:hAnsi="Times New Roman" w:cs="Times New Roman"/>
          <w:i/>
          <w:sz w:val="26"/>
          <w:szCs w:val="26"/>
        </w:rPr>
      </w:pPr>
    </w:p>
    <w:p w14:paraId="1FEC005A" w14:textId="6E284B7B" w:rsidR="00736A42" w:rsidRDefault="0065607D" w:rsidP="003C1CCA">
      <w:pPr>
        <w:spacing w:after="0" w:line="360" w:lineRule="auto"/>
        <w:ind w:left="-5"/>
        <w:rPr>
          <w:rFonts w:ascii="Times New Roman" w:hAnsi="Times New Roman" w:cs="Times New Roman"/>
          <w:sz w:val="26"/>
          <w:szCs w:val="26"/>
        </w:rPr>
      </w:pPr>
      <w:r>
        <w:rPr>
          <w:rFonts w:ascii="Times New Roman" w:hAnsi="Times New Roman" w:cs="Times New Roman"/>
          <w:iCs/>
          <w:sz w:val="26"/>
          <w:szCs w:val="26"/>
        </w:rPr>
        <w:t xml:space="preserve">OSBA Statement in Support </w:t>
      </w:r>
      <w:r w:rsidR="003F25DC">
        <w:rPr>
          <w:rFonts w:ascii="Times New Roman" w:hAnsi="Times New Roman" w:cs="Times New Roman"/>
          <w:iCs/>
          <w:sz w:val="26"/>
          <w:szCs w:val="26"/>
        </w:rPr>
        <w:t xml:space="preserve">at 4 </w:t>
      </w:r>
      <w:r>
        <w:rPr>
          <w:rFonts w:ascii="Times New Roman" w:hAnsi="Times New Roman" w:cs="Times New Roman"/>
          <w:iCs/>
          <w:sz w:val="26"/>
          <w:szCs w:val="26"/>
        </w:rPr>
        <w:t xml:space="preserve">(citing </w:t>
      </w:r>
      <w:r w:rsidR="008142ED">
        <w:rPr>
          <w:rFonts w:ascii="Times New Roman" w:hAnsi="Times New Roman" w:cs="Times New Roman"/>
          <w:iCs/>
          <w:sz w:val="26"/>
          <w:szCs w:val="26"/>
        </w:rPr>
        <w:t>Joint Petition,</w:t>
      </w:r>
      <w:r w:rsidR="003C1CCA" w:rsidRPr="003C1CCA">
        <w:rPr>
          <w:rFonts w:ascii="Times New Roman" w:hAnsi="Times New Roman" w:cs="Times New Roman"/>
          <w:sz w:val="26"/>
          <w:szCs w:val="26"/>
        </w:rPr>
        <w:t xml:space="preserve"> </w:t>
      </w:r>
      <w:r w:rsidR="008142ED">
        <w:rPr>
          <w:rFonts w:ascii="Times New Roman" w:hAnsi="Times New Roman" w:cs="Times New Roman"/>
          <w:sz w:val="26"/>
          <w:szCs w:val="26"/>
        </w:rPr>
        <w:t>¶</w:t>
      </w:r>
      <w:r w:rsidR="003C1CCA" w:rsidRPr="003C1CCA">
        <w:rPr>
          <w:rFonts w:ascii="Times New Roman" w:hAnsi="Times New Roman" w:cs="Times New Roman"/>
          <w:sz w:val="26"/>
          <w:szCs w:val="26"/>
        </w:rPr>
        <w:t xml:space="preserve"> 46</w:t>
      </w:r>
      <w:r w:rsidR="008142ED">
        <w:rPr>
          <w:rFonts w:ascii="Times New Roman" w:hAnsi="Times New Roman" w:cs="Times New Roman"/>
          <w:sz w:val="26"/>
          <w:szCs w:val="26"/>
        </w:rPr>
        <w:t>)</w:t>
      </w:r>
      <w:r w:rsidR="003C1CCA" w:rsidRPr="003C1CCA">
        <w:rPr>
          <w:rFonts w:ascii="Times New Roman" w:hAnsi="Times New Roman" w:cs="Times New Roman"/>
          <w:sz w:val="26"/>
          <w:szCs w:val="26"/>
        </w:rPr>
        <w:t xml:space="preserve">.  The OSBA observes that the </w:t>
      </w:r>
      <w:r w:rsidR="003F25DC">
        <w:rPr>
          <w:rFonts w:ascii="Times New Roman" w:hAnsi="Times New Roman" w:cs="Times New Roman"/>
          <w:sz w:val="26"/>
          <w:szCs w:val="26"/>
        </w:rPr>
        <w:t xml:space="preserve">agreed-upon </w:t>
      </w:r>
      <w:r w:rsidR="003C1CCA" w:rsidRPr="003C1CCA">
        <w:rPr>
          <w:rFonts w:ascii="Times New Roman" w:hAnsi="Times New Roman" w:cs="Times New Roman"/>
          <w:sz w:val="26"/>
          <w:szCs w:val="26"/>
        </w:rPr>
        <w:t xml:space="preserve">revenue allocation proposal for the combined GS-1 and GS-4 classes is only modestly higher than </w:t>
      </w:r>
      <w:r w:rsidR="003F25DC">
        <w:rPr>
          <w:rFonts w:ascii="Times New Roman" w:hAnsi="Times New Roman" w:cs="Times New Roman"/>
          <w:sz w:val="26"/>
          <w:szCs w:val="26"/>
        </w:rPr>
        <w:t>the OSBA’s</w:t>
      </w:r>
      <w:r w:rsidR="003C1CCA" w:rsidRPr="003C1CCA">
        <w:rPr>
          <w:rFonts w:ascii="Times New Roman" w:hAnsi="Times New Roman" w:cs="Times New Roman"/>
          <w:sz w:val="26"/>
          <w:szCs w:val="26"/>
        </w:rPr>
        <w:t xml:space="preserve"> revenue allocation proposal when proportionally scaled-back.  </w:t>
      </w:r>
      <w:r w:rsidR="005B6DCF">
        <w:rPr>
          <w:rFonts w:ascii="Times New Roman" w:hAnsi="Times New Roman" w:cs="Times New Roman"/>
          <w:sz w:val="26"/>
          <w:szCs w:val="26"/>
        </w:rPr>
        <w:t xml:space="preserve">OSBA Statement in Support at 4 (citing OSBA St. 1 at </w:t>
      </w:r>
      <w:r w:rsidR="009D16C2">
        <w:rPr>
          <w:rFonts w:ascii="Times New Roman" w:hAnsi="Times New Roman" w:cs="Times New Roman"/>
          <w:sz w:val="26"/>
          <w:szCs w:val="26"/>
        </w:rPr>
        <w:t xml:space="preserve">18-19).  </w:t>
      </w:r>
      <w:r w:rsidR="003C1CCA" w:rsidRPr="003C1CCA">
        <w:rPr>
          <w:rFonts w:ascii="Times New Roman" w:hAnsi="Times New Roman" w:cs="Times New Roman"/>
          <w:sz w:val="26"/>
          <w:szCs w:val="26"/>
        </w:rPr>
        <w:t xml:space="preserve">As such, the OSBA </w:t>
      </w:r>
      <w:r w:rsidR="009D16C2">
        <w:rPr>
          <w:rFonts w:ascii="Times New Roman" w:hAnsi="Times New Roman" w:cs="Times New Roman"/>
          <w:sz w:val="26"/>
          <w:szCs w:val="26"/>
        </w:rPr>
        <w:t>aver</w:t>
      </w:r>
      <w:r w:rsidR="003C1CCA" w:rsidRPr="003C1CCA">
        <w:rPr>
          <w:rFonts w:ascii="Times New Roman" w:hAnsi="Times New Roman" w:cs="Times New Roman"/>
          <w:sz w:val="26"/>
          <w:szCs w:val="26"/>
        </w:rPr>
        <w:t xml:space="preserve">s that the revenue allocation proposal in the </w:t>
      </w:r>
      <w:r w:rsidR="009D16C2">
        <w:rPr>
          <w:rFonts w:ascii="Times New Roman" w:hAnsi="Times New Roman" w:cs="Times New Roman"/>
          <w:sz w:val="26"/>
          <w:szCs w:val="26"/>
        </w:rPr>
        <w:t>Joint Petition</w:t>
      </w:r>
      <w:r w:rsidR="003C1CCA" w:rsidRPr="003C1CCA">
        <w:rPr>
          <w:rFonts w:ascii="Times New Roman" w:hAnsi="Times New Roman" w:cs="Times New Roman"/>
          <w:sz w:val="26"/>
          <w:szCs w:val="26"/>
        </w:rPr>
        <w:t xml:space="preserve"> is reasonable, recognizing the overall rate increase agreed to by the </w:t>
      </w:r>
      <w:r w:rsidR="00DE56EF">
        <w:rPr>
          <w:rFonts w:ascii="Times New Roman" w:hAnsi="Times New Roman" w:cs="Times New Roman"/>
          <w:sz w:val="26"/>
          <w:szCs w:val="26"/>
        </w:rPr>
        <w:t>Joint Petitioners</w:t>
      </w:r>
      <w:r w:rsidR="003C1CCA" w:rsidRPr="003C1CCA">
        <w:rPr>
          <w:rFonts w:ascii="Times New Roman" w:hAnsi="Times New Roman" w:cs="Times New Roman"/>
          <w:sz w:val="26"/>
          <w:szCs w:val="26"/>
        </w:rPr>
        <w:t>.</w:t>
      </w:r>
      <w:r w:rsidR="0001441B">
        <w:rPr>
          <w:rFonts w:ascii="Times New Roman" w:hAnsi="Times New Roman" w:cs="Times New Roman"/>
          <w:sz w:val="26"/>
          <w:szCs w:val="26"/>
        </w:rPr>
        <w:t xml:space="preserve">  OSBA Statement in Support at 4-5.  </w:t>
      </w:r>
    </w:p>
    <w:p w14:paraId="1AE48E45" w14:textId="4D32A5C9" w:rsidR="008E6DC1" w:rsidRDefault="008E6DC1" w:rsidP="003C1CCA">
      <w:pPr>
        <w:spacing w:after="0" w:line="360" w:lineRule="auto"/>
        <w:ind w:left="-5"/>
        <w:rPr>
          <w:rFonts w:ascii="Times New Roman" w:hAnsi="Times New Roman" w:cs="Times New Roman"/>
          <w:sz w:val="26"/>
          <w:szCs w:val="26"/>
        </w:rPr>
      </w:pPr>
    </w:p>
    <w:p w14:paraId="775334B5" w14:textId="12372A3C" w:rsidR="003C1CCA" w:rsidRPr="00736A42" w:rsidRDefault="00736A42" w:rsidP="003C1CCA">
      <w:pPr>
        <w:spacing w:after="0" w:line="360" w:lineRule="auto"/>
        <w:ind w:left="-5"/>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36A42">
        <w:rPr>
          <w:rFonts w:ascii="Times New Roman" w:hAnsi="Times New Roman" w:cs="Times New Roman"/>
          <w:b/>
          <w:bCs/>
          <w:sz w:val="26"/>
          <w:szCs w:val="26"/>
        </w:rPr>
        <w:t>e.</w:t>
      </w:r>
      <w:r w:rsidRPr="00736A42">
        <w:rPr>
          <w:rFonts w:ascii="Times New Roman" w:hAnsi="Times New Roman" w:cs="Times New Roman"/>
          <w:b/>
          <w:bCs/>
          <w:sz w:val="26"/>
          <w:szCs w:val="26"/>
        </w:rPr>
        <w:tab/>
      </w:r>
      <w:r>
        <w:rPr>
          <w:rFonts w:ascii="Times New Roman" w:hAnsi="Times New Roman" w:cs="Times New Roman"/>
          <w:b/>
          <w:bCs/>
          <w:sz w:val="26"/>
          <w:szCs w:val="26"/>
        </w:rPr>
        <w:t>CAUSE-PA</w:t>
      </w:r>
      <w:r w:rsidR="003C1CCA" w:rsidRPr="00736A42">
        <w:rPr>
          <w:rFonts w:ascii="Times New Roman" w:hAnsi="Times New Roman" w:cs="Times New Roman"/>
          <w:b/>
          <w:bCs/>
          <w:sz w:val="26"/>
          <w:szCs w:val="26"/>
        </w:rPr>
        <w:t xml:space="preserve"> </w:t>
      </w:r>
    </w:p>
    <w:p w14:paraId="4B13D493" w14:textId="695C0780" w:rsidR="00E111BA" w:rsidRDefault="00E111BA" w:rsidP="003C1CCA">
      <w:pPr>
        <w:spacing w:after="0" w:line="360" w:lineRule="auto"/>
        <w:ind w:firstLine="1440"/>
        <w:contextualSpacing/>
        <w:rPr>
          <w:rFonts w:ascii="Times New Roman" w:hAnsi="Times New Roman" w:cs="Times New Roman"/>
          <w:sz w:val="26"/>
          <w:szCs w:val="26"/>
        </w:rPr>
      </w:pPr>
    </w:p>
    <w:p w14:paraId="3F851984" w14:textId="13E77FC9" w:rsidR="00280E16" w:rsidRDefault="00B7643D" w:rsidP="003C1CCA">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CAUSE-PA notes that </w:t>
      </w:r>
      <w:r w:rsidR="00C33F53">
        <w:rPr>
          <w:rFonts w:ascii="Times New Roman" w:hAnsi="Times New Roman" w:cs="Times New Roman"/>
          <w:sz w:val="26"/>
          <w:szCs w:val="26"/>
        </w:rPr>
        <w:t xml:space="preserve">one of the concerns </w:t>
      </w:r>
      <w:r>
        <w:rPr>
          <w:rFonts w:ascii="Times New Roman" w:hAnsi="Times New Roman" w:cs="Times New Roman"/>
          <w:sz w:val="26"/>
          <w:szCs w:val="26"/>
        </w:rPr>
        <w:t xml:space="preserve">it </w:t>
      </w:r>
      <w:r w:rsidR="00C33F53">
        <w:rPr>
          <w:rFonts w:ascii="Times New Roman" w:hAnsi="Times New Roman" w:cs="Times New Roman"/>
          <w:sz w:val="26"/>
          <w:szCs w:val="26"/>
        </w:rPr>
        <w:t>h</w:t>
      </w:r>
      <w:r>
        <w:rPr>
          <w:rFonts w:ascii="Times New Roman" w:hAnsi="Times New Roman" w:cs="Times New Roman"/>
          <w:sz w:val="26"/>
          <w:szCs w:val="26"/>
        </w:rPr>
        <w:t>a</w:t>
      </w:r>
      <w:r w:rsidR="00C33F53">
        <w:rPr>
          <w:rFonts w:ascii="Times New Roman" w:hAnsi="Times New Roman" w:cs="Times New Roman"/>
          <w:sz w:val="26"/>
          <w:szCs w:val="26"/>
        </w:rPr>
        <w:t>d</w:t>
      </w:r>
      <w:r>
        <w:rPr>
          <w:rFonts w:ascii="Times New Roman" w:hAnsi="Times New Roman" w:cs="Times New Roman"/>
          <w:sz w:val="26"/>
          <w:szCs w:val="26"/>
        </w:rPr>
        <w:t xml:space="preserve"> initially </w:t>
      </w:r>
      <w:r w:rsidR="00745C71">
        <w:rPr>
          <w:rFonts w:ascii="Times New Roman" w:hAnsi="Times New Roman" w:cs="Times New Roman"/>
          <w:sz w:val="26"/>
          <w:szCs w:val="26"/>
        </w:rPr>
        <w:t xml:space="preserve">regarding UGI Electric’s proposed rate increase was the </w:t>
      </w:r>
      <w:r w:rsidR="00F5673C">
        <w:rPr>
          <w:rFonts w:ascii="Times New Roman" w:hAnsi="Times New Roman" w:cs="Times New Roman"/>
          <w:sz w:val="26"/>
          <w:szCs w:val="26"/>
        </w:rPr>
        <w:t xml:space="preserve">potential negative effect that the Company’s proposal to significantly increase </w:t>
      </w:r>
      <w:r w:rsidR="005F718C">
        <w:rPr>
          <w:rFonts w:ascii="Times New Roman" w:hAnsi="Times New Roman" w:cs="Times New Roman"/>
          <w:sz w:val="26"/>
          <w:szCs w:val="26"/>
        </w:rPr>
        <w:t xml:space="preserve">its fixed residential customer charge could have on </w:t>
      </w:r>
      <w:r w:rsidR="00A456E5">
        <w:rPr>
          <w:rFonts w:ascii="Times New Roman" w:hAnsi="Times New Roman" w:cs="Times New Roman"/>
          <w:sz w:val="26"/>
          <w:szCs w:val="26"/>
        </w:rPr>
        <w:t>households with limited economic means.  CAUSE-PA supports the reduction in the customer charge from $</w:t>
      </w:r>
      <w:r w:rsidR="00B85B00">
        <w:rPr>
          <w:rFonts w:ascii="Times New Roman" w:hAnsi="Times New Roman" w:cs="Times New Roman"/>
          <w:sz w:val="26"/>
          <w:szCs w:val="26"/>
        </w:rPr>
        <w:t xml:space="preserve">13 to $9.50 and avers that limiting the amount of the fixed charge increase </w:t>
      </w:r>
      <w:r w:rsidR="006B3F6F">
        <w:rPr>
          <w:rFonts w:ascii="Times New Roman" w:hAnsi="Times New Roman" w:cs="Times New Roman"/>
          <w:sz w:val="26"/>
          <w:szCs w:val="26"/>
        </w:rPr>
        <w:t>will preserve th</w:t>
      </w:r>
      <w:r w:rsidR="00170A73">
        <w:rPr>
          <w:rFonts w:ascii="Times New Roman" w:hAnsi="Times New Roman" w:cs="Times New Roman"/>
          <w:sz w:val="26"/>
          <w:szCs w:val="26"/>
        </w:rPr>
        <w:t>e</w:t>
      </w:r>
      <w:r w:rsidR="006B3F6F">
        <w:rPr>
          <w:rFonts w:ascii="Times New Roman" w:hAnsi="Times New Roman" w:cs="Times New Roman"/>
          <w:sz w:val="26"/>
          <w:szCs w:val="26"/>
        </w:rPr>
        <w:t xml:space="preserve"> ability of low-income households to </w:t>
      </w:r>
      <w:r w:rsidR="00F16A06">
        <w:rPr>
          <w:rFonts w:ascii="Times New Roman" w:hAnsi="Times New Roman" w:cs="Times New Roman"/>
          <w:sz w:val="26"/>
          <w:szCs w:val="26"/>
        </w:rPr>
        <w:t xml:space="preserve">reduce their consumption to control their utility costs and, in turn, </w:t>
      </w:r>
      <w:r w:rsidR="00170A73">
        <w:rPr>
          <w:rFonts w:ascii="Times New Roman" w:hAnsi="Times New Roman" w:cs="Times New Roman"/>
          <w:sz w:val="26"/>
          <w:szCs w:val="26"/>
        </w:rPr>
        <w:t xml:space="preserve">reduce </w:t>
      </w:r>
      <w:r w:rsidR="00F16A06">
        <w:rPr>
          <w:rFonts w:ascii="Times New Roman" w:hAnsi="Times New Roman" w:cs="Times New Roman"/>
          <w:sz w:val="26"/>
          <w:szCs w:val="26"/>
        </w:rPr>
        <w:t>other universal service costs.  CAUSE</w:t>
      </w:r>
      <w:r w:rsidR="003B394C">
        <w:rPr>
          <w:rFonts w:ascii="Times New Roman" w:hAnsi="Times New Roman" w:cs="Times New Roman"/>
          <w:sz w:val="26"/>
          <w:szCs w:val="26"/>
        </w:rPr>
        <w:noBreakHyphen/>
      </w:r>
      <w:r w:rsidR="00F16A06">
        <w:rPr>
          <w:rFonts w:ascii="Times New Roman" w:hAnsi="Times New Roman" w:cs="Times New Roman"/>
          <w:sz w:val="26"/>
          <w:szCs w:val="26"/>
        </w:rPr>
        <w:t>PA Statement in Support at 4.</w:t>
      </w:r>
    </w:p>
    <w:p w14:paraId="179F3E65" w14:textId="77777777" w:rsidR="00280E16" w:rsidRDefault="00280E16" w:rsidP="003C1CCA">
      <w:pPr>
        <w:spacing w:after="0" w:line="360" w:lineRule="auto"/>
        <w:ind w:firstLine="1440"/>
        <w:contextualSpacing/>
        <w:rPr>
          <w:rFonts w:ascii="Times New Roman" w:hAnsi="Times New Roman" w:cs="Times New Roman"/>
          <w:sz w:val="26"/>
          <w:szCs w:val="26"/>
        </w:rPr>
      </w:pPr>
    </w:p>
    <w:p w14:paraId="0A98B330" w14:textId="771ED47E" w:rsidR="00736A42" w:rsidRDefault="00280E16" w:rsidP="00D45641">
      <w:pPr>
        <w:keepNext/>
        <w:spacing w:after="0" w:line="360" w:lineRule="auto"/>
        <w:ind w:firstLine="1440"/>
        <w:contextualSpacing/>
        <w:rPr>
          <w:rFonts w:ascii="Times New Roman" w:hAnsi="Times New Roman" w:cs="Times New Roman"/>
          <w:sz w:val="26"/>
          <w:szCs w:val="26"/>
        </w:rPr>
      </w:pPr>
      <w:r w:rsidRPr="00280E16">
        <w:rPr>
          <w:rFonts w:ascii="Times New Roman" w:hAnsi="Times New Roman" w:cs="Times New Roman"/>
          <w:b/>
          <w:bCs/>
          <w:sz w:val="26"/>
          <w:szCs w:val="26"/>
        </w:rPr>
        <w:lastRenderedPageBreak/>
        <w:t>f.</w:t>
      </w:r>
      <w:r>
        <w:rPr>
          <w:rFonts w:ascii="Times New Roman" w:hAnsi="Times New Roman" w:cs="Times New Roman"/>
          <w:sz w:val="26"/>
          <w:szCs w:val="26"/>
        </w:rPr>
        <w:tab/>
      </w:r>
      <w:r>
        <w:rPr>
          <w:rFonts w:ascii="Times New Roman" w:hAnsi="Times New Roman" w:cs="Times New Roman"/>
          <w:b/>
          <w:bCs/>
          <w:sz w:val="26"/>
          <w:szCs w:val="26"/>
        </w:rPr>
        <w:t>CEO</w:t>
      </w:r>
      <w:r w:rsidR="006B3F6F">
        <w:rPr>
          <w:rFonts w:ascii="Times New Roman" w:hAnsi="Times New Roman" w:cs="Times New Roman"/>
          <w:sz w:val="26"/>
          <w:szCs w:val="26"/>
        </w:rPr>
        <w:t xml:space="preserve"> </w:t>
      </w:r>
      <w:r w:rsidR="00B7643D">
        <w:rPr>
          <w:rFonts w:ascii="Times New Roman" w:hAnsi="Times New Roman" w:cs="Times New Roman"/>
          <w:sz w:val="26"/>
          <w:szCs w:val="26"/>
        </w:rPr>
        <w:t xml:space="preserve">  </w:t>
      </w:r>
    </w:p>
    <w:p w14:paraId="003642B8" w14:textId="24A6936F" w:rsidR="00736A42" w:rsidRDefault="00736A42" w:rsidP="00D45641">
      <w:pPr>
        <w:keepNext/>
        <w:spacing w:after="0" w:line="360" w:lineRule="auto"/>
        <w:ind w:firstLine="1440"/>
        <w:contextualSpacing/>
        <w:rPr>
          <w:rFonts w:ascii="Times New Roman" w:hAnsi="Times New Roman" w:cs="Times New Roman"/>
          <w:sz w:val="26"/>
          <w:szCs w:val="26"/>
        </w:rPr>
      </w:pPr>
    </w:p>
    <w:p w14:paraId="3B36E1E5" w14:textId="33FEFD2A" w:rsidR="00744E06" w:rsidRDefault="00280E16" w:rsidP="00D45641">
      <w:pPr>
        <w:keepNext/>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CEO also supports the reduction in the customer charge from $13 to $9.50 and avers that this reduction will </w:t>
      </w:r>
      <w:r w:rsidR="00B919F5">
        <w:rPr>
          <w:rFonts w:ascii="Times New Roman" w:hAnsi="Times New Roman" w:cs="Times New Roman"/>
          <w:sz w:val="26"/>
          <w:szCs w:val="26"/>
        </w:rPr>
        <w:t>increase the ability of the residential class to conserve energy and reduce their monthly bi</w:t>
      </w:r>
      <w:r w:rsidR="00BF79C4">
        <w:rPr>
          <w:rFonts w:ascii="Times New Roman" w:hAnsi="Times New Roman" w:cs="Times New Roman"/>
          <w:sz w:val="26"/>
          <w:szCs w:val="26"/>
        </w:rPr>
        <w:t>lls.  CEO Statement in Support at 2.</w:t>
      </w:r>
    </w:p>
    <w:p w14:paraId="5AC3C3BA" w14:textId="77777777" w:rsidR="00744E06" w:rsidRDefault="00744E06" w:rsidP="003C1CCA">
      <w:pPr>
        <w:spacing w:after="0" w:line="360" w:lineRule="auto"/>
        <w:ind w:firstLine="1440"/>
        <w:contextualSpacing/>
        <w:rPr>
          <w:rFonts w:ascii="Times New Roman" w:hAnsi="Times New Roman" w:cs="Times New Roman"/>
          <w:sz w:val="26"/>
          <w:szCs w:val="26"/>
        </w:rPr>
      </w:pPr>
    </w:p>
    <w:p w14:paraId="2572D5FA" w14:textId="59672D1A" w:rsidR="00280E16" w:rsidRDefault="00744E06" w:rsidP="003C1CCA">
      <w:pPr>
        <w:spacing w:after="0" w:line="360" w:lineRule="auto"/>
        <w:ind w:firstLine="1440"/>
        <w:contextualSpacing/>
        <w:rPr>
          <w:rFonts w:ascii="Times New Roman" w:hAnsi="Times New Roman" w:cs="Times New Roman"/>
          <w:b/>
          <w:bCs/>
          <w:sz w:val="26"/>
          <w:szCs w:val="26"/>
        </w:rPr>
      </w:pPr>
      <w:r w:rsidRPr="00744E06">
        <w:rPr>
          <w:rFonts w:ascii="Times New Roman" w:hAnsi="Times New Roman" w:cs="Times New Roman"/>
          <w:b/>
          <w:bCs/>
          <w:sz w:val="26"/>
          <w:szCs w:val="26"/>
        </w:rPr>
        <w:t>g.</w:t>
      </w:r>
      <w:r w:rsidR="00BF79C4" w:rsidRPr="00744E06">
        <w:rPr>
          <w:rFonts w:ascii="Times New Roman" w:hAnsi="Times New Roman" w:cs="Times New Roman"/>
          <w:b/>
          <w:bCs/>
          <w:sz w:val="26"/>
          <w:szCs w:val="26"/>
        </w:rPr>
        <w:t xml:space="preserve"> </w:t>
      </w:r>
      <w:r>
        <w:rPr>
          <w:rFonts w:ascii="Times New Roman" w:hAnsi="Times New Roman" w:cs="Times New Roman"/>
          <w:b/>
          <w:bCs/>
          <w:sz w:val="26"/>
          <w:szCs w:val="26"/>
        </w:rPr>
        <w:tab/>
      </w:r>
      <w:r w:rsidR="007B223A">
        <w:rPr>
          <w:rFonts w:ascii="Times New Roman" w:hAnsi="Times New Roman" w:cs="Times New Roman"/>
          <w:b/>
          <w:bCs/>
          <w:sz w:val="26"/>
          <w:szCs w:val="26"/>
        </w:rPr>
        <w:t>RESA/NRG</w:t>
      </w:r>
    </w:p>
    <w:p w14:paraId="663A1369" w14:textId="5D07A299" w:rsidR="007B223A" w:rsidRDefault="007B223A" w:rsidP="003C1CCA">
      <w:pPr>
        <w:spacing w:after="0" w:line="360" w:lineRule="auto"/>
        <w:ind w:firstLine="1440"/>
        <w:contextualSpacing/>
        <w:rPr>
          <w:rFonts w:ascii="Times New Roman" w:hAnsi="Times New Roman" w:cs="Times New Roman"/>
          <w:b/>
          <w:bCs/>
          <w:sz w:val="26"/>
          <w:szCs w:val="26"/>
        </w:rPr>
      </w:pPr>
    </w:p>
    <w:p w14:paraId="1BAB23C0" w14:textId="341C3129" w:rsidR="001F3A96" w:rsidRDefault="00582DE8" w:rsidP="00FD722F">
      <w:pPr>
        <w:spacing w:after="0" w:line="360" w:lineRule="auto"/>
        <w:ind w:firstLine="1440"/>
        <w:rPr>
          <w:rFonts w:ascii="Times New Roman" w:hAnsi="Times New Roman" w:cs="Times New Roman"/>
          <w:sz w:val="26"/>
          <w:szCs w:val="26"/>
        </w:rPr>
      </w:pPr>
      <w:r w:rsidRPr="001F3A96">
        <w:rPr>
          <w:rFonts w:ascii="Times New Roman" w:hAnsi="Times New Roman" w:cs="Times New Roman"/>
          <w:sz w:val="26"/>
          <w:szCs w:val="26"/>
        </w:rPr>
        <w:t>RESA</w:t>
      </w:r>
      <w:r w:rsidR="001F3A96">
        <w:rPr>
          <w:rFonts w:ascii="Times New Roman" w:hAnsi="Times New Roman" w:cs="Times New Roman"/>
          <w:sz w:val="26"/>
          <w:szCs w:val="26"/>
        </w:rPr>
        <w:t>/</w:t>
      </w:r>
      <w:r w:rsidRPr="001F3A96">
        <w:rPr>
          <w:rFonts w:ascii="Times New Roman" w:hAnsi="Times New Roman" w:cs="Times New Roman"/>
          <w:sz w:val="26"/>
          <w:szCs w:val="26"/>
        </w:rPr>
        <w:t>NRG had questioned the appropriateness of UGI Electric owning the proposed battery</w:t>
      </w:r>
      <w:r w:rsidR="009C4F6A">
        <w:rPr>
          <w:rFonts w:ascii="Times New Roman" w:hAnsi="Times New Roman" w:cs="Times New Roman"/>
          <w:sz w:val="26"/>
          <w:szCs w:val="26"/>
        </w:rPr>
        <w:t xml:space="preserve"> storage</w:t>
      </w:r>
      <w:r w:rsidR="00EC2AD7">
        <w:rPr>
          <w:rFonts w:ascii="Times New Roman" w:hAnsi="Times New Roman" w:cs="Times New Roman"/>
          <w:sz w:val="26"/>
          <w:szCs w:val="26"/>
        </w:rPr>
        <w:t>,</w:t>
      </w:r>
      <w:r w:rsidRPr="001F3A96">
        <w:rPr>
          <w:rFonts w:ascii="Times New Roman" w:hAnsi="Times New Roman" w:cs="Times New Roman"/>
          <w:sz w:val="26"/>
          <w:szCs w:val="26"/>
        </w:rPr>
        <w:t xml:space="preserve"> </w:t>
      </w:r>
      <w:r w:rsidR="00EC2AD7">
        <w:rPr>
          <w:rFonts w:ascii="Times New Roman" w:hAnsi="Times New Roman" w:cs="Times New Roman"/>
          <w:sz w:val="26"/>
          <w:szCs w:val="26"/>
        </w:rPr>
        <w:t xml:space="preserve">because they </w:t>
      </w:r>
      <w:r w:rsidRPr="001F3A96">
        <w:rPr>
          <w:rFonts w:ascii="Times New Roman" w:hAnsi="Times New Roman" w:cs="Times New Roman"/>
          <w:sz w:val="26"/>
          <w:szCs w:val="26"/>
        </w:rPr>
        <w:t>believed that the battery would be acting as a generation resource due to UGI Electric’s proposal to have the battery participate in the PJM Frequency Regulat</w:t>
      </w:r>
      <w:r w:rsidR="000F360E">
        <w:rPr>
          <w:rFonts w:ascii="Times New Roman" w:hAnsi="Times New Roman" w:cs="Times New Roman"/>
          <w:sz w:val="26"/>
          <w:szCs w:val="26"/>
        </w:rPr>
        <w:t>ion</w:t>
      </w:r>
      <w:r w:rsidRPr="001F3A96">
        <w:rPr>
          <w:rFonts w:ascii="Times New Roman" w:hAnsi="Times New Roman" w:cs="Times New Roman"/>
          <w:sz w:val="26"/>
          <w:szCs w:val="26"/>
        </w:rPr>
        <w:t xml:space="preserve"> Market.  </w:t>
      </w:r>
      <w:r w:rsidR="00FD722F">
        <w:rPr>
          <w:rFonts w:ascii="Times New Roman" w:hAnsi="Times New Roman" w:cs="Times New Roman"/>
          <w:sz w:val="26"/>
          <w:szCs w:val="26"/>
        </w:rPr>
        <w:t xml:space="preserve">RESA/NRG Statement in Support at 3 (citing RESA/NRG St. 1 at 8-11).  RESA/NRG aver that the </w:t>
      </w:r>
      <w:r w:rsidRPr="001F3A96">
        <w:rPr>
          <w:rFonts w:ascii="Times New Roman" w:hAnsi="Times New Roman" w:cs="Times New Roman"/>
          <w:sz w:val="26"/>
          <w:szCs w:val="26"/>
        </w:rPr>
        <w:t>Settlement</w:t>
      </w:r>
      <w:r w:rsidR="00FD722F">
        <w:rPr>
          <w:rFonts w:ascii="Times New Roman" w:hAnsi="Times New Roman" w:cs="Times New Roman"/>
          <w:sz w:val="26"/>
          <w:szCs w:val="26"/>
        </w:rPr>
        <w:t xml:space="preserve"> provision that</w:t>
      </w:r>
      <w:r w:rsidRPr="001F3A96">
        <w:rPr>
          <w:rFonts w:ascii="Times New Roman" w:hAnsi="Times New Roman" w:cs="Times New Roman"/>
          <w:sz w:val="26"/>
          <w:szCs w:val="26"/>
        </w:rPr>
        <w:t xml:space="preserve"> UGI Electric will own the energy storage project</w:t>
      </w:r>
      <w:r w:rsidR="00FD722F">
        <w:rPr>
          <w:rFonts w:ascii="Times New Roman" w:hAnsi="Times New Roman" w:cs="Times New Roman"/>
          <w:sz w:val="26"/>
          <w:szCs w:val="26"/>
        </w:rPr>
        <w:t xml:space="preserve"> but</w:t>
      </w:r>
      <w:r w:rsidRPr="001F3A96">
        <w:rPr>
          <w:rFonts w:ascii="Times New Roman" w:hAnsi="Times New Roman" w:cs="Times New Roman"/>
          <w:sz w:val="26"/>
          <w:szCs w:val="26"/>
        </w:rPr>
        <w:t xml:space="preserve"> will not use the battery to participate in the PJM Frequency Regulat</w:t>
      </w:r>
      <w:r w:rsidR="000F360E">
        <w:rPr>
          <w:rFonts w:ascii="Times New Roman" w:hAnsi="Times New Roman" w:cs="Times New Roman"/>
          <w:sz w:val="26"/>
          <w:szCs w:val="26"/>
        </w:rPr>
        <w:t>ion</w:t>
      </w:r>
      <w:r w:rsidRPr="001F3A96">
        <w:rPr>
          <w:rFonts w:ascii="Times New Roman" w:hAnsi="Times New Roman" w:cs="Times New Roman"/>
          <w:sz w:val="26"/>
          <w:szCs w:val="26"/>
        </w:rPr>
        <w:t xml:space="preserve"> Market</w:t>
      </w:r>
      <w:r w:rsidR="00FD722F">
        <w:rPr>
          <w:rFonts w:ascii="Times New Roman" w:hAnsi="Times New Roman" w:cs="Times New Roman"/>
          <w:sz w:val="26"/>
          <w:szCs w:val="26"/>
        </w:rPr>
        <w:t xml:space="preserve"> </w:t>
      </w:r>
      <w:r w:rsidRPr="001F3A96">
        <w:rPr>
          <w:rFonts w:ascii="Times New Roman" w:hAnsi="Times New Roman" w:cs="Times New Roman"/>
          <w:sz w:val="26"/>
          <w:szCs w:val="26"/>
        </w:rPr>
        <w:t xml:space="preserve">is a reasonable step forward. </w:t>
      </w:r>
      <w:r w:rsidR="008A1AA0">
        <w:rPr>
          <w:rFonts w:ascii="Times New Roman" w:hAnsi="Times New Roman" w:cs="Times New Roman"/>
          <w:sz w:val="26"/>
          <w:szCs w:val="26"/>
        </w:rPr>
        <w:t xml:space="preserve"> </w:t>
      </w:r>
      <w:r w:rsidR="002B2CCA" w:rsidRPr="001F3A96">
        <w:rPr>
          <w:rFonts w:ascii="Times New Roman" w:hAnsi="Times New Roman" w:cs="Times New Roman"/>
          <w:sz w:val="26"/>
          <w:szCs w:val="26"/>
        </w:rPr>
        <w:t xml:space="preserve">RESA and NRG also questioned whether UGI Electric’s ownership of the battery storage asset would </w:t>
      </w:r>
      <w:r w:rsidR="008A1AA0">
        <w:rPr>
          <w:rFonts w:ascii="Times New Roman" w:hAnsi="Times New Roman" w:cs="Times New Roman"/>
          <w:sz w:val="26"/>
          <w:szCs w:val="26"/>
        </w:rPr>
        <w:t>provide the</w:t>
      </w:r>
      <w:r w:rsidR="002B2CCA" w:rsidRPr="001F3A96">
        <w:rPr>
          <w:rFonts w:ascii="Times New Roman" w:hAnsi="Times New Roman" w:cs="Times New Roman"/>
          <w:sz w:val="26"/>
          <w:szCs w:val="26"/>
        </w:rPr>
        <w:t xml:space="preserve"> most cost savings and benefits for its distribution customers</w:t>
      </w:r>
      <w:r w:rsidR="008A1AA0">
        <w:rPr>
          <w:rFonts w:ascii="Times New Roman" w:hAnsi="Times New Roman" w:cs="Times New Roman"/>
          <w:sz w:val="26"/>
          <w:szCs w:val="26"/>
        </w:rPr>
        <w:t xml:space="preserve">.  </w:t>
      </w:r>
      <w:r w:rsidR="00833C41">
        <w:rPr>
          <w:rFonts w:ascii="Times New Roman" w:hAnsi="Times New Roman" w:cs="Times New Roman"/>
          <w:sz w:val="26"/>
          <w:szCs w:val="26"/>
        </w:rPr>
        <w:t>RESA/NRG Statement in Support at 3.</w:t>
      </w:r>
      <w:r w:rsidR="001F3A96" w:rsidRPr="001F3A96">
        <w:rPr>
          <w:rFonts w:ascii="Times New Roman" w:hAnsi="Times New Roman" w:cs="Times New Roman"/>
          <w:sz w:val="26"/>
          <w:szCs w:val="26"/>
        </w:rPr>
        <w:t xml:space="preserve"> </w:t>
      </w:r>
      <w:r w:rsidR="00833C41">
        <w:rPr>
          <w:rFonts w:ascii="Times New Roman" w:hAnsi="Times New Roman" w:cs="Times New Roman"/>
          <w:sz w:val="26"/>
          <w:szCs w:val="26"/>
        </w:rPr>
        <w:t xml:space="preserve"> </w:t>
      </w:r>
      <w:r w:rsidR="00DA2228">
        <w:rPr>
          <w:rFonts w:ascii="Times New Roman" w:hAnsi="Times New Roman" w:cs="Times New Roman"/>
          <w:sz w:val="26"/>
          <w:szCs w:val="26"/>
        </w:rPr>
        <w:t xml:space="preserve">Based on the Settlement provisions on this issue, RESA/NRG </w:t>
      </w:r>
      <w:r w:rsidR="00722468">
        <w:rPr>
          <w:rFonts w:ascii="Times New Roman" w:hAnsi="Times New Roman" w:cs="Times New Roman"/>
          <w:sz w:val="26"/>
          <w:szCs w:val="26"/>
        </w:rPr>
        <w:t>conclude that t</w:t>
      </w:r>
      <w:r w:rsidR="001F3A96" w:rsidRPr="001F3A96">
        <w:rPr>
          <w:rFonts w:ascii="Times New Roman" w:hAnsi="Times New Roman" w:cs="Times New Roman"/>
          <w:sz w:val="26"/>
          <w:szCs w:val="26"/>
        </w:rPr>
        <w:t>he battery storage proposal, as modified by the Settlement, is a reasonable resolution of a complex and novel issue.</w:t>
      </w:r>
      <w:r w:rsidR="00722468">
        <w:rPr>
          <w:rFonts w:ascii="Times New Roman" w:hAnsi="Times New Roman" w:cs="Times New Roman"/>
          <w:sz w:val="26"/>
          <w:szCs w:val="26"/>
        </w:rPr>
        <w:t xml:space="preserve">  </w:t>
      </w:r>
      <w:r w:rsidR="00722468" w:rsidRPr="00722468">
        <w:rPr>
          <w:rFonts w:ascii="Times New Roman" w:hAnsi="Times New Roman" w:cs="Times New Roman"/>
          <w:i/>
          <w:iCs/>
          <w:sz w:val="26"/>
          <w:szCs w:val="26"/>
        </w:rPr>
        <w:t>Id</w:t>
      </w:r>
      <w:r w:rsidR="00722468">
        <w:rPr>
          <w:rFonts w:ascii="Times New Roman" w:hAnsi="Times New Roman" w:cs="Times New Roman"/>
          <w:sz w:val="26"/>
          <w:szCs w:val="26"/>
        </w:rPr>
        <w:t xml:space="preserve">. at 4.  </w:t>
      </w:r>
      <w:r w:rsidR="001F3A96" w:rsidRPr="001F3A96">
        <w:rPr>
          <w:rFonts w:ascii="Times New Roman" w:hAnsi="Times New Roman" w:cs="Times New Roman"/>
          <w:sz w:val="26"/>
          <w:szCs w:val="26"/>
        </w:rPr>
        <w:t xml:space="preserve"> </w:t>
      </w:r>
    </w:p>
    <w:p w14:paraId="3896B4E2" w14:textId="77777777" w:rsidR="008E6DC1" w:rsidRDefault="008E6DC1" w:rsidP="00FD722F">
      <w:pPr>
        <w:spacing w:after="0" w:line="360" w:lineRule="auto"/>
        <w:ind w:firstLine="1440"/>
        <w:rPr>
          <w:rFonts w:ascii="Times New Roman" w:hAnsi="Times New Roman" w:cs="Times New Roman"/>
          <w:sz w:val="26"/>
          <w:szCs w:val="26"/>
        </w:rPr>
      </w:pPr>
    </w:p>
    <w:p w14:paraId="24710498" w14:textId="77777777" w:rsidR="0008677E" w:rsidRDefault="005D47C5" w:rsidP="005D47C5">
      <w:pPr>
        <w:spacing w:after="0" w:line="360" w:lineRule="auto"/>
        <w:ind w:firstLine="720"/>
        <w:contextualSpacing/>
        <w:rPr>
          <w:rFonts w:ascii="Times New Roman" w:hAnsi="Times New Roman" w:cs="Times New Roman"/>
          <w:b/>
          <w:bCs/>
          <w:sz w:val="26"/>
          <w:szCs w:val="26"/>
        </w:rPr>
      </w:pPr>
      <w:r>
        <w:rPr>
          <w:rFonts w:ascii="Times New Roman" w:hAnsi="Times New Roman" w:cs="Times New Roman"/>
          <w:b/>
          <w:bCs/>
          <w:sz w:val="26"/>
          <w:szCs w:val="26"/>
        </w:rPr>
        <w:t>3.</w:t>
      </w:r>
      <w:r>
        <w:rPr>
          <w:rFonts w:ascii="Times New Roman" w:hAnsi="Times New Roman" w:cs="Times New Roman"/>
          <w:b/>
          <w:bCs/>
          <w:sz w:val="26"/>
          <w:szCs w:val="26"/>
        </w:rPr>
        <w:tab/>
        <w:t>Ms. Brace</w:t>
      </w:r>
      <w:r w:rsidR="0008677E">
        <w:rPr>
          <w:rFonts w:ascii="Times New Roman" w:hAnsi="Times New Roman" w:cs="Times New Roman"/>
          <w:b/>
          <w:bCs/>
          <w:sz w:val="26"/>
          <w:szCs w:val="26"/>
        </w:rPr>
        <w:t>’s Comments in Opposition to the Settlement</w:t>
      </w:r>
    </w:p>
    <w:p w14:paraId="47D9262B" w14:textId="77777777" w:rsidR="0008677E" w:rsidRDefault="0008677E" w:rsidP="005D47C5">
      <w:pPr>
        <w:spacing w:after="0" w:line="360" w:lineRule="auto"/>
        <w:ind w:firstLine="720"/>
        <w:contextualSpacing/>
        <w:rPr>
          <w:rFonts w:ascii="Times New Roman" w:hAnsi="Times New Roman" w:cs="Times New Roman"/>
          <w:b/>
          <w:bCs/>
          <w:sz w:val="26"/>
          <w:szCs w:val="26"/>
        </w:rPr>
      </w:pPr>
    </w:p>
    <w:p w14:paraId="1331BB4D" w14:textId="3D503520" w:rsidR="005D47C5" w:rsidRPr="007927C6" w:rsidRDefault="00C50F32" w:rsidP="005D47C5">
      <w:pPr>
        <w:spacing w:after="0" w:line="360" w:lineRule="auto"/>
        <w:ind w:firstLine="720"/>
        <w:contextualSpacing/>
        <w:rPr>
          <w:rFonts w:ascii="Times New Roman" w:hAnsi="Times New Roman" w:cs="Times New Roman"/>
          <w:sz w:val="26"/>
          <w:szCs w:val="26"/>
        </w:rPr>
      </w:pPr>
      <w:r>
        <w:rPr>
          <w:rFonts w:ascii="Times New Roman" w:hAnsi="Times New Roman" w:cs="Times New Roman"/>
          <w:b/>
          <w:bCs/>
          <w:sz w:val="26"/>
          <w:szCs w:val="26"/>
        </w:rPr>
        <w:tab/>
      </w:r>
      <w:r w:rsidR="007927C6" w:rsidRPr="00282079">
        <w:rPr>
          <w:rFonts w:ascii="Times New Roman" w:hAnsi="Times New Roman" w:cs="Times New Roman"/>
          <w:sz w:val="26"/>
          <w:szCs w:val="26"/>
        </w:rPr>
        <w:t>I</w:t>
      </w:r>
      <w:r w:rsidR="007927C6">
        <w:rPr>
          <w:rFonts w:ascii="Times New Roman" w:hAnsi="Times New Roman" w:cs="Times New Roman"/>
          <w:sz w:val="26"/>
          <w:szCs w:val="26"/>
        </w:rPr>
        <w:t xml:space="preserve">n her Comments, Ms. Brace voices concerns about the </w:t>
      </w:r>
      <w:r w:rsidR="0068020F">
        <w:rPr>
          <w:rFonts w:ascii="Times New Roman" w:hAnsi="Times New Roman" w:cs="Times New Roman"/>
          <w:sz w:val="26"/>
          <w:szCs w:val="26"/>
        </w:rPr>
        <w:t xml:space="preserve">Company’s increase to the distribution charge and the </w:t>
      </w:r>
      <w:r w:rsidR="002C69C7">
        <w:rPr>
          <w:rFonts w:ascii="Times New Roman" w:hAnsi="Times New Roman" w:cs="Times New Roman"/>
          <w:sz w:val="26"/>
          <w:szCs w:val="26"/>
        </w:rPr>
        <w:t xml:space="preserve">residential </w:t>
      </w:r>
      <w:r w:rsidR="0068020F">
        <w:rPr>
          <w:rFonts w:ascii="Times New Roman" w:hAnsi="Times New Roman" w:cs="Times New Roman"/>
          <w:sz w:val="26"/>
          <w:szCs w:val="26"/>
        </w:rPr>
        <w:t xml:space="preserve">customer </w:t>
      </w:r>
      <w:r w:rsidR="002C69C7">
        <w:rPr>
          <w:rFonts w:ascii="Times New Roman" w:hAnsi="Times New Roman" w:cs="Times New Roman"/>
          <w:sz w:val="26"/>
          <w:szCs w:val="26"/>
        </w:rPr>
        <w:t xml:space="preserve">charge.  </w:t>
      </w:r>
      <w:r w:rsidR="00096838">
        <w:rPr>
          <w:rFonts w:ascii="Times New Roman" w:hAnsi="Times New Roman" w:cs="Times New Roman"/>
          <w:sz w:val="26"/>
          <w:szCs w:val="26"/>
        </w:rPr>
        <w:t>Ms. Brace avers that the increase should be a</w:t>
      </w:r>
      <w:r w:rsidR="008B13B8">
        <w:rPr>
          <w:rFonts w:ascii="Times New Roman" w:hAnsi="Times New Roman" w:cs="Times New Roman"/>
          <w:sz w:val="26"/>
          <w:szCs w:val="26"/>
        </w:rPr>
        <w:t>llocated</w:t>
      </w:r>
      <w:r w:rsidR="00096838">
        <w:rPr>
          <w:rFonts w:ascii="Times New Roman" w:hAnsi="Times New Roman" w:cs="Times New Roman"/>
          <w:sz w:val="26"/>
          <w:szCs w:val="26"/>
        </w:rPr>
        <w:t xml:space="preserve"> to the </w:t>
      </w:r>
      <w:r w:rsidR="008B13B8">
        <w:rPr>
          <w:rFonts w:ascii="Times New Roman" w:hAnsi="Times New Roman" w:cs="Times New Roman"/>
          <w:sz w:val="26"/>
          <w:szCs w:val="26"/>
        </w:rPr>
        <w:t xml:space="preserve">generation charge.  Brace Comments at 2.  </w:t>
      </w:r>
      <w:r w:rsidR="006C59B1">
        <w:rPr>
          <w:rFonts w:ascii="Times New Roman" w:hAnsi="Times New Roman" w:cs="Times New Roman"/>
          <w:sz w:val="26"/>
          <w:szCs w:val="26"/>
        </w:rPr>
        <w:t xml:space="preserve">Ms. Brace also opposes </w:t>
      </w:r>
      <w:r w:rsidR="00823CF8">
        <w:rPr>
          <w:rFonts w:ascii="Times New Roman" w:hAnsi="Times New Roman" w:cs="Times New Roman"/>
          <w:sz w:val="26"/>
          <w:szCs w:val="26"/>
        </w:rPr>
        <w:t xml:space="preserve">this case </w:t>
      </w:r>
      <w:r w:rsidR="00044E16">
        <w:rPr>
          <w:rFonts w:ascii="Times New Roman" w:hAnsi="Times New Roman" w:cs="Times New Roman"/>
          <w:sz w:val="26"/>
          <w:szCs w:val="26"/>
        </w:rPr>
        <w:t xml:space="preserve">being </w:t>
      </w:r>
      <w:r w:rsidR="00823CF8">
        <w:rPr>
          <w:rFonts w:ascii="Times New Roman" w:hAnsi="Times New Roman" w:cs="Times New Roman"/>
          <w:sz w:val="26"/>
          <w:szCs w:val="26"/>
        </w:rPr>
        <w:t>resolved through a black</w:t>
      </w:r>
      <w:r w:rsidR="00EB3C31">
        <w:rPr>
          <w:rFonts w:ascii="Times New Roman" w:hAnsi="Times New Roman" w:cs="Times New Roman"/>
          <w:sz w:val="26"/>
          <w:szCs w:val="26"/>
        </w:rPr>
        <w:t xml:space="preserve"> </w:t>
      </w:r>
      <w:r w:rsidR="00823CF8">
        <w:rPr>
          <w:rFonts w:ascii="Times New Roman" w:hAnsi="Times New Roman" w:cs="Times New Roman"/>
          <w:sz w:val="26"/>
          <w:szCs w:val="26"/>
        </w:rPr>
        <w:t>box settlem</w:t>
      </w:r>
      <w:r w:rsidR="00EB3C31">
        <w:rPr>
          <w:rFonts w:ascii="Times New Roman" w:hAnsi="Times New Roman" w:cs="Times New Roman"/>
          <w:sz w:val="26"/>
          <w:szCs w:val="26"/>
        </w:rPr>
        <w:t>e</w:t>
      </w:r>
      <w:r w:rsidR="00823CF8">
        <w:rPr>
          <w:rFonts w:ascii="Times New Roman" w:hAnsi="Times New Roman" w:cs="Times New Roman"/>
          <w:sz w:val="26"/>
          <w:szCs w:val="26"/>
        </w:rPr>
        <w:t>n</w:t>
      </w:r>
      <w:r w:rsidR="00EB3C31">
        <w:rPr>
          <w:rFonts w:ascii="Times New Roman" w:hAnsi="Times New Roman" w:cs="Times New Roman"/>
          <w:sz w:val="26"/>
          <w:szCs w:val="26"/>
        </w:rPr>
        <w:t>t</w:t>
      </w:r>
      <w:r w:rsidR="001E7CBB">
        <w:rPr>
          <w:rFonts w:ascii="Times New Roman" w:hAnsi="Times New Roman" w:cs="Times New Roman"/>
          <w:sz w:val="26"/>
          <w:szCs w:val="26"/>
        </w:rPr>
        <w:t xml:space="preserve">, because </w:t>
      </w:r>
      <w:r w:rsidR="00EB3C31">
        <w:rPr>
          <w:rFonts w:ascii="Times New Roman" w:hAnsi="Times New Roman" w:cs="Times New Roman"/>
          <w:sz w:val="26"/>
          <w:szCs w:val="26"/>
        </w:rPr>
        <w:t xml:space="preserve">she believes </w:t>
      </w:r>
      <w:r w:rsidR="00D40495">
        <w:rPr>
          <w:rFonts w:ascii="Times New Roman" w:hAnsi="Times New Roman" w:cs="Times New Roman"/>
          <w:sz w:val="26"/>
          <w:szCs w:val="26"/>
        </w:rPr>
        <w:t xml:space="preserve">that more information should be </w:t>
      </w:r>
      <w:r w:rsidR="009E2762">
        <w:rPr>
          <w:rFonts w:ascii="Times New Roman" w:hAnsi="Times New Roman" w:cs="Times New Roman"/>
          <w:sz w:val="26"/>
          <w:szCs w:val="26"/>
        </w:rPr>
        <w:t xml:space="preserve">available to the public to ensure that the </w:t>
      </w:r>
      <w:r w:rsidR="00814633">
        <w:rPr>
          <w:rFonts w:ascii="Times New Roman" w:hAnsi="Times New Roman" w:cs="Times New Roman"/>
          <w:sz w:val="26"/>
          <w:szCs w:val="26"/>
        </w:rPr>
        <w:t xml:space="preserve">rate increase is reasonable and in the public interest.  </w:t>
      </w:r>
      <w:r w:rsidR="00814633" w:rsidRPr="00814633">
        <w:rPr>
          <w:rFonts w:ascii="Times New Roman" w:hAnsi="Times New Roman" w:cs="Times New Roman"/>
          <w:i/>
          <w:iCs/>
          <w:sz w:val="26"/>
          <w:szCs w:val="26"/>
        </w:rPr>
        <w:t>Id</w:t>
      </w:r>
      <w:r w:rsidR="00814633">
        <w:rPr>
          <w:rFonts w:ascii="Times New Roman" w:hAnsi="Times New Roman" w:cs="Times New Roman"/>
          <w:sz w:val="26"/>
          <w:szCs w:val="26"/>
        </w:rPr>
        <w:t xml:space="preserve">. at 3-4.    </w:t>
      </w:r>
      <w:r w:rsidR="00823CF8">
        <w:rPr>
          <w:rFonts w:ascii="Times New Roman" w:hAnsi="Times New Roman" w:cs="Times New Roman"/>
          <w:sz w:val="26"/>
          <w:szCs w:val="26"/>
        </w:rPr>
        <w:t xml:space="preserve"> </w:t>
      </w:r>
      <w:r w:rsidR="006C59B1">
        <w:rPr>
          <w:rFonts w:ascii="Times New Roman" w:hAnsi="Times New Roman" w:cs="Times New Roman"/>
          <w:sz w:val="26"/>
          <w:szCs w:val="26"/>
        </w:rPr>
        <w:t xml:space="preserve"> </w:t>
      </w:r>
    </w:p>
    <w:p w14:paraId="52CEE4B7" w14:textId="515C2057" w:rsidR="00B43A4E" w:rsidRPr="00496081" w:rsidRDefault="005D47C5" w:rsidP="00496081">
      <w:pPr>
        <w:keepNext/>
        <w:keepLines/>
        <w:spacing w:line="360" w:lineRule="auto"/>
        <w:ind w:left="1440" w:hanging="720"/>
        <w:contextualSpacing/>
        <w:rPr>
          <w:rFonts w:ascii="Times New Roman" w:hAnsi="Times New Roman" w:cs="Times New Roman"/>
          <w:sz w:val="26"/>
          <w:szCs w:val="26"/>
        </w:rPr>
      </w:pPr>
      <w:r>
        <w:rPr>
          <w:rFonts w:ascii="Times New Roman" w:hAnsi="Times New Roman" w:cs="Times New Roman"/>
          <w:b/>
          <w:sz w:val="26"/>
          <w:szCs w:val="26"/>
        </w:rPr>
        <w:lastRenderedPageBreak/>
        <w:t>4</w:t>
      </w:r>
      <w:r w:rsidR="00B43A4E" w:rsidRPr="00496081">
        <w:rPr>
          <w:rFonts w:ascii="Times New Roman" w:hAnsi="Times New Roman" w:cs="Times New Roman"/>
          <w:b/>
          <w:sz w:val="26"/>
          <w:szCs w:val="26"/>
        </w:rPr>
        <w:t>.</w:t>
      </w:r>
      <w:r w:rsidR="00B43A4E" w:rsidRPr="00496081">
        <w:rPr>
          <w:rFonts w:ascii="Times New Roman" w:hAnsi="Times New Roman" w:cs="Times New Roman"/>
          <w:b/>
          <w:sz w:val="26"/>
          <w:szCs w:val="26"/>
        </w:rPr>
        <w:tab/>
        <w:t>ALJ’</w:t>
      </w:r>
      <w:r w:rsidR="0051183F">
        <w:rPr>
          <w:rFonts w:ascii="Times New Roman" w:hAnsi="Times New Roman" w:cs="Times New Roman"/>
          <w:b/>
          <w:sz w:val="26"/>
          <w:szCs w:val="26"/>
        </w:rPr>
        <w:t>s</w:t>
      </w:r>
      <w:r w:rsidR="00B43A4E" w:rsidRPr="00496081">
        <w:rPr>
          <w:rFonts w:ascii="Times New Roman" w:hAnsi="Times New Roman" w:cs="Times New Roman"/>
          <w:b/>
          <w:sz w:val="26"/>
          <w:szCs w:val="26"/>
        </w:rPr>
        <w:t xml:space="preserve"> Recommendation</w:t>
      </w:r>
    </w:p>
    <w:p w14:paraId="66292E19" w14:textId="7AD9E940" w:rsidR="00EB792F" w:rsidRDefault="00EB792F" w:rsidP="00496081">
      <w:pPr>
        <w:keepNext/>
        <w:keepLines/>
        <w:spacing w:line="360" w:lineRule="auto"/>
        <w:contextualSpacing/>
        <w:rPr>
          <w:rFonts w:ascii="Times New Roman" w:hAnsi="Times New Roman" w:cs="Times New Roman"/>
          <w:sz w:val="26"/>
          <w:szCs w:val="26"/>
        </w:rPr>
      </w:pPr>
    </w:p>
    <w:p w14:paraId="7AE273FC" w14:textId="770D48BB" w:rsidR="00A8371C" w:rsidRDefault="00A8371C" w:rsidP="00594445">
      <w:pPr>
        <w:keepNext/>
        <w:keepLines/>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The ALJ’s Recommended Decision contains a detailed discussion of the ALJ’s analysis on each portion of the Settlement as well as the Parties’ respective positions on the Settlement.  </w:t>
      </w:r>
      <w:r w:rsidRPr="005846E2">
        <w:rPr>
          <w:rFonts w:ascii="Times New Roman" w:hAnsi="Times New Roman" w:cs="Times New Roman"/>
          <w:i/>
          <w:iCs/>
          <w:sz w:val="26"/>
          <w:szCs w:val="26"/>
        </w:rPr>
        <w:t>See</w:t>
      </w:r>
      <w:r>
        <w:rPr>
          <w:rFonts w:ascii="Times New Roman" w:hAnsi="Times New Roman" w:cs="Times New Roman"/>
          <w:i/>
          <w:iCs/>
          <w:sz w:val="26"/>
          <w:szCs w:val="26"/>
        </w:rPr>
        <w:t xml:space="preserve"> </w:t>
      </w:r>
      <w:r>
        <w:rPr>
          <w:rFonts w:ascii="Times New Roman" w:hAnsi="Times New Roman" w:cs="Times New Roman"/>
          <w:sz w:val="26"/>
          <w:szCs w:val="26"/>
        </w:rPr>
        <w:t>R.D. at 1</w:t>
      </w:r>
      <w:r w:rsidR="00BC1E2B">
        <w:rPr>
          <w:rFonts w:ascii="Times New Roman" w:hAnsi="Times New Roman" w:cs="Times New Roman"/>
          <w:sz w:val="26"/>
          <w:szCs w:val="26"/>
        </w:rPr>
        <w:t>9</w:t>
      </w:r>
      <w:r>
        <w:rPr>
          <w:rFonts w:ascii="Times New Roman" w:hAnsi="Times New Roman" w:cs="Times New Roman"/>
          <w:sz w:val="26"/>
          <w:szCs w:val="26"/>
        </w:rPr>
        <w:t>-4</w:t>
      </w:r>
      <w:r w:rsidR="00BC1E2B">
        <w:rPr>
          <w:rFonts w:ascii="Times New Roman" w:hAnsi="Times New Roman" w:cs="Times New Roman"/>
          <w:sz w:val="26"/>
          <w:szCs w:val="26"/>
        </w:rPr>
        <w:t>4</w:t>
      </w:r>
      <w:r>
        <w:rPr>
          <w:rFonts w:ascii="Times New Roman" w:hAnsi="Times New Roman" w:cs="Times New Roman"/>
          <w:sz w:val="26"/>
          <w:szCs w:val="26"/>
        </w:rPr>
        <w:t>.  For purposes of this Opinion and Order, we will summarize the ALJ’s recommendations on pertinent portions of the Settlement and portions of the Settlement that pertain to the Exceptions and Responses before us</w:t>
      </w:r>
      <w:r w:rsidR="004E14F1">
        <w:rPr>
          <w:rFonts w:ascii="Times New Roman" w:hAnsi="Times New Roman" w:cs="Times New Roman"/>
          <w:sz w:val="26"/>
          <w:szCs w:val="26"/>
        </w:rPr>
        <w:t xml:space="preserve">, including </w:t>
      </w:r>
      <w:r w:rsidR="00493E06">
        <w:rPr>
          <w:rFonts w:ascii="Times New Roman" w:hAnsi="Times New Roman" w:cs="Times New Roman"/>
          <w:sz w:val="26"/>
          <w:szCs w:val="26"/>
        </w:rPr>
        <w:t xml:space="preserve">issues involving </w:t>
      </w:r>
      <w:r w:rsidR="00B71631">
        <w:rPr>
          <w:rFonts w:ascii="Times New Roman" w:hAnsi="Times New Roman" w:cs="Times New Roman"/>
          <w:sz w:val="26"/>
          <w:szCs w:val="26"/>
        </w:rPr>
        <w:t>the revenue requirement, revenue allocation/rate design, the Company’s battery storage proposal, and COVID-19 cost deferral</w:t>
      </w:r>
      <w:r>
        <w:rPr>
          <w:rFonts w:ascii="Times New Roman" w:hAnsi="Times New Roman" w:cs="Times New Roman"/>
          <w:sz w:val="26"/>
          <w:szCs w:val="26"/>
        </w:rPr>
        <w:t>.</w:t>
      </w:r>
    </w:p>
    <w:p w14:paraId="5C8895C3" w14:textId="77777777" w:rsidR="00A8371C" w:rsidRDefault="00A8371C" w:rsidP="00594445">
      <w:pPr>
        <w:spacing w:after="0" w:line="360" w:lineRule="auto"/>
        <w:rPr>
          <w:rFonts w:ascii="Times New Roman" w:hAnsi="Times New Roman" w:cs="Times New Roman"/>
          <w:sz w:val="26"/>
          <w:szCs w:val="26"/>
        </w:rPr>
      </w:pPr>
    </w:p>
    <w:p w14:paraId="7EE6468F" w14:textId="6E6F85C3" w:rsidR="00A8371C" w:rsidRPr="005B0A53" w:rsidRDefault="00A8371C" w:rsidP="0059444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Overall, the ALJ</w:t>
      </w:r>
      <w:r w:rsidRPr="005B0A53">
        <w:rPr>
          <w:rFonts w:ascii="Times New Roman" w:hAnsi="Times New Roman" w:cs="Times New Roman"/>
          <w:sz w:val="26"/>
          <w:szCs w:val="26"/>
        </w:rPr>
        <w:t xml:space="preserve"> f</w:t>
      </w:r>
      <w:r>
        <w:rPr>
          <w:rFonts w:ascii="Times New Roman" w:hAnsi="Times New Roman" w:cs="Times New Roman"/>
          <w:sz w:val="26"/>
          <w:szCs w:val="26"/>
        </w:rPr>
        <w:t>ou</w:t>
      </w:r>
      <w:r w:rsidRPr="005B0A53">
        <w:rPr>
          <w:rFonts w:ascii="Times New Roman" w:hAnsi="Times New Roman" w:cs="Times New Roman"/>
          <w:sz w:val="26"/>
          <w:szCs w:val="26"/>
        </w:rPr>
        <w:t xml:space="preserve">nd that </w:t>
      </w:r>
      <w:r>
        <w:rPr>
          <w:rFonts w:ascii="Times New Roman" w:hAnsi="Times New Roman" w:cs="Times New Roman"/>
          <w:sz w:val="26"/>
          <w:szCs w:val="26"/>
        </w:rPr>
        <w:t xml:space="preserve">the Settlement </w:t>
      </w:r>
      <w:r w:rsidRPr="005B0A53">
        <w:rPr>
          <w:rFonts w:ascii="Times New Roman" w:hAnsi="Times New Roman" w:cs="Times New Roman"/>
          <w:sz w:val="26"/>
          <w:szCs w:val="26"/>
        </w:rPr>
        <w:t xml:space="preserve">produces rates that are just and reasonable.  </w:t>
      </w:r>
      <w:r>
        <w:rPr>
          <w:rFonts w:ascii="Times New Roman" w:hAnsi="Times New Roman" w:cs="Times New Roman"/>
          <w:sz w:val="26"/>
          <w:szCs w:val="26"/>
        </w:rPr>
        <w:t>The ALJ noted that t</w:t>
      </w:r>
      <w:r w:rsidRPr="005B0A53">
        <w:rPr>
          <w:rFonts w:ascii="Times New Roman" w:hAnsi="Times New Roman" w:cs="Times New Roman"/>
          <w:sz w:val="26"/>
          <w:szCs w:val="26"/>
        </w:rPr>
        <w:t xml:space="preserve">he active </w:t>
      </w:r>
      <w:r w:rsidR="00460406">
        <w:rPr>
          <w:rFonts w:ascii="Times New Roman" w:hAnsi="Times New Roman" w:cs="Times New Roman"/>
          <w:sz w:val="26"/>
          <w:szCs w:val="26"/>
        </w:rPr>
        <w:t>P</w:t>
      </w:r>
      <w:r w:rsidRPr="005B0A53">
        <w:rPr>
          <w:rFonts w:ascii="Times New Roman" w:hAnsi="Times New Roman" w:cs="Times New Roman"/>
          <w:sz w:val="26"/>
          <w:szCs w:val="26"/>
        </w:rPr>
        <w:t>arties presented expert testimony in support of the various elements of the rate filing</w:t>
      </w:r>
      <w:r>
        <w:rPr>
          <w:rFonts w:ascii="Times New Roman" w:hAnsi="Times New Roman" w:cs="Times New Roman"/>
          <w:sz w:val="26"/>
          <w:szCs w:val="26"/>
        </w:rPr>
        <w:t xml:space="preserve">, </w:t>
      </w:r>
      <w:r w:rsidRPr="005B0A53">
        <w:rPr>
          <w:rFonts w:ascii="Times New Roman" w:hAnsi="Times New Roman" w:cs="Times New Roman"/>
          <w:sz w:val="26"/>
          <w:szCs w:val="26"/>
        </w:rPr>
        <w:t>engaged in discovery and reviewed and evaluated the filing</w:t>
      </w:r>
      <w:r>
        <w:rPr>
          <w:rFonts w:ascii="Times New Roman" w:hAnsi="Times New Roman" w:cs="Times New Roman"/>
          <w:sz w:val="26"/>
          <w:szCs w:val="26"/>
        </w:rPr>
        <w:t xml:space="preserve">, and </w:t>
      </w:r>
      <w:r w:rsidRPr="005B0A53">
        <w:rPr>
          <w:rFonts w:ascii="Times New Roman" w:hAnsi="Times New Roman" w:cs="Times New Roman"/>
          <w:sz w:val="26"/>
          <w:szCs w:val="26"/>
        </w:rPr>
        <w:t>engaged in extensive settlement negotiations and made compromises</w:t>
      </w:r>
      <w:r>
        <w:rPr>
          <w:rFonts w:ascii="Times New Roman" w:hAnsi="Times New Roman" w:cs="Times New Roman"/>
          <w:sz w:val="26"/>
          <w:szCs w:val="26"/>
        </w:rPr>
        <w:t>.</w:t>
      </w:r>
      <w:r w:rsidRPr="005B0A53">
        <w:rPr>
          <w:rFonts w:ascii="Times New Roman" w:hAnsi="Times New Roman" w:cs="Times New Roman"/>
          <w:sz w:val="26"/>
          <w:szCs w:val="26"/>
        </w:rPr>
        <w:t xml:space="preserve">  </w:t>
      </w:r>
      <w:r>
        <w:rPr>
          <w:rFonts w:ascii="Times New Roman" w:hAnsi="Times New Roman" w:cs="Times New Roman"/>
          <w:sz w:val="26"/>
          <w:szCs w:val="26"/>
        </w:rPr>
        <w:t>The ALJ concluded that the</w:t>
      </w:r>
      <w:r w:rsidRPr="005B0A53">
        <w:rPr>
          <w:rFonts w:ascii="Times New Roman" w:hAnsi="Times New Roman" w:cs="Times New Roman"/>
          <w:sz w:val="26"/>
          <w:szCs w:val="26"/>
        </w:rPr>
        <w:t xml:space="preserve"> unanimous agreement </w:t>
      </w:r>
      <w:r w:rsidR="0035599A">
        <w:rPr>
          <w:rFonts w:ascii="Times New Roman" w:hAnsi="Times New Roman" w:cs="Times New Roman"/>
          <w:sz w:val="26"/>
          <w:szCs w:val="26"/>
        </w:rPr>
        <w:t>between</w:t>
      </w:r>
      <w:r w:rsidRPr="005B0A53">
        <w:rPr>
          <w:rFonts w:ascii="Times New Roman" w:hAnsi="Times New Roman" w:cs="Times New Roman"/>
          <w:sz w:val="26"/>
          <w:szCs w:val="26"/>
        </w:rPr>
        <w:t xml:space="preserve"> the Company and </w:t>
      </w:r>
      <w:r w:rsidR="00C35824">
        <w:rPr>
          <w:rFonts w:ascii="Times New Roman" w:hAnsi="Times New Roman" w:cs="Times New Roman"/>
          <w:sz w:val="26"/>
          <w:szCs w:val="26"/>
        </w:rPr>
        <w:t xml:space="preserve">the </w:t>
      </w:r>
      <w:r w:rsidRPr="005B0A53">
        <w:rPr>
          <w:rFonts w:ascii="Times New Roman" w:hAnsi="Times New Roman" w:cs="Times New Roman"/>
          <w:sz w:val="26"/>
          <w:szCs w:val="26"/>
        </w:rPr>
        <w:t>other Joint Petitioners resulted in a lower rate increase than</w:t>
      </w:r>
      <w:r>
        <w:rPr>
          <w:rFonts w:ascii="Times New Roman" w:hAnsi="Times New Roman" w:cs="Times New Roman"/>
          <w:sz w:val="26"/>
          <w:szCs w:val="26"/>
        </w:rPr>
        <w:t xml:space="preserve"> UGI Electric</w:t>
      </w:r>
      <w:r w:rsidRPr="005B0A53">
        <w:rPr>
          <w:rFonts w:ascii="Times New Roman" w:hAnsi="Times New Roman" w:cs="Times New Roman"/>
          <w:sz w:val="26"/>
          <w:szCs w:val="26"/>
        </w:rPr>
        <w:t xml:space="preserve"> originally proposed. </w:t>
      </w:r>
      <w:r w:rsidR="00AC1625">
        <w:rPr>
          <w:rFonts w:ascii="Times New Roman" w:hAnsi="Times New Roman" w:cs="Times New Roman"/>
          <w:sz w:val="26"/>
          <w:szCs w:val="26"/>
        </w:rPr>
        <w:t xml:space="preserve"> </w:t>
      </w:r>
      <w:r>
        <w:rPr>
          <w:rFonts w:ascii="Times New Roman" w:hAnsi="Times New Roman" w:cs="Times New Roman"/>
          <w:sz w:val="26"/>
          <w:szCs w:val="26"/>
        </w:rPr>
        <w:t>The ALJ also determined that</w:t>
      </w:r>
      <w:r w:rsidRPr="005B0A53">
        <w:rPr>
          <w:rFonts w:ascii="Times New Roman" w:hAnsi="Times New Roman" w:cs="Times New Roman"/>
          <w:sz w:val="26"/>
          <w:szCs w:val="26"/>
        </w:rPr>
        <w:t xml:space="preserve"> the </w:t>
      </w:r>
      <w:r>
        <w:rPr>
          <w:rFonts w:ascii="Times New Roman" w:hAnsi="Times New Roman" w:cs="Times New Roman"/>
          <w:sz w:val="26"/>
          <w:szCs w:val="26"/>
        </w:rPr>
        <w:t>S</w:t>
      </w:r>
      <w:r w:rsidRPr="005B0A53">
        <w:rPr>
          <w:rFonts w:ascii="Times New Roman" w:hAnsi="Times New Roman" w:cs="Times New Roman"/>
          <w:sz w:val="26"/>
          <w:szCs w:val="26"/>
        </w:rPr>
        <w:t xml:space="preserve">ettlement is supported by substantial evidence, is in the public interest, and is consistent with the requirements of 66 Pa. C.S. § 1308.  Accordingly, </w:t>
      </w:r>
      <w:r>
        <w:rPr>
          <w:rFonts w:ascii="Times New Roman" w:hAnsi="Times New Roman" w:cs="Times New Roman"/>
          <w:sz w:val="26"/>
          <w:szCs w:val="26"/>
        </w:rPr>
        <w:t>the ALJ rec</w:t>
      </w:r>
      <w:r w:rsidRPr="005B0A53">
        <w:rPr>
          <w:rFonts w:ascii="Times New Roman" w:hAnsi="Times New Roman" w:cs="Times New Roman"/>
          <w:sz w:val="26"/>
          <w:szCs w:val="26"/>
        </w:rPr>
        <w:t>ommend</w:t>
      </w:r>
      <w:r>
        <w:rPr>
          <w:rFonts w:ascii="Times New Roman" w:hAnsi="Times New Roman" w:cs="Times New Roman"/>
          <w:sz w:val="26"/>
          <w:szCs w:val="26"/>
        </w:rPr>
        <w:t>ed</w:t>
      </w:r>
      <w:r w:rsidRPr="005B0A53">
        <w:rPr>
          <w:rFonts w:ascii="Times New Roman" w:hAnsi="Times New Roman" w:cs="Times New Roman"/>
          <w:sz w:val="26"/>
          <w:szCs w:val="26"/>
        </w:rPr>
        <w:t xml:space="preserve"> that the Commission approve the proposed settlement and that UGI Electric file a tariff supplement reflecting the rates set forth in its proposed compliance tariff attached to the Joint Petition as Appendix A to become effective no earlier than November 9, 2021.</w:t>
      </w:r>
      <w:r>
        <w:rPr>
          <w:rFonts w:ascii="Times New Roman" w:hAnsi="Times New Roman" w:cs="Times New Roman"/>
          <w:sz w:val="26"/>
          <w:szCs w:val="26"/>
        </w:rPr>
        <w:t xml:space="preserve">  R.D. at 4</w:t>
      </w:r>
      <w:r w:rsidR="00AC1625">
        <w:rPr>
          <w:rFonts w:ascii="Times New Roman" w:hAnsi="Times New Roman" w:cs="Times New Roman"/>
          <w:sz w:val="26"/>
          <w:szCs w:val="26"/>
        </w:rPr>
        <w:t>8</w:t>
      </w:r>
      <w:r>
        <w:rPr>
          <w:rFonts w:ascii="Times New Roman" w:hAnsi="Times New Roman" w:cs="Times New Roman"/>
          <w:sz w:val="26"/>
          <w:szCs w:val="26"/>
        </w:rPr>
        <w:t xml:space="preserve">.    </w:t>
      </w:r>
      <w:r w:rsidRPr="005B0A53">
        <w:rPr>
          <w:rFonts w:ascii="Times New Roman" w:hAnsi="Times New Roman" w:cs="Times New Roman"/>
          <w:sz w:val="26"/>
          <w:szCs w:val="26"/>
        </w:rPr>
        <w:t xml:space="preserve"> </w:t>
      </w:r>
    </w:p>
    <w:p w14:paraId="738888C3" w14:textId="77777777" w:rsidR="00F975D8" w:rsidRDefault="00F975D8" w:rsidP="00F975D8">
      <w:pPr>
        <w:tabs>
          <w:tab w:val="left" w:pos="8910"/>
        </w:tabs>
        <w:spacing w:after="0" w:line="360" w:lineRule="auto"/>
        <w:ind w:left="1440" w:right="418"/>
        <w:rPr>
          <w:rFonts w:ascii="Times New Roman" w:hAnsi="Times New Roman" w:cs="Times New Roman"/>
          <w:sz w:val="26"/>
          <w:szCs w:val="26"/>
        </w:rPr>
      </w:pPr>
    </w:p>
    <w:p w14:paraId="61C3CAA7" w14:textId="2BC095B2" w:rsidR="00B15F9B" w:rsidRDefault="00895C86" w:rsidP="005B58F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Regarding the revenue requirement, the ALJ stated that t</w:t>
      </w:r>
      <w:r w:rsidR="00B15F9B" w:rsidRPr="00895C86">
        <w:rPr>
          <w:rFonts w:ascii="Times New Roman" w:hAnsi="Times New Roman" w:cs="Times New Roman"/>
          <w:sz w:val="26"/>
          <w:szCs w:val="26"/>
        </w:rPr>
        <w:t>he total increase in annual revenues of $6.15 million</w:t>
      </w:r>
      <w:r w:rsidR="008D3F6F">
        <w:rPr>
          <w:rFonts w:ascii="Times New Roman" w:hAnsi="Times New Roman" w:cs="Times New Roman"/>
          <w:sz w:val="26"/>
          <w:szCs w:val="26"/>
        </w:rPr>
        <w:t>, an increase of approximately</w:t>
      </w:r>
      <w:r w:rsidR="008918E0">
        <w:rPr>
          <w:rFonts w:ascii="Times New Roman" w:hAnsi="Times New Roman" w:cs="Times New Roman"/>
          <w:sz w:val="26"/>
          <w:szCs w:val="26"/>
        </w:rPr>
        <w:t xml:space="preserve"> 7.1%,</w:t>
      </w:r>
      <w:r w:rsidR="00B15F9B" w:rsidRPr="00895C86">
        <w:rPr>
          <w:rFonts w:ascii="Times New Roman" w:hAnsi="Times New Roman" w:cs="Times New Roman"/>
          <w:sz w:val="26"/>
          <w:szCs w:val="26"/>
        </w:rPr>
        <w:t xml:space="preserve"> that the Joint Petitioners agreed to is approximately $2.55 million less than UGI Electric’s original request of $8.7 million.  </w:t>
      </w:r>
      <w:r w:rsidR="005B58FC">
        <w:rPr>
          <w:rFonts w:ascii="Times New Roman" w:hAnsi="Times New Roman" w:cs="Times New Roman"/>
          <w:sz w:val="26"/>
          <w:szCs w:val="26"/>
        </w:rPr>
        <w:t>The ALJ observed that t</w:t>
      </w:r>
      <w:r w:rsidR="00B15F9B" w:rsidRPr="00895C86">
        <w:rPr>
          <w:rFonts w:ascii="Times New Roman" w:hAnsi="Times New Roman" w:cs="Times New Roman"/>
          <w:sz w:val="26"/>
          <w:szCs w:val="26"/>
        </w:rPr>
        <w:t xml:space="preserve">he agreed upon increase is approximately 70.6% of UGI Electric’s original request.  </w:t>
      </w:r>
      <w:r w:rsidR="00D23D86">
        <w:rPr>
          <w:rFonts w:ascii="Times New Roman" w:hAnsi="Times New Roman" w:cs="Times New Roman"/>
          <w:sz w:val="26"/>
          <w:szCs w:val="26"/>
        </w:rPr>
        <w:t>The ALJ noted that t</w:t>
      </w:r>
      <w:r w:rsidR="00B15F9B" w:rsidRPr="00895C86">
        <w:rPr>
          <w:rFonts w:ascii="Times New Roman" w:hAnsi="Times New Roman" w:cs="Times New Roman"/>
          <w:sz w:val="26"/>
          <w:szCs w:val="26"/>
        </w:rPr>
        <w:t xml:space="preserve">he </w:t>
      </w:r>
      <w:r w:rsidR="00D23D86">
        <w:rPr>
          <w:rFonts w:ascii="Times New Roman" w:hAnsi="Times New Roman" w:cs="Times New Roman"/>
          <w:sz w:val="26"/>
          <w:szCs w:val="26"/>
        </w:rPr>
        <w:t>P</w:t>
      </w:r>
      <w:r w:rsidR="00B15F9B" w:rsidRPr="00895C86">
        <w:rPr>
          <w:rFonts w:ascii="Times New Roman" w:hAnsi="Times New Roman" w:cs="Times New Roman"/>
          <w:sz w:val="26"/>
          <w:szCs w:val="26"/>
        </w:rPr>
        <w:t xml:space="preserve">arties agree that the revenue increase represents a “black box” settlement, whereby the </w:t>
      </w:r>
      <w:r w:rsidR="00D23D86">
        <w:rPr>
          <w:rFonts w:ascii="Times New Roman" w:hAnsi="Times New Roman" w:cs="Times New Roman"/>
          <w:sz w:val="26"/>
          <w:szCs w:val="26"/>
        </w:rPr>
        <w:t>P</w:t>
      </w:r>
      <w:r w:rsidR="00B15F9B" w:rsidRPr="00895C86">
        <w:rPr>
          <w:rFonts w:ascii="Times New Roman" w:hAnsi="Times New Roman" w:cs="Times New Roman"/>
          <w:sz w:val="26"/>
          <w:szCs w:val="26"/>
        </w:rPr>
        <w:t xml:space="preserve">arties </w:t>
      </w:r>
      <w:r w:rsidR="00B15F9B" w:rsidRPr="00895C86">
        <w:rPr>
          <w:rFonts w:ascii="Times New Roman" w:hAnsi="Times New Roman" w:cs="Times New Roman"/>
          <w:sz w:val="26"/>
          <w:szCs w:val="26"/>
        </w:rPr>
        <w:lastRenderedPageBreak/>
        <w:t>do not specifically identify or resolve individual rate base, revenue, expenses, and rate of return issues.</w:t>
      </w:r>
      <w:r w:rsidR="008A0B5C">
        <w:rPr>
          <w:rFonts w:ascii="Times New Roman" w:hAnsi="Times New Roman" w:cs="Times New Roman"/>
          <w:sz w:val="26"/>
          <w:szCs w:val="26"/>
        </w:rPr>
        <w:t xml:space="preserve">  </w:t>
      </w:r>
      <w:r w:rsidR="007B341B">
        <w:rPr>
          <w:rFonts w:ascii="Times New Roman" w:hAnsi="Times New Roman" w:cs="Times New Roman"/>
          <w:sz w:val="26"/>
          <w:szCs w:val="26"/>
        </w:rPr>
        <w:t xml:space="preserve">R.D. at 19.  </w:t>
      </w:r>
      <w:r w:rsidR="008A0B5C">
        <w:rPr>
          <w:rFonts w:ascii="Times New Roman" w:hAnsi="Times New Roman" w:cs="Times New Roman"/>
          <w:sz w:val="26"/>
          <w:szCs w:val="26"/>
        </w:rPr>
        <w:t xml:space="preserve">The ALJ </w:t>
      </w:r>
      <w:r w:rsidR="0061480A">
        <w:rPr>
          <w:rFonts w:ascii="Times New Roman" w:hAnsi="Times New Roman" w:cs="Times New Roman"/>
          <w:sz w:val="26"/>
          <w:szCs w:val="26"/>
        </w:rPr>
        <w:t xml:space="preserve">found that the agreed upon increase in annual revenues </w:t>
      </w:r>
      <w:r w:rsidR="0080045B">
        <w:rPr>
          <w:rFonts w:ascii="Times New Roman" w:hAnsi="Times New Roman" w:cs="Times New Roman"/>
          <w:sz w:val="26"/>
          <w:szCs w:val="26"/>
        </w:rPr>
        <w:t>is in the public interest and should be approved.</w:t>
      </w:r>
      <w:r w:rsidR="000871BD">
        <w:rPr>
          <w:rFonts w:ascii="Times New Roman" w:hAnsi="Times New Roman" w:cs="Times New Roman"/>
          <w:sz w:val="26"/>
          <w:szCs w:val="26"/>
        </w:rPr>
        <w:t xml:space="preserve">  </w:t>
      </w:r>
      <w:r w:rsidR="00687E69" w:rsidRPr="00687E69">
        <w:rPr>
          <w:rFonts w:ascii="Times New Roman" w:hAnsi="Times New Roman" w:cs="Times New Roman"/>
          <w:i/>
          <w:iCs/>
          <w:sz w:val="26"/>
          <w:szCs w:val="26"/>
        </w:rPr>
        <w:t>Id</w:t>
      </w:r>
      <w:r w:rsidR="00687E69">
        <w:rPr>
          <w:rFonts w:ascii="Times New Roman" w:hAnsi="Times New Roman" w:cs="Times New Roman"/>
          <w:sz w:val="26"/>
          <w:szCs w:val="26"/>
        </w:rPr>
        <w:t>. at 2</w:t>
      </w:r>
      <w:r w:rsidR="00630CE1">
        <w:rPr>
          <w:rFonts w:ascii="Times New Roman" w:hAnsi="Times New Roman" w:cs="Times New Roman"/>
          <w:sz w:val="26"/>
          <w:szCs w:val="26"/>
        </w:rPr>
        <w:t>1</w:t>
      </w:r>
      <w:r w:rsidR="00687E69">
        <w:rPr>
          <w:rFonts w:ascii="Times New Roman" w:hAnsi="Times New Roman" w:cs="Times New Roman"/>
          <w:sz w:val="26"/>
          <w:szCs w:val="26"/>
        </w:rPr>
        <w:t xml:space="preserve">.  </w:t>
      </w:r>
      <w:r w:rsidR="00400744">
        <w:rPr>
          <w:rFonts w:ascii="Times New Roman" w:hAnsi="Times New Roman" w:cs="Times New Roman"/>
          <w:sz w:val="26"/>
          <w:szCs w:val="26"/>
        </w:rPr>
        <w:t>The ALJ stated that w</w:t>
      </w:r>
      <w:r w:rsidR="00B72EA9" w:rsidRPr="00B72EA9">
        <w:rPr>
          <w:rFonts w:ascii="Times New Roman" w:hAnsi="Times New Roman" w:cs="Times New Roman"/>
          <w:sz w:val="26"/>
          <w:szCs w:val="26"/>
        </w:rPr>
        <w:t xml:space="preserve">hile the agreed upon increase in revenues is less than </w:t>
      </w:r>
      <w:r w:rsidR="00400744">
        <w:rPr>
          <w:rFonts w:ascii="Times New Roman" w:hAnsi="Times New Roman" w:cs="Times New Roman"/>
          <w:sz w:val="26"/>
          <w:szCs w:val="26"/>
        </w:rPr>
        <w:t>the Company</w:t>
      </w:r>
      <w:r w:rsidR="00B72EA9" w:rsidRPr="00B72EA9">
        <w:rPr>
          <w:rFonts w:ascii="Times New Roman" w:hAnsi="Times New Roman" w:cs="Times New Roman"/>
          <w:sz w:val="26"/>
          <w:szCs w:val="26"/>
        </w:rPr>
        <w:t xml:space="preserve"> originally requested, UGI Electric acknowledges that the increase is essential to its ability to attract capital on reasonable terms and will allow it to earn a fair rate of return and provide safe, reasonable, and adequate service to its customers.  </w:t>
      </w:r>
      <w:r w:rsidR="00687E69" w:rsidRPr="00687E69">
        <w:rPr>
          <w:rFonts w:ascii="Times New Roman" w:hAnsi="Times New Roman" w:cs="Times New Roman"/>
          <w:i/>
          <w:iCs/>
          <w:sz w:val="26"/>
          <w:szCs w:val="26"/>
        </w:rPr>
        <w:t>Id</w:t>
      </w:r>
      <w:r w:rsidR="00687E69">
        <w:rPr>
          <w:rFonts w:ascii="Times New Roman" w:hAnsi="Times New Roman" w:cs="Times New Roman"/>
          <w:sz w:val="26"/>
          <w:szCs w:val="26"/>
        </w:rPr>
        <w:t xml:space="preserve">. </w:t>
      </w:r>
      <w:r w:rsidR="005E1655">
        <w:rPr>
          <w:rFonts w:ascii="Times New Roman" w:hAnsi="Times New Roman" w:cs="Times New Roman"/>
          <w:sz w:val="26"/>
          <w:szCs w:val="26"/>
        </w:rPr>
        <w:t xml:space="preserve">at 20 </w:t>
      </w:r>
      <w:r w:rsidR="00687E69">
        <w:rPr>
          <w:rFonts w:ascii="Times New Roman" w:hAnsi="Times New Roman" w:cs="Times New Roman"/>
          <w:sz w:val="26"/>
          <w:szCs w:val="26"/>
        </w:rPr>
        <w:t xml:space="preserve">(citing </w:t>
      </w:r>
      <w:r w:rsidR="00B72EA9" w:rsidRPr="00B72EA9">
        <w:rPr>
          <w:rFonts w:ascii="Times New Roman" w:hAnsi="Times New Roman" w:cs="Times New Roman"/>
          <w:sz w:val="26"/>
          <w:szCs w:val="26"/>
        </w:rPr>
        <w:t>UGI Electric St</w:t>
      </w:r>
      <w:r w:rsidR="00687E69">
        <w:rPr>
          <w:rFonts w:ascii="Times New Roman" w:hAnsi="Times New Roman" w:cs="Times New Roman"/>
          <w:sz w:val="26"/>
          <w:szCs w:val="26"/>
        </w:rPr>
        <w:t>atement</w:t>
      </w:r>
      <w:r w:rsidR="00B72EA9" w:rsidRPr="00B72EA9">
        <w:rPr>
          <w:rFonts w:ascii="Times New Roman" w:hAnsi="Times New Roman" w:cs="Times New Roman"/>
          <w:sz w:val="26"/>
          <w:szCs w:val="26"/>
        </w:rPr>
        <w:t xml:space="preserve"> in Support</w:t>
      </w:r>
      <w:r w:rsidR="00451619">
        <w:rPr>
          <w:rFonts w:ascii="Times New Roman" w:hAnsi="Times New Roman" w:cs="Times New Roman"/>
          <w:sz w:val="26"/>
          <w:szCs w:val="26"/>
        </w:rPr>
        <w:t xml:space="preserve"> at</w:t>
      </w:r>
      <w:r w:rsidR="00B72EA9" w:rsidRPr="00B72EA9">
        <w:rPr>
          <w:rFonts w:ascii="Times New Roman" w:hAnsi="Times New Roman" w:cs="Times New Roman"/>
          <w:sz w:val="26"/>
          <w:szCs w:val="26"/>
        </w:rPr>
        <w:t xml:space="preserve"> 5</w:t>
      </w:r>
      <w:r w:rsidR="00451619">
        <w:rPr>
          <w:rFonts w:ascii="Times New Roman" w:hAnsi="Times New Roman" w:cs="Times New Roman"/>
          <w:sz w:val="26"/>
          <w:szCs w:val="26"/>
        </w:rPr>
        <w:t>)</w:t>
      </w:r>
      <w:r w:rsidR="00B72EA9" w:rsidRPr="00B72EA9">
        <w:rPr>
          <w:rFonts w:ascii="Times New Roman" w:hAnsi="Times New Roman" w:cs="Times New Roman"/>
          <w:sz w:val="26"/>
          <w:szCs w:val="26"/>
        </w:rPr>
        <w:t xml:space="preserve">.  </w:t>
      </w:r>
      <w:r w:rsidR="002D42CB">
        <w:rPr>
          <w:rFonts w:ascii="Times New Roman" w:hAnsi="Times New Roman" w:cs="Times New Roman"/>
          <w:sz w:val="26"/>
          <w:szCs w:val="26"/>
        </w:rPr>
        <w:t xml:space="preserve">The ALJ reasoned that </w:t>
      </w:r>
      <w:r w:rsidR="00B72EA9" w:rsidRPr="00B72EA9">
        <w:rPr>
          <w:rFonts w:ascii="Times New Roman" w:hAnsi="Times New Roman" w:cs="Times New Roman"/>
          <w:sz w:val="26"/>
          <w:szCs w:val="26"/>
        </w:rPr>
        <w:t xml:space="preserve">all </w:t>
      </w:r>
      <w:r w:rsidR="002B1479">
        <w:rPr>
          <w:rFonts w:ascii="Times New Roman" w:hAnsi="Times New Roman" w:cs="Times New Roman"/>
          <w:sz w:val="26"/>
          <w:szCs w:val="26"/>
        </w:rPr>
        <w:t xml:space="preserve">of the </w:t>
      </w:r>
      <w:r w:rsidR="002D42CB">
        <w:rPr>
          <w:rFonts w:ascii="Times New Roman" w:hAnsi="Times New Roman" w:cs="Times New Roman"/>
          <w:sz w:val="26"/>
          <w:szCs w:val="26"/>
        </w:rPr>
        <w:t>P</w:t>
      </w:r>
      <w:r w:rsidR="00B72EA9" w:rsidRPr="00B72EA9">
        <w:rPr>
          <w:rFonts w:ascii="Times New Roman" w:hAnsi="Times New Roman" w:cs="Times New Roman"/>
          <w:sz w:val="26"/>
          <w:szCs w:val="26"/>
        </w:rPr>
        <w:t>arties agree</w:t>
      </w:r>
      <w:r w:rsidR="002D42CB">
        <w:rPr>
          <w:rFonts w:ascii="Times New Roman" w:hAnsi="Times New Roman" w:cs="Times New Roman"/>
          <w:sz w:val="26"/>
          <w:szCs w:val="26"/>
        </w:rPr>
        <w:t>d</w:t>
      </w:r>
      <w:r w:rsidR="00B72EA9" w:rsidRPr="00B72EA9">
        <w:rPr>
          <w:rFonts w:ascii="Times New Roman" w:hAnsi="Times New Roman" w:cs="Times New Roman"/>
          <w:sz w:val="26"/>
          <w:szCs w:val="26"/>
        </w:rPr>
        <w:t xml:space="preserve"> that the </w:t>
      </w:r>
      <w:r w:rsidR="005D6D1E">
        <w:rPr>
          <w:rFonts w:ascii="Times New Roman" w:hAnsi="Times New Roman" w:cs="Times New Roman"/>
          <w:sz w:val="26"/>
          <w:szCs w:val="26"/>
        </w:rPr>
        <w:t xml:space="preserve">negotiated </w:t>
      </w:r>
      <w:r w:rsidR="00B72EA9" w:rsidRPr="00B72EA9">
        <w:rPr>
          <w:rFonts w:ascii="Times New Roman" w:hAnsi="Times New Roman" w:cs="Times New Roman"/>
          <w:sz w:val="26"/>
          <w:szCs w:val="26"/>
        </w:rPr>
        <w:t xml:space="preserve">increase falls within the range of likely outcomes that would result from a fully litigated proceeding.  </w:t>
      </w:r>
      <w:r w:rsidR="008C5767">
        <w:rPr>
          <w:rFonts w:ascii="Times New Roman" w:hAnsi="Times New Roman" w:cs="Times New Roman"/>
          <w:sz w:val="26"/>
          <w:szCs w:val="26"/>
        </w:rPr>
        <w:t xml:space="preserve">R.D. </w:t>
      </w:r>
      <w:r w:rsidR="0074461A">
        <w:rPr>
          <w:rFonts w:ascii="Times New Roman" w:hAnsi="Times New Roman" w:cs="Times New Roman"/>
          <w:sz w:val="26"/>
          <w:szCs w:val="26"/>
        </w:rPr>
        <w:t>a</w:t>
      </w:r>
      <w:r w:rsidR="008C5767">
        <w:rPr>
          <w:rFonts w:ascii="Times New Roman" w:hAnsi="Times New Roman" w:cs="Times New Roman"/>
          <w:sz w:val="26"/>
          <w:szCs w:val="26"/>
        </w:rPr>
        <w:t>t 20</w:t>
      </w:r>
      <w:r w:rsidR="0074461A">
        <w:rPr>
          <w:rFonts w:ascii="Times New Roman" w:hAnsi="Times New Roman" w:cs="Times New Roman"/>
          <w:sz w:val="26"/>
          <w:szCs w:val="26"/>
        </w:rPr>
        <w:t>-21</w:t>
      </w:r>
      <w:r w:rsidR="008C5767">
        <w:rPr>
          <w:rFonts w:ascii="Times New Roman" w:hAnsi="Times New Roman" w:cs="Times New Roman"/>
          <w:sz w:val="26"/>
          <w:szCs w:val="26"/>
        </w:rPr>
        <w:t xml:space="preserve">.  </w:t>
      </w:r>
    </w:p>
    <w:p w14:paraId="72EF9D13" w14:textId="77777777" w:rsidR="0074461A" w:rsidRDefault="0074461A" w:rsidP="005B58FC">
      <w:pPr>
        <w:spacing w:after="0" w:line="360" w:lineRule="auto"/>
        <w:ind w:firstLine="1440"/>
        <w:rPr>
          <w:rFonts w:ascii="Times New Roman" w:hAnsi="Times New Roman" w:cs="Times New Roman"/>
          <w:sz w:val="26"/>
          <w:szCs w:val="26"/>
        </w:rPr>
      </w:pPr>
    </w:p>
    <w:p w14:paraId="5908C43A" w14:textId="28DC282A" w:rsidR="00470F90" w:rsidRDefault="00AC73B6" w:rsidP="005540B5">
      <w:pPr>
        <w:spacing w:after="0" w:line="360" w:lineRule="auto"/>
        <w:ind w:firstLine="1440"/>
        <w:rPr>
          <w:rFonts w:ascii="Times New Roman" w:hAnsi="Times New Roman" w:cs="Times New Roman"/>
          <w:sz w:val="26"/>
          <w:szCs w:val="26"/>
        </w:rPr>
      </w:pPr>
      <w:r w:rsidRPr="00C65652">
        <w:rPr>
          <w:rFonts w:ascii="Times New Roman" w:hAnsi="Times New Roman" w:cs="Times New Roman"/>
          <w:sz w:val="26"/>
          <w:szCs w:val="26"/>
        </w:rPr>
        <w:t xml:space="preserve">Regarding revenue allocation/rate design, </w:t>
      </w:r>
      <w:r w:rsidR="00065E14" w:rsidRPr="00C65652">
        <w:rPr>
          <w:rFonts w:ascii="Times New Roman" w:hAnsi="Times New Roman" w:cs="Times New Roman"/>
          <w:sz w:val="26"/>
          <w:szCs w:val="26"/>
        </w:rPr>
        <w:t xml:space="preserve">the ALJ found that the Settlement provisions </w:t>
      </w:r>
      <w:r w:rsidR="00D7658B" w:rsidRPr="00C65652">
        <w:rPr>
          <w:rFonts w:ascii="Times New Roman" w:hAnsi="Times New Roman" w:cs="Times New Roman"/>
          <w:sz w:val="26"/>
          <w:szCs w:val="26"/>
        </w:rPr>
        <w:t xml:space="preserve">are reasonable and in the public interest and recommended that they be approved.  </w:t>
      </w:r>
      <w:r w:rsidR="00497541" w:rsidRPr="00C65652">
        <w:rPr>
          <w:rFonts w:ascii="Times New Roman" w:hAnsi="Times New Roman" w:cs="Times New Roman"/>
          <w:sz w:val="26"/>
          <w:szCs w:val="26"/>
        </w:rPr>
        <w:t>R.D. at 2</w:t>
      </w:r>
      <w:r w:rsidR="00310A68">
        <w:rPr>
          <w:rFonts w:ascii="Times New Roman" w:hAnsi="Times New Roman" w:cs="Times New Roman"/>
          <w:sz w:val="26"/>
          <w:szCs w:val="26"/>
        </w:rPr>
        <w:t>3</w:t>
      </w:r>
      <w:r w:rsidR="00497541" w:rsidRPr="00C65652">
        <w:rPr>
          <w:rFonts w:ascii="Times New Roman" w:hAnsi="Times New Roman" w:cs="Times New Roman"/>
          <w:sz w:val="26"/>
          <w:szCs w:val="26"/>
        </w:rPr>
        <w:t xml:space="preserve">. </w:t>
      </w:r>
      <w:r w:rsidR="003165BE">
        <w:rPr>
          <w:rFonts w:ascii="Times New Roman" w:hAnsi="Times New Roman" w:cs="Times New Roman"/>
          <w:sz w:val="26"/>
          <w:szCs w:val="26"/>
        </w:rPr>
        <w:t xml:space="preserve"> </w:t>
      </w:r>
      <w:r w:rsidR="00567267">
        <w:rPr>
          <w:rFonts w:ascii="Times New Roman" w:hAnsi="Times New Roman" w:cs="Times New Roman"/>
          <w:sz w:val="26"/>
          <w:szCs w:val="26"/>
        </w:rPr>
        <w:t xml:space="preserve">The ALJ noted that </w:t>
      </w:r>
      <w:r w:rsidR="00C65652" w:rsidRPr="00C65652">
        <w:rPr>
          <w:rFonts w:ascii="Times New Roman" w:hAnsi="Times New Roman" w:cs="Times New Roman"/>
          <w:sz w:val="26"/>
          <w:szCs w:val="26"/>
        </w:rPr>
        <w:t xml:space="preserve">the majority of the increase has been allocated to the residential customer class.  </w:t>
      </w:r>
      <w:r w:rsidR="00BB5FB0" w:rsidRPr="00BB5FB0">
        <w:rPr>
          <w:rFonts w:ascii="Times New Roman" w:hAnsi="Times New Roman" w:cs="Times New Roman"/>
          <w:i/>
          <w:iCs/>
          <w:sz w:val="26"/>
          <w:szCs w:val="26"/>
        </w:rPr>
        <w:t>Id</w:t>
      </w:r>
      <w:r w:rsidR="00BB5FB0">
        <w:rPr>
          <w:rFonts w:ascii="Times New Roman" w:hAnsi="Times New Roman" w:cs="Times New Roman"/>
          <w:sz w:val="26"/>
          <w:szCs w:val="26"/>
        </w:rPr>
        <w:t>. at 2</w:t>
      </w:r>
      <w:r w:rsidR="00B2451C">
        <w:rPr>
          <w:rFonts w:ascii="Times New Roman" w:hAnsi="Times New Roman" w:cs="Times New Roman"/>
          <w:sz w:val="26"/>
          <w:szCs w:val="26"/>
        </w:rPr>
        <w:t>2</w:t>
      </w:r>
      <w:r w:rsidR="00BB5FB0">
        <w:rPr>
          <w:rFonts w:ascii="Times New Roman" w:hAnsi="Times New Roman" w:cs="Times New Roman"/>
          <w:sz w:val="26"/>
          <w:szCs w:val="26"/>
        </w:rPr>
        <w:t xml:space="preserve"> (citing </w:t>
      </w:r>
      <w:r w:rsidR="00C65652" w:rsidRPr="00C65652">
        <w:rPr>
          <w:rFonts w:ascii="Times New Roman" w:hAnsi="Times New Roman" w:cs="Times New Roman"/>
          <w:sz w:val="26"/>
          <w:szCs w:val="26"/>
        </w:rPr>
        <w:t>UGI Electric St</w:t>
      </w:r>
      <w:r w:rsidR="00BB5FB0">
        <w:rPr>
          <w:rFonts w:ascii="Times New Roman" w:hAnsi="Times New Roman" w:cs="Times New Roman"/>
          <w:sz w:val="26"/>
          <w:szCs w:val="26"/>
        </w:rPr>
        <w:t>atement</w:t>
      </w:r>
      <w:r w:rsidR="00C65652" w:rsidRPr="00C65652">
        <w:rPr>
          <w:rFonts w:ascii="Times New Roman" w:hAnsi="Times New Roman" w:cs="Times New Roman"/>
          <w:sz w:val="26"/>
          <w:szCs w:val="26"/>
        </w:rPr>
        <w:t xml:space="preserve"> in Support</w:t>
      </w:r>
      <w:r w:rsidR="00BB5FB0">
        <w:rPr>
          <w:rFonts w:ascii="Times New Roman" w:hAnsi="Times New Roman" w:cs="Times New Roman"/>
          <w:sz w:val="26"/>
          <w:szCs w:val="26"/>
        </w:rPr>
        <w:t xml:space="preserve"> at</w:t>
      </w:r>
      <w:r w:rsidR="001C0AC5">
        <w:rPr>
          <w:rFonts w:ascii="Times New Roman" w:hAnsi="Times New Roman" w:cs="Times New Roman"/>
          <w:sz w:val="26"/>
          <w:szCs w:val="26"/>
        </w:rPr>
        <w:t> </w:t>
      </w:r>
      <w:r w:rsidR="00C65652" w:rsidRPr="00C65652">
        <w:rPr>
          <w:rFonts w:ascii="Times New Roman" w:hAnsi="Times New Roman" w:cs="Times New Roman"/>
          <w:sz w:val="26"/>
          <w:szCs w:val="26"/>
        </w:rPr>
        <w:t>6</w:t>
      </w:r>
      <w:r w:rsidR="00BB5FB0">
        <w:rPr>
          <w:rFonts w:ascii="Times New Roman" w:hAnsi="Times New Roman" w:cs="Times New Roman"/>
          <w:sz w:val="26"/>
          <w:szCs w:val="26"/>
        </w:rPr>
        <w:t>)</w:t>
      </w:r>
      <w:r w:rsidR="00C65652" w:rsidRPr="00C65652">
        <w:rPr>
          <w:rFonts w:ascii="Times New Roman" w:hAnsi="Times New Roman" w:cs="Times New Roman"/>
          <w:sz w:val="26"/>
          <w:szCs w:val="26"/>
        </w:rPr>
        <w:t xml:space="preserve">.  </w:t>
      </w:r>
      <w:r w:rsidR="00325189">
        <w:rPr>
          <w:rFonts w:ascii="Times New Roman" w:hAnsi="Times New Roman" w:cs="Times New Roman"/>
          <w:sz w:val="26"/>
          <w:szCs w:val="26"/>
        </w:rPr>
        <w:t>The ALJ stated that u</w:t>
      </w:r>
      <w:r w:rsidR="00C65652" w:rsidRPr="00C65652">
        <w:rPr>
          <w:rFonts w:ascii="Times New Roman" w:hAnsi="Times New Roman" w:cs="Times New Roman"/>
          <w:sz w:val="26"/>
          <w:szCs w:val="26"/>
        </w:rPr>
        <w:t xml:space="preserve">nder the </w:t>
      </w:r>
      <w:r w:rsidR="00325189">
        <w:rPr>
          <w:rFonts w:ascii="Times New Roman" w:hAnsi="Times New Roman" w:cs="Times New Roman"/>
          <w:sz w:val="26"/>
          <w:szCs w:val="26"/>
        </w:rPr>
        <w:t>S</w:t>
      </w:r>
      <w:r w:rsidR="00C65652" w:rsidRPr="00C65652">
        <w:rPr>
          <w:rFonts w:ascii="Times New Roman" w:hAnsi="Times New Roman" w:cs="Times New Roman"/>
          <w:sz w:val="26"/>
          <w:szCs w:val="26"/>
        </w:rPr>
        <w:t xml:space="preserve">ettlement, the amount of rate increase allocated to residential customers is reduced from $8.12 million to $5.44 million, thereby allowing the Company to more gradually move rates toward the true cost of service.  </w:t>
      </w:r>
      <w:r w:rsidR="0058630F">
        <w:rPr>
          <w:rFonts w:ascii="Times New Roman" w:hAnsi="Times New Roman" w:cs="Times New Roman"/>
          <w:sz w:val="26"/>
          <w:szCs w:val="26"/>
        </w:rPr>
        <w:t>R.D. at 2</w:t>
      </w:r>
      <w:r w:rsidR="00B2451C">
        <w:rPr>
          <w:rFonts w:ascii="Times New Roman" w:hAnsi="Times New Roman" w:cs="Times New Roman"/>
          <w:sz w:val="26"/>
          <w:szCs w:val="26"/>
        </w:rPr>
        <w:t>2</w:t>
      </w:r>
      <w:r w:rsidR="0058630F">
        <w:rPr>
          <w:rFonts w:ascii="Times New Roman" w:hAnsi="Times New Roman" w:cs="Times New Roman"/>
          <w:sz w:val="26"/>
          <w:szCs w:val="26"/>
        </w:rPr>
        <w:t xml:space="preserve">.  </w:t>
      </w:r>
      <w:r w:rsidR="00325189">
        <w:rPr>
          <w:rFonts w:ascii="Times New Roman" w:hAnsi="Times New Roman" w:cs="Times New Roman"/>
          <w:sz w:val="26"/>
          <w:szCs w:val="26"/>
        </w:rPr>
        <w:t xml:space="preserve">The ALJ observed that </w:t>
      </w:r>
      <w:r w:rsidR="00C65652" w:rsidRPr="00C65652">
        <w:rPr>
          <w:rFonts w:ascii="Times New Roman" w:hAnsi="Times New Roman" w:cs="Times New Roman"/>
          <w:sz w:val="26"/>
          <w:szCs w:val="26"/>
        </w:rPr>
        <w:t xml:space="preserve">the Commonwealth Court has declared that “cost of service” is the “polestar” of public utility ratemaking.  </w:t>
      </w:r>
      <w:r w:rsidR="0058630F" w:rsidRPr="0058630F">
        <w:rPr>
          <w:rFonts w:ascii="Times New Roman" w:hAnsi="Times New Roman" w:cs="Times New Roman"/>
          <w:i/>
          <w:iCs/>
          <w:sz w:val="26"/>
          <w:szCs w:val="26"/>
        </w:rPr>
        <w:t>Id</w:t>
      </w:r>
      <w:r w:rsidR="0058630F">
        <w:rPr>
          <w:rFonts w:ascii="Times New Roman" w:hAnsi="Times New Roman" w:cs="Times New Roman"/>
          <w:sz w:val="26"/>
          <w:szCs w:val="26"/>
        </w:rPr>
        <w:t>. a</w:t>
      </w:r>
      <w:r w:rsidR="00595D33">
        <w:rPr>
          <w:rFonts w:ascii="Times New Roman" w:hAnsi="Times New Roman" w:cs="Times New Roman"/>
          <w:sz w:val="26"/>
          <w:szCs w:val="26"/>
        </w:rPr>
        <w:t xml:space="preserve">t 22 (citing </w:t>
      </w:r>
      <w:r w:rsidR="00595D33" w:rsidRPr="00595D33">
        <w:rPr>
          <w:rFonts w:ascii="Times New Roman" w:hAnsi="Times New Roman" w:cs="Times New Roman"/>
          <w:i/>
          <w:iCs/>
          <w:sz w:val="26"/>
          <w:szCs w:val="26"/>
        </w:rPr>
        <w:t>Lloyd</w:t>
      </w:r>
      <w:r w:rsidR="00595D33">
        <w:rPr>
          <w:rFonts w:ascii="Times New Roman" w:hAnsi="Times New Roman" w:cs="Times New Roman"/>
          <w:sz w:val="26"/>
          <w:szCs w:val="26"/>
        </w:rPr>
        <w:t xml:space="preserve">).  </w:t>
      </w:r>
      <w:r w:rsidR="0058630F">
        <w:rPr>
          <w:rFonts w:ascii="Times New Roman" w:hAnsi="Times New Roman" w:cs="Times New Roman"/>
          <w:sz w:val="26"/>
          <w:szCs w:val="26"/>
        </w:rPr>
        <w:t>The ALJ reasoned that t</w:t>
      </w:r>
      <w:r w:rsidR="00C65652" w:rsidRPr="00C65652">
        <w:rPr>
          <w:rFonts w:ascii="Times New Roman" w:hAnsi="Times New Roman" w:cs="Times New Roman"/>
          <w:sz w:val="26"/>
          <w:szCs w:val="26"/>
        </w:rPr>
        <w:t xml:space="preserve">he </w:t>
      </w:r>
      <w:r w:rsidR="0058630F">
        <w:rPr>
          <w:rFonts w:ascii="Times New Roman" w:hAnsi="Times New Roman" w:cs="Times New Roman"/>
          <w:sz w:val="26"/>
          <w:szCs w:val="26"/>
        </w:rPr>
        <w:t>S</w:t>
      </w:r>
      <w:r w:rsidR="00C65652" w:rsidRPr="00C65652">
        <w:rPr>
          <w:rFonts w:ascii="Times New Roman" w:hAnsi="Times New Roman" w:cs="Times New Roman"/>
          <w:sz w:val="26"/>
          <w:szCs w:val="26"/>
        </w:rPr>
        <w:t>ettlement moves rates toward cost of service while reducing rate shock to customers.</w:t>
      </w:r>
      <w:r w:rsidR="00A3199F">
        <w:rPr>
          <w:rFonts w:ascii="Times New Roman" w:hAnsi="Times New Roman" w:cs="Times New Roman"/>
          <w:sz w:val="26"/>
          <w:szCs w:val="26"/>
        </w:rPr>
        <w:t xml:space="preserve">  The ALJ also agreed with the OCA that </w:t>
      </w:r>
      <w:r w:rsidR="00C65652" w:rsidRPr="00C65652">
        <w:rPr>
          <w:rFonts w:ascii="Times New Roman" w:hAnsi="Times New Roman" w:cs="Times New Roman"/>
          <w:sz w:val="26"/>
          <w:szCs w:val="26"/>
        </w:rPr>
        <w:t xml:space="preserve">a lower fixed monthly customer charge will provide an incentive to customers to assert greater control over lowering their bills through conservation and consumption reduction efforts.  </w:t>
      </w:r>
      <w:r w:rsidR="000D00E5">
        <w:rPr>
          <w:rFonts w:ascii="Times New Roman" w:hAnsi="Times New Roman" w:cs="Times New Roman"/>
          <w:sz w:val="26"/>
          <w:szCs w:val="26"/>
        </w:rPr>
        <w:t xml:space="preserve">R.D. at 22.  </w:t>
      </w:r>
      <w:r w:rsidR="0034366D">
        <w:rPr>
          <w:rFonts w:ascii="Times New Roman" w:hAnsi="Times New Roman" w:cs="Times New Roman"/>
          <w:sz w:val="26"/>
          <w:szCs w:val="26"/>
        </w:rPr>
        <w:t>The ALJ concluded that i</w:t>
      </w:r>
      <w:r w:rsidR="00C65652" w:rsidRPr="00C65652">
        <w:rPr>
          <w:rFonts w:ascii="Times New Roman" w:hAnsi="Times New Roman" w:cs="Times New Roman"/>
          <w:sz w:val="26"/>
          <w:szCs w:val="26"/>
        </w:rPr>
        <w:t>f more of the increase is attributed to consumption charges rather than fixed charges, customers will have the opportunity to realize greater control over their usage and, consequently, the amount of the monthly bills</w:t>
      </w:r>
      <w:r w:rsidR="00A3199F">
        <w:rPr>
          <w:rFonts w:ascii="Times New Roman" w:hAnsi="Times New Roman" w:cs="Times New Roman"/>
          <w:sz w:val="26"/>
          <w:szCs w:val="26"/>
        </w:rPr>
        <w:t>.</w:t>
      </w:r>
      <w:r w:rsidR="008B528D">
        <w:rPr>
          <w:rFonts w:ascii="Times New Roman" w:hAnsi="Times New Roman" w:cs="Times New Roman"/>
          <w:sz w:val="26"/>
          <w:szCs w:val="26"/>
        </w:rPr>
        <w:t xml:space="preserve">  </w:t>
      </w:r>
      <w:r w:rsidR="000D00E5" w:rsidRPr="000D00E5">
        <w:rPr>
          <w:rFonts w:ascii="Times New Roman" w:hAnsi="Times New Roman" w:cs="Times New Roman"/>
          <w:i/>
          <w:iCs/>
          <w:sz w:val="26"/>
          <w:szCs w:val="26"/>
        </w:rPr>
        <w:t>Id</w:t>
      </w:r>
      <w:r w:rsidR="008B528D">
        <w:rPr>
          <w:rFonts w:ascii="Times New Roman" w:hAnsi="Times New Roman" w:cs="Times New Roman"/>
          <w:sz w:val="26"/>
          <w:szCs w:val="26"/>
        </w:rPr>
        <w:t>. at 22</w:t>
      </w:r>
      <w:r w:rsidR="000D00E5">
        <w:rPr>
          <w:rFonts w:ascii="Times New Roman" w:hAnsi="Times New Roman" w:cs="Times New Roman"/>
          <w:sz w:val="26"/>
          <w:szCs w:val="26"/>
        </w:rPr>
        <w:t>-23</w:t>
      </w:r>
      <w:r w:rsidR="008B528D">
        <w:rPr>
          <w:rFonts w:ascii="Times New Roman" w:hAnsi="Times New Roman" w:cs="Times New Roman"/>
          <w:sz w:val="26"/>
          <w:szCs w:val="26"/>
        </w:rPr>
        <w:t xml:space="preserve">.  </w:t>
      </w:r>
    </w:p>
    <w:p w14:paraId="45AF4D4B" w14:textId="77777777" w:rsidR="00470F90" w:rsidRDefault="00470F90" w:rsidP="00A3199F">
      <w:pPr>
        <w:spacing w:after="0" w:line="360" w:lineRule="auto"/>
        <w:ind w:right="420" w:firstLine="1440"/>
        <w:rPr>
          <w:rFonts w:ascii="Times New Roman" w:hAnsi="Times New Roman" w:cs="Times New Roman"/>
          <w:sz w:val="26"/>
          <w:szCs w:val="26"/>
        </w:rPr>
      </w:pPr>
    </w:p>
    <w:p w14:paraId="19004C8D" w14:textId="7D313B1D" w:rsidR="00B10326" w:rsidRDefault="00470F90" w:rsidP="00B10326">
      <w:pPr>
        <w:spacing w:after="0" w:line="360" w:lineRule="auto"/>
        <w:ind w:firstLine="1440"/>
        <w:rPr>
          <w:rFonts w:ascii="Times New Roman" w:hAnsi="Times New Roman" w:cs="Times New Roman"/>
          <w:bCs/>
          <w:sz w:val="26"/>
          <w:szCs w:val="26"/>
        </w:rPr>
      </w:pPr>
      <w:r w:rsidRPr="00B10326">
        <w:rPr>
          <w:rFonts w:ascii="Times New Roman" w:hAnsi="Times New Roman" w:cs="Times New Roman"/>
          <w:sz w:val="26"/>
          <w:szCs w:val="26"/>
        </w:rPr>
        <w:lastRenderedPageBreak/>
        <w:t>The ALJ also addressed the battery storage provisions of the Settlement</w:t>
      </w:r>
      <w:r w:rsidR="005C4D7C">
        <w:rPr>
          <w:rFonts w:ascii="Times New Roman" w:hAnsi="Times New Roman" w:cs="Times New Roman"/>
          <w:sz w:val="26"/>
          <w:szCs w:val="26"/>
        </w:rPr>
        <w:t xml:space="preserve"> and determined that the </w:t>
      </w:r>
      <w:r w:rsidR="00B10326" w:rsidRPr="00B10326">
        <w:rPr>
          <w:rFonts w:ascii="Times New Roman" w:hAnsi="Times New Roman" w:cs="Times New Roman"/>
          <w:bCs/>
          <w:sz w:val="26"/>
          <w:szCs w:val="26"/>
        </w:rPr>
        <w:t xml:space="preserve">terms are reasonable and in the public interest and </w:t>
      </w:r>
      <w:r w:rsidR="00D067E1">
        <w:rPr>
          <w:rFonts w:ascii="Times New Roman" w:hAnsi="Times New Roman" w:cs="Times New Roman"/>
          <w:bCs/>
          <w:sz w:val="26"/>
          <w:szCs w:val="26"/>
        </w:rPr>
        <w:t xml:space="preserve">should therefore </w:t>
      </w:r>
      <w:r w:rsidR="00B10326" w:rsidRPr="00B10326">
        <w:rPr>
          <w:rFonts w:ascii="Times New Roman" w:hAnsi="Times New Roman" w:cs="Times New Roman"/>
          <w:bCs/>
          <w:sz w:val="26"/>
          <w:szCs w:val="26"/>
        </w:rPr>
        <w:t xml:space="preserve">be approved.  </w:t>
      </w:r>
      <w:bookmarkStart w:id="4" w:name="_Hlk83822761"/>
      <w:r w:rsidR="00B10326" w:rsidRPr="00B10326">
        <w:rPr>
          <w:rFonts w:ascii="Times New Roman" w:hAnsi="Times New Roman" w:cs="Times New Roman"/>
          <w:bCs/>
          <w:sz w:val="26"/>
          <w:szCs w:val="26"/>
        </w:rPr>
        <w:t xml:space="preserve">First, </w:t>
      </w:r>
      <w:r w:rsidR="00295662">
        <w:rPr>
          <w:rFonts w:ascii="Times New Roman" w:hAnsi="Times New Roman" w:cs="Times New Roman"/>
          <w:bCs/>
          <w:sz w:val="26"/>
          <w:szCs w:val="26"/>
        </w:rPr>
        <w:t xml:space="preserve">the ALJ emphasized that </w:t>
      </w:r>
      <w:r w:rsidR="00B10326" w:rsidRPr="00B10326">
        <w:rPr>
          <w:rFonts w:ascii="Times New Roman" w:hAnsi="Times New Roman" w:cs="Times New Roman"/>
          <w:bCs/>
          <w:sz w:val="26"/>
          <w:szCs w:val="26"/>
        </w:rPr>
        <w:t>UGI Electric’s agreement not to use the battery storage project to participate in the PJM Frequency Regulation Market resolve</w:t>
      </w:r>
      <w:r w:rsidR="00295662">
        <w:rPr>
          <w:rFonts w:ascii="Times New Roman" w:hAnsi="Times New Roman" w:cs="Times New Roman"/>
          <w:bCs/>
          <w:sz w:val="26"/>
          <w:szCs w:val="26"/>
        </w:rPr>
        <w:t>d</w:t>
      </w:r>
      <w:r w:rsidR="00B10326" w:rsidRPr="00B10326">
        <w:rPr>
          <w:rFonts w:ascii="Times New Roman" w:hAnsi="Times New Roman" w:cs="Times New Roman"/>
          <w:bCs/>
          <w:sz w:val="26"/>
          <w:szCs w:val="26"/>
        </w:rPr>
        <w:t xml:space="preserve"> the concern about the Company owning a </w:t>
      </w:r>
      <w:r w:rsidR="00D65024">
        <w:rPr>
          <w:rFonts w:ascii="Times New Roman" w:hAnsi="Times New Roman" w:cs="Times New Roman"/>
          <w:bCs/>
          <w:sz w:val="26"/>
          <w:szCs w:val="26"/>
        </w:rPr>
        <w:t>generation</w:t>
      </w:r>
      <w:r w:rsidR="00B10326" w:rsidRPr="00B10326">
        <w:rPr>
          <w:rFonts w:ascii="Times New Roman" w:hAnsi="Times New Roman" w:cs="Times New Roman"/>
          <w:bCs/>
          <w:sz w:val="26"/>
          <w:szCs w:val="26"/>
        </w:rPr>
        <w:t xml:space="preserve"> asset, paid for by the Company’s distribution customers, from which the Company could earn a profit, while still allowing the Ruckle Hill Road </w:t>
      </w:r>
      <w:r w:rsidR="00442553">
        <w:rPr>
          <w:rFonts w:ascii="Times New Roman" w:hAnsi="Times New Roman" w:cs="Times New Roman"/>
          <w:bCs/>
          <w:sz w:val="26"/>
          <w:szCs w:val="26"/>
        </w:rPr>
        <w:t>c</w:t>
      </w:r>
      <w:r w:rsidR="00B10326" w:rsidRPr="00B10326">
        <w:rPr>
          <w:rFonts w:ascii="Times New Roman" w:hAnsi="Times New Roman" w:cs="Times New Roman"/>
          <w:bCs/>
          <w:sz w:val="26"/>
          <w:szCs w:val="26"/>
        </w:rPr>
        <w:t xml:space="preserve">ustomers to realize the benefits of the backup battery storage project to maintain service during outages.  Second, </w:t>
      </w:r>
      <w:r w:rsidR="007C0FC5">
        <w:rPr>
          <w:rFonts w:ascii="Times New Roman" w:hAnsi="Times New Roman" w:cs="Times New Roman"/>
          <w:bCs/>
          <w:sz w:val="26"/>
          <w:szCs w:val="26"/>
        </w:rPr>
        <w:t xml:space="preserve">the ALJ noted that </w:t>
      </w:r>
      <w:r w:rsidR="00B10326" w:rsidRPr="00B10326">
        <w:rPr>
          <w:rFonts w:ascii="Times New Roman" w:hAnsi="Times New Roman" w:cs="Times New Roman"/>
          <w:bCs/>
          <w:sz w:val="26"/>
          <w:szCs w:val="26"/>
        </w:rPr>
        <w:t xml:space="preserve">the data tracking and reporting requirements of the </w:t>
      </w:r>
      <w:r w:rsidR="007C0FC5">
        <w:rPr>
          <w:rFonts w:ascii="Times New Roman" w:hAnsi="Times New Roman" w:cs="Times New Roman"/>
          <w:bCs/>
          <w:sz w:val="26"/>
          <w:szCs w:val="26"/>
        </w:rPr>
        <w:t>S</w:t>
      </w:r>
      <w:r w:rsidR="00B10326" w:rsidRPr="00B10326">
        <w:rPr>
          <w:rFonts w:ascii="Times New Roman" w:hAnsi="Times New Roman" w:cs="Times New Roman"/>
          <w:bCs/>
          <w:sz w:val="26"/>
          <w:szCs w:val="26"/>
        </w:rPr>
        <w:t xml:space="preserve">ettlement will allow the Company and the Commission to track and monitor the performance of the battery storage system in order to assess its effectiveness and </w:t>
      </w:r>
      <w:r w:rsidR="00BE6367">
        <w:rPr>
          <w:rFonts w:ascii="Times New Roman" w:hAnsi="Times New Roman" w:cs="Times New Roman"/>
          <w:bCs/>
          <w:sz w:val="26"/>
          <w:szCs w:val="26"/>
        </w:rPr>
        <w:t xml:space="preserve">to </w:t>
      </w:r>
      <w:r w:rsidR="00B10326" w:rsidRPr="00B10326">
        <w:rPr>
          <w:rFonts w:ascii="Times New Roman" w:hAnsi="Times New Roman" w:cs="Times New Roman"/>
          <w:bCs/>
          <w:sz w:val="26"/>
          <w:szCs w:val="26"/>
        </w:rPr>
        <w:t>better develop and fine tune future projects</w:t>
      </w:r>
      <w:bookmarkEnd w:id="4"/>
      <w:r w:rsidR="00B10326" w:rsidRPr="00B10326">
        <w:rPr>
          <w:rFonts w:ascii="Times New Roman" w:hAnsi="Times New Roman" w:cs="Times New Roman"/>
          <w:bCs/>
          <w:sz w:val="26"/>
          <w:szCs w:val="26"/>
        </w:rPr>
        <w:t xml:space="preserve">.  </w:t>
      </w:r>
      <w:r w:rsidR="00BE6367">
        <w:rPr>
          <w:rFonts w:ascii="Times New Roman" w:hAnsi="Times New Roman" w:cs="Times New Roman"/>
          <w:bCs/>
          <w:sz w:val="26"/>
          <w:szCs w:val="26"/>
        </w:rPr>
        <w:t>R.D. at 2</w:t>
      </w:r>
      <w:r w:rsidR="005126E5">
        <w:rPr>
          <w:rFonts w:ascii="Times New Roman" w:hAnsi="Times New Roman" w:cs="Times New Roman"/>
          <w:bCs/>
          <w:sz w:val="26"/>
          <w:szCs w:val="26"/>
        </w:rPr>
        <w:t>5</w:t>
      </w:r>
      <w:r w:rsidR="00BE6367">
        <w:rPr>
          <w:rFonts w:ascii="Times New Roman" w:hAnsi="Times New Roman" w:cs="Times New Roman"/>
          <w:bCs/>
          <w:sz w:val="26"/>
          <w:szCs w:val="26"/>
        </w:rPr>
        <w:t xml:space="preserve">.  </w:t>
      </w:r>
    </w:p>
    <w:p w14:paraId="7D5AC722" w14:textId="77777777" w:rsidR="00D049C9" w:rsidRDefault="00D049C9" w:rsidP="00B10326">
      <w:pPr>
        <w:spacing w:after="0" w:line="360" w:lineRule="auto"/>
        <w:ind w:firstLine="1440"/>
        <w:rPr>
          <w:rFonts w:ascii="Times New Roman" w:hAnsi="Times New Roman" w:cs="Times New Roman"/>
          <w:bCs/>
          <w:sz w:val="26"/>
          <w:szCs w:val="26"/>
        </w:rPr>
      </w:pPr>
    </w:p>
    <w:p w14:paraId="54C3C61C" w14:textId="0467D6A5" w:rsidR="00B16C17" w:rsidRDefault="005126E5" w:rsidP="00B10326">
      <w:pPr>
        <w:spacing w:after="0" w:line="360" w:lineRule="auto"/>
        <w:ind w:firstLine="1440"/>
        <w:rPr>
          <w:rFonts w:ascii="Times New Roman" w:hAnsi="Times New Roman" w:cs="Times New Roman"/>
          <w:bCs/>
          <w:sz w:val="26"/>
          <w:szCs w:val="26"/>
        </w:rPr>
      </w:pPr>
      <w:r>
        <w:rPr>
          <w:rFonts w:ascii="Times New Roman" w:hAnsi="Times New Roman" w:cs="Times New Roman"/>
          <w:bCs/>
          <w:sz w:val="26"/>
          <w:szCs w:val="26"/>
        </w:rPr>
        <w:t>Further, t</w:t>
      </w:r>
      <w:r w:rsidR="00502965">
        <w:rPr>
          <w:rFonts w:ascii="Times New Roman" w:hAnsi="Times New Roman" w:cs="Times New Roman"/>
          <w:bCs/>
          <w:sz w:val="26"/>
          <w:szCs w:val="26"/>
        </w:rPr>
        <w:t xml:space="preserve">he ALJ addressed </w:t>
      </w:r>
      <w:r w:rsidR="008D2C4F">
        <w:rPr>
          <w:rFonts w:ascii="Times New Roman" w:hAnsi="Times New Roman" w:cs="Times New Roman"/>
          <w:bCs/>
          <w:sz w:val="26"/>
          <w:szCs w:val="26"/>
        </w:rPr>
        <w:t xml:space="preserve">COVID-19 cost deferral, specifically the Joint Petitioners’ agreement that </w:t>
      </w:r>
      <w:r w:rsidR="00991320">
        <w:rPr>
          <w:rFonts w:ascii="Times New Roman" w:hAnsi="Times New Roman" w:cs="Times New Roman"/>
          <w:bCs/>
          <w:sz w:val="26"/>
          <w:szCs w:val="26"/>
        </w:rPr>
        <w:t>UGI Electric’s revenue increase</w:t>
      </w:r>
      <w:r w:rsidR="001B1882">
        <w:rPr>
          <w:rFonts w:ascii="Times New Roman" w:hAnsi="Times New Roman" w:cs="Times New Roman"/>
          <w:bCs/>
          <w:sz w:val="26"/>
          <w:szCs w:val="26"/>
        </w:rPr>
        <w:t xml:space="preserve"> reflects a three-year amortization of the Company’s COVID-19 </w:t>
      </w:r>
      <w:r w:rsidR="00C11D52">
        <w:rPr>
          <w:rFonts w:ascii="Times New Roman" w:hAnsi="Times New Roman" w:cs="Times New Roman"/>
          <w:bCs/>
          <w:sz w:val="26"/>
          <w:szCs w:val="26"/>
        </w:rPr>
        <w:t xml:space="preserve">regulatory asset related to incremental uncollectible </w:t>
      </w:r>
      <w:r w:rsidR="00F9261F">
        <w:rPr>
          <w:rFonts w:ascii="Times New Roman" w:hAnsi="Times New Roman" w:cs="Times New Roman"/>
          <w:bCs/>
          <w:sz w:val="26"/>
          <w:szCs w:val="26"/>
        </w:rPr>
        <w:t>accounts expense, or $337,666 per year</w:t>
      </w:r>
      <w:r w:rsidR="00991EE8">
        <w:rPr>
          <w:rFonts w:ascii="Times New Roman" w:hAnsi="Times New Roman" w:cs="Times New Roman"/>
          <w:bCs/>
          <w:sz w:val="26"/>
          <w:szCs w:val="26"/>
        </w:rPr>
        <w:t xml:space="preserve">, which </w:t>
      </w:r>
      <w:r w:rsidR="00F20214">
        <w:rPr>
          <w:rFonts w:ascii="Times New Roman" w:hAnsi="Times New Roman" w:cs="Times New Roman"/>
          <w:bCs/>
          <w:sz w:val="26"/>
          <w:szCs w:val="26"/>
        </w:rPr>
        <w:t>includes all incremental uncollectible expense</w:t>
      </w:r>
      <w:r w:rsidR="00C01A45">
        <w:rPr>
          <w:rFonts w:ascii="Times New Roman" w:hAnsi="Times New Roman" w:cs="Times New Roman"/>
          <w:bCs/>
          <w:sz w:val="26"/>
          <w:szCs w:val="26"/>
        </w:rPr>
        <w:t xml:space="preserve"> through September 30, 2020.</w:t>
      </w:r>
      <w:r w:rsidR="009C41F2">
        <w:rPr>
          <w:rFonts w:ascii="Times New Roman" w:hAnsi="Times New Roman" w:cs="Times New Roman"/>
          <w:bCs/>
          <w:sz w:val="26"/>
          <w:szCs w:val="26"/>
        </w:rPr>
        <w:t xml:space="preserve">  </w:t>
      </w:r>
      <w:r w:rsidR="001927FD">
        <w:rPr>
          <w:rFonts w:ascii="Times New Roman" w:hAnsi="Times New Roman" w:cs="Times New Roman"/>
          <w:bCs/>
          <w:sz w:val="26"/>
          <w:szCs w:val="26"/>
        </w:rPr>
        <w:t xml:space="preserve">The ALJ found that </w:t>
      </w:r>
      <w:r w:rsidR="00787FE9">
        <w:rPr>
          <w:rFonts w:ascii="Times New Roman" w:hAnsi="Times New Roman" w:cs="Times New Roman"/>
          <w:bCs/>
          <w:sz w:val="26"/>
          <w:szCs w:val="26"/>
        </w:rPr>
        <w:t xml:space="preserve">this Settlement </w:t>
      </w:r>
      <w:r w:rsidR="00A20BB2">
        <w:rPr>
          <w:rFonts w:ascii="Times New Roman" w:hAnsi="Times New Roman" w:cs="Times New Roman"/>
          <w:bCs/>
          <w:sz w:val="26"/>
          <w:szCs w:val="26"/>
        </w:rPr>
        <w:t xml:space="preserve">provision was a reasonable compromise of the Parties’ </w:t>
      </w:r>
      <w:r w:rsidR="004B397A">
        <w:rPr>
          <w:rFonts w:ascii="Times New Roman" w:hAnsi="Times New Roman" w:cs="Times New Roman"/>
          <w:bCs/>
          <w:sz w:val="26"/>
          <w:szCs w:val="26"/>
        </w:rPr>
        <w:t xml:space="preserve">positions, which ranged from </w:t>
      </w:r>
      <w:r w:rsidR="00CA7417">
        <w:rPr>
          <w:rFonts w:ascii="Times New Roman" w:hAnsi="Times New Roman" w:cs="Times New Roman"/>
          <w:bCs/>
          <w:sz w:val="26"/>
          <w:szCs w:val="26"/>
        </w:rPr>
        <w:t>the</w:t>
      </w:r>
      <w:r w:rsidR="004B397A">
        <w:rPr>
          <w:rFonts w:ascii="Times New Roman" w:hAnsi="Times New Roman" w:cs="Times New Roman"/>
          <w:bCs/>
          <w:sz w:val="26"/>
          <w:szCs w:val="26"/>
        </w:rPr>
        <w:t xml:space="preserve"> two-year amortization period</w:t>
      </w:r>
      <w:r w:rsidR="00E17AB2">
        <w:rPr>
          <w:rFonts w:ascii="Times New Roman" w:hAnsi="Times New Roman" w:cs="Times New Roman"/>
          <w:bCs/>
          <w:sz w:val="26"/>
          <w:szCs w:val="26"/>
        </w:rPr>
        <w:t xml:space="preserve"> UGI Electric proposed to the five-year amortization</w:t>
      </w:r>
      <w:r w:rsidR="003F3888">
        <w:rPr>
          <w:rFonts w:ascii="Times New Roman" w:hAnsi="Times New Roman" w:cs="Times New Roman"/>
          <w:bCs/>
          <w:sz w:val="26"/>
          <w:szCs w:val="26"/>
        </w:rPr>
        <w:t xml:space="preserve"> period the OCA recommended.  As such, the ALJ concluded that this provision should be approved as it was reasonable and in the public interest.  </w:t>
      </w:r>
      <w:r w:rsidR="00A7540E" w:rsidRPr="00A7540E">
        <w:rPr>
          <w:rFonts w:ascii="Times New Roman" w:hAnsi="Times New Roman" w:cs="Times New Roman"/>
          <w:bCs/>
          <w:i/>
          <w:iCs/>
          <w:sz w:val="26"/>
          <w:szCs w:val="26"/>
        </w:rPr>
        <w:t>Id</w:t>
      </w:r>
      <w:r w:rsidR="00A7540E">
        <w:rPr>
          <w:rFonts w:ascii="Times New Roman" w:hAnsi="Times New Roman" w:cs="Times New Roman"/>
          <w:bCs/>
          <w:sz w:val="26"/>
          <w:szCs w:val="26"/>
        </w:rPr>
        <w:t>. at 3</w:t>
      </w:r>
      <w:r w:rsidR="00CA7417">
        <w:rPr>
          <w:rFonts w:ascii="Times New Roman" w:hAnsi="Times New Roman" w:cs="Times New Roman"/>
          <w:bCs/>
          <w:sz w:val="26"/>
          <w:szCs w:val="26"/>
        </w:rPr>
        <w:t>6</w:t>
      </w:r>
      <w:r w:rsidR="00A7540E">
        <w:rPr>
          <w:rFonts w:ascii="Times New Roman" w:hAnsi="Times New Roman" w:cs="Times New Roman"/>
          <w:bCs/>
          <w:sz w:val="26"/>
          <w:szCs w:val="26"/>
        </w:rPr>
        <w:t xml:space="preserve">.  </w:t>
      </w:r>
      <w:r w:rsidR="009C41F2">
        <w:rPr>
          <w:rFonts w:ascii="Times New Roman" w:hAnsi="Times New Roman" w:cs="Times New Roman"/>
          <w:bCs/>
          <w:sz w:val="26"/>
          <w:szCs w:val="26"/>
        </w:rPr>
        <w:t xml:space="preserve">  </w:t>
      </w:r>
    </w:p>
    <w:p w14:paraId="1EA23A41" w14:textId="77777777" w:rsidR="00CC32C9" w:rsidRPr="00B10326" w:rsidRDefault="00CC32C9" w:rsidP="00B10326">
      <w:pPr>
        <w:spacing w:after="0" w:line="360" w:lineRule="auto"/>
        <w:ind w:firstLine="1440"/>
        <w:rPr>
          <w:rFonts w:ascii="Times New Roman" w:hAnsi="Times New Roman" w:cs="Times New Roman"/>
          <w:bCs/>
          <w:sz w:val="26"/>
          <w:szCs w:val="26"/>
        </w:rPr>
      </w:pPr>
    </w:p>
    <w:p w14:paraId="4B144EA9" w14:textId="59AA9386" w:rsidR="00B43A4E" w:rsidRPr="00496081" w:rsidRDefault="004D5340" w:rsidP="00496081">
      <w:pPr>
        <w:keepNext/>
        <w:keepLines/>
        <w:spacing w:line="360" w:lineRule="auto"/>
        <w:ind w:left="1440" w:hanging="720"/>
        <w:contextualSpacing/>
        <w:rPr>
          <w:rFonts w:ascii="Times New Roman" w:hAnsi="Times New Roman" w:cs="Times New Roman"/>
          <w:sz w:val="26"/>
          <w:szCs w:val="26"/>
        </w:rPr>
      </w:pPr>
      <w:bookmarkStart w:id="5" w:name="_Hlk506204845"/>
      <w:r>
        <w:rPr>
          <w:rFonts w:ascii="Times New Roman" w:hAnsi="Times New Roman" w:cs="Times New Roman"/>
          <w:b/>
          <w:sz w:val="26"/>
          <w:szCs w:val="26"/>
        </w:rPr>
        <w:t>5</w:t>
      </w:r>
      <w:r w:rsidR="00B43A4E" w:rsidRPr="00496081">
        <w:rPr>
          <w:rFonts w:ascii="Times New Roman" w:hAnsi="Times New Roman" w:cs="Times New Roman"/>
          <w:b/>
          <w:sz w:val="26"/>
          <w:szCs w:val="26"/>
        </w:rPr>
        <w:t>.</w:t>
      </w:r>
      <w:r w:rsidR="00B43A4E" w:rsidRPr="00496081">
        <w:rPr>
          <w:rFonts w:ascii="Times New Roman" w:hAnsi="Times New Roman" w:cs="Times New Roman"/>
          <w:b/>
          <w:sz w:val="26"/>
          <w:szCs w:val="26"/>
        </w:rPr>
        <w:tab/>
      </w:r>
      <w:r w:rsidR="00E111BA" w:rsidRPr="00496081">
        <w:rPr>
          <w:rFonts w:ascii="Times New Roman" w:hAnsi="Times New Roman" w:cs="Times New Roman"/>
          <w:b/>
          <w:sz w:val="26"/>
          <w:szCs w:val="26"/>
        </w:rPr>
        <w:t>Exceptions</w:t>
      </w:r>
      <w:r w:rsidR="0087520B">
        <w:rPr>
          <w:rFonts w:ascii="Times New Roman" w:hAnsi="Times New Roman" w:cs="Times New Roman"/>
          <w:b/>
          <w:sz w:val="26"/>
          <w:szCs w:val="26"/>
        </w:rPr>
        <w:t xml:space="preserve"> and Re</w:t>
      </w:r>
      <w:r w:rsidR="00FA21F5">
        <w:rPr>
          <w:rFonts w:ascii="Times New Roman" w:hAnsi="Times New Roman" w:cs="Times New Roman"/>
          <w:b/>
          <w:sz w:val="26"/>
          <w:szCs w:val="26"/>
        </w:rPr>
        <w:t>sponse</w:t>
      </w:r>
      <w:r w:rsidR="00060E78">
        <w:rPr>
          <w:rFonts w:ascii="Times New Roman" w:hAnsi="Times New Roman" w:cs="Times New Roman"/>
          <w:b/>
          <w:sz w:val="26"/>
          <w:szCs w:val="26"/>
        </w:rPr>
        <w:t>s</w:t>
      </w:r>
      <w:r w:rsidR="0087520B">
        <w:rPr>
          <w:rFonts w:ascii="Times New Roman" w:hAnsi="Times New Roman" w:cs="Times New Roman"/>
          <w:b/>
          <w:sz w:val="26"/>
          <w:szCs w:val="26"/>
        </w:rPr>
        <w:t xml:space="preserve"> </w:t>
      </w:r>
    </w:p>
    <w:p w14:paraId="651A89E6" w14:textId="77777777" w:rsidR="00B43A4E" w:rsidRPr="00496081" w:rsidRDefault="00B43A4E" w:rsidP="00496081">
      <w:pPr>
        <w:keepNext/>
        <w:keepLines/>
        <w:spacing w:line="360" w:lineRule="auto"/>
        <w:ind w:firstLine="1440"/>
        <w:contextualSpacing/>
        <w:rPr>
          <w:rFonts w:ascii="Times New Roman" w:hAnsi="Times New Roman" w:cs="Times New Roman"/>
          <w:sz w:val="26"/>
          <w:szCs w:val="26"/>
        </w:rPr>
      </w:pPr>
    </w:p>
    <w:bookmarkEnd w:id="5"/>
    <w:p w14:paraId="03B6F9CD" w14:textId="448B2A67" w:rsidR="00A9110E" w:rsidRDefault="00A17727" w:rsidP="00496081">
      <w:pPr>
        <w:spacing w:line="360" w:lineRule="auto"/>
        <w:ind w:firstLine="1440"/>
        <w:contextualSpacing/>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ab/>
      </w:r>
      <w:r w:rsidR="00517C6D">
        <w:rPr>
          <w:rFonts w:ascii="Times New Roman" w:eastAsia="Times New Roman" w:hAnsi="Times New Roman" w:cs="Times New Roman"/>
          <w:b/>
          <w:bCs/>
          <w:sz w:val="26"/>
          <w:szCs w:val="26"/>
        </w:rPr>
        <w:t xml:space="preserve">Consideration of the Exceptions </w:t>
      </w:r>
    </w:p>
    <w:p w14:paraId="7D6991CE" w14:textId="560B872B" w:rsidR="00517C6D" w:rsidRDefault="00517C6D" w:rsidP="00496081">
      <w:pPr>
        <w:spacing w:line="360" w:lineRule="auto"/>
        <w:ind w:firstLine="1440"/>
        <w:contextualSpacing/>
        <w:rPr>
          <w:rFonts w:ascii="Times New Roman" w:eastAsia="Times New Roman" w:hAnsi="Times New Roman" w:cs="Times New Roman"/>
          <w:b/>
          <w:bCs/>
          <w:sz w:val="26"/>
          <w:szCs w:val="26"/>
        </w:rPr>
      </w:pPr>
    </w:p>
    <w:p w14:paraId="134D55DD" w14:textId="14A8194B" w:rsidR="00517C6D" w:rsidRPr="001A64F9" w:rsidRDefault="001A64F9" w:rsidP="00066D53">
      <w:pPr>
        <w:spacing w:line="360" w:lineRule="auto"/>
        <w:ind w:firstLine="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their Responses, both UGI Electric and I&amp;E </w:t>
      </w:r>
      <w:r w:rsidR="00060ED1">
        <w:rPr>
          <w:rFonts w:ascii="Times New Roman" w:eastAsia="Times New Roman" w:hAnsi="Times New Roman" w:cs="Times New Roman"/>
          <w:sz w:val="26"/>
          <w:szCs w:val="26"/>
        </w:rPr>
        <w:t>object to consideration of Ms. Brace’s Exceptions because the</w:t>
      </w:r>
      <w:r w:rsidR="00FB2454">
        <w:rPr>
          <w:rFonts w:ascii="Times New Roman" w:eastAsia="Times New Roman" w:hAnsi="Times New Roman" w:cs="Times New Roman"/>
          <w:sz w:val="26"/>
          <w:szCs w:val="26"/>
        </w:rPr>
        <w:t xml:space="preserve"> Exceptions were</w:t>
      </w:r>
      <w:r w:rsidR="00060ED1">
        <w:rPr>
          <w:rFonts w:ascii="Times New Roman" w:eastAsia="Times New Roman" w:hAnsi="Times New Roman" w:cs="Times New Roman"/>
          <w:sz w:val="26"/>
          <w:szCs w:val="26"/>
        </w:rPr>
        <w:t xml:space="preserve"> filed after the deadline set forth in </w:t>
      </w:r>
      <w:r w:rsidR="007A55D4">
        <w:rPr>
          <w:rFonts w:ascii="Times New Roman" w:eastAsia="Times New Roman" w:hAnsi="Times New Roman" w:cs="Times New Roman"/>
          <w:sz w:val="26"/>
          <w:szCs w:val="26"/>
        </w:rPr>
        <w:t xml:space="preserve">the </w:t>
      </w:r>
      <w:r w:rsidR="00ED25D9">
        <w:rPr>
          <w:rFonts w:ascii="Times New Roman" w:eastAsia="Times New Roman" w:hAnsi="Times New Roman" w:cs="Times New Roman"/>
          <w:sz w:val="26"/>
          <w:szCs w:val="26"/>
        </w:rPr>
        <w:t xml:space="preserve">Secretarial Letter </w:t>
      </w:r>
      <w:r w:rsidR="007A55D4">
        <w:rPr>
          <w:rFonts w:ascii="Times New Roman" w:eastAsia="Times New Roman" w:hAnsi="Times New Roman" w:cs="Times New Roman"/>
          <w:sz w:val="26"/>
          <w:szCs w:val="26"/>
        </w:rPr>
        <w:t xml:space="preserve">served in conjunction with the Recommended Decision on </w:t>
      </w:r>
      <w:r w:rsidR="007A55D4">
        <w:rPr>
          <w:rFonts w:ascii="Times New Roman" w:eastAsia="Times New Roman" w:hAnsi="Times New Roman" w:cs="Times New Roman"/>
          <w:sz w:val="26"/>
          <w:szCs w:val="26"/>
        </w:rPr>
        <w:lastRenderedPageBreak/>
        <w:t>August</w:t>
      </w:r>
      <w:r w:rsidR="003B394C">
        <w:rPr>
          <w:rFonts w:ascii="Times New Roman" w:eastAsia="Times New Roman" w:hAnsi="Times New Roman" w:cs="Times New Roman"/>
          <w:sz w:val="26"/>
          <w:szCs w:val="26"/>
        </w:rPr>
        <w:t> </w:t>
      </w:r>
      <w:r w:rsidR="007A55D4">
        <w:rPr>
          <w:rFonts w:ascii="Times New Roman" w:eastAsia="Times New Roman" w:hAnsi="Times New Roman" w:cs="Times New Roman"/>
          <w:sz w:val="26"/>
          <w:szCs w:val="26"/>
        </w:rPr>
        <w:t xml:space="preserve">27, 2021, which required that Exceptions be filed </w:t>
      </w:r>
      <w:r w:rsidR="006E24CA">
        <w:rPr>
          <w:rFonts w:ascii="Times New Roman" w:eastAsia="Times New Roman" w:hAnsi="Times New Roman" w:cs="Times New Roman"/>
          <w:sz w:val="26"/>
          <w:szCs w:val="26"/>
        </w:rPr>
        <w:t>within ten days of the August</w:t>
      </w:r>
      <w:r w:rsidR="003B394C">
        <w:rPr>
          <w:rFonts w:ascii="Times New Roman" w:eastAsia="Times New Roman" w:hAnsi="Times New Roman" w:cs="Times New Roman"/>
          <w:sz w:val="26"/>
          <w:szCs w:val="26"/>
        </w:rPr>
        <w:t> </w:t>
      </w:r>
      <w:r w:rsidR="006E24CA">
        <w:rPr>
          <w:rFonts w:ascii="Times New Roman" w:eastAsia="Times New Roman" w:hAnsi="Times New Roman" w:cs="Times New Roman"/>
          <w:sz w:val="26"/>
          <w:szCs w:val="26"/>
        </w:rPr>
        <w:t xml:space="preserve">27, </w:t>
      </w:r>
      <w:proofErr w:type="gramStart"/>
      <w:r w:rsidR="006E24CA">
        <w:rPr>
          <w:rFonts w:ascii="Times New Roman" w:eastAsia="Times New Roman" w:hAnsi="Times New Roman" w:cs="Times New Roman"/>
          <w:sz w:val="26"/>
          <w:szCs w:val="26"/>
        </w:rPr>
        <w:t>2021</w:t>
      </w:r>
      <w:proofErr w:type="gramEnd"/>
      <w:r w:rsidR="006E24CA">
        <w:rPr>
          <w:rFonts w:ascii="Times New Roman" w:eastAsia="Times New Roman" w:hAnsi="Times New Roman" w:cs="Times New Roman"/>
          <w:sz w:val="26"/>
          <w:szCs w:val="26"/>
        </w:rPr>
        <w:t xml:space="preserve"> service date, </w:t>
      </w:r>
      <w:r w:rsidR="006E24CA" w:rsidRPr="006E24CA">
        <w:rPr>
          <w:rFonts w:ascii="Times New Roman" w:eastAsia="Times New Roman" w:hAnsi="Times New Roman" w:cs="Times New Roman"/>
          <w:i/>
          <w:iCs/>
          <w:sz w:val="26"/>
          <w:szCs w:val="26"/>
        </w:rPr>
        <w:t>i.e</w:t>
      </w:r>
      <w:r w:rsidR="006E24CA">
        <w:rPr>
          <w:rFonts w:ascii="Times New Roman" w:eastAsia="Times New Roman" w:hAnsi="Times New Roman" w:cs="Times New Roman"/>
          <w:sz w:val="26"/>
          <w:szCs w:val="26"/>
        </w:rPr>
        <w:t>., on</w:t>
      </w:r>
      <w:r w:rsidR="00B7453A">
        <w:rPr>
          <w:rFonts w:ascii="Times New Roman" w:eastAsia="Times New Roman" w:hAnsi="Times New Roman" w:cs="Times New Roman"/>
          <w:sz w:val="26"/>
          <w:szCs w:val="26"/>
        </w:rPr>
        <w:t xml:space="preserve"> September 7, 2021</w:t>
      </w:r>
      <w:r w:rsidR="007A55D4">
        <w:rPr>
          <w:rFonts w:ascii="Times New Roman" w:eastAsia="Times New Roman" w:hAnsi="Times New Roman" w:cs="Times New Roman"/>
          <w:sz w:val="26"/>
          <w:szCs w:val="26"/>
        </w:rPr>
        <w:t>.</w:t>
      </w:r>
      <w:r w:rsidR="004E7C8A">
        <w:rPr>
          <w:rFonts w:ascii="Times New Roman" w:eastAsia="Times New Roman" w:hAnsi="Times New Roman" w:cs="Times New Roman"/>
          <w:sz w:val="26"/>
          <w:szCs w:val="26"/>
        </w:rPr>
        <w:t xml:space="preserve">  </w:t>
      </w:r>
      <w:r w:rsidR="00DD68FB">
        <w:rPr>
          <w:rFonts w:ascii="Times New Roman" w:eastAsia="Times New Roman" w:hAnsi="Times New Roman" w:cs="Times New Roman"/>
          <w:sz w:val="26"/>
          <w:szCs w:val="26"/>
        </w:rPr>
        <w:t xml:space="preserve">UGI Electric Response at 1-2; </w:t>
      </w:r>
      <w:r w:rsidR="004E7C8A">
        <w:rPr>
          <w:rFonts w:ascii="Times New Roman" w:eastAsia="Times New Roman" w:hAnsi="Times New Roman" w:cs="Times New Roman"/>
          <w:sz w:val="26"/>
          <w:szCs w:val="26"/>
        </w:rPr>
        <w:t>I&amp;E Response at</w:t>
      </w:r>
      <w:r w:rsidR="001C0AC5">
        <w:rPr>
          <w:rFonts w:ascii="Times New Roman" w:eastAsia="Times New Roman" w:hAnsi="Times New Roman" w:cs="Times New Roman"/>
          <w:sz w:val="26"/>
          <w:szCs w:val="26"/>
        </w:rPr>
        <w:t> </w:t>
      </w:r>
      <w:r w:rsidR="004E7C8A">
        <w:rPr>
          <w:rFonts w:ascii="Times New Roman" w:eastAsia="Times New Roman" w:hAnsi="Times New Roman" w:cs="Times New Roman"/>
          <w:sz w:val="26"/>
          <w:szCs w:val="26"/>
        </w:rPr>
        <w:t xml:space="preserve">1.  </w:t>
      </w:r>
      <w:r w:rsidR="006B1562">
        <w:rPr>
          <w:rFonts w:ascii="Times New Roman" w:eastAsia="Times New Roman" w:hAnsi="Times New Roman" w:cs="Times New Roman"/>
          <w:sz w:val="26"/>
          <w:szCs w:val="26"/>
        </w:rPr>
        <w:t>While w</w:t>
      </w:r>
      <w:r w:rsidR="004E7C8A">
        <w:rPr>
          <w:rFonts w:ascii="Times New Roman" w:eastAsia="Times New Roman" w:hAnsi="Times New Roman" w:cs="Times New Roman"/>
          <w:sz w:val="26"/>
          <w:szCs w:val="26"/>
        </w:rPr>
        <w:t>e acknowledge that Ms. Brace’s Exceptions were not timely filed</w:t>
      </w:r>
      <w:r w:rsidR="006B1562">
        <w:rPr>
          <w:rFonts w:ascii="Times New Roman" w:eastAsia="Times New Roman" w:hAnsi="Times New Roman" w:cs="Times New Roman"/>
          <w:sz w:val="26"/>
          <w:szCs w:val="26"/>
        </w:rPr>
        <w:t>,</w:t>
      </w:r>
      <w:r w:rsidR="003254B5">
        <w:rPr>
          <w:rFonts w:ascii="Times New Roman" w:eastAsia="Times New Roman" w:hAnsi="Times New Roman" w:cs="Times New Roman"/>
          <w:sz w:val="26"/>
          <w:szCs w:val="26"/>
        </w:rPr>
        <w:t xml:space="preserve"> we will consider them in this case in order to secure a </w:t>
      </w:r>
      <w:r w:rsidR="002C6578">
        <w:rPr>
          <w:rFonts w:ascii="Times New Roman" w:eastAsia="Times New Roman" w:hAnsi="Times New Roman" w:cs="Times New Roman"/>
          <w:sz w:val="26"/>
          <w:szCs w:val="26"/>
        </w:rPr>
        <w:t xml:space="preserve">just, speedy, and inexpensive determination in this proceeding, particularly as </w:t>
      </w:r>
      <w:r w:rsidR="004C6C37">
        <w:rPr>
          <w:rFonts w:ascii="Times New Roman" w:eastAsia="Times New Roman" w:hAnsi="Times New Roman" w:cs="Times New Roman"/>
          <w:sz w:val="26"/>
          <w:szCs w:val="26"/>
        </w:rPr>
        <w:t xml:space="preserve">Ms. Brace is appearing </w:t>
      </w:r>
      <w:r w:rsidR="004C6C37" w:rsidRPr="004C6C37">
        <w:rPr>
          <w:rFonts w:ascii="Times New Roman" w:eastAsia="Times New Roman" w:hAnsi="Times New Roman" w:cs="Times New Roman"/>
          <w:i/>
          <w:iCs/>
          <w:sz w:val="26"/>
          <w:szCs w:val="26"/>
        </w:rPr>
        <w:t>pro se</w:t>
      </w:r>
      <w:r w:rsidR="004C6C37">
        <w:rPr>
          <w:rFonts w:ascii="Times New Roman" w:eastAsia="Times New Roman" w:hAnsi="Times New Roman" w:cs="Times New Roman"/>
          <w:sz w:val="26"/>
          <w:szCs w:val="26"/>
        </w:rPr>
        <w:t>.  52</w:t>
      </w:r>
      <w:r w:rsidR="003B394C">
        <w:rPr>
          <w:rFonts w:ascii="Times New Roman" w:eastAsia="Times New Roman" w:hAnsi="Times New Roman" w:cs="Times New Roman"/>
          <w:sz w:val="26"/>
          <w:szCs w:val="26"/>
        </w:rPr>
        <w:t> </w:t>
      </w:r>
      <w:r w:rsidR="004C6C37">
        <w:rPr>
          <w:rFonts w:ascii="Times New Roman" w:eastAsia="Times New Roman" w:hAnsi="Times New Roman" w:cs="Times New Roman"/>
          <w:sz w:val="26"/>
          <w:szCs w:val="26"/>
        </w:rPr>
        <w:t>Pa.</w:t>
      </w:r>
      <w:r w:rsidR="003B394C">
        <w:rPr>
          <w:rFonts w:ascii="Times New Roman" w:eastAsia="Times New Roman" w:hAnsi="Times New Roman" w:cs="Times New Roman"/>
          <w:sz w:val="26"/>
          <w:szCs w:val="26"/>
        </w:rPr>
        <w:t> </w:t>
      </w:r>
      <w:r w:rsidR="004C6C37">
        <w:rPr>
          <w:rFonts w:ascii="Times New Roman" w:eastAsia="Times New Roman" w:hAnsi="Times New Roman" w:cs="Times New Roman"/>
          <w:sz w:val="26"/>
          <w:szCs w:val="26"/>
        </w:rPr>
        <w:t>Code §</w:t>
      </w:r>
      <w:r w:rsidR="00066D53">
        <w:rPr>
          <w:rFonts w:ascii="Times New Roman" w:eastAsia="Times New Roman" w:hAnsi="Times New Roman" w:cs="Times New Roman"/>
          <w:sz w:val="26"/>
          <w:szCs w:val="26"/>
        </w:rPr>
        <w:t> </w:t>
      </w:r>
      <w:r w:rsidR="004C6C37">
        <w:rPr>
          <w:rFonts w:ascii="Times New Roman" w:eastAsia="Times New Roman" w:hAnsi="Times New Roman" w:cs="Times New Roman"/>
          <w:sz w:val="26"/>
          <w:szCs w:val="26"/>
        </w:rPr>
        <w:t xml:space="preserve">1.2(a),(d).  </w:t>
      </w:r>
      <w:r w:rsidR="002C2B63">
        <w:rPr>
          <w:rFonts w:ascii="Times New Roman" w:eastAsia="Times New Roman" w:hAnsi="Times New Roman" w:cs="Times New Roman"/>
          <w:sz w:val="26"/>
          <w:szCs w:val="26"/>
        </w:rPr>
        <w:t>Based on our review of the substantive contents of Ms. Brace’s Exceptions, we will</w:t>
      </w:r>
      <w:r w:rsidR="000A14EF">
        <w:rPr>
          <w:rFonts w:ascii="Times New Roman" w:eastAsia="Times New Roman" w:hAnsi="Times New Roman" w:cs="Times New Roman"/>
          <w:sz w:val="26"/>
          <w:szCs w:val="26"/>
        </w:rPr>
        <w:t>,</w:t>
      </w:r>
      <w:r w:rsidR="002C2B63">
        <w:rPr>
          <w:rFonts w:ascii="Times New Roman" w:eastAsia="Times New Roman" w:hAnsi="Times New Roman" w:cs="Times New Roman"/>
          <w:sz w:val="26"/>
          <w:szCs w:val="26"/>
        </w:rPr>
        <w:t xml:space="preserve"> however</w:t>
      </w:r>
      <w:r w:rsidR="000A14EF">
        <w:rPr>
          <w:rFonts w:ascii="Times New Roman" w:eastAsia="Times New Roman" w:hAnsi="Times New Roman" w:cs="Times New Roman"/>
          <w:sz w:val="26"/>
          <w:szCs w:val="26"/>
        </w:rPr>
        <w:t>,</w:t>
      </w:r>
      <w:r w:rsidR="002C2B63">
        <w:rPr>
          <w:rFonts w:ascii="Times New Roman" w:eastAsia="Times New Roman" w:hAnsi="Times New Roman" w:cs="Times New Roman"/>
          <w:sz w:val="26"/>
          <w:szCs w:val="26"/>
        </w:rPr>
        <w:t xml:space="preserve"> deny the Exceptions on the meri</w:t>
      </w:r>
      <w:r w:rsidR="000A14EF">
        <w:rPr>
          <w:rFonts w:ascii="Times New Roman" w:eastAsia="Times New Roman" w:hAnsi="Times New Roman" w:cs="Times New Roman"/>
          <w:sz w:val="26"/>
          <w:szCs w:val="26"/>
        </w:rPr>
        <w:t>t</w:t>
      </w:r>
      <w:r w:rsidR="002C2B63">
        <w:rPr>
          <w:rFonts w:ascii="Times New Roman" w:eastAsia="Times New Roman" w:hAnsi="Times New Roman" w:cs="Times New Roman"/>
          <w:sz w:val="26"/>
          <w:szCs w:val="26"/>
        </w:rPr>
        <w:t>s</w:t>
      </w:r>
      <w:r w:rsidR="000A14EF">
        <w:rPr>
          <w:rFonts w:ascii="Times New Roman" w:eastAsia="Times New Roman" w:hAnsi="Times New Roman" w:cs="Times New Roman"/>
          <w:sz w:val="26"/>
          <w:szCs w:val="26"/>
        </w:rPr>
        <w:t xml:space="preserve"> as set forth in more detail </w:t>
      </w:r>
      <w:r w:rsidR="006E069C">
        <w:rPr>
          <w:rFonts w:ascii="Times New Roman" w:eastAsia="Times New Roman" w:hAnsi="Times New Roman" w:cs="Times New Roman"/>
          <w:sz w:val="26"/>
          <w:szCs w:val="26"/>
        </w:rPr>
        <w:t>below</w:t>
      </w:r>
      <w:r w:rsidR="000A14EF">
        <w:rPr>
          <w:rFonts w:ascii="Times New Roman" w:eastAsia="Times New Roman" w:hAnsi="Times New Roman" w:cs="Times New Roman"/>
          <w:sz w:val="26"/>
          <w:szCs w:val="26"/>
        </w:rPr>
        <w:t xml:space="preserve">.  </w:t>
      </w:r>
      <w:r w:rsidR="004C6C37">
        <w:rPr>
          <w:rFonts w:ascii="Times New Roman" w:eastAsia="Times New Roman" w:hAnsi="Times New Roman" w:cs="Times New Roman"/>
          <w:sz w:val="26"/>
          <w:szCs w:val="26"/>
        </w:rPr>
        <w:t xml:space="preserve"> </w:t>
      </w:r>
      <w:r w:rsidR="006B1562">
        <w:rPr>
          <w:rFonts w:ascii="Times New Roman" w:eastAsia="Times New Roman" w:hAnsi="Times New Roman" w:cs="Times New Roman"/>
          <w:sz w:val="26"/>
          <w:szCs w:val="26"/>
        </w:rPr>
        <w:t xml:space="preserve"> </w:t>
      </w:r>
      <w:r w:rsidR="004E7C8A">
        <w:rPr>
          <w:rFonts w:ascii="Times New Roman" w:eastAsia="Times New Roman" w:hAnsi="Times New Roman" w:cs="Times New Roman"/>
          <w:sz w:val="26"/>
          <w:szCs w:val="26"/>
        </w:rPr>
        <w:t xml:space="preserve"> </w:t>
      </w:r>
      <w:r w:rsidR="007A55D4">
        <w:rPr>
          <w:rFonts w:ascii="Times New Roman" w:eastAsia="Times New Roman" w:hAnsi="Times New Roman" w:cs="Times New Roman"/>
          <w:sz w:val="26"/>
          <w:szCs w:val="26"/>
        </w:rPr>
        <w:t xml:space="preserve">  </w:t>
      </w:r>
    </w:p>
    <w:p w14:paraId="35238742" w14:textId="77777777" w:rsidR="00A9110E" w:rsidRDefault="00A9110E" w:rsidP="00496081">
      <w:pPr>
        <w:spacing w:line="360" w:lineRule="auto"/>
        <w:ind w:firstLine="1440"/>
        <w:contextualSpacing/>
        <w:rPr>
          <w:rFonts w:ascii="Times New Roman" w:eastAsia="Times New Roman" w:hAnsi="Times New Roman" w:cs="Times New Roman"/>
          <w:b/>
          <w:bCs/>
          <w:sz w:val="26"/>
          <w:szCs w:val="26"/>
        </w:rPr>
      </w:pPr>
    </w:p>
    <w:p w14:paraId="51ADF6E3" w14:textId="421A47D8" w:rsidR="006635A0" w:rsidRDefault="006635A0" w:rsidP="00496081">
      <w:pPr>
        <w:spacing w:line="360" w:lineRule="auto"/>
        <w:ind w:firstLine="1440"/>
        <w:contextualSpacing/>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w:t>
      </w:r>
      <w:r>
        <w:rPr>
          <w:rFonts w:ascii="Times New Roman" w:eastAsia="Times New Roman" w:hAnsi="Times New Roman" w:cs="Times New Roman"/>
          <w:b/>
          <w:bCs/>
          <w:sz w:val="26"/>
          <w:szCs w:val="26"/>
        </w:rPr>
        <w:tab/>
      </w:r>
      <w:r w:rsidR="002F2E78">
        <w:rPr>
          <w:rFonts w:ascii="Times New Roman" w:eastAsia="Times New Roman" w:hAnsi="Times New Roman" w:cs="Times New Roman"/>
          <w:b/>
          <w:bCs/>
          <w:sz w:val="26"/>
          <w:szCs w:val="26"/>
        </w:rPr>
        <w:t xml:space="preserve">Exception No. 1, Responses, and Disposition </w:t>
      </w:r>
    </w:p>
    <w:p w14:paraId="08E8A941" w14:textId="4BB476D0" w:rsidR="006635A0" w:rsidRDefault="006635A0" w:rsidP="00496081">
      <w:pPr>
        <w:spacing w:line="360" w:lineRule="auto"/>
        <w:ind w:firstLine="1440"/>
        <w:contextualSpacing/>
        <w:rPr>
          <w:rFonts w:ascii="Times New Roman" w:eastAsia="Times New Roman" w:hAnsi="Times New Roman" w:cs="Times New Roman"/>
          <w:b/>
          <w:bCs/>
          <w:sz w:val="26"/>
          <w:szCs w:val="26"/>
        </w:rPr>
      </w:pPr>
    </w:p>
    <w:p w14:paraId="482C651E" w14:textId="4912D814" w:rsidR="0049006C" w:rsidRPr="00D52B6E" w:rsidRDefault="0049006C" w:rsidP="0049006C">
      <w:pPr>
        <w:spacing w:after="0" w:line="360" w:lineRule="auto"/>
        <w:ind w:left="720" w:firstLine="720"/>
        <w:rPr>
          <w:rFonts w:ascii="Times New Roman" w:hAnsi="Times New Roman" w:cs="Times New Roman"/>
          <w:sz w:val="26"/>
          <w:szCs w:val="26"/>
        </w:rPr>
      </w:pPr>
      <w:r w:rsidRPr="00D52B6E">
        <w:rPr>
          <w:rFonts w:ascii="Times New Roman" w:hAnsi="Times New Roman" w:cs="Times New Roman"/>
          <w:sz w:val="26"/>
          <w:szCs w:val="26"/>
        </w:rPr>
        <w:t xml:space="preserve">Ms. Brace’s Exception </w:t>
      </w:r>
      <w:r>
        <w:rPr>
          <w:rFonts w:ascii="Times New Roman" w:hAnsi="Times New Roman" w:cs="Times New Roman"/>
          <w:sz w:val="26"/>
          <w:szCs w:val="26"/>
        </w:rPr>
        <w:t xml:space="preserve">No. 1 </w:t>
      </w:r>
      <w:r w:rsidRPr="00D52B6E">
        <w:rPr>
          <w:rFonts w:ascii="Times New Roman" w:hAnsi="Times New Roman" w:cs="Times New Roman"/>
          <w:sz w:val="26"/>
          <w:szCs w:val="26"/>
        </w:rPr>
        <w:t>states:</w:t>
      </w:r>
    </w:p>
    <w:p w14:paraId="2C257D12" w14:textId="77777777" w:rsidR="007A0F26" w:rsidRDefault="007A0F26" w:rsidP="0049006C">
      <w:pPr>
        <w:spacing w:after="0" w:line="240" w:lineRule="auto"/>
        <w:ind w:left="1440" w:right="1440"/>
        <w:rPr>
          <w:rFonts w:ascii="Times New Roman" w:hAnsi="Times New Roman" w:cs="Times New Roman"/>
          <w:sz w:val="26"/>
          <w:szCs w:val="26"/>
        </w:rPr>
      </w:pPr>
    </w:p>
    <w:p w14:paraId="6A300816" w14:textId="60AB7146" w:rsidR="0049006C" w:rsidRPr="00D52B6E" w:rsidRDefault="0049006C" w:rsidP="0049006C">
      <w:pPr>
        <w:spacing w:after="0" w:line="240" w:lineRule="auto"/>
        <w:ind w:left="1440" w:right="1440"/>
        <w:rPr>
          <w:rFonts w:ascii="Times New Roman" w:hAnsi="Times New Roman" w:cs="Times New Roman"/>
          <w:sz w:val="26"/>
          <w:szCs w:val="26"/>
        </w:rPr>
      </w:pPr>
      <w:r w:rsidRPr="00D52B6E">
        <w:rPr>
          <w:rFonts w:ascii="Times New Roman" w:hAnsi="Times New Roman" w:cs="Times New Roman"/>
          <w:sz w:val="26"/>
          <w:szCs w:val="26"/>
        </w:rPr>
        <w:t>The reasons for a rate change should be clear to the public; I do not believe that a “black box” settlement is ever in the public’s best interest as it leaves no trace of the established reasons for compromise or lack thereof, essentially negating the burden of proof that is supposed to be on the utility.</w:t>
      </w:r>
    </w:p>
    <w:p w14:paraId="4FB32C2D" w14:textId="77777777" w:rsidR="0049006C" w:rsidRPr="00D52B6E" w:rsidRDefault="0049006C" w:rsidP="00DB28EB">
      <w:pPr>
        <w:spacing w:after="0" w:line="360" w:lineRule="auto"/>
        <w:rPr>
          <w:rFonts w:ascii="Times New Roman" w:hAnsi="Times New Roman" w:cs="Times New Roman"/>
          <w:sz w:val="26"/>
          <w:szCs w:val="26"/>
        </w:rPr>
      </w:pPr>
    </w:p>
    <w:p w14:paraId="0AF12FD6" w14:textId="210ECAC7" w:rsidR="0049006C" w:rsidRDefault="0049006C" w:rsidP="000A5C68">
      <w:pPr>
        <w:tabs>
          <w:tab w:val="left" w:pos="0"/>
        </w:tabs>
        <w:spacing w:after="0" w:line="360" w:lineRule="auto"/>
        <w:rPr>
          <w:rFonts w:ascii="Times New Roman" w:hAnsi="Times New Roman" w:cs="Times New Roman"/>
          <w:sz w:val="26"/>
          <w:szCs w:val="26"/>
        </w:rPr>
      </w:pPr>
      <w:r>
        <w:rPr>
          <w:rFonts w:ascii="Times New Roman" w:hAnsi="Times New Roman" w:cs="Times New Roman"/>
          <w:sz w:val="26"/>
          <w:szCs w:val="26"/>
        </w:rPr>
        <w:t>Exc. at 3.</w:t>
      </w:r>
      <w:r w:rsidR="006573A8">
        <w:rPr>
          <w:rFonts w:ascii="Times New Roman" w:hAnsi="Times New Roman" w:cs="Times New Roman"/>
          <w:sz w:val="26"/>
          <w:szCs w:val="26"/>
        </w:rPr>
        <w:t xml:space="preserve">  Ms. Brace objects to the </w:t>
      </w:r>
      <w:r w:rsidR="006C754B">
        <w:rPr>
          <w:rFonts w:ascii="Times New Roman" w:hAnsi="Times New Roman" w:cs="Times New Roman"/>
          <w:sz w:val="26"/>
          <w:szCs w:val="26"/>
        </w:rPr>
        <w:t xml:space="preserve">“black box” settlement </w:t>
      </w:r>
      <w:r w:rsidR="006116E1">
        <w:rPr>
          <w:rFonts w:ascii="Times New Roman" w:hAnsi="Times New Roman" w:cs="Times New Roman"/>
          <w:sz w:val="26"/>
          <w:szCs w:val="26"/>
        </w:rPr>
        <w:t xml:space="preserve">on that basis that </w:t>
      </w:r>
      <w:r w:rsidR="00C73483">
        <w:rPr>
          <w:rFonts w:ascii="Times New Roman" w:hAnsi="Times New Roman" w:cs="Times New Roman"/>
          <w:sz w:val="26"/>
          <w:szCs w:val="26"/>
        </w:rPr>
        <w:t xml:space="preserve">she was not involved in </w:t>
      </w:r>
      <w:r w:rsidR="00942CC0">
        <w:rPr>
          <w:rFonts w:ascii="Times New Roman" w:hAnsi="Times New Roman" w:cs="Times New Roman"/>
          <w:sz w:val="26"/>
          <w:szCs w:val="26"/>
        </w:rPr>
        <w:t>the negotiations that led to the result in</w:t>
      </w:r>
      <w:r w:rsidR="00EE05D7">
        <w:rPr>
          <w:rFonts w:ascii="Times New Roman" w:hAnsi="Times New Roman" w:cs="Times New Roman"/>
          <w:sz w:val="26"/>
          <w:szCs w:val="26"/>
        </w:rPr>
        <w:t xml:space="preserve"> this case and because</w:t>
      </w:r>
      <w:r w:rsidR="00244261">
        <w:rPr>
          <w:rFonts w:ascii="Times New Roman" w:hAnsi="Times New Roman" w:cs="Times New Roman"/>
          <w:sz w:val="26"/>
          <w:szCs w:val="26"/>
        </w:rPr>
        <w:t xml:space="preserve">, as a member of the public, she </w:t>
      </w:r>
      <w:r w:rsidR="00FB556E">
        <w:rPr>
          <w:rFonts w:ascii="Times New Roman" w:hAnsi="Times New Roman" w:cs="Times New Roman"/>
          <w:sz w:val="26"/>
          <w:szCs w:val="26"/>
        </w:rPr>
        <w:t xml:space="preserve">does not understand the complex reasons for the </w:t>
      </w:r>
      <w:r w:rsidR="00C34F51">
        <w:rPr>
          <w:rFonts w:ascii="Times New Roman" w:hAnsi="Times New Roman" w:cs="Times New Roman"/>
          <w:sz w:val="26"/>
          <w:szCs w:val="26"/>
        </w:rPr>
        <w:t>concessions in the Settlement</w:t>
      </w:r>
      <w:r w:rsidR="00A2003D">
        <w:rPr>
          <w:rFonts w:ascii="Times New Roman" w:hAnsi="Times New Roman" w:cs="Times New Roman"/>
          <w:sz w:val="26"/>
          <w:szCs w:val="26"/>
        </w:rPr>
        <w:t xml:space="preserve">, particularly because many </w:t>
      </w:r>
      <w:r w:rsidR="006116E1">
        <w:rPr>
          <w:rFonts w:ascii="Times New Roman" w:hAnsi="Times New Roman" w:cs="Times New Roman"/>
          <w:sz w:val="26"/>
          <w:szCs w:val="26"/>
        </w:rPr>
        <w:t>documents in this case are confidential</w:t>
      </w:r>
      <w:r w:rsidR="00C34F51">
        <w:rPr>
          <w:rFonts w:ascii="Times New Roman" w:hAnsi="Times New Roman" w:cs="Times New Roman"/>
          <w:sz w:val="26"/>
          <w:szCs w:val="26"/>
        </w:rPr>
        <w:t>.</w:t>
      </w:r>
      <w:r w:rsidR="000A5C68">
        <w:rPr>
          <w:rFonts w:ascii="Times New Roman" w:hAnsi="Times New Roman" w:cs="Times New Roman"/>
          <w:sz w:val="26"/>
          <w:szCs w:val="26"/>
        </w:rPr>
        <w:t xml:space="preserve">  </w:t>
      </w:r>
      <w:r w:rsidR="000A5C68" w:rsidRPr="000A5C68">
        <w:rPr>
          <w:rFonts w:ascii="Times New Roman" w:hAnsi="Times New Roman" w:cs="Times New Roman"/>
          <w:i/>
          <w:iCs/>
          <w:sz w:val="26"/>
          <w:szCs w:val="26"/>
        </w:rPr>
        <w:t>Id</w:t>
      </w:r>
      <w:r w:rsidR="000A5C68">
        <w:rPr>
          <w:rFonts w:ascii="Times New Roman" w:hAnsi="Times New Roman" w:cs="Times New Roman"/>
          <w:sz w:val="26"/>
          <w:szCs w:val="26"/>
        </w:rPr>
        <w:t>. at 4.</w:t>
      </w:r>
      <w:r w:rsidR="00C34F5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52B6E">
        <w:rPr>
          <w:rFonts w:ascii="Times New Roman" w:hAnsi="Times New Roman" w:cs="Times New Roman"/>
          <w:sz w:val="26"/>
          <w:szCs w:val="26"/>
        </w:rPr>
        <w:tab/>
      </w:r>
      <w:r>
        <w:rPr>
          <w:rFonts w:ascii="Times New Roman" w:hAnsi="Times New Roman" w:cs="Times New Roman"/>
          <w:sz w:val="26"/>
          <w:szCs w:val="26"/>
        </w:rPr>
        <w:tab/>
      </w:r>
    </w:p>
    <w:p w14:paraId="61C4CAE1" w14:textId="72F84DBB" w:rsidR="0049006C" w:rsidRPr="00D52B6E" w:rsidRDefault="002E003D" w:rsidP="0049006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Response, UGI Electric</w:t>
      </w:r>
      <w:r w:rsidR="0049006C" w:rsidRPr="00D52B6E">
        <w:rPr>
          <w:rFonts w:ascii="Times New Roman" w:hAnsi="Times New Roman" w:cs="Times New Roman"/>
          <w:sz w:val="26"/>
          <w:szCs w:val="26"/>
        </w:rPr>
        <w:t xml:space="preserve"> states that Commission policy promotes settlements and that the Commission has long approved of “black box” settlements</w:t>
      </w:r>
      <w:r w:rsidR="0049006C">
        <w:rPr>
          <w:rFonts w:ascii="Times New Roman" w:hAnsi="Times New Roman" w:cs="Times New Roman"/>
          <w:sz w:val="26"/>
          <w:szCs w:val="26"/>
        </w:rPr>
        <w:t>.  UGI</w:t>
      </w:r>
      <w:r w:rsidR="001C0AC5">
        <w:rPr>
          <w:rFonts w:ascii="Times New Roman" w:hAnsi="Times New Roman" w:cs="Times New Roman"/>
          <w:sz w:val="26"/>
          <w:szCs w:val="26"/>
        </w:rPr>
        <w:t> </w:t>
      </w:r>
      <w:r w:rsidR="0049006C">
        <w:rPr>
          <w:rFonts w:ascii="Times New Roman" w:hAnsi="Times New Roman" w:cs="Times New Roman"/>
          <w:sz w:val="26"/>
          <w:szCs w:val="26"/>
        </w:rPr>
        <w:t>Electric Response at 2 (</w:t>
      </w:r>
      <w:r w:rsidR="0049006C" w:rsidRPr="00D52B6E">
        <w:rPr>
          <w:rFonts w:ascii="Times New Roman" w:hAnsi="Times New Roman" w:cs="Times New Roman"/>
          <w:sz w:val="26"/>
          <w:szCs w:val="26"/>
        </w:rPr>
        <w:t xml:space="preserve">citing, </w:t>
      </w:r>
      <w:r w:rsidR="0049006C" w:rsidRPr="00D52B6E">
        <w:rPr>
          <w:rFonts w:ascii="Times New Roman" w:hAnsi="Times New Roman" w:cs="Times New Roman"/>
          <w:i/>
          <w:sz w:val="26"/>
          <w:szCs w:val="26"/>
        </w:rPr>
        <w:t>inter alia</w:t>
      </w:r>
      <w:r w:rsidR="0049006C" w:rsidRPr="00D52B6E">
        <w:rPr>
          <w:rFonts w:ascii="Times New Roman" w:hAnsi="Times New Roman" w:cs="Times New Roman"/>
          <w:sz w:val="26"/>
          <w:szCs w:val="26"/>
        </w:rPr>
        <w:t xml:space="preserve">, </w:t>
      </w:r>
      <w:r w:rsidR="0049006C" w:rsidRPr="00D52B6E">
        <w:rPr>
          <w:rFonts w:ascii="Times New Roman" w:hAnsi="Times New Roman" w:cs="Times New Roman"/>
          <w:i/>
          <w:sz w:val="26"/>
          <w:szCs w:val="26"/>
        </w:rPr>
        <w:t>Pa. PUC v. Aqua Pa., Inc.</w:t>
      </w:r>
      <w:r w:rsidR="0049006C" w:rsidRPr="00D52B6E">
        <w:rPr>
          <w:rFonts w:ascii="Times New Roman" w:hAnsi="Times New Roman" w:cs="Times New Roman"/>
          <w:sz w:val="26"/>
          <w:szCs w:val="26"/>
        </w:rPr>
        <w:t>, Docket No. R</w:t>
      </w:r>
      <w:r w:rsidR="001C0AC5">
        <w:rPr>
          <w:rFonts w:ascii="Times New Roman" w:hAnsi="Times New Roman" w:cs="Times New Roman"/>
          <w:sz w:val="26"/>
          <w:szCs w:val="26"/>
        </w:rPr>
        <w:noBreakHyphen/>
      </w:r>
      <w:r w:rsidR="0049006C" w:rsidRPr="00D52B6E">
        <w:rPr>
          <w:rFonts w:ascii="Times New Roman" w:hAnsi="Times New Roman" w:cs="Times New Roman"/>
          <w:sz w:val="26"/>
          <w:szCs w:val="26"/>
        </w:rPr>
        <w:t>2011</w:t>
      </w:r>
      <w:r w:rsidR="001C0AC5">
        <w:rPr>
          <w:rFonts w:ascii="Times New Roman" w:hAnsi="Times New Roman" w:cs="Times New Roman"/>
          <w:sz w:val="26"/>
          <w:szCs w:val="26"/>
        </w:rPr>
        <w:noBreakHyphen/>
      </w:r>
      <w:r w:rsidR="0049006C" w:rsidRPr="00D52B6E">
        <w:rPr>
          <w:rFonts w:ascii="Times New Roman" w:hAnsi="Times New Roman" w:cs="Times New Roman"/>
          <w:sz w:val="26"/>
          <w:szCs w:val="26"/>
        </w:rPr>
        <w:t>2267958 (Order entered June 7, 2012)</w:t>
      </w:r>
      <w:r w:rsidR="0036660C">
        <w:rPr>
          <w:rFonts w:ascii="Times New Roman" w:hAnsi="Times New Roman" w:cs="Times New Roman"/>
          <w:sz w:val="26"/>
          <w:szCs w:val="26"/>
        </w:rPr>
        <w:t>;</w:t>
      </w:r>
      <w:r w:rsidR="0049006C" w:rsidRPr="00D52B6E">
        <w:rPr>
          <w:rFonts w:ascii="Times New Roman" w:hAnsi="Times New Roman" w:cs="Times New Roman"/>
          <w:sz w:val="26"/>
          <w:szCs w:val="26"/>
        </w:rPr>
        <w:t xml:space="preserve"> </w:t>
      </w:r>
      <w:r w:rsidR="0049006C" w:rsidRPr="00D52B6E">
        <w:rPr>
          <w:rFonts w:ascii="Times New Roman" w:hAnsi="Times New Roman" w:cs="Times New Roman"/>
          <w:i/>
          <w:sz w:val="26"/>
          <w:szCs w:val="26"/>
        </w:rPr>
        <w:t>Peoples TWP</w:t>
      </w:r>
      <w:r w:rsidR="0049006C">
        <w:rPr>
          <w:rFonts w:ascii="Times New Roman" w:hAnsi="Times New Roman" w:cs="Times New Roman"/>
          <w:sz w:val="26"/>
          <w:szCs w:val="26"/>
        </w:rPr>
        <w:t>)</w:t>
      </w:r>
      <w:r w:rsidR="0049006C" w:rsidRPr="00D52B6E">
        <w:rPr>
          <w:rFonts w:ascii="Times New Roman" w:hAnsi="Times New Roman" w:cs="Times New Roman"/>
          <w:sz w:val="26"/>
          <w:szCs w:val="26"/>
        </w:rPr>
        <w:t xml:space="preserve">. </w:t>
      </w:r>
      <w:r w:rsidR="0049006C">
        <w:rPr>
          <w:rFonts w:ascii="Times New Roman" w:hAnsi="Times New Roman" w:cs="Times New Roman"/>
          <w:sz w:val="26"/>
          <w:szCs w:val="26"/>
        </w:rPr>
        <w:t xml:space="preserve"> </w:t>
      </w:r>
      <w:r w:rsidR="0049006C" w:rsidRPr="00D52B6E">
        <w:rPr>
          <w:rFonts w:ascii="Times New Roman" w:hAnsi="Times New Roman" w:cs="Times New Roman"/>
          <w:sz w:val="26"/>
          <w:szCs w:val="26"/>
        </w:rPr>
        <w:t xml:space="preserve">Further, the UGI Electric Response states that this particular “black box” settlement is in the public interest for the reasons set forth in the various Joint Petitioners’ </w:t>
      </w:r>
      <w:r w:rsidR="0049006C">
        <w:rPr>
          <w:rFonts w:ascii="Times New Roman" w:hAnsi="Times New Roman" w:cs="Times New Roman"/>
          <w:sz w:val="26"/>
          <w:szCs w:val="26"/>
        </w:rPr>
        <w:t>S</w:t>
      </w:r>
      <w:r w:rsidR="0049006C" w:rsidRPr="00D52B6E">
        <w:rPr>
          <w:rFonts w:ascii="Times New Roman" w:hAnsi="Times New Roman" w:cs="Times New Roman"/>
          <w:sz w:val="26"/>
          <w:szCs w:val="26"/>
        </w:rPr>
        <w:t xml:space="preserve">tatements in </w:t>
      </w:r>
      <w:r w:rsidR="0049006C">
        <w:rPr>
          <w:rFonts w:ascii="Times New Roman" w:hAnsi="Times New Roman" w:cs="Times New Roman"/>
          <w:sz w:val="26"/>
          <w:szCs w:val="26"/>
        </w:rPr>
        <w:t>S</w:t>
      </w:r>
      <w:r w:rsidR="0049006C" w:rsidRPr="00D52B6E">
        <w:rPr>
          <w:rFonts w:ascii="Times New Roman" w:hAnsi="Times New Roman" w:cs="Times New Roman"/>
          <w:sz w:val="26"/>
          <w:szCs w:val="26"/>
        </w:rPr>
        <w:t>upport and in the Recommended Decision of ALJ Haas.</w:t>
      </w:r>
      <w:r w:rsidR="0049006C">
        <w:rPr>
          <w:rFonts w:ascii="Times New Roman" w:hAnsi="Times New Roman" w:cs="Times New Roman"/>
          <w:sz w:val="26"/>
          <w:szCs w:val="26"/>
        </w:rPr>
        <w:t xml:space="preserve">  UGI Electric Response at 2.</w:t>
      </w:r>
    </w:p>
    <w:p w14:paraId="29D6084E" w14:textId="0FDF19BB" w:rsidR="0049006C" w:rsidRPr="00D52B6E" w:rsidRDefault="0049006C" w:rsidP="003B394C">
      <w:pPr>
        <w:spacing w:after="0" w:line="360" w:lineRule="auto"/>
        <w:rPr>
          <w:rFonts w:ascii="Times New Roman" w:hAnsi="Times New Roman" w:cs="Times New Roman"/>
          <w:sz w:val="26"/>
          <w:szCs w:val="26"/>
        </w:rPr>
      </w:pPr>
      <w:r w:rsidRPr="00D52B6E">
        <w:rPr>
          <w:rFonts w:ascii="Times New Roman" w:hAnsi="Times New Roman" w:cs="Times New Roman"/>
          <w:sz w:val="26"/>
          <w:szCs w:val="26"/>
        </w:rPr>
        <w:lastRenderedPageBreak/>
        <w:tab/>
      </w:r>
      <w:r>
        <w:rPr>
          <w:rFonts w:ascii="Times New Roman" w:hAnsi="Times New Roman" w:cs="Times New Roman"/>
          <w:sz w:val="26"/>
          <w:szCs w:val="26"/>
        </w:rPr>
        <w:tab/>
      </w:r>
      <w:r w:rsidR="002E003D">
        <w:rPr>
          <w:rFonts w:ascii="Times New Roman" w:hAnsi="Times New Roman" w:cs="Times New Roman"/>
          <w:sz w:val="26"/>
          <w:szCs w:val="26"/>
        </w:rPr>
        <w:t>In its Response, I&amp;E</w:t>
      </w:r>
      <w:r w:rsidRPr="00D52B6E">
        <w:rPr>
          <w:rFonts w:ascii="Times New Roman" w:hAnsi="Times New Roman" w:cs="Times New Roman"/>
          <w:sz w:val="26"/>
          <w:szCs w:val="26"/>
        </w:rPr>
        <w:t xml:space="preserve"> reiterates its position that the instant “black box” settlement is in the public interest.</w:t>
      </w:r>
      <w:r>
        <w:rPr>
          <w:rFonts w:ascii="Times New Roman" w:hAnsi="Times New Roman" w:cs="Times New Roman"/>
          <w:sz w:val="26"/>
          <w:szCs w:val="26"/>
        </w:rPr>
        <w:t xml:space="preserve">  I&amp;E Response at 1.</w:t>
      </w:r>
    </w:p>
    <w:p w14:paraId="1309709B" w14:textId="77777777" w:rsidR="0049006C" w:rsidRPr="00D52B6E" w:rsidRDefault="0049006C" w:rsidP="0049006C">
      <w:pPr>
        <w:spacing w:after="0" w:line="360" w:lineRule="auto"/>
        <w:rPr>
          <w:rFonts w:ascii="Times New Roman" w:hAnsi="Times New Roman" w:cs="Times New Roman"/>
          <w:sz w:val="26"/>
          <w:szCs w:val="26"/>
        </w:rPr>
      </w:pPr>
    </w:p>
    <w:p w14:paraId="00E8F5B1" w14:textId="232B482E" w:rsidR="0049006C" w:rsidRPr="00D52B6E" w:rsidRDefault="0049006C" w:rsidP="0049006C">
      <w:pPr>
        <w:spacing w:after="0" w:line="360" w:lineRule="auto"/>
        <w:rPr>
          <w:rFonts w:ascii="Times New Roman" w:hAnsi="Times New Roman" w:cs="Times New Roman"/>
          <w:sz w:val="26"/>
          <w:szCs w:val="26"/>
        </w:rPr>
      </w:pPr>
      <w:r w:rsidRPr="00D52B6E">
        <w:rPr>
          <w:rFonts w:ascii="Times New Roman" w:hAnsi="Times New Roman" w:cs="Times New Roman"/>
          <w:sz w:val="26"/>
          <w:szCs w:val="26"/>
        </w:rPr>
        <w:tab/>
      </w:r>
      <w:r>
        <w:rPr>
          <w:rFonts w:ascii="Times New Roman" w:hAnsi="Times New Roman" w:cs="Times New Roman"/>
          <w:sz w:val="26"/>
          <w:szCs w:val="26"/>
        </w:rPr>
        <w:tab/>
      </w:r>
      <w:r w:rsidRPr="00D52B6E">
        <w:rPr>
          <w:rFonts w:ascii="Times New Roman" w:hAnsi="Times New Roman" w:cs="Times New Roman"/>
          <w:sz w:val="26"/>
          <w:szCs w:val="26"/>
        </w:rPr>
        <w:t xml:space="preserve">Ms. Brace believes that a “black box” settlement is never in the public interest. </w:t>
      </w:r>
      <w:r>
        <w:rPr>
          <w:rFonts w:ascii="Times New Roman" w:hAnsi="Times New Roman" w:cs="Times New Roman"/>
          <w:sz w:val="26"/>
          <w:szCs w:val="26"/>
        </w:rPr>
        <w:t xml:space="preserve"> </w:t>
      </w:r>
      <w:r w:rsidRPr="00D52B6E">
        <w:rPr>
          <w:rFonts w:ascii="Times New Roman" w:hAnsi="Times New Roman" w:cs="Times New Roman"/>
          <w:sz w:val="26"/>
          <w:szCs w:val="26"/>
        </w:rPr>
        <w:t>We disagree.</w:t>
      </w:r>
      <w:r w:rsidR="00CA1AAC">
        <w:rPr>
          <w:rFonts w:ascii="Times New Roman" w:hAnsi="Times New Roman" w:cs="Times New Roman"/>
          <w:sz w:val="26"/>
          <w:szCs w:val="26"/>
        </w:rPr>
        <w:t xml:space="preserve">  </w:t>
      </w:r>
      <w:r w:rsidRPr="00D52B6E">
        <w:rPr>
          <w:rFonts w:ascii="Times New Roman" w:hAnsi="Times New Roman" w:cs="Times New Roman"/>
          <w:sz w:val="26"/>
          <w:szCs w:val="26"/>
        </w:rPr>
        <w:t xml:space="preserve">It is the policy of the Commission to encourage settlements. </w:t>
      </w:r>
      <w:r>
        <w:rPr>
          <w:rFonts w:ascii="Times New Roman" w:hAnsi="Times New Roman" w:cs="Times New Roman"/>
          <w:sz w:val="26"/>
          <w:szCs w:val="26"/>
        </w:rPr>
        <w:t xml:space="preserve"> </w:t>
      </w:r>
      <w:r w:rsidRPr="00D52B6E">
        <w:rPr>
          <w:rFonts w:ascii="Times New Roman" w:hAnsi="Times New Roman" w:cs="Times New Roman"/>
          <w:sz w:val="26"/>
          <w:szCs w:val="26"/>
        </w:rPr>
        <w:t>52</w:t>
      </w:r>
      <w:r w:rsidR="002D11DD">
        <w:rPr>
          <w:rFonts w:ascii="Times New Roman" w:hAnsi="Times New Roman" w:cs="Times New Roman"/>
          <w:sz w:val="26"/>
          <w:szCs w:val="26"/>
        </w:rPr>
        <w:t> </w:t>
      </w:r>
      <w:r w:rsidRPr="00D52B6E">
        <w:rPr>
          <w:rFonts w:ascii="Times New Roman" w:hAnsi="Times New Roman" w:cs="Times New Roman"/>
          <w:sz w:val="26"/>
          <w:szCs w:val="26"/>
        </w:rPr>
        <w:t>Pa.</w:t>
      </w:r>
      <w:r>
        <w:rPr>
          <w:rFonts w:ascii="Times New Roman" w:hAnsi="Times New Roman" w:cs="Times New Roman"/>
          <w:sz w:val="26"/>
          <w:szCs w:val="26"/>
        </w:rPr>
        <w:t xml:space="preserve"> </w:t>
      </w:r>
      <w:r w:rsidRPr="00D52B6E">
        <w:rPr>
          <w:rFonts w:ascii="Times New Roman" w:hAnsi="Times New Roman" w:cs="Times New Roman"/>
          <w:sz w:val="26"/>
          <w:szCs w:val="26"/>
        </w:rPr>
        <w:t xml:space="preserve">Code § </w:t>
      </w:r>
      <w:r w:rsidR="009F3D15">
        <w:rPr>
          <w:rFonts w:ascii="Times New Roman" w:hAnsi="Times New Roman" w:cs="Times New Roman"/>
          <w:sz w:val="26"/>
          <w:szCs w:val="26"/>
        </w:rPr>
        <w:t>5.</w:t>
      </w:r>
      <w:r w:rsidRPr="00D52B6E">
        <w:rPr>
          <w:rFonts w:ascii="Times New Roman" w:hAnsi="Times New Roman" w:cs="Times New Roman"/>
          <w:sz w:val="26"/>
          <w:szCs w:val="26"/>
        </w:rPr>
        <w:t xml:space="preserve">231(a). </w:t>
      </w:r>
      <w:r>
        <w:rPr>
          <w:rFonts w:ascii="Times New Roman" w:hAnsi="Times New Roman" w:cs="Times New Roman"/>
          <w:sz w:val="26"/>
          <w:szCs w:val="26"/>
        </w:rPr>
        <w:t xml:space="preserve"> </w:t>
      </w:r>
      <w:r w:rsidRPr="00D52B6E">
        <w:rPr>
          <w:rFonts w:ascii="Times New Roman" w:hAnsi="Times New Roman" w:cs="Times New Roman"/>
          <w:sz w:val="26"/>
          <w:szCs w:val="26"/>
        </w:rPr>
        <w:t xml:space="preserve">We have developed this policy because, in our judgment, “the results achieved from a negotiated settlement or stipulation, or both, in which the interested parties have had an opportunity to participate are often preferable to those achieved at the conclusion of a fully litigated proceeding.” </w:t>
      </w:r>
      <w:r>
        <w:rPr>
          <w:rFonts w:ascii="Times New Roman" w:hAnsi="Times New Roman" w:cs="Times New Roman"/>
          <w:sz w:val="26"/>
          <w:szCs w:val="26"/>
        </w:rPr>
        <w:t xml:space="preserve"> </w:t>
      </w:r>
      <w:r w:rsidRPr="00D52B6E">
        <w:rPr>
          <w:rFonts w:ascii="Times New Roman" w:hAnsi="Times New Roman" w:cs="Times New Roman"/>
          <w:sz w:val="26"/>
          <w:szCs w:val="26"/>
        </w:rPr>
        <w:t>52 Pa.</w:t>
      </w:r>
      <w:r>
        <w:rPr>
          <w:rFonts w:ascii="Times New Roman" w:hAnsi="Times New Roman" w:cs="Times New Roman"/>
          <w:sz w:val="26"/>
          <w:szCs w:val="26"/>
        </w:rPr>
        <w:t xml:space="preserve"> </w:t>
      </w:r>
      <w:r w:rsidRPr="00D52B6E">
        <w:rPr>
          <w:rFonts w:ascii="Times New Roman" w:hAnsi="Times New Roman" w:cs="Times New Roman"/>
          <w:sz w:val="26"/>
          <w:szCs w:val="26"/>
        </w:rPr>
        <w:t>Code § 69.401.</w:t>
      </w:r>
    </w:p>
    <w:p w14:paraId="042637A2" w14:textId="77777777" w:rsidR="0049006C" w:rsidRPr="00D52B6E" w:rsidRDefault="0049006C" w:rsidP="0049006C">
      <w:pPr>
        <w:spacing w:after="0" w:line="360" w:lineRule="auto"/>
        <w:rPr>
          <w:rFonts w:ascii="Times New Roman" w:hAnsi="Times New Roman" w:cs="Times New Roman"/>
          <w:sz w:val="26"/>
          <w:szCs w:val="26"/>
        </w:rPr>
      </w:pPr>
    </w:p>
    <w:p w14:paraId="4930FB66" w14:textId="77777777" w:rsidR="0049006C" w:rsidRPr="00D52B6E" w:rsidRDefault="0049006C" w:rsidP="0049006C">
      <w:pPr>
        <w:spacing w:after="0" w:line="360" w:lineRule="auto"/>
        <w:contextualSpacing/>
        <w:rPr>
          <w:rFonts w:ascii="Times New Roman" w:eastAsia="Times New Roman" w:hAnsi="Times New Roman" w:cs="Times New Roman"/>
          <w:sz w:val="26"/>
          <w:szCs w:val="26"/>
        </w:rPr>
      </w:pPr>
      <w:r w:rsidRPr="00D52B6E">
        <w:rPr>
          <w:rFonts w:ascii="Times New Roman" w:hAnsi="Times New Roman" w:cs="Times New Roman"/>
          <w:sz w:val="26"/>
          <w:szCs w:val="26"/>
        </w:rPr>
        <w:tab/>
      </w:r>
      <w:r>
        <w:rPr>
          <w:rFonts w:ascii="Times New Roman" w:hAnsi="Times New Roman" w:cs="Times New Roman"/>
          <w:sz w:val="26"/>
          <w:szCs w:val="26"/>
        </w:rPr>
        <w:tab/>
      </w:r>
      <w:r w:rsidRPr="00D52B6E">
        <w:rPr>
          <w:rFonts w:ascii="Times New Roman" w:eastAsia="Times New Roman" w:hAnsi="Times New Roman" w:cs="Times New Roman"/>
          <w:sz w:val="26"/>
          <w:szCs w:val="26"/>
        </w:rPr>
        <w:t>The Commission has recognized that “black box” settlements can serve an important purpose in reaching consensus in rate cases:</w:t>
      </w:r>
    </w:p>
    <w:p w14:paraId="77294A35" w14:textId="77777777" w:rsidR="0049006C" w:rsidRPr="00D52B6E" w:rsidRDefault="0049006C" w:rsidP="002D11DD">
      <w:pPr>
        <w:spacing w:after="0" w:line="240" w:lineRule="auto"/>
        <w:ind w:left="1440" w:right="1440"/>
        <w:contextualSpacing/>
        <w:rPr>
          <w:rFonts w:ascii="Times New Roman" w:eastAsia="Times New Roman" w:hAnsi="Times New Roman" w:cs="Times New Roman"/>
          <w:sz w:val="26"/>
          <w:szCs w:val="26"/>
        </w:rPr>
      </w:pPr>
    </w:p>
    <w:p w14:paraId="0610BF28" w14:textId="77777777" w:rsidR="0049006C" w:rsidRPr="00D52B6E" w:rsidRDefault="0049006C" w:rsidP="0049006C">
      <w:pPr>
        <w:spacing w:after="0" w:line="240" w:lineRule="auto"/>
        <w:ind w:left="1440" w:right="1440"/>
        <w:contextualSpacing/>
        <w:rPr>
          <w:rFonts w:ascii="Times New Roman" w:eastAsia="Times New Roman" w:hAnsi="Times New Roman" w:cs="Times New Roman"/>
          <w:sz w:val="26"/>
          <w:szCs w:val="26"/>
        </w:rPr>
      </w:pPr>
      <w:r w:rsidRPr="00D52B6E">
        <w:rPr>
          <w:rFonts w:ascii="Times New Roman" w:eastAsia="Times New Roman" w:hAnsi="Times New Roman" w:cs="Times New Roman"/>
          <w:sz w:val="26"/>
          <w:szCs w:val="26"/>
        </w:rPr>
        <w:t xml:space="preserve">We have historically permitted the use of “black box” settlements as a means of promoting settlement among the parties in contentious base rate proceedings. </w:t>
      </w:r>
      <w:r>
        <w:rPr>
          <w:rFonts w:ascii="Times New Roman" w:eastAsia="Times New Roman" w:hAnsi="Times New Roman" w:cs="Times New Roman"/>
          <w:sz w:val="26"/>
          <w:szCs w:val="26"/>
        </w:rPr>
        <w:t xml:space="preserve"> </w:t>
      </w:r>
      <w:r w:rsidRPr="00D52B6E">
        <w:rPr>
          <w:rFonts w:ascii="Times New Roman" w:eastAsia="Times New Roman" w:hAnsi="Times New Roman" w:cs="Times New Roman"/>
          <w:sz w:val="26"/>
          <w:szCs w:val="26"/>
        </w:rPr>
        <w:t xml:space="preserve">Settlement of rate cases saves a significant amount of time and expense for customers, companies, and the Commission and often results in alternatives that may not have been realized during the litigation process. </w:t>
      </w:r>
      <w:r>
        <w:rPr>
          <w:rFonts w:ascii="Times New Roman" w:eastAsia="Times New Roman" w:hAnsi="Times New Roman" w:cs="Times New Roman"/>
          <w:sz w:val="26"/>
          <w:szCs w:val="26"/>
        </w:rPr>
        <w:t xml:space="preserve"> </w:t>
      </w:r>
      <w:r w:rsidRPr="00D52B6E">
        <w:rPr>
          <w:rFonts w:ascii="Times New Roman" w:eastAsia="Times New Roman" w:hAnsi="Times New Roman" w:cs="Times New Roman"/>
          <w:sz w:val="26"/>
          <w:szCs w:val="26"/>
        </w:rPr>
        <w:t xml:space="preserve">Determining a company’s revenue requirement is a calculation involving many complex and interrelated adjustments that affect expenses, depreciation, rate base, taxes and the company’s cost of capital. </w:t>
      </w:r>
      <w:r>
        <w:rPr>
          <w:rFonts w:ascii="Times New Roman" w:eastAsia="Times New Roman" w:hAnsi="Times New Roman" w:cs="Times New Roman"/>
          <w:sz w:val="26"/>
          <w:szCs w:val="26"/>
        </w:rPr>
        <w:t xml:space="preserve"> </w:t>
      </w:r>
      <w:r w:rsidRPr="00D52B6E">
        <w:rPr>
          <w:rFonts w:ascii="Times New Roman" w:eastAsia="Times New Roman" w:hAnsi="Times New Roman" w:cs="Times New Roman"/>
          <w:sz w:val="26"/>
          <w:szCs w:val="26"/>
        </w:rPr>
        <w:t>Reaching an agreement between various parties on each component of a rate increase can be difficult and impractical in many cases.</w:t>
      </w:r>
    </w:p>
    <w:p w14:paraId="4B820439" w14:textId="77777777" w:rsidR="0049006C" w:rsidRPr="00D52B6E" w:rsidRDefault="0049006C" w:rsidP="0049006C">
      <w:pPr>
        <w:spacing w:after="0" w:line="360" w:lineRule="auto"/>
        <w:ind w:left="1440" w:right="1440"/>
        <w:contextualSpacing/>
        <w:rPr>
          <w:rFonts w:ascii="Times New Roman" w:eastAsia="Times New Roman" w:hAnsi="Times New Roman" w:cs="Times New Roman"/>
          <w:sz w:val="26"/>
          <w:szCs w:val="26"/>
        </w:rPr>
      </w:pPr>
    </w:p>
    <w:p w14:paraId="55E8DC5E" w14:textId="658677B2" w:rsidR="0049006C" w:rsidRPr="00D52B6E" w:rsidRDefault="0049006C" w:rsidP="0049006C">
      <w:pPr>
        <w:spacing w:after="0" w:line="360" w:lineRule="auto"/>
        <w:rPr>
          <w:rFonts w:ascii="Times New Roman" w:eastAsia="Calibri" w:hAnsi="Times New Roman" w:cs="Times New Roman"/>
          <w:color w:val="000000"/>
          <w:sz w:val="26"/>
          <w:szCs w:val="26"/>
        </w:rPr>
      </w:pPr>
      <w:r w:rsidRPr="00D52B6E">
        <w:rPr>
          <w:rFonts w:ascii="Times New Roman" w:eastAsia="Calibri" w:hAnsi="Times New Roman" w:cs="Times New Roman"/>
          <w:i/>
          <w:color w:val="000000"/>
          <w:sz w:val="26"/>
          <w:szCs w:val="26"/>
        </w:rPr>
        <w:t>Peoples TWP</w:t>
      </w:r>
      <w:r w:rsidRPr="00D52B6E">
        <w:rPr>
          <w:rFonts w:ascii="Times New Roman" w:eastAsia="Calibri" w:hAnsi="Times New Roman" w:cs="Times New Roman"/>
          <w:color w:val="000000"/>
          <w:sz w:val="26"/>
          <w:szCs w:val="26"/>
        </w:rPr>
        <w:t>.</w:t>
      </w:r>
    </w:p>
    <w:p w14:paraId="615ADDEF" w14:textId="77777777" w:rsidR="0049006C" w:rsidRPr="00D52B6E" w:rsidRDefault="0049006C" w:rsidP="0049006C">
      <w:pPr>
        <w:suppressAutoHyphens/>
        <w:spacing w:after="0" w:line="360" w:lineRule="auto"/>
        <w:contextualSpacing/>
        <w:rPr>
          <w:rFonts w:ascii="Times New Roman" w:eastAsia="Times New Roman" w:hAnsi="Times New Roman" w:cs="Times New Roman"/>
          <w:sz w:val="26"/>
          <w:szCs w:val="26"/>
        </w:rPr>
      </w:pPr>
    </w:p>
    <w:p w14:paraId="43A69FAF" w14:textId="476B8014" w:rsidR="0049006C" w:rsidRPr="00E50052" w:rsidRDefault="0049006C" w:rsidP="0049006C">
      <w:pPr>
        <w:spacing w:after="0" w:line="360" w:lineRule="auto"/>
        <w:rPr>
          <w:rFonts w:ascii="Times New Roman" w:hAnsi="Times New Roman" w:cs="Times New Roman"/>
          <w:bCs/>
          <w:sz w:val="26"/>
          <w:szCs w:val="26"/>
        </w:rPr>
      </w:pPr>
      <w:r w:rsidRPr="00D52B6E">
        <w:rPr>
          <w:rFonts w:ascii="Times New Roman" w:hAnsi="Times New Roman" w:cs="Times New Roman"/>
          <w:sz w:val="26"/>
          <w:szCs w:val="26"/>
        </w:rPr>
        <w:tab/>
      </w:r>
      <w:r>
        <w:rPr>
          <w:rFonts w:ascii="Times New Roman" w:hAnsi="Times New Roman" w:cs="Times New Roman"/>
          <w:sz w:val="26"/>
          <w:szCs w:val="26"/>
        </w:rPr>
        <w:tab/>
      </w:r>
      <w:r w:rsidR="003529E7" w:rsidRPr="00D52B6E">
        <w:rPr>
          <w:rFonts w:ascii="Times New Roman" w:hAnsi="Times New Roman" w:cs="Times New Roman"/>
          <w:sz w:val="26"/>
          <w:szCs w:val="26"/>
        </w:rPr>
        <w:t>While the instant proceeding may have produced a “black box” settlement, we agree with the ALJ’s analysis and find that the terms and conditions reached by the Joint Petitioners achieve the appropriate balance between the interests of customers and the utility and result in rates which are just and reasonable and supported by substantial record evidence.</w:t>
      </w:r>
      <w:r w:rsidR="0023452F">
        <w:rPr>
          <w:rFonts w:ascii="Times New Roman" w:hAnsi="Times New Roman" w:cs="Times New Roman"/>
          <w:sz w:val="26"/>
          <w:szCs w:val="26"/>
        </w:rPr>
        <w:t xml:space="preserve">  </w:t>
      </w:r>
      <w:r w:rsidRPr="00D52B6E">
        <w:rPr>
          <w:rFonts w:ascii="Times New Roman" w:hAnsi="Times New Roman" w:cs="Times New Roman"/>
          <w:sz w:val="26"/>
          <w:szCs w:val="26"/>
        </w:rPr>
        <w:t xml:space="preserve">UGI Electric, I&amp;E, </w:t>
      </w:r>
      <w:r>
        <w:rPr>
          <w:rFonts w:ascii="Times New Roman" w:hAnsi="Times New Roman" w:cs="Times New Roman"/>
          <w:sz w:val="26"/>
          <w:szCs w:val="26"/>
        </w:rPr>
        <w:t xml:space="preserve">the </w:t>
      </w:r>
      <w:r w:rsidRPr="00D52B6E">
        <w:rPr>
          <w:rFonts w:ascii="Times New Roman" w:hAnsi="Times New Roman" w:cs="Times New Roman"/>
          <w:sz w:val="26"/>
          <w:szCs w:val="26"/>
        </w:rPr>
        <w:t xml:space="preserve">OCA, </w:t>
      </w:r>
      <w:r>
        <w:rPr>
          <w:rFonts w:ascii="Times New Roman" w:hAnsi="Times New Roman" w:cs="Times New Roman"/>
          <w:sz w:val="26"/>
          <w:szCs w:val="26"/>
        </w:rPr>
        <w:t xml:space="preserve">the </w:t>
      </w:r>
      <w:r w:rsidRPr="00D52B6E">
        <w:rPr>
          <w:rFonts w:ascii="Times New Roman" w:hAnsi="Times New Roman" w:cs="Times New Roman"/>
          <w:sz w:val="26"/>
          <w:szCs w:val="26"/>
        </w:rPr>
        <w:t xml:space="preserve">OSBA, CAUSE-PA, CEO, </w:t>
      </w:r>
      <w:r w:rsidRPr="00D52B6E">
        <w:rPr>
          <w:rFonts w:ascii="Times New Roman" w:hAnsi="Times New Roman" w:cs="Times New Roman"/>
          <w:sz w:val="26"/>
          <w:szCs w:val="26"/>
        </w:rPr>
        <w:lastRenderedPageBreak/>
        <w:t>ChargePoint</w:t>
      </w:r>
      <w:r w:rsidR="00E75FF3">
        <w:rPr>
          <w:rFonts w:ascii="Times New Roman" w:hAnsi="Times New Roman" w:cs="Times New Roman"/>
          <w:sz w:val="26"/>
          <w:szCs w:val="26"/>
        </w:rPr>
        <w:t>,</w:t>
      </w:r>
      <w:r w:rsidRPr="00D52B6E">
        <w:rPr>
          <w:rFonts w:ascii="Times New Roman" w:hAnsi="Times New Roman" w:cs="Times New Roman"/>
          <w:sz w:val="26"/>
          <w:szCs w:val="26"/>
        </w:rPr>
        <w:t xml:space="preserve"> and RESA/NRG all filed </w:t>
      </w:r>
      <w:r>
        <w:rPr>
          <w:rFonts w:ascii="Times New Roman" w:hAnsi="Times New Roman" w:cs="Times New Roman"/>
          <w:sz w:val="26"/>
          <w:szCs w:val="26"/>
        </w:rPr>
        <w:t>S</w:t>
      </w:r>
      <w:r w:rsidRPr="00D52B6E">
        <w:rPr>
          <w:rFonts w:ascii="Times New Roman" w:hAnsi="Times New Roman" w:cs="Times New Roman"/>
          <w:sz w:val="26"/>
          <w:szCs w:val="26"/>
        </w:rPr>
        <w:t xml:space="preserve">tatements in </w:t>
      </w:r>
      <w:r>
        <w:rPr>
          <w:rFonts w:ascii="Times New Roman" w:hAnsi="Times New Roman" w:cs="Times New Roman"/>
          <w:sz w:val="26"/>
          <w:szCs w:val="26"/>
        </w:rPr>
        <w:t>S</w:t>
      </w:r>
      <w:r w:rsidRPr="00D52B6E">
        <w:rPr>
          <w:rFonts w:ascii="Times New Roman" w:hAnsi="Times New Roman" w:cs="Times New Roman"/>
          <w:sz w:val="26"/>
          <w:szCs w:val="26"/>
        </w:rPr>
        <w:t xml:space="preserve">upport of approving the negotiated </w:t>
      </w:r>
      <w:r>
        <w:rPr>
          <w:rFonts w:ascii="Times New Roman" w:hAnsi="Times New Roman" w:cs="Times New Roman"/>
          <w:sz w:val="26"/>
          <w:szCs w:val="26"/>
        </w:rPr>
        <w:t>S</w:t>
      </w:r>
      <w:r w:rsidRPr="00D52B6E">
        <w:rPr>
          <w:rFonts w:ascii="Times New Roman" w:hAnsi="Times New Roman" w:cs="Times New Roman"/>
          <w:sz w:val="26"/>
          <w:szCs w:val="26"/>
        </w:rPr>
        <w:t xml:space="preserve">ettlement in this case without modification. </w:t>
      </w:r>
      <w:r w:rsidR="00E75FF3">
        <w:rPr>
          <w:rFonts w:ascii="Times New Roman" w:hAnsi="Times New Roman" w:cs="Times New Roman"/>
          <w:sz w:val="26"/>
          <w:szCs w:val="26"/>
        </w:rPr>
        <w:t xml:space="preserve"> </w:t>
      </w:r>
      <w:r w:rsidRPr="00D52B6E">
        <w:rPr>
          <w:rFonts w:ascii="Times New Roman" w:hAnsi="Times New Roman" w:cs="Times New Roman"/>
          <w:bCs/>
          <w:sz w:val="26"/>
          <w:szCs w:val="26"/>
        </w:rPr>
        <w:t xml:space="preserve">The individual Statements in Support address how the </w:t>
      </w:r>
      <w:r>
        <w:rPr>
          <w:rFonts w:ascii="Times New Roman" w:hAnsi="Times New Roman" w:cs="Times New Roman"/>
          <w:bCs/>
          <w:sz w:val="26"/>
          <w:szCs w:val="26"/>
        </w:rPr>
        <w:t>S</w:t>
      </w:r>
      <w:r w:rsidRPr="00D52B6E">
        <w:rPr>
          <w:rFonts w:ascii="Times New Roman" w:hAnsi="Times New Roman" w:cs="Times New Roman"/>
          <w:bCs/>
          <w:sz w:val="26"/>
          <w:szCs w:val="26"/>
        </w:rPr>
        <w:t xml:space="preserve">ettlement is consistent with Commission policy encouraging settlements as a means of reducing the time and expense that would otherwise be expended by the parties in fully litigated proceedings. </w:t>
      </w:r>
      <w:r w:rsidR="00E75FF3">
        <w:rPr>
          <w:rFonts w:ascii="Times New Roman" w:hAnsi="Times New Roman" w:cs="Times New Roman"/>
          <w:bCs/>
          <w:sz w:val="26"/>
          <w:szCs w:val="26"/>
        </w:rPr>
        <w:t xml:space="preserve"> </w:t>
      </w:r>
      <w:r w:rsidRPr="00D52B6E">
        <w:rPr>
          <w:rFonts w:ascii="Times New Roman" w:hAnsi="Times New Roman" w:cs="Times New Roman"/>
          <w:bCs/>
          <w:sz w:val="26"/>
          <w:szCs w:val="26"/>
        </w:rPr>
        <w:t xml:space="preserve">The Joint Petitioners submit that the </w:t>
      </w:r>
      <w:r w:rsidR="00813940">
        <w:rPr>
          <w:rFonts w:ascii="Times New Roman" w:hAnsi="Times New Roman" w:cs="Times New Roman"/>
          <w:bCs/>
          <w:sz w:val="26"/>
          <w:szCs w:val="26"/>
        </w:rPr>
        <w:t>S</w:t>
      </w:r>
      <w:r w:rsidRPr="00D52B6E">
        <w:rPr>
          <w:rFonts w:ascii="Times New Roman" w:hAnsi="Times New Roman" w:cs="Times New Roman"/>
          <w:bCs/>
          <w:sz w:val="26"/>
          <w:szCs w:val="26"/>
        </w:rPr>
        <w:t>ettlement reflects a compromise of positions and therefore satisfies the public interest review when evaluating settlements.</w:t>
      </w:r>
      <w:r>
        <w:rPr>
          <w:rFonts w:ascii="Times New Roman" w:hAnsi="Times New Roman" w:cs="Times New Roman"/>
          <w:bCs/>
          <w:sz w:val="26"/>
          <w:szCs w:val="26"/>
        </w:rPr>
        <w:t xml:space="preserve"> </w:t>
      </w:r>
      <w:r w:rsidR="00E75FF3">
        <w:rPr>
          <w:rFonts w:ascii="Times New Roman" w:hAnsi="Times New Roman" w:cs="Times New Roman"/>
          <w:bCs/>
          <w:sz w:val="26"/>
          <w:szCs w:val="26"/>
        </w:rPr>
        <w:t xml:space="preserve"> </w:t>
      </w:r>
      <w:r w:rsidRPr="00E50052">
        <w:rPr>
          <w:rFonts w:ascii="Times New Roman" w:hAnsi="Times New Roman" w:cs="Times New Roman"/>
          <w:bCs/>
          <w:i/>
          <w:sz w:val="26"/>
          <w:szCs w:val="26"/>
        </w:rPr>
        <w:t>See</w:t>
      </w:r>
      <w:r w:rsidR="00E50052">
        <w:rPr>
          <w:rFonts w:ascii="Times New Roman" w:hAnsi="Times New Roman" w:cs="Times New Roman"/>
          <w:bCs/>
          <w:i/>
          <w:sz w:val="26"/>
          <w:szCs w:val="26"/>
        </w:rPr>
        <w:t xml:space="preserve"> </w:t>
      </w:r>
      <w:r w:rsidR="00E50052">
        <w:rPr>
          <w:rFonts w:ascii="Times New Roman" w:hAnsi="Times New Roman" w:cs="Times New Roman"/>
          <w:bCs/>
          <w:iCs/>
          <w:sz w:val="26"/>
          <w:szCs w:val="26"/>
        </w:rPr>
        <w:t>Joint Petition,</w:t>
      </w:r>
      <w:r w:rsidRPr="00E50052">
        <w:rPr>
          <w:rFonts w:ascii="Times New Roman" w:hAnsi="Times New Roman" w:cs="Times New Roman"/>
          <w:bCs/>
          <w:sz w:val="26"/>
          <w:szCs w:val="26"/>
        </w:rPr>
        <w:t xml:space="preserve"> Appendices F, G, H, I, J, K, L and M.</w:t>
      </w:r>
    </w:p>
    <w:p w14:paraId="6A48E82B" w14:textId="77777777" w:rsidR="0049006C" w:rsidRPr="00D52B6E" w:rsidRDefault="0049006C" w:rsidP="0049006C">
      <w:pPr>
        <w:spacing w:after="0" w:line="360" w:lineRule="auto"/>
        <w:rPr>
          <w:rFonts w:ascii="Times New Roman" w:hAnsi="Times New Roman" w:cs="Times New Roman"/>
          <w:bCs/>
          <w:sz w:val="26"/>
          <w:szCs w:val="26"/>
        </w:rPr>
      </w:pPr>
    </w:p>
    <w:p w14:paraId="09FFB388" w14:textId="637CC133" w:rsidR="0049006C" w:rsidRDefault="0049006C" w:rsidP="0049006C">
      <w:pPr>
        <w:spacing w:after="0" w:line="360" w:lineRule="auto"/>
        <w:ind w:left="720" w:firstLine="720"/>
        <w:rPr>
          <w:rFonts w:ascii="Times New Roman" w:hAnsi="Times New Roman" w:cs="Times New Roman"/>
          <w:sz w:val="26"/>
          <w:szCs w:val="26"/>
        </w:rPr>
      </w:pPr>
      <w:r w:rsidRPr="00D52B6E">
        <w:rPr>
          <w:rFonts w:ascii="Times New Roman" w:hAnsi="Times New Roman" w:cs="Times New Roman"/>
          <w:bCs/>
          <w:sz w:val="26"/>
          <w:szCs w:val="26"/>
        </w:rPr>
        <w:t>Specifically, the Joint Petitioners</w:t>
      </w:r>
      <w:r w:rsidRPr="00D52B6E">
        <w:rPr>
          <w:rFonts w:ascii="Times New Roman" w:hAnsi="Times New Roman" w:cs="Times New Roman"/>
          <w:sz w:val="26"/>
          <w:szCs w:val="26"/>
        </w:rPr>
        <w:t xml:space="preserve"> a</w:t>
      </w:r>
      <w:r w:rsidR="00F50813">
        <w:rPr>
          <w:rFonts w:ascii="Times New Roman" w:hAnsi="Times New Roman" w:cs="Times New Roman"/>
          <w:sz w:val="26"/>
          <w:szCs w:val="26"/>
        </w:rPr>
        <w:t>ver</w:t>
      </w:r>
      <w:r w:rsidRPr="00D52B6E">
        <w:rPr>
          <w:rFonts w:ascii="Times New Roman" w:hAnsi="Times New Roman" w:cs="Times New Roman"/>
          <w:sz w:val="26"/>
          <w:szCs w:val="26"/>
        </w:rPr>
        <w:t xml:space="preserve"> th</w:t>
      </w:r>
      <w:r w:rsidR="00F50813">
        <w:rPr>
          <w:rFonts w:ascii="Times New Roman" w:hAnsi="Times New Roman" w:cs="Times New Roman"/>
          <w:sz w:val="26"/>
          <w:szCs w:val="26"/>
        </w:rPr>
        <w:t>e following</w:t>
      </w:r>
      <w:r w:rsidRPr="00D52B6E">
        <w:rPr>
          <w:rFonts w:ascii="Times New Roman" w:hAnsi="Times New Roman" w:cs="Times New Roman"/>
          <w:sz w:val="26"/>
          <w:szCs w:val="26"/>
        </w:rPr>
        <w:t>:</w:t>
      </w:r>
    </w:p>
    <w:p w14:paraId="31973030" w14:textId="77777777" w:rsidR="0049006C" w:rsidRPr="00D52B6E" w:rsidRDefault="0049006C" w:rsidP="003B394C">
      <w:pPr>
        <w:spacing w:after="0" w:line="240" w:lineRule="auto"/>
        <w:ind w:left="720" w:firstLine="720"/>
        <w:rPr>
          <w:rFonts w:ascii="Times New Roman" w:hAnsi="Times New Roman" w:cs="Times New Roman"/>
          <w:sz w:val="26"/>
          <w:szCs w:val="26"/>
        </w:rPr>
      </w:pPr>
    </w:p>
    <w:p w14:paraId="10207BBB" w14:textId="464A35AC" w:rsidR="0049006C" w:rsidRPr="00D52B6E" w:rsidRDefault="0049006C" w:rsidP="0049006C">
      <w:pPr>
        <w:spacing w:after="0" w:line="360" w:lineRule="auto"/>
        <w:ind w:firstLine="1440"/>
        <w:rPr>
          <w:rFonts w:ascii="Times New Roman" w:hAnsi="Times New Roman" w:cs="Times New Roman"/>
          <w:sz w:val="26"/>
          <w:szCs w:val="26"/>
        </w:rPr>
      </w:pPr>
      <w:r w:rsidRPr="00D52B6E">
        <w:rPr>
          <w:rFonts w:ascii="Times New Roman" w:hAnsi="Times New Roman" w:cs="Times New Roman"/>
          <w:sz w:val="26"/>
          <w:szCs w:val="26"/>
        </w:rPr>
        <w:t xml:space="preserve">1. </w:t>
      </w:r>
      <w:r w:rsidR="00E61091">
        <w:rPr>
          <w:rFonts w:ascii="Times New Roman" w:hAnsi="Times New Roman" w:cs="Times New Roman"/>
          <w:sz w:val="26"/>
          <w:szCs w:val="26"/>
        </w:rPr>
        <w:t xml:space="preserve"> </w:t>
      </w:r>
      <w:r w:rsidR="003B394C">
        <w:rPr>
          <w:rFonts w:ascii="Times New Roman" w:hAnsi="Times New Roman" w:cs="Times New Roman"/>
          <w:sz w:val="26"/>
          <w:szCs w:val="26"/>
        </w:rPr>
        <w:tab/>
      </w:r>
      <w:r w:rsidR="00E61091">
        <w:rPr>
          <w:rFonts w:ascii="Times New Roman" w:hAnsi="Times New Roman" w:cs="Times New Roman"/>
          <w:sz w:val="26"/>
          <w:szCs w:val="26"/>
        </w:rPr>
        <w:t>T</w:t>
      </w:r>
      <w:r w:rsidRPr="00D52B6E">
        <w:rPr>
          <w:rFonts w:ascii="Times New Roman" w:hAnsi="Times New Roman" w:cs="Times New Roman"/>
          <w:sz w:val="26"/>
          <w:szCs w:val="26"/>
        </w:rPr>
        <w:t xml:space="preserve">he compromise rate and revenue levels outlined in the </w:t>
      </w:r>
      <w:r w:rsidR="00254BA1">
        <w:rPr>
          <w:rFonts w:ascii="Times New Roman" w:hAnsi="Times New Roman" w:cs="Times New Roman"/>
          <w:sz w:val="26"/>
          <w:szCs w:val="26"/>
        </w:rPr>
        <w:t>S</w:t>
      </w:r>
      <w:r w:rsidRPr="00D52B6E">
        <w:rPr>
          <w:rFonts w:ascii="Times New Roman" w:hAnsi="Times New Roman" w:cs="Times New Roman"/>
          <w:sz w:val="26"/>
          <w:szCs w:val="26"/>
        </w:rPr>
        <w:t>ettlement will produce an adequate return on invested capital to ensure UGI Electric’s ability to deliver safe and reliable electric service to its customers; provide sufficient operating revenues to meet operating expenses, taxes and other charges; enable UGI Electric to maintain its creditworthiness at a level sufficient to raise necessary capital, while also providing a reasonable rate of return on its investment in electric property; and adequately address system reliability and other operational issues</w:t>
      </w:r>
      <w:r w:rsidRPr="00D52B6E">
        <w:rPr>
          <w:rFonts w:ascii="Times New Roman" w:hAnsi="Times New Roman" w:cs="Times New Roman"/>
          <w:bCs/>
          <w:sz w:val="26"/>
          <w:szCs w:val="26"/>
        </w:rPr>
        <w:t>.</w:t>
      </w:r>
    </w:p>
    <w:p w14:paraId="493763B0" w14:textId="77777777" w:rsidR="0049006C" w:rsidRPr="00D52B6E" w:rsidRDefault="0049006C" w:rsidP="0049006C">
      <w:pPr>
        <w:spacing w:after="0" w:line="360" w:lineRule="auto"/>
        <w:rPr>
          <w:rFonts w:ascii="Times New Roman" w:hAnsi="Times New Roman" w:cs="Times New Roman"/>
          <w:sz w:val="26"/>
          <w:szCs w:val="26"/>
        </w:rPr>
      </w:pPr>
    </w:p>
    <w:p w14:paraId="6CF83DF6" w14:textId="27F9D928" w:rsidR="0049006C" w:rsidRPr="00D52B6E" w:rsidRDefault="0049006C" w:rsidP="0049006C">
      <w:pPr>
        <w:spacing w:after="0" w:line="360" w:lineRule="auto"/>
        <w:ind w:firstLine="1440"/>
        <w:rPr>
          <w:rFonts w:ascii="Times New Roman" w:hAnsi="Times New Roman" w:cs="Times New Roman"/>
          <w:sz w:val="26"/>
          <w:szCs w:val="26"/>
        </w:rPr>
      </w:pPr>
      <w:r w:rsidRPr="00D52B6E">
        <w:rPr>
          <w:rFonts w:ascii="Times New Roman" w:hAnsi="Times New Roman" w:cs="Times New Roman"/>
          <w:sz w:val="26"/>
          <w:szCs w:val="26"/>
        </w:rPr>
        <w:t xml:space="preserve">2. </w:t>
      </w:r>
      <w:r w:rsidR="00E61091">
        <w:rPr>
          <w:rFonts w:ascii="Times New Roman" w:hAnsi="Times New Roman" w:cs="Times New Roman"/>
          <w:sz w:val="26"/>
          <w:szCs w:val="26"/>
        </w:rPr>
        <w:t xml:space="preserve"> </w:t>
      </w:r>
      <w:r w:rsidR="003B394C">
        <w:rPr>
          <w:rFonts w:ascii="Times New Roman" w:hAnsi="Times New Roman" w:cs="Times New Roman"/>
          <w:sz w:val="26"/>
          <w:szCs w:val="26"/>
        </w:rPr>
        <w:tab/>
      </w:r>
      <w:r w:rsidR="00E61091">
        <w:rPr>
          <w:rFonts w:ascii="Times New Roman" w:hAnsi="Times New Roman" w:cs="Times New Roman"/>
          <w:sz w:val="26"/>
          <w:szCs w:val="26"/>
        </w:rPr>
        <w:t>T</w:t>
      </w:r>
      <w:r w:rsidRPr="00D52B6E">
        <w:rPr>
          <w:rFonts w:ascii="Times New Roman" w:hAnsi="Times New Roman" w:cs="Times New Roman"/>
          <w:sz w:val="26"/>
          <w:szCs w:val="26"/>
        </w:rPr>
        <w:t xml:space="preserve">hat, through discovery and negotiation, the compromise revenue increase balances the interests of UGI Electric and its customers </w:t>
      </w:r>
      <w:proofErr w:type="gramStart"/>
      <w:r w:rsidRPr="00D52B6E">
        <w:rPr>
          <w:rFonts w:ascii="Times New Roman" w:hAnsi="Times New Roman" w:cs="Times New Roman"/>
          <w:sz w:val="26"/>
          <w:szCs w:val="26"/>
        </w:rPr>
        <w:t>inasmuch as</w:t>
      </w:r>
      <w:proofErr w:type="gramEnd"/>
      <w:r w:rsidRPr="00D52B6E">
        <w:rPr>
          <w:rFonts w:ascii="Times New Roman" w:hAnsi="Times New Roman" w:cs="Times New Roman"/>
          <w:sz w:val="26"/>
          <w:szCs w:val="26"/>
        </w:rPr>
        <w:t xml:space="preserve"> UGI Electric will receive sufficient operating funds to provide safe and adequate service while ratepayers benefit from a reduction in the initial rate increase request.</w:t>
      </w:r>
    </w:p>
    <w:p w14:paraId="0A6DFD35" w14:textId="77777777" w:rsidR="0049006C" w:rsidRPr="00D52B6E" w:rsidRDefault="0049006C" w:rsidP="0049006C">
      <w:pPr>
        <w:spacing w:after="0" w:line="360" w:lineRule="auto"/>
        <w:ind w:firstLine="720"/>
        <w:rPr>
          <w:rFonts w:ascii="Times New Roman" w:hAnsi="Times New Roman" w:cs="Times New Roman"/>
          <w:sz w:val="26"/>
          <w:szCs w:val="26"/>
        </w:rPr>
      </w:pPr>
    </w:p>
    <w:p w14:paraId="38979107" w14:textId="370CACEC" w:rsidR="0049006C" w:rsidRPr="00D52B6E" w:rsidRDefault="0049006C" w:rsidP="0049006C">
      <w:pPr>
        <w:spacing w:after="0" w:line="360" w:lineRule="auto"/>
        <w:ind w:firstLine="1440"/>
        <w:rPr>
          <w:rFonts w:ascii="Times New Roman" w:hAnsi="Times New Roman" w:cs="Times New Roman"/>
          <w:sz w:val="26"/>
          <w:szCs w:val="26"/>
        </w:rPr>
      </w:pPr>
      <w:r w:rsidRPr="00D52B6E">
        <w:rPr>
          <w:rFonts w:ascii="Times New Roman" w:hAnsi="Times New Roman" w:cs="Times New Roman"/>
          <w:sz w:val="26"/>
          <w:szCs w:val="26"/>
        </w:rPr>
        <w:t xml:space="preserve">3. </w:t>
      </w:r>
      <w:r w:rsidR="00E61091">
        <w:rPr>
          <w:rFonts w:ascii="Times New Roman" w:hAnsi="Times New Roman" w:cs="Times New Roman"/>
          <w:sz w:val="26"/>
          <w:szCs w:val="26"/>
        </w:rPr>
        <w:t xml:space="preserve"> </w:t>
      </w:r>
      <w:r w:rsidR="003B394C">
        <w:rPr>
          <w:rFonts w:ascii="Times New Roman" w:hAnsi="Times New Roman" w:cs="Times New Roman"/>
          <w:sz w:val="26"/>
          <w:szCs w:val="26"/>
        </w:rPr>
        <w:tab/>
      </w:r>
      <w:r w:rsidR="00E61091">
        <w:rPr>
          <w:rFonts w:ascii="Times New Roman" w:hAnsi="Times New Roman" w:cs="Times New Roman"/>
          <w:sz w:val="26"/>
          <w:szCs w:val="26"/>
        </w:rPr>
        <w:t>T</w:t>
      </w:r>
      <w:r w:rsidRPr="00D52B6E">
        <w:rPr>
          <w:rFonts w:ascii="Times New Roman" w:hAnsi="Times New Roman" w:cs="Times New Roman"/>
          <w:sz w:val="26"/>
          <w:szCs w:val="26"/>
        </w:rPr>
        <w:t xml:space="preserve">hat the negotiated agreements embodied in the </w:t>
      </w:r>
      <w:r w:rsidR="00200594">
        <w:rPr>
          <w:rFonts w:ascii="Times New Roman" w:hAnsi="Times New Roman" w:cs="Times New Roman"/>
          <w:sz w:val="26"/>
          <w:szCs w:val="26"/>
        </w:rPr>
        <w:t>S</w:t>
      </w:r>
      <w:r w:rsidRPr="00D52B6E">
        <w:rPr>
          <w:rFonts w:ascii="Times New Roman" w:hAnsi="Times New Roman" w:cs="Times New Roman"/>
          <w:sz w:val="26"/>
          <w:szCs w:val="26"/>
        </w:rPr>
        <w:t>ettlement reflect a difficult but reasonable compromise in the context of the extraordinary circumstances of the C</w:t>
      </w:r>
      <w:r w:rsidR="00EC0A6D">
        <w:rPr>
          <w:rFonts w:ascii="Times New Roman" w:hAnsi="Times New Roman" w:cs="Times New Roman"/>
          <w:sz w:val="26"/>
          <w:szCs w:val="26"/>
        </w:rPr>
        <w:t>OVID</w:t>
      </w:r>
      <w:r w:rsidRPr="00D52B6E">
        <w:rPr>
          <w:rFonts w:ascii="Times New Roman" w:hAnsi="Times New Roman" w:cs="Times New Roman"/>
          <w:sz w:val="26"/>
          <w:szCs w:val="26"/>
        </w:rPr>
        <w:t>-19 pandemic.</w:t>
      </w:r>
    </w:p>
    <w:p w14:paraId="29A38AEB" w14:textId="77777777" w:rsidR="0049006C" w:rsidRPr="00D52B6E" w:rsidRDefault="0049006C" w:rsidP="0049006C">
      <w:pPr>
        <w:spacing w:after="0" w:line="360" w:lineRule="auto"/>
        <w:ind w:firstLine="720"/>
        <w:rPr>
          <w:rFonts w:ascii="Times New Roman" w:hAnsi="Times New Roman" w:cs="Times New Roman"/>
          <w:sz w:val="26"/>
          <w:szCs w:val="26"/>
        </w:rPr>
      </w:pPr>
    </w:p>
    <w:p w14:paraId="7E1BE12C" w14:textId="7C52A7F5" w:rsidR="0049006C" w:rsidRPr="00A84E51" w:rsidRDefault="0049006C" w:rsidP="00E61091">
      <w:pPr>
        <w:spacing w:after="0" w:line="360" w:lineRule="auto"/>
        <w:ind w:firstLine="1440"/>
        <w:rPr>
          <w:rFonts w:ascii="Times New Roman" w:hAnsi="Times New Roman" w:cs="Times New Roman"/>
          <w:sz w:val="26"/>
          <w:szCs w:val="26"/>
        </w:rPr>
      </w:pPr>
      <w:r w:rsidRPr="00D52B6E">
        <w:rPr>
          <w:rFonts w:ascii="Times New Roman" w:hAnsi="Times New Roman" w:cs="Times New Roman"/>
          <w:sz w:val="26"/>
          <w:szCs w:val="26"/>
        </w:rPr>
        <w:lastRenderedPageBreak/>
        <w:t xml:space="preserve">4. </w:t>
      </w:r>
      <w:r w:rsidR="00E61091">
        <w:rPr>
          <w:rFonts w:ascii="Times New Roman" w:hAnsi="Times New Roman" w:cs="Times New Roman"/>
          <w:sz w:val="26"/>
          <w:szCs w:val="26"/>
        </w:rPr>
        <w:t xml:space="preserve"> </w:t>
      </w:r>
      <w:r w:rsidR="003B394C">
        <w:rPr>
          <w:rFonts w:ascii="Times New Roman" w:hAnsi="Times New Roman" w:cs="Times New Roman"/>
          <w:sz w:val="26"/>
          <w:szCs w:val="26"/>
        </w:rPr>
        <w:tab/>
      </w:r>
      <w:r w:rsidR="00E61091">
        <w:rPr>
          <w:rFonts w:ascii="Times New Roman" w:hAnsi="Times New Roman" w:cs="Times New Roman"/>
          <w:sz w:val="26"/>
          <w:szCs w:val="26"/>
        </w:rPr>
        <w:t>T</w:t>
      </w:r>
      <w:r w:rsidRPr="00D52B6E">
        <w:rPr>
          <w:rFonts w:ascii="Times New Roman" w:hAnsi="Times New Roman" w:cs="Times New Roman"/>
          <w:sz w:val="26"/>
          <w:szCs w:val="26"/>
        </w:rPr>
        <w:t xml:space="preserve">hat the </w:t>
      </w:r>
      <w:r w:rsidR="00E45BE3">
        <w:rPr>
          <w:rFonts w:ascii="Times New Roman" w:hAnsi="Times New Roman" w:cs="Times New Roman"/>
          <w:sz w:val="26"/>
          <w:szCs w:val="26"/>
        </w:rPr>
        <w:t>S</w:t>
      </w:r>
      <w:r w:rsidRPr="00D52B6E">
        <w:rPr>
          <w:rFonts w:ascii="Times New Roman" w:hAnsi="Times New Roman" w:cs="Times New Roman"/>
          <w:sz w:val="26"/>
          <w:szCs w:val="26"/>
        </w:rPr>
        <w:t xml:space="preserve">ettlement </w:t>
      </w:r>
      <w:proofErr w:type="gramStart"/>
      <w:r w:rsidRPr="00D52B6E">
        <w:rPr>
          <w:rFonts w:ascii="Times New Roman" w:hAnsi="Times New Roman" w:cs="Times New Roman"/>
          <w:sz w:val="26"/>
          <w:szCs w:val="26"/>
        </w:rPr>
        <w:t>as a whole achieves</w:t>
      </w:r>
      <w:proofErr w:type="gramEnd"/>
      <w:r w:rsidRPr="00D52B6E">
        <w:rPr>
          <w:rFonts w:ascii="Times New Roman" w:hAnsi="Times New Roman" w:cs="Times New Roman"/>
          <w:sz w:val="26"/>
          <w:szCs w:val="26"/>
        </w:rPr>
        <w:t xml:space="preserve"> rates which are just and reasonable and necessary for UGI Electric to provide safe and adequate service to its customers, and therefore, is in the public interest.</w:t>
      </w:r>
      <w:r w:rsidR="00E61091">
        <w:rPr>
          <w:rFonts w:ascii="Times New Roman" w:hAnsi="Times New Roman" w:cs="Times New Roman"/>
          <w:sz w:val="26"/>
          <w:szCs w:val="26"/>
        </w:rPr>
        <w:t xml:space="preserve">  </w:t>
      </w:r>
      <w:r w:rsidRPr="00A84E51">
        <w:rPr>
          <w:rFonts w:ascii="Times New Roman" w:hAnsi="Times New Roman" w:cs="Times New Roman"/>
          <w:i/>
          <w:sz w:val="26"/>
          <w:szCs w:val="26"/>
        </w:rPr>
        <w:t xml:space="preserve">See </w:t>
      </w:r>
      <w:r w:rsidRPr="00A84E51">
        <w:rPr>
          <w:rFonts w:ascii="Times New Roman" w:hAnsi="Times New Roman" w:cs="Times New Roman"/>
          <w:sz w:val="26"/>
          <w:szCs w:val="26"/>
        </w:rPr>
        <w:t>Joint Petition</w:t>
      </w:r>
      <w:r w:rsidR="00E61091" w:rsidRPr="00A84E51">
        <w:rPr>
          <w:rFonts w:ascii="Times New Roman" w:hAnsi="Times New Roman" w:cs="Times New Roman"/>
          <w:sz w:val="26"/>
          <w:szCs w:val="26"/>
        </w:rPr>
        <w:t xml:space="preserve"> at</w:t>
      </w:r>
      <w:r w:rsidRPr="00A84E51">
        <w:rPr>
          <w:rFonts w:ascii="Times New Roman" w:hAnsi="Times New Roman" w:cs="Times New Roman"/>
          <w:sz w:val="26"/>
          <w:szCs w:val="26"/>
        </w:rPr>
        <w:t xml:space="preserve"> 7-18; </w:t>
      </w:r>
      <w:r w:rsidR="004144B8" w:rsidRPr="00A84E51">
        <w:rPr>
          <w:rFonts w:ascii="Times New Roman" w:hAnsi="Times New Roman" w:cs="Times New Roman"/>
          <w:sz w:val="26"/>
          <w:szCs w:val="26"/>
        </w:rPr>
        <w:t>UGI Electric Statement in Support at</w:t>
      </w:r>
      <w:r w:rsidRPr="00A84E51">
        <w:rPr>
          <w:rFonts w:ascii="Times New Roman" w:hAnsi="Times New Roman" w:cs="Times New Roman"/>
          <w:sz w:val="26"/>
          <w:szCs w:val="26"/>
        </w:rPr>
        <w:t xml:space="preserve"> 5-10, 13-15, 20-25, 27, 31-32</w:t>
      </w:r>
      <w:r w:rsidR="00001785" w:rsidRPr="00A84E51">
        <w:rPr>
          <w:rFonts w:ascii="Times New Roman" w:hAnsi="Times New Roman" w:cs="Times New Roman"/>
          <w:sz w:val="26"/>
          <w:szCs w:val="26"/>
        </w:rPr>
        <w:t>,</w:t>
      </w:r>
      <w:r w:rsidRPr="00A84E51">
        <w:rPr>
          <w:rFonts w:ascii="Times New Roman" w:hAnsi="Times New Roman" w:cs="Times New Roman"/>
          <w:sz w:val="26"/>
          <w:szCs w:val="26"/>
        </w:rPr>
        <w:t xml:space="preserve"> 40; </w:t>
      </w:r>
      <w:r w:rsidR="00D3000A" w:rsidRPr="00A84E51">
        <w:rPr>
          <w:rFonts w:ascii="Times New Roman" w:hAnsi="Times New Roman" w:cs="Times New Roman"/>
          <w:sz w:val="26"/>
          <w:szCs w:val="26"/>
        </w:rPr>
        <w:t>I&amp;E Statement in Support at</w:t>
      </w:r>
      <w:r w:rsidR="002D11DD">
        <w:rPr>
          <w:rFonts w:ascii="Times New Roman" w:hAnsi="Times New Roman" w:cs="Times New Roman"/>
          <w:sz w:val="26"/>
          <w:szCs w:val="26"/>
        </w:rPr>
        <w:t> </w:t>
      </w:r>
      <w:r w:rsidRPr="00A84E51">
        <w:rPr>
          <w:rFonts w:ascii="Times New Roman" w:hAnsi="Times New Roman" w:cs="Times New Roman"/>
          <w:sz w:val="26"/>
          <w:szCs w:val="26"/>
        </w:rPr>
        <w:t>8</w:t>
      </w:r>
      <w:r w:rsidR="002D11DD">
        <w:rPr>
          <w:rFonts w:ascii="Times New Roman" w:hAnsi="Times New Roman" w:cs="Times New Roman"/>
          <w:sz w:val="26"/>
          <w:szCs w:val="26"/>
        </w:rPr>
        <w:noBreakHyphen/>
      </w:r>
      <w:r w:rsidRPr="00A84E51">
        <w:rPr>
          <w:rFonts w:ascii="Times New Roman" w:hAnsi="Times New Roman" w:cs="Times New Roman"/>
          <w:sz w:val="26"/>
          <w:szCs w:val="26"/>
        </w:rPr>
        <w:t>11</w:t>
      </w:r>
      <w:r w:rsidR="00D3000A" w:rsidRPr="00A84E51">
        <w:rPr>
          <w:rFonts w:ascii="Times New Roman" w:hAnsi="Times New Roman" w:cs="Times New Roman"/>
          <w:sz w:val="26"/>
          <w:szCs w:val="26"/>
        </w:rPr>
        <w:t>,</w:t>
      </w:r>
      <w:r w:rsidRPr="00A84E51">
        <w:rPr>
          <w:rFonts w:ascii="Times New Roman" w:hAnsi="Times New Roman" w:cs="Times New Roman"/>
          <w:sz w:val="26"/>
          <w:szCs w:val="26"/>
        </w:rPr>
        <w:t xml:space="preserve"> 34; </w:t>
      </w:r>
      <w:r w:rsidR="00972FA1" w:rsidRPr="00A84E51">
        <w:rPr>
          <w:rFonts w:ascii="Times New Roman" w:hAnsi="Times New Roman" w:cs="Times New Roman"/>
          <w:sz w:val="26"/>
          <w:szCs w:val="26"/>
        </w:rPr>
        <w:t>OCA Statement in Support at</w:t>
      </w:r>
      <w:r w:rsidRPr="00A84E51">
        <w:rPr>
          <w:rFonts w:ascii="Times New Roman" w:hAnsi="Times New Roman" w:cs="Times New Roman"/>
          <w:sz w:val="26"/>
          <w:szCs w:val="26"/>
        </w:rPr>
        <w:t xml:space="preserve"> 6-8</w:t>
      </w:r>
      <w:r w:rsidR="00972FA1" w:rsidRPr="00A84E51">
        <w:rPr>
          <w:rFonts w:ascii="Times New Roman" w:hAnsi="Times New Roman" w:cs="Times New Roman"/>
          <w:sz w:val="26"/>
          <w:szCs w:val="26"/>
        </w:rPr>
        <w:t>,</w:t>
      </w:r>
      <w:r w:rsidRPr="00A84E51">
        <w:rPr>
          <w:rFonts w:ascii="Times New Roman" w:hAnsi="Times New Roman" w:cs="Times New Roman"/>
          <w:sz w:val="26"/>
          <w:szCs w:val="26"/>
        </w:rPr>
        <w:t xml:space="preserve"> 13; </w:t>
      </w:r>
      <w:r w:rsidR="00B335E9" w:rsidRPr="00A84E51">
        <w:rPr>
          <w:rFonts w:ascii="Times New Roman" w:hAnsi="Times New Roman" w:cs="Times New Roman"/>
          <w:sz w:val="26"/>
          <w:szCs w:val="26"/>
        </w:rPr>
        <w:t>OSBA Statement in Support at</w:t>
      </w:r>
      <w:r w:rsidRPr="00A84E51">
        <w:rPr>
          <w:rFonts w:ascii="Times New Roman" w:hAnsi="Times New Roman" w:cs="Times New Roman"/>
          <w:sz w:val="26"/>
          <w:szCs w:val="26"/>
        </w:rPr>
        <w:t xml:space="preserve"> 4-5</w:t>
      </w:r>
      <w:r w:rsidR="00B335E9" w:rsidRPr="00A84E51">
        <w:rPr>
          <w:rFonts w:ascii="Times New Roman" w:hAnsi="Times New Roman" w:cs="Times New Roman"/>
          <w:sz w:val="26"/>
          <w:szCs w:val="26"/>
        </w:rPr>
        <w:t>,</w:t>
      </w:r>
      <w:r w:rsidRPr="00A84E51">
        <w:rPr>
          <w:rFonts w:ascii="Times New Roman" w:hAnsi="Times New Roman" w:cs="Times New Roman"/>
          <w:sz w:val="26"/>
          <w:szCs w:val="26"/>
        </w:rPr>
        <w:t xml:space="preserve"> 7; </w:t>
      </w:r>
      <w:r w:rsidR="005B632A" w:rsidRPr="00A84E51">
        <w:rPr>
          <w:rFonts w:ascii="Times New Roman" w:hAnsi="Times New Roman" w:cs="Times New Roman"/>
          <w:sz w:val="26"/>
          <w:szCs w:val="26"/>
        </w:rPr>
        <w:t xml:space="preserve">CAUSE-PA Statement in Support at </w:t>
      </w:r>
      <w:r w:rsidRPr="00A84E51">
        <w:rPr>
          <w:rFonts w:ascii="Times New Roman" w:hAnsi="Times New Roman" w:cs="Times New Roman"/>
          <w:sz w:val="26"/>
          <w:szCs w:val="26"/>
        </w:rPr>
        <w:t>4</w:t>
      </w:r>
      <w:r w:rsidR="005B632A" w:rsidRPr="00A84E51">
        <w:rPr>
          <w:rFonts w:ascii="Times New Roman" w:hAnsi="Times New Roman" w:cs="Times New Roman"/>
          <w:sz w:val="26"/>
          <w:szCs w:val="26"/>
        </w:rPr>
        <w:t>,</w:t>
      </w:r>
      <w:r w:rsidRPr="00A84E51">
        <w:rPr>
          <w:rFonts w:ascii="Times New Roman" w:hAnsi="Times New Roman" w:cs="Times New Roman"/>
          <w:sz w:val="26"/>
          <w:szCs w:val="26"/>
        </w:rPr>
        <w:t xml:space="preserve"> 8; </w:t>
      </w:r>
      <w:r w:rsidR="00213CAD" w:rsidRPr="00A84E51">
        <w:rPr>
          <w:rFonts w:ascii="Times New Roman" w:hAnsi="Times New Roman" w:cs="Times New Roman"/>
          <w:sz w:val="26"/>
          <w:szCs w:val="26"/>
        </w:rPr>
        <w:t>CEO Statement in Support at</w:t>
      </w:r>
      <w:r w:rsidRPr="00A84E51">
        <w:rPr>
          <w:rFonts w:ascii="Times New Roman" w:hAnsi="Times New Roman" w:cs="Times New Roman"/>
          <w:sz w:val="26"/>
          <w:szCs w:val="26"/>
        </w:rPr>
        <w:t xml:space="preserve"> 1-2; </w:t>
      </w:r>
      <w:r w:rsidR="005F04D1" w:rsidRPr="00A84E51">
        <w:rPr>
          <w:rFonts w:ascii="Times New Roman" w:hAnsi="Times New Roman" w:cs="Times New Roman"/>
          <w:sz w:val="26"/>
          <w:szCs w:val="26"/>
        </w:rPr>
        <w:t>ChargePoint Statement in Support at</w:t>
      </w:r>
      <w:r w:rsidRPr="00A84E51">
        <w:rPr>
          <w:rFonts w:ascii="Times New Roman" w:hAnsi="Times New Roman" w:cs="Times New Roman"/>
          <w:sz w:val="26"/>
          <w:szCs w:val="26"/>
        </w:rPr>
        <w:t xml:space="preserve"> 2-4; </w:t>
      </w:r>
      <w:r w:rsidR="00A84E51">
        <w:rPr>
          <w:rFonts w:ascii="Times New Roman" w:hAnsi="Times New Roman" w:cs="Times New Roman"/>
          <w:sz w:val="26"/>
          <w:szCs w:val="26"/>
        </w:rPr>
        <w:t xml:space="preserve">and </w:t>
      </w:r>
      <w:r w:rsidR="005F04D1" w:rsidRPr="00A84E51">
        <w:rPr>
          <w:rFonts w:ascii="Times New Roman" w:hAnsi="Times New Roman" w:cs="Times New Roman"/>
          <w:sz w:val="26"/>
          <w:szCs w:val="26"/>
        </w:rPr>
        <w:t xml:space="preserve">RESA/NRG Statement in Support at </w:t>
      </w:r>
      <w:r w:rsidRPr="00A84E51">
        <w:rPr>
          <w:rFonts w:ascii="Times New Roman" w:hAnsi="Times New Roman" w:cs="Times New Roman"/>
          <w:sz w:val="26"/>
          <w:szCs w:val="26"/>
        </w:rPr>
        <w:t>3-5.</w:t>
      </w:r>
    </w:p>
    <w:p w14:paraId="26F24E9A" w14:textId="77777777" w:rsidR="0049006C" w:rsidRPr="00D52B6E" w:rsidRDefault="0049006C" w:rsidP="0049006C">
      <w:pPr>
        <w:spacing w:after="0" w:line="360" w:lineRule="auto"/>
        <w:rPr>
          <w:rFonts w:ascii="Times New Roman" w:hAnsi="Times New Roman" w:cs="Times New Roman"/>
          <w:sz w:val="26"/>
          <w:szCs w:val="26"/>
        </w:rPr>
      </w:pPr>
    </w:p>
    <w:p w14:paraId="38BE37CC" w14:textId="4055812A" w:rsidR="0049006C" w:rsidRPr="00D52B6E" w:rsidRDefault="0049006C" w:rsidP="0049006C">
      <w:pPr>
        <w:spacing w:after="0" w:line="360" w:lineRule="auto"/>
        <w:rPr>
          <w:rFonts w:ascii="Times New Roman" w:hAnsi="Times New Roman" w:cs="Times New Roman"/>
          <w:sz w:val="26"/>
          <w:szCs w:val="26"/>
        </w:rPr>
      </w:pPr>
      <w:r w:rsidRPr="00D52B6E">
        <w:rPr>
          <w:rFonts w:ascii="Times New Roman" w:hAnsi="Times New Roman" w:cs="Times New Roman"/>
          <w:sz w:val="26"/>
          <w:szCs w:val="26"/>
        </w:rPr>
        <w:tab/>
      </w:r>
      <w:r>
        <w:rPr>
          <w:rFonts w:ascii="Times New Roman" w:hAnsi="Times New Roman" w:cs="Times New Roman"/>
          <w:sz w:val="26"/>
          <w:szCs w:val="26"/>
        </w:rPr>
        <w:tab/>
      </w:r>
      <w:r w:rsidRPr="00D52B6E">
        <w:rPr>
          <w:rFonts w:ascii="Times New Roman" w:hAnsi="Times New Roman" w:cs="Times New Roman"/>
          <w:sz w:val="26"/>
          <w:szCs w:val="26"/>
        </w:rPr>
        <w:t>In his Recommended Decision</w:t>
      </w:r>
      <w:r w:rsidR="003C283D">
        <w:rPr>
          <w:rFonts w:ascii="Times New Roman" w:hAnsi="Times New Roman" w:cs="Times New Roman"/>
          <w:sz w:val="26"/>
          <w:szCs w:val="26"/>
        </w:rPr>
        <w:t>,</w:t>
      </w:r>
      <w:r w:rsidRPr="00D52B6E">
        <w:rPr>
          <w:rFonts w:ascii="Times New Roman" w:hAnsi="Times New Roman" w:cs="Times New Roman"/>
          <w:sz w:val="26"/>
          <w:szCs w:val="26"/>
        </w:rPr>
        <w:t xml:space="preserve"> the ALJ found that the </w:t>
      </w:r>
      <w:r w:rsidR="003C283D">
        <w:rPr>
          <w:rFonts w:ascii="Times New Roman" w:hAnsi="Times New Roman" w:cs="Times New Roman"/>
          <w:sz w:val="26"/>
          <w:szCs w:val="26"/>
        </w:rPr>
        <w:t>P</w:t>
      </w:r>
      <w:r w:rsidRPr="00D52B6E">
        <w:rPr>
          <w:rFonts w:ascii="Times New Roman" w:hAnsi="Times New Roman" w:cs="Times New Roman"/>
          <w:sz w:val="26"/>
          <w:szCs w:val="26"/>
        </w:rPr>
        <w:t xml:space="preserve">arties engaged in extensive discovery in this proceeding. </w:t>
      </w:r>
      <w:r>
        <w:rPr>
          <w:rFonts w:ascii="Times New Roman" w:hAnsi="Times New Roman" w:cs="Times New Roman"/>
          <w:sz w:val="26"/>
          <w:szCs w:val="26"/>
        </w:rPr>
        <w:t xml:space="preserve"> </w:t>
      </w:r>
      <w:r w:rsidR="00052821">
        <w:rPr>
          <w:rFonts w:ascii="Times New Roman" w:hAnsi="Times New Roman" w:cs="Times New Roman"/>
          <w:sz w:val="26"/>
          <w:szCs w:val="26"/>
        </w:rPr>
        <w:t xml:space="preserve">R.D. at 47.  </w:t>
      </w:r>
      <w:r w:rsidRPr="00D52B6E">
        <w:rPr>
          <w:rFonts w:ascii="Times New Roman" w:hAnsi="Times New Roman" w:cs="Times New Roman"/>
          <w:sz w:val="26"/>
          <w:szCs w:val="26"/>
        </w:rPr>
        <w:t>He noted that UGI Electric responded to comprehensive discovery requests from the other Joint Petitioners</w:t>
      </w:r>
      <w:r w:rsidR="006B53D6">
        <w:rPr>
          <w:rFonts w:ascii="Times New Roman" w:hAnsi="Times New Roman" w:cs="Times New Roman"/>
          <w:sz w:val="26"/>
          <w:szCs w:val="26"/>
        </w:rPr>
        <w:t>,</w:t>
      </w:r>
      <w:r w:rsidRPr="00D52B6E">
        <w:rPr>
          <w:rFonts w:ascii="Times New Roman" w:hAnsi="Times New Roman" w:cs="Times New Roman"/>
          <w:sz w:val="26"/>
          <w:szCs w:val="26"/>
        </w:rPr>
        <w:t xml:space="preserve"> wherein it provided a great deal of detailed financial information on the various revenue and expense elements that are determinative of its rate structure. </w:t>
      </w:r>
      <w:r>
        <w:rPr>
          <w:rFonts w:ascii="Times New Roman" w:hAnsi="Times New Roman" w:cs="Times New Roman"/>
          <w:sz w:val="26"/>
          <w:szCs w:val="26"/>
        </w:rPr>
        <w:t xml:space="preserve"> </w:t>
      </w:r>
      <w:r w:rsidR="00052821" w:rsidRPr="00052821">
        <w:rPr>
          <w:rFonts w:ascii="Times New Roman" w:hAnsi="Times New Roman" w:cs="Times New Roman"/>
          <w:i/>
          <w:iCs/>
          <w:sz w:val="26"/>
          <w:szCs w:val="26"/>
        </w:rPr>
        <w:t>Id</w:t>
      </w:r>
      <w:r w:rsidR="00052821">
        <w:rPr>
          <w:rFonts w:ascii="Times New Roman" w:hAnsi="Times New Roman" w:cs="Times New Roman"/>
          <w:sz w:val="26"/>
          <w:szCs w:val="26"/>
        </w:rPr>
        <w:t xml:space="preserve">. at 47-48.  </w:t>
      </w:r>
      <w:r w:rsidR="006B53D6">
        <w:rPr>
          <w:rFonts w:ascii="Times New Roman" w:hAnsi="Times New Roman" w:cs="Times New Roman"/>
          <w:sz w:val="26"/>
          <w:szCs w:val="26"/>
        </w:rPr>
        <w:t>T</w:t>
      </w:r>
      <w:r w:rsidRPr="00D52B6E">
        <w:rPr>
          <w:rFonts w:ascii="Times New Roman" w:hAnsi="Times New Roman" w:cs="Times New Roman"/>
          <w:sz w:val="26"/>
          <w:szCs w:val="26"/>
        </w:rPr>
        <w:t xml:space="preserve">he ALJ further found that each of the Joint Petitioners used financial and economic experts to assist in reviewing and analyzing the many claims made by UGI Electric in its rate proposals and that it was only after this review and analysis by the various experts that the agreed upon settlement numbers were established.  </w:t>
      </w:r>
      <w:r w:rsidR="00A4443E">
        <w:rPr>
          <w:rFonts w:ascii="Times New Roman" w:hAnsi="Times New Roman" w:cs="Times New Roman"/>
          <w:sz w:val="26"/>
          <w:szCs w:val="26"/>
        </w:rPr>
        <w:t>A</w:t>
      </w:r>
      <w:r w:rsidRPr="00D52B6E">
        <w:rPr>
          <w:rFonts w:ascii="Times New Roman" w:hAnsi="Times New Roman" w:cs="Times New Roman"/>
          <w:sz w:val="26"/>
          <w:szCs w:val="26"/>
        </w:rPr>
        <w:t xml:space="preserve">lthough the many individual revenue and expense items may not be revealed and determined in the Joint Petition, these items were nonetheless considered by the </w:t>
      </w:r>
      <w:r w:rsidR="006B53D6">
        <w:rPr>
          <w:rFonts w:ascii="Times New Roman" w:hAnsi="Times New Roman" w:cs="Times New Roman"/>
          <w:sz w:val="26"/>
          <w:szCs w:val="26"/>
        </w:rPr>
        <w:t>Joint Petitioners</w:t>
      </w:r>
      <w:r w:rsidRPr="00D52B6E">
        <w:rPr>
          <w:rFonts w:ascii="Times New Roman" w:hAnsi="Times New Roman" w:cs="Times New Roman"/>
          <w:sz w:val="26"/>
          <w:szCs w:val="26"/>
        </w:rPr>
        <w:t xml:space="preserve"> in arriving at their respective settlement positions and, ultimately, in the agreed upon </w:t>
      </w:r>
      <w:r w:rsidR="006B53D6">
        <w:rPr>
          <w:rFonts w:ascii="Times New Roman" w:hAnsi="Times New Roman" w:cs="Times New Roman"/>
          <w:sz w:val="26"/>
          <w:szCs w:val="26"/>
        </w:rPr>
        <w:t>S</w:t>
      </w:r>
      <w:r w:rsidRPr="00D52B6E">
        <w:rPr>
          <w:rFonts w:ascii="Times New Roman" w:hAnsi="Times New Roman" w:cs="Times New Roman"/>
          <w:sz w:val="26"/>
          <w:szCs w:val="26"/>
        </w:rPr>
        <w:t>ettlement provisions.</w:t>
      </w:r>
      <w:r w:rsidR="00052821">
        <w:rPr>
          <w:rFonts w:ascii="Times New Roman" w:hAnsi="Times New Roman" w:cs="Times New Roman"/>
          <w:sz w:val="26"/>
          <w:szCs w:val="26"/>
        </w:rPr>
        <w:t xml:space="preserve">  </w:t>
      </w:r>
      <w:r w:rsidR="00052821" w:rsidRPr="00052821">
        <w:rPr>
          <w:rFonts w:ascii="Times New Roman" w:hAnsi="Times New Roman" w:cs="Times New Roman"/>
          <w:i/>
          <w:iCs/>
          <w:sz w:val="26"/>
          <w:szCs w:val="26"/>
        </w:rPr>
        <w:t>Id</w:t>
      </w:r>
      <w:r w:rsidR="00052821">
        <w:rPr>
          <w:rFonts w:ascii="Times New Roman" w:hAnsi="Times New Roman" w:cs="Times New Roman"/>
          <w:sz w:val="26"/>
          <w:szCs w:val="26"/>
        </w:rPr>
        <w:t xml:space="preserve">. at 48.  </w:t>
      </w:r>
      <w:r>
        <w:rPr>
          <w:rFonts w:ascii="Times New Roman" w:hAnsi="Times New Roman" w:cs="Times New Roman"/>
          <w:sz w:val="26"/>
          <w:szCs w:val="26"/>
        </w:rPr>
        <w:t xml:space="preserve">    </w:t>
      </w:r>
    </w:p>
    <w:p w14:paraId="746F5C61" w14:textId="77777777" w:rsidR="0049006C" w:rsidRPr="00D52B6E" w:rsidRDefault="0049006C" w:rsidP="0049006C">
      <w:pPr>
        <w:spacing w:after="0" w:line="360" w:lineRule="auto"/>
        <w:rPr>
          <w:rFonts w:ascii="Times New Roman" w:hAnsi="Times New Roman" w:cs="Times New Roman"/>
          <w:sz w:val="26"/>
          <w:szCs w:val="26"/>
        </w:rPr>
      </w:pPr>
    </w:p>
    <w:p w14:paraId="35829841" w14:textId="770207EA" w:rsidR="0049006C" w:rsidRPr="00D52B6E" w:rsidRDefault="0049006C" w:rsidP="00277C62">
      <w:pPr>
        <w:spacing w:after="0" w:line="360" w:lineRule="auto"/>
        <w:ind w:firstLine="1440"/>
        <w:rPr>
          <w:rFonts w:ascii="Times New Roman" w:hAnsi="Times New Roman" w:cs="Times New Roman"/>
          <w:sz w:val="26"/>
          <w:szCs w:val="26"/>
        </w:rPr>
      </w:pPr>
      <w:r w:rsidRPr="00D52B6E">
        <w:rPr>
          <w:rFonts w:ascii="Times New Roman" w:hAnsi="Times New Roman" w:cs="Times New Roman"/>
          <w:sz w:val="26"/>
          <w:szCs w:val="26"/>
        </w:rPr>
        <w:t xml:space="preserve">Accordingly, </w:t>
      </w:r>
      <w:r w:rsidR="006744C2">
        <w:rPr>
          <w:rFonts w:ascii="Times New Roman" w:hAnsi="Times New Roman" w:cs="Times New Roman"/>
          <w:sz w:val="26"/>
          <w:szCs w:val="26"/>
        </w:rPr>
        <w:t xml:space="preserve">based on our review of the record, the Recommended Decision, and the </w:t>
      </w:r>
      <w:r w:rsidR="0088208C">
        <w:rPr>
          <w:rFonts w:ascii="Times New Roman" w:hAnsi="Times New Roman" w:cs="Times New Roman"/>
          <w:sz w:val="26"/>
          <w:szCs w:val="26"/>
        </w:rPr>
        <w:t xml:space="preserve">Joint Petitioners’ </w:t>
      </w:r>
      <w:r w:rsidR="006744C2">
        <w:rPr>
          <w:rFonts w:ascii="Times New Roman" w:hAnsi="Times New Roman" w:cs="Times New Roman"/>
          <w:sz w:val="26"/>
          <w:szCs w:val="26"/>
        </w:rPr>
        <w:t>Statements in Support</w:t>
      </w:r>
      <w:r w:rsidR="0088208C">
        <w:rPr>
          <w:rFonts w:ascii="Times New Roman" w:hAnsi="Times New Roman" w:cs="Times New Roman"/>
          <w:sz w:val="26"/>
          <w:szCs w:val="26"/>
        </w:rPr>
        <w:t xml:space="preserve">, </w:t>
      </w:r>
      <w:r w:rsidRPr="00D52B6E">
        <w:rPr>
          <w:rFonts w:ascii="Times New Roman" w:hAnsi="Times New Roman" w:cs="Times New Roman"/>
          <w:sz w:val="26"/>
          <w:szCs w:val="26"/>
        </w:rPr>
        <w:t xml:space="preserve">we </w:t>
      </w:r>
      <w:r w:rsidR="00E54AAF">
        <w:rPr>
          <w:rFonts w:ascii="Times New Roman" w:hAnsi="Times New Roman" w:cs="Times New Roman"/>
          <w:sz w:val="26"/>
          <w:szCs w:val="26"/>
        </w:rPr>
        <w:t>find that the “black box” settlement in this proceeding is in the public interest</w:t>
      </w:r>
      <w:r w:rsidR="00277C62">
        <w:rPr>
          <w:rFonts w:ascii="Times New Roman" w:hAnsi="Times New Roman" w:cs="Times New Roman"/>
          <w:sz w:val="26"/>
          <w:szCs w:val="26"/>
        </w:rPr>
        <w:t xml:space="preserve"> and that the </w:t>
      </w:r>
      <w:r w:rsidR="000528EE">
        <w:rPr>
          <w:rFonts w:ascii="Times New Roman" w:hAnsi="Times New Roman" w:cs="Times New Roman"/>
          <w:sz w:val="26"/>
          <w:szCs w:val="26"/>
        </w:rPr>
        <w:t xml:space="preserve">negotiated </w:t>
      </w:r>
      <w:r w:rsidR="00277C62">
        <w:rPr>
          <w:rFonts w:ascii="Times New Roman" w:hAnsi="Times New Roman" w:cs="Times New Roman"/>
          <w:sz w:val="26"/>
          <w:szCs w:val="26"/>
        </w:rPr>
        <w:t>S</w:t>
      </w:r>
      <w:r w:rsidR="00277C62" w:rsidRPr="00D52B6E">
        <w:rPr>
          <w:rFonts w:ascii="Times New Roman" w:hAnsi="Times New Roman" w:cs="Times New Roman"/>
          <w:sz w:val="26"/>
          <w:szCs w:val="26"/>
        </w:rPr>
        <w:t xml:space="preserve">ettlement </w:t>
      </w:r>
      <w:r w:rsidR="000528EE">
        <w:rPr>
          <w:rFonts w:ascii="Times New Roman" w:hAnsi="Times New Roman" w:cs="Times New Roman"/>
          <w:sz w:val="26"/>
          <w:szCs w:val="26"/>
        </w:rPr>
        <w:t>re</w:t>
      </w:r>
      <w:r w:rsidR="00277C62" w:rsidRPr="00D52B6E">
        <w:rPr>
          <w:rFonts w:ascii="Times New Roman" w:hAnsi="Times New Roman" w:cs="Times New Roman"/>
          <w:sz w:val="26"/>
          <w:szCs w:val="26"/>
        </w:rPr>
        <w:t>s</w:t>
      </w:r>
      <w:r w:rsidR="000528EE">
        <w:rPr>
          <w:rFonts w:ascii="Times New Roman" w:hAnsi="Times New Roman" w:cs="Times New Roman"/>
          <w:sz w:val="26"/>
          <w:szCs w:val="26"/>
        </w:rPr>
        <w:t>ults in</w:t>
      </w:r>
      <w:r w:rsidR="00277C62" w:rsidRPr="00D52B6E">
        <w:rPr>
          <w:rFonts w:ascii="Times New Roman" w:hAnsi="Times New Roman" w:cs="Times New Roman"/>
          <w:sz w:val="26"/>
          <w:szCs w:val="26"/>
        </w:rPr>
        <w:t xml:space="preserve"> just and reasonable</w:t>
      </w:r>
      <w:r w:rsidR="000528EE">
        <w:rPr>
          <w:rFonts w:ascii="Times New Roman" w:hAnsi="Times New Roman" w:cs="Times New Roman"/>
          <w:sz w:val="26"/>
          <w:szCs w:val="26"/>
        </w:rPr>
        <w:t xml:space="preserve"> rates </w:t>
      </w:r>
      <w:r w:rsidR="006D1B7D">
        <w:rPr>
          <w:rFonts w:ascii="Times New Roman" w:hAnsi="Times New Roman" w:cs="Times New Roman"/>
          <w:sz w:val="26"/>
          <w:szCs w:val="26"/>
        </w:rPr>
        <w:t>and</w:t>
      </w:r>
      <w:r w:rsidR="00277C62" w:rsidRPr="00D52B6E">
        <w:rPr>
          <w:rFonts w:ascii="Times New Roman" w:hAnsi="Times New Roman" w:cs="Times New Roman"/>
          <w:sz w:val="26"/>
          <w:szCs w:val="26"/>
        </w:rPr>
        <w:t xml:space="preserve"> in a lower rate increase than originally proposed by UGI Electric.</w:t>
      </w:r>
      <w:r w:rsidR="006D1B7D">
        <w:rPr>
          <w:rFonts w:ascii="Times New Roman" w:hAnsi="Times New Roman" w:cs="Times New Roman"/>
          <w:sz w:val="26"/>
          <w:szCs w:val="26"/>
        </w:rPr>
        <w:t xml:space="preserve">  For these reasons, we shall deny </w:t>
      </w:r>
      <w:r w:rsidRPr="00D52B6E">
        <w:rPr>
          <w:rFonts w:ascii="Times New Roman" w:hAnsi="Times New Roman" w:cs="Times New Roman"/>
          <w:sz w:val="26"/>
          <w:szCs w:val="26"/>
        </w:rPr>
        <w:t xml:space="preserve">Ms. Brace’s Exception </w:t>
      </w:r>
      <w:r>
        <w:rPr>
          <w:rFonts w:ascii="Times New Roman" w:hAnsi="Times New Roman" w:cs="Times New Roman"/>
          <w:sz w:val="26"/>
          <w:szCs w:val="26"/>
        </w:rPr>
        <w:t xml:space="preserve">No. </w:t>
      </w:r>
      <w:r w:rsidRPr="00D52B6E">
        <w:rPr>
          <w:rFonts w:ascii="Times New Roman" w:hAnsi="Times New Roman" w:cs="Times New Roman"/>
          <w:sz w:val="26"/>
          <w:szCs w:val="26"/>
        </w:rPr>
        <w:t>1.</w:t>
      </w:r>
      <w:r w:rsidR="006D1B7D">
        <w:rPr>
          <w:rFonts w:ascii="Times New Roman" w:hAnsi="Times New Roman" w:cs="Times New Roman"/>
          <w:sz w:val="26"/>
          <w:szCs w:val="26"/>
        </w:rPr>
        <w:t xml:space="preserve">  </w:t>
      </w:r>
    </w:p>
    <w:p w14:paraId="458B111F" w14:textId="471D5B38" w:rsidR="0049006C" w:rsidRDefault="0049006C" w:rsidP="00496081">
      <w:pPr>
        <w:spacing w:line="360" w:lineRule="auto"/>
        <w:ind w:firstLine="1440"/>
        <w:contextualSpacing/>
        <w:rPr>
          <w:rFonts w:ascii="Times New Roman" w:eastAsia="Times New Roman" w:hAnsi="Times New Roman" w:cs="Times New Roman"/>
          <w:b/>
          <w:bCs/>
          <w:sz w:val="26"/>
          <w:szCs w:val="26"/>
        </w:rPr>
      </w:pPr>
    </w:p>
    <w:p w14:paraId="4C413CB3" w14:textId="7962DB8D" w:rsidR="006E59D7" w:rsidRDefault="006E59D7" w:rsidP="009018B5">
      <w:pPr>
        <w:keepNext/>
        <w:keepLines/>
        <w:spacing w:line="360" w:lineRule="auto"/>
        <w:ind w:firstLine="1440"/>
        <w:contextualSpacing/>
        <w:rPr>
          <w:rFonts w:ascii="Times New Roman" w:eastAsia="Times New Roman" w:hAnsi="Times New Roman" w:cs="Times New Roman"/>
          <w:b/>
          <w:bCs/>
          <w:sz w:val="26"/>
          <w:szCs w:val="26"/>
        </w:rPr>
      </w:pPr>
      <w:bookmarkStart w:id="6" w:name="_Hlk84519745"/>
      <w:r>
        <w:rPr>
          <w:rFonts w:ascii="Times New Roman" w:eastAsia="Times New Roman" w:hAnsi="Times New Roman" w:cs="Times New Roman"/>
          <w:b/>
          <w:bCs/>
          <w:sz w:val="26"/>
          <w:szCs w:val="26"/>
        </w:rPr>
        <w:lastRenderedPageBreak/>
        <w:t>c.</w:t>
      </w:r>
      <w:r>
        <w:rPr>
          <w:rFonts w:ascii="Times New Roman" w:eastAsia="Times New Roman" w:hAnsi="Times New Roman" w:cs="Times New Roman"/>
          <w:b/>
          <w:bCs/>
          <w:sz w:val="26"/>
          <w:szCs w:val="26"/>
        </w:rPr>
        <w:tab/>
        <w:t xml:space="preserve">Exception No. 2, </w:t>
      </w:r>
      <w:r w:rsidR="007F02BB">
        <w:rPr>
          <w:rFonts w:ascii="Times New Roman" w:eastAsia="Times New Roman" w:hAnsi="Times New Roman" w:cs="Times New Roman"/>
          <w:b/>
          <w:bCs/>
          <w:sz w:val="26"/>
          <w:szCs w:val="26"/>
        </w:rPr>
        <w:t>Responses, and Disposition</w:t>
      </w:r>
    </w:p>
    <w:bookmarkEnd w:id="6"/>
    <w:p w14:paraId="558E1736" w14:textId="4E646483" w:rsidR="006E59D7" w:rsidRDefault="006E59D7" w:rsidP="00496081">
      <w:pPr>
        <w:spacing w:line="360" w:lineRule="auto"/>
        <w:ind w:firstLine="1440"/>
        <w:contextualSpacing/>
        <w:rPr>
          <w:rFonts w:ascii="Times New Roman" w:eastAsia="Times New Roman" w:hAnsi="Times New Roman" w:cs="Times New Roman"/>
          <w:b/>
          <w:bCs/>
          <w:sz w:val="26"/>
          <w:szCs w:val="26"/>
        </w:rPr>
      </w:pPr>
    </w:p>
    <w:p w14:paraId="211ED227" w14:textId="3ACAF04D" w:rsidR="00471209" w:rsidRPr="00D102B7" w:rsidRDefault="00471209" w:rsidP="00CA7830">
      <w:pPr>
        <w:spacing w:after="0"/>
        <w:ind w:left="720" w:firstLine="720"/>
        <w:rPr>
          <w:rFonts w:ascii="Times New Roman" w:hAnsi="Times New Roman" w:cs="Times New Roman"/>
          <w:sz w:val="26"/>
          <w:szCs w:val="26"/>
        </w:rPr>
      </w:pPr>
      <w:r w:rsidRPr="00D102B7">
        <w:rPr>
          <w:rFonts w:ascii="Times New Roman" w:hAnsi="Times New Roman" w:cs="Times New Roman"/>
          <w:sz w:val="26"/>
          <w:szCs w:val="26"/>
        </w:rPr>
        <w:t>Ms. Brace’s Exception No. 2 states:</w:t>
      </w:r>
    </w:p>
    <w:p w14:paraId="3670DDBD" w14:textId="77777777" w:rsidR="00471209" w:rsidRPr="00D102B7" w:rsidRDefault="00471209" w:rsidP="00CA7830">
      <w:pPr>
        <w:spacing w:after="0" w:line="240" w:lineRule="auto"/>
        <w:ind w:left="1440" w:right="1440"/>
        <w:rPr>
          <w:rFonts w:ascii="Times New Roman" w:hAnsi="Times New Roman" w:cs="Times New Roman"/>
          <w:sz w:val="26"/>
          <w:szCs w:val="26"/>
        </w:rPr>
      </w:pPr>
      <w:bookmarkStart w:id="7" w:name="_Toc8096"/>
    </w:p>
    <w:p w14:paraId="22F75EA6" w14:textId="77777777" w:rsidR="00471209" w:rsidRPr="00D102B7" w:rsidRDefault="00471209" w:rsidP="00CA7830">
      <w:pPr>
        <w:spacing w:after="0" w:line="240" w:lineRule="auto"/>
        <w:ind w:left="1440" w:right="1440"/>
        <w:rPr>
          <w:rFonts w:ascii="Times New Roman" w:hAnsi="Times New Roman" w:cs="Times New Roman"/>
          <w:sz w:val="26"/>
          <w:szCs w:val="26"/>
        </w:rPr>
      </w:pPr>
      <w:r w:rsidRPr="00D102B7">
        <w:rPr>
          <w:rFonts w:ascii="Times New Roman" w:hAnsi="Times New Roman" w:cs="Times New Roman"/>
          <w:sz w:val="26"/>
          <w:szCs w:val="26"/>
        </w:rPr>
        <w:t>The term “public interest” should remain fluid but, when used, needs to be defined by the party using it; rate increases should be justified on these terms.</w:t>
      </w:r>
      <w:bookmarkEnd w:id="7"/>
    </w:p>
    <w:p w14:paraId="06F6C89F" w14:textId="77777777" w:rsidR="00471209" w:rsidRPr="00D102B7" w:rsidRDefault="00471209" w:rsidP="009018B5">
      <w:pPr>
        <w:spacing w:after="0" w:line="360" w:lineRule="auto"/>
        <w:rPr>
          <w:rFonts w:ascii="Times New Roman" w:hAnsi="Times New Roman" w:cs="Times New Roman"/>
          <w:sz w:val="26"/>
          <w:szCs w:val="26"/>
        </w:rPr>
      </w:pPr>
    </w:p>
    <w:p w14:paraId="447B25B9" w14:textId="6ED8568D" w:rsidR="00471209" w:rsidRPr="00D102B7" w:rsidRDefault="00471209" w:rsidP="009018B5">
      <w:pPr>
        <w:spacing w:after="0" w:line="360" w:lineRule="auto"/>
        <w:rPr>
          <w:rFonts w:ascii="Times New Roman" w:hAnsi="Times New Roman" w:cs="Times New Roman"/>
          <w:sz w:val="26"/>
          <w:szCs w:val="26"/>
        </w:rPr>
      </w:pPr>
      <w:r w:rsidRPr="00D102B7">
        <w:rPr>
          <w:rFonts w:ascii="Times New Roman" w:hAnsi="Times New Roman" w:cs="Times New Roman"/>
          <w:sz w:val="26"/>
          <w:szCs w:val="26"/>
        </w:rPr>
        <w:t>Exc. at 5.</w:t>
      </w:r>
      <w:r w:rsidR="00651FC1">
        <w:rPr>
          <w:rFonts w:ascii="Times New Roman" w:hAnsi="Times New Roman" w:cs="Times New Roman"/>
          <w:sz w:val="26"/>
          <w:szCs w:val="26"/>
        </w:rPr>
        <w:t xml:space="preserve">  </w:t>
      </w:r>
      <w:r w:rsidR="00907C09">
        <w:rPr>
          <w:rFonts w:ascii="Times New Roman" w:hAnsi="Times New Roman" w:cs="Times New Roman"/>
          <w:sz w:val="26"/>
          <w:szCs w:val="26"/>
        </w:rPr>
        <w:t xml:space="preserve">In this Exception, Ms. Brace </w:t>
      </w:r>
      <w:r w:rsidR="005921CB">
        <w:rPr>
          <w:rFonts w:ascii="Times New Roman" w:hAnsi="Times New Roman" w:cs="Times New Roman"/>
          <w:sz w:val="26"/>
          <w:szCs w:val="26"/>
        </w:rPr>
        <w:t>argues that there is no clear definition of the “</w:t>
      </w:r>
      <w:r w:rsidR="00C80A92">
        <w:rPr>
          <w:rFonts w:ascii="Times New Roman" w:hAnsi="Times New Roman" w:cs="Times New Roman"/>
          <w:sz w:val="26"/>
          <w:szCs w:val="26"/>
        </w:rPr>
        <w:t>public interest” in the Code</w:t>
      </w:r>
      <w:r w:rsidR="00643781">
        <w:rPr>
          <w:rFonts w:ascii="Times New Roman" w:hAnsi="Times New Roman" w:cs="Times New Roman"/>
          <w:sz w:val="26"/>
          <w:szCs w:val="26"/>
        </w:rPr>
        <w:t xml:space="preserve"> and, thus, it is difficult to discern if the public interest has been served</w:t>
      </w:r>
      <w:r w:rsidR="00C80A92">
        <w:rPr>
          <w:rFonts w:ascii="Times New Roman" w:hAnsi="Times New Roman" w:cs="Times New Roman"/>
          <w:sz w:val="26"/>
          <w:szCs w:val="26"/>
        </w:rPr>
        <w:t>.</w:t>
      </w:r>
      <w:r w:rsidR="00643781">
        <w:rPr>
          <w:rFonts w:ascii="Times New Roman" w:hAnsi="Times New Roman" w:cs="Times New Roman"/>
          <w:sz w:val="26"/>
          <w:szCs w:val="26"/>
        </w:rPr>
        <w:t xml:space="preserve">  </w:t>
      </w:r>
      <w:r w:rsidR="00643781" w:rsidRPr="00643781">
        <w:rPr>
          <w:rFonts w:ascii="Times New Roman" w:hAnsi="Times New Roman" w:cs="Times New Roman"/>
          <w:i/>
          <w:iCs/>
          <w:sz w:val="26"/>
          <w:szCs w:val="26"/>
        </w:rPr>
        <w:t>Id</w:t>
      </w:r>
      <w:r w:rsidR="00643781">
        <w:rPr>
          <w:rFonts w:ascii="Times New Roman" w:hAnsi="Times New Roman" w:cs="Times New Roman"/>
          <w:sz w:val="26"/>
          <w:szCs w:val="26"/>
        </w:rPr>
        <w:t>. at 6.</w:t>
      </w:r>
    </w:p>
    <w:p w14:paraId="4362F942" w14:textId="77777777" w:rsidR="00471209" w:rsidRPr="00D102B7" w:rsidRDefault="00471209" w:rsidP="009018B5">
      <w:pPr>
        <w:spacing w:after="0" w:line="360" w:lineRule="auto"/>
        <w:rPr>
          <w:rFonts w:ascii="Times New Roman" w:hAnsi="Times New Roman" w:cs="Times New Roman"/>
          <w:sz w:val="26"/>
          <w:szCs w:val="26"/>
        </w:rPr>
      </w:pPr>
    </w:p>
    <w:p w14:paraId="470124A7" w14:textId="41B94EDA" w:rsidR="00471209" w:rsidRPr="00D102B7" w:rsidRDefault="00471209" w:rsidP="009018B5">
      <w:pPr>
        <w:spacing w:after="0" w:line="360" w:lineRule="auto"/>
        <w:rPr>
          <w:rFonts w:ascii="Times New Roman" w:hAnsi="Times New Roman" w:cs="Times New Roman"/>
          <w:sz w:val="26"/>
          <w:szCs w:val="26"/>
        </w:rPr>
      </w:pPr>
      <w:r w:rsidRPr="00D102B7">
        <w:rPr>
          <w:rFonts w:ascii="Times New Roman" w:hAnsi="Times New Roman" w:cs="Times New Roman"/>
          <w:sz w:val="26"/>
          <w:szCs w:val="26"/>
        </w:rPr>
        <w:tab/>
      </w:r>
      <w:r w:rsidRPr="00D102B7">
        <w:rPr>
          <w:rFonts w:ascii="Times New Roman" w:hAnsi="Times New Roman" w:cs="Times New Roman"/>
          <w:sz w:val="26"/>
          <w:szCs w:val="26"/>
        </w:rPr>
        <w:tab/>
        <w:t xml:space="preserve">In its Response, UGI Electric states that Ms. Brace “does not consider the fact that the Parties to the Settlement represent a diversity of constituents and interests all of which were served by the outcome in this proceeding </w:t>
      </w:r>
      <w:r w:rsidR="0023332B">
        <w:rPr>
          <w:rFonts w:ascii="Times New Roman" w:hAnsi="Times New Roman" w:cs="Times New Roman"/>
          <w:sz w:val="26"/>
          <w:szCs w:val="26"/>
        </w:rPr>
        <w:t>(</w:t>
      </w:r>
      <w:r w:rsidRPr="00D102B7">
        <w:rPr>
          <w:rFonts w:ascii="Times New Roman" w:hAnsi="Times New Roman" w:cs="Times New Roman"/>
          <w:sz w:val="26"/>
          <w:szCs w:val="26"/>
        </w:rPr>
        <w:t xml:space="preserve">as detailed in each </w:t>
      </w:r>
      <w:r w:rsidR="00382A2C">
        <w:rPr>
          <w:rFonts w:ascii="Times New Roman" w:hAnsi="Times New Roman" w:cs="Times New Roman"/>
          <w:sz w:val="26"/>
          <w:szCs w:val="26"/>
        </w:rPr>
        <w:t>P</w:t>
      </w:r>
      <w:r w:rsidR="0097794E">
        <w:rPr>
          <w:rFonts w:ascii="Times New Roman" w:hAnsi="Times New Roman" w:cs="Times New Roman"/>
          <w:sz w:val="26"/>
          <w:szCs w:val="26"/>
        </w:rPr>
        <w:t>arty’s</w:t>
      </w:r>
      <w:r w:rsidRPr="00D102B7">
        <w:rPr>
          <w:rFonts w:ascii="Times New Roman" w:hAnsi="Times New Roman" w:cs="Times New Roman"/>
          <w:sz w:val="26"/>
          <w:szCs w:val="26"/>
        </w:rPr>
        <w:t xml:space="preserve"> Statement in Support</w:t>
      </w:r>
      <w:r w:rsidR="0097794E">
        <w:rPr>
          <w:rFonts w:ascii="Times New Roman" w:hAnsi="Times New Roman" w:cs="Times New Roman"/>
          <w:sz w:val="26"/>
          <w:szCs w:val="26"/>
        </w:rPr>
        <w:t xml:space="preserve"> of the Settlement)</w:t>
      </w:r>
      <w:r w:rsidRPr="00D102B7">
        <w:rPr>
          <w:rFonts w:ascii="Times New Roman" w:hAnsi="Times New Roman" w:cs="Times New Roman"/>
          <w:sz w:val="26"/>
          <w:szCs w:val="26"/>
        </w:rPr>
        <w:t>.”  UGI Electric Response at 2.</w:t>
      </w:r>
    </w:p>
    <w:p w14:paraId="11E8060B" w14:textId="77777777" w:rsidR="00471209" w:rsidRPr="00D102B7" w:rsidRDefault="00471209" w:rsidP="009018B5">
      <w:pPr>
        <w:spacing w:after="0" w:line="360" w:lineRule="auto"/>
        <w:rPr>
          <w:rFonts w:ascii="Times New Roman" w:hAnsi="Times New Roman" w:cs="Times New Roman"/>
          <w:sz w:val="26"/>
          <w:szCs w:val="26"/>
        </w:rPr>
      </w:pPr>
    </w:p>
    <w:p w14:paraId="0D3C92A4" w14:textId="5C9ACAEB" w:rsidR="00471209" w:rsidRPr="00D102B7" w:rsidRDefault="00471209" w:rsidP="009018B5">
      <w:pPr>
        <w:spacing w:after="0" w:line="360" w:lineRule="auto"/>
        <w:rPr>
          <w:rFonts w:ascii="Times New Roman" w:hAnsi="Times New Roman" w:cs="Times New Roman"/>
          <w:sz w:val="26"/>
          <w:szCs w:val="26"/>
        </w:rPr>
      </w:pPr>
      <w:r w:rsidRPr="00D102B7">
        <w:rPr>
          <w:rFonts w:ascii="Times New Roman" w:hAnsi="Times New Roman" w:cs="Times New Roman"/>
          <w:sz w:val="26"/>
          <w:szCs w:val="26"/>
        </w:rPr>
        <w:tab/>
      </w:r>
      <w:r w:rsidRPr="00D102B7">
        <w:rPr>
          <w:rFonts w:ascii="Times New Roman" w:hAnsi="Times New Roman" w:cs="Times New Roman"/>
          <w:sz w:val="26"/>
          <w:szCs w:val="26"/>
        </w:rPr>
        <w:tab/>
        <w:t xml:space="preserve">The I&amp;E Response observes that the </w:t>
      </w:r>
      <w:r w:rsidR="007A79AA">
        <w:rPr>
          <w:rFonts w:ascii="Times New Roman" w:hAnsi="Times New Roman" w:cs="Times New Roman"/>
          <w:sz w:val="26"/>
          <w:szCs w:val="26"/>
        </w:rPr>
        <w:t>S</w:t>
      </w:r>
      <w:r w:rsidRPr="00D102B7">
        <w:rPr>
          <w:rFonts w:ascii="Times New Roman" w:hAnsi="Times New Roman" w:cs="Times New Roman"/>
          <w:sz w:val="26"/>
          <w:szCs w:val="26"/>
        </w:rPr>
        <w:t xml:space="preserve">ettlement contained in the Joint Petition “provides UGI Electric, the Joint Petitioners, affected ratepayers, and the Commission with resolution of the issues presented in this proceeding, all of which is in the public interest.” </w:t>
      </w:r>
      <w:r w:rsidR="007A79AA">
        <w:rPr>
          <w:rFonts w:ascii="Times New Roman" w:hAnsi="Times New Roman" w:cs="Times New Roman"/>
          <w:sz w:val="26"/>
          <w:szCs w:val="26"/>
        </w:rPr>
        <w:t xml:space="preserve"> </w:t>
      </w:r>
      <w:r w:rsidRPr="00D102B7">
        <w:rPr>
          <w:rFonts w:ascii="Times New Roman" w:hAnsi="Times New Roman" w:cs="Times New Roman"/>
          <w:sz w:val="26"/>
          <w:szCs w:val="26"/>
        </w:rPr>
        <w:t>I&amp;E Response at 1.</w:t>
      </w:r>
    </w:p>
    <w:p w14:paraId="67D24B5B" w14:textId="77777777" w:rsidR="00471209" w:rsidRPr="00D102B7" w:rsidRDefault="00471209" w:rsidP="009018B5">
      <w:pPr>
        <w:spacing w:after="0" w:line="360" w:lineRule="auto"/>
        <w:rPr>
          <w:rFonts w:ascii="Times New Roman" w:hAnsi="Times New Roman" w:cs="Times New Roman"/>
          <w:sz w:val="26"/>
          <w:szCs w:val="26"/>
        </w:rPr>
      </w:pPr>
    </w:p>
    <w:p w14:paraId="09A1E197" w14:textId="77777777" w:rsidR="00471209" w:rsidRPr="00D102B7" w:rsidRDefault="00471209" w:rsidP="009018B5">
      <w:pPr>
        <w:spacing w:after="0" w:line="360" w:lineRule="auto"/>
        <w:rPr>
          <w:rFonts w:ascii="Times New Roman" w:hAnsi="Times New Roman" w:cs="Times New Roman"/>
          <w:sz w:val="26"/>
          <w:szCs w:val="26"/>
        </w:rPr>
      </w:pPr>
      <w:r w:rsidRPr="00D102B7">
        <w:rPr>
          <w:rFonts w:ascii="Times New Roman" w:hAnsi="Times New Roman" w:cs="Times New Roman"/>
          <w:sz w:val="26"/>
          <w:szCs w:val="26"/>
        </w:rPr>
        <w:tab/>
      </w:r>
      <w:r w:rsidRPr="00D102B7">
        <w:rPr>
          <w:rFonts w:ascii="Times New Roman" w:hAnsi="Times New Roman" w:cs="Times New Roman"/>
          <w:sz w:val="26"/>
          <w:szCs w:val="26"/>
        </w:rPr>
        <w:tab/>
        <w:t xml:space="preserve">We find that the public interest was well represented in the instant proceeding and that the </w:t>
      </w:r>
      <w:r>
        <w:rPr>
          <w:rFonts w:ascii="Times New Roman" w:hAnsi="Times New Roman" w:cs="Times New Roman"/>
          <w:sz w:val="26"/>
          <w:szCs w:val="26"/>
        </w:rPr>
        <w:t>S</w:t>
      </w:r>
      <w:r w:rsidRPr="00D102B7">
        <w:rPr>
          <w:rFonts w:ascii="Times New Roman" w:hAnsi="Times New Roman" w:cs="Times New Roman"/>
          <w:sz w:val="26"/>
          <w:szCs w:val="26"/>
        </w:rPr>
        <w:t>ettlement contained in the Joint Petition is in accord with the “public interest” as that term is used in the context of a general rate increase case before the Commission.</w:t>
      </w:r>
    </w:p>
    <w:p w14:paraId="2258172E" w14:textId="77777777" w:rsidR="00471209" w:rsidRPr="00D102B7" w:rsidRDefault="00471209" w:rsidP="00471209">
      <w:pPr>
        <w:spacing w:after="0" w:line="360" w:lineRule="auto"/>
        <w:rPr>
          <w:rFonts w:ascii="Times New Roman" w:hAnsi="Times New Roman" w:cs="Times New Roman"/>
          <w:sz w:val="26"/>
          <w:szCs w:val="26"/>
        </w:rPr>
      </w:pPr>
    </w:p>
    <w:p w14:paraId="287DF177" w14:textId="19D514A4" w:rsidR="00471209" w:rsidRDefault="00471209" w:rsidP="009018B5">
      <w:pPr>
        <w:keepNext/>
        <w:spacing w:after="0" w:line="360" w:lineRule="auto"/>
        <w:rPr>
          <w:rFonts w:ascii="Times New Roman" w:hAnsi="Times New Roman" w:cs="Times New Roman"/>
          <w:sz w:val="26"/>
          <w:szCs w:val="26"/>
        </w:rPr>
      </w:pPr>
      <w:r w:rsidRPr="00D102B7">
        <w:rPr>
          <w:rFonts w:ascii="Times New Roman" w:hAnsi="Times New Roman" w:cs="Times New Roman"/>
          <w:sz w:val="26"/>
          <w:szCs w:val="26"/>
        </w:rPr>
        <w:lastRenderedPageBreak/>
        <w:tab/>
      </w:r>
      <w:r w:rsidRPr="00D102B7">
        <w:rPr>
          <w:rFonts w:ascii="Times New Roman" w:hAnsi="Times New Roman" w:cs="Times New Roman"/>
          <w:sz w:val="26"/>
          <w:szCs w:val="26"/>
        </w:rPr>
        <w:tab/>
        <w:t>Black’s Law Dictionary- 7</w:t>
      </w:r>
      <w:r w:rsidRPr="00D102B7">
        <w:rPr>
          <w:rFonts w:ascii="Times New Roman" w:hAnsi="Times New Roman" w:cs="Times New Roman"/>
          <w:sz w:val="26"/>
          <w:szCs w:val="26"/>
          <w:vertAlign w:val="superscript"/>
        </w:rPr>
        <w:t>th</w:t>
      </w:r>
      <w:r w:rsidRPr="00D102B7">
        <w:rPr>
          <w:rFonts w:ascii="Times New Roman" w:hAnsi="Times New Roman" w:cs="Times New Roman"/>
          <w:sz w:val="26"/>
          <w:szCs w:val="26"/>
        </w:rPr>
        <w:t xml:space="preserve"> Edition (1979) defines the term “public interest as follows:</w:t>
      </w:r>
    </w:p>
    <w:p w14:paraId="1E8590D3" w14:textId="77777777" w:rsidR="00F64D9A" w:rsidRPr="00D102B7" w:rsidRDefault="00F64D9A" w:rsidP="003B394C">
      <w:pPr>
        <w:keepNext/>
        <w:spacing w:after="0" w:line="240" w:lineRule="auto"/>
        <w:rPr>
          <w:rFonts w:ascii="Times New Roman" w:hAnsi="Times New Roman" w:cs="Times New Roman"/>
          <w:sz w:val="26"/>
          <w:szCs w:val="26"/>
        </w:rPr>
      </w:pPr>
    </w:p>
    <w:p w14:paraId="15BF6A14" w14:textId="090A5433" w:rsidR="00471209" w:rsidRDefault="00471209" w:rsidP="009018B5">
      <w:pPr>
        <w:pStyle w:val="ListParagraph"/>
        <w:keepNext/>
        <w:numPr>
          <w:ilvl w:val="0"/>
          <w:numId w:val="18"/>
        </w:numPr>
        <w:spacing w:after="240" w:line="259" w:lineRule="auto"/>
        <w:ind w:left="1440" w:right="1440" w:firstLine="0"/>
        <w:contextualSpacing/>
        <w:rPr>
          <w:sz w:val="26"/>
          <w:szCs w:val="26"/>
        </w:rPr>
      </w:pPr>
      <w:r w:rsidRPr="009F429C">
        <w:rPr>
          <w:sz w:val="26"/>
          <w:szCs w:val="26"/>
        </w:rPr>
        <w:t>The general welfare of the public that warrants recognition and protection; and</w:t>
      </w:r>
    </w:p>
    <w:p w14:paraId="6C4CCE24" w14:textId="77777777" w:rsidR="00D330BD" w:rsidRPr="009F429C" w:rsidRDefault="00D330BD" w:rsidP="00D330BD">
      <w:pPr>
        <w:pStyle w:val="ListParagraph"/>
        <w:keepNext/>
        <w:spacing w:after="240" w:line="259" w:lineRule="auto"/>
        <w:ind w:left="1440" w:right="1440"/>
        <w:contextualSpacing/>
        <w:rPr>
          <w:sz w:val="26"/>
          <w:szCs w:val="26"/>
        </w:rPr>
      </w:pPr>
    </w:p>
    <w:p w14:paraId="6B5546E0" w14:textId="77777777" w:rsidR="00471209" w:rsidRPr="009F429C" w:rsidRDefault="00471209" w:rsidP="006653F0">
      <w:pPr>
        <w:pStyle w:val="ListParagraph"/>
        <w:numPr>
          <w:ilvl w:val="0"/>
          <w:numId w:val="18"/>
        </w:numPr>
        <w:spacing w:line="259" w:lineRule="auto"/>
        <w:ind w:left="1440" w:right="1440" w:firstLine="0"/>
        <w:contextualSpacing/>
        <w:rPr>
          <w:sz w:val="26"/>
          <w:szCs w:val="26"/>
        </w:rPr>
      </w:pPr>
      <w:r w:rsidRPr="009F429C">
        <w:rPr>
          <w:sz w:val="26"/>
          <w:szCs w:val="26"/>
        </w:rPr>
        <w:t>Something in which the public as a whole has a stake; especially an interest that justifies government regulation.</w:t>
      </w:r>
    </w:p>
    <w:p w14:paraId="429CEF61" w14:textId="77777777" w:rsidR="00DB28EB" w:rsidRDefault="00DB28EB" w:rsidP="00D330BD">
      <w:pPr>
        <w:pStyle w:val="ListParagraph"/>
        <w:spacing w:line="480" w:lineRule="auto"/>
        <w:ind w:left="0" w:firstLine="1440"/>
        <w:rPr>
          <w:sz w:val="26"/>
          <w:szCs w:val="26"/>
        </w:rPr>
      </w:pPr>
    </w:p>
    <w:p w14:paraId="556FCDF7" w14:textId="5B825983" w:rsidR="00471209" w:rsidRPr="009F429C" w:rsidRDefault="00471209" w:rsidP="009C2970">
      <w:pPr>
        <w:pStyle w:val="ListParagraph"/>
        <w:spacing w:line="360" w:lineRule="auto"/>
        <w:ind w:left="0" w:firstLine="1440"/>
        <w:rPr>
          <w:sz w:val="26"/>
          <w:szCs w:val="26"/>
        </w:rPr>
      </w:pPr>
      <w:r w:rsidRPr="009F429C">
        <w:rPr>
          <w:sz w:val="26"/>
          <w:szCs w:val="26"/>
        </w:rPr>
        <w:t xml:space="preserve">The rates charged by a public utility and the determination of those rates as being just and reasonable are matters regulated by the Commission. </w:t>
      </w:r>
      <w:r>
        <w:rPr>
          <w:sz w:val="26"/>
          <w:szCs w:val="26"/>
        </w:rPr>
        <w:t xml:space="preserve"> </w:t>
      </w:r>
      <w:r w:rsidRPr="009F429C">
        <w:rPr>
          <w:sz w:val="26"/>
          <w:szCs w:val="26"/>
        </w:rPr>
        <w:t>66 Pa. C.S. §§</w:t>
      </w:r>
      <w:r w:rsidR="003B394C">
        <w:rPr>
          <w:sz w:val="26"/>
          <w:szCs w:val="26"/>
        </w:rPr>
        <w:t> </w:t>
      </w:r>
      <w:r w:rsidRPr="009F429C">
        <w:rPr>
          <w:sz w:val="26"/>
          <w:szCs w:val="26"/>
        </w:rPr>
        <w:t xml:space="preserve">1301(a), 1308(d). </w:t>
      </w:r>
      <w:r>
        <w:rPr>
          <w:sz w:val="26"/>
          <w:szCs w:val="26"/>
        </w:rPr>
        <w:t xml:space="preserve"> </w:t>
      </w:r>
      <w:r w:rsidRPr="009F429C">
        <w:rPr>
          <w:sz w:val="26"/>
          <w:szCs w:val="26"/>
        </w:rPr>
        <w:t xml:space="preserve">The general welfare of the public as a whole depends upon the Commission discharging its duty to ensure that rates are just and reasonable. </w:t>
      </w:r>
      <w:r>
        <w:rPr>
          <w:sz w:val="26"/>
          <w:szCs w:val="26"/>
        </w:rPr>
        <w:t xml:space="preserve"> </w:t>
      </w:r>
      <w:r w:rsidRPr="009F429C">
        <w:rPr>
          <w:sz w:val="26"/>
          <w:szCs w:val="26"/>
        </w:rPr>
        <w:t>In doing so, the public welfare is served.</w:t>
      </w:r>
    </w:p>
    <w:p w14:paraId="3D3D60AF" w14:textId="77777777" w:rsidR="00471209" w:rsidRPr="009F429C" w:rsidRDefault="00471209" w:rsidP="00471209">
      <w:pPr>
        <w:pStyle w:val="ListParagraph"/>
        <w:spacing w:line="360" w:lineRule="auto"/>
        <w:ind w:left="0"/>
        <w:rPr>
          <w:sz w:val="26"/>
          <w:szCs w:val="26"/>
        </w:rPr>
      </w:pPr>
    </w:p>
    <w:p w14:paraId="76B2FF40" w14:textId="77777777" w:rsidR="00471209" w:rsidRPr="009F429C" w:rsidRDefault="00471209" w:rsidP="00471209">
      <w:pPr>
        <w:pStyle w:val="ListParagraph"/>
        <w:spacing w:line="360" w:lineRule="auto"/>
        <w:ind w:left="0"/>
        <w:rPr>
          <w:sz w:val="26"/>
          <w:szCs w:val="26"/>
        </w:rPr>
      </w:pPr>
      <w:r w:rsidRPr="009F429C">
        <w:rPr>
          <w:sz w:val="26"/>
          <w:szCs w:val="26"/>
        </w:rPr>
        <w:tab/>
      </w:r>
      <w:r>
        <w:rPr>
          <w:sz w:val="26"/>
          <w:szCs w:val="26"/>
        </w:rPr>
        <w:tab/>
      </w:r>
      <w:r w:rsidRPr="009F429C">
        <w:rPr>
          <w:sz w:val="26"/>
          <w:szCs w:val="26"/>
        </w:rPr>
        <w:t xml:space="preserve">In the context of a general rate increase case such as this one, the Commission is aided by the active participation of entities representing various subgroups of the entire public. </w:t>
      </w:r>
      <w:r>
        <w:rPr>
          <w:sz w:val="26"/>
          <w:szCs w:val="26"/>
        </w:rPr>
        <w:t xml:space="preserve"> </w:t>
      </w:r>
      <w:r w:rsidRPr="009F429C">
        <w:rPr>
          <w:sz w:val="26"/>
          <w:szCs w:val="26"/>
        </w:rPr>
        <w:t xml:space="preserve">A number of these active participants have a statutorily imposed obligation to provide this representation, while others are self-created entities choosing to represent a delineated subgroup. </w:t>
      </w:r>
      <w:r>
        <w:rPr>
          <w:sz w:val="26"/>
          <w:szCs w:val="26"/>
        </w:rPr>
        <w:t xml:space="preserve"> </w:t>
      </w:r>
      <w:r w:rsidRPr="009F429C">
        <w:rPr>
          <w:sz w:val="26"/>
          <w:szCs w:val="26"/>
        </w:rPr>
        <w:t>Taken as a whole, these active participants cover the entire spectrum of the public whose welfare is to be protected.</w:t>
      </w:r>
    </w:p>
    <w:p w14:paraId="4BF726BF" w14:textId="77777777" w:rsidR="00471209" w:rsidRPr="009F429C" w:rsidRDefault="00471209" w:rsidP="00471209">
      <w:pPr>
        <w:pStyle w:val="ListParagraph"/>
        <w:spacing w:line="360" w:lineRule="auto"/>
        <w:ind w:left="0"/>
        <w:rPr>
          <w:sz w:val="26"/>
          <w:szCs w:val="26"/>
        </w:rPr>
      </w:pPr>
    </w:p>
    <w:p w14:paraId="0DF38601" w14:textId="23EB16AF" w:rsidR="00471209" w:rsidRPr="009F429C" w:rsidRDefault="00471209" w:rsidP="00471209">
      <w:pPr>
        <w:pStyle w:val="ListParagraph"/>
        <w:spacing w:line="360" w:lineRule="auto"/>
        <w:ind w:left="0"/>
        <w:rPr>
          <w:sz w:val="26"/>
          <w:szCs w:val="26"/>
        </w:rPr>
      </w:pPr>
      <w:r w:rsidRPr="009F429C">
        <w:rPr>
          <w:sz w:val="26"/>
          <w:szCs w:val="26"/>
        </w:rPr>
        <w:tab/>
      </w:r>
      <w:r>
        <w:rPr>
          <w:sz w:val="26"/>
          <w:szCs w:val="26"/>
        </w:rPr>
        <w:tab/>
        <w:t xml:space="preserve">The </w:t>
      </w:r>
      <w:r w:rsidRPr="009F429C">
        <w:rPr>
          <w:sz w:val="26"/>
          <w:szCs w:val="26"/>
        </w:rPr>
        <w:t xml:space="preserve">OCA is statutorily charged with the duty of representing “the interests of consumers”, </w:t>
      </w:r>
      <w:r w:rsidRPr="009F429C">
        <w:rPr>
          <w:i/>
          <w:sz w:val="26"/>
          <w:szCs w:val="26"/>
        </w:rPr>
        <w:t>i.e.</w:t>
      </w:r>
      <w:r w:rsidRPr="009F429C">
        <w:rPr>
          <w:sz w:val="26"/>
          <w:szCs w:val="26"/>
        </w:rPr>
        <w:t>, individual ratepayers, “in any matter properly before the commission</w:t>
      </w:r>
      <w:r w:rsidR="00F13CA9">
        <w:rPr>
          <w:sz w:val="26"/>
          <w:szCs w:val="26"/>
        </w:rPr>
        <w:t>,</w:t>
      </w:r>
      <w:r w:rsidRPr="009F429C">
        <w:rPr>
          <w:sz w:val="26"/>
          <w:szCs w:val="26"/>
        </w:rPr>
        <w:t xml:space="preserve">” such as the instant general rate increase case. </w:t>
      </w:r>
      <w:r>
        <w:rPr>
          <w:sz w:val="26"/>
          <w:szCs w:val="26"/>
        </w:rPr>
        <w:t xml:space="preserve"> </w:t>
      </w:r>
      <w:r w:rsidRPr="009F429C">
        <w:rPr>
          <w:sz w:val="26"/>
          <w:szCs w:val="26"/>
        </w:rPr>
        <w:t>66 Pa. C.S. § 3206(a).</w:t>
      </w:r>
      <w:r w:rsidR="00F13CA9">
        <w:rPr>
          <w:sz w:val="26"/>
          <w:szCs w:val="26"/>
        </w:rPr>
        <w:t xml:space="preserve">  </w:t>
      </w:r>
      <w:r>
        <w:rPr>
          <w:sz w:val="26"/>
          <w:szCs w:val="26"/>
        </w:rPr>
        <w:t xml:space="preserve">The </w:t>
      </w:r>
      <w:r w:rsidRPr="009F429C">
        <w:rPr>
          <w:sz w:val="26"/>
          <w:szCs w:val="26"/>
        </w:rPr>
        <w:t>OSBA is statutorily charged with the duty of representing “the interests of small business consumers, in any matter properly before the commission</w:t>
      </w:r>
      <w:r w:rsidR="00F13CA9">
        <w:rPr>
          <w:sz w:val="26"/>
          <w:szCs w:val="26"/>
        </w:rPr>
        <w:t>,</w:t>
      </w:r>
      <w:r w:rsidRPr="009F429C">
        <w:rPr>
          <w:sz w:val="26"/>
          <w:szCs w:val="26"/>
        </w:rPr>
        <w:t xml:space="preserve">” such as the instant general rate increase case. </w:t>
      </w:r>
      <w:r>
        <w:rPr>
          <w:sz w:val="26"/>
          <w:szCs w:val="26"/>
        </w:rPr>
        <w:t xml:space="preserve"> </w:t>
      </w:r>
      <w:r w:rsidRPr="009F429C">
        <w:rPr>
          <w:sz w:val="26"/>
          <w:szCs w:val="26"/>
        </w:rPr>
        <w:t>66 Pa. C.S. § 3206(b).</w:t>
      </w:r>
      <w:r w:rsidR="00F13CA9">
        <w:rPr>
          <w:sz w:val="26"/>
          <w:szCs w:val="26"/>
        </w:rPr>
        <w:t xml:space="preserve">  </w:t>
      </w:r>
      <w:r w:rsidRPr="009F429C">
        <w:rPr>
          <w:sz w:val="26"/>
          <w:szCs w:val="26"/>
        </w:rPr>
        <w:t xml:space="preserve">I&amp;E is statutorily charged with taking “appropriate enforcement actions, including rate proceedings . . . to insure compliance </w:t>
      </w:r>
      <w:r w:rsidRPr="009F429C">
        <w:rPr>
          <w:sz w:val="26"/>
          <w:szCs w:val="26"/>
        </w:rPr>
        <w:lastRenderedPageBreak/>
        <w:t xml:space="preserve">with this title [Title 66, Pennsylvania Consolidated Statutes], commission regulations and orders.” </w:t>
      </w:r>
      <w:r>
        <w:rPr>
          <w:sz w:val="26"/>
          <w:szCs w:val="26"/>
        </w:rPr>
        <w:t xml:space="preserve"> </w:t>
      </w:r>
      <w:r w:rsidRPr="009F429C">
        <w:rPr>
          <w:sz w:val="26"/>
          <w:szCs w:val="26"/>
        </w:rPr>
        <w:t>66 Pa. C.S. § 308.2.(a)(11).</w:t>
      </w:r>
    </w:p>
    <w:p w14:paraId="526894F3" w14:textId="77777777" w:rsidR="00471209" w:rsidRPr="009F429C" w:rsidRDefault="00471209" w:rsidP="00471209">
      <w:pPr>
        <w:pStyle w:val="ListParagraph"/>
        <w:spacing w:line="360" w:lineRule="auto"/>
        <w:ind w:left="0"/>
        <w:rPr>
          <w:sz w:val="26"/>
          <w:szCs w:val="26"/>
        </w:rPr>
      </w:pPr>
    </w:p>
    <w:p w14:paraId="11271E26" w14:textId="645323B8" w:rsidR="00471209" w:rsidRDefault="00471209" w:rsidP="00471209">
      <w:pPr>
        <w:pStyle w:val="ListParagraph"/>
        <w:spacing w:line="360" w:lineRule="auto"/>
        <w:ind w:left="0"/>
        <w:rPr>
          <w:sz w:val="26"/>
          <w:szCs w:val="26"/>
        </w:rPr>
      </w:pPr>
      <w:r w:rsidRPr="009F429C">
        <w:rPr>
          <w:sz w:val="26"/>
          <w:szCs w:val="26"/>
        </w:rPr>
        <w:tab/>
      </w:r>
      <w:r>
        <w:rPr>
          <w:sz w:val="26"/>
          <w:szCs w:val="26"/>
        </w:rPr>
        <w:tab/>
      </w:r>
      <w:r w:rsidRPr="009F429C">
        <w:rPr>
          <w:sz w:val="26"/>
          <w:szCs w:val="26"/>
        </w:rPr>
        <w:t xml:space="preserve">One could argue that these three entities alone constitute representation of the entire public whose welfare is to be protected. </w:t>
      </w:r>
      <w:r>
        <w:rPr>
          <w:sz w:val="26"/>
          <w:szCs w:val="26"/>
        </w:rPr>
        <w:t xml:space="preserve"> The </w:t>
      </w:r>
      <w:r w:rsidRPr="009F429C">
        <w:rPr>
          <w:sz w:val="26"/>
          <w:szCs w:val="26"/>
        </w:rPr>
        <w:t>OCA represents the interests of all of UGI Electric’s individual ratepayers</w:t>
      </w:r>
      <w:r w:rsidR="00144CD7">
        <w:rPr>
          <w:sz w:val="26"/>
          <w:szCs w:val="26"/>
        </w:rPr>
        <w:t>,</w:t>
      </w:r>
      <w:r w:rsidRPr="009F429C">
        <w:rPr>
          <w:sz w:val="26"/>
          <w:szCs w:val="26"/>
        </w:rPr>
        <w:t xml:space="preserve"> including, in this case, Ms. Brace. </w:t>
      </w:r>
      <w:r>
        <w:rPr>
          <w:sz w:val="26"/>
          <w:szCs w:val="26"/>
        </w:rPr>
        <w:t xml:space="preserve"> The </w:t>
      </w:r>
      <w:r w:rsidRPr="009F429C">
        <w:rPr>
          <w:sz w:val="26"/>
          <w:szCs w:val="26"/>
        </w:rPr>
        <w:t xml:space="preserve">OSBA represents the interests of all of UGI Electric’s small business ratepayers. </w:t>
      </w:r>
      <w:r>
        <w:rPr>
          <w:sz w:val="26"/>
          <w:szCs w:val="26"/>
        </w:rPr>
        <w:t xml:space="preserve"> </w:t>
      </w:r>
      <w:r w:rsidRPr="009F429C">
        <w:rPr>
          <w:sz w:val="26"/>
          <w:szCs w:val="26"/>
        </w:rPr>
        <w:t>I&amp;E represents the Commission as the entity charged with ensuring that rates are just and reasonable and</w:t>
      </w:r>
      <w:r w:rsidR="00144CD7">
        <w:rPr>
          <w:sz w:val="26"/>
          <w:szCs w:val="26"/>
        </w:rPr>
        <w:t>,</w:t>
      </w:r>
      <w:r w:rsidRPr="009F429C">
        <w:rPr>
          <w:sz w:val="26"/>
          <w:szCs w:val="26"/>
        </w:rPr>
        <w:t xml:space="preserve"> therefore</w:t>
      </w:r>
      <w:r w:rsidR="00144CD7">
        <w:rPr>
          <w:sz w:val="26"/>
          <w:szCs w:val="26"/>
        </w:rPr>
        <w:t>,</w:t>
      </w:r>
      <w:r w:rsidRPr="009F429C">
        <w:rPr>
          <w:sz w:val="26"/>
          <w:szCs w:val="26"/>
        </w:rPr>
        <w:t xml:space="preserve"> protective of all of UGI Electric’s ratepayers of whatever category.</w:t>
      </w:r>
      <w:r w:rsidR="00144CD7">
        <w:rPr>
          <w:sz w:val="26"/>
          <w:szCs w:val="26"/>
        </w:rPr>
        <w:t xml:space="preserve">  </w:t>
      </w:r>
    </w:p>
    <w:p w14:paraId="648E3E5B" w14:textId="77777777" w:rsidR="00DB28EB" w:rsidRPr="009F429C" w:rsidRDefault="00DB28EB" w:rsidP="00471209">
      <w:pPr>
        <w:pStyle w:val="ListParagraph"/>
        <w:spacing w:line="360" w:lineRule="auto"/>
        <w:ind w:left="0"/>
        <w:rPr>
          <w:sz w:val="26"/>
          <w:szCs w:val="26"/>
        </w:rPr>
      </w:pPr>
    </w:p>
    <w:p w14:paraId="54ED57AC" w14:textId="217879CA" w:rsidR="00471209" w:rsidRPr="009F429C" w:rsidRDefault="00471209" w:rsidP="000000FF">
      <w:pPr>
        <w:pStyle w:val="ListParagraph"/>
        <w:spacing w:line="360" w:lineRule="auto"/>
        <w:ind w:left="0"/>
        <w:rPr>
          <w:sz w:val="26"/>
          <w:szCs w:val="26"/>
        </w:rPr>
      </w:pPr>
      <w:r w:rsidRPr="009F429C">
        <w:rPr>
          <w:sz w:val="26"/>
          <w:szCs w:val="26"/>
        </w:rPr>
        <w:tab/>
      </w:r>
      <w:r>
        <w:rPr>
          <w:sz w:val="26"/>
          <w:szCs w:val="26"/>
        </w:rPr>
        <w:tab/>
      </w:r>
      <w:r w:rsidRPr="009F429C">
        <w:rPr>
          <w:sz w:val="26"/>
          <w:szCs w:val="26"/>
        </w:rPr>
        <w:t>All three of these entities</w:t>
      </w:r>
      <w:r w:rsidR="00144CD7">
        <w:rPr>
          <w:sz w:val="26"/>
          <w:szCs w:val="26"/>
        </w:rPr>
        <w:t>,</w:t>
      </w:r>
      <w:r w:rsidRPr="009F429C">
        <w:rPr>
          <w:sz w:val="26"/>
          <w:szCs w:val="26"/>
        </w:rPr>
        <w:t xml:space="preserve"> frequently describe</w:t>
      </w:r>
      <w:r>
        <w:rPr>
          <w:sz w:val="26"/>
          <w:szCs w:val="26"/>
        </w:rPr>
        <w:t>d</w:t>
      </w:r>
      <w:r w:rsidRPr="009F429C">
        <w:rPr>
          <w:sz w:val="26"/>
          <w:szCs w:val="26"/>
        </w:rPr>
        <w:t xml:space="preserve"> as the “public advocates</w:t>
      </w:r>
      <w:r w:rsidR="004C3073">
        <w:rPr>
          <w:sz w:val="26"/>
          <w:szCs w:val="26"/>
        </w:rPr>
        <w:t>,</w:t>
      </w:r>
      <w:r w:rsidRPr="009F429C">
        <w:rPr>
          <w:sz w:val="26"/>
          <w:szCs w:val="26"/>
        </w:rPr>
        <w:t>” actively participated in the instant case</w:t>
      </w:r>
      <w:r w:rsidR="004C3073">
        <w:rPr>
          <w:sz w:val="26"/>
          <w:szCs w:val="26"/>
        </w:rPr>
        <w:t>,</w:t>
      </w:r>
      <w:r w:rsidRPr="009F429C">
        <w:rPr>
          <w:sz w:val="26"/>
          <w:szCs w:val="26"/>
        </w:rPr>
        <w:t xml:space="preserve"> and all three participated in the negotiation of the </w:t>
      </w:r>
      <w:r>
        <w:rPr>
          <w:sz w:val="26"/>
          <w:szCs w:val="26"/>
        </w:rPr>
        <w:t>S</w:t>
      </w:r>
      <w:r w:rsidRPr="009F429C">
        <w:rPr>
          <w:sz w:val="26"/>
          <w:szCs w:val="26"/>
        </w:rPr>
        <w:t xml:space="preserve">ettlement contained in the Joint Petition and have stated their support for its adoption by the Commission. </w:t>
      </w:r>
      <w:r>
        <w:rPr>
          <w:sz w:val="26"/>
          <w:szCs w:val="26"/>
        </w:rPr>
        <w:t xml:space="preserve"> </w:t>
      </w:r>
      <w:r w:rsidRPr="009F429C">
        <w:rPr>
          <w:i/>
          <w:sz w:val="26"/>
          <w:szCs w:val="26"/>
        </w:rPr>
        <w:t>See</w:t>
      </w:r>
      <w:r w:rsidRPr="009F429C">
        <w:rPr>
          <w:sz w:val="26"/>
          <w:szCs w:val="26"/>
        </w:rPr>
        <w:t xml:space="preserve"> OCA Statement in Support, OSBA Statement in Support</w:t>
      </w:r>
      <w:r w:rsidR="00A90A74">
        <w:rPr>
          <w:sz w:val="26"/>
          <w:szCs w:val="26"/>
        </w:rPr>
        <w:t>,</w:t>
      </w:r>
      <w:r w:rsidRPr="009F429C">
        <w:rPr>
          <w:sz w:val="26"/>
          <w:szCs w:val="26"/>
        </w:rPr>
        <w:t xml:space="preserve"> and I&amp;E Statement in Support</w:t>
      </w:r>
      <w:r w:rsidR="000000FF">
        <w:rPr>
          <w:sz w:val="26"/>
          <w:szCs w:val="26"/>
        </w:rPr>
        <w:t xml:space="preserve">.  </w:t>
      </w:r>
      <w:r w:rsidRPr="009F429C">
        <w:rPr>
          <w:sz w:val="26"/>
          <w:szCs w:val="26"/>
        </w:rPr>
        <w:t xml:space="preserve">We fully </w:t>
      </w:r>
      <w:r w:rsidR="000000FF">
        <w:rPr>
          <w:sz w:val="26"/>
          <w:szCs w:val="26"/>
        </w:rPr>
        <w:t xml:space="preserve">find </w:t>
      </w:r>
      <w:r w:rsidRPr="009F429C">
        <w:rPr>
          <w:sz w:val="26"/>
          <w:szCs w:val="26"/>
        </w:rPr>
        <w:t xml:space="preserve">that the combined efforts </w:t>
      </w:r>
      <w:r>
        <w:rPr>
          <w:sz w:val="26"/>
          <w:szCs w:val="26"/>
        </w:rPr>
        <w:t xml:space="preserve">of the OCA, the OSBA, and I&amp;E </w:t>
      </w:r>
      <w:r w:rsidRPr="009F429C">
        <w:rPr>
          <w:sz w:val="26"/>
          <w:szCs w:val="26"/>
        </w:rPr>
        <w:t>adequately and completely protect the public interest in this case.</w:t>
      </w:r>
    </w:p>
    <w:p w14:paraId="30495746" w14:textId="77777777" w:rsidR="00471209" w:rsidRPr="009F429C" w:rsidRDefault="00471209" w:rsidP="00471209">
      <w:pPr>
        <w:pStyle w:val="ListParagraph"/>
        <w:spacing w:line="360" w:lineRule="auto"/>
        <w:ind w:left="0" w:firstLine="720"/>
        <w:rPr>
          <w:sz w:val="26"/>
          <w:szCs w:val="26"/>
        </w:rPr>
      </w:pPr>
    </w:p>
    <w:p w14:paraId="764D1AB0" w14:textId="3B36510D" w:rsidR="00471209" w:rsidRPr="009F429C" w:rsidRDefault="00471209" w:rsidP="00471209">
      <w:pPr>
        <w:pStyle w:val="ListParagraph"/>
        <w:spacing w:line="360" w:lineRule="auto"/>
        <w:ind w:left="0" w:firstLine="1440"/>
        <w:rPr>
          <w:sz w:val="26"/>
          <w:szCs w:val="26"/>
        </w:rPr>
      </w:pPr>
      <w:r w:rsidRPr="009F429C">
        <w:rPr>
          <w:sz w:val="26"/>
          <w:szCs w:val="26"/>
        </w:rPr>
        <w:t>In the instant proceeding</w:t>
      </w:r>
      <w:r>
        <w:rPr>
          <w:sz w:val="26"/>
          <w:szCs w:val="26"/>
        </w:rPr>
        <w:t>,</w:t>
      </w:r>
      <w:r w:rsidRPr="009F429C">
        <w:rPr>
          <w:sz w:val="26"/>
          <w:szCs w:val="26"/>
        </w:rPr>
        <w:t xml:space="preserve"> there are also other entities who actively participated and who represent other subgroups of the public as a whole.</w:t>
      </w:r>
      <w:r w:rsidR="000000FF">
        <w:rPr>
          <w:sz w:val="26"/>
          <w:szCs w:val="26"/>
        </w:rPr>
        <w:t xml:space="preserve">  For instance, </w:t>
      </w:r>
      <w:r w:rsidRPr="009F429C">
        <w:rPr>
          <w:sz w:val="26"/>
          <w:szCs w:val="26"/>
        </w:rPr>
        <w:t>CAUSE-PA is an unincorporated association of low-income individuals that advocates to enable consumers of limited income in the Commonwealth of Pennsylvania to connect to and maintain affordable water, electric, heating</w:t>
      </w:r>
      <w:r w:rsidR="000000FF">
        <w:rPr>
          <w:sz w:val="26"/>
          <w:szCs w:val="26"/>
        </w:rPr>
        <w:t>,</w:t>
      </w:r>
      <w:r w:rsidRPr="009F429C">
        <w:rPr>
          <w:sz w:val="26"/>
          <w:szCs w:val="26"/>
        </w:rPr>
        <w:t xml:space="preserve"> and telecommunications services.</w:t>
      </w:r>
      <w:r w:rsidR="000000FF">
        <w:rPr>
          <w:sz w:val="26"/>
          <w:szCs w:val="26"/>
        </w:rPr>
        <w:t xml:space="preserve">  </w:t>
      </w:r>
      <w:r w:rsidRPr="009F429C">
        <w:rPr>
          <w:sz w:val="26"/>
          <w:szCs w:val="26"/>
        </w:rPr>
        <w:t>CEO is a not-for-profit corporation that advocates for the low-income population of Luzerne County, Pennsylvania.</w:t>
      </w:r>
      <w:r w:rsidR="000000FF">
        <w:rPr>
          <w:sz w:val="26"/>
          <w:szCs w:val="26"/>
        </w:rPr>
        <w:t xml:space="preserve">  </w:t>
      </w:r>
      <w:r w:rsidRPr="009F429C">
        <w:rPr>
          <w:sz w:val="26"/>
          <w:szCs w:val="26"/>
        </w:rPr>
        <w:t>ChargePoint is a corporation operating a large electric vehicle charging network.</w:t>
      </w:r>
      <w:r w:rsidR="0041383A">
        <w:rPr>
          <w:sz w:val="26"/>
          <w:szCs w:val="26"/>
        </w:rPr>
        <w:t xml:space="preserve">  </w:t>
      </w:r>
      <w:r w:rsidRPr="009F429C">
        <w:rPr>
          <w:sz w:val="26"/>
          <w:szCs w:val="26"/>
        </w:rPr>
        <w:t>RESA is a trade association of energy companies</w:t>
      </w:r>
      <w:r w:rsidR="0041383A">
        <w:rPr>
          <w:sz w:val="26"/>
          <w:szCs w:val="26"/>
        </w:rPr>
        <w:t>,</w:t>
      </w:r>
      <w:r w:rsidRPr="009F429C">
        <w:rPr>
          <w:sz w:val="26"/>
          <w:szCs w:val="26"/>
        </w:rPr>
        <w:t xml:space="preserve"> including Pennsylvania licensed electric generation suppliers.</w:t>
      </w:r>
      <w:r w:rsidR="0041383A">
        <w:rPr>
          <w:sz w:val="26"/>
          <w:szCs w:val="26"/>
        </w:rPr>
        <w:t xml:space="preserve">  </w:t>
      </w:r>
      <w:r w:rsidRPr="009F429C">
        <w:rPr>
          <w:sz w:val="26"/>
          <w:szCs w:val="26"/>
        </w:rPr>
        <w:t>NRG is a Fortune 500 integrated power company licensed and doing business in the Commonwealth of Pennsylvania.</w:t>
      </w:r>
    </w:p>
    <w:p w14:paraId="0705C674" w14:textId="77777777" w:rsidR="00471209" w:rsidRPr="009F429C" w:rsidRDefault="00471209" w:rsidP="00471209">
      <w:pPr>
        <w:pStyle w:val="ListParagraph"/>
        <w:spacing w:line="360" w:lineRule="auto"/>
        <w:ind w:left="0" w:firstLine="720"/>
        <w:rPr>
          <w:sz w:val="26"/>
          <w:szCs w:val="26"/>
        </w:rPr>
      </w:pPr>
    </w:p>
    <w:p w14:paraId="039B1501" w14:textId="6D956007" w:rsidR="00471209" w:rsidRPr="009F429C" w:rsidRDefault="00471209" w:rsidP="00471209">
      <w:pPr>
        <w:pStyle w:val="ListParagraph"/>
        <w:spacing w:line="360" w:lineRule="auto"/>
        <w:ind w:left="0" w:firstLine="1440"/>
        <w:rPr>
          <w:sz w:val="26"/>
          <w:szCs w:val="26"/>
        </w:rPr>
      </w:pPr>
      <w:r w:rsidRPr="009F429C">
        <w:rPr>
          <w:sz w:val="26"/>
          <w:szCs w:val="26"/>
        </w:rPr>
        <w:lastRenderedPageBreak/>
        <w:t>Together, these entities represent low-income individuals (CAUSE-PA and CEO) and large corporations</w:t>
      </w:r>
      <w:r w:rsidR="00FF0970">
        <w:rPr>
          <w:sz w:val="26"/>
          <w:szCs w:val="26"/>
        </w:rPr>
        <w:t>,</w:t>
      </w:r>
      <w:r w:rsidRPr="009F429C">
        <w:rPr>
          <w:sz w:val="26"/>
          <w:szCs w:val="26"/>
        </w:rPr>
        <w:t xml:space="preserve"> either individually (ChargePoint and NRG)</w:t>
      </w:r>
      <w:r w:rsidR="00FF0970">
        <w:rPr>
          <w:sz w:val="26"/>
          <w:szCs w:val="26"/>
        </w:rPr>
        <w:t>,</w:t>
      </w:r>
      <w:r w:rsidRPr="009F429C">
        <w:rPr>
          <w:sz w:val="26"/>
          <w:szCs w:val="26"/>
        </w:rPr>
        <w:t xml:space="preserve"> or collectively (RESA). </w:t>
      </w:r>
      <w:r>
        <w:rPr>
          <w:sz w:val="26"/>
          <w:szCs w:val="26"/>
        </w:rPr>
        <w:t xml:space="preserve"> </w:t>
      </w:r>
      <w:r w:rsidRPr="009F429C">
        <w:rPr>
          <w:sz w:val="26"/>
          <w:szCs w:val="26"/>
        </w:rPr>
        <w:t>By virtue of their respective constituencies</w:t>
      </w:r>
      <w:r>
        <w:rPr>
          <w:sz w:val="26"/>
          <w:szCs w:val="26"/>
        </w:rPr>
        <w:t>,</w:t>
      </w:r>
      <w:r w:rsidRPr="009F429C">
        <w:rPr>
          <w:sz w:val="26"/>
          <w:szCs w:val="26"/>
        </w:rPr>
        <w:t xml:space="preserve"> they represent the public interest of separate subgroups of the overall public. </w:t>
      </w:r>
      <w:r>
        <w:rPr>
          <w:sz w:val="26"/>
          <w:szCs w:val="26"/>
        </w:rPr>
        <w:t xml:space="preserve"> </w:t>
      </w:r>
      <w:r w:rsidRPr="009F429C">
        <w:rPr>
          <w:sz w:val="26"/>
          <w:szCs w:val="26"/>
        </w:rPr>
        <w:t>Each of them has stated that the public interest</w:t>
      </w:r>
      <w:r w:rsidR="008B439A">
        <w:rPr>
          <w:sz w:val="26"/>
          <w:szCs w:val="26"/>
        </w:rPr>
        <w:t>,</w:t>
      </w:r>
      <w:r w:rsidRPr="009F429C">
        <w:rPr>
          <w:sz w:val="26"/>
          <w:szCs w:val="26"/>
        </w:rPr>
        <w:t xml:space="preserve"> from their perspective</w:t>
      </w:r>
      <w:r w:rsidR="008B439A">
        <w:rPr>
          <w:sz w:val="26"/>
          <w:szCs w:val="26"/>
        </w:rPr>
        <w:t>,</w:t>
      </w:r>
      <w:r w:rsidRPr="009F429C">
        <w:rPr>
          <w:sz w:val="26"/>
          <w:szCs w:val="26"/>
        </w:rPr>
        <w:t xml:space="preserve"> is protected by the </w:t>
      </w:r>
      <w:r>
        <w:rPr>
          <w:sz w:val="26"/>
          <w:szCs w:val="26"/>
        </w:rPr>
        <w:t>S</w:t>
      </w:r>
      <w:r w:rsidRPr="009F429C">
        <w:rPr>
          <w:sz w:val="26"/>
          <w:szCs w:val="26"/>
        </w:rPr>
        <w:t xml:space="preserve">ettlement contained in the Joint Petition. </w:t>
      </w:r>
      <w:r w:rsidR="008B439A">
        <w:rPr>
          <w:sz w:val="26"/>
          <w:szCs w:val="26"/>
        </w:rPr>
        <w:t xml:space="preserve"> </w:t>
      </w:r>
      <w:r w:rsidRPr="009F429C">
        <w:rPr>
          <w:i/>
          <w:sz w:val="26"/>
          <w:szCs w:val="26"/>
        </w:rPr>
        <w:t>See</w:t>
      </w:r>
      <w:r w:rsidRPr="009F429C">
        <w:rPr>
          <w:sz w:val="26"/>
          <w:szCs w:val="26"/>
        </w:rPr>
        <w:t xml:space="preserve"> CAUSE-PA Statement in Support, CEO Statement in Support, ChargePoint Statement in Support</w:t>
      </w:r>
      <w:r w:rsidR="008B439A">
        <w:rPr>
          <w:sz w:val="26"/>
          <w:szCs w:val="26"/>
        </w:rPr>
        <w:t>,</w:t>
      </w:r>
      <w:r w:rsidRPr="009F429C">
        <w:rPr>
          <w:sz w:val="26"/>
          <w:szCs w:val="26"/>
        </w:rPr>
        <w:t xml:space="preserve"> and RESA/NRG Statement in Support.</w:t>
      </w:r>
    </w:p>
    <w:p w14:paraId="6F817810" w14:textId="77777777" w:rsidR="00471209" w:rsidRPr="009F429C" w:rsidRDefault="00471209" w:rsidP="00471209">
      <w:pPr>
        <w:pStyle w:val="ListParagraph"/>
        <w:spacing w:line="360" w:lineRule="auto"/>
        <w:ind w:left="0" w:firstLine="720"/>
        <w:rPr>
          <w:sz w:val="26"/>
          <w:szCs w:val="26"/>
        </w:rPr>
      </w:pPr>
    </w:p>
    <w:p w14:paraId="501736B6" w14:textId="158D919F" w:rsidR="00471209" w:rsidRPr="009F429C" w:rsidRDefault="00471209" w:rsidP="00A57F33">
      <w:pPr>
        <w:pStyle w:val="ListParagraph"/>
        <w:spacing w:line="360" w:lineRule="auto"/>
        <w:ind w:left="0" w:firstLine="1440"/>
        <w:rPr>
          <w:sz w:val="26"/>
          <w:szCs w:val="26"/>
        </w:rPr>
      </w:pPr>
      <w:r>
        <w:rPr>
          <w:sz w:val="26"/>
          <w:szCs w:val="26"/>
        </w:rPr>
        <w:t>T</w:t>
      </w:r>
      <w:r w:rsidRPr="009F429C">
        <w:rPr>
          <w:sz w:val="26"/>
          <w:szCs w:val="26"/>
        </w:rPr>
        <w:t>he “public interest” to be served in this general rate increase proceeding is the welfare of the public as compared to the welfare of a private individual or company.</w:t>
      </w:r>
      <w:r w:rsidR="00A57F33">
        <w:rPr>
          <w:sz w:val="26"/>
          <w:szCs w:val="26"/>
        </w:rPr>
        <w:t xml:space="preserve"> </w:t>
      </w:r>
      <w:r w:rsidRPr="009F429C">
        <w:rPr>
          <w:sz w:val="26"/>
          <w:szCs w:val="26"/>
        </w:rPr>
        <w:t>The Joint Petitioners</w:t>
      </w:r>
      <w:r w:rsidR="00A57F33">
        <w:rPr>
          <w:sz w:val="26"/>
          <w:szCs w:val="26"/>
        </w:rPr>
        <w:t xml:space="preserve"> are</w:t>
      </w:r>
      <w:r w:rsidRPr="009F429C">
        <w:rPr>
          <w:sz w:val="26"/>
          <w:szCs w:val="26"/>
        </w:rPr>
        <w:t xml:space="preserve"> a diverse group of entities (some having a legally established responsibility)</w:t>
      </w:r>
      <w:r w:rsidR="00A57F33">
        <w:rPr>
          <w:sz w:val="26"/>
          <w:szCs w:val="26"/>
        </w:rPr>
        <w:t xml:space="preserve"> that</w:t>
      </w:r>
      <w:r w:rsidRPr="009F429C">
        <w:rPr>
          <w:sz w:val="26"/>
          <w:szCs w:val="26"/>
        </w:rPr>
        <w:t xml:space="preserve"> when considered as a whole</w:t>
      </w:r>
      <w:r w:rsidR="00A57F33">
        <w:rPr>
          <w:sz w:val="26"/>
          <w:szCs w:val="26"/>
        </w:rPr>
        <w:t>,</w:t>
      </w:r>
      <w:r w:rsidRPr="009F429C">
        <w:rPr>
          <w:sz w:val="26"/>
          <w:szCs w:val="26"/>
        </w:rPr>
        <w:t xml:space="preserve"> clearly serve to represent the public interest of the community having a stake in the outcome of this case.</w:t>
      </w:r>
      <w:r w:rsidR="00A57F33">
        <w:rPr>
          <w:sz w:val="26"/>
          <w:szCs w:val="26"/>
        </w:rPr>
        <w:t xml:space="preserve">  </w:t>
      </w:r>
      <w:r w:rsidRPr="009F429C">
        <w:rPr>
          <w:sz w:val="26"/>
          <w:szCs w:val="26"/>
        </w:rPr>
        <w:t xml:space="preserve">Consequently, we shall deny Ms. Brace’s Exception </w:t>
      </w:r>
      <w:r>
        <w:rPr>
          <w:sz w:val="26"/>
          <w:szCs w:val="26"/>
        </w:rPr>
        <w:t>No.</w:t>
      </w:r>
      <w:r w:rsidR="0001192D">
        <w:rPr>
          <w:sz w:val="26"/>
          <w:szCs w:val="26"/>
        </w:rPr>
        <w:t xml:space="preserve"> </w:t>
      </w:r>
      <w:r w:rsidRPr="009F429C">
        <w:rPr>
          <w:sz w:val="26"/>
          <w:szCs w:val="26"/>
        </w:rPr>
        <w:t>2.</w:t>
      </w:r>
    </w:p>
    <w:p w14:paraId="7C70D2F2" w14:textId="0F599A8F" w:rsidR="00471209" w:rsidRDefault="00471209" w:rsidP="00496081">
      <w:pPr>
        <w:spacing w:line="360" w:lineRule="auto"/>
        <w:ind w:firstLine="1440"/>
        <w:contextualSpacing/>
        <w:rPr>
          <w:rFonts w:ascii="Times New Roman" w:eastAsia="Times New Roman" w:hAnsi="Times New Roman" w:cs="Times New Roman"/>
          <w:b/>
          <w:bCs/>
          <w:sz w:val="26"/>
          <w:szCs w:val="26"/>
        </w:rPr>
      </w:pPr>
    </w:p>
    <w:p w14:paraId="63957633" w14:textId="5ADA93E6" w:rsidR="0001192D" w:rsidRDefault="0001192D" w:rsidP="0001192D">
      <w:pPr>
        <w:spacing w:line="360" w:lineRule="auto"/>
        <w:ind w:firstLine="1440"/>
        <w:contextualSpacing/>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d.</w:t>
      </w:r>
      <w:r>
        <w:rPr>
          <w:rFonts w:ascii="Times New Roman" w:eastAsia="Times New Roman" w:hAnsi="Times New Roman" w:cs="Times New Roman"/>
          <w:b/>
          <w:bCs/>
          <w:sz w:val="26"/>
          <w:szCs w:val="26"/>
        </w:rPr>
        <w:tab/>
        <w:t xml:space="preserve">Exception No. </w:t>
      </w:r>
      <w:r w:rsidR="00760839">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rPr>
        <w:t>, Responses, and Disposition</w:t>
      </w:r>
    </w:p>
    <w:p w14:paraId="7B8B112C" w14:textId="0E68BDB8" w:rsidR="00471209" w:rsidRDefault="00471209" w:rsidP="001A0B20">
      <w:pPr>
        <w:spacing w:after="0" w:line="360" w:lineRule="auto"/>
        <w:ind w:firstLine="1440"/>
        <w:contextualSpacing/>
        <w:rPr>
          <w:rFonts w:ascii="Times New Roman" w:eastAsia="Times New Roman" w:hAnsi="Times New Roman" w:cs="Times New Roman"/>
          <w:b/>
          <w:bCs/>
          <w:sz w:val="26"/>
          <w:szCs w:val="26"/>
        </w:rPr>
      </w:pPr>
    </w:p>
    <w:p w14:paraId="1812436A" w14:textId="16718D12" w:rsidR="00760839" w:rsidRPr="00B17684" w:rsidRDefault="00760839" w:rsidP="001A0B20">
      <w:pPr>
        <w:spacing w:after="0"/>
        <w:ind w:left="720" w:firstLine="720"/>
        <w:rPr>
          <w:rFonts w:ascii="Times New Roman" w:hAnsi="Times New Roman"/>
          <w:sz w:val="26"/>
          <w:szCs w:val="26"/>
        </w:rPr>
      </w:pPr>
      <w:r w:rsidRPr="00B17684">
        <w:rPr>
          <w:rFonts w:ascii="Times New Roman" w:hAnsi="Times New Roman"/>
          <w:sz w:val="26"/>
          <w:szCs w:val="26"/>
        </w:rPr>
        <w:t>Ms. Brace’s Exception No. 3 states:</w:t>
      </w:r>
    </w:p>
    <w:p w14:paraId="0FB0FBF9" w14:textId="77777777" w:rsidR="00760839" w:rsidRPr="00B17684" w:rsidRDefault="00760839" w:rsidP="001A0B20">
      <w:pPr>
        <w:spacing w:after="0"/>
        <w:ind w:firstLine="720"/>
        <w:rPr>
          <w:rFonts w:ascii="Times New Roman" w:hAnsi="Times New Roman"/>
          <w:sz w:val="26"/>
          <w:szCs w:val="26"/>
        </w:rPr>
      </w:pPr>
    </w:p>
    <w:p w14:paraId="13BF375B" w14:textId="77777777" w:rsidR="00760839" w:rsidRPr="00B17684" w:rsidRDefault="00760839" w:rsidP="001A0B20">
      <w:pPr>
        <w:spacing w:after="0" w:line="240" w:lineRule="auto"/>
        <w:ind w:left="1440" w:right="1440"/>
        <w:rPr>
          <w:rFonts w:ascii="Times New Roman" w:hAnsi="Times New Roman"/>
          <w:sz w:val="26"/>
          <w:szCs w:val="26"/>
        </w:rPr>
      </w:pPr>
      <w:r w:rsidRPr="00B17684">
        <w:rPr>
          <w:rFonts w:ascii="Times New Roman" w:hAnsi="Times New Roman"/>
          <w:sz w:val="26"/>
          <w:szCs w:val="26"/>
        </w:rPr>
        <w:t xml:space="preserve">A justification of “reasonableness of rates” needs to be held to a higher standard of examination, primarily that public utilities are compared, not to other utilities alone, but to the region in which they serve. </w:t>
      </w:r>
    </w:p>
    <w:p w14:paraId="29BB64DE" w14:textId="77777777" w:rsidR="00760839" w:rsidRDefault="00760839" w:rsidP="00AF3FAB">
      <w:pPr>
        <w:spacing w:after="0" w:line="360" w:lineRule="auto"/>
        <w:rPr>
          <w:rFonts w:ascii="Times New Roman" w:hAnsi="Times New Roman"/>
          <w:sz w:val="26"/>
          <w:szCs w:val="26"/>
        </w:rPr>
      </w:pPr>
    </w:p>
    <w:p w14:paraId="15196514" w14:textId="390CDEFC" w:rsidR="00760839" w:rsidRDefault="00760839" w:rsidP="00AF3FAB">
      <w:pPr>
        <w:spacing w:after="0" w:line="360" w:lineRule="auto"/>
        <w:rPr>
          <w:rFonts w:ascii="Times New Roman" w:hAnsi="Times New Roman"/>
          <w:sz w:val="26"/>
          <w:szCs w:val="26"/>
        </w:rPr>
      </w:pPr>
      <w:r w:rsidRPr="00B17684">
        <w:rPr>
          <w:rFonts w:ascii="Times New Roman" w:hAnsi="Times New Roman"/>
          <w:sz w:val="26"/>
          <w:szCs w:val="26"/>
        </w:rPr>
        <w:t xml:space="preserve">Exc. </w:t>
      </w:r>
      <w:r w:rsidR="00594BC3">
        <w:rPr>
          <w:rFonts w:ascii="Times New Roman" w:hAnsi="Times New Roman"/>
          <w:sz w:val="26"/>
          <w:szCs w:val="26"/>
        </w:rPr>
        <w:t>a</w:t>
      </w:r>
      <w:r w:rsidRPr="00B17684">
        <w:rPr>
          <w:rFonts w:ascii="Times New Roman" w:hAnsi="Times New Roman"/>
          <w:sz w:val="26"/>
          <w:szCs w:val="26"/>
        </w:rPr>
        <w:t>t 6.</w:t>
      </w:r>
    </w:p>
    <w:p w14:paraId="3DD32E1B" w14:textId="77777777" w:rsidR="00AF3FAB" w:rsidRPr="00B17684" w:rsidRDefault="00AF3FAB" w:rsidP="00AF3FAB">
      <w:pPr>
        <w:spacing w:after="0" w:line="360" w:lineRule="auto"/>
        <w:rPr>
          <w:rFonts w:ascii="Times New Roman" w:hAnsi="Times New Roman"/>
          <w:sz w:val="26"/>
          <w:szCs w:val="26"/>
        </w:rPr>
      </w:pPr>
    </w:p>
    <w:p w14:paraId="715CAF96" w14:textId="6D586A92" w:rsidR="00760839" w:rsidRPr="00B17684" w:rsidRDefault="00760839" w:rsidP="00AF3FAB">
      <w:pPr>
        <w:spacing w:after="0" w:line="360" w:lineRule="auto"/>
        <w:rPr>
          <w:rFonts w:ascii="Times New Roman" w:hAnsi="Times New Roman"/>
          <w:sz w:val="26"/>
          <w:szCs w:val="26"/>
        </w:rPr>
      </w:pPr>
      <w:r w:rsidRPr="00B17684">
        <w:rPr>
          <w:rFonts w:ascii="Times New Roman" w:hAnsi="Times New Roman"/>
          <w:sz w:val="26"/>
          <w:szCs w:val="26"/>
        </w:rPr>
        <w:tab/>
      </w:r>
      <w:r>
        <w:rPr>
          <w:rFonts w:ascii="Times New Roman" w:hAnsi="Times New Roman"/>
          <w:sz w:val="26"/>
          <w:szCs w:val="26"/>
        </w:rPr>
        <w:tab/>
      </w:r>
      <w:r w:rsidRPr="00B17684">
        <w:rPr>
          <w:rFonts w:ascii="Times New Roman" w:hAnsi="Times New Roman"/>
          <w:sz w:val="26"/>
          <w:szCs w:val="26"/>
        </w:rPr>
        <w:t>In its re</w:t>
      </w:r>
      <w:r>
        <w:rPr>
          <w:rFonts w:ascii="Times New Roman" w:hAnsi="Times New Roman"/>
          <w:sz w:val="26"/>
          <w:szCs w:val="26"/>
        </w:rPr>
        <w:t>sponse</w:t>
      </w:r>
      <w:r w:rsidRPr="00B17684">
        <w:rPr>
          <w:rFonts w:ascii="Times New Roman" w:hAnsi="Times New Roman"/>
          <w:sz w:val="26"/>
          <w:szCs w:val="26"/>
        </w:rPr>
        <w:t xml:space="preserve"> to Ms. Brace’s Exception </w:t>
      </w:r>
      <w:r>
        <w:rPr>
          <w:rFonts w:ascii="Times New Roman" w:hAnsi="Times New Roman"/>
          <w:sz w:val="26"/>
          <w:szCs w:val="26"/>
        </w:rPr>
        <w:t>No.</w:t>
      </w:r>
      <w:r w:rsidRPr="00B17684">
        <w:rPr>
          <w:rFonts w:ascii="Times New Roman" w:hAnsi="Times New Roman"/>
          <w:sz w:val="26"/>
          <w:szCs w:val="26"/>
        </w:rPr>
        <w:t>3</w:t>
      </w:r>
      <w:r w:rsidR="00476BA1">
        <w:rPr>
          <w:rFonts w:ascii="Times New Roman" w:hAnsi="Times New Roman"/>
          <w:sz w:val="26"/>
          <w:szCs w:val="26"/>
        </w:rPr>
        <w:t>,</w:t>
      </w:r>
      <w:r w:rsidRPr="00B17684">
        <w:rPr>
          <w:rFonts w:ascii="Times New Roman" w:hAnsi="Times New Roman"/>
          <w:sz w:val="26"/>
          <w:szCs w:val="26"/>
        </w:rPr>
        <w:t xml:space="preserve"> UGI Electric points out that Ms. Brace “continues to focus upon UGI Electric’s corporate parent, </w:t>
      </w:r>
      <w:r w:rsidRPr="00B17684">
        <w:rPr>
          <w:rFonts w:ascii="Times New Roman" w:hAnsi="Times New Roman"/>
          <w:i/>
          <w:sz w:val="26"/>
          <w:szCs w:val="26"/>
        </w:rPr>
        <w:t>i.e.</w:t>
      </w:r>
      <w:r w:rsidRPr="00B17684">
        <w:rPr>
          <w:rFonts w:ascii="Times New Roman" w:hAnsi="Times New Roman"/>
          <w:sz w:val="26"/>
          <w:szCs w:val="26"/>
        </w:rPr>
        <w:t>, UGI Corporation”</w:t>
      </w:r>
      <w:r w:rsidR="00A31700">
        <w:rPr>
          <w:rFonts w:ascii="Times New Roman" w:hAnsi="Times New Roman"/>
          <w:sz w:val="26"/>
          <w:szCs w:val="26"/>
        </w:rPr>
        <w:t xml:space="preserve"> as the public utility for purposes of this proceeding.  UGI Electric also states that </w:t>
      </w:r>
      <w:r w:rsidR="003577AB">
        <w:rPr>
          <w:rFonts w:ascii="Times New Roman" w:hAnsi="Times New Roman"/>
          <w:sz w:val="26"/>
          <w:szCs w:val="26"/>
        </w:rPr>
        <w:t>the</w:t>
      </w:r>
      <w:r w:rsidRPr="00B17684">
        <w:rPr>
          <w:rFonts w:ascii="Times New Roman" w:hAnsi="Times New Roman"/>
          <w:sz w:val="26"/>
          <w:szCs w:val="26"/>
        </w:rPr>
        <w:t xml:space="preserve"> </w:t>
      </w:r>
      <w:r w:rsidR="003577AB">
        <w:rPr>
          <w:rFonts w:ascii="Times New Roman" w:hAnsi="Times New Roman"/>
          <w:sz w:val="26"/>
          <w:szCs w:val="26"/>
        </w:rPr>
        <w:t>ALJ properly determined that the rates in the Settlement are reasonable in amount and allocation to customers.</w:t>
      </w:r>
      <w:r>
        <w:rPr>
          <w:rFonts w:ascii="Times New Roman" w:hAnsi="Times New Roman"/>
          <w:sz w:val="26"/>
          <w:szCs w:val="26"/>
        </w:rPr>
        <w:t xml:space="preserve"> </w:t>
      </w:r>
      <w:r w:rsidR="003577AB">
        <w:rPr>
          <w:rFonts w:ascii="Times New Roman" w:hAnsi="Times New Roman"/>
          <w:sz w:val="26"/>
          <w:szCs w:val="26"/>
        </w:rPr>
        <w:t xml:space="preserve"> </w:t>
      </w:r>
      <w:r w:rsidRPr="00B17684">
        <w:rPr>
          <w:rFonts w:ascii="Times New Roman" w:hAnsi="Times New Roman"/>
          <w:sz w:val="26"/>
          <w:szCs w:val="26"/>
        </w:rPr>
        <w:t>UGI Electric Response at 2.</w:t>
      </w:r>
    </w:p>
    <w:p w14:paraId="3AD47AC6" w14:textId="73785E0C" w:rsidR="00760839" w:rsidRPr="00B17684" w:rsidRDefault="00760839" w:rsidP="001A0B20">
      <w:pPr>
        <w:spacing w:after="0" w:line="360" w:lineRule="auto"/>
        <w:rPr>
          <w:rFonts w:ascii="Times New Roman" w:hAnsi="Times New Roman"/>
          <w:sz w:val="26"/>
          <w:szCs w:val="26"/>
        </w:rPr>
      </w:pPr>
      <w:r w:rsidRPr="00B17684">
        <w:rPr>
          <w:rFonts w:ascii="Times New Roman" w:hAnsi="Times New Roman"/>
          <w:sz w:val="26"/>
          <w:szCs w:val="26"/>
        </w:rPr>
        <w:lastRenderedPageBreak/>
        <w:tab/>
      </w:r>
      <w:r>
        <w:rPr>
          <w:rFonts w:ascii="Times New Roman" w:hAnsi="Times New Roman"/>
          <w:sz w:val="26"/>
          <w:szCs w:val="26"/>
        </w:rPr>
        <w:tab/>
      </w:r>
      <w:r w:rsidRPr="00B17684">
        <w:rPr>
          <w:rFonts w:ascii="Times New Roman" w:hAnsi="Times New Roman"/>
          <w:sz w:val="26"/>
          <w:szCs w:val="26"/>
        </w:rPr>
        <w:t>In its re</w:t>
      </w:r>
      <w:r>
        <w:rPr>
          <w:rFonts w:ascii="Times New Roman" w:hAnsi="Times New Roman"/>
          <w:sz w:val="26"/>
          <w:szCs w:val="26"/>
        </w:rPr>
        <w:t>sponse</w:t>
      </w:r>
      <w:r w:rsidRPr="00B17684">
        <w:rPr>
          <w:rFonts w:ascii="Times New Roman" w:hAnsi="Times New Roman"/>
          <w:sz w:val="26"/>
          <w:szCs w:val="26"/>
        </w:rPr>
        <w:t xml:space="preserve"> to Ms. Brace’s Exception </w:t>
      </w:r>
      <w:r>
        <w:rPr>
          <w:rFonts w:ascii="Times New Roman" w:hAnsi="Times New Roman"/>
          <w:sz w:val="26"/>
          <w:szCs w:val="26"/>
        </w:rPr>
        <w:t>No.</w:t>
      </w:r>
      <w:r w:rsidR="00476BA1">
        <w:rPr>
          <w:rFonts w:ascii="Times New Roman" w:hAnsi="Times New Roman"/>
          <w:sz w:val="26"/>
          <w:szCs w:val="26"/>
        </w:rPr>
        <w:t xml:space="preserve"> </w:t>
      </w:r>
      <w:r w:rsidRPr="00B17684">
        <w:rPr>
          <w:rFonts w:ascii="Times New Roman" w:hAnsi="Times New Roman"/>
          <w:sz w:val="26"/>
          <w:szCs w:val="26"/>
        </w:rPr>
        <w:t>3</w:t>
      </w:r>
      <w:r w:rsidR="00476BA1">
        <w:rPr>
          <w:rFonts w:ascii="Times New Roman" w:hAnsi="Times New Roman"/>
          <w:sz w:val="26"/>
          <w:szCs w:val="26"/>
        </w:rPr>
        <w:t>,</w:t>
      </w:r>
      <w:r w:rsidRPr="00B17684">
        <w:rPr>
          <w:rFonts w:ascii="Times New Roman" w:hAnsi="Times New Roman"/>
          <w:sz w:val="26"/>
          <w:szCs w:val="26"/>
        </w:rPr>
        <w:t xml:space="preserve"> I&amp;E states that “I&amp;E fully supports the negotiated level of overall base rate revenue increase as a full and fair compromise</w:t>
      </w:r>
      <w:r w:rsidR="00476BA1">
        <w:rPr>
          <w:rFonts w:ascii="Times New Roman" w:hAnsi="Times New Roman"/>
          <w:sz w:val="26"/>
          <w:szCs w:val="26"/>
        </w:rPr>
        <w:t>.</w:t>
      </w:r>
      <w:r w:rsidRPr="00B17684">
        <w:rPr>
          <w:rFonts w:ascii="Times New Roman" w:hAnsi="Times New Roman"/>
          <w:sz w:val="26"/>
          <w:szCs w:val="26"/>
        </w:rPr>
        <w:t xml:space="preserve">” </w:t>
      </w:r>
      <w:r>
        <w:rPr>
          <w:rFonts w:ascii="Times New Roman" w:hAnsi="Times New Roman"/>
          <w:sz w:val="26"/>
          <w:szCs w:val="26"/>
        </w:rPr>
        <w:t xml:space="preserve"> </w:t>
      </w:r>
      <w:r w:rsidRPr="00B17684">
        <w:rPr>
          <w:rFonts w:ascii="Times New Roman" w:hAnsi="Times New Roman"/>
          <w:sz w:val="26"/>
          <w:szCs w:val="26"/>
        </w:rPr>
        <w:t>I&amp;E Response at 1.</w:t>
      </w:r>
    </w:p>
    <w:p w14:paraId="0476D659" w14:textId="77777777" w:rsidR="00760839" w:rsidRPr="00B17684" w:rsidRDefault="00760839" w:rsidP="001A0B20">
      <w:pPr>
        <w:spacing w:after="0" w:line="360" w:lineRule="auto"/>
        <w:rPr>
          <w:rFonts w:ascii="Times New Roman" w:hAnsi="Times New Roman"/>
          <w:sz w:val="26"/>
          <w:szCs w:val="26"/>
        </w:rPr>
      </w:pPr>
    </w:p>
    <w:p w14:paraId="13256B2A" w14:textId="2B317D88" w:rsidR="00760839" w:rsidRPr="00B17684" w:rsidRDefault="00760839" w:rsidP="00794398">
      <w:pPr>
        <w:spacing w:after="0" w:line="360" w:lineRule="auto"/>
        <w:rPr>
          <w:rFonts w:ascii="Times New Roman" w:hAnsi="Times New Roman"/>
          <w:sz w:val="26"/>
          <w:szCs w:val="26"/>
        </w:rPr>
      </w:pPr>
      <w:r w:rsidRPr="00B17684">
        <w:rPr>
          <w:rFonts w:ascii="Times New Roman" w:hAnsi="Times New Roman"/>
          <w:sz w:val="26"/>
          <w:szCs w:val="26"/>
        </w:rPr>
        <w:tab/>
      </w:r>
      <w:r>
        <w:rPr>
          <w:rFonts w:ascii="Times New Roman" w:hAnsi="Times New Roman"/>
          <w:sz w:val="26"/>
          <w:szCs w:val="26"/>
        </w:rPr>
        <w:tab/>
      </w:r>
      <w:r w:rsidR="00282CCB">
        <w:rPr>
          <w:rFonts w:ascii="Times New Roman" w:hAnsi="Times New Roman"/>
          <w:sz w:val="26"/>
          <w:szCs w:val="26"/>
        </w:rPr>
        <w:t xml:space="preserve">Based on our review of the record and the well-established applicable law, we shall deny Ms. Brace’s Exception.  </w:t>
      </w:r>
      <w:r w:rsidRPr="00B17684">
        <w:rPr>
          <w:rFonts w:ascii="Times New Roman" w:hAnsi="Times New Roman"/>
          <w:sz w:val="26"/>
          <w:szCs w:val="26"/>
        </w:rPr>
        <w:t xml:space="preserve">A public utility seeking a general rate increase is entitled to an opportunity to earn a fair rate of return on the value of its property dedicated to public service. </w:t>
      </w:r>
      <w:r>
        <w:rPr>
          <w:rFonts w:ascii="Times New Roman" w:hAnsi="Times New Roman"/>
          <w:sz w:val="26"/>
          <w:szCs w:val="26"/>
        </w:rPr>
        <w:t xml:space="preserve"> </w:t>
      </w:r>
      <w:r w:rsidRPr="00B17684">
        <w:rPr>
          <w:rFonts w:ascii="Times New Roman" w:hAnsi="Times New Roman"/>
          <w:i/>
          <w:sz w:val="26"/>
          <w:szCs w:val="26"/>
        </w:rPr>
        <w:t xml:space="preserve">Pa. Gas &amp; Water Co. v. Pa. </w:t>
      </w:r>
      <w:r>
        <w:rPr>
          <w:rFonts w:ascii="Times New Roman" w:hAnsi="Times New Roman"/>
          <w:i/>
          <w:sz w:val="26"/>
          <w:szCs w:val="26"/>
        </w:rPr>
        <w:t>PUC</w:t>
      </w:r>
      <w:r w:rsidRPr="00B17684">
        <w:rPr>
          <w:rFonts w:ascii="Times New Roman" w:hAnsi="Times New Roman"/>
          <w:sz w:val="26"/>
          <w:szCs w:val="26"/>
        </w:rPr>
        <w:t>, 341 A.2d 239 (Pa.</w:t>
      </w:r>
      <w:r w:rsidR="00AF3FAB">
        <w:rPr>
          <w:rFonts w:ascii="Times New Roman" w:hAnsi="Times New Roman"/>
          <w:sz w:val="26"/>
          <w:szCs w:val="26"/>
        </w:rPr>
        <w:t> </w:t>
      </w:r>
      <w:r w:rsidRPr="00B17684">
        <w:rPr>
          <w:rFonts w:ascii="Times New Roman" w:hAnsi="Times New Roman"/>
          <w:sz w:val="26"/>
          <w:szCs w:val="26"/>
        </w:rPr>
        <w:t xml:space="preserve">Cmwlth. 1975). </w:t>
      </w:r>
      <w:r>
        <w:rPr>
          <w:rFonts w:ascii="Times New Roman" w:hAnsi="Times New Roman"/>
          <w:sz w:val="26"/>
          <w:szCs w:val="26"/>
        </w:rPr>
        <w:t xml:space="preserve"> </w:t>
      </w:r>
      <w:r w:rsidRPr="00B17684">
        <w:rPr>
          <w:rFonts w:ascii="Times New Roman" w:hAnsi="Times New Roman"/>
          <w:sz w:val="26"/>
          <w:szCs w:val="26"/>
        </w:rPr>
        <w:t xml:space="preserve">In determining what constitutes a fair rate of return, the Commission is guided by the criteria set forth in </w:t>
      </w:r>
      <w:r w:rsidRPr="00062E92">
        <w:rPr>
          <w:rFonts w:ascii="Times New Roman" w:hAnsi="Times New Roman"/>
          <w:i/>
          <w:sz w:val="26"/>
          <w:szCs w:val="26"/>
        </w:rPr>
        <w:t>Bluefield</w:t>
      </w:r>
      <w:r w:rsidR="00062E92">
        <w:rPr>
          <w:rFonts w:ascii="Times New Roman" w:hAnsi="Times New Roman"/>
          <w:i/>
          <w:sz w:val="26"/>
          <w:szCs w:val="26"/>
        </w:rPr>
        <w:t xml:space="preserve"> </w:t>
      </w:r>
      <w:r w:rsidR="00062E92">
        <w:rPr>
          <w:rFonts w:ascii="Times New Roman" w:hAnsi="Times New Roman"/>
          <w:iCs/>
          <w:sz w:val="26"/>
          <w:szCs w:val="26"/>
        </w:rPr>
        <w:t>at</w:t>
      </w:r>
      <w:r w:rsidR="0013642C">
        <w:rPr>
          <w:rFonts w:ascii="Times New Roman" w:hAnsi="Times New Roman"/>
          <w:iCs/>
          <w:sz w:val="26"/>
          <w:szCs w:val="26"/>
        </w:rPr>
        <w:t xml:space="preserve"> </w:t>
      </w:r>
      <w:r w:rsidR="0013642C" w:rsidRPr="0013642C">
        <w:rPr>
          <w:rFonts w:ascii="Times New Roman" w:hAnsi="Times New Roman" w:cs="Times New Roman"/>
          <w:iCs/>
          <w:sz w:val="26"/>
          <w:szCs w:val="26"/>
        </w:rPr>
        <w:t>692</w:t>
      </w:r>
      <w:r w:rsidR="0013642C" w:rsidRPr="00496081">
        <w:rPr>
          <w:rFonts w:ascii="Times New Roman" w:hAnsi="Times New Roman" w:cs="Times New Roman"/>
          <w:sz w:val="26"/>
          <w:szCs w:val="26"/>
        </w:rPr>
        <w:t>-3</w:t>
      </w:r>
      <w:r w:rsidRPr="00B17684">
        <w:rPr>
          <w:rFonts w:ascii="Times New Roman" w:hAnsi="Times New Roman"/>
          <w:i/>
          <w:sz w:val="26"/>
          <w:szCs w:val="26"/>
        </w:rPr>
        <w:t xml:space="preserve"> </w:t>
      </w:r>
      <w:r w:rsidRPr="00B17684">
        <w:rPr>
          <w:rFonts w:ascii="Times New Roman" w:hAnsi="Times New Roman"/>
          <w:sz w:val="26"/>
          <w:szCs w:val="26"/>
        </w:rPr>
        <w:t xml:space="preserve">and </w:t>
      </w:r>
      <w:r w:rsidR="00A321D7" w:rsidRPr="00A321D7">
        <w:rPr>
          <w:rFonts w:ascii="Times New Roman" w:hAnsi="Times New Roman"/>
          <w:i/>
          <w:iCs/>
          <w:sz w:val="26"/>
          <w:szCs w:val="26"/>
        </w:rPr>
        <w:t>Hope Natural Gas</w:t>
      </w:r>
      <w:r w:rsidR="00045600">
        <w:rPr>
          <w:rFonts w:ascii="Times New Roman" w:hAnsi="Times New Roman"/>
          <w:sz w:val="26"/>
          <w:szCs w:val="26"/>
        </w:rPr>
        <w:t xml:space="preserve">, as detailed </w:t>
      </w:r>
      <w:r w:rsidR="00045600" w:rsidRPr="00045600">
        <w:rPr>
          <w:rFonts w:ascii="Times New Roman" w:hAnsi="Times New Roman"/>
          <w:i/>
          <w:iCs/>
          <w:sz w:val="26"/>
          <w:szCs w:val="26"/>
        </w:rPr>
        <w:t>supra</w:t>
      </w:r>
      <w:r w:rsidR="00045600">
        <w:rPr>
          <w:rFonts w:ascii="Times New Roman" w:hAnsi="Times New Roman"/>
          <w:sz w:val="26"/>
          <w:szCs w:val="26"/>
        </w:rPr>
        <w:t>.</w:t>
      </w:r>
      <w:r w:rsidRPr="00B17684">
        <w:rPr>
          <w:rFonts w:ascii="Times New Roman" w:hAnsi="Times New Roman"/>
          <w:sz w:val="26"/>
          <w:szCs w:val="26"/>
        </w:rPr>
        <w:t xml:space="preserve"> </w:t>
      </w:r>
      <w:r>
        <w:rPr>
          <w:rFonts w:ascii="Times New Roman" w:hAnsi="Times New Roman"/>
          <w:sz w:val="26"/>
          <w:szCs w:val="26"/>
        </w:rPr>
        <w:t xml:space="preserve"> </w:t>
      </w:r>
    </w:p>
    <w:p w14:paraId="1D8CE7A0" w14:textId="77777777" w:rsidR="00760839" w:rsidRPr="00B17684" w:rsidRDefault="00760839" w:rsidP="001A0B20">
      <w:pPr>
        <w:spacing w:after="0"/>
        <w:rPr>
          <w:rFonts w:ascii="Times New Roman" w:hAnsi="Times New Roman"/>
          <w:sz w:val="26"/>
          <w:szCs w:val="26"/>
        </w:rPr>
      </w:pPr>
    </w:p>
    <w:p w14:paraId="419EB5E6" w14:textId="04F4714F" w:rsidR="00760839" w:rsidRPr="00B17684" w:rsidRDefault="00760839" w:rsidP="001A0B20">
      <w:pPr>
        <w:spacing w:after="0" w:line="360" w:lineRule="auto"/>
        <w:ind w:firstLine="1440"/>
        <w:rPr>
          <w:rFonts w:ascii="Times New Roman" w:hAnsi="Times New Roman"/>
          <w:sz w:val="26"/>
          <w:szCs w:val="26"/>
        </w:rPr>
      </w:pPr>
      <w:r w:rsidRPr="00B17684">
        <w:rPr>
          <w:rFonts w:ascii="Times New Roman" w:hAnsi="Times New Roman"/>
          <w:sz w:val="26"/>
          <w:szCs w:val="26"/>
        </w:rPr>
        <w:t xml:space="preserve">In analyzing a proposed general rate increase, the Commission determines a rate of return to be applied to a rate base, measured by the aggregate value of all the utility’s property used, and useful, in the public service. </w:t>
      </w:r>
      <w:r>
        <w:rPr>
          <w:rFonts w:ascii="Times New Roman" w:hAnsi="Times New Roman"/>
          <w:sz w:val="26"/>
          <w:szCs w:val="26"/>
        </w:rPr>
        <w:t xml:space="preserve"> </w:t>
      </w:r>
      <w:r w:rsidRPr="00B17684">
        <w:rPr>
          <w:rFonts w:ascii="Times New Roman" w:hAnsi="Times New Roman"/>
          <w:sz w:val="26"/>
          <w:szCs w:val="26"/>
        </w:rPr>
        <w:t xml:space="preserve">In determining a proper rate of return, the Commission calculates the utility’s capital structure and the cost of the different types of capital during the period in issue. </w:t>
      </w:r>
      <w:r>
        <w:rPr>
          <w:rFonts w:ascii="Times New Roman" w:hAnsi="Times New Roman"/>
          <w:sz w:val="26"/>
          <w:szCs w:val="26"/>
        </w:rPr>
        <w:t xml:space="preserve"> </w:t>
      </w:r>
      <w:r w:rsidRPr="00B17684">
        <w:rPr>
          <w:rFonts w:ascii="Times New Roman" w:hAnsi="Times New Roman"/>
          <w:sz w:val="26"/>
          <w:szCs w:val="26"/>
        </w:rPr>
        <w:t xml:space="preserve">The Commission has wide discretion, because of its administrative expertise, in determining the cost of capital. </w:t>
      </w:r>
      <w:r w:rsidR="009C2970">
        <w:rPr>
          <w:rFonts w:ascii="Times New Roman" w:hAnsi="Times New Roman"/>
          <w:sz w:val="26"/>
          <w:szCs w:val="26"/>
        </w:rPr>
        <w:t xml:space="preserve"> </w:t>
      </w:r>
      <w:r w:rsidRPr="00B17684">
        <w:rPr>
          <w:rFonts w:ascii="Times New Roman" w:hAnsi="Times New Roman"/>
          <w:i/>
          <w:sz w:val="26"/>
          <w:szCs w:val="26"/>
        </w:rPr>
        <w:t xml:space="preserve">Equitable Gas Co. v. Pa. </w:t>
      </w:r>
      <w:r>
        <w:rPr>
          <w:rFonts w:ascii="Times New Roman" w:hAnsi="Times New Roman"/>
          <w:i/>
          <w:sz w:val="26"/>
          <w:szCs w:val="26"/>
        </w:rPr>
        <w:t>PUC</w:t>
      </w:r>
      <w:r w:rsidRPr="00B17684">
        <w:rPr>
          <w:rFonts w:ascii="Times New Roman" w:hAnsi="Times New Roman"/>
          <w:sz w:val="26"/>
          <w:szCs w:val="26"/>
        </w:rPr>
        <w:t>, 405 A.2d 1055 (Pa. Cmwlth. 1979).</w:t>
      </w:r>
    </w:p>
    <w:p w14:paraId="00B50B0E" w14:textId="77777777" w:rsidR="00760839" w:rsidRPr="00B17684" w:rsidRDefault="00760839" w:rsidP="001A0B20">
      <w:pPr>
        <w:spacing w:after="0" w:line="360" w:lineRule="auto"/>
        <w:rPr>
          <w:rFonts w:ascii="Times New Roman" w:hAnsi="Times New Roman"/>
          <w:sz w:val="26"/>
          <w:szCs w:val="26"/>
        </w:rPr>
      </w:pPr>
    </w:p>
    <w:p w14:paraId="3C75CB0A" w14:textId="24A9847A" w:rsidR="00760839" w:rsidRDefault="00760839" w:rsidP="001A0B20">
      <w:pPr>
        <w:spacing w:after="0" w:line="360" w:lineRule="auto"/>
        <w:rPr>
          <w:rFonts w:ascii="Times New Roman" w:hAnsi="Times New Roman"/>
          <w:sz w:val="26"/>
          <w:szCs w:val="26"/>
        </w:rPr>
      </w:pPr>
      <w:r w:rsidRPr="00B17684">
        <w:rPr>
          <w:rFonts w:ascii="Times New Roman" w:hAnsi="Times New Roman"/>
          <w:sz w:val="26"/>
          <w:szCs w:val="26"/>
        </w:rPr>
        <w:tab/>
      </w:r>
      <w:r>
        <w:rPr>
          <w:rFonts w:ascii="Times New Roman" w:hAnsi="Times New Roman"/>
          <w:sz w:val="26"/>
          <w:szCs w:val="26"/>
        </w:rPr>
        <w:tab/>
      </w:r>
      <w:r w:rsidRPr="00B17684">
        <w:rPr>
          <w:rFonts w:ascii="Times New Roman" w:hAnsi="Times New Roman"/>
          <w:sz w:val="26"/>
          <w:szCs w:val="26"/>
        </w:rPr>
        <w:t>Determining a company’s revenue requirement is a calculation involving many complex and interrelated adjustments that affect expenses, depreciation, rate base, taxes</w:t>
      </w:r>
      <w:r w:rsidR="00DF3EC1">
        <w:rPr>
          <w:rFonts w:ascii="Times New Roman" w:hAnsi="Times New Roman"/>
          <w:sz w:val="26"/>
          <w:szCs w:val="26"/>
        </w:rPr>
        <w:t>,</w:t>
      </w:r>
      <w:r w:rsidRPr="00B17684">
        <w:rPr>
          <w:rFonts w:ascii="Times New Roman" w:hAnsi="Times New Roman"/>
          <w:sz w:val="26"/>
          <w:szCs w:val="26"/>
        </w:rPr>
        <w:t xml:space="preserve"> and the company’s cost of capital. </w:t>
      </w:r>
      <w:r w:rsidR="00770FB0">
        <w:rPr>
          <w:rFonts w:ascii="Times New Roman" w:hAnsi="Times New Roman"/>
          <w:sz w:val="26"/>
          <w:szCs w:val="26"/>
        </w:rPr>
        <w:t xml:space="preserve"> </w:t>
      </w:r>
      <w:r w:rsidRPr="00B17684">
        <w:rPr>
          <w:rFonts w:ascii="Times New Roman" w:hAnsi="Times New Roman"/>
          <w:i/>
          <w:sz w:val="26"/>
          <w:szCs w:val="26"/>
        </w:rPr>
        <w:t xml:space="preserve">Peoples TWP </w:t>
      </w:r>
      <w:r w:rsidRPr="00B17684">
        <w:rPr>
          <w:rFonts w:ascii="Times New Roman" w:hAnsi="Times New Roman"/>
          <w:sz w:val="26"/>
          <w:szCs w:val="26"/>
        </w:rPr>
        <w:t>at 28.</w:t>
      </w:r>
    </w:p>
    <w:p w14:paraId="164C0D65" w14:textId="77777777" w:rsidR="00AF3FAB" w:rsidRPr="00B17684" w:rsidRDefault="00AF3FAB" w:rsidP="001A0B20">
      <w:pPr>
        <w:spacing w:after="0" w:line="360" w:lineRule="auto"/>
        <w:rPr>
          <w:rFonts w:ascii="Times New Roman" w:hAnsi="Times New Roman"/>
          <w:sz w:val="26"/>
          <w:szCs w:val="26"/>
        </w:rPr>
      </w:pPr>
    </w:p>
    <w:p w14:paraId="2ED8316E" w14:textId="1964BD19" w:rsidR="00D31E10" w:rsidRDefault="00760839" w:rsidP="001A0B20">
      <w:pPr>
        <w:spacing w:after="0" w:line="360" w:lineRule="auto"/>
        <w:rPr>
          <w:rFonts w:ascii="Times New Roman" w:hAnsi="Times New Roman"/>
          <w:sz w:val="26"/>
          <w:szCs w:val="26"/>
        </w:rPr>
      </w:pPr>
      <w:r w:rsidRPr="00B17684">
        <w:rPr>
          <w:rFonts w:ascii="Times New Roman" w:hAnsi="Times New Roman"/>
          <w:sz w:val="26"/>
          <w:szCs w:val="26"/>
        </w:rPr>
        <w:tab/>
      </w:r>
      <w:r>
        <w:rPr>
          <w:rFonts w:ascii="Times New Roman" w:hAnsi="Times New Roman"/>
          <w:sz w:val="26"/>
          <w:szCs w:val="26"/>
        </w:rPr>
        <w:tab/>
      </w:r>
      <w:r w:rsidRPr="00B17684">
        <w:rPr>
          <w:rFonts w:ascii="Times New Roman" w:hAnsi="Times New Roman"/>
          <w:sz w:val="26"/>
          <w:szCs w:val="26"/>
        </w:rPr>
        <w:t>Ms. Brace correctly states that “[a] justification of “reasonableness of rates” needs to be held to a higher standard of examination</w:t>
      </w:r>
      <w:r w:rsidR="00171C3E">
        <w:rPr>
          <w:rFonts w:ascii="Times New Roman" w:hAnsi="Times New Roman"/>
          <w:sz w:val="26"/>
          <w:szCs w:val="26"/>
        </w:rPr>
        <w:t>.</w:t>
      </w:r>
      <w:r w:rsidRPr="00B17684">
        <w:rPr>
          <w:rFonts w:ascii="Times New Roman" w:hAnsi="Times New Roman"/>
          <w:sz w:val="26"/>
          <w:szCs w:val="26"/>
        </w:rPr>
        <w:t xml:space="preserve">” </w:t>
      </w:r>
      <w:r>
        <w:rPr>
          <w:rFonts w:ascii="Times New Roman" w:hAnsi="Times New Roman"/>
          <w:sz w:val="26"/>
          <w:szCs w:val="26"/>
        </w:rPr>
        <w:t xml:space="preserve"> </w:t>
      </w:r>
      <w:r w:rsidRPr="00B17684">
        <w:rPr>
          <w:rFonts w:ascii="Times New Roman" w:hAnsi="Times New Roman"/>
          <w:sz w:val="26"/>
          <w:szCs w:val="26"/>
        </w:rPr>
        <w:t xml:space="preserve">The Joint Petitioners, through voluminous exhibits and </w:t>
      </w:r>
      <w:r>
        <w:rPr>
          <w:rFonts w:ascii="Times New Roman" w:hAnsi="Times New Roman"/>
          <w:sz w:val="26"/>
          <w:szCs w:val="26"/>
        </w:rPr>
        <w:t xml:space="preserve">a </w:t>
      </w:r>
      <w:r w:rsidRPr="00B17684">
        <w:rPr>
          <w:rFonts w:ascii="Times New Roman" w:hAnsi="Times New Roman"/>
          <w:sz w:val="26"/>
          <w:szCs w:val="26"/>
        </w:rPr>
        <w:t xml:space="preserve">myriad </w:t>
      </w:r>
      <w:r>
        <w:rPr>
          <w:rFonts w:ascii="Times New Roman" w:hAnsi="Times New Roman"/>
          <w:sz w:val="26"/>
          <w:szCs w:val="26"/>
        </w:rPr>
        <w:t xml:space="preserve">of </w:t>
      </w:r>
      <w:r w:rsidRPr="00B17684">
        <w:rPr>
          <w:rFonts w:ascii="Times New Roman" w:hAnsi="Times New Roman"/>
          <w:sz w:val="26"/>
          <w:szCs w:val="26"/>
        </w:rPr>
        <w:t>responses to discovery</w:t>
      </w:r>
      <w:r w:rsidR="00171C3E">
        <w:rPr>
          <w:rFonts w:ascii="Times New Roman" w:hAnsi="Times New Roman"/>
          <w:sz w:val="26"/>
          <w:szCs w:val="26"/>
        </w:rPr>
        <w:t>,</w:t>
      </w:r>
      <w:r w:rsidRPr="00B17684">
        <w:rPr>
          <w:rFonts w:ascii="Times New Roman" w:hAnsi="Times New Roman"/>
          <w:sz w:val="26"/>
          <w:szCs w:val="26"/>
        </w:rPr>
        <w:t xml:space="preserve"> including detailed examination and critiques of the cost of service, have established a very high standard of examination in this case. </w:t>
      </w:r>
      <w:r>
        <w:rPr>
          <w:rFonts w:ascii="Times New Roman" w:hAnsi="Times New Roman"/>
          <w:sz w:val="26"/>
          <w:szCs w:val="26"/>
        </w:rPr>
        <w:t xml:space="preserve"> </w:t>
      </w:r>
      <w:r w:rsidRPr="00B17684">
        <w:rPr>
          <w:rFonts w:ascii="Times New Roman" w:hAnsi="Times New Roman"/>
          <w:sz w:val="26"/>
          <w:szCs w:val="26"/>
        </w:rPr>
        <w:t xml:space="preserve">The compromises with respect to these elements that are </w:t>
      </w:r>
      <w:r w:rsidRPr="00B17684">
        <w:rPr>
          <w:rFonts w:ascii="Times New Roman" w:hAnsi="Times New Roman"/>
          <w:sz w:val="26"/>
          <w:szCs w:val="26"/>
        </w:rPr>
        <w:lastRenderedPageBreak/>
        <w:t xml:space="preserve">embodied in the </w:t>
      </w:r>
      <w:r>
        <w:rPr>
          <w:rFonts w:ascii="Times New Roman" w:hAnsi="Times New Roman"/>
          <w:sz w:val="26"/>
          <w:szCs w:val="26"/>
        </w:rPr>
        <w:t>S</w:t>
      </w:r>
      <w:r w:rsidRPr="00B17684">
        <w:rPr>
          <w:rFonts w:ascii="Times New Roman" w:hAnsi="Times New Roman"/>
          <w:sz w:val="26"/>
          <w:szCs w:val="26"/>
        </w:rPr>
        <w:t xml:space="preserve">ettlement contained in the Joint Petition are a result of this detailed examination. </w:t>
      </w:r>
      <w:r>
        <w:rPr>
          <w:rFonts w:ascii="Times New Roman" w:hAnsi="Times New Roman"/>
          <w:sz w:val="26"/>
          <w:szCs w:val="26"/>
        </w:rPr>
        <w:t xml:space="preserve"> </w:t>
      </w:r>
      <w:r w:rsidRPr="00B17684">
        <w:rPr>
          <w:rFonts w:ascii="Times New Roman" w:hAnsi="Times New Roman"/>
          <w:sz w:val="26"/>
          <w:szCs w:val="26"/>
        </w:rPr>
        <w:t xml:space="preserve">The fact that this </w:t>
      </w:r>
      <w:r w:rsidR="009929C3">
        <w:rPr>
          <w:rFonts w:ascii="Times New Roman" w:hAnsi="Times New Roman"/>
          <w:sz w:val="26"/>
          <w:szCs w:val="26"/>
        </w:rPr>
        <w:t>S</w:t>
      </w:r>
      <w:r w:rsidRPr="00B17684">
        <w:rPr>
          <w:rFonts w:ascii="Times New Roman" w:hAnsi="Times New Roman"/>
          <w:sz w:val="26"/>
          <w:szCs w:val="26"/>
        </w:rPr>
        <w:t xml:space="preserve">ettlement is a “black box” does not diminish the effectiveness of the examination conducted by numerous parties having various, and in some cases antithetical, goals. </w:t>
      </w:r>
      <w:r>
        <w:rPr>
          <w:rFonts w:ascii="Times New Roman" w:hAnsi="Times New Roman"/>
          <w:sz w:val="26"/>
          <w:szCs w:val="26"/>
        </w:rPr>
        <w:t xml:space="preserve"> </w:t>
      </w:r>
    </w:p>
    <w:p w14:paraId="3EFBAB12" w14:textId="77777777" w:rsidR="00D31E10" w:rsidRDefault="00D31E10" w:rsidP="001A0B20">
      <w:pPr>
        <w:spacing w:after="0" w:line="360" w:lineRule="auto"/>
        <w:rPr>
          <w:rFonts w:ascii="Times New Roman" w:hAnsi="Times New Roman"/>
          <w:sz w:val="26"/>
          <w:szCs w:val="26"/>
        </w:rPr>
      </w:pPr>
    </w:p>
    <w:p w14:paraId="721DD72A" w14:textId="2807F641" w:rsidR="00760839" w:rsidRPr="003E204F" w:rsidRDefault="00760839" w:rsidP="00D31E10">
      <w:pPr>
        <w:spacing w:after="0" w:line="360" w:lineRule="auto"/>
        <w:ind w:firstLine="1440"/>
        <w:rPr>
          <w:rFonts w:ascii="Times New Roman" w:hAnsi="Times New Roman"/>
          <w:i/>
          <w:sz w:val="26"/>
          <w:szCs w:val="26"/>
        </w:rPr>
      </w:pPr>
      <w:r w:rsidRPr="00B17684">
        <w:rPr>
          <w:rFonts w:ascii="Times New Roman" w:hAnsi="Times New Roman"/>
          <w:sz w:val="26"/>
          <w:szCs w:val="26"/>
        </w:rPr>
        <w:t xml:space="preserve">The Joint Petitioners agree that the result reached falls within a reasonable range of what might be the outcome of a fully litigated case. </w:t>
      </w:r>
      <w:r>
        <w:rPr>
          <w:rFonts w:ascii="Times New Roman" w:hAnsi="Times New Roman"/>
          <w:sz w:val="26"/>
          <w:szCs w:val="26"/>
        </w:rPr>
        <w:t xml:space="preserve"> </w:t>
      </w:r>
      <w:r w:rsidRPr="00B17684">
        <w:rPr>
          <w:rFonts w:ascii="Times New Roman" w:hAnsi="Times New Roman"/>
          <w:sz w:val="26"/>
          <w:szCs w:val="26"/>
        </w:rPr>
        <w:t xml:space="preserve">This reasonable range is circumscribed by that generally being made </w:t>
      </w:r>
      <w:r w:rsidRPr="00C26B6A">
        <w:rPr>
          <w:rFonts w:ascii="Times New Roman" w:hAnsi="Times New Roman"/>
          <w:iCs/>
          <w:sz w:val="26"/>
          <w:szCs w:val="26"/>
        </w:rPr>
        <w:t>at the same time and in the same general part of the country on investments in other business undertakings which are attended by corresponding risks and uncertainties</w:t>
      </w:r>
      <w:r w:rsidRPr="00B17684">
        <w:rPr>
          <w:rFonts w:ascii="Times New Roman" w:hAnsi="Times New Roman"/>
          <w:sz w:val="26"/>
          <w:szCs w:val="26"/>
        </w:rPr>
        <w:t xml:space="preserve"> as required by </w:t>
      </w:r>
      <w:r w:rsidRPr="00B17684">
        <w:rPr>
          <w:rFonts w:ascii="Times New Roman" w:hAnsi="Times New Roman"/>
          <w:i/>
          <w:sz w:val="26"/>
          <w:szCs w:val="26"/>
        </w:rPr>
        <w:t>Bluefield</w:t>
      </w:r>
      <w:r w:rsidRPr="00B17684">
        <w:rPr>
          <w:rFonts w:ascii="Times New Roman" w:hAnsi="Times New Roman"/>
          <w:sz w:val="26"/>
          <w:szCs w:val="26"/>
        </w:rPr>
        <w:t xml:space="preserve">. </w:t>
      </w:r>
      <w:r w:rsidR="00F45677">
        <w:rPr>
          <w:rFonts w:ascii="Times New Roman" w:hAnsi="Times New Roman"/>
          <w:sz w:val="26"/>
          <w:szCs w:val="26"/>
        </w:rPr>
        <w:t xml:space="preserve"> </w:t>
      </w:r>
      <w:r w:rsidRPr="00F45677">
        <w:rPr>
          <w:rFonts w:ascii="Times New Roman" w:hAnsi="Times New Roman"/>
          <w:i/>
          <w:sz w:val="26"/>
          <w:szCs w:val="26"/>
        </w:rPr>
        <w:t>Bluefield</w:t>
      </w:r>
      <w:r w:rsidRPr="00AF3FAB">
        <w:rPr>
          <w:rFonts w:ascii="Times New Roman" w:hAnsi="Times New Roman"/>
          <w:iCs/>
          <w:sz w:val="26"/>
          <w:szCs w:val="26"/>
        </w:rPr>
        <w:t>,</w:t>
      </w:r>
      <w:r w:rsidRPr="00F45677">
        <w:rPr>
          <w:rFonts w:ascii="Times New Roman" w:hAnsi="Times New Roman"/>
          <w:i/>
          <w:sz w:val="26"/>
          <w:szCs w:val="26"/>
        </w:rPr>
        <w:t xml:space="preserve"> </w:t>
      </w:r>
      <w:r w:rsidRPr="00F45677">
        <w:rPr>
          <w:rFonts w:ascii="Times New Roman" w:hAnsi="Times New Roman"/>
          <w:sz w:val="26"/>
          <w:szCs w:val="26"/>
        </w:rPr>
        <w:t>262 U.S. at</w:t>
      </w:r>
      <w:r w:rsidR="00AF3FAB">
        <w:rPr>
          <w:rFonts w:ascii="Times New Roman" w:hAnsi="Times New Roman"/>
          <w:sz w:val="26"/>
          <w:szCs w:val="26"/>
        </w:rPr>
        <w:t> </w:t>
      </w:r>
      <w:r w:rsidRPr="00F45677">
        <w:rPr>
          <w:rFonts w:ascii="Times New Roman" w:hAnsi="Times New Roman"/>
          <w:sz w:val="26"/>
          <w:szCs w:val="26"/>
        </w:rPr>
        <w:t>692.</w:t>
      </w:r>
      <w:r>
        <w:rPr>
          <w:rFonts w:ascii="Times New Roman" w:hAnsi="Times New Roman"/>
          <w:sz w:val="26"/>
          <w:szCs w:val="26"/>
        </w:rPr>
        <w:t xml:space="preserve"> </w:t>
      </w:r>
      <w:r w:rsidR="00F45677">
        <w:rPr>
          <w:rFonts w:ascii="Times New Roman" w:hAnsi="Times New Roman"/>
          <w:sz w:val="26"/>
          <w:szCs w:val="26"/>
        </w:rPr>
        <w:t xml:space="preserve"> </w:t>
      </w:r>
      <w:r w:rsidRPr="00B17684">
        <w:rPr>
          <w:rFonts w:ascii="Times New Roman" w:hAnsi="Times New Roman"/>
          <w:sz w:val="26"/>
          <w:szCs w:val="26"/>
        </w:rPr>
        <w:t>To determine a reasonable range</w:t>
      </w:r>
      <w:r w:rsidR="00FB5488">
        <w:rPr>
          <w:rFonts w:ascii="Times New Roman" w:hAnsi="Times New Roman"/>
          <w:sz w:val="26"/>
          <w:szCs w:val="26"/>
        </w:rPr>
        <w:t>,</w:t>
      </w:r>
      <w:r w:rsidRPr="00B17684">
        <w:rPr>
          <w:rFonts w:ascii="Times New Roman" w:hAnsi="Times New Roman"/>
          <w:sz w:val="26"/>
          <w:szCs w:val="26"/>
        </w:rPr>
        <w:t xml:space="preserve"> it has long been the practice in the field of public utility regulation to use information about other public utilities (business undertakings which are attended by corresponding risks and uncertainties) in the same general part of the country. </w:t>
      </w:r>
      <w:r>
        <w:rPr>
          <w:rFonts w:ascii="Times New Roman" w:hAnsi="Times New Roman"/>
          <w:sz w:val="26"/>
          <w:szCs w:val="26"/>
        </w:rPr>
        <w:t xml:space="preserve"> </w:t>
      </w:r>
      <w:r w:rsidRPr="00B17684">
        <w:rPr>
          <w:rFonts w:ascii="Times New Roman" w:hAnsi="Times New Roman"/>
          <w:sz w:val="26"/>
          <w:szCs w:val="26"/>
        </w:rPr>
        <w:t xml:space="preserve">That is, using information about other privately owned companies engaged in the provision of the same kind of public utility service to the public, preferably of a similar size and in the same geographic area. </w:t>
      </w:r>
      <w:r>
        <w:rPr>
          <w:rFonts w:ascii="Times New Roman" w:hAnsi="Times New Roman"/>
          <w:sz w:val="26"/>
          <w:szCs w:val="26"/>
        </w:rPr>
        <w:t xml:space="preserve"> </w:t>
      </w:r>
      <w:r w:rsidRPr="00B17684">
        <w:rPr>
          <w:rFonts w:ascii="Times New Roman" w:hAnsi="Times New Roman"/>
          <w:sz w:val="26"/>
          <w:szCs w:val="26"/>
        </w:rPr>
        <w:t>Therefore, comparisons with electric co-ops would not be an apples-to-apples comparison.</w:t>
      </w:r>
      <w:r>
        <w:rPr>
          <w:rFonts w:ascii="Times New Roman" w:hAnsi="Times New Roman"/>
          <w:sz w:val="26"/>
          <w:szCs w:val="26"/>
        </w:rPr>
        <w:t xml:space="preserve"> </w:t>
      </w:r>
      <w:r w:rsidR="003E204F">
        <w:rPr>
          <w:rFonts w:ascii="Times New Roman" w:hAnsi="Times New Roman"/>
          <w:sz w:val="26"/>
          <w:szCs w:val="26"/>
        </w:rPr>
        <w:t xml:space="preserve"> </w:t>
      </w:r>
      <w:r w:rsidRPr="003E204F">
        <w:rPr>
          <w:rFonts w:ascii="Times New Roman" w:hAnsi="Times New Roman"/>
          <w:i/>
          <w:sz w:val="26"/>
          <w:szCs w:val="26"/>
        </w:rPr>
        <w:t xml:space="preserve">See A Guide To Utility Ratemaking (2018 Edition), James H. Cawley and Norman J. Kennard at 127-128. </w:t>
      </w:r>
      <w:r w:rsidR="003E204F">
        <w:rPr>
          <w:rFonts w:ascii="Times New Roman" w:hAnsi="Times New Roman"/>
          <w:i/>
          <w:sz w:val="26"/>
          <w:szCs w:val="26"/>
        </w:rPr>
        <w:t xml:space="preserve"> </w:t>
      </w:r>
      <w:r w:rsidRPr="003E204F">
        <w:rPr>
          <w:rFonts w:ascii="Times New Roman" w:hAnsi="Times New Roman"/>
          <w:i/>
          <w:sz w:val="26"/>
          <w:szCs w:val="26"/>
        </w:rPr>
        <w:t>See also, generally, Principles of Public Utility Rates, 2</w:t>
      </w:r>
      <w:r w:rsidRPr="003E204F">
        <w:rPr>
          <w:rFonts w:ascii="Times New Roman" w:hAnsi="Times New Roman"/>
          <w:i/>
          <w:sz w:val="26"/>
          <w:szCs w:val="26"/>
          <w:vertAlign w:val="superscript"/>
        </w:rPr>
        <w:t>nd</w:t>
      </w:r>
      <w:r w:rsidRPr="003E204F">
        <w:rPr>
          <w:rFonts w:ascii="Times New Roman" w:hAnsi="Times New Roman"/>
          <w:i/>
          <w:sz w:val="26"/>
          <w:szCs w:val="26"/>
        </w:rPr>
        <w:t xml:space="preserve"> Edition, James</w:t>
      </w:r>
      <w:r w:rsidR="00207E9D">
        <w:rPr>
          <w:rFonts w:ascii="Times New Roman" w:hAnsi="Times New Roman"/>
          <w:i/>
          <w:sz w:val="26"/>
          <w:szCs w:val="26"/>
        </w:rPr>
        <w:t> </w:t>
      </w:r>
      <w:r w:rsidRPr="003E204F">
        <w:rPr>
          <w:rFonts w:ascii="Times New Roman" w:hAnsi="Times New Roman"/>
          <w:i/>
          <w:sz w:val="26"/>
          <w:szCs w:val="26"/>
        </w:rPr>
        <w:t>C.</w:t>
      </w:r>
      <w:r w:rsidR="00207E9D">
        <w:rPr>
          <w:rFonts w:ascii="Times New Roman" w:hAnsi="Times New Roman"/>
          <w:i/>
          <w:sz w:val="26"/>
          <w:szCs w:val="26"/>
        </w:rPr>
        <w:t> </w:t>
      </w:r>
      <w:r w:rsidRPr="003E204F">
        <w:rPr>
          <w:rFonts w:ascii="Times New Roman" w:hAnsi="Times New Roman"/>
          <w:i/>
          <w:sz w:val="26"/>
          <w:szCs w:val="26"/>
        </w:rPr>
        <w:t>Bonbright, Albert L. Danielsen and David K. Kamerschen; The Regulation of Public Utilities: Theory and Practice, 3</w:t>
      </w:r>
      <w:r w:rsidRPr="003E204F">
        <w:rPr>
          <w:rFonts w:ascii="Times New Roman" w:hAnsi="Times New Roman"/>
          <w:i/>
          <w:sz w:val="26"/>
          <w:szCs w:val="26"/>
          <w:vertAlign w:val="superscript"/>
        </w:rPr>
        <w:t>rd</w:t>
      </w:r>
      <w:r w:rsidRPr="003E204F">
        <w:rPr>
          <w:rFonts w:ascii="Times New Roman" w:hAnsi="Times New Roman"/>
          <w:i/>
          <w:sz w:val="26"/>
          <w:szCs w:val="26"/>
        </w:rPr>
        <w:t>. Edition, Charles F. Phillips, Jr.</w:t>
      </w:r>
    </w:p>
    <w:p w14:paraId="7DD45034" w14:textId="77777777" w:rsidR="00760839" w:rsidRPr="00B17684" w:rsidRDefault="00760839" w:rsidP="001A0B20">
      <w:pPr>
        <w:spacing w:after="0" w:line="360" w:lineRule="auto"/>
        <w:rPr>
          <w:rFonts w:ascii="Times New Roman" w:hAnsi="Times New Roman"/>
          <w:sz w:val="26"/>
          <w:szCs w:val="26"/>
        </w:rPr>
      </w:pPr>
    </w:p>
    <w:p w14:paraId="5515D519" w14:textId="301CC299" w:rsidR="00760839" w:rsidRPr="00AA56B7" w:rsidRDefault="00760839" w:rsidP="001A0B20">
      <w:pPr>
        <w:spacing w:after="0" w:line="360" w:lineRule="auto"/>
        <w:rPr>
          <w:rFonts w:ascii="Times New Roman" w:hAnsi="Times New Roman"/>
          <w:sz w:val="26"/>
          <w:szCs w:val="26"/>
        </w:rPr>
      </w:pPr>
      <w:r w:rsidRPr="00B17684">
        <w:rPr>
          <w:rFonts w:ascii="Times New Roman" w:hAnsi="Times New Roman"/>
          <w:sz w:val="26"/>
          <w:szCs w:val="26"/>
        </w:rPr>
        <w:tab/>
      </w:r>
      <w:r>
        <w:rPr>
          <w:rFonts w:ascii="Times New Roman" w:hAnsi="Times New Roman"/>
          <w:sz w:val="26"/>
          <w:szCs w:val="26"/>
        </w:rPr>
        <w:tab/>
      </w:r>
      <w:r w:rsidRPr="00AA56B7">
        <w:rPr>
          <w:rFonts w:ascii="Times New Roman" w:hAnsi="Times New Roman"/>
          <w:sz w:val="26"/>
          <w:szCs w:val="26"/>
        </w:rPr>
        <w:t xml:space="preserve">To the extent that Ms. Brace’s Exception No.3 is an exception to the Recommended Decision, (as opposed to a statement of her personal generalized beliefs), we reject it as contrary to long established public utility practice in this and many other jurisdictions. </w:t>
      </w:r>
      <w:r w:rsidR="00AA56B7">
        <w:rPr>
          <w:rFonts w:ascii="Times New Roman" w:hAnsi="Times New Roman"/>
          <w:sz w:val="26"/>
          <w:szCs w:val="26"/>
        </w:rPr>
        <w:t xml:space="preserve"> </w:t>
      </w:r>
      <w:r w:rsidRPr="00AA56B7">
        <w:rPr>
          <w:rFonts w:ascii="Times New Roman" w:hAnsi="Times New Roman"/>
          <w:sz w:val="26"/>
          <w:szCs w:val="26"/>
        </w:rPr>
        <w:t>Consequently, we deny Ms. Brace’s Exception No.</w:t>
      </w:r>
      <w:r w:rsidR="00E32FD5">
        <w:rPr>
          <w:rFonts w:ascii="Times New Roman" w:hAnsi="Times New Roman"/>
          <w:sz w:val="26"/>
          <w:szCs w:val="26"/>
        </w:rPr>
        <w:t xml:space="preserve"> </w:t>
      </w:r>
      <w:r w:rsidRPr="00AA56B7">
        <w:rPr>
          <w:rFonts w:ascii="Times New Roman" w:hAnsi="Times New Roman"/>
          <w:sz w:val="26"/>
          <w:szCs w:val="26"/>
        </w:rPr>
        <w:t>3.</w:t>
      </w:r>
    </w:p>
    <w:p w14:paraId="13646A1E" w14:textId="77777777" w:rsidR="0001192D" w:rsidRDefault="0001192D" w:rsidP="00496081">
      <w:pPr>
        <w:spacing w:line="360" w:lineRule="auto"/>
        <w:ind w:firstLine="1440"/>
        <w:contextualSpacing/>
        <w:rPr>
          <w:rFonts w:ascii="Times New Roman" w:eastAsia="Times New Roman" w:hAnsi="Times New Roman" w:cs="Times New Roman"/>
          <w:b/>
          <w:bCs/>
          <w:sz w:val="26"/>
          <w:szCs w:val="26"/>
        </w:rPr>
      </w:pPr>
    </w:p>
    <w:p w14:paraId="6031B0D9" w14:textId="530E5B1E" w:rsidR="00B025B7" w:rsidRPr="00CE63F0" w:rsidRDefault="00752D43" w:rsidP="00207E9D">
      <w:pPr>
        <w:keepNext/>
        <w:spacing w:after="0" w:line="360" w:lineRule="auto"/>
        <w:ind w:firstLine="1440"/>
        <w:contextualSpacing/>
        <w:rPr>
          <w:rFonts w:ascii="Times New Roman" w:eastAsia="Times New Roman" w:hAnsi="Times New Roman" w:cs="Times New Roman"/>
          <w:b/>
          <w:bCs/>
          <w:sz w:val="26"/>
          <w:szCs w:val="26"/>
        </w:rPr>
      </w:pPr>
      <w:bookmarkStart w:id="8" w:name="_Hlk84525135"/>
      <w:r>
        <w:rPr>
          <w:rFonts w:ascii="Times New Roman" w:eastAsia="Times New Roman" w:hAnsi="Times New Roman" w:cs="Times New Roman"/>
          <w:b/>
          <w:bCs/>
          <w:sz w:val="26"/>
          <w:szCs w:val="26"/>
        </w:rPr>
        <w:lastRenderedPageBreak/>
        <w:t>e.</w:t>
      </w:r>
      <w:r>
        <w:rPr>
          <w:rFonts w:ascii="Times New Roman" w:eastAsia="Times New Roman" w:hAnsi="Times New Roman" w:cs="Times New Roman"/>
          <w:b/>
          <w:bCs/>
          <w:sz w:val="26"/>
          <w:szCs w:val="26"/>
        </w:rPr>
        <w:tab/>
      </w:r>
      <w:r w:rsidR="00067692" w:rsidRPr="00CE63F0">
        <w:rPr>
          <w:rFonts w:ascii="Times New Roman" w:eastAsia="Times New Roman" w:hAnsi="Times New Roman" w:cs="Times New Roman"/>
          <w:b/>
          <w:bCs/>
          <w:sz w:val="26"/>
          <w:szCs w:val="26"/>
        </w:rPr>
        <w:t xml:space="preserve">Exception No. 4, </w:t>
      </w:r>
      <w:r w:rsidR="00FA21F5" w:rsidRPr="00CE63F0">
        <w:rPr>
          <w:rFonts w:ascii="Times New Roman" w:eastAsia="Times New Roman" w:hAnsi="Times New Roman" w:cs="Times New Roman"/>
          <w:b/>
          <w:bCs/>
          <w:sz w:val="26"/>
          <w:szCs w:val="26"/>
        </w:rPr>
        <w:t xml:space="preserve">UGI Electric </w:t>
      </w:r>
      <w:r w:rsidR="003F5A08" w:rsidRPr="00CE63F0">
        <w:rPr>
          <w:rFonts w:ascii="Times New Roman" w:eastAsia="Times New Roman" w:hAnsi="Times New Roman" w:cs="Times New Roman"/>
          <w:b/>
          <w:bCs/>
          <w:sz w:val="26"/>
          <w:szCs w:val="26"/>
        </w:rPr>
        <w:t xml:space="preserve">Response, and Disposition </w:t>
      </w:r>
    </w:p>
    <w:bookmarkEnd w:id="8"/>
    <w:p w14:paraId="7AB8F22F" w14:textId="242FE565" w:rsidR="003F5A08" w:rsidRDefault="003F5A08" w:rsidP="00207E9D">
      <w:pPr>
        <w:keepNext/>
        <w:spacing w:after="0" w:line="360" w:lineRule="auto"/>
        <w:ind w:firstLine="1440"/>
        <w:contextualSpacing/>
        <w:rPr>
          <w:rFonts w:ascii="Times New Roman" w:eastAsia="Times New Roman" w:hAnsi="Times New Roman" w:cs="Times New Roman"/>
          <w:sz w:val="26"/>
          <w:szCs w:val="26"/>
        </w:rPr>
      </w:pPr>
    </w:p>
    <w:p w14:paraId="111EBB6F" w14:textId="5B43189D" w:rsidR="00243702" w:rsidRDefault="00B31AC2" w:rsidP="00207E9D">
      <w:pPr>
        <w:keepNext/>
        <w:spacing w:after="0" w:line="360" w:lineRule="auto"/>
        <w:ind w:firstLine="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In her Exception</w:t>
      </w:r>
      <w:r w:rsidR="00753B47">
        <w:rPr>
          <w:rFonts w:ascii="Times New Roman" w:eastAsia="Times New Roman" w:hAnsi="Times New Roman" w:cs="Times New Roman"/>
          <w:sz w:val="26"/>
          <w:szCs w:val="26"/>
        </w:rPr>
        <w:t xml:space="preserve"> No. 4</w:t>
      </w:r>
      <w:r>
        <w:rPr>
          <w:rFonts w:ascii="Times New Roman" w:eastAsia="Times New Roman" w:hAnsi="Times New Roman" w:cs="Times New Roman"/>
          <w:sz w:val="26"/>
          <w:szCs w:val="26"/>
        </w:rPr>
        <w:t xml:space="preserve">, Ms. Brace argues that </w:t>
      </w:r>
      <w:r w:rsidR="00821C33">
        <w:rPr>
          <w:rFonts w:ascii="Times New Roman" w:eastAsia="Times New Roman" w:hAnsi="Times New Roman" w:cs="Times New Roman"/>
          <w:sz w:val="26"/>
          <w:szCs w:val="26"/>
        </w:rPr>
        <w:t>UGI Electric’s rate increase</w:t>
      </w:r>
      <w:r w:rsidR="00140AA5">
        <w:rPr>
          <w:rFonts w:ascii="Times New Roman" w:eastAsia="Times New Roman" w:hAnsi="Times New Roman" w:cs="Times New Roman"/>
          <w:sz w:val="26"/>
          <w:szCs w:val="26"/>
        </w:rPr>
        <w:t xml:space="preserve"> should be </w:t>
      </w:r>
      <w:r w:rsidR="00070CCB">
        <w:rPr>
          <w:rFonts w:ascii="Times New Roman" w:eastAsia="Times New Roman" w:hAnsi="Times New Roman" w:cs="Times New Roman"/>
          <w:sz w:val="26"/>
          <w:szCs w:val="26"/>
        </w:rPr>
        <w:t>allocated</w:t>
      </w:r>
      <w:r w:rsidR="00140AA5">
        <w:rPr>
          <w:rFonts w:ascii="Times New Roman" w:eastAsia="Times New Roman" w:hAnsi="Times New Roman" w:cs="Times New Roman"/>
          <w:sz w:val="26"/>
          <w:szCs w:val="26"/>
        </w:rPr>
        <w:t xml:space="preserve"> to</w:t>
      </w:r>
      <w:r w:rsidR="008D04B9">
        <w:rPr>
          <w:rFonts w:ascii="Times New Roman" w:eastAsia="Times New Roman" w:hAnsi="Times New Roman" w:cs="Times New Roman"/>
          <w:sz w:val="26"/>
          <w:szCs w:val="26"/>
        </w:rPr>
        <w:t xml:space="preserve"> </w:t>
      </w:r>
      <w:r w:rsidR="00CB12D7">
        <w:rPr>
          <w:rFonts w:ascii="Times New Roman" w:eastAsia="Times New Roman" w:hAnsi="Times New Roman" w:cs="Times New Roman"/>
          <w:sz w:val="26"/>
          <w:szCs w:val="26"/>
        </w:rPr>
        <w:t xml:space="preserve">the </w:t>
      </w:r>
      <w:r w:rsidR="006E3AAB">
        <w:rPr>
          <w:rFonts w:ascii="Times New Roman" w:eastAsia="Times New Roman" w:hAnsi="Times New Roman" w:cs="Times New Roman"/>
          <w:sz w:val="26"/>
          <w:szCs w:val="26"/>
        </w:rPr>
        <w:t>generation charge</w:t>
      </w:r>
      <w:r w:rsidR="00AA0CCE">
        <w:rPr>
          <w:rFonts w:ascii="Times New Roman" w:eastAsia="Times New Roman" w:hAnsi="Times New Roman" w:cs="Times New Roman"/>
          <w:sz w:val="26"/>
          <w:szCs w:val="26"/>
        </w:rPr>
        <w:t xml:space="preserve">.  </w:t>
      </w:r>
      <w:r w:rsidR="00B6463E">
        <w:rPr>
          <w:rFonts w:ascii="Times New Roman" w:eastAsia="Times New Roman" w:hAnsi="Times New Roman" w:cs="Times New Roman"/>
          <w:sz w:val="26"/>
          <w:szCs w:val="26"/>
        </w:rPr>
        <w:t xml:space="preserve">Ms. Brace avers that </w:t>
      </w:r>
      <w:r w:rsidR="000E702E">
        <w:rPr>
          <w:rFonts w:ascii="Times New Roman" w:eastAsia="Times New Roman" w:hAnsi="Times New Roman" w:cs="Times New Roman"/>
          <w:sz w:val="26"/>
          <w:szCs w:val="26"/>
        </w:rPr>
        <w:t xml:space="preserve">UGI Electric’s proposed rate increase and </w:t>
      </w:r>
      <w:r w:rsidR="00D1370B">
        <w:rPr>
          <w:rFonts w:ascii="Times New Roman" w:eastAsia="Times New Roman" w:hAnsi="Times New Roman" w:cs="Times New Roman"/>
          <w:sz w:val="26"/>
          <w:szCs w:val="26"/>
        </w:rPr>
        <w:t xml:space="preserve">proposed Settlement are an attempt to </w:t>
      </w:r>
      <w:r w:rsidR="00436812">
        <w:rPr>
          <w:rFonts w:ascii="Times New Roman" w:eastAsia="Times New Roman" w:hAnsi="Times New Roman" w:cs="Times New Roman"/>
          <w:sz w:val="26"/>
          <w:szCs w:val="26"/>
        </w:rPr>
        <w:t>disregard the spirit of Chapter 28 of the Code</w:t>
      </w:r>
      <w:r w:rsidR="000E41C4">
        <w:rPr>
          <w:rFonts w:ascii="Times New Roman" w:eastAsia="Times New Roman" w:hAnsi="Times New Roman" w:cs="Times New Roman"/>
          <w:sz w:val="26"/>
          <w:szCs w:val="26"/>
        </w:rPr>
        <w:t xml:space="preserve"> by a</w:t>
      </w:r>
      <w:r w:rsidR="00070CCB">
        <w:rPr>
          <w:rFonts w:ascii="Times New Roman" w:eastAsia="Times New Roman" w:hAnsi="Times New Roman" w:cs="Times New Roman"/>
          <w:sz w:val="26"/>
          <w:szCs w:val="26"/>
        </w:rPr>
        <w:t>llocating</w:t>
      </w:r>
      <w:r w:rsidR="000E41C4">
        <w:rPr>
          <w:rFonts w:ascii="Times New Roman" w:eastAsia="Times New Roman" w:hAnsi="Times New Roman" w:cs="Times New Roman"/>
          <w:sz w:val="26"/>
          <w:szCs w:val="26"/>
        </w:rPr>
        <w:t xml:space="preserve"> the rate increas</w:t>
      </w:r>
      <w:r w:rsidR="00CB1F32">
        <w:rPr>
          <w:rFonts w:ascii="Times New Roman" w:eastAsia="Times New Roman" w:hAnsi="Times New Roman" w:cs="Times New Roman"/>
          <w:sz w:val="26"/>
          <w:szCs w:val="26"/>
        </w:rPr>
        <w:t xml:space="preserve">e to charges that are </w:t>
      </w:r>
      <w:r w:rsidR="009701E1">
        <w:rPr>
          <w:rFonts w:ascii="Times New Roman" w:eastAsia="Times New Roman" w:hAnsi="Times New Roman" w:cs="Times New Roman"/>
          <w:sz w:val="26"/>
          <w:szCs w:val="26"/>
        </w:rPr>
        <w:t xml:space="preserve">unavoidable </w:t>
      </w:r>
      <w:r w:rsidR="00070CCB">
        <w:rPr>
          <w:rFonts w:ascii="Times New Roman" w:eastAsia="Times New Roman" w:hAnsi="Times New Roman" w:cs="Times New Roman"/>
          <w:sz w:val="26"/>
          <w:szCs w:val="26"/>
        </w:rPr>
        <w:t>to</w:t>
      </w:r>
      <w:r w:rsidR="009701E1">
        <w:rPr>
          <w:rFonts w:ascii="Times New Roman" w:eastAsia="Times New Roman" w:hAnsi="Times New Roman" w:cs="Times New Roman"/>
          <w:sz w:val="26"/>
          <w:szCs w:val="26"/>
        </w:rPr>
        <w:t xml:space="preserve"> customers, namely the customer charge and distribution charge</w:t>
      </w:r>
      <w:r w:rsidR="00436812">
        <w:rPr>
          <w:rFonts w:ascii="Times New Roman" w:eastAsia="Times New Roman" w:hAnsi="Times New Roman" w:cs="Times New Roman"/>
          <w:sz w:val="26"/>
          <w:szCs w:val="26"/>
        </w:rPr>
        <w:t>.</w:t>
      </w:r>
      <w:r w:rsidR="009701E1">
        <w:rPr>
          <w:rFonts w:ascii="Times New Roman" w:eastAsia="Times New Roman" w:hAnsi="Times New Roman" w:cs="Times New Roman"/>
          <w:sz w:val="26"/>
          <w:szCs w:val="26"/>
        </w:rPr>
        <w:t xml:space="preserve">  </w:t>
      </w:r>
      <w:r w:rsidR="00D119C2">
        <w:rPr>
          <w:rFonts w:ascii="Times New Roman" w:eastAsia="Times New Roman" w:hAnsi="Times New Roman" w:cs="Times New Roman"/>
          <w:sz w:val="26"/>
          <w:szCs w:val="26"/>
        </w:rPr>
        <w:t xml:space="preserve">Exc. at 8.  </w:t>
      </w:r>
      <w:r w:rsidR="00941F86">
        <w:rPr>
          <w:rFonts w:ascii="Times New Roman" w:eastAsia="Times New Roman" w:hAnsi="Times New Roman" w:cs="Times New Roman"/>
          <w:sz w:val="26"/>
          <w:szCs w:val="26"/>
        </w:rPr>
        <w:t xml:space="preserve">Ms. Brace states that </w:t>
      </w:r>
      <w:r w:rsidR="000A7E57">
        <w:rPr>
          <w:rFonts w:ascii="Times New Roman" w:eastAsia="Times New Roman" w:hAnsi="Times New Roman" w:cs="Times New Roman"/>
          <w:sz w:val="26"/>
          <w:szCs w:val="26"/>
        </w:rPr>
        <w:t>the only choice customer</w:t>
      </w:r>
      <w:r w:rsidR="00025553">
        <w:rPr>
          <w:rFonts w:ascii="Times New Roman" w:eastAsia="Times New Roman" w:hAnsi="Times New Roman" w:cs="Times New Roman"/>
          <w:sz w:val="26"/>
          <w:szCs w:val="26"/>
        </w:rPr>
        <w:t>s</w:t>
      </w:r>
      <w:r w:rsidR="000A7E57">
        <w:rPr>
          <w:rFonts w:ascii="Times New Roman" w:eastAsia="Times New Roman" w:hAnsi="Times New Roman" w:cs="Times New Roman"/>
          <w:sz w:val="26"/>
          <w:szCs w:val="26"/>
        </w:rPr>
        <w:t xml:space="preserve"> ha</w:t>
      </w:r>
      <w:r w:rsidR="00025553">
        <w:rPr>
          <w:rFonts w:ascii="Times New Roman" w:eastAsia="Times New Roman" w:hAnsi="Times New Roman" w:cs="Times New Roman"/>
          <w:sz w:val="26"/>
          <w:szCs w:val="26"/>
        </w:rPr>
        <w:t>ve</w:t>
      </w:r>
      <w:r w:rsidR="000A7E57">
        <w:rPr>
          <w:rFonts w:ascii="Times New Roman" w:eastAsia="Times New Roman" w:hAnsi="Times New Roman" w:cs="Times New Roman"/>
          <w:sz w:val="26"/>
          <w:szCs w:val="26"/>
        </w:rPr>
        <w:t xml:space="preserve"> is </w:t>
      </w:r>
      <w:r w:rsidR="0018195D">
        <w:rPr>
          <w:rFonts w:ascii="Times New Roman" w:eastAsia="Times New Roman" w:hAnsi="Times New Roman" w:cs="Times New Roman"/>
          <w:sz w:val="26"/>
          <w:szCs w:val="26"/>
        </w:rPr>
        <w:t>the entity to which</w:t>
      </w:r>
      <w:r w:rsidR="00025553">
        <w:rPr>
          <w:rFonts w:ascii="Times New Roman" w:eastAsia="Times New Roman" w:hAnsi="Times New Roman" w:cs="Times New Roman"/>
          <w:sz w:val="26"/>
          <w:szCs w:val="26"/>
        </w:rPr>
        <w:t xml:space="preserve"> they pay</w:t>
      </w:r>
      <w:r w:rsidR="0018195D">
        <w:rPr>
          <w:rFonts w:ascii="Times New Roman" w:eastAsia="Times New Roman" w:hAnsi="Times New Roman" w:cs="Times New Roman"/>
          <w:sz w:val="26"/>
          <w:szCs w:val="26"/>
        </w:rPr>
        <w:t xml:space="preserve"> a generation fee</w:t>
      </w:r>
      <w:r w:rsidR="00872DEE">
        <w:rPr>
          <w:rFonts w:ascii="Times New Roman" w:eastAsia="Times New Roman" w:hAnsi="Times New Roman" w:cs="Times New Roman"/>
          <w:sz w:val="26"/>
          <w:szCs w:val="26"/>
        </w:rPr>
        <w:t xml:space="preserve"> and that regardless of the utility providing electricity </w:t>
      </w:r>
      <w:r w:rsidR="007C61C1">
        <w:rPr>
          <w:rFonts w:ascii="Times New Roman" w:eastAsia="Times New Roman" w:hAnsi="Times New Roman" w:cs="Times New Roman"/>
          <w:sz w:val="26"/>
          <w:szCs w:val="26"/>
        </w:rPr>
        <w:t xml:space="preserve">generation </w:t>
      </w:r>
      <w:r w:rsidR="00872DEE">
        <w:rPr>
          <w:rFonts w:ascii="Times New Roman" w:eastAsia="Times New Roman" w:hAnsi="Times New Roman" w:cs="Times New Roman"/>
          <w:sz w:val="26"/>
          <w:szCs w:val="26"/>
        </w:rPr>
        <w:t xml:space="preserve">service, </w:t>
      </w:r>
      <w:r w:rsidR="007C61C1">
        <w:rPr>
          <w:rFonts w:ascii="Times New Roman" w:eastAsia="Times New Roman" w:hAnsi="Times New Roman" w:cs="Times New Roman"/>
          <w:sz w:val="26"/>
          <w:szCs w:val="26"/>
        </w:rPr>
        <w:t xml:space="preserve">customers </w:t>
      </w:r>
      <w:r w:rsidR="002A4B7F">
        <w:rPr>
          <w:rFonts w:ascii="Times New Roman" w:eastAsia="Times New Roman" w:hAnsi="Times New Roman" w:cs="Times New Roman"/>
          <w:sz w:val="26"/>
          <w:szCs w:val="26"/>
        </w:rPr>
        <w:t xml:space="preserve">are required to pay distribution charges to UGI Electric.  </w:t>
      </w:r>
      <w:r w:rsidR="00D119C2" w:rsidRPr="00D119C2">
        <w:rPr>
          <w:rFonts w:ascii="Times New Roman" w:eastAsia="Times New Roman" w:hAnsi="Times New Roman" w:cs="Times New Roman"/>
          <w:i/>
          <w:iCs/>
          <w:sz w:val="26"/>
          <w:szCs w:val="26"/>
        </w:rPr>
        <w:t>Id</w:t>
      </w:r>
      <w:r w:rsidR="00D119C2">
        <w:rPr>
          <w:rFonts w:ascii="Times New Roman" w:eastAsia="Times New Roman" w:hAnsi="Times New Roman" w:cs="Times New Roman"/>
          <w:sz w:val="26"/>
          <w:szCs w:val="26"/>
        </w:rPr>
        <w:t xml:space="preserve">. at 8-9.  </w:t>
      </w:r>
      <w:r w:rsidR="002A4B7F">
        <w:rPr>
          <w:rFonts w:ascii="Times New Roman" w:eastAsia="Times New Roman" w:hAnsi="Times New Roman" w:cs="Times New Roman"/>
          <w:sz w:val="26"/>
          <w:szCs w:val="26"/>
        </w:rPr>
        <w:t xml:space="preserve">Ms. Brace </w:t>
      </w:r>
      <w:r w:rsidR="00924778">
        <w:rPr>
          <w:rFonts w:ascii="Times New Roman" w:eastAsia="Times New Roman" w:hAnsi="Times New Roman" w:cs="Times New Roman"/>
          <w:sz w:val="26"/>
          <w:szCs w:val="26"/>
        </w:rPr>
        <w:t>contends</w:t>
      </w:r>
      <w:r w:rsidR="002A4B7F">
        <w:rPr>
          <w:rFonts w:ascii="Times New Roman" w:eastAsia="Times New Roman" w:hAnsi="Times New Roman" w:cs="Times New Roman"/>
          <w:sz w:val="26"/>
          <w:szCs w:val="26"/>
        </w:rPr>
        <w:t xml:space="preserve"> that </w:t>
      </w:r>
      <w:r w:rsidR="00AE3A2E">
        <w:rPr>
          <w:rFonts w:ascii="Times New Roman" w:eastAsia="Times New Roman" w:hAnsi="Times New Roman" w:cs="Times New Roman"/>
          <w:sz w:val="26"/>
          <w:szCs w:val="26"/>
        </w:rPr>
        <w:t xml:space="preserve">there is no market-based competition and no limit to UGI Electric’s ability to </w:t>
      </w:r>
      <w:r w:rsidR="00BC2F93">
        <w:rPr>
          <w:rFonts w:ascii="Times New Roman" w:eastAsia="Times New Roman" w:hAnsi="Times New Roman" w:cs="Times New Roman"/>
          <w:sz w:val="26"/>
          <w:szCs w:val="26"/>
        </w:rPr>
        <w:t>receive money from customers who cannot live without the service</w:t>
      </w:r>
      <w:r w:rsidR="00F50592">
        <w:rPr>
          <w:rFonts w:ascii="Times New Roman" w:eastAsia="Times New Roman" w:hAnsi="Times New Roman" w:cs="Times New Roman"/>
          <w:sz w:val="26"/>
          <w:szCs w:val="26"/>
        </w:rPr>
        <w:t xml:space="preserve"> the Company provides.</w:t>
      </w:r>
      <w:r w:rsidR="00D119C2">
        <w:rPr>
          <w:rFonts w:ascii="Times New Roman" w:eastAsia="Times New Roman" w:hAnsi="Times New Roman" w:cs="Times New Roman"/>
          <w:sz w:val="26"/>
          <w:szCs w:val="26"/>
        </w:rPr>
        <w:t xml:space="preserve">  </w:t>
      </w:r>
      <w:r w:rsidR="00922B01" w:rsidRPr="00922B01">
        <w:rPr>
          <w:rFonts w:ascii="Times New Roman" w:eastAsia="Times New Roman" w:hAnsi="Times New Roman" w:cs="Times New Roman"/>
          <w:i/>
          <w:iCs/>
          <w:sz w:val="26"/>
          <w:szCs w:val="26"/>
        </w:rPr>
        <w:t>Id</w:t>
      </w:r>
      <w:r w:rsidR="00922B01">
        <w:rPr>
          <w:rFonts w:ascii="Times New Roman" w:eastAsia="Times New Roman" w:hAnsi="Times New Roman" w:cs="Times New Roman"/>
          <w:sz w:val="26"/>
          <w:szCs w:val="26"/>
        </w:rPr>
        <w:t>.</w:t>
      </w:r>
      <w:r w:rsidR="00F44E64">
        <w:rPr>
          <w:rFonts w:ascii="Times New Roman" w:eastAsia="Times New Roman" w:hAnsi="Times New Roman" w:cs="Times New Roman"/>
          <w:sz w:val="26"/>
          <w:szCs w:val="26"/>
        </w:rPr>
        <w:t> </w:t>
      </w:r>
      <w:r w:rsidR="00922B01">
        <w:rPr>
          <w:rFonts w:ascii="Times New Roman" w:eastAsia="Times New Roman" w:hAnsi="Times New Roman" w:cs="Times New Roman"/>
          <w:sz w:val="26"/>
          <w:szCs w:val="26"/>
        </w:rPr>
        <w:t>at</w:t>
      </w:r>
      <w:r w:rsidR="00F44E64">
        <w:rPr>
          <w:rFonts w:ascii="Times New Roman" w:eastAsia="Times New Roman" w:hAnsi="Times New Roman" w:cs="Times New Roman"/>
          <w:sz w:val="26"/>
          <w:szCs w:val="26"/>
        </w:rPr>
        <w:t> </w:t>
      </w:r>
      <w:r w:rsidR="00922B01">
        <w:rPr>
          <w:rFonts w:ascii="Times New Roman" w:eastAsia="Times New Roman" w:hAnsi="Times New Roman" w:cs="Times New Roman"/>
          <w:sz w:val="26"/>
          <w:szCs w:val="26"/>
        </w:rPr>
        <w:t xml:space="preserve">9.  </w:t>
      </w:r>
      <w:r w:rsidR="00D119C2">
        <w:rPr>
          <w:rFonts w:ascii="Times New Roman" w:eastAsia="Times New Roman" w:hAnsi="Times New Roman" w:cs="Times New Roman"/>
          <w:sz w:val="26"/>
          <w:szCs w:val="26"/>
        </w:rPr>
        <w:t xml:space="preserve">Ms. Brace </w:t>
      </w:r>
      <w:r w:rsidR="00DB1544">
        <w:rPr>
          <w:rFonts w:ascii="Times New Roman" w:eastAsia="Times New Roman" w:hAnsi="Times New Roman" w:cs="Times New Roman"/>
          <w:sz w:val="26"/>
          <w:szCs w:val="26"/>
        </w:rPr>
        <w:t xml:space="preserve">submits that rather than suggesting </w:t>
      </w:r>
      <w:r w:rsidR="00470876">
        <w:rPr>
          <w:rFonts w:ascii="Times New Roman" w:eastAsia="Times New Roman" w:hAnsi="Times New Roman" w:cs="Times New Roman"/>
          <w:sz w:val="26"/>
          <w:szCs w:val="26"/>
        </w:rPr>
        <w:t>that the rate increase be a</w:t>
      </w:r>
      <w:r w:rsidR="00CB12D7">
        <w:rPr>
          <w:rFonts w:ascii="Times New Roman" w:eastAsia="Times New Roman" w:hAnsi="Times New Roman" w:cs="Times New Roman"/>
          <w:sz w:val="26"/>
          <w:szCs w:val="26"/>
        </w:rPr>
        <w:t>llocated</w:t>
      </w:r>
      <w:r w:rsidR="00470876">
        <w:rPr>
          <w:rFonts w:ascii="Times New Roman" w:eastAsia="Times New Roman" w:hAnsi="Times New Roman" w:cs="Times New Roman"/>
          <w:sz w:val="26"/>
          <w:szCs w:val="26"/>
        </w:rPr>
        <w:t xml:space="preserve"> to </w:t>
      </w:r>
      <w:r w:rsidR="000C33F2">
        <w:rPr>
          <w:rFonts w:ascii="Times New Roman" w:eastAsia="Times New Roman" w:hAnsi="Times New Roman" w:cs="Times New Roman"/>
          <w:sz w:val="26"/>
          <w:szCs w:val="26"/>
        </w:rPr>
        <w:t xml:space="preserve">the generation charge, the ALJ </w:t>
      </w:r>
      <w:r w:rsidR="00655467">
        <w:rPr>
          <w:rFonts w:ascii="Times New Roman" w:eastAsia="Times New Roman" w:hAnsi="Times New Roman" w:cs="Times New Roman"/>
          <w:sz w:val="26"/>
          <w:szCs w:val="26"/>
        </w:rPr>
        <w:t xml:space="preserve">focused only on the issues pertaining to </w:t>
      </w:r>
      <w:r w:rsidR="009568AC">
        <w:rPr>
          <w:rFonts w:ascii="Times New Roman" w:eastAsia="Times New Roman" w:hAnsi="Times New Roman" w:cs="Times New Roman"/>
          <w:sz w:val="26"/>
          <w:szCs w:val="26"/>
        </w:rPr>
        <w:t>raising the customer charge and stated the following:</w:t>
      </w:r>
      <w:r w:rsidR="00ED17D7">
        <w:rPr>
          <w:rFonts w:ascii="Times New Roman" w:eastAsia="Times New Roman" w:hAnsi="Times New Roman" w:cs="Times New Roman"/>
          <w:sz w:val="26"/>
          <w:szCs w:val="26"/>
        </w:rPr>
        <w:t xml:space="preserve"> </w:t>
      </w:r>
      <w:r w:rsidR="009568AC">
        <w:rPr>
          <w:rFonts w:ascii="Times New Roman" w:eastAsia="Times New Roman" w:hAnsi="Times New Roman" w:cs="Times New Roman"/>
          <w:sz w:val="26"/>
          <w:szCs w:val="26"/>
        </w:rPr>
        <w:t xml:space="preserve"> “reducing the amount of the</w:t>
      </w:r>
      <w:r w:rsidR="00415F1D">
        <w:rPr>
          <w:rFonts w:ascii="Times New Roman" w:eastAsia="Times New Roman" w:hAnsi="Times New Roman" w:cs="Times New Roman"/>
          <w:sz w:val="26"/>
          <w:szCs w:val="26"/>
        </w:rPr>
        <w:t xml:space="preserve"> increase allocated </w:t>
      </w:r>
      <w:r w:rsidR="004A75DA">
        <w:rPr>
          <w:rFonts w:ascii="Times New Roman" w:eastAsia="Times New Roman" w:hAnsi="Times New Roman" w:cs="Times New Roman"/>
          <w:sz w:val="26"/>
          <w:szCs w:val="26"/>
        </w:rPr>
        <w:t xml:space="preserve">to the fixed monthly customer charge will ensure that customers have greater control </w:t>
      </w:r>
      <w:r w:rsidR="00BB6DDF">
        <w:rPr>
          <w:rFonts w:ascii="Times New Roman" w:eastAsia="Times New Roman" w:hAnsi="Times New Roman" w:cs="Times New Roman"/>
          <w:sz w:val="26"/>
          <w:szCs w:val="26"/>
        </w:rPr>
        <w:t xml:space="preserve">over lowering their monthly bills through conservation and </w:t>
      </w:r>
      <w:r w:rsidR="00922B01">
        <w:rPr>
          <w:rFonts w:ascii="Times New Roman" w:eastAsia="Times New Roman" w:hAnsi="Times New Roman" w:cs="Times New Roman"/>
          <w:sz w:val="26"/>
          <w:szCs w:val="26"/>
        </w:rPr>
        <w:t xml:space="preserve">usage reduction efforts.”  </w:t>
      </w:r>
      <w:r w:rsidR="00922B01" w:rsidRPr="00CB12D7">
        <w:rPr>
          <w:rFonts w:ascii="Times New Roman" w:eastAsia="Times New Roman" w:hAnsi="Times New Roman" w:cs="Times New Roman"/>
          <w:i/>
          <w:iCs/>
          <w:sz w:val="26"/>
          <w:szCs w:val="26"/>
        </w:rPr>
        <w:t>Id</w:t>
      </w:r>
      <w:r w:rsidR="00922B01">
        <w:rPr>
          <w:rFonts w:ascii="Times New Roman" w:eastAsia="Times New Roman" w:hAnsi="Times New Roman" w:cs="Times New Roman"/>
          <w:sz w:val="26"/>
          <w:szCs w:val="26"/>
        </w:rPr>
        <w:t xml:space="preserve">. (citing </w:t>
      </w:r>
      <w:r w:rsidR="00D14CEC">
        <w:rPr>
          <w:rFonts w:ascii="Times New Roman" w:eastAsia="Times New Roman" w:hAnsi="Times New Roman" w:cs="Times New Roman"/>
          <w:sz w:val="26"/>
          <w:szCs w:val="26"/>
        </w:rPr>
        <w:t>R.D. at 22).</w:t>
      </w:r>
      <w:r w:rsidR="00094756">
        <w:rPr>
          <w:rFonts w:ascii="Times New Roman" w:eastAsia="Times New Roman" w:hAnsi="Times New Roman" w:cs="Times New Roman"/>
          <w:sz w:val="26"/>
          <w:szCs w:val="26"/>
        </w:rPr>
        <w:t xml:space="preserve">  Ms. Brace</w:t>
      </w:r>
      <w:r w:rsidR="00924778">
        <w:rPr>
          <w:rFonts w:ascii="Times New Roman" w:eastAsia="Times New Roman" w:hAnsi="Times New Roman" w:cs="Times New Roman"/>
          <w:sz w:val="26"/>
          <w:szCs w:val="26"/>
        </w:rPr>
        <w:t xml:space="preserve"> believes that while customers have control over the amount of electricity they use, </w:t>
      </w:r>
      <w:r w:rsidR="00250C1C">
        <w:rPr>
          <w:rFonts w:ascii="Times New Roman" w:eastAsia="Times New Roman" w:hAnsi="Times New Roman" w:cs="Times New Roman"/>
          <w:sz w:val="26"/>
          <w:szCs w:val="26"/>
        </w:rPr>
        <w:t xml:space="preserve">allocating the increase to the generation fee would have the same </w:t>
      </w:r>
      <w:r w:rsidR="00EE001D">
        <w:rPr>
          <w:rFonts w:ascii="Times New Roman" w:eastAsia="Times New Roman" w:hAnsi="Times New Roman" w:cs="Times New Roman"/>
          <w:sz w:val="26"/>
          <w:szCs w:val="26"/>
        </w:rPr>
        <w:t xml:space="preserve">effect while requiring UGI Electric to remain competitive.  </w:t>
      </w:r>
    </w:p>
    <w:p w14:paraId="75174459" w14:textId="77777777" w:rsidR="00243702" w:rsidRDefault="00243702" w:rsidP="00496081">
      <w:pPr>
        <w:spacing w:line="360" w:lineRule="auto"/>
        <w:ind w:firstLine="1440"/>
        <w:contextualSpacing/>
        <w:rPr>
          <w:rFonts w:ascii="Times New Roman" w:eastAsia="Times New Roman" w:hAnsi="Times New Roman" w:cs="Times New Roman"/>
          <w:sz w:val="26"/>
          <w:szCs w:val="26"/>
        </w:rPr>
      </w:pPr>
    </w:p>
    <w:p w14:paraId="3530F9C7" w14:textId="3D5B0D17" w:rsidR="0013236E" w:rsidRDefault="008E06E7" w:rsidP="00496081">
      <w:pPr>
        <w:spacing w:line="360" w:lineRule="auto"/>
        <w:ind w:firstLine="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220213">
        <w:rPr>
          <w:rFonts w:ascii="Times New Roman" w:eastAsia="Times New Roman" w:hAnsi="Times New Roman" w:cs="Times New Roman"/>
          <w:sz w:val="26"/>
          <w:szCs w:val="26"/>
        </w:rPr>
        <w:t xml:space="preserve">n its Response, UGI Electric states that </w:t>
      </w:r>
      <w:r w:rsidR="0085192E">
        <w:rPr>
          <w:rFonts w:ascii="Times New Roman" w:eastAsia="Times New Roman" w:hAnsi="Times New Roman" w:cs="Times New Roman"/>
          <w:sz w:val="26"/>
          <w:szCs w:val="26"/>
        </w:rPr>
        <w:t xml:space="preserve">Ms. Brace’s argument </w:t>
      </w:r>
      <w:r w:rsidR="00A52455">
        <w:rPr>
          <w:rFonts w:ascii="Times New Roman" w:eastAsia="Times New Roman" w:hAnsi="Times New Roman" w:cs="Times New Roman"/>
          <w:sz w:val="26"/>
          <w:szCs w:val="26"/>
        </w:rPr>
        <w:t xml:space="preserve">ignores the reasonableness of the settled rates in this proceeding.  </w:t>
      </w:r>
      <w:r w:rsidR="004839E9">
        <w:rPr>
          <w:rFonts w:ascii="Times New Roman" w:eastAsia="Times New Roman" w:hAnsi="Times New Roman" w:cs="Times New Roman"/>
          <w:sz w:val="26"/>
          <w:szCs w:val="26"/>
        </w:rPr>
        <w:t xml:space="preserve">The Company explains that as it stated in its Statement in Support, </w:t>
      </w:r>
      <w:r w:rsidR="000E7E68">
        <w:rPr>
          <w:rFonts w:ascii="Times New Roman" w:eastAsia="Times New Roman" w:hAnsi="Times New Roman" w:cs="Times New Roman"/>
          <w:sz w:val="26"/>
          <w:szCs w:val="26"/>
        </w:rPr>
        <w:t xml:space="preserve">its </w:t>
      </w:r>
      <w:r w:rsidR="00D5352A">
        <w:rPr>
          <w:rFonts w:ascii="Times New Roman" w:eastAsia="Times New Roman" w:hAnsi="Times New Roman" w:cs="Times New Roman"/>
          <w:sz w:val="26"/>
          <w:szCs w:val="26"/>
        </w:rPr>
        <w:t>initially proposed Rate R customer charge was supported by thorough and substantial evidence</w:t>
      </w:r>
      <w:r w:rsidR="00EE4A48">
        <w:rPr>
          <w:rFonts w:ascii="Times New Roman" w:eastAsia="Times New Roman" w:hAnsi="Times New Roman" w:cs="Times New Roman"/>
          <w:sz w:val="26"/>
          <w:szCs w:val="26"/>
        </w:rPr>
        <w:t>, but the Settlement reaches a reasonable compromise of the Parties</w:t>
      </w:r>
      <w:r w:rsidR="004033CE">
        <w:rPr>
          <w:rFonts w:ascii="Times New Roman" w:eastAsia="Times New Roman" w:hAnsi="Times New Roman" w:cs="Times New Roman"/>
          <w:sz w:val="26"/>
          <w:szCs w:val="26"/>
        </w:rPr>
        <w:t xml:space="preserve">’ litigation positions </w:t>
      </w:r>
      <w:r w:rsidR="008D3F77">
        <w:rPr>
          <w:rFonts w:ascii="Times New Roman" w:eastAsia="Times New Roman" w:hAnsi="Times New Roman" w:cs="Times New Roman"/>
          <w:sz w:val="26"/>
          <w:szCs w:val="26"/>
        </w:rPr>
        <w:t xml:space="preserve">concerning increases to the proposed monthly charges.  </w:t>
      </w:r>
      <w:r w:rsidR="00A722F8">
        <w:rPr>
          <w:rFonts w:ascii="Times New Roman" w:eastAsia="Times New Roman" w:hAnsi="Times New Roman" w:cs="Times New Roman"/>
          <w:sz w:val="26"/>
          <w:szCs w:val="26"/>
        </w:rPr>
        <w:t>UGI Electric Response at 4.</w:t>
      </w:r>
    </w:p>
    <w:p w14:paraId="357A0736" w14:textId="257380CE" w:rsidR="00C86B66" w:rsidRDefault="00C86B66" w:rsidP="00496081">
      <w:pPr>
        <w:spacing w:line="360" w:lineRule="auto"/>
        <w:ind w:firstLine="1440"/>
        <w:contextualSpacing/>
        <w:rPr>
          <w:rFonts w:ascii="Times New Roman" w:eastAsia="Times New Roman" w:hAnsi="Times New Roman" w:cs="Times New Roman"/>
          <w:sz w:val="26"/>
          <w:szCs w:val="26"/>
        </w:rPr>
      </w:pPr>
    </w:p>
    <w:p w14:paraId="458EDF15" w14:textId="17148AD5" w:rsidR="00636F2D" w:rsidRDefault="00F548C1" w:rsidP="00ED17D7">
      <w:pPr>
        <w:spacing w:after="0" w:line="360" w:lineRule="auto"/>
        <w:ind w:firstLine="1440"/>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Upon review, we find that Ms. Brace’s argument </w:t>
      </w:r>
      <w:r w:rsidR="00B331E1">
        <w:rPr>
          <w:rFonts w:ascii="Times New Roman" w:eastAsia="Times New Roman" w:hAnsi="Times New Roman" w:cs="Times New Roman"/>
          <w:sz w:val="26"/>
          <w:szCs w:val="26"/>
        </w:rPr>
        <w:t>that UGI Electric’s rate increase should be allocated to the generation charge</w:t>
      </w:r>
      <w:r w:rsidR="00B331E1" w:rsidRPr="00163B50">
        <w:rPr>
          <w:rFonts w:ascii="Times New Roman" w:hAnsi="Times New Roman" w:cs="Times New Roman"/>
          <w:sz w:val="26"/>
          <w:szCs w:val="26"/>
        </w:rPr>
        <w:t xml:space="preserve"> </w:t>
      </w:r>
      <w:r w:rsidR="00C51229" w:rsidRPr="00163B50">
        <w:rPr>
          <w:rFonts w:ascii="Times New Roman" w:hAnsi="Times New Roman" w:cs="Times New Roman"/>
          <w:sz w:val="26"/>
          <w:szCs w:val="26"/>
        </w:rPr>
        <w:t>is not properly considered in this base rate proceeding</w:t>
      </w:r>
      <w:r w:rsidR="00DA765E">
        <w:rPr>
          <w:rFonts w:ascii="Times New Roman" w:hAnsi="Times New Roman" w:cs="Times New Roman"/>
          <w:sz w:val="26"/>
          <w:szCs w:val="26"/>
        </w:rPr>
        <w:t xml:space="preserve"> which </w:t>
      </w:r>
      <w:r w:rsidR="00B421C1">
        <w:rPr>
          <w:rFonts w:ascii="Times New Roman" w:hAnsi="Times New Roman" w:cs="Times New Roman"/>
          <w:sz w:val="26"/>
          <w:szCs w:val="26"/>
        </w:rPr>
        <w:t>pertains to the recovery of distribution revenue</w:t>
      </w:r>
      <w:r w:rsidR="00C51229" w:rsidRPr="00163B50">
        <w:rPr>
          <w:rFonts w:ascii="Times New Roman" w:hAnsi="Times New Roman" w:cs="Times New Roman"/>
          <w:sz w:val="26"/>
          <w:szCs w:val="26"/>
        </w:rPr>
        <w:t xml:space="preserve">.  It is clear </w:t>
      </w:r>
      <w:r w:rsidR="00636F2D">
        <w:rPr>
          <w:rFonts w:ascii="Times New Roman" w:hAnsi="Times New Roman" w:cs="Times New Roman"/>
          <w:sz w:val="26"/>
          <w:szCs w:val="26"/>
        </w:rPr>
        <w:t>u</w:t>
      </w:r>
      <w:r w:rsidR="00C51229" w:rsidRPr="00163B50">
        <w:rPr>
          <w:rFonts w:ascii="Times New Roman" w:hAnsi="Times New Roman" w:cs="Times New Roman"/>
          <w:sz w:val="26"/>
          <w:szCs w:val="26"/>
        </w:rPr>
        <w:t>n</w:t>
      </w:r>
      <w:r w:rsidR="00636F2D">
        <w:rPr>
          <w:rFonts w:ascii="Times New Roman" w:hAnsi="Times New Roman" w:cs="Times New Roman"/>
          <w:sz w:val="26"/>
          <w:szCs w:val="26"/>
        </w:rPr>
        <w:t>der</w:t>
      </w:r>
      <w:r w:rsidR="00C51229" w:rsidRPr="00163B50">
        <w:rPr>
          <w:rFonts w:ascii="Times New Roman" w:hAnsi="Times New Roman" w:cs="Times New Roman"/>
          <w:sz w:val="26"/>
          <w:szCs w:val="26"/>
        </w:rPr>
        <w:t xml:space="preserve"> </w:t>
      </w:r>
      <w:r w:rsidR="006E7781">
        <w:rPr>
          <w:rFonts w:ascii="Times New Roman" w:hAnsi="Times New Roman" w:cs="Times New Roman"/>
          <w:sz w:val="26"/>
          <w:szCs w:val="26"/>
        </w:rPr>
        <w:t xml:space="preserve">the Electricity </w:t>
      </w:r>
      <w:r w:rsidR="00F71EB4">
        <w:rPr>
          <w:rFonts w:ascii="Times New Roman" w:hAnsi="Times New Roman" w:cs="Times New Roman"/>
          <w:sz w:val="26"/>
          <w:szCs w:val="26"/>
        </w:rPr>
        <w:t>Generation Customer Choice and Competition Act, 66 Pa. C.S. §§</w:t>
      </w:r>
      <w:r w:rsidR="00ED17D7">
        <w:rPr>
          <w:rFonts w:ascii="Times New Roman" w:hAnsi="Times New Roman" w:cs="Times New Roman"/>
          <w:sz w:val="26"/>
          <w:szCs w:val="26"/>
        </w:rPr>
        <w:t> </w:t>
      </w:r>
      <w:r w:rsidR="00F71EB4">
        <w:rPr>
          <w:rFonts w:ascii="Times New Roman" w:hAnsi="Times New Roman" w:cs="Times New Roman"/>
          <w:sz w:val="26"/>
          <w:szCs w:val="26"/>
        </w:rPr>
        <w:t>2801-</w:t>
      </w:r>
      <w:r w:rsidR="00D15662">
        <w:rPr>
          <w:rFonts w:ascii="Times New Roman" w:hAnsi="Times New Roman" w:cs="Times New Roman"/>
          <w:sz w:val="26"/>
          <w:szCs w:val="26"/>
        </w:rPr>
        <w:t xml:space="preserve">2815 </w:t>
      </w:r>
      <w:r w:rsidR="00F71EB4">
        <w:rPr>
          <w:rFonts w:ascii="Times New Roman" w:hAnsi="Times New Roman" w:cs="Times New Roman"/>
          <w:sz w:val="26"/>
          <w:szCs w:val="26"/>
        </w:rPr>
        <w:t>(Competition Act)</w:t>
      </w:r>
      <w:r w:rsidR="00D15662">
        <w:rPr>
          <w:rFonts w:ascii="Times New Roman" w:hAnsi="Times New Roman" w:cs="Times New Roman"/>
          <w:sz w:val="26"/>
          <w:szCs w:val="26"/>
        </w:rPr>
        <w:t>,</w:t>
      </w:r>
      <w:r w:rsidR="0065262E">
        <w:rPr>
          <w:rFonts w:ascii="Times New Roman" w:hAnsi="Times New Roman" w:cs="Times New Roman"/>
          <w:sz w:val="26"/>
          <w:szCs w:val="26"/>
        </w:rPr>
        <w:t xml:space="preserve"> </w:t>
      </w:r>
      <w:r w:rsidR="00636F2D">
        <w:rPr>
          <w:rFonts w:ascii="Times New Roman" w:hAnsi="Times New Roman" w:cs="Times New Roman"/>
          <w:sz w:val="26"/>
          <w:szCs w:val="26"/>
        </w:rPr>
        <w:t xml:space="preserve">and our Regulations </w:t>
      </w:r>
      <w:r w:rsidR="00C51229" w:rsidRPr="00163B50">
        <w:rPr>
          <w:rFonts w:ascii="Times New Roman" w:hAnsi="Times New Roman" w:cs="Times New Roman"/>
          <w:sz w:val="26"/>
          <w:szCs w:val="26"/>
        </w:rPr>
        <w:t xml:space="preserve">that distribution rates and energy rates are distinct and separate from one another.  </w:t>
      </w:r>
      <w:r w:rsidR="004C3D98">
        <w:rPr>
          <w:rFonts w:ascii="Times New Roman" w:eastAsia="Times New Roman" w:hAnsi="Times New Roman" w:cs="Times New Roman"/>
          <w:sz w:val="26"/>
          <w:szCs w:val="26"/>
        </w:rPr>
        <w:t xml:space="preserve">Section 2802(12) </w:t>
      </w:r>
      <w:r w:rsidR="00271350">
        <w:rPr>
          <w:rFonts w:ascii="Times New Roman" w:eastAsia="Times New Roman" w:hAnsi="Times New Roman" w:cs="Times New Roman"/>
          <w:sz w:val="26"/>
          <w:szCs w:val="26"/>
        </w:rPr>
        <w:t>of the Code, 66</w:t>
      </w:r>
      <w:r w:rsidR="00F44E64">
        <w:rPr>
          <w:rFonts w:ascii="Times New Roman" w:eastAsia="Times New Roman" w:hAnsi="Times New Roman" w:cs="Times New Roman"/>
          <w:sz w:val="26"/>
          <w:szCs w:val="26"/>
        </w:rPr>
        <w:t> </w:t>
      </w:r>
      <w:r w:rsidR="00271350">
        <w:rPr>
          <w:rFonts w:ascii="Times New Roman" w:eastAsia="Times New Roman" w:hAnsi="Times New Roman" w:cs="Times New Roman"/>
          <w:sz w:val="26"/>
          <w:szCs w:val="26"/>
        </w:rPr>
        <w:t>Pa.</w:t>
      </w:r>
      <w:r w:rsidR="00F44E64">
        <w:rPr>
          <w:rFonts w:ascii="Times New Roman" w:eastAsia="Times New Roman" w:hAnsi="Times New Roman" w:cs="Times New Roman"/>
          <w:sz w:val="26"/>
          <w:szCs w:val="26"/>
        </w:rPr>
        <w:t> </w:t>
      </w:r>
      <w:r w:rsidR="00271350">
        <w:rPr>
          <w:rFonts w:ascii="Times New Roman" w:eastAsia="Times New Roman" w:hAnsi="Times New Roman" w:cs="Times New Roman"/>
          <w:sz w:val="26"/>
          <w:szCs w:val="26"/>
        </w:rPr>
        <w:t xml:space="preserve">C.S. § 2802(12) </w:t>
      </w:r>
      <w:r w:rsidR="004C3D98">
        <w:rPr>
          <w:rFonts w:ascii="Times New Roman" w:eastAsia="Times New Roman" w:hAnsi="Times New Roman" w:cs="Times New Roman"/>
          <w:sz w:val="26"/>
          <w:szCs w:val="26"/>
        </w:rPr>
        <w:t xml:space="preserve">states that Chapter 28 was created to “create direct access by retail customers to the competitive market for the </w:t>
      </w:r>
      <w:r w:rsidR="004C3D98" w:rsidRPr="00501943">
        <w:rPr>
          <w:rFonts w:ascii="Times New Roman" w:eastAsia="Times New Roman" w:hAnsi="Times New Roman" w:cs="Times New Roman"/>
          <w:i/>
          <w:iCs/>
          <w:sz w:val="26"/>
          <w:szCs w:val="26"/>
        </w:rPr>
        <w:t>generation</w:t>
      </w:r>
      <w:r w:rsidR="004C3D98">
        <w:rPr>
          <w:rFonts w:ascii="Times New Roman" w:eastAsia="Times New Roman" w:hAnsi="Times New Roman" w:cs="Times New Roman"/>
          <w:sz w:val="26"/>
          <w:szCs w:val="26"/>
        </w:rPr>
        <w:t xml:space="preserve"> of electricity…”.  The </w:t>
      </w:r>
      <w:r w:rsidR="00B94571">
        <w:rPr>
          <w:rFonts w:ascii="Times New Roman" w:eastAsia="Times New Roman" w:hAnsi="Times New Roman" w:cs="Times New Roman"/>
          <w:sz w:val="26"/>
          <w:szCs w:val="26"/>
        </w:rPr>
        <w:t>Competition Act</w:t>
      </w:r>
      <w:r w:rsidR="004C3D98">
        <w:rPr>
          <w:rFonts w:ascii="Times New Roman" w:eastAsia="Times New Roman" w:hAnsi="Times New Roman" w:cs="Times New Roman"/>
          <w:sz w:val="26"/>
          <w:szCs w:val="26"/>
        </w:rPr>
        <w:t xml:space="preserve"> d</w:t>
      </w:r>
      <w:r w:rsidR="00B94571">
        <w:rPr>
          <w:rFonts w:ascii="Times New Roman" w:eastAsia="Times New Roman" w:hAnsi="Times New Roman" w:cs="Times New Roman"/>
          <w:sz w:val="26"/>
          <w:szCs w:val="26"/>
        </w:rPr>
        <w:t>id</w:t>
      </w:r>
      <w:r w:rsidR="004C3D98">
        <w:rPr>
          <w:rFonts w:ascii="Times New Roman" w:eastAsia="Times New Roman" w:hAnsi="Times New Roman" w:cs="Times New Roman"/>
          <w:sz w:val="26"/>
          <w:szCs w:val="26"/>
        </w:rPr>
        <w:t xml:space="preserve"> not intend to make the distribution services provided by traditional electric utilities, who have constructed and maintained their system</w:t>
      </w:r>
      <w:r w:rsidR="004A2C48">
        <w:rPr>
          <w:rFonts w:ascii="Times New Roman" w:eastAsia="Times New Roman" w:hAnsi="Times New Roman" w:cs="Times New Roman"/>
          <w:sz w:val="26"/>
          <w:szCs w:val="26"/>
        </w:rPr>
        <w:t>s</w:t>
      </w:r>
      <w:r w:rsidR="004C3D98">
        <w:rPr>
          <w:rFonts w:ascii="Times New Roman" w:eastAsia="Times New Roman" w:hAnsi="Times New Roman" w:cs="Times New Roman"/>
          <w:sz w:val="26"/>
          <w:szCs w:val="26"/>
        </w:rPr>
        <w:t xml:space="preserve"> since inception, become a competitive service.  Instead, </w:t>
      </w:r>
      <w:r w:rsidR="001A3782">
        <w:rPr>
          <w:rFonts w:ascii="Times New Roman" w:eastAsia="Times New Roman" w:hAnsi="Times New Roman" w:cs="Times New Roman"/>
          <w:sz w:val="26"/>
          <w:szCs w:val="26"/>
        </w:rPr>
        <w:t xml:space="preserve">Section </w:t>
      </w:r>
      <w:r w:rsidR="004C3D98">
        <w:rPr>
          <w:rFonts w:ascii="Times New Roman" w:eastAsia="Times New Roman" w:hAnsi="Times New Roman" w:cs="Times New Roman"/>
          <w:sz w:val="26"/>
          <w:szCs w:val="26"/>
        </w:rPr>
        <w:t xml:space="preserve">2802(12) </w:t>
      </w:r>
      <w:r w:rsidR="002B0280">
        <w:rPr>
          <w:rFonts w:ascii="Times New Roman" w:eastAsia="Times New Roman" w:hAnsi="Times New Roman" w:cs="Times New Roman"/>
          <w:sz w:val="26"/>
          <w:szCs w:val="26"/>
        </w:rPr>
        <w:t xml:space="preserve">of the Code </w:t>
      </w:r>
      <w:r w:rsidR="004C3D98">
        <w:rPr>
          <w:rFonts w:ascii="Times New Roman" w:eastAsia="Times New Roman" w:hAnsi="Times New Roman" w:cs="Times New Roman"/>
          <w:sz w:val="26"/>
          <w:szCs w:val="26"/>
        </w:rPr>
        <w:t>states</w:t>
      </w:r>
      <w:r w:rsidR="00002C5F">
        <w:rPr>
          <w:rFonts w:ascii="Times New Roman" w:eastAsia="Times New Roman" w:hAnsi="Times New Roman" w:cs="Times New Roman"/>
          <w:sz w:val="26"/>
          <w:szCs w:val="26"/>
        </w:rPr>
        <w:t>,</w:t>
      </w:r>
      <w:r w:rsidR="004C3D98">
        <w:rPr>
          <w:rFonts w:ascii="Times New Roman" w:eastAsia="Times New Roman" w:hAnsi="Times New Roman" w:cs="Times New Roman"/>
          <w:sz w:val="26"/>
          <w:szCs w:val="26"/>
        </w:rPr>
        <w:t xml:space="preserve"> “Electric industry restructuring should ensure the reliability of the interconnected electric system by maintaining the efficiency of the transmission and distribution system.”</w:t>
      </w:r>
      <w:r w:rsidR="00636F2D">
        <w:rPr>
          <w:rFonts w:ascii="Times New Roman" w:eastAsia="Times New Roman" w:hAnsi="Times New Roman" w:cs="Times New Roman"/>
          <w:sz w:val="26"/>
          <w:szCs w:val="26"/>
        </w:rPr>
        <w:t xml:space="preserve">  </w:t>
      </w:r>
      <w:r w:rsidR="00F32979">
        <w:rPr>
          <w:rFonts w:ascii="Times New Roman" w:eastAsia="Times New Roman" w:hAnsi="Times New Roman" w:cs="Times New Roman"/>
          <w:sz w:val="26"/>
          <w:szCs w:val="26"/>
        </w:rPr>
        <w:t xml:space="preserve">Our policy statement regarding default service </w:t>
      </w:r>
      <w:r w:rsidR="006F0981">
        <w:rPr>
          <w:rFonts w:ascii="Times New Roman" w:eastAsia="Times New Roman" w:hAnsi="Times New Roman" w:cs="Times New Roman"/>
          <w:sz w:val="26"/>
          <w:szCs w:val="26"/>
        </w:rPr>
        <w:t xml:space="preserve">cost elements </w:t>
      </w:r>
      <w:r w:rsidR="00A00181">
        <w:rPr>
          <w:rFonts w:ascii="Times New Roman" w:eastAsia="Times New Roman" w:hAnsi="Times New Roman" w:cs="Times New Roman"/>
          <w:sz w:val="26"/>
          <w:szCs w:val="26"/>
        </w:rPr>
        <w:t>additionally explains that the Price</w:t>
      </w:r>
      <w:r w:rsidR="00410286">
        <w:rPr>
          <w:rFonts w:ascii="Times New Roman" w:eastAsia="Times New Roman" w:hAnsi="Times New Roman" w:cs="Times New Roman"/>
          <w:sz w:val="26"/>
          <w:szCs w:val="26"/>
        </w:rPr>
        <w:t>-</w:t>
      </w:r>
      <w:r w:rsidR="00A00181">
        <w:rPr>
          <w:rFonts w:ascii="Times New Roman" w:eastAsia="Times New Roman" w:hAnsi="Times New Roman" w:cs="Times New Roman"/>
          <w:sz w:val="26"/>
          <w:szCs w:val="26"/>
        </w:rPr>
        <w:t>to</w:t>
      </w:r>
      <w:r w:rsidR="00FC1BEB">
        <w:rPr>
          <w:rFonts w:ascii="Times New Roman" w:eastAsia="Times New Roman" w:hAnsi="Times New Roman" w:cs="Times New Roman"/>
          <w:sz w:val="26"/>
          <w:szCs w:val="26"/>
        </w:rPr>
        <w:t>-</w:t>
      </w:r>
      <w:r w:rsidR="00A00181">
        <w:rPr>
          <w:rFonts w:ascii="Times New Roman" w:eastAsia="Times New Roman" w:hAnsi="Times New Roman" w:cs="Times New Roman"/>
          <w:sz w:val="26"/>
          <w:szCs w:val="26"/>
        </w:rPr>
        <w:t xml:space="preserve"> Compare</w:t>
      </w:r>
      <w:r w:rsidR="00FC1BEB">
        <w:rPr>
          <w:rFonts w:ascii="Times New Roman" w:eastAsia="Times New Roman" w:hAnsi="Times New Roman" w:cs="Times New Roman"/>
          <w:sz w:val="26"/>
          <w:szCs w:val="26"/>
        </w:rPr>
        <w:t xml:space="preserve"> </w:t>
      </w:r>
      <w:r w:rsidR="00410286">
        <w:rPr>
          <w:rFonts w:ascii="Times New Roman" w:eastAsia="Times New Roman" w:hAnsi="Times New Roman" w:cs="Times New Roman"/>
          <w:sz w:val="26"/>
          <w:szCs w:val="26"/>
        </w:rPr>
        <w:t>(PTC)</w:t>
      </w:r>
      <w:r w:rsidR="007757E0">
        <w:rPr>
          <w:rStyle w:val="FootnoteReference"/>
          <w:rFonts w:ascii="Times New Roman" w:eastAsia="Times New Roman" w:hAnsi="Times New Roman" w:cs="Times New Roman"/>
          <w:sz w:val="26"/>
          <w:szCs w:val="26"/>
        </w:rPr>
        <w:footnoteReference w:id="3"/>
      </w:r>
      <w:r w:rsidR="007F74EA">
        <w:rPr>
          <w:rFonts w:ascii="Times New Roman" w:eastAsia="Times New Roman" w:hAnsi="Times New Roman" w:cs="Times New Roman"/>
          <w:sz w:val="26"/>
          <w:szCs w:val="26"/>
        </w:rPr>
        <w:t xml:space="preserve"> should be designed to recover </w:t>
      </w:r>
      <w:r w:rsidR="00B22D3B">
        <w:rPr>
          <w:rFonts w:ascii="Times New Roman" w:eastAsia="Times New Roman" w:hAnsi="Times New Roman" w:cs="Times New Roman"/>
          <w:sz w:val="26"/>
          <w:szCs w:val="26"/>
        </w:rPr>
        <w:t>all generation, transmission, and other related costs of default service.</w:t>
      </w:r>
      <w:r w:rsidR="0027793A">
        <w:rPr>
          <w:rFonts w:ascii="Times New Roman" w:eastAsia="Times New Roman" w:hAnsi="Times New Roman" w:cs="Times New Roman"/>
          <w:sz w:val="26"/>
          <w:szCs w:val="26"/>
        </w:rPr>
        <w:t xml:space="preserve">  52 Pa. Code §</w:t>
      </w:r>
      <w:r w:rsidR="0024703C">
        <w:rPr>
          <w:rFonts w:ascii="Times New Roman" w:eastAsia="Times New Roman" w:hAnsi="Times New Roman" w:cs="Times New Roman"/>
          <w:sz w:val="26"/>
          <w:szCs w:val="26"/>
        </w:rPr>
        <w:t xml:space="preserve"> 69.1808(a).</w:t>
      </w:r>
      <w:r w:rsidR="00C550F8">
        <w:rPr>
          <w:rFonts w:ascii="Times New Roman" w:eastAsia="Times New Roman" w:hAnsi="Times New Roman" w:cs="Times New Roman"/>
          <w:sz w:val="26"/>
          <w:szCs w:val="26"/>
        </w:rPr>
        <w:t xml:space="preserve">  </w:t>
      </w:r>
    </w:p>
    <w:p w14:paraId="6D6A671F" w14:textId="77777777" w:rsidR="00002C5F" w:rsidRDefault="00002C5F" w:rsidP="00C504BC">
      <w:pPr>
        <w:spacing w:after="0" w:line="360" w:lineRule="auto"/>
        <w:rPr>
          <w:rFonts w:ascii="Times New Roman" w:eastAsia="Times New Roman" w:hAnsi="Times New Roman" w:cs="Times New Roman"/>
          <w:sz w:val="26"/>
          <w:szCs w:val="26"/>
        </w:rPr>
      </w:pPr>
    </w:p>
    <w:p w14:paraId="0AF775B7" w14:textId="150241E4" w:rsidR="00276901" w:rsidRPr="00163B50" w:rsidRDefault="00276901" w:rsidP="00582354">
      <w:pPr>
        <w:spacing w:after="0" w:line="360" w:lineRule="auto"/>
        <w:ind w:firstLine="1440"/>
        <w:rPr>
          <w:rFonts w:ascii="Times New Roman" w:hAnsi="Times New Roman" w:cs="Times New Roman"/>
          <w:sz w:val="26"/>
          <w:szCs w:val="26"/>
        </w:rPr>
      </w:pPr>
      <w:r w:rsidRPr="00163B50">
        <w:rPr>
          <w:rFonts w:ascii="Times New Roman" w:hAnsi="Times New Roman" w:cs="Times New Roman"/>
          <w:sz w:val="26"/>
          <w:szCs w:val="26"/>
        </w:rPr>
        <w:t>The Commission does not allocate any Operation or Maintenance expenses to generation</w:t>
      </w:r>
      <w:r w:rsidR="00A763B5">
        <w:rPr>
          <w:rFonts w:ascii="Times New Roman" w:hAnsi="Times New Roman" w:cs="Times New Roman"/>
          <w:sz w:val="26"/>
          <w:szCs w:val="26"/>
        </w:rPr>
        <w:t xml:space="preserve">, and </w:t>
      </w:r>
      <w:r w:rsidR="00897291">
        <w:rPr>
          <w:rFonts w:ascii="Times New Roman" w:hAnsi="Times New Roman" w:cs="Times New Roman"/>
          <w:sz w:val="26"/>
          <w:szCs w:val="26"/>
        </w:rPr>
        <w:t>d</w:t>
      </w:r>
      <w:r w:rsidRPr="00163B50">
        <w:rPr>
          <w:rFonts w:ascii="Times New Roman" w:hAnsi="Times New Roman" w:cs="Times New Roman"/>
          <w:sz w:val="26"/>
          <w:szCs w:val="26"/>
        </w:rPr>
        <w:t xml:space="preserve">istribution </w:t>
      </w:r>
      <w:r w:rsidR="00897291">
        <w:rPr>
          <w:rFonts w:ascii="Times New Roman" w:hAnsi="Times New Roman" w:cs="Times New Roman"/>
          <w:sz w:val="26"/>
          <w:szCs w:val="26"/>
        </w:rPr>
        <w:t>b</w:t>
      </w:r>
      <w:r w:rsidRPr="00163B50">
        <w:rPr>
          <w:rFonts w:ascii="Times New Roman" w:hAnsi="Times New Roman" w:cs="Times New Roman"/>
          <w:sz w:val="26"/>
          <w:szCs w:val="26"/>
        </w:rPr>
        <w:t xml:space="preserve">ase </w:t>
      </w:r>
      <w:r w:rsidR="00897291">
        <w:rPr>
          <w:rFonts w:ascii="Times New Roman" w:hAnsi="Times New Roman" w:cs="Times New Roman"/>
          <w:sz w:val="26"/>
          <w:szCs w:val="26"/>
        </w:rPr>
        <w:t>r</w:t>
      </w:r>
      <w:r w:rsidRPr="00163B50">
        <w:rPr>
          <w:rFonts w:ascii="Times New Roman" w:hAnsi="Times New Roman" w:cs="Times New Roman"/>
          <w:sz w:val="26"/>
          <w:szCs w:val="26"/>
        </w:rPr>
        <w:t xml:space="preserve">ate </w:t>
      </w:r>
      <w:r w:rsidR="00897291">
        <w:rPr>
          <w:rFonts w:ascii="Times New Roman" w:hAnsi="Times New Roman" w:cs="Times New Roman"/>
          <w:sz w:val="26"/>
          <w:szCs w:val="26"/>
        </w:rPr>
        <w:t>c</w:t>
      </w:r>
      <w:r w:rsidRPr="00163B50">
        <w:rPr>
          <w:rFonts w:ascii="Times New Roman" w:hAnsi="Times New Roman" w:cs="Times New Roman"/>
          <w:sz w:val="26"/>
          <w:szCs w:val="26"/>
        </w:rPr>
        <w:t>ases do not spill over into the generation or P</w:t>
      </w:r>
      <w:r w:rsidR="00660F17">
        <w:rPr>
          <w:rFonts w:ascii="Times New Roman" w:hAnsi="Times New Roman" w:cs="Times New Roman"/>
          <w:sz w:val="26"/>
          <w:szCs w:val="26"/>
        </w:rPr>
        <w:t>TC</w:t>
      </w:r>
      <w:r w:rsidRPr="00163B50">
        <w:rPr>
          <w:rFonts w:ascii="Times New Roman" w:hAnsi="Times New Roman" w:cs="Times New Roman"/>
          <w:sz w:val="26"/>
          <w:szCs w:val="26"/>
        </w:rPr>
        <w:t xml:space="preserve"> for electric utilities.</w:t>
      </w:r>
      <w:r w:rsidR="00333B93">
        <w:rPr>
          <w:rFonts w:ascii="Times New Roman" w:hAnsi="Times New Roman" w:cs="Times New Roman"/>
          <w:sz w:val="26"/>
          <w:szCs w:val="26"/>
        </w:rPr>
        <w:t xml:space="preserve">  </w:t>
      </w:r>
      <w:r w:rsidR="00DB7566" w:rsidRPr="00DB7566">
        <w:rPr>
          <w:rFonts w:ascii="Times New Roman" w:hAnsi="Times New Roman" w:cs="Times New Roman"/>
          <w:i/>
          <w:iCs/>
          <w:sz w:val="26"/>
          <w:szCs w:val="26"/>
        </w:rPr>
        <w:t xml:space="preserve">See </w:t>
      </w:r>
      <w:r w:rsidR="00114948" w:rsidRPr="00352D8A">
        <w:rPr>
          <w:rFonts w:ascii="Times New Roman" w:hAnsi="Times New Roman" w:cs="Times New Roman"/>
          <w:i/>
          <w:iCs/>
          <w:sz w:val="26"/>
          <w:szCs w:val="26"/>
        </w:rPr>
        <w:t>Pa. PUC</w:t>
      </w:r>
      <w:r w:rsidR="001B005B" w:rsidRPr="00352D8A">
        <w:rPr>
          <w:rFonts w:ascii="Times New Roman" w:hAnsi="Times New Roman" w:cs="Times New Roman"/>
          <w:i/>
          <w:iCs/>
          <w:sz w:val="26"/>
          <w:szCs w:val="26"/>
        </w:rPr>
        <w:t>, et al. v. PECO Energy Company – Electric Division</w:t>
      </w:r>
      <w:r w:rsidR="001B005B">
        <w:rPr>
          <w:rFonts w:ascii="Times New Roman" w:hAnsi="Times New Roman" w:cs="Times New Roman"/>
          <w:sz w:val="26"/>
          <w:szCs w:val="26"/>
        </w:rPr>
        <w:t xml:space="preserve">, Docket No. </w:t>
      </w:r>
      <w:r w:rsidR="00E87C94">
        <w:rPr>
          <w:rFonts w:ascii="Times New Roman" w:hAnsi="Times New Roman" w:cs="Times New Roman"/>
          <w:sz w:val="26"/>
          <w:szCs w:val="26"/>
        </w:rPr>
        <w:t>R-2018-3000</w:t>
      </w:r>
      <w:r w:rsidR="00AF35BB">
        <w:rPr>
          <w:rFonts w:ascii="Times New Roman" w:hAnsi="Times New Roman" w:cs="Times New Roman"/>
          <w:sz w:val="26"/>
          <w:szCs w:val="26"/>
        </w:rPr>
        <w:t>164</w:t>
      </w:r>
      <w:r w:rsidR="00D827D9">
        <w:rPr>
          <w:rFonts w:ascii="Times New Roman" w:hAnsi="Times New Roman" w:cs="Times New Roman"/>
          <w:sz w:val="26"/>
          <w:szCs w:val="26"/>
        </w:rPr>
        <w:t xml:space="preserve"> (Order entered </w:t>
      </w:r>
      <w:r w:rsidR="00352D8A">
        <w:rPr>
          <w:rFonts w:ascii="Times New Roman" w:hAnsi="Times New Roman" w:cs="Times New Roman"/>
          <w:sz w:val="26"/>
          <w:szCs w:val="26"/>
        </w:rPr>
        <w:t>December 20, 2018)</w:t>
      </w:r>
      <w:r w:rsidR="00900E6B">
        <w:rPr>
          <w:rFonts w:ascii="Times New Roman" w:hAnsi="Times New Roman" w:cs="Times New Roman"/>
          <w:sz w:val="26"/>
          <w:szCs w:val="26"/>
        </w:rPr>
        <w:t xml:space="preserve"> (</w:t>
      </w:r>
      <w:r w:rsidR="00AF7359">
        <w:rPr>
          <w:rFonts w:ascii="Times New Roman" w:hAnsi="Times New Roman" w:cs="Times New Roman"/>
          <w:sz w:val="26"/>
          <w:szCs w:val="26"/>
        </w:rPr>
        <w:t xml:space="preserve">under </w:t>
      </w:r>
      <w:r w:rsidR="00453EEE">
        <w:rPr>
          <w:rFonts w:ascii="Times New Roman" w:hAnsi="Times New Roman" w:cs="Times New Roman"/>
          <w:sz w:val="26"/>
          <w:szCs w:val="26"/>
        </w:rPr>
        <w:t>Section</w:t>
      </w:r>
      <w:r w:rsidR="00F44E64">
        <w:rPr>
          <w:rFonts w:ascii="Times New Roman" w:hAnsi="Times New Roman" w:cs="Times New Roman"/>
          <w:sz w:val="26"/>
          <w:szCs w:val="26"/>
        </w:rPr>
        <w:t> </w:t>
      </w:r>
      <w:r w:rsidR="00453EEE">
        <w:rPr>
          <w:rFonts w:ascii="Times New Roman" w:hAnsi="Times New Roman" w:cs="Times New Roman"/>
          <w:sz w:val="26"/>
          <w:szCs w:val="26"/>
        </w:rPr>
        <w:t xml:space="preserve">54.187(e) of </w:t>
      </w:r>
      <w:r w:rsidR="00AF7359">
        <w:rPr>
          <w:rFonts w:ascii="Times New Roman" w:hAnsi="Times New Roman" w:cs="Times New Roman"/>
          <w:sz w:val="26"/>
          <w:szCs w:val="26"/>
        </w:rPr>
        <w:t xml:space="preserve">our Regulations, </w:t>
      </w:r>
      <w:r w:rsidR="00453EEE">
        <w:rPr>
          <w:rFonts w:ascii="Times New Roman" w:hAnsi="Times New Roman" w:cs="Times New Roman"/>
          <w:sz w:val="26"/>
          <w:szCs w:val="26"/>
        </w:rPr>
        <w:t xml:space="preserve">52 Pa. Code § 54.187(e), </w:t>
      </w:r>
      <w:r w:rsidR="00714895">
        <w:rPr>
          <w:rFonts w:ascii="Times New Roman" w:hAnsi="Times New Roman" w:cs="Times New Roman"/>
          <w:sz w:val="26"/>
          <w:szCs w:val="26"/>
        </w:rPr>
        <w:t xml:space="preserve">EDCs are prohibited from recovering costs of </w:t>
      </w:r>
      <w:r w:rsidR="005039D5">
        <w:rPr>
          <w:rFonts w:ascii="Times New Roman" w:hAnsi="Times New Roman" w:cs="Times New Roman"/>
          <w:sz w:val="26"/>
          <w:szCs w:val="26"/>
        </w:rPr>
        <w:t xml:space="preserve">default service in distribution rates, and an EDC’s </w:t>
      </w:r>
      <w:r w:rsidR="00660F17">
        <w:rPr>
          <w:rFonts w:ascii="Times New Roman" w:hAnsi="Times New Roman" w:cs="Times New Roman"/>
          <w:sz w:val="26"/>
          <w:szCs w:val="26"/>
        </w:rPr>
        <w:t>PTC</w:t>
      </w:r>
      <w:r w:rsidR="005039D5">
        <w:rPr>
          <w:rFonts w:ascii="Times New Roman" w:hAnsi="Times New Roman" w:cs="Times New Roman"/>
          <w:sz w:val="26"/>
          <w:szCs w:val="26"/>
        </w:rPr>
        <w:t xml:space="preserve"> is </w:t>
      </w:r>
      <w:r w:rsidR="00AD5747">
        <w:rPr>
          <w:rFonts w:ascii="Times New Roman" w:hAnsi="Times New Roman" w:cs="Times New Roman"/>
          <w:sz w:val="26"/>
          <w:szCs w:val="26"/>
        </w:rPr>
        <w:t>audited annually by this Commission</w:t>
      </w:r>
      <w:r w:rsidR="006F11BC">
        <w:rPr>
          <w:rFonts w:ascii="Times New Roman" w:hAnsi="Times New Roman" w:cs="Times New Roman"/>
          <w:sz w:val="26"/>
          <w:szCs w:val="26"/>
        </w:rPr>
        <w:t>)</w:t>
      </w:r>
      <w:r w:rsidR="00352D8A">
        <w:rPr>
          <w:rFonts w:ascii="Times New Roman" w:hAnsi="Times New Roman" w:cs="Times New Roman"/>
          <w:sz w:val="26"/>
          <w:szCs w:val="26"/>
        </w:rPr>
        <w:t>.</w:t>
      </w:r>
      <w:r w:rsidR="00453EEE">
        <w:rPr>
          <w:rFonts w:ascii="Times New Roman" w:hAnsi="Times New Roman" w:cs="Times New Roman"/>
          <w:sz w:val="26"/>
          <w:szCs w:val="26"/>
        </w:rPr>
        <w:t xml:space="preserve">  Accordingly, Ms. Brace’s proposal would be inconsiste</w:t>
      </w:r>
      <w:r w:rsidR="00344F62">
        <w:rPr>
          <w:rFonts w:ascii="Times New Roman" w:hAnsi="Times New Roman" w:cs="Times New Roman"/>
          <w:sz w:val="26"/>
          <w:szCs w:val="26"/>
        </w:rPr>
        <w:t>nt with the Code and our Regulations.</w:t>
      </w:r>
      <w:r w:rsidR="00453EEE">
        <w:rPr>
          <w:rFonts w:ascii="Times New Roman" w:hAnsi="Times New Roman" w:cs="Times New Roman"/>
          <w:sz w:val="26"/>
          <w:szCs w:val="26"/>
        </w:rPr>
        <w:t xml:space="preserve"> </w:t>
      </w:r>
      <w:r w:rsidR="006F11BC">
        <w:rPr>
          <w:rFonts w:ascii="Times New Roman" w:hAnsi="Times New Roman" w:cs="Times New Roman"/>
          <w:sz w:val="26"/>
          <w:szCs w:val="26"/>
        </w:rPr>
        <w:t xml:space="preserve">  </w:t>
      </w:r>
      <w:r w:rsidR="00352D8A">
        <w:rPr>
          <w:rFonts w:ascii="Times New Roman" w:hAnsi="Times New Roman" w:cs="Times New Roman"/>
          <w:sz w:val="26"/>
          <w:szCs w:val="26"/>
        </w:rPr>
        <w:t xml:space="preserve"> </w:t>
      </w:r>
      <w:r w:rsidRPr="00163B50">
        <w:rPr>
          <w:rFonts w:ascii="Times New Roman" w:hAnsi="Times New Roman" w:cs="Times New Roman"/>
          <w:sz w:val="26"/>
          <w:szCs w:val="26"/>
        </w:rPr>
        <w:t xml:space="preserve">  </w:t>
      </w:r>
    </w:p>
    <w:p w14:paraId="6B6E6202" w14:textId="2F426EE9" w:rsidR="00402426" w:rsidRDefault="008A4726" w:rsidP="00402426">
      <w:pPr>
        <w:spacing w:after="0" w:line="360" w:lineRule="auto"/>
        <w:ind w:firstLine="1440"/>
        <w:contextualSpacing/>
        <w:rPr>
          <w:rFonts w:ascii="Times New Roman" w:hAnsi="Times New Roman" w:cs="Times New Roman"/>
          <w:sz w:val="26"/>
          <w:szCs w:val="26"/>
        </w:rPr>
      </w:pPr>
      <w:r>
        <w:rPr>
          <w:rFonts w:ascii="Times New Roman" w:eastAsia="Times New Roman" w:hAnsi="Times New Roman" w:cs="Times New Roman"/>
          <w:sz w:val="26"/>
          <w:szCs w:val="26"/>
        </w:rPr>
        <w:lastRenderedPageBreak/>
        <w:t xml:space="preserve">Moreover, </w:t>
      </w:r>
      <w:r w:rsidR="006F2078">
        <w:rPr>
          <w:rFonts w:ascii="Times New Roman" w:eastAsia="Times New Roman" w:hAnsi="Times New Roman" w:cs="Times New Roman"/>
          <w:sz w:val="26"/>
          <w:szCs w:val="26"/>
        </w:rPr>
        <w:t>we find that</w:t>
      </w:r>
      <w:r w:rsidR="00A23C2A">
        <w:rPr>
          <w:rFonts w:ascii="Times New Roman" w:hAnsi="Times New Roman" w:cs="Times New Roman"/>
          <w:sz w:val="26"/>
          <w:szCs w:val="26"/>
        </w:rPr>
        <w:t xml:space="preserve"> the </w:t>
      </w:r>
      <w:r w:rsidR="00A23C2A" w:rsidRPr="006D00B7">
        <w:rPr>
          <w:rFonts w:ascii="Times New Roman" w:hAnsi="Times New Roman" w:cs="Times New Roman"/>
          <w:sz w:val="26"/>
          <w:szCs w:val="26"/>
        </w:rPr>
        <w:t>Settlement reduces the impact of th</w:t>
      </w:r>
      <w:r w:rsidR="00A23C2A">
        <w:rPr>
          <w:rFonts w:ascii="Times New Roman" w:hAnsi="Times New Roman" w:cs="Times New Roman"/>
          <w:sz w:val="26"/>
          <w:szCs w:val="26"/>
        </w:rPr>
        <w:t>e</w:t>
      </w:r>
      <w:r w:rsidR="00A23C2A" w:rsidRPr="006D00B7">
        <w:rPr>
          <w:rFonts w:ascii="Times New Roman" w:hAnsi="Times New Roman" w:cs="Times New Roman"/>
          <w:sz w:val="26"/>
          <w:szCs w:val="26"/>
        </w:rPr>
        <w:t xml:space="preserve"> rate increase on residential customers.  </w:t>
      </w:r>
      <w:r w:rsidR="00605D06">
        <w:rPr>
          <w:rFonts w:ascii="Times New Roman" w:hAnsi="Times New Roman" w:cs="Times New Roman"/>
          <w:sz w:val="26"/>
          <w:szCs w:val="26"/>
        </w:rPr>
        <w:t xml:space="preserve">Specifically, </w:t>
      </w:r>
      <w:r w:rsidR="00A23C2A" w:rsidRPr="006D00B7">
        <w:rPr>
          <w:rFonts w:ascii="Times New Roman" w:hAnsi="Times New Roman" w:cs="Times New Roman"/>
          <w:sz w:val="26"/>
          <w:szCs w:val="26"/>
        </w:rPr>
        <w:t xml:space="preserve">reducing the amount of the increase allocated to the fixed monthly customer charge </w:t>
      </w:r>
      <w:r w:rsidR="00542264">
        <w:rPr>
          <w:rFonts w:ascii="Times New Roman" w:hAnsi="Times New Roman" w:cs="Times New Roman"/>
          <w:sz w:val="26"/>
          <w:szCs w:val="26"/>
        </w:rPr>
        <w:t xml:space="preserve">from $13 to $9.50 </w:t>
      </w:r>
      <w:r w:rsidR="00A23C2A" w:rsidRPr="006D00B7">
        <w:rPr>
          <w:rFonts w:ascii="Times New Roman" w:hAnsi="Times New Roman" w:cs="Times New Roman"/>
          <w:sz w:val="26"/>
          <w:szCs w:val="26"/>
        </w:rPr>
        <w:t>will ensure that customers have greater control over lowering their monthly bills through conservation and usage reduction efforts</w:t>
      </w:r>
      <w:r w:rsidR="00AF7AD0">
        <w:rPr>
          <w:rFonts w:ascii="Times New Roman" w:hAnsi="Times New Roman" w:cs="Times New Roman"/>
          <w:sz w:val="26"/>
          <w:szCs w:val="26"/>
        </w:rPr>
        <w:t xml:space="preserve"> and, in turn, </w:t>
      </w:r>
      <w:r w:rsidR="00D340C1">
        <w:rPr>
          <w:rFonts w:ascii="Times New Roman" w:hAnsi="Times New Roman" w:cs="Times New Roman"/>
          <w:sz w:val="26"/>
          <w:szCs w:val="26"/>
        </w:rPr>
        <w:t xml:space="preserve">may </w:t>
      </w:r>
      <w:r w:rsidR="00344F62">
        <w:rPr>
          <w:rFonts w:ascii="Times New Roman" w:hAnsi="Times New Roman" w:cs="Times New Roman"/>
          <w:sz w:val="26"/>
          <w:szCs w:val="26"/>
        </w:rPr>
        <w:t xml:space="preserve">also </w:t>
      </w:r>
      <w:r w:rsidR="00D340C1">
        <w:rPr>
          <w:rFonts w:ascii="Times New Roman" w:hAnsi="Times New Roman" w:cs="Times New Roman"/>
          <w:sz w:val="26"/>
          <w:szCs w:val="26"/>
        </w:rPr>
        <w:t>result in lower universal service program costs</w:t>
      </w:r>
      <w:r w:rsidR="00A23C2A" w:rsidRPr="006D00B7">
        <w:rPr>
          <w:rFonts w:ascii="Times New Roman" w:hAnsi="Times New Roman" w:cs="Times New Roman"/>
          <w:sz w:val="26"/>
          <w:szCs w:val="26"/>
        </w:rPr>
        <w:t xml:space="preserve">. </w:t>
      </w:r>
      <w:r w:rsidR="00A23C2A">
        <w:rPr>
          <w:rFonts w:ascii="Times New Roman" w:hAnsi="Times New Roman" w:cs="Times New Roman"/>
          <w:sz w:val="26"/>
          <w:szCs w:val="26"/>
        </w:rPr>
        <w:t xml:space="preserve"> </w:t>
      </w:r>
      <w:r w:rsidR="00D340C1" w:rsidRPr="00F25EFC">
        <w:rPr>
          <w:rFonts w:ascii="Times New Roman" w:hAnsi="Times New Roman" w:cs="Times New Roman"/>
          <w:i/>
          <w:iCs/>
          <w:sz w:val="26"/>
          <w:szCs w:val="26"/>
        </w:rPr>
        <w:t>See</w:t>
      </w:r>
      <w:r w:rsidR="00D340C1">
        <w:rPr>
          <w:rFonts w:ascii="Times New Roman" w:hAnsi="Times New Roman" w:cs="Times New Roman"/>
          <w:sz w:val="26"/>
          <w:szCs w:val="26"/>
        </w:rPr>
        <w:t xml:space="preserve"> OCA Statement in Support at 8; </w:t>
      </w:r>
      <w:r w:rsidR="00402426">
        <w:rPr>
          <w:rFonts w:ascii="Times New Roman" w:hAnsi="Times New Roman" w:cs="Times New Roman"/>
          <w:sz w:val="26"/>
          <w:szCs w:val="26"/>
        </w:rPr>
        <w:t>CAUSE-PA Statement in Support at</w:t>
      </w:r>
      <w:r w:rsidR="00F44E64">
        <w:rPr>
          <w:rFonts w:ascii="Times New Roman" w:hAnsi="Times New Roman" w:cs="Times New Roman"/>
          <w:sz w:val="26"/>
          <w:szCs w:val="26"/>
        </w:rPr>
        <w:t> </w:t>
      </w:r>
      <w:r w:rsidR="00402426">
        <w:rPr>
          <w:rFonts w:ascii="Times New Roman" w:hAnsi="Times New Roman" w:cs="Times New Roman"/>
          <w:sz w:val="26"/>
          <w:szCs w:val="26"/>
        </w:rPr>
        <w:t>4.</w:t>
      </w:r>
    </w:p>
    <w:p w14:paraId="1A8BD002" w14:textId="77777777" w:rsidR="00D85A68" w:rsidRDefault="00D85A68" w:rsidP="00831269">
      <w:pPr>
        <w:spacing w:line="360" w:lineRule="auto"/>
        <w:ind w:firstLine="1440"/>
        <w:contextualSpacing/>
        <w:rPr>
          <w:rFonts w:ascii="Times New Roman" w:eastAsia="Times New Roman" w:hAnsi="Times New Roman" w:cs="Times New Roman"/>
          <w:b/>
          <w:bCs/>
          <w:sz w:val="26"/>
          <w:szCs w:val="26"/>
        </w:rPr>
      </w:pPr>
    </w:p>
    <w:p w14:paraId="66F876E6" w14:textId="5621D31F" w:rsidR="00831269" w:rsidRPr="00CE63F0" w:rsidRDefault="00D85A68" w:rsidP="00831269">
      <w:pPr>
        <w:spacing w:line="360" w:lineRule="auto"/>
        <w:ind w:firstLine="1440"/>
        <w:contextualSpacing/>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f</w:t>
      </w:r>
      <w:r w:rsidR="00831269">
        <w:rPr>
          <w:rFonts w:ascii="Times New Roman" w:eastAsia="Times New Roman" w:hAnsi="Times New Roman" w:cs="Times New Roman"/>
          <w:b/>
          <w:bCs/>
          <w:sz w:val="26"/>
          <w:szCs w:val="26"/>
        </w:rPr>
        <w:t>.</w:t>
      </w:r>
      <w:r w:rsidR="00831269">
        <w:rPr>
          <w:rFonts w:ascii="Times New Roman" w:eastAsia="Times New Roman" w:hAnsi="Times New Roman" w:cs="Times New Roman"/>
          <w:b/>
          <w:bCs/>
          <w:sz w:val="26"/>
          <w:szCs w:val="26"/>
        </w:rPr>
        <w:tab/>
      </w:r>
      <w:r w:rsidR="00831269" w:rsidRPr="00CE63F0">
        <w:rPr>
          <w:rFonts w:ascii="Times New Roman" w:eastAsia="Times New Roman" w:hAnsi="Times New Roman" w:cs="Times New Roman"/>
          <w:b/>
          <w:bCs/>
          <w:sz w:val="26"/>
          <w:szCs w:val="26"/>
        </w:rPr>
        <w:t xml:space="preserve">Exception No. </w:t>
      </w:r>
      <w:r>
        <w:rPr>
          <w:rFonts w:ascii="Times New Roman" w:eastAsia="Times New Roman" w:hAnsi="Times New Roman" w:cs="Times New Roman"/>
          <w:b/>
          <w:bCs/>
          <w:sz w:val="26"/>
          <w:szCs w:val="26"/>
        </w:rPr>
        <w:t>5</w:t>
      </w:r>
      <w:r w:rsidR="00831269" w:rsidRPr="00CE63F0">
        <w:rPr>
          <w:rFonts w:ascii="Times New Roman" w:eastAsia="Times New Roman" w:hAnsi="Times New Roman" w:cs="Times New Roman"/>
          <w:b/>
          <w:bCs/>
          <w:sz w:val="26"/>
          <w:szCs w:val="26"/>
        </w:rPr>
        <w:t xml:space="preserve">, UGI Electric Response, and Disposition </w:t>
      </w:r>
    </w:p>
    <w:p w14:paraId="3CE4B255" w14:textId="435C17A6" w:rsidR="00A23C2A" w:rsidRDefault="00A23C2A" w:rsidP="00A23C2A">
      <w:pPr>
        <w:spacing w:after="0" w:line="360" w:lineRule="auto"/>
        <w:rPr>
          <w:rFonts w:ascii="Times New Roman" w:hAnsi="Times New Roman" w:cs="Times New Roman"/>
          <w:sz w:val="26"/>
          <w:szCs w:val="26"/>
        </w:rPr>
      </w:pPr>
    </w:p>
    <w:p w14:paraId="117CEC4E" w14:textId="77777777" w:rsidR="005C17D1" w:rsidRPr="00FE5FFC" w:rsidRDefault="005C17D1" w:rsidP="005C17D1">
      <w:pPr>
        <w:spacing w:after="0" w:line="360" w:lineRule="auto"/>
        <w:ind w:firstLine="1440"/>
        <w:rPr>
          <w:rFonts w:ascii="Times New Roman" w:hAnsi="Times New Roman" w:cs="Times New Roman"/>
          <w:sz w:val="26"/>
          <w:szCs w:val="26"/>
        </w:rPr>
      </w:pPr>
      <w:r w:rsidRPr="00FE5FFC">
        <w:rPr>
          <w:rFonts w:ascii="Times New Roman" w:hAnsi="Times New Roman" w:cs="Times New Roman"/>
          <w:sz w:val="26"/>
          <w:szCs w:val="26"/>
        </w:rPr>
        <w:t>Ms. Brace’s Exception No. 5 states:</w:t>
      </w:r>
    </w:p>
    <w:p w14:paraId="008219AC" w14:textId="77777777" w:rsidR="005C17D1" w:rsidRPr="00FE5FFC" w:rsidRDefault="005C17D1" w:rsidP="003B394C">
      <w:pPr>
        <w:spacing w:after="0" w:line="240" w:lineRule="auto"/>
        <w:rPr>
          <w:rFonts w:ascii="Times New Roman" w:hAnsi="Times New Roman" w:cs="Times New Roman"/>
          <w:sz w:val="26"/>
          <w:szCs w:val="26"/>
        </w:rPr>
      </w:pPr>
    </w:p>
    <w:p w14:paraId="1A1F8AD7" w14:textId="77777777" w:rsidR="005C17D1" w:rsidRPr="00FE5FFC" w:rsidRDefault="005C17D1" w:rsidP="005C17D1">
      <w:pPr>
        <w:spacing w:after="0" w:line="240" w:lineRule="auto"/>
        <w:ind w:left="1440" w:right="1440"/>
        <w:rPr>
          <w:rFonts w:ascii="Times New Roman" w:hAnsi="Times New Roman" w:cs="Times New Roman"/>
          <w:sz w:val="26"/>
          <w:szCs w:val="26"/>
        </w:rPr>
      </w:pPr>
      <w:r w:rsidRPr="00FE5FFC">
        <w:rPr>
          <w:rFonts w:ascii="Times New Roman" w:hAnsi="Times New Roman" w:cs="Times New Roman"/>
          <w:sz w:val="26"/>
          <w:szCs w:val="26"/>
        </w:rPr>
        <w:t>Recouping COVID-19 related expenses from customers while showing profit and continuing to pay the executives millions more than comparative electric coops is unethical.</w:t>
      </w:r>
    </w:p>
    <w:p w14:paraId="471E2C27" w14:textId="77777777" w:rsidR="005C17D1" w:rsidRDefault="005C17D1" w:rsidP="00F44E64">
      <w:pPr>
        <w:spacing w:after="0" w:line="360" w:lineRule="auto"/>
        <w:rPr>
          <w:rFonts w:ascii="Times New Roman" w:hAnsi="Times New Roman" w:cs="Times New Roman"/>
          <w:sz w:val="26"/>
          <w:szCs w:val="26"/>
        </w:rPr>
      </w:pPr>
    </w:p>
    <w:p w14:paraId="6B90B589" w14:textId="77777777" w:rsidR="005C17D1" w:rsidRPr="00FE5FFC" w:rsidRDefault="005C17D1" w:rsidP="003B394C">
      <w:pPr>
        <w:spacing w:after="0" w:line="360" w:lineRule="auto"/>
        <w:rPr>
          <w:rFonts w:ascii="Times New Roman" w:hAnsi="Times New Roman" w:cs="Times New Roman"/>
          <w:sz w:val="26"/>
          <w:szCs w:val="26"/>
        </w:rPr>
      </w:pPr>
      <w:r w:rsidRPr="00FE5FFC">
        <w:rPr>
          <w:rFonts w:ascii="Times New Roman" w:hAnsi="Times New Roman" w:cs="Times New Roman"/>
          <w:sz w:val="26"/>
          <w:szCs w:val="26"/>
        </w:rPr>
        <w:t>Exc. at 9.</w:t>
      </w:r>
    </w:p>
    <w:p w14:paraId="2991375E" w14:textId="77777777" w:rsidR="005C17D1" w:rsidRPr="00FE5FFC" w:rsidRDefault="005C17D1" w:rsidP="003B394C">
      <w:pPr>
        <w:spacing w:after="0" w:line="360" w:lineRule="auto"/>
        <w:rPr>
          <w:rFonts w:ascii="Times New Roman" w:hAnsi="Times New Roman" w:cs="Times New Roman"/>
          <w:sz w:val="26"/>
          <w:szCs w:val="26"/>
        </w:rPr>
      </w:pPr>
    </w:p>
    <w:p w14:paraId="4305C885" w14:textId="0292CCF8" w:rsidR="005C17D1" w:rsidRPr="00FE5FFC" w:rsidRDefault="005C17D1" w:rsidP="003B394C">
      <w:pPr>
        <w:spacing w:after="0" w:line="360" w:lineRule="auto"/>
        <w:rPr>
          <w:rFonts w:ascii="Times New Roman" w:hAnsi="Times New Roman" w:cs="Times New Roman"/>
          <w:sz w:val="26"/>
          <w:szCs w:val="26"/>
        </w:rPr>
      </w:pPr>
      <w:r w:rsidRPr="00FE5FFC">
        <w:rPr>
          <w:rFonts w:ascii="Times New Roman" w:hAnsi="Times New Roman" w:cs="Times New Roman"/>
          <w:sz w:val="26"/>
          <w:szCs w:val="26"/>
        </w:rPr>
        <w:tab/>
      </w:r>
      <w:r>
        <w:rPr>
          <w:rFonts w:ascii="Times New Roman" w:hAnsi="Times New Roman" w:cs="Times New Roman"/>
          <w:sz w:val="26"/>
          <w:szCs w:val="26"/>
        </w:rPr>
        <w:tab/>
      </w:r>
      <w:r w:rsidRPr="00FE5FFC">
        <w:rPr>
          <w:rFonts w:ascii="Times New Roman" w:hAnsi="Times New Roman" w:cs="Times New Roman"/>
          <w:sz w:val="26"/>
          <w:szCs w:val="26"/>
        </w:rPr>
        <w:t>In its Response to Ms. Brace’s Exception No. 5, UGI Electric states that Ms. Brace “ignores the plain language of the Commission’s May 30, 2020 Secretarial Letter (regarding COVID-19 costs).”</w:t>
      </w:r>
      <w:r w:rsidR="003577AB">
        <w:rPr>
          <w:rFonts w:ascii="Times New Roman" w:hAnsi="Times New Roman" w:cs="Times New Roman"/>
          <w:sz w:val="26"/>
          <w:szCs w:val="26"/>
        </w:rPr>
        <w:t xml:space="preserve">  </w:t>
      </w:r>
      <w:r w:rsidR="00B31F45">
        <w:rPr>
          <w:rFonts w:ascii="Times New Roman" w:hAnsi="Times New Roman" w:cs="Times New Roman"/>
          <w:sz w:val="26"/>
          <w:szCs w:val="26"/>
        </w:rPr>
        <w:t xml:space="preserve">UGI Electric Response at 3.  </w:t>
      </w:r>
      <w:r w:rsidR="003577AB">
        <w:rPr>
          <w:rFonts w:ascii="Times New Roman" w:hAnsi="Times New Roman" w:cs="Times New Roman"/>
          <w:sz w:val="26"/>
          <w:szCs w:val="26"/>
        </w:rPr>
        <w:t xml:space="preserve">UGI Electric avers that </w:t>
      </w:r>
      <w:r w:rsidR="001D747F">
        <w:rPr>
          <w:rFonts w:ascii="Times New Roman" w:hAnsi="Times New Roman" w:cs="Times New Roman"/>
          <w:sz w:val="26"/>
          <w:szCs w:val="26"/>
        </w:rPr>
        <w:t>Ms. Brace also disregards the</w:t>
      </w:r>
      <w:r w:rsidR="008804F7">
        <w:rPr>
          <w:rFonts w:ascii="Times New Roman" w:hAnsi="Times New Roman" w:cs="Times New Roman"/>
          <w:sz w:val="26"/>
          <w:szCs w:val="26"/>
        </w:rPr>
        <w:t xml:space="preserve"> Settlement’s provisions </w:t>
      </w:r>
      <w:r w:rsidR="00C711D6">
        <w:rPr>
          <w:rFonts w:ascii="Times New Roman" w:hAnsi="Times New Roman" w:cs="Times New Roman"/>
          <w:sz w:val="26"/>
          <w:szCs w:val="26"/>
        </w:rPr>
        <w:t>concerning</w:t>
      </w:r>
      <w:r w:rsidR="00937779">
        <w:rPr>
          <w:rFonts w:ascii="Times New Roman" w:hAnsi="Times New Roman" w:cs="Times New Roman"/>
          <w:sz w:val="26"/>
          <w:szCs w:val="26"/>
        </w:rPr>
        <w:t>:</w:t>
      </w:r>
      <w:r w:rsidR="00ED17D7">
        <w:rPr>
          <w:rFonts w:ascii="Times New Roman" w:hAnsi="Times New Roman" w:cs="Times New Roman"/>
          <w:sz w:val="26"/>
          <w:szCs w:val="26"/>
        </w:rPr>
        <w:t xml:space="preserve"> </w:t>
      </w:r>
      <w:r w:rsidR="00C711D6">
        <w:rPr>
          <w:rFonts w:ascii="Times New Roman" w:hAnsi="Times New Roman" w:cs="Times New Roman"/>
          <w:sz w:val="26"/>
          <w:szCs w:val="26"/>
        </w:rPr>
        <w:t xml:space="preserve"> (1) the applicable period through which incremental uncollectible</w:t>
      </w:r>
      <w:r w:rsidR="00692B66">
        <w:rPr>
          <w:rFonts w:ascii="Times New Roman" w:hAnsi="Times New Roman" w:cs="Times New Roman"/>
          <w:sz w:val="26"/>
          <w:szCs w:val="26"/>
        </w:rPr>
        <w:t>s</w:t>
      </w:r>
      <w:r w:rsidR="00C711D6">
        <w:rPr>
          <w:rFonts w:ascii="Times New Roman" w:hAnsi="Times New Roman" w:cs="Times New Roman"/>
          <w:sz w:val="26"/>
          <w:szCs w:val="26"/>
        </w:rPr>
        <w:t xml:space="preserve"> expense associated with COVID-19</w:t>
      </w:r>
      <w:r w:rsidR="004429A9">
        <w:rPr>
          <w:rFonts w:ascii="Times New Roman" w:hAnsi="Times New Roman" w:cs="Times New Roman"/>
          <w:sz w:val="26"/>
          <w:szCs w:val="26"/>
        </w:rPr>
        <w:t xml:space="preserve"> would be recovered, and (2)</w:t>
      </w:r>
      <w:r w:rsidR="001D747F">
        <w:rPr>
          <w:rFonts w:ascii="Times New Roman" w:hAnsi="Times New Roman" w:cs="Times New Roman"/>
          <w:sz w:val="26"/>
          <w:szCs w:val="26"/>
        </w:rPr>
        <w:t xml:space="preserve"> </w:t>
      </w:r>
      <w:r w:rsidR="004429A9">
        <w:rPr>
          <w:rFonts w:ascii="Times New Roman" w:hAnsi="Times New Roman" w:cs="Times New Roman"/>
          <w:sz w:val="26"/>
          <w:szCs w:val="26"/>
        </w:rPr>
        <w:t>the three-year amortization period for the Company to recover those costs.</w:t>
      </w:r>
      <w:r w:rsidR="00B31F45">
        <w:rPr>
          <w:rFonts w:ascii="Times New Roman" w:hAnsi="Times New Roman" w:cs="Times New Roman"/>
          <w:sz w:val="26"/>
          <w:szCs w:val="26"/>
        </w:rPr>
        <w:t xml:space="preserve">  </w:t>
      </w:r>
      <w:r w:rsidR="00B31F45" w:rsidRPr="00B31F45">
        <w:rPr>
          <w:rFonts w:ascii="Times New Roman" w:hAnsi="Times New Roman" w:cs="Times New Roman"/>
          <w:i/>
          <w:iCs/>
          <w:sz w:val="26"/>
          <w:szCs w:val="26"/>
        </w:rPr>
        <w:t>Id</w:t>
      </w:r>
      <w:r w:rsidR="00B31F45">
        <w:rPr>
          <w:rFonts w:ascii="Times New Roman" w:hAnsi="Times New Roman" w:cs="Times New Roman"/>
          <w:sz w:val="26"/>
          <w:szCs w:val="26"/>
        </w:rPr>
        <w:t>.</w:t>
      </w:r>
      <w:r w:rsidR="004429A9">
        <w:rPr>
          <w:rFonts w:ascii="Times New Roman" w:hAnsi="Times New Roman" w:cs="Times New Roman"/>
          <w:sz w:val="26"/>
          <w:szCs w:val="26"/>
        </w:rPr>
        <w:t xml:space="preserve">  </w:t>
      </w:r>
    </w:p>
    <w:p w14:paraId="4FEA7912" w14:textId="77777777" w:rsidR="005C17D1" w:rsidRPr="00FE5FFC" w:rsidRDefault="005C17D1" w:rsidP="005C17D1">
      <w:pPr>
        <w:spacing w:after="0" w:line="360" w:lineRule="auto"/>
        <w:rPr>
          <w:rFonts w:ascii="Times New Roman" w:hAnsi="Times New Roman" w:cs="Times New Roman"/>
          <w:sz w:val="26"/>
          <w:szCs w:val="26"/>
        </w:rPr>
      </w:pPr>
    </w:p>
    <w:p w14:paraId="66D1F482" w14:textId="5449BD0A" w:rsidR="005C17D1" w:rsidRPr="00FE5FFC" w:rsidRDefault="005C17D1" w:rsidP="001E75D5">
      <w:pPr>
        <w:spacing w:after="0" w:line="360" w:lineRule="auto"/>
        <w:rPr>
          <w:rFonts w:ascii="Times New Roman" w:hAnsi="Times New Roman" w:cs="Times New Roman"/>
          <w:sz w:val="26"/>
          <w:szCs w:val="26"/>
        </w:rPr>
      </w:pPr>
      <w:r w:rsidRPr="00FE5FFC">
        <w:rPr>
          <w:rFonts w:ascii="Times New Roman" w:hAnsi="Times New Roman" w:cs="Times New Roman"/>
          <w:sz w:val="26"/>
          <w:szCs w:val="26"/>
        </w:rPr>
        <w:tab/>
      </w:r>
      <w:r w:rsidR="001E75D5">
        <w:rPr>
          <w:rFonts w:ascii="Times New Roman" w:hAnsi="Times New Roman" w:cs="Times New Roman"/>
          <w:sz w:val="26"/>
          <w:szCs w:val="26"/>
        </w:rPr>
        <w:tab/>
      </w:r>
      <w:r>
        <w:rPr>
          <w:rFonts w:ascii="Times New Roman" w:hAnsi="Times New Roman" w:cs="Times New Roman"/>
          <w:sz w:val="26"/>
          <w:szCs w:val="26"/>
        </w:rPr>
        <w:t xml:space="preserve">Upon review, we shall deny Ms. Brace’s Exception, as we find that the Settlement provisions regarding COVID-19 cost deferral are consistent with this Commission’s actions and Orders concerning </w:t>
      </w:r>
      <w:r w:rsidR="001E75D5">
        <w:rPr>
          <w:rFonts w:ascii="Times New Roman" w:hAnsi="Times New Roman" w:cs="Times New Roman"/>
          <w:sz w:val="26"/>
          <w:szCs w:val="26"/>
        </w:rPr>
        <w:t xml:space="preserve">the </w:t>
      </w:r>
      <w:r>
        <w:rPr>
          <w:rFonts w:ascii="Times New Roman" w:hAnsi="Times New Roman" w:cs="Times New Roman"/>
          <w:sz w:val="26"/>
          <w:szCs w:val="26"/>
        </w:rPr>
        <w:t>COVID-19</w:t>
      </w:r>
      <w:r w:rsidR="001E75D5">
        <w:rPr>
          <w:rFonts w:ascii="Times New Roman" w:hAnsi="Times New Roman" w:cs="Times New Roman"/>
          <w:sz w:val="26"/>
          <w:szCs w:val="26"/>
        </w:rPr>
        <w:t xml:space="preserve"> pandemic</w:t>
      </w:r>
      <w:r>
        <w:rPr>
          <w:rFonts w:ascii="Times New Roman" w:hAnsi="Times New Roman" w:cs="Times New Roman"/>
          <w:sz w:val="26"/>
          <w:szCs w:val="26"/>
        </w:rPr>
        <w:t xml:space="preserve">, as detailed below, and are in the public interest.  </w:t>
      </w:r>
      <w:r w:rsidRPr="00FE5FFC">
        <w:rPr>
          <w:rFonts w:ascii="Times New Roman" w:hAnsi="Times New Roman" w:cs="Times New Roman"/>
          <w:sz w:val="26"/>
          <w:szCs w:val="26"/>
        </w:rPr>
        <w:t xml:space="preserve">On March 6, 2020, Governor Tom Wolf issued a </w:t>
      </w:r>
      <w:r w:rsidRPr="00FE5FFC">
        <w:rPr>
          <w:rFonts w:ascii="Times New Roman" w:hAnsi="Times New Roman" w:cs="Times New Roman"/>
          <w:i/>
          <w:iCs/>
          <w:sz w:val="26"/>
          <w:szCs w:val="26"/>
        </w:rPr>
        <w:lastRenderedPageBreak/>
        <w:t>Proclamation of Disaster Emergency (</w:t>
      </w:r>
      <w:r w:rsidRPr="00535846">
        <w:rPr>
          <w:rFonts w:ascii="Times New Roman" w:hAnsi="Times New Roman" w:cs="Times New Roman"/>
          <w:sz w:val="26"/>
          <w:szCs w:val="26"/>
        </w:rPr>
        <w:t>Proclamation</w:t>
      </w:r>
      <w:r w:rsidRPr="00FE5FFC">
        <w:rPr>
          <w:rFonts w:ascii="Times New Roman" w:hAnsi="Times New Roman" w:cs="Times New Roman"/>
          <w:sz w:val="26"/>
          <w:szCs w:val="26"/>
        </w:rPr>
        <w:t>) that identified the COVID-19 pandemic as a disaster emergency affecting the entire Commonwealth.  On March</w:t>
      </w:r>
      <w:r w:rsidR="003B394C">
        <w:rPr>
          <w:rFonts w:ascii="Times New Roman" w:hAnsi="Times New Roman" w:cs="Times New Roman"/>
          <w:sz w:val="26"/>
          <w:szCs w:val="26"/>
        </w:rPr>
        <w:t> </w:t>
      </w:r>
      <w:r w:rsidRPr="00FE5FFC">
        <w:rPr>
          <w:rFonts w:ascii="Times New Roman" w:hAnsi="Times New Roman" w:cs="Times New Roman"/>
          <w:sz w:val="26"/>
          <w:szCs w:val="26"/>
        </w:rPr>
        <w:t>13,</w:t>
      </w:r>
      <w:r w:rsidR="003B394C">
        <w:rPr>
          <w:rFonts w:ascii="Times New Roman" w:hAnsi="Times New Roman" w:cs="Times New Roman"/>
          <w:sz w:val="26"/>
          <w:szCs w:val="26"/>
        </w:rPr>
        <w:t> </w:t>
      </w:r>
      <w:r w:rsidRPr="00FE5FFC">
        <w:rPr>
          <w:rFonts w:ascii="Times New Roman" w:hAnsi="Times New Roman" w:cs="Times New Roman"/>
          <w:sz w:val="26"/>
          <w:szCs w:val="26"/>
        </w:rPr>
        <w:t xml:space="preserve">2020, relying on both the </w:t>
      </w:r>
      <w:r w:rsidRPr="00535846">
        <w:rPr>
          <w:rFonts w:ascii="Times New Roman" w:hAnsi="Times New Roman" w:cs="Times New Roman"/>
          <w:sz w:val="26"/>
          <w:szCs w:val="26"/>
        </w:rPr>
        <w:t>Proclamation</w:t>
      </w:r>
      <w:r w:rsidRPr="00FE5FFC">
        <w:rPr>
          <w:rFonts w:ascii="Times New Roman" w:hAnsi="Times New Roman" w:cs="Times New Roman"/>
          <w:sz w:val="26"/>
          <w:szCs w:val="26"/>
        </w:rPr>
        <w:t xml:space="preserve"> and the Commission’s authority under the provisions of Section 1501 of the Code, </w:t>
      </w:r>
      <w:r w:rsidR="001E75D5">
        <w:rPr>
          <w:rFonts w:ascii="Times New Roman" w:hAnsi="Times New Roman" w:cs="Times New Roman"/>
          <w:sz w:val="26"/>
          <w:szCs w:val="26"/>
        </w:rPr>
        <w:t xml:space="preserve">66 Pa. C.S. § 1501, </w:t>
      </w:r>
      <w:r w:rsidRPr="00FE5FFC">
        <w:rPr>
          <w:rFonts w:ascii="Times New Roman" w:hAnsi="Times New Roman" w:cs="Times New Roman"/>
          <w:sz w:val="26"/>
          <w:szCs w:val="26"/>
        </w:rPr>
        <w:t>Chairman Gladys Brown Dutrieuille issued an Emergency Order (</w:t>
      </w:r>
      <w:r w:rsidRPr="00535846">
        <w:rPr>
          <w:rFonts w:ascii="Times New Roman" w:hAnsi="Times New Roman" w:cs="Times New Roman"/>
          <w:i/>
          <w:iCs/>
          <w:sz w:val="26"/>
          <w:szCs w:val="26"/>
        </w:rPr>
        <w:t>March 13 Emergency Order</w:t>
      </w:r>
      <w:r w:rsidRPr="00FE5FFC">
        <w:rPr>
          <w:rFonts w:ascii="Times New Roman" w:hAnsi="Times New Roman" w:cs="Times New Roman"/>
          <w:sz w:val="26"/>
          <w:szCs w:val="26"/>
        </w:rPr>
        <w:t xml:space="preserve">), at Docket Number M-2020-3019244, establishing a prohibition on the termination of public utility service and directing the reconnection of service to customers previously terminated, to the extent it could be done safely, for the duration of the Proclamation, or until a time otherwise established by the Commission.  The Commission ratified the </w:t>
      </w:r>
      <w:r w:rsidRPr="00535846">
        <w:rPr>
          <w:rFonts w:ascii="Times New Roman" w:hAnsi="Times New Roman" w:cs="Times New Roman"/>
          <w:i/>
          <w:iCs/>
          <w:sz w:val="26"/>
          <w:szCs w:val="26"/>
        </w:rPr>
        <w:t>March</w:t>
      </w:r>
      <w:r w:rsidR="003B394C">
        <w:rPr>
          <w:rFonts w:ascii="Times New Roman" w:hAnsi="Times New Roman" w:cs="Times New Roman"/>
          <w:i/>
          <w:iCs/>
          <w:sz w:val="26"/>
          <w:szCs w:val="26"/>
        </w:rPr>
        <w:t> </w:t>
      </w:r>
      <w:r w:rsidRPr="00535846">
        <w:rPr>
          <w:rFonts w:ascii="Times New Roman" w:hAnsi="Times New Roman" w:cs="Times New Roman"/>
          <w:i/>
          <w:iCs/>
          <w:sz w:val="26"/>
          <w:szCs w:val="26"/>
        </w:rPr>
        <w:t>13</w:t>
      </w:r>
      <w:r w:rsidR="003B394C">
        <w:rPr>
          <w:rFonts w:ascii="Times New Roman" w:hAnsi="Times New Roman" w:cs="Times New Roman"/>
          <w:i/>
          <w:iCs/>
          <w:sz w:val="26"/>
          <w:szCs w:val="26"/>
        </w:rPr>
        <w:t> </w:t>
      </w:r>
      <w:r w:rsidRPr="00535846">
        <w:rPr>
          <w:rFonts w:ascii="Times New Roman" w:hAnsi="Times New Roman" w:cs="Times New Roman"/>
          <w:i/>
          <w:iCs/>
          <w:sz w:val="26"/>
          <w:szCs w:val="26"/>
        </w:rPr>
        <w:t>Emergency Order</w:t>
      </w:r>
      <w:r w:rsidRPr="00FE5FFC">
        <w:rPr>
          <w:rFonts w:ascii="Times New Roman" w:hAnsi="Times New Roman" w:cs="Times New Roman"/>
          <w:sz w:val="26"/>
          <w:szCs w:val="26"/>
        </w:rPr>
        <w:t xml:space="preserve"> at its March 26, </w:t>
      </w:r>
      <w:proofErr w:type="gramStart"/>
      <w:r w:rsidRPr="00FE5FFC">
        <w:rPr>
          <w:rFonts w:ascii="Times New Roman" w:hAnsi="Times New Roman" w:cs="Times New Roman"/>
          <w:sz w:val="26"/>
          <w:szCs w:val="26"/>
        </w:rPr>
        <w:t>2020</w:t>
      </w:r>
      <w:proofErr w:type="gramEnd"/>
      <w:r w:rsidRPr="00FE5FFC">
        <w:rPr>
          <w:rFonts w:ascii="Times New Roman" w:hAnsi="Times New Roman" w:cs="Times New Roman"/>
          <w:sz w:val="26"/>
          <w:szCs w:val="26"/>
        </w:rPr>
        <w:t xml:space="preserve"> Public Meeting.</w:t>
      </w:r>
    </w:p>
    <w:p w14:paraId="1F9E1444" w14:textId="77777777" w:rsidR="005C17D1" w:rsidRPr="00FE5FFC" w:rsidRDefault="005C17D1" w:rsidP="005C17D1">
      <w:pPr>
        <w:spacing w:after="0" w:line="360" w:lineRule="auto"/>
        <w:rPr>
          <w:rFonts w:ascii="Times New Roman" w:hAnsi="Times New Roman" w:cs="Times New Roman"/>
          <w:sz w:val="26"/>
          <w:szCs w:val="26"/>
        </w:rPr>
      </w:pPr>
    </w:p>
    <w:p w14:paraId="0E7C43E8" w14:textId="4A02126F" w:rsidR="005C17D1" w:rsidRPr="00FE5FFC" w:rsidRDefault="005C17D1" w:rsidP="005C17D1">
      <w:pPr>
        <w:spacing w:after="0" w:line="360" w:lineRule="auto"/>
        <w:ind w:firstLine="1440"/>
        <w:rPr>
          <w:rFonts w:ascii="Times New Roman" w:hAnsi="Times New Roman" w:cs="Times New Roman"/>
          <w:sz w:val="26"/>
          <w:szCs w:val="26"/>
        </w:rPr>
      </w:pPr>
      <w:r w:rsidRPr="00FE5FFC">
        <w:rPr>
          <w:rFonts w:ascii="Times New Roman" w:hAnsi="Times New Roman" w:cs="Times New Roman"/>
          <w:sz w:val="26"/>
          <w:szCs w:val="26"/>
        </w:rPr>
        <w:t>On October 13, 2020, the Commission entered an Order (</w:t>
      </w:r>
      <w:r w:rsidRPr="00151B88">
        <w:rPr>
          <w:rFonts w:ascii="Times New Roman" w:hAnsi="Times New Roman" w:cs="Times New Roman"/>
          <w:i/>
          <w:iCs/>
          <w:sz w:val="26"/>
          <w:szCs w:val="26"/>
        </w:rPr>
        <w:t>October</w:t>
      </w:r>
      <w:r w:rsidR="003B394C">
        <w:rPr>
          <w:rFonts w:ascii="Times New Roman" w:hAnsi="Times New Roman" w:cs="Times New Roman"/>
          <w:i/>
          <w:iCs/>
          <w:sz w:val="26"/>
          <w:szCs w:val="26"/>
        </w:rPr>
        <w:t> </w:t>
      </w:r>
      <w:r w:rsidRPr="00151B88">
        <w:rPr>
          <w:rFonts w:ascii="Times New Roman" w:hAnsi="Times New Roman" w:cs="Times New Roman"/>
          <w:i/>
          <w:iCs/>
          <w:sz w:val="26"/>
          <w:szCs w:val="26"/>
        </w:rPr>
        <w:t>13</w:t>
      </w:r>
      <w:r w:rsidR="003B394C">
        <w:rPr>
          <w:rFonts w:ascii="Times New Roman" w:hAnsi="Times New Roman" w:cs="Times New Roman"/>
          <w:i/>
          <w:iCs/>
          <w:sz w:val="26"/>
          <w:szCs w:val="26"/>
        </w:rPr>
        <w:t> </w:t>
      </w:r>
      <w:r w:rsidRPr="00151B88">
        <w:rPr>
          <w:rFonts w:ascii="Times New Roman" w:hAnsi="Times New Roman" w:cs="Times New Roman"/>
          <w:i/>
          <w:iCs/>
          <w:sz w:val="26"/>
          <w:szCs w:val="26"/>
        </w:rPr>
        <w:t>Order</w:t>
      </w:r>
      <w:r w:rsidRPr="00FE5FFC">
        <w:rPr>
          <w:rFonts w:ascii="Times New Roman" w:hAnsi="Times New Roman" w:cs="Times New Roman"/>
          <w:sz w:val="26"/>
          <w:szCs w:val="26"/>
        </w:rPr>
        <w:t xml:space="preserve">) modifying the </w:t>
      </w:r>
      <w:r w:rsidRPr="008E5644">
        <w:rPr>
          <w:rFonts w:ascii="Times New Roman" w:hAnsi="Times New Roman" w:cs="Times New Roman"/>
          <w:i/>
          <w:iCs/>
          <w:sz w:val="26"/>
          <w:szCs w:val="26"/>
        </w:rPr>
        <w:t>March 13 Emergency Order</w:t>
      </w:r>
      <w:r w:rsidRPr="00FE5FFC">
        <w:rPr>
          <w:rFonts w:ascii="Times New Roman" w:hAnsi="Times New Roman" w:cs="Times New Roman"/>
          <w:sz w:val="26"/>
          <w:szCs w:val="26"/>
        </w:rPr>
        <w:t xml:space="preserve"> by initiating Phase 2 of the public utility service termination moratorium.  The </w:t>
      </w:r>
      <w:r w:rsidRPr="00151B88">
        <w:rPr>
          <w:rFonts w:ascii="Times New Roman" w:hAnsi="Times New Roman" w:cs="Times New Roman"/>
          <w:i/>
          <w:iCs/>
          <w:sz w:val="26"/>
          <w:szCs w:val="26"/>
        </w:rPr>
        <w:t>October 13 Order</w:t>
      </w:r>
      <w:r w:rsidRPr="00FE5FFC">
        <w:rPr>
          <w:rFonts w:ascii="Times New Roman" w:hAnsi="Times New Roman" w:cs="Times New Roman"/>
          <w:sz w:val="26"/>
          <w:szCs w:val="26"/>
        </w:rPr>
        <w:t xml:space="preserve"> continued the termination moratorium for “protected customers” at or below 300% of the federal poverty income guidelines (FPIG), under certain conditions, and established protections for certain residential and small business customers.  The termination moratorium and protections established by the </w:t>
      </w:r>
      <w:r w:rsidRPr="00151B88">
        <w:rPr>
          <w:rFonts w:ascii="Times New Roman" w:hAnsi="Times New Roman" w:cs="Times New Roman"/>
          <w:i/>
          <w:iCs/>
          <w:sz w:val="26"/>
          <w:szCs w:val="26"/>
        </w:rPr>
        <w:t>October 13 Order</w:t>
      </w:r>
      <w:r w:rsidRPr="00FE5FFC">
        <w:rPr>
          <w:rFonts w:ascii="Times New Roman" w:hAnsi="Times New Roman" w:cs="Times New Roman"/>
          <w:sz w:val="26"/>
          <w:szCs w:val="26"/>
        </w:rPr>
        <w:t xml:space="preserve"> were set to expire on March 31, 2021.</w:t>
      </w:r>
    </w:p>
    <w:p w14:paraId="5045CE88" w14:textId="77777777" w:rsidR="005C17D1" w:rsidRPr="00FE5FFC" w:rsidRDefault="005C17D1" w:rsidP="005C17D1">
      <w:pPr>
        <w:spacing w:after="0" w:line="360" w:lineRule="auto"/>
        <w:rPr>
          <w:rFonts w:ascii="Times New Roman" w:hAnsi="Times New Roman" w:cs="Times New Roman"/>
          <w:sz w:val="26"/>
          <w:szCs w:val="26"/>
        </w:rPr>
      </w:pPr>
    </w:p>
    <w:p w14:paraId="21111A8A" w14:textId="337B10B1" w:rsidR="005C17D1" w:rsidRPr="00FE5FFC" w:rsidRDefault="005C17D1" w:rsidP="005C17D1">
      <w:pPr>
        <w:spacing w:after="0" w:line="360" w:lineRule="auto"/>
        <w:ind w:firstLine="1440"/>
        <w:rPr>
          <w:rFonts w:ascii="Times New Roman" w:hAnsi="Times New Roman" w:cs="Times New Roman"/>
          <w:sz w:val="26"/>
          <w:szCs w:val="26"/>
        </w:rPr>
      </w:pPr>
      <w:r w:rsidRPr="00FE5FFC">
        <w:rPr>
          <w:rFonts w:ascii="Times New Roman" w:hAnsi="Times New Roman" w:cs="Times New Roman"/>
          <w:sz w:val="26"/>
          <w:szCs w:val="26"/>
        </w:rPr>
        <w:t>On March 18, 2021, the Commission entered an Order (</w:t>
      </w:r>
      <w:r w:rsidRPr="00151B88">
        <w:rPr>
          <w:rFonts w:ascii="Times New Roman" w:hAnsi="Times New Roman" w:cs="Times New Roman"/>
          <w:i/>
          <w:iCs/>
          <w:sz w:val="26"/>
          <w:szCs w:val="26"/>
        </w:rPr>
        <w:t>March 18 Order</w:t>
      </w:r>
      <w:r w:rsidRPr="00FE5FFC">
        <w:rPr>
          <w:rFonts w:ascii="Times New Roman" w:hAnsi="Times New Roman" w:cs="Times New Roman"/>
          <w:sz w:val="26"/>
          <w:szCs w:val="26"/>
        </w:rPr>
        <w:t>) returning to the regular collections process as set forth in the Code and the Commission’s Regulations, but with some additional protections.</w:t>
      </w:r>
      <w:r>
        <w:rPr>
          <w:rFonts w:ascii="Times New Roman" w:hAnsi="Times New Roman" w:cs="Times New Roman"/>
          <w:sz w:val="26"/>
          <w:szCs w:val="26"/>
        </w:rPr>
        <w:t xml:space="preserve">  </w:t>
      </w:r>
      <w:r w:rsidRPr="00FE5FFC">
        <w:rPr>
          <w:rFonts w:ascii="Times New Roman" w:hAnsi="Times New Roman" w:cs="Times New Roman"/>
          <w:sz w:val="26"/>
          <w:szCs w:val="26"/>
        </w:rPr>
        <w:t xml:space="preserve">The </w:t>
      </w:r>
      <w:r w:rsidRPr="00151B88">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lifted the service moratorium and allowed service disconnections to recommence effective April 1, 2021.  However, the </w:t>
      </w:r>
      <w:r w:rsidRPr="0062619E">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also established modifications/protections to existing collection policies that apply to all electric, natural gas, water, wastewater, telecommunications, and steam utilities subject to the Commission’s jurisdiction until December 31, 2021.  These modifications/protections include:</w:t>
      </w:r>
    </w:p>
    <w:p w14:paraId="2833DF86" w14:textId="77777777" w:rsidR="005C17D1" w:rsidRPr="00FE5FFC" w:rsidRDefault="005C17D1" w:rsidP="005C17D1">
      <w:pPr>
        <w:spacing w:after="0"/>
        <w:rPr>
          <w:rFonts w:ascii="Times New Roman" w:hAnsi="Times New Roman" w:cs="Times New Roman"/>
          <w:sz w:val="26"/>
          <w:szCs w:val="26"/>
        </w:rPr>
      </w:pPr>
    </w:p>
    <w:p w14:paraId="6912E4C7" w14:textId="77777777" w:rsidR="005C17D1" w:rsidRPr="00FE5FFC" w:rsidRDefault="005C17D1" w:rsidP="005C17D1">
      <w:pPr>
        <w:spacing w:after="0" w:line="240" w:lineRule="auto"/>
        <w:ind w:left="1440" w:right="1440"/>
        <w:rPr>
          <w:rFonts w:ascii="Times New Roman" w:hAnsi="Times New Roman" w:cs="Times New Roman"/>
          <w:sz w:val="26"/>
          <w:szCs w:val="26"/>
        </w:rPr>
      </w:pPr>
      <w:r w:rsidRPr="00FE5FFC">
        <w:rPr>
          <w:rFonts w:ascii="Times New Roman" w:hAnsi="Times New Roman" w:cs="Times New Roman"/>
          <w:sz w:val="26"/>
          <w:szCs w:val="26"/>
        </w:rPr>
        <w:lastRenderedPageBreak/>
        <w:t>1.</w:t>
      </w:r>
      <w:r w:rsidRPr="00FE5FFC">
        <w:rPr>
          <w:rFonts w:ascii="Times New Roman" w:hAnsi="Times New Roman" w:cs="Times New Roman"/>
          <w:sz w:val="26"/>
          <w:szCs w:val="26"/>
        </w:rPr>
        <w:tab/>
        <w:t>For residential customers with incomes below 250% of the Federal Poverty Level (FPL), a utility is required to offer a payment arrangement for a minimum length of 5 years while allowing the customer to agree to or request a shorter payment arrangement and the utility to agree to a longer payment arrangement.</w:t>
      </w:r>
    </w:p>
    <w:p w14:paraId="14DFA2FA" w14:textId="77777777" w:rsidR="005C17D1" w:rsidRPr="00FE5FFC" w:rsidRDefault="005C17D1" w:rsidP="005C17D1">
      <w:pPr>
        <w:spacing w:after="0" w:line="240" w:lineRule="auto"/>
        <w:ind w:left="1440" w:right="1440"/>
        <w:rPr>
          <w:rFonts w:ascii="Times New Roman" w:hAnsi="Times New Roman" w:cs="Times New Roman"/>
          <w:sz w:val="26"/>
          <w:szCs w:val="26"/>
        </w:rPr>
      </w:pPr>
    </w:p>
    <w:p w14:paraId="627C0DE3" w14:textId="77777777" w:rsidR="005C17D1" w:rsidRPr="00F44E64" w:rsidRDefault="005C17D1" w:rsidP="005C17D1">
      <w:pPr>
        <w:spacing w:after="0" w:line="240" w:lineRule="auto"/>
        <w:ind w:left="1440" w:right="1440"/>
        <w:rPr>
          <w:rFonts w:ascii="Times New Roman" w:hAnsi="Times New Roman" w:cs="Times New Roman"/>
          <w:sz w:val="26"/>
          <w:szCs w:val="26"/>
        </w:rPr>
      </w:pPr>
      <w:r w:rsidRPr="00FE5FFC">
        <w:rPr>
          <w:rFonts w:ascii="Times New Roman" w:hAnsi="Times New Roman" w:cs="Times New Roman"/>
          <w:sz w:val="26"/>
          <w:szCs w:val="26"/>
        </w:rPr>
        <w:t>2.</w:t>
      </w:r>
      <w:r w:rsidRPr="00FE5FFC">
        <w:rPr>
          <w:rFonts w:ascii="Times New Roman" w:hAnsi="Times New Roman" w:cs="Times New Roman"/>
          <w:sz w:val="26"/>
          <w:szCs w:val="26"/>
        </w:rPr>
        <w:tab/>
        <w:t xml:space="preserve">For residential customers with incomes between 250% and 300% of FPL, a utility is required to offer a payment arrangement for a minimum length of 2 years while allowing the customer to agree to or request a shorter payment </w:t>
      </w:r>
      <w:r w:rsidRPr="00F44E64">
        <w:rPr>
          <w:rFonts w:ascii="Times New Roman" w:hAnsi="Times New Roman" w:cs="Times New Roman"/>
          <w:sz w:val="26"/>
          <w:szCs w:val="26"/>
        </w:rPr>
        <w:t>arrangement and the utility to agree to a longer payment arrangement.</w:t>
      </w:r>
    </w:p>
    <w:p w14:paraId="4C2D98BA" w14:textId="77777777" w:rsidR="005C17D1" w:rsidRPr="00F44E64" w:rsidRDefault="005C17D1" w:rsidP="005C17D1">
      <w:pPr>
        <w:spacing w:after="0" w:line="240" w:lineRule="auto"/>
        <w:ind w:left="1440" w:right="1440"/>
        <w:rPr>
          <w:rFonts w:ascii="Times New Roman" w:hAnsi="Times New Roman" w:cs="Times New Roman"/>
          <w:sz w:val="26"/>
          <w:szCs w:val="26"/>
        </w:rPr>
      </w:pPr>
    </w:p>
    <w:p w14:paraId="0C48FA8E" w14:textId="77777777" w:rsidR="005C17D1" w:rsidRPr="00F44E64" w:rsidRDefault="005C17D1" w:rsidP="005C17D1">
      <w:pPr>
        <w:spacing w:after="0" w:line="240" w:lineRule="auto"/>
        <w:ind w:left="1440" w:right="1440"/>
        <w:rPr>
          <w:rFonts w:ascii="Times New Roman" w:hAnsi="Times New Roman" w:cs="Times New Roman"/>
          <w:sz w:val="26"/>
          <w:szCs w:val="26"/>
        </w:rPr>
      </w:pPr>
      <w:r w:rsidRPr="00F44E64">
        <w:rPr>
          <w:rFonts w:ascii="Times New Roman" w:hAnsi="Times New Roman" w:cs="Times New Roman"/>
          <w:sz w:val="26"/>
          <w:szCs w:val="26"/>
        </w:rPr>
        <w:t>3.</w:t>
      </w:r>
      <w:r w:rsidRPr="00F44E64">
        <w:rPr>
          <w:rFonts w:ascii="Times New Roman" w:hAnsi="Times New Roman" w:cs="Times New Roman"/>
          <w:sz w:val="26"/>
          <w:szCs w:val="26"/>
        </w:rPr>
        <w:tab/>
        <w:t xml:space="preserve">For residential customers with incomes over 300% of FPL, a utility is required to offer a payment arrangement for a minimum length of 1 year while allowing the customer to agree to or request a shorter payment arrangement and the utility to agree to a longer payment arrangement. </w:t>
      </w:r>
    </w:p>
    <w:p w14:paraId="66C0CB09" w14:textId="77777777" w:rsidR="005C17D1" w:rsidRPr="00F44E64" w:rsidRDefault="005C17D1" w:rsidP="005C17D1">
      <w:pPr>
        <w:spacing w:after="0" w:line="240" w:lineRule="auto"/>
        <w:ind w:left="1440" w:right="1440"/>
        <w:rPr>
          <w:rFonts w:ascii="Times New Roman" w:hAnsi="Times New Roman" w:cs="Times New Roman"/>
          <w:sz w:val="26"/>
          <w:szCs w:val="26"/>
        </w:rPr>
      </w:pPr>
    </w:p>
    <w:p w14:paraId="0D3A13FB" w14:textId="77777777" w:rsidR="005C17D1" w:rsidRPr="00F44E64" w:rsidRDefault="005C17D1" w:rsidP="005C17D1">
      <w:pPr>
        <w:spacing w:after="0" w:line="240" w:lineRule="auto"/>
        <w:ind w:left="1440" w:right="1440"/>
        <w:rPr>
          <w:rFonts w:ascii="Times New Roman" w:hAnsi="Times New Roman" w:cs="Times New Roman"/>
          <w:sz w:val="26"/>
          <w:szCs w:val="26"/>
        </w:rPr>
      </w:pPr>
      <w:r w:rsidRPr="00F44E64">
        <w:rPr>
          <w:rFonts w:ascii="Times New Roman" w:hAnsi="Times New Roman" w:cs="Times New Roman"/>
          <w:sz w:val="26"/>
          <w:szCs w:val="26"/>
        </w:rPr>
        <w:t>4.</w:t>
      </w:r>
      <w:r w:rsidRPr="00F44E64">
        <w:rPr>
          <w:rFonts w:ascii="Times New Roman" w:hAnsi="Times New Roman" w:cs="Times New Roman"/>
          <w:sz w:val="26"/>
          <w:szCs w:val="26"/>
        </w:rPr>
        <w:tab/>
        <w:t>For small business customers, a utility is required to offer a payment arrangement for a minimum length of 18 months while allowing the customer to agree to or request a shorter payment arrangement and the utility to agree to a longer payment arrangement.</w:t>
      </w:r>
    </w:p>
    <w:p w14:paraId="081D3364" w14:textId="77777777" w:rsidR="005C17D1" w:rsidRPr="00F44E64" w:rsidRDefault="005C17D1" w:rsidP="005C17D1">
      <w:pPr>
        <w:spacing w:after="0" w:line="240" w:lineRule="auto"/>
        <w:ind w:left="1440" w:right="1440"/>
        <w:rPr>
          <w:rFonts w:ascii="Times New Roman" w:hAnsi="Times New Roman" w:cs="Times New Roman"/>
          <w:sz w:val="26"/>
          <w:szCs w:val="26"/>
        </w:rPr>
      </w:pPr>
    </w:p>
    <w:p w14:paraId="63494770" w14:textId="31C1589A" w:rsidR="005C17D1" w:rsidRPr="00F44E64" w:rsidRDefault="005C17D1" w:rsidP="005C17D1">
      <w:pPr>
        <w:spacing w:after="0" w:line="240" w:lineRule="auto"/>
        <w:ind w:left="1440" w:right="1440"/>
        <w:rPr>
          <w:rFonts w:ascii="Times New Roman" w:hAnsi="Times New Roman" w:cs="Times New Roman"/>
          <w:sz w:val="26"/>
          <w:szCs w:val="26"/>
        </w:rPr>
      </w:pPr>
      <w:r w:rsidRPr="00F44E64">
        <w:rPr>
          <w:rFonts w:ascii="Times New Roman" w:hAnsi="Times New Roman" w:cs="Times New Roman"/>
          <w:sz w:val="26"/>
          <w:szCs w:val="26"/>
        </w:rPr>
        <w:t>5.</w:t>
      </w:r>
      <w:r w:rsidRPr="00F44E64">
        <w:rPr>
          <w:rFonts w:ascii="Times New Roman" w:hAnsi="Times New Roman" w:cs="Times New Roman"/>
          <w:sz w:val="26"/>
          <w:szCs w:val="26"/>
        </w:rPr>
        <w:tab/>
        <w:t xml:space="preserve">In response to informal and formal complaints filed by December 31, 2021, the Commission may: </w:t>
      </w:r>
    </w:p>
    <w:p w14:paraId="6170D6A6" w14:textId="77777777" w:rsidR="00586851" w:rsidRPr="00F44E64" w:rsidRDefault="00586851" w:rsidP="005C17D1">
      <w:pPr>
        <w:spacing w:after="0" w:line="240" w:lineRule="auto"/>
        <w:ind w:left="1440" w:right="1440"/>
        <w:rPr>
          <w:rFonts w:ascii="Times New Roman" w:hAnsi="Times New Roman" w:cs="Times New Roman"/>
          <w:sz w:val="26"/>
          <w:szCs w:val="26"/>
        </w:rPr>
      </w:pPr>
    </w:p>
    <w:p w14:paraId="62887E57" w14:textId="77777777" w:rsidR="005C17D1" w:rsidRPr="00F44E64" w:rsidRDefault="005C17D1" w:rsidP="005C17D1">
      <w:pPr>
        <w:numPr>
          <w:ilvl w:val="0"/>
          <w:numId w:val="19"/>
        </w:numPr>
        <w:spacing w:after="0" w:line="240" w:lineRule="auto"/>
        <w:ind w:left="1440" w:right="1440" w:firstLine="720"/>
        <w:rPr>
          <w:rFonts w:ascii="Times New Roman" w:hAnsi="Times New Roman" w:cs="Times New Roman"/>
          <w:sz w:val="26"/>
          <w:szCs w:val="26"/>
        </w:rPr>
      </w:pPr>
      <w:r w:rsidRPr="00F44E64">
        <w:rPr>
          <w:rFonts w:ascii="Times New Roman" w:hAnsi="Times New Roman" w:cs="Times New Roman"/>
          <w:sz w:val="26"/>
          <w:szCs w:val="26"/>
        </w:rPr>
        <w:t xml:space="preserve">Order one payment arrangement consistent with the terms outlined in Paragraphs 1- 3 above for a residential customer who is eligible for a new payment arrangement under the Public Utility Code. </w:t>
      </w:r>
    </w:p>
    <w:p w14:paraId="2963CAA4" w14:textId="77777777" w:rsidR="005C17D1" w:rsidRPr="00F44E64" w:rsidRDefault="005C17D1" w:rsidP="005C17D1">
      <w:pPr>
        <w:spacing w:after="0" w:line="240" w:lineRule="auto"/>
        <w:ind w:left="1440" w:right="1440"/>
        <w:rPr>
          <w:rFonts w:ascii="Times New Roman" w:hAnsi="Times New Roman" w:cs="Times New Roman"/>
          <w:sz w:val="26"/>
          <w:szCs w:val="26"/>
        </w:rPr>
      </w:pPr>
    </w:p>
    <w:p w14:paraId="7461B2CB" w14:textId="77777777" w:rsidR="005C17D1" w:rsidRPr="00FE5FFC" w:rsidRDefault="005C17D1" w:rsidP="005C17D1">
      <w:pPr>
        <w:spacing w:after="0" w:line="240" w:lineRule="auto"/>
        <w:ind w:left="1440" w:right="1440" w:firstLine="720"/>
        <w:rPr>
          <w:rFonts w:ascii="Times New Roman" w:hAnsi="Times New Roman" w:cs="Times New Roman"/>
          <w:sz w:val="26"/>
          <w:szCs w:val="26"/>
        </w:rPr>
      </w:pPr>
      <w:r w:rsidRPr="00F44E64">
        <w:rPr>
          <w:rFonts w:ascii="Times New Roman" w:hAnsi="Times New Roman" w:cs="Times New Roman"/>
          <w:sz w:val="26"/>
          <w:szCs w:val="26"/>
        </w:rPr>
        <w:t>b.</w:t>
      </w:r>
      <w:r w:rsidRPr="00F44E64">
        <w:rPr>
          <w:rFonts w:ascii="Times New Roman" w:hAnsi="Times New Roman" w:cs="Times New Roman"/>
          <w:sz w:val="26"/>
          <w:szCs w:val="26"/>
        </w:rPr>
        <w:tab/>
        <w:t>Order one payment arrangement consistent with the terms outlined in Paragraphs 1- 3 above for a residential customer who has previously defaulted on a Commission payment</w:t>
      </w:r>
      <w:r w:rsidRPr="00FE5FFC">
        <w:rPr>
          <w:rFonts w:ascii="Times New Roman" w:hAnsi="Times New Roman" w:cs="Times New Roman"/>
          <w:sz w:val="26"/>
          <w:szCs w:val="26"/>
        </w:rPr>
        <w:t xml:space="preserve"> arrangement, even where 66 Pa. C.S. §1405(d) has not been satisfied.  This allowance for one additional payment arrangement is made solely in response to the COVID-19 pandemic and the March 13 Emergency Order.</w:t>
      </w:r>
    </w:p>
    <w:p w14:paraId="6314FEF2" w14:textId="77777777" w:rsidR="005C17D1" w:rsidRPr="00FE5FFC" w:rsidRDefault="005C17D1" w:rsidP="005C17D1">
      <w:pPr>
        <w:spacing w:after="0" w:line="240" w:lineRule="auto"/>
        <w:ind w:left="1440" w:right="1440"/>
        <w:rPr>
          <w:rFonts w:ascii="Times New Roman" w:hAnsi="Times New Roman" w:cs="Times New Roman"/>
          <w:sz w:val="26"/>
          <w:szCs w:val="26"/>
        </w:rPr>
      </w:pPr>
    </w:p>
    <w:p w14:paraId="378564A7" w14:textId="77777777" w:rsidR="005C17D1" w:rsidRPr="00FE5FFC" w:rsidRDefault="005C17D1" w:rsidP="005C17D1">
      <w:pPr>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lastRenderedPageBreak/>
        <w:t>c.</w:t>
      </w:r>
      <w:r>
        <w:rPr>
          <w:rFonts w:ascii="Times New Roman" w:hAnsi="Times New Roman" w:cs="Times New Roman"/>
          <w:sz w:val="26"/>
          <w:szCs w:val="26"/>
        </w:rPr>
        <w:tab/>
      </w:r>
      <w:r w:rsidRPr="00FE5FFC">
        <w:rPr>
          <w:rFonts w:ascii="Times New Roman" w:hAnsi="Times New Roman" w:cs="Times New Roman"/>
          <w:sz w:val="26"/>
          <w:szCs w:val="26"/>
        </w:rPr>
        <w:t xml:space="preserve">Order one payment arrangement consistent with the terms outlined in Paragraph 4 above for a small business customer.  </w:t>
      </w:r>
    </w:p>
    <w:p w14:paraId="1373333C" w14:textId="77777777" w:rsidR="005C17D1" w:rsidRPr="00FE5FFC" w:rsidRDefault="005C17D1" w:rsidP="005C17D1">
      <w:pPr>
        <w:spacing w:after="0" w:line="240" w:lineRule="auto"/>
        <w:ind w:left="1440" w:right="1440"/>
        <w:rPr>
          <w:rFonts w:ascii="Times New Roman" w:hAnsi="Times New Roman" w:cs="Times New Roman"/>
          <w:sz w:val="26"/>
          <w:szCs w:val="26"/>
        </w:rPr>
      </w:pPr>
    </w:p>
    <w:p w14:paraId="45815319" w14:textId="77777777" w:rsidR="005C17D1" w:rsidRPr="00FE5FFC" w:rsidRDefault="005C17D1" w:rsidP="005C17D1">
      <w:pPr>
        <w:spacing w:after="0" w:line="240" w:lineRule="auto"/>
        <w:ind w:left="1440" w:right="1440"/>
        <w:rPr>
          <w:rFonts w:ascii="Times New Roman" w:hAnsi="Times New Roman" w:cs="Times New Roman"/>
          <w:sz w:val="26"/>
          <w:szCs w:val="26"/>
        </w:rPr>
      </w:pPr>
      <w:r w:rsidRPr="00FE5FFC">
        <w:rPr>
          <w:rFonts w:ascii="Times New Roman" w:hAnsi="Times New Roman" w:cs="Times New Roman"/>
          <w:sz w:val="26"/>
          <w:szCs w:val="26"/>
        </w:rPr>
        <w:t>Neither residential nor small business customers shall receive more than one Commission payment arrangement with the extended repayment terms outlined in Paragraphs 1-4 above.  The terms outlined in Paragraphs 1-3 above shall not apply to payment arrangements ordered under 66 Pa. C.S. §1405(e).  For residential customers eligible for both a payment arrangement under 66 Pa. C.S. § 1405(e) and a payment arrangement under the terms outlined in Paragraphs 1-3 above, the Commission should order the payment arrangement most advantageous to the customer.</w:t>
      </w:r>
    </w:p>
    <w:p w14:paraId="0D5DB8CE" w14:textId="77777777" w:rsidR="005C17D1" w:rsidRPr="00FE5FFC" w:rsidRDefault="005C17D1" w:rsidP="005C17D1">
      <w:pPr>
        <w:spacing w:after="0" w:line="240" w:lineRule="auto"/>
        <w:ind w:left="1440" w:right="1440"/>
        <w:rPr>
          <w:rFonts w:ascii="Times New Roman" w:hAnsi="Times New Roman" w:cs="Times New Roman"/>
          <w:sz w:val="26"/>
          <w:szCs w:val="26"/>
        </w:rPr>
      </w:pPr>
    </w:p>
    <w:p w14:paraId="5F877EB1" w14:textId="77777777" w:rsidR="005C17D1" w:rsidRPr="00FE5FFC" w:rsidRDefault="005C17D1" w:rsidP="005C17D1">
      <w:pPr>
        <w:spacing w:after="0" w:line="240" w:lineRule="auto"/>
        <w:ind w:left="1440" w:right="1440"/>
        <w:rPr>
          <w:rFonts w:ascii="Times New Roman" w:hAnsi="Times New Roman" w:cs="Times New Roman"/>
          <w:sz w:val="26"/>
          <w:szCs w:val="26"/>
        </w:rPr>
      </w:pPr>
      <w:r w:rsidRPr="00FE5FFC">
        <w:rPr>
          <w:rFonts w:ascii="Times New Roman" w:hAnsi="Times New Roman" w:cs="Times New Roman"/>
          <w:sz w:val="26"/>
          <w:szCs w:val="26"/>
        </w:rPr>
        <w:t>6.</w:t>
      </w:r>
      <w:r w:rsidRPr="00FE5FFC">
        <w:rPr>
          <w:rFonts w:ascii="Times New Roman" w:hAnsi="Times New Roman" w:cs="Times New Roman"/>
          <w:sz w:val="26"/>
          <w:szCs w:val="26"/>
        </w:rPr>
        <w:tab/>
        <w:t>Utilities and the Commission’s Bureau of Consumer Services may accept income verification and business status information obtained through flexible means, for example, over-the-phone or via electronic mail, for the purpose of qualifying customers for payment arrangements or universal service programs.</w:t>
      </w:r>
    </w:p>
    <w:p w14:paraId="6C142D8E" w14:textId="77777777" w:rsidR="005C17D1" w:rsidRPr="00FE5FFC" w:rsidRDefault="005C17D1" w:rsidP="00F44E64">
      <w:pPr>
        <w:spacing w:after="0" w:line="360" w:lineRule="auto"/>
        <w:ind w:left="1440" w:right="1440"/>
        <w:rPr>
          <w:rFonts w:ascii="Times New Roman" w:hAnsi="Times New Roman" w:cs="Times New Roman"/>
          <w:sz w:val="26"/>
          <w:szCs w:val="26"/>
        </w:rPr>
      </w:pPr>
    </w:p>
    <w:p w14:paraId="5D2497F2" w14:textId="77777777" w:rsidR="005C17D1" w:rsidRPr="00FE5FFC" w:rsidRDefault="005C17D1" w:rsidP="00F44E64">
      <w:pPr>
        <w:spacing w:after="0" w:line="360" w:lineRule="auto"/>
        <w:rPr>
          <w:rFonts w:ascii="Times New Roman" w:hAnsi="Times New Roman" w:cs="Times New Roman"/>
          <w:sz w:val="26"/>
          <w:szCs w:val="26"/>
        </w:rPr>
      </w:pPr>
      <w:r w:rsidRPr="00665286">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at 4-6.</w:t>
      </w:r>
    </w:p>
    <w:p w14:paraId="5FE60663" w14:textId="77777777" w:rsidR="005C17D1" w:rsidRPr="00FE5FFC" w:rsidRDefault="005C17D1" w:rsidP="00F44E64">
      <w:pPr>
        <w:spacing w:after="0" w:line="360" w:lineRule="auto"/>
        <w:rPr>
          <w:rFonts w:ascii="Times New Roman" w:hAnsi="Times New Roman" w:cs="Times New Roman"/>
          <w:sz w:val="26"/>
          <w:szCs w:val="26"/>
        </w:rPr>
      </w:pPr>
    </w:p>
    <w:p w14:paraId="4B55E446" w14:textId="275A7792" w:rsidR="005C17D1" w:rsidRDefault="005C17D1" w:rsidP="00F44E64">
      <w:pPr>
        <w:spacing w:after="0" w:line="360" w:lineRule="auto"/>
        <w:rPr>
          <w:rFonts w:ascii="Times New Roman" w:hAnsi="Times New Roman" w:cs="Times New Roman"/>
          <w:sz w:val="26"/>
          <w:szCs w:val="26"/>
        </w:rPr>
      </w:pPr>
      <w:r w:rsidRPr="00FE5FFC">
        <w:rPr>
          <w:rFonts w:ascii="Times New Roman" w:hAnsi="Times New Roman" w:cs="Times New Roman"/>
          <w:sz w:val="26"/>
          <w:szCs w:val="26"/>
        </w:rPr>
        <w:tab/>
      </w:r>
      <w:r>
        <w:rPr>
          <w:rFonts w:ascii="Times New Roman" w:hAnsi="Times New Roman" w:cs="Times New Roman"/>
          <w:sz w:val="26"/>
          <w:szCs w:val="26"/>
        </w:rPr>
        <w:tab/>
      </w:r>
      <w:r w:rsidRPr="00FE5FFC">
        <w:rPr>
          <w:rFonts w:ascii="Times New Roman" w:hAnsi="Times New Roman" w:cs="Times New Roman"/>
          <w:sz w:val="26"/>
          <w:szCs w:val="26"/>
        </w:rPr>
        <w:t xml:space="preserve">Additionally, the </w:t>
      </w:r>
      <w:r w:rsidRPr="00C40AF6">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provided that for utilities that have implemented Commission-approved COVID-19 customer protection plans, those plans will remain in effect according to their individual terms.</w:t>
      </w:r>
      <w:r>
        <w:rPr>
          <w:rFonts w:ascii="Times New Roman" w:hAnsi="Times New Roman" w:cs="Times New Roman"/>
          <w:sz w:val="26"/>
          <w:szCs w:val="26"/>
        </w:rPr>
        <w:t xml:space="preserve">  </w:t>
      </w:r>
      <w:r w:rsidRPr="00A17EB9">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at 7.</w:t>
      </w:r>
      <w:r w:rsidR="00586851">
        <w:rPr>
          <w:rFonts w:ascii="Times New Roman" w:hAnsi="Times New Roman" w:cs="Times New Roman"/>
          <w:sz w:val="26"/>
          <w:szCs w:val="26"/>
        </w:rPr>
        <w:t xml:space="preserve">  </w:t>
      </w:r>
      <w:r w:rsidRPr="00FE5FFC">
        <w:rPr>
          <w:rFonts w:ascii="Times New Roman" w:hAnsi="Times New Roman" w:cs="Times New Roman"/>
          <w:sz w:val="26"/>
          <w:szCs w:val="26"/>
        </w:rPr>
        <w:t xml:space="preserve">The </w:t>
      </w:r>
      <w:r w:rsidRPr="00C40AF6">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also recognized that compliance with the </w:t>
      </w:r>
      <w:r w:rsidRPr="00C40AF6">
        <w:rPr>
          <w:rFonts w:ascii="Times New Roman" w:hAnsi="Times New Roman" w:cs="Times New Roman"/>
          <w:i/>
          <w:iCs/>
          <w:sz w:val="26"/>
          <w:szCs w:val="26"/>
        </w:rPr>
        <w:t>March 13 Emergency Order</w:t>
      </w:r>
      <w:r w:rsidRPr="00FE5FFC">
        <w:rPr>
          <w:rFonts w:ascii="Times New Roman" w:hAnsi="Times New Roman" w:cs="Times New Roman"/>
          <w:sz w:val="26"/>
          <w:szCs w:val="26"/>
        </w:rPr>
        <w:t xml:space="preserve">, </w:t>
      </w:r>
      <w:r w:rsidRPr="00C40AF6">
        <w:rPr>
          <w:rFonts w:ascii="Times New Roman" w:hAnsi="Times New Roman" w:cs="Times New Roman"/>
          <w:i/>
          <w:iCs/>
          <w:sz w:val="26"/>
          <w:szCs w:val="26"/>
        </w:rPr>
        <w:t>the October 13 Order</w:t>
      </w:r>
      <w:r w:rsidRPr="00FE5FFC">
        <w:rPr>
          <w:rFonts w:ascii="Times New Roman" w:hAnsi="Times New Roman" w:cs="Times New Roman"/>
          <w:sz w:val="26"/>
          <w:szCs w:val="26"/>
        </w:rPr>
        <w:t xml:space="preserve">, and the </w:t>
      </w:r>
      <w:r w:rsidRPr="00C40AF6">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itself, may increase expenses for utilities.  Consequently, the </w:t>
      </w:r>
      <w:r w:rsidRPr="00C40AF6">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provided that:</w:t>
      </w:r>
    </w:p>
    <w:p w14:paraId="3923286C" w14:textId="77777777" w:rsidR="005C17D1" w:rsidRPr="00FE5FFC" w:rsidRDefault="005C17D1" w:rsidP="00F44E64">
      <w:pPr>
        <w:spacing w:after="0" w:line="240" w:lineRule="auto"/>
        <w:ind w:firstLine="1440"/>
        <w:rPr>
          <w:rFonts w:ascii="Times New Roman" w:hAnsi="Times New Roman" w:cs="Times New Roman"/>
          <w:sz w:val="26"/>
          <w:szCs w:val="26"/>
        </w:rPr>
      </w:pPr>
    </w:p>
    <w:p w14:paraId="5636143E" w14:textId="0E054E0A" w:rsidR="005C17D1" w:rsidRPr="006375DE" w:rsidRDefault="007D1750" w:rsidP="006375DE">
      <w:pPr>
        <w:spacing w:after="0" w:line="240" w:lineRule="auto"/>
        <w:ind w:left="1440" w:right="1440"/>
        <w:contextualSpacing/>
        <w:rPr>
          <w:rFonts w:ascii="Times New Roman" w:hAnsi="Times New Roman" w:cs="Times New Roman"/>
          <w:sz w:val="26"/>
          <w:szCs w:val="26"/>
        </w:rPr>
      </w:pPr>
      <w:r w:rsidRPr="006375DE">
        <w:rPr>
          <w:rFonts w:ascii="Times New Roman" w:hAnsi="Times New Roman" w:cs="Times New Roman"/>
          <w:sz w:val="26"/>
          <w:szCs w:val="26"/>
        </w:rPr>
        <w:t xml:space="preserve">… </w:t>
      </w:r>
      <w:r w:rsidR="005C17D1" w:rsidRPr="006375DE">
        <w:rPr>
          <w:rFonts w:ascii="Times New Roman" w:hAnsi="Times New Roman" w:cs="Times New Roman"/>
          <w:sz w:val="26"/>
          <w:szCs w:val="26"/>
        </w:rPr>
        <w:t>utilities shall continue tracking extraordinary, nonrecurring incremental COVID-19 related expenses and shall maintain detailed accounting records of such expenses.</w:t>
      </w:r>
      <w:r w:rsidR="000A4356" w:rsidRPr="006375DE">
        <w:rPr>
          <w:rFonts w:ascii="Times New Roman" w:hAnsi="Times New Roman" w:cs="Times New Roman"/>
          <w:sz w:val="26"/>
          <w:szCs w:val="26"/>
        </w:rPr>
        <w:t xml:space="preserve">  Additionally, the Commission </w:t>
      </w:r>
      <w:r w:rsidR="005C17D1" w:rsidRPr="006375DE">
        <w:rPr>
          <w:rFonts w:ascii="Times New Roman" w:hAnsi="Times New Roman" w:cs="Times New Roman"/>
          <w:sz w:val="26"/>
          <w:szCs w:val="26"/>
        </w:rPr>
        <w:t>authorize</w:t>
      </w:r>
      <w:r w:rsidR="000A4356" w:rsidRPr="006375DE">
        <w:rPr>
          <w:rFonts w:ascii="Times New Roman" w:hAnsi="Times New Roman" w:cs="Times New Roman"/>
          <w:sz w:val="26"/>
          <w:szCs w:val="26"/>
        </w:rPr>
        <w:t>s</w:t>
      </w:r>
      <w:r w:rsidR="005C17D1" w:rsidRPr="006375DE">
        <w:rPr>
          <w:rFonts w:ascii="Times New Roman" w:hAnsi="Times New Roman" w:cs="Times New Roman"/>
          <w:sz w:val="26"/>
          <w:szCs w:val="26"/>
        </w:rPr>
        <w:t xml:space="preserve"> electric, natural gas, water, wastewater, steam, and all rate base/rate of return telecommunications utilities to create a regulatory asset for any incremental expenses incurred above those embedded in </w:t>
      </w:r>
      <w:r w:rsidR="005C17D1" w:rsidRPr="006375DE">
        <w:rPr>
          <w:rFonts w:ascii="Times New Roman" w:hAnsi="Times New Roman" w:cs="Times New Roman"/>
          <w:sz w:val="26"/>
          <w:szCs w:val="26"/>
        </w:rPr>
        <w:lastRenderedPageBreak/>
        <w:t>rates resulting from the directives contained in the [March 18] Order.  To be eligible for inclusion in a utility’s COVID-19 designated regulatory asset, the utility must maintain detailed records of the incremental extraordinary, nonrecurring expenses incurred as a result of compliance with the Commission’s March 13 Emergency Order, and the [March 18] Order.</w:t>
      </w:r>
    </w:p>
    <w:p w14:paraId="73B36D28" w14:textId="7385D639" w:rsidR="005C17D1" w:rsidRDefault="005C17D1" w:rsidP="00F44E64">
      <w:pPr>
        <w:pStyle w:val="ListParagraph"/>
        <w:spacing w:line="360" w:lineRule="auto"/>
        <w:ind w:left="1440" w:right="1440" w:firstLine="360"/>
        <w:rPr>
          <w:sz w:val="26"/>
          <w:szCs w:val="26"/>
        </w:rPr>
      </w:pPr>
    </w:p>
    <w:p w14:paraId="4998893A" w14:textId="2F417122" w:rsidR="007F59DB" w:rsidRDefault="00967F48" w:rsidP="003B394C">
      <w:pPr>
        <w:pStyle w:val="ListParagraph"/>
        <w:spacing w:line="360" w:lineRule="auto"/>
        <w:ind w:left="0" w:right="1440"/>
        <w:rPr>
          <w:sz w:val="26"/>
          <w:szCs w:val="26"/>
        </w:rPr>
      </w:pPr>
      <w:r w:rsidRPr="00967F48">
        <w:rPr>
          <w:i/>
          <w:iCs/>
          <w:sz w:val="26"/>
          <w:szCs w:val="26"/>
        </w:rPr>
        <w:t>March 18 Order</w:t>
      </w:r>
      <w:r>
        <w:rPr>
          <w:sz w:val="26"/>
          <w:szCs w:val="26"/>
        </w:rPr>
        <w:t xml:space="preserve"> at 5-6.  </w:t>
      </w:r>
    </w:p>
    <w:p w14:paraId="3BBC57F1" w14:textId="77777777" w:rsidR="007F59DB" w:rsidRPr="00FE5FFC" w:rsidRDefault="007F59DB" w:rsidP="003B394C">
      <w:pPr>
        <w:pStyle w:val="ListParagraph"/>
        <w:spacing w:line="360" w:lineRule="auto"/>
        <w:ind w:left="0" w:right="1440"/>
        <w:rPr>
          <w:sz w:val="26"/>
          <w:szCs w:val="26"/>
        </w:rPr>
      </w:pPr>
    </w:p>
    <w:p w14:paraId="035E200D" w14:textId="6F931F0D" w:rsidR="0017311C" w:rsidRPr="0017311C" w:rsidRDefault="0017311C" w:rsidP="003B394C">
      <w:pPr>
        <w:spacing w:after="0" w:line="360" w:lineRule="auto"/>
        <w:ind w:firstLine="1440"/>
        <w:contextualSpacing/>
        <w:rPr>
          <w:rFonts w:ascii="Times New Roman" w:hAnsi="Times New Roman" w:cs="Times New Roman"/>
          <w:sz w:val="26"/>
          <w:szCs w:val="26"/>
        </w:rPr>
      </w:pPr>
      <w:r w:rsidRPr="0017311C">
        <w:rPr>
          <w:rFonts w:ascii="Times New Roman" w:hAnsi="Times New Roman" w:cs="Times New Roman"/>
          <w:i/>
          <w:iCs/>
          <w:sz w:val="26"/>
          <w:szCs w:val="26"/>
        </w:rPr>
        <w:t>The March 18 Order</w:t>
      </w:r>
      <w:r>
        <w:rPr>
          <w:rFonts w:ascii="Times New Roman" w:hAnsi="Times New Roman" w:cs="Times New Roman"/>
          <w:sz w:val="26"/>
          <w:szCs w:val="26"/>
        </w:rPr>
        <w:t xml:space="preserve"> also re</w:t>
      </w:r>
      <w:r w:rsidR="009C3754">
        <w:rPr>
          <w:rFonts w:ascii="Times New Roman" w:hAnsi="Times New Roman" w:cs="Times New Roman"/>
          <w:sz w:val="26"/>
          <w:szCs w:val="26"/>
        </w:rPr>
        <w:t xml:space="preserve">quired these utilities to report, on a </w:t>
      </w:r>
      <w:r w:rsidR="007041F3">
        <w:rPr>
          <w:rFonts w:ascii="Times New Roman" w:hAnsi="Times New Roman" w:cs="Times New Roman"/>
          <w:sz w:val="26"/>
          <w:szCs w:val="26"/>
        </w:rPr>
        <w:t xml:space="preserve">quarterly basis </w:t>
      </w:r>
      <w:r w:rsidR="00C959FE">
        <w:rPr>
          <w:rFonts w:ascii="Times New Roman" w:hAnsi="Times New Roman" w:cs="Times New Roman"/>
          <w:sz w:val="26"/>
          <w:szCs w:val="26"/>
        </w:rPr>
        <w:t>for the remainder of 2021, the following information:</w:t>
      </w:r>
    </w:p>
    <w:p w14:paraId="61BBA00B" w14:textId="77777777" w:rsidR="005C17D1" w:rsidRPr="00FE5FFC" w:rsidRDefault="005C17D1" w:rsidP="00C40AF6">
      <w:pPr>
        <w:spacing w:after="0" w:line="240" w:lineRule="auto"/>
        <w:ind w:left="1440" w:right="1440" w:firstLine="360"/>
        <w:rPr>
          <w:rFonts w:ascii="Times New Roman" w:hAnsi="Times New Roman" w:cs="Times New Roman"/>
          <w:sz w:val="26"/>
          <w:szCs w:val="26"/>
        </w:rPr>
      </w:pPr>
    </w:p>
    <w:p w14:paraId="75F7BA22" w14:textId="6FAF5C2D" w:rsidR="005C17D1" w:rsidRPr="00FE5FFC" w:rsidRDefault="005C17D1" w:rsidP="00F44E64">
      <w:pPr>
        <w:numPr>
          <w:ilvl w:val="0"/>
          <w:numId w:val="20"/>
        </w:numPr>
        <w:spacing w:after="0" w:line="240" w:lineRule="auto"/>
        <w:ind w:left="1440" w:right="1440" w:firstLine="0"/>
        <w:rPr>
          <w:rFonts w:ascii="Times New Roman" w:hAnsi="Times New Roman" w:cs="Times New Roman"/>
          <w:sz w:val="26"/>
          <w:szCs w:val="26"/>
        </w:rPr>
      </w:pPr>
      <w:r w:rsidRPr="00FE5FFC">
        <w:rPr>
          <w:rFonts w:ascii="Times New Roman" w:hAnsi="Times New Roman" w:cs="Times New Roman"/>
          <w:sz w:val="26"/>
          <w:szCs w:val="26"/>
        </w:rPr>
        <w:t xml:space="preserve">Total number of </w:t>
      </w:r>
      <w:r w:rsidR="004D79A7">
        <w:rPr>
          <w:rFonts w:ascii="Times New Roman" w:hAnsi="Times New Roman" w:cs="Times New Roman"/>
          <w:sz w:val="26"/>
          <w:szCs w:val="26"/>
        </w:rPr>
        <w:t>residential and non</w:t>
      </w:r>
      <w:r w:rsidR="00A64674">
        <w:rPr>
          <w:rFonts w:ascii="Times New Roman" w:hAnsi="Times New Roman" w:cs="Times New Roman"/>
          <w:sz w:val="26"/>
          <w:szCs w:val="26"/>
        </w:rPr>
        <w:t xml:space="preserve">-residential </w:t>
      </w:r>
      <w:r w:rsidRPr="00FE5FFC">
        <w:rPr>
          <w:rFonts w:ascii="Times New Roman" w:hAnsi="Times New Roman" w:cs="Times New Roman"/>
          <w:sz w:val="26"/>
          <w:szCs w:val="26"/>
        </w:rPr>
        <w:t xml:space="preserve">accounts at risk of termination at the end of the month and for the same month </w:t>
      </w:r>
      <w:r w:rsidR="00A64674">
        <w:rPr>
          <w:rFonts w:ascii="Times New Roman" w:hAnsi="Times New Roman" w:cs="Times New Roman"/>
          <w:sz w:val="26"/>
          <w:szCs w:val="26"/>
        </w:rPr>
        <w:t>of the year prior</w:t>
      </w:r>
      <w:r w:rsidRPr="00FE5FFC">
        <w:rPr>
          <w:rFonts w:ascii="Times New Roman" w:hAnsi="Times New Roman" w:cs="Times New Roman"/>
          <w:sz w:val="26"/>
          <w:szCs w:val="26"/>
        </w:rPr>
        <w:t>.</w:t>
      </w:r>
    </w:p>
    <w:p w14:paraId="3BAC9905" w14:textId="77777777" w:rsidR="005C17D1" w:rsidRPr="00FE5FFC" w:rsidRDefault="005C17D1" w:rsidP="00F44E64">
      <w:pPr>
        <w:spacing w:after="0" w:line="240" w:lineRule="auto"/>
        <w:ind w:left="1440" w:right="1440" w:firstLine="360"/>
        <w:rPr>
          <w:rFonts w:ascii="Times New Roman" w:hAnsi="Times New Roman" w:cs="Times New Roman"/>
          <w:sz w:val="26"/>
          <w:szCs w:val="26"/>
        </w:rPr>
      </w:pPr>
    </w:p>
    <w:p w14:paraId="67773998" w14:textId="0AD38DE2" w:rsidR="005C17D1" w:rsidRDefault="005C17D1" w:rsidP="00F44E64">
      <w:pPr>
        <w:numPr>
          <w:ilvl w:val="0"/>
          <w:numId w:val="20"/>
        </w:numPr>
        <w:spacing w:after="0" w:line="240" w:lineRule="auto"/>
        <w:ind w:left="1440" w:right="1440" w:firstLine="0"/>
        <w:rPr>
          <w:rFonts w:ascii="Times New Roman" w:hAnsi="Times New Roman" w:cs="Times New Roman"/>
          <w:sz w:val="26"/>
          <w:szCs w:val="26"/>
        </w:rPr>
      </w:pPr>
      <w:r w:rsidRPr="00FE5FFC">
        <w:rPr>
          <w:rFonts w:ascii="Times New Roman" w:hAnsi="Times New Roman" w:cs="Times New Roman"/>
          <w:sz w:val="26"/>
          <w:szCs w:val="26"/>
        </w:rPr>
        <w:t>Total aggregate dollars of arrears</w:t>
      </w:r>
      <w:r w:rsidR="00A64674">
        <w:rPr>
          <w:rFonts w:ascii="Times New Roman" w:hAnsi="Times New Roman" w:cs="Times New Roman"/>
          <w:sz w:val="26"/>
          <w:szCs w:val="26"/>
        </w:rPr>
        <w:t xml:space="preserve">, broken down by the same </w:t>
      </w:r>
      <w:r w:rsidR="00E51489">
        <w:rPr>
          <w:rFonts w:ascii="Times New Roman" w:hAnsi="Times New Roman" w:cs="Times New Roman"/>
          <w:sz w:val="26"/>
          <w:szCs w:val="26"/>
        </w:rPr>
        <w:t>account categories,</w:t>
      </w:r>
      <w:r w:rsidRPr="00FE5FFC">
        <w:rPr>
          <w:rFonts w:ascii="Times New Roman" w:hAnsi="Times New Roman" w:cs="Times New Roman"/>
          <w:sz w:val="26"/>
          <w:szCs w:val="26"/>
        </w:rPr>
        <w:t xml:space="preserve"> at the end of the month and for the same month </w:t>
      </w:r>
      <w:r w:rsidR="005974C6">
        <w:rPr>
          <w:rFonts w:ascii="Times New Roman" w:hAnsi="Times New Roman" w:cs="Times New Roman"/>
          <w:sz w:val="26"/>
          <w:szCs w:val="26"/>
        </w:rPr>
        <w:t>of the year prior</w:t>
      </w:r>
      <w:r w:rsidRPr="00FE5FFC">
        <w:rPr>
          <w:rFonts w:ascii="Times New Roman" w:hAnsi="Times New Roman" w:cs="Times New Roman"/>
          <w:sz w:val="26"/>
          <w:szCs w:val="26"/>
        </w:rPr>
        <w:t>.</w:t>
      </w:r>
    </w:p>
    <w:p w14:paraId="63E961D2" w14:textId="77777777" w:rsidR="005C17D1" w:rsidRPr="00FE5FFC" w:rsidRDefault="005C17D1" w:rsidP="00F44E64">
      <w:pPr>
        <w:spacing w:after="0" w:line="240" w:lineRule="auto"/>
        <w:ind w:left="1440" w:right="1440"/>
        <w:rPr>
          <w:rFonts w:ascii="Times New Roman" w:hAnsi="Times New Roman" w:cs="Times New Roman"/>
          <w:sz w:val="26"/>
          <w:szCs w:val="26"/>
        </w:rPr>
      </w:pPr>
    </w:p>
    <w:p w14:paraId="0B5A9AD2" w14:textId="1871BC2B" w:rsidR="005C17D1" w:rsidRPr="00FE5FFC" w:rsidRDefault="005C17D1" w:rsidP="00F44E64">
      <w:pPr>
        <w:numPr>
          <w:ilvl w:val="0"/>
          <w:numId w:val="20"/>
        </w:numPr>
        <w:spacing w:after="0" w:line="240" w:lineRule="auto"/>
        <w:ind w:left="1440" w:right="1440" w:firstLine="0"/>
        <w:rPr>
          <w:rFonts w:ascii="Times New Roman" w:hAnsi="Times New Roman" w:cs="Times New Roman"/>
          <w:b/>
          <w:sz w:val="26"/>
          <w:szCs w:val="26"/>
        </w:rPr>
      </w:pPr>
      <w:r w:rsidRPr="00FE5FFC">
        <w:rPr>
          <w:rFonts w:ascii="Times New Roman" w:hAnsi="Times New Roman" w:cs="Times New Roman"/>
          <w:sz w:val="26"/>
          <w:szCs w:val="26"/>
        </w:rPr>
        <w:t xml:space="preserve">The number of </w:t>
      </w:r>
      <w:r w:rsidR="005974C6">
        <w:rPr>
          <w:rFonts w:ascii="Times New Roman" w:hAnsi="Times New Roman" w:cs="Times New Roman"/>
          <w:sz w:val="26"/>
          <w:szCs w:val="26"/>
        </w:rPr>
        <w:t xml:space="preserve">residential and non-residential </w:t>
      </w:r>
      <w:r w:rsidRPr="00FE5FFC">
        <w:rPr>
          <w:rFonts w:ascii="Times New Roman" w:hAnsi="Times New Roman" w:cs="Times New Roman"/>
          <w:sz w:val="26"/>
          <w:szCs w:val="26"/>
        </w:rPr>
        <w:t xml:space="preserve">accounts disconnected for non-payment with dollar amounts owed. </w:t>
      </w:r>
    </w:p>
    <w:p w14:paraId="2DF2227D" w14:textId="77777777" w:rsidR="005C17D1" w:rsidRPr="00FE5FFC" w:rsidRDefault="005C17D1" w:rsidP="00F44E64">
      <w:pPr>
        <w:spacing w:after="0" w:line="360" w:lineRule="auto"/>
        <w:rPr>
          <w:rFonts w:ascii="Times New Roman" w:hAnsi="Times New Roman" w:cs="Times New Roman"/>
          <w:sz w:val="26"/>
          <w:szCs w:val="26"/>
        </w:rPr>
      </w:pPr>
    </w:p>
    <w:p w14:paraId="3D21D1BA" w14:textId="77777777" w:rsidR="005C17D1" w:rsidRPr="00FE5FFC" w:rsidRDefault="005C17D1" w:rsidP="004B74C9">
      <w:pPr>
        <w:spacing w:after="0" w:line="360" w:lineRule="auto"/>
        <w:rPr>
          <w:rFonts w:ascii="Times New Roman" w:hAnsi="Times New Roman" w:cs="Times New Roman"/>
          <w:sz w:val="26"/>
          <w:szCs w:val="26"/>
        </w:rPr>
      </w:pPr>
      <w:r w:rsidRPr="00C40AF6">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at 6-7.</w:t>
      </w:r>
    </w:p>
    <w:p w14:paraId="128D80FD" w14:textId="77777777" w:rsidR="00586851" w:rsidRDefault="005C17D1" w:rsidP="004F21F7">
      <w:pPr>
        <w:spacing w:after="0" w:line="360" w:lineRule="auto"/>
        <w:rPr>
          <w:rFonts w:ascii="Times New Roman" w:hAnsi="Times New Roman" w:cs="Times New Roman"/>
          <w:sz w:val="26"/>
          <w:szCs w:val="26"/>
        </w:rPr>
      </w:pPr>
      <w:r w:rsidRPr="00FE5FFC">
        <w:rPr>
          <w:rFonts w:ascii="Times New Roman" w:hAnsi="Times New Roman" w:cs="Times New Roman"/>
          <w:sz w:val="26"/>
          <w:szCs w:val="26"/>
        </w:rPr>
        <w:tab/>
      </w:r>
      <w:r>
        <w:rPr>
          <w:rFonts w:ascii="Times New Roman" w:hAnsi="Times New Roman" w:cs="Times New Roman"/>
          <w:sz w:val="26"/>
          <w:szCs w:val="26"/>
        </w:rPr>
        <w:tab/>
      </w:r>
    </w:p>
    <w:p w14:paraId="6B7CAD33" w14:textId="18CB77FC" w:rsidR="005C17D1" w:rsidRPr="00FE5FFC" w:rsidRDefault="005C17D1" w:rsidP="00586851">
      <w:pPr>
        <w:spacing w:after="0" w:line="360" w:lineRule="auto"/>
        <w:ind w:firstLine="1440"/>
        <w:rPr>
          <w:rFonts w:ascii="Times New Roman" w:hAnsi="Times New Roman" w:cs="Times New Roman"/>
          <w:sz w:val="26"/>
          <w:szCs w:val="26"/>
        </w:rPr>
      </w:pPr>
      <w:r w:rsidRPr="00FE5FFC">
        <w:rPr>
          <w:rFonts w:ascii="Times New Roman" w:hAnsi="Times New Roman" w:cs="Times New Roman"/>
          <w:sz w:val="26"/>
          <w:szCs w:val="26"/>
        </w:rPr>
        <w:t xml:space="preserve">We offer this detailed description of the action taken in our </w:t>
      </w:r>
      <w:r w:rsidRPr="004B74C9">
        <w:rPr>
          <w:rFonts w:ascii="Times New Roman" w:hAnsi="Times New Roman" w:cs="Times New Roman"/>
          <w:i/>
          <w:iCs/>
          <w:sz w:val="26"/>
          <w:szCs w:val="26"/>
        </w:rPr>
        <w:t>March</w:t>
      </w:r>
      <w:r w:rsidR="003B394C">
        <w:rPr>
          <w:rFonts w:ascii="Times New Roman" w:hAnsi="Times New Roman" w:cs="Times New Roman"/>
          <w:i/>
          <w:iCs/>
          <w:sz w:val="26"/>
          <w:szCs w:val="26"/>
        </w:rPr>
        <w:t> </w:t>
      </w:r>
      <w:r w:rsidRPr="004B74C9">
        <w:rPr>
          <w:rFonts w:ascii="Times New Roman" w:hAnsi="Times New Roman" w:cs="Times New Roman"/>
          <w:i/>
          <w:iCs/>
          <w:sz w:val="26"/>
          <w:szCs w:val="26"/>
        </w:rPr>
        <w:t>18</w:t>
      </w:r>
      <w:r w:rsidR="003B394C">
        <w:rPr>
          <w:rFonts w:ascii="Times New Roman" w:hAnsi="Times New Roman" w:cs="Times New Roman"/>
          <w:i/>
          <w:iCs/>
          <w:sz w:val="26"/>
          <w:szCs w:val="26"/>
        </w:rPr>
        <w:t> </w:t>
      </w:r>
      <w:r w:rsidRPr="004B74C9">
        <w:rPr>
          <w:rFonts w:ascii="Times New Roman" w:hAnsi="Times New Roman" w:cs="Times New Roman"/>
          <w:i/>
          <w:iCs/>
          <w:sz w:val="26"/>
          <w:szCs w:val="26"/>
        </w:rPr>
        <w:t>Order</w:t>
      </w:r>
      <w:r w:rsidRPr="00FE5FFC">
        <w:rPr>
          <w:rFonts w:ascii="Times New Roman" w:hAnsi="Times New Roman" w:cs="Times New Roman"/>
          <w:sz w:val="26"/>
          <w:szCs w:val="26"/>
        </w:rPr>
        <w:t xml:space="preserve"> to show that we have provided both residential and small business customers </w:t>
      </w:r>
      <w:r w:rsidR="004B74C9">
        <w:rPr>
          <w:rFonts w:ascii="Times New Roman" w:hAnsi="Times New Roman" w:cs="Times New Roman"/>
          <w:sz w:val="26"/>
          <w:szCs w:val="26"/>
        </w:rPr>
        <w:t xml:space="preserve">with </w:t>
      </w:r>
      <w:r w:rsidRPr="00FE5FFC">
        <w:rPr>
          <w:rFonts w:ascii="Times New Roman" w:hAnsi="Times New Roman" w:cs="Times New Roman"/>
          <w:sz w:val="26"/>
          <w:szCs w:val="26"/>
        </w:rPr>
        <w:t>protections commensurate with the ongoing COVID-19 situation while also considering the economic needs of jurisdictional utilities.</w:t>
      </w:r>
    </w:p>
    <w:p w14:paraId="290D77F6" w14:textId="77777777" w:rsidR="005C17D1" w:rsidRPr="00FE5FFC" w:rsidRDefault="005C17D1" w:rsidP="004F21F7">
      <w:pPr>
        <w:spacing w:after="0" w:line="360" w:lineRule="auto"/>
        <w:rPr>
          <w:rFonts w:ascii="Times New Roman" w:hAnsi="Times New Roman" w:cs="Times New Roman"/>
          <w:sz w:val="26"/>
          <w:szCs w:val="26"/>
        </w:rPr>
      </w:pPr>
    </w:p>
    <w:p w14:paraId="04BFEAB8" w14:textId="2A3F494A" w:rsidR="005C17D1" w:rsidRPr="00FE5FFC" w:rsidRDefault="005C17D1" w:rsidP="004F21F7">
      <w:pPr>
        <w:spacing w:after="0" w:line="360" w:lineRule="auto"/>
        <w:rPr>
          <w:rFonts w:ascii="Times New Roman" w:hAnsi="Times New Roman" w:cs="Times New Roman"/>
          <w:sz w:val="26"/>
          <w:szCs w:val="26"/>
        </w:rPr>
      </w:pPr>
      <w:r w:rsidRPr="00FE5FFC">
        <w:rPr>
          <w:rFonts w:ascii="Times New Roman" w:hAnsi="Times New Roman" w:cs="Times New Roman"/>
          <w:sz w:val="26"/>
          <w:szCs w:val="26"/>
        </w:rPr>
        <w:tab/>
      </w:r>
      <w:r>
        <w:rPr>
          <w:rFonts w:ascii="Times New Roman" w:hAnsi="Times New Roman" w:cs="Times New Roman"/>
          <w:sz w:val="26"/>
          <w:szCs w:val="26"/>
        </w:rPr>
        <w:tab/>
      </w:r>
      <w:r w:rsidRPr="00FE5FFC">
        <w:rPr>
          <w:rFonts w:ascii="Times New Roman" w:hAnsi="Times New Roman" w:cs="Times New Roman"/>
          <w:sz w:val="26"/>
          <w:szCs w:val="26"/>
        </w:rPr>
        <w:t xml:space="preserve">The Settlement presented in the Joint Petition complies with the requirements of our </w:t>
      </w:r>
      <w:r w:rsidRPr="002700A5">
        <w:rPr>
          <w:rFonts w:ascii="Times New Roman" w:hAnsi="Times New Roman" w:cs="Times New Roman"/>
          <w:i/>
          <w:iCs/>
          <w:sz w:val="26"/>
          <w:szCs w:val="26"/>
        </w:rPr>
        <w:t>March 18 Order</w:t>
      </w:r>
      <w:r w:rsidRPr="00FE5FFC">
        <w:rPr>
          <w:rFonts w:ascii="Times New Roman" w:hAnsi="Times New Roman" w:cs="Times New Roman"/>
          <w:sz w:val="26"/>
          <w:szCs w:val="26"/>
        </w:rPr>
        <w:t xml:space="preserve">.  </w:t>
      </w:r>
      <w:r w:rsidRPr="00FE5FFC">
        <w:rPr>
          <w:rFonts w:ascii="Times New Roman" w:hAnsi="Times New Roman" w:cs="Times New Roman"/>
          <w:i/>
          <w:sz w:val="26"/>
          <w:szCs w:val="26"/>
        </w:rPr>
        <w:t>See</w:t>
      </w:r>
      <w:r w:rsidRPr="00FE5FFC">
        <w:rPr>
          <w:rFonts w:ascii="Times New Roman" w:hAnsi="Times New Roman" w:cs="Times New Roman"/>
          <w:sz w:val="26"/>
          <w:szCs w:val="26"/>
        </w:rPr>
        <w:t xml:space="preserve"> Joint Petition </w:t>
      </w:r>
      <w:r w:rsidR="002700A5">
        <w:rPr>
          <w:rFonts w:ascii="Times New Roman" w:hAnsi="Times New Roman" w:cs="Times New Roman"/>
          <w:sz w:val="26"/>
          <w:szCs w:val="26"/>
        </w:rPr>
        <w:t xml:space="preserve">at </w:t>
      </w:r>
      <w:r w:rsidRPr="00FE5FFC">
        <w:rPr>
          <w:rFonts w:ascii="Times New Roman" w:hAnsi="Times New Roman" w:cs="Times New Roman"/>
          <w:sz w:val="26"/>
          <w:szCs w:val="26"/>
        </w:rPr>
        <w:t xml:space="preserve">13, 14-18.  We have determined that the Settlement produces rates that are just and reasonable, provides vital </w:t>
      </w:r>
      <w:r w:rsidRPr="00FE5FFC">
        <w:rPr>
          <w:rFonts w:ascii="Times New Roman" w:hAnsi="Times New Roman" w:cs="Times New Roman"/>
          <w:sz w:val="26"/>
          <w:szCs w:val="26"/>
        </w:rPr>
        <w:lastRenderedPageBreak/>
        <w:t>customer protections, and affords UGI Electric the opportunity to receive a fair return on its investment.  These are the matters that the law requires of us.</w:t>
      </w:r>
    </w:p>
    <w:p w14:paraId="519C39DC" w14:textId="77777777" w:rsidR="005C17D1" w:rsidRPr="00FE5FFC" w:rsidRDefault="005C17D1" w:rsidP="004F21F7">
      <w:pPr>
        <w:spacing w:after="0" w:line="360" w:lineRule="auto"/>
        <w:rPr>
          <w:rFonts w:ascii="Times New Roman" w:hAnsi="Times New Roman" w:cs="Times New Roman"/>
          <w:sz w:val="26"/>
          <w:szCs w:val="26"/>
        </w:rPr>
      </w:pPr>
    </w:p>
    <w:p w14:paraId="71647C6B" w14:textId="7B54F026" w:rsidR="005C17D1" w:rsidRPr="00FE5FFC" w:rsidRDefault="005C17D1" w:rsidP="004F21F7">
      <w:pPr>
        <w:spacing w:after="0" w:line="360" w:lineRule="auto"/>
        <w:rPr>
          <w:rFonts w:ascii="Times New Roman" w:hAnsi="Times New Roman" w:cs="Times New Roman"/>
          <w:sz w:val="26"/>
          <w:szCs w:val="26"/>
        </w:rPr>
      </w:pPr>
      <w:r w:rsidRPr="00FE5FFC">
        <w:rPr>
          <w:rFonts w:ascii="Times New Roman" w:hAnsi="Times New Roman" w:cs="Times New Roman"/>
          <w:sz w:val="26"/>
          <w:szCs w:val="26"/>
        </w:rPr>
        <w:tab/>
      </w:r>
      <w:r>
        <w:rPr>
          <w:rFonts w:ascii="Times New Roman" w:hAnsi="Times New Roman" w:cs="Times New Roman"/>
          <w:sz w:val="26"/>
          <w:szCs w:val="26"/>
        </w:rPr>
        <w:tab/>
      </w:r>
      <w:r w:rsidRPr="00FE5FFC">
        <w:rPr>
          <w:rFonts w:ascii="Times New Roman" w:hAnsi="Times New Roman" w:cs="Times New Roman"/>
          <w:sz w:val="26"/>
          <w:szCs w:val="26"/>
        </w:rPr>
        <w:t xml:space="preserve">Ms. Brace’s characterization of what she believes is “unethical” action is unsupported by any relevant evidence and contrary to the facts in this case.  Therefore, we will deny Ms. Brace’s Exception </w:t>
      </w:r>
      <w:r>
        <w:rPr>
          <w:rFonts w:ascii="Times New Roman" w:hAnsi="Times New Roman" w:cs="Times New Roman"/>
          <w:sz w:val="26"/>
          <w:szCs w:val="26"/>
        </w:rPr>
        <w:t>No.</w:t>
      </w:r>
      <w:r w:rsidRPr="00FE5FFC">
        <w:rPr>
          <w:rFonts w:ascii="Times New Roman" w:hAnsi="Times New Roman" w:cs="Times New Roman"/>
          <w:sz w:val="26"/>
          <w:szCs w:val="26"/>
        </w:rPr>
        <w:t>5.</w:t>
      </w:r>
    </w:p>
    <w:p w14:paraId="3F040AF4" w14:textId="19250FB4" w:rsidR="00831269" w:rsidRDefault="00831269" w:rsidP="004F21F7">
      <w:pPr>
        <w:spacing w:after="0" w:line="360" w:lineRule="auto"/>
        <w:rPr>
          <w:rFonts w:ascii="Times New Roman" w:hAnsi="Times New Roman" w:cs="Times New Roman"/>
          <w:sz w:val="26"/>
          <w:szCs w:val="26"/>
        </w:rPr>
      </w:pPr>
    </w:p>
    <w:p w14:paraId="6DA27192" w14:textId="69882FD4" w:rsidR="0013236E" w:rsidRPr="00CE63F0" w:rsidRDefault="00210E43" w:rsidP="00210E43">
      <w:pPr>
        <w:spacing w:line="360" w:lineRule="auto"/>
        <w:ind w:left="720" w:firstLine="720"/>
        <w:contextualSpacing/>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g.</w:t>
      </w:r>
      <w:r>
        <w:rPr>
          <w:rFonts w:ascii="Times New Roman" w:eastAsia="Times New Roman" w:hAnsi="Times New Roman" w:cs="Times New Roman"/>
          <w:b/>
          <w:bCs/>
          <w:sz w:val="26"/>
          <w:szCs w:val="26"/>
        </w:rPr>
        <w:tab/>
      </w:r>
      <w:r w:rsidR="0013236E" w:rsidRPr="00CE63F0">
        <w:rPr>
          <w:rFonts w:ascii="Times New Roman" w:eastAsia="Times New Roman" w:hAnsi="Times New Roman" w:cs="Times New Roman"/>
          <w:b/>
          <w:bCs/>
          <w:sz w:val="26"/>
          <w:szCs w:val="26"/>
        </w:rPr>
        <w:t xml:space="preserve">Exception No. 6, </w:t>
      </w:r>
      <w:r w:rsidR="00CE63F0" w:rsidRPr="00CE63F0">
        <w:rPr>
          <w:rFonts w:ascii="Times New Roman" w:eastAsia="Times New Roman" w:hAnsi="Times New Roman" w:cs="Times New Roman"/>
          <w:b/>
          <w:bCs/>
          <w:sz w:val="26"/>
          <w:szCs w:val="26"/>
        </w:rPr>
        <w:t xml:space="preserve">UGI </w:t>
      </w:r>
      <w:r w:rsidR="0013236E" w:rsidRPr="00CE63F0">
        <w:rPr>
          <w:rFonts w:ascii="Times New Roman" w:eastAsia="Times New Roman" w:hAnsi="Times New Roman" w:cs="Times New Roman"/>
          <w:b/>
          <w:bCs/>
          <w:sz w:val="26"/>
          <w:szCs w:val="26"/>
        </w:rPr>
        <w:t xml:space="preserve">Response, and Disposition </w:t>
      </w:r>
    </w:p>
    <w:p w14:paraId="70C164A6" w14:textId="77777777" w:rsidR="0013236E" w:rsidRDefault="0013236E" w:rsidP="0013236E">
      <w:pPr>
        <w:spacing w:line="360" w:lineRule="auto"/>
        <w:ind w:firstLine="720"/>
        <w:contextualSpacing/>
        <w:rPr>
          <w:rFonts w:ascii="Times New Roman" w:eastAsia="Times New Roman" w:hAnsi="Times New Roman" w:cs="Times New Roman"/>
          <w:sz w:val="26"/>
          <w:szCs w:val="26"/>
        </w:rPr>
      </w:pPr>
    </w:p>
    <w:p w14:paraId="2B574AC9" w14:textId="3167F56B" w:rsidR="00225B87" w:rsidRDefault="001F32A3" w:rsidP="0013236E">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33716">
        <w:rPr>
          <w:rFonts w:ascii="Times New Roman" w:eastAsia="Times New Roman" w:hAnsi="Times New Roman" w:cs="Times New Roman"/>
          <w:sz w:val="26"/>
          <w:szCs w:val="26"/>
        </w:rPr>
        <w:t xml:space="preserve">In </w:t>
      </w:r>
      <w:r w:rsidR="00B224DF">
        <w:rPr>
          <w:rFonts w:ascii="Times New Roman" w:eastAsia="Times New Roman" w:hAnsi="Times New Roman" w:cs="Times New Roman"/>
          <w:sz w:val="26"/>
          <w:szCs w:val="26"/>
        </w:rPr>
        <w:t xml:space="preserve">this Exception, Ms. Brace disagrees with </w:t>
      </w:r>
      <w:r w:rsidR="00661C37">
        <w:rPr>
          <w:rFonts w:ascii="Times New Roman" w:eastAsia="Times New Roman" w:hAnsi="Times New Roman" w:cs="Times New Roman"/>
          <w:sz w:val="26"/>
          <w:szCs w:val="26"/>
        </w:rPr>
        <w:t xml:space="preserve">the </w:t>
      </w:r>
      <w:r w:rsidR="00A317A4">
        <w:rPr>
          <w:rFonts w:ascii="Times New Roman" w:eastAsia="Times New Roman" w:hAnsi="Times New Roman" w:cs="Times New Roman"/>
          <w:sz w:val="26"/>
          <w:szCs w:val="26"/>
        </w:rPr>
        <w:t xml:space="preserve">Joint Petitioners’ agreement </w:t>
      </w:r>
      <w:r w:rsidR="004144A9">
        <w:rPr>
          <w:rFonts w:ascii="Times New Roman" w:eastAsia="Times New Roman" w:hAnsi="Times New Roman" w:cs="Times New Roman"/>
          <w:sz w:val="26"/>
          <w:szCs w:val="26"/>
        </w:rPr>
        <w:t xml:space="preserve">that the Company’s battery storage proposal </w:t>
      </w:r>
      <w:r w:rsidR="00E176E6">
        <w:rPr>
          <w:rFonts w:ascii="Times New Roman" w:eastAsia="Times New Roman" w:hAnsi="Times New Roman" w:cs="Times New Roman"/>
          <w:sz w:val="26"/>
          <w:szCs w:val="26"/>
        </w:rPr>
        <w:t xml:space="preserve">be approved, </w:t>
      </w:r>
      <w:r w:rsidR="00BC455B">
        <w:rPr>
          <w:rFonts w:ascii="Times New Roman" w:eastAsia="Times New Roman" w:hAnsi="Times New Roman" w:cs="Times New Roman"/>
          <w:sz w:val="26"/>
          <w:szCs w:val="26"/>
        </w:rPr>
        <w:t xml:space="preserve">specifically because the </w:t>
      </w:r>
      <w:r w:rsidR="008219CC">
        <w:rPr>
          <w:rFonts w:ascii="Times New Roman" w:eastAsia="Times New Roman" w:hAnsi="Times New Roman" w:cs="Times New Roman"/>
          <w:sz w:val="26"/>
          <w:szCs w:val="26"/>
        </w:rPr>
        <w:t>Joint Petitioners</w:t>
      </w:r>
      <w:r w:rsidR="00BC455B">
        <w:rPr>
          <w:rFonts w:ascii="Times New Roman" w:eastAsia="Times New Roman" w:hAnsi="Times New Roman" w:cs="Times New Roman"/>
          <w:sz w:val="26"/>
          <w:szCs w:val="26"/>
        </w:rPr>
        <w:t xml:space="preserve"> have agreed</w:t>
      </w:r>
      <w:r w:rsidR="00E176E6">
        <w:rPr>
          <w:rFonts w:ascii="Times New Roman" w:eastAsia="Times New Roman" w:hAnsi="Times New Roman" w:cs="Times New Roman"/>
          <w:sz w:val="26"/>
          <w:szCs w:val="26"/>
        </w:rPr>
        <w:t xml:space="preserve"> that </w:t>
      </w:r>
      <w:r w:rsidR="00DF0CF4">
        <w:rPr>
          <w:rFonts w:ascii="Times New Roman" w:eastAsia="Times New Roman" w:hAnsi="Times New Roman" w:cs="Times New Roman"/>
          <w:sz w:val="26"/>
          <w:szCs w:val="26"/>
        </w:rPr>
        <w:t xml:space="preserve">UGI Electric will not use the </w:t>
      </w:r>
      <w:r w:rsidR="007F0B8C">
        <w:rPr>
          <w:rFonts w:ascii="Times New Roman" w:eastAsia="Times New Roman" w:hAnsi="Times New Roman" w:cs="Times New Roman"/>
          <w:sz w:val="26"/>
          <w:szCs w:val="26"/>
        </w:rPr>
        <w:t xml:space="preserve">battery storage system to participate in the PJM Frequency </w:t>
      </w:r>
      <w:r w:rsidR="00ED57A7">
        <w:rPr>
          <w:rFonts w:ascii="Times New Roman" w:eastAsia="Times New Roman" w:hAnsi="Times New Roman" w:cs="Times New Roman"/>
          <w:sz w:val="26"/>
          <w:szCs w:val="26"/>
        </w:rPr>
        <w:t>Regulation Market.</w:t>
      </w:r>
      <w:r w:rsidR="00655B85">
        <w:rPr>
          <w:rFonts w:ascii="Times New Roman" w:eastAsia="Times New Roman" w:hAnsi="Times New Roman" w:cs="Times New Roman"/>
          <w:sz w:val="26"/>
          <w:szCs w:val="26"/>
        </w:rPr>
        <w:t xml:space="preserve">  Ms. Brace avers that </w:t>
      </w:r>
      <w:r w:rsidR="00BF38E1">
        <w:rPr>
          <w:rFonts w:ascii="Times New Roman" w:eastAsia="Times New Roman" w:hAnsi="Times New Roman" w:cs="Times New Roman"/>
          <w:sz w:val="26"/>
          <w:szCs w:val="26"/>
        </w:rPr>
        <w:t xml:space="preserve">UGI Electric should use the battery storage system to participate in the PJM Frequency </w:t>
      </w:r>
      <w:r w:rsidR="00E73A52">
        <w:rPr>
          <w:rFonts w:ascii="Times New Roman" w:eastAsia="Times New Roman" w:hAnsi="Times New Roman" w:cs="Times New Roman"/>
          <w:sz w:val="26"/>
          <w:szCs w:val="26"/>
        </w:rPr>
        <w:t>Regulat</w:t>
      </w:r>
      <w:r w:rsidR="00980E20">
        <w:rPr>
          <w:rFonts w:ascii="Times New Roman" w:eastAsia="Times New Roman" w:hAnsi="Times New Roman" w:cs="Times New Roman"/>
          <w:sz w:val="26"/>
          <w:szCs w:val="26"/>
        </w:rPr>
        <w:t>i</w:t>
      </w:r>
      <w:r w:rsidR="00E73A52">
        <w:rPr>
          <w:rFonts w:ascii="Times New Roman" w:eastAsia="Times New Roman" w:hAnsi="Times New Roman" w:cs="Times New Roman"/>
          <w:sz w:val="26"/>
          <w:szCs w:val="26"/>
        </w:rPr>
        <w:t>o</w:t>
      </w:r>
      <w:r w:rsidR="00980E20">
        <w:rPr>
          <w:rFonts w:ascii="Times New Roman" w:eastAsia="Times New Roman" w:hAnsi="Times New Roman" w:cs="Times New Roman"/>
          <w:sz w:val="26"/>
          <w:szCs w:val="26"/>
        </w:rPr>
        <w:t>n</w:t>
      </w:r>
      <w:r w:rsidR="00E73A52">
        <w:rPr>
          <w:rFonts w:ascii="Times New Roman" w:eastAsia="Times New Roman" w:hAnsi="Times New Roman" w:cs="Times New Roman"/>
          <w:sz w:val="26"/>
          <w:szCs w:val="26"/>
        </w:rPr>
        <w:t xml:space="preserve"> Market and</w:t>
      </w:r>
      <w:r w:rsidR="00E36E4B">
        <w:rPr>
          <w:rFonts w:ascii="Times New Roman" w:eastAsia="Times New Roman" w:hAnsi="Times New Roman" w:cs="Times New Roman"/>
          <w:sz w:val="26"/>
          <w:szCs w:val="26"/>
        </w:rPr>
        <w:t xml:space="preserve"> be required to document </w:t>
      </w:r>
      <w:r w:rsidR="00601764">
        <w:rPr>
          <w:rFonts w:ascii="Times New Roman" w:eastAsia="Times New Roman" w:hAnsi="Times New Roman" w:cs="Times New Roman"/>
          <w:sz w:val="26"/>
          <w:szCs w:val="26"/>
        </w:rPr>
        <w:t xml:space="preserve">how much </w:t>
      </w:r>
      <w:r w:rsidR="00816EC5">
        <w:rPr>
          <w:rFonts w:ascii="Times New Roman" w:eastAsia="Times New Roman" w:hAnsi="Times New Roman" w:cs="Times New Roman"/>
          <w:sz w:val="26"/>
          <w:szCs w:val="26"/>
        </w:rPr>
        <w:t xml:space="preserve">of a profit </w:t>
      </w:r>
      <w:r w:rsidR="002719E1">
        <w:rPr>
          <w:rFonts w:ascii="Times New Roman" w:eastAsia="Times New Roman" w:hAnsi="Times New Roman" w:cs="Times New Roman"/>
          <w:sz w:val="26"/>
          <w:szCs w:val="26"/>
        </w:rPr>
        <w:t>the Company</w:t>
      </w:r>
      <w:r w:rsidR="00B65BCB">
        <w:rPr>
          <w:rFonts w:ascii="Times New Roman" w:eastAsia="Times New Roman" w:hAnsi="Times New Roman" w:cs="Times New Roman"/>
          <w:sz w:val="26"/>
          <w:szCs w:val="26"/>
        </w:rPr>
        <w:t xml:space="preserve"> made so that the profit could be used </w:t>
      </w:r>
      <w:r w:rsidR="00B80876">
        <w:rPr>
          <w:rFonts w:ascii="Times New Roman" w:eastAsia="Times New Roman" w:hAnsi="Times New Roman" w:cs="Times New Roman"/>
          <w:sz w:val="26"/>
          <w:szCs w:val="26"/>
        </w:rPr>
        <w:t>to lower the cost of electricity for customers struggling to pay their bills.</w:t>
      </w:r>
      <w:r w:rsidR="00DE46E7">
        <w:rPr>
          <w:rFonts w:ascii="Times New Roman" w:eastAsia="Times New Roman" w:hAnsi="Times New Roman" w:cs="Times New Roman"/>
          <w:sz w:val="26"/>
          <w:szCs w:val="26"/>
        </w:rPr>
        <w:t xml:space="preserve">  Exc. at 9.  </w:t>
      </w:r>
      <w:r w:rsidR="00B80876">
        <w:rPr>
          <w:rFonts w:ascii="Times New Roman" w:eastAsia="Times New Roman" w:hAnsi="Times New Roman" w:cs="Times New Roman"/>
          <w:sz w:val="26"/>
          <w:szCs w:val="26"/>
        </w:rPr>
        <w:t xml:space="preserve">  </w:t>
      </w:r>
    </w:p>
    <w:p w14:paraId="09719F59" w14:textId="77777777" w:rsidR="00225B87" w:rsidRDefault="00225B87" w:rsidP="0013236E">
      <w:pPr>
        <w:spacing w:line="360" w:lineRule="auto"/>
        <w:ind w:firstLine="720"/>
        <w:contextualSpacing/>
        <w:rPr>
          <w:rFonts w:ascii="Times New Roman" w:eastAsia="Times New Roman" w:hAnsi="Times New Roman" w:cs="Times New Roman"/>
          <w:sz w:val="26"/>
          <w:szCs w:val="26"/>
        </w:rPr>
      </w:pPr>
    </w:p>
    <w:p w14:paraId="3DF4B59C" w14:textId="6D7B6C69" w:rsidR="00726EAD" w:rsidRDefault="00225B87" w:rsidP="0013236E">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In its Response, UGI</w:t>
      </w:r>
      <w:r w:rsidR="007446A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Electric </w:t>
      </w:r>
      <w:r w:rsidR="00E90321">
        <w:rPr>
          <w:rFonts w:ascii="Times New Roman" w:eastAsia="Times New Roman" w:hAnsi="Times New Roman" w:cs="Times New Roman"/>
          <w:sz w:val="26"/>
          <w:szCs w:val="26"/>
        </w:rPr>
        <w:t xml:space="preserve">avers that </w:t>
      </w:r>
      <w:r w:rsidR="003A3A4D">
        <w:rPr>
          <w:rFonts w:ascii="Times New Roman" w:eastAsia="Times New Roman" w:hAnsi="Times New Roman" w:cs="Times New Roman"/>
          <w:sz w:val="26"/>
          <w:szCs w:val="26"/>
        </w:rPr>
        <w:t>Ms. Brace’s Exception ignores the substantial benefits</w:t>
      </w:r>
      <w:r w:rsidR="0024491C">
        <w:rPr>
          <w:rFonts w:ascii="Times New Roman" w:eastAsia="Times New Roman" w:hAnsi="Times New Roman" w:cs="Times New Roman"/>
          <w:sz w:val="26"/>
          <w:szCs w:val="26"/>
        </w:rPr>
        <w:t xml:space="preserve"> th</w:t>
      </w:r>
      <w:r w:rsidR="00235115">
        <w:rPr>
          <w:rFonts w:ascii="Times New Roman" w:eastAsia="Times New Roman" w:hAnsi="Times New Roman" w:cs="Times New Roman"/>
          <w:sz w:val="26"/>
          <w:szCs w:val="26"/>
        </w:rPr>
        <w:t xml:space="preserve">at the battery storage proposal, as modified by the Settlement, will provide to the Company’s customers.  </w:t>
      </w:r>
      <w:r w:rsidR="00CA1076">
        <w:rPr>
          <w:rFonts w:ascii="Times New Roman" w:eastAsia="Times New Roman" w:hAnsi="Times New Roman" w:cs="Times New Roman"/>
          <w:sz w:val="26"/>
          <w:szCs w:val="26"/>
        </w:rPr>
        <w:t>UGI</w:t>
      </w:r>
      <w:r w:rsidR="007446AC">
        <w:rPr>
          <w:rFonts w:ascii="Times New Roman" w:eastAsia="Times New Roman" w:hAnsi="Times New Roman" w:cs="Times New Roman"/>
          <w:sz w:val="26"/>
          <w:szCs w:val="26"/>
        </w:rPr>
        <w:t xml:space="preserve"> </w:t>
      </w:r>
      <w:r w:rsidR="00CA1076">
        <w:rPr>
          <w:rFonts w:ascii="Times New Roman" w:eastAsia="Times New Roman" w:hAnsi="Times New Roman" w:cs="Times New Roman"/>
          <w:sz w:val="26"/>
          <w:szCs w:val="26"/>
        </w:rPr>
        <w:t xml:space="preserve">Electric avers that the Settlement </w:t>
      </w:r>
      <w:r w:rsidR="00C95A5D">
        <w:rPr>
          <w:rFonts w:ascii="Times New Roman" w:eastAsia="Times New Roman" w:hAnsi="Times New Roman" w:cs="Times New Roman"/>
          <w:sz w:val="26"/>
          <w:szCs w:val="26"/>
        </w:rPr>
        <w:t>enables the Company to address the unique reliability</w:t>
      </w:r>
      <w:r w:rsidR="00AB4FC1">
        <w:rPr>
          <w:rFonts w:ascii="Times New Roman" w:eastAsia="Times New Roman" w:hAnsi="Times New Roman" w:cs="Times New Roman"/>
          <w:sz w:val="26"/>
          <w:szCs w:val="26"/>
        </w:rPr>
        <w:t xml:space="preserve"> and resiliency issues experienced on the impacted circuit through the insta</w:t>
      </w:r>
      <w:r w:rsidR="00B60389">
        <w:rPr>
          <w:rFonts w:ascii="Times New Roman" w:eastAsia="Times New Roman" w:hAnsi="Times New Roman" w:cs="Times New Roman"/>
          <w:sz w:val="26"/>
          <w:szCs w:val="26"/>
        </w:rPr>
        <w:t>llat</w:t>
      </w:r>
      <w:r w:rsidR="00AB4FC1">
        <w:rPr>
          <w:rFonts w:ascii="Times New Roman" w:eastAsia="Times New Roman" w:hAnsi="Times New Roman" w:cs="Times New Roman"/>
          <w:sz w:val="26"/>
          <w:szCs w:val="26"/>
        </w:rPr>
        <w:t xml:space="preserve">ion and </w:t>
      </w:r>
      <w:r w:rsidR="00B60389">
        <w:rPr>
          <w:rFonts w:ascii="Times New Roman" w:eastAsia="Times New Roman" w:hAnsi="Times New Roman" w:cs="Times New Roman"/>
          <w:sz w:val="26"/>
          <w:szCs w:val="26"/>
        </w:rPr>
        <w:t>rate base recovery</w:t>
      </w:r>
      <w:r w:rsidR="00A00D33">
        <w:rPr>
          <w:rFonts w:ascii="Times New Roman" w:eastAsia="Times New Roman" w:hAnsi="Times New Roman" w:cs="Times New Roman"/>
          <w:sz w:val="26"/>
          <w:szCs w:val="26"/>
        </w:rPr>
        <w:t xml:space="preserve"> of the battery storage system at the lowest cost to customers</w:t>
      </w:r>
      <w:r w:rsidR="009E4C7C">
        <w:rPr>
          <w:rFonts w:ascii="Times New Roman" w:eastAsia="Times New Roman" w:hAnsi="Times New Roman" w:cs="Times New Roman"/>
          <w:sz w:val="26"/>
          <w:szCs w:val="26"/>
        </w:rPr>
        <w:t>,</w:t>
      </w:r>
      <w:r w:rsidR="00A00D33">
        <w:rPr>
          <w:rFonts w:ascii="Times New Roman" w:eastAsia="Times New Roman" w:hAnsi="Times New Roman" w:cs="Times New Roman"/>
          <w:sz w:val="26"/>
          <w:szCs w:val="26"/>
        </w:rPr>
        <w:t xml:space="preserve"> while avoiding the issues </w:t>
      </w:r>
      <w:r w:rsidR="0030464D">
        <w:rPr>
          <w:rFonts w:ascii="Times New Roman" w:eastAsia="Times New Roman" w:hAnsi="Times New Roman" w:cs="Times New Roman"/>
          <w:sz w:val="26"/>
          <w:szCs w:val="26"/>
        </w:rPr>
        <w:t xml:space="preserve">the other Parties raised </w:t>
      </w:r>
      <w:r w:rsidR="00143D98">
        <w:rPr>
          <w:rFonts w:ascii="Times New Roman" w:eastAsia="Times New Roman" w:hAnsi="Times New Roman" w:cs="Times New Roman"/>
          <w:sz w:val="26"/>
          <w:szCs w:val="26"/>
        </w:rPr>
        <w:t>regarding participation in the PJM Frequency Regulation Market.  UGI Electric Response at 3.</w:t>
      </w:r>
      <w:r w:rsidR="00B60389">
        <w:rPr>
          <w:rFonts w:ascii="Times New Roman" w:eastAsia="Times New Roman" w:hAnsi="Times New Roman" w:cs="Times New Roman"/>
          <w:sz w:val="26"/>
          <w:szCs w:val="26"/>
        </w:rPr>
        <w:t xml:space="preserve"> </w:t>
      </w:r>
      <w:r w:rsidR="00601764">
        <w:rPr>
          <w:rFonts w:ascii="Times New Roman" w:eastAsia="Times New Roman" w:hAnsi="Times New Roman" w:cs="Times New Roman"/>
          <w:sz w:val="26"/>
          <w:szCs w:val="26"/>
        </w:rPr>
        <w:t xml:space="preserve"> </w:t>
      </w:r>
    </w:p>
    <w:p w14:paraId="6C30C94A" w14:textId="77777777" w:rsidR="00857DFD" w:rsidRDefault="00857DFD" w:rsidP="0013236E">
      <w:pPr>
        <w:spacing w:line="360" w:lineRule="auto"/>
        <w:ind w:firstLine="720"/>
        <w:contextualSpacing/>
        <w:rPr>
          <w:rFonts w:ascii="Times New Roman" w:eastAsia="Times New Roman" w:hAnsi="Times New Roman" w:cs="Times New Roman"/>
          <w:sz w:val="26"/>
          <w:szCs w:val="26"/>
        </w:rPr>
      </w:pPr>
    </w:p>
    <w:p w14:paraId="617D5725" w14:textId="170D472D" w:rsidR="0087520B" w:rsidRDefault="00726EAD" w:rsidP="00A01754">
      <w:pPr>
        <w:spacing w:after="0" w:line="360" w:lineRule="auto"/>
        <w:ind w:firstLine="720"/>
        <w:rPr>
          <w:rFonts w:ascii="Times New Roman" w:hAnsi="Times New Roman" w:cs="Times New Roman"/>
          <w:sz w:val="26"/>
          <w:szCs w:val="26"/>
        </w:rPr>
      </w:pPr>
      <w:r>
        <w:rPr>
          <w:rFonts w:ascii="Times New Roman" w:eastAsia="Times New Roman" w:hAnsi="Times New Roman" w:cs="Times New Roman"/>
          <w:sz w:val="26"/>
          <w:szCs w:val="26"/>
        </w:rPr>
        <w:lastRenderedPageBreak/>
        <w:tab/>
      </w:r>
      <w:r w:rsidR="00A074DE" w:rsidRPr="004A04F1">
        <w:rPr>
          <w:rFonts w:ascii="Times New Roman" w:eastAsia="Times New Roman" w:hAnsi="Times New Roman" w:cs="Times New Roman"/>
          <w:sz w:val="26"/>
          <w:szCs w:val="26"/>
        </w:rPr>
        <w:t xml:space="preserve">Under the circumstances, we find that </w:t>
      </w:r>
      <w:r w:rsidR="00463048" w:rsidRPr="004A04F1">
        <w:rPr>
          <w:rFonts w:ascii="Times New Roman" w:eastAsia="Times New Roman" w:hAnsi="Times New Roman" w:cs="Times New Roman"/>
          <w:sz w:val="26"/>
          <w:szCs w:val="26"/>
        </w:rPr>
        <w:t xml:space="preserve">the Settlement provisions </w:t>
      </w:r>
      <w:r w:rsidR="00E10BE0" w:rsidRPr="004A04F1">
        <w:rPr>
          <w:rFonts w:ascii="Times New Roman" w:eastAsia="Times New Roman" w:hAnsi="Times New Roman" w:cs="Times New Roman"/>
          <w:sz w:val="26"/>
          <w:szCs w:val="26"/>
        </w:rPr>
        <w:t>concerning UGI Electric’s battery storage proposal are in the public interest.</w:t>
      </w:r>
      <w:r w:rsidR="00EB5FC3">
        <w:rPr>
          <w:rStyle w:val="FootnoteReference"/>
          <w:rFonts w:ascii="Times New Roman" w:eastAsia="Times New Roman" w:hAnsi="Times New Roman" w:cs="Times New Roman"/>
          <w:sz w:val="26"/>
          <w:szCs w:val="26"/>
        </w:rPr>
        <w:footnoteReference w:id="4"/>
      </w:r>
      <w:r w:rsidR="00FB59FF">
        <w:rPr>
          <w:rFonts w:ascii="Times New Roman" w:eastAsia="Times New Roman" w:hAnsi="Times New Roman" w:cs="Times New Roman"/>
          <w:sz w:val="26"/>
          <w:szCs w:val="26"/>
        </w:rPr>
        <w:t xml:space="preserve">  </w:t>
      </w:r>
      <w:r w:rsidR="003D0C3F">
        <w:rPr>
          <w:rFonts w:ascii="Times New Roman" w:eastAsia="Times New Roman" w:hAnsi="Times New Roman" w:cs="Times New Roman"/>
          <w:sz w:val="26"/>
          <w:szCs w:val="26"/>
        </w:rPr>
        <w:t xml:space="preserve">The Settlement provisions </w:t>
      </w:r>
      <w:r w:rsidR="00564CC0">
        <w:rPr>
          <w:rFonts w:ascii="Times New Roman" w:eastAsia="Times New Roman" w:hAnsi="Times New Roman" w:cs="Times New Roman"/>
          <w:sz w:val="26"/>
          <w:szCs w:val="26"/>
        </w:rPr>
        <w:t xml:space="preserve">are narrowly tailored </w:t>
      </w:r>
      <w:r w:rsidR="006513CF">
        <w:rPr>
          <w:rFonts w:ascii="Times New Roman" w:eastAsia="Times New Roman" w:hAnsi="Times New Roman" w:cs="Times New Roman"/>
          <w:sz w:val="26"/>
          <w:szCs w:val="26"/>
        </w:rPr>
        <w:t>“</w:t>
      </w:r>
      <w:r w:rsidR="00431C8D">
        <w:rPr>
          <w:rFonts w:ascii="Times New Roman" w:eastAsia="Times New Roman" w:hAnsi="Times New Roman" w:cs="Times New Roman"/>
          <w:sz w:val="26"/>
          <w:szCs w:val="26"/>
        </w:rPr>
        <w:t xml:space="preserve">based on the small size of the battery, the unique </w:t>
      </w:r>
      <w:r w:rsidR="00E73DCF">
        <w:rPr>
          <w:rFonts w:ascii="Times New Roman" w:eastAsia="Times New Roman" w:hAnsi="Times New Roman" w:cs="Times New Roman"/>
          <w:sz w:val="26"/>
          <w:szCs w:val="26"/>
        </w:rPr>
        <w:t>circumstances of the Ruckle Hill Road distribution circuit</w:t>
      </w:r>
      <w:r w:rsidR="000B1A1C">
        <w:rPr>
          <w:rFonts w:ascii="Times New Roman" w:eastAsia="Times New Roman" w:hAnsi="Times New Roman" w:cs="Times New Roman"/>
          <w:sz w:val="26"/>
          <w:szCs w:val="26"/>
        </w:rPr>
        <w:t xml:space="preserve">, including its voltage, its status as a worst performing circuit, the surrounding </w:t>
      </w:r>
      <w:r w:rsidR="005A694C">
        <w:rPr>
          <w:rFonts w:ascii="Times New Roman" w:eastAsia="Times New Roman" w:hAnsi="Times New Roman" w:cs="Times New Roman"/>
          <w:sz w:val="26"/>
          <w:szCs w:val="26"/>
        </w:rPr>
        <w:t xml:space="preserve">terrain, the nearby vegetation, and the load served by </w:t>
      </w:r>
      <w:r w:rsidR="00564CC0">
        <w:rPr>
          <w:rFonts w:ascii="Times New Roman" w:eastAsia="Times New Roman" w:hAnsi="Times New Roman" w:cs="Times New Roman"/>
          <w:sz w:val="26"/>
          <w:szCs w:val="26"/>
        </w:rPr>
        <w:t>this circuit.”</w:t>
      </w:r>
      <w:r w:rsidR="00431C8D">
        <w:rPr>
          <w:rFonts w:ascii="Times New Roman" w:eastAsia="Times New Roman" w:hAnsi="Times New Roman" w:cs="Times New Roman"/>
          <w:sz w:val="26"/>
          <w:szCs w:val="26"/>
        </w:rPr>
        <w:t xml:space="preserve"> </w:t>
      </w:r>
      <w:r w:rsidR="003D0C3F">
        <w:rPr>
          <w:rFonts w:ascii="Times New Roman" w:eastAsia="Times New Roman" w:hAnsi="Times New Roman" w:cs="Times New Roman"/>
          <w:sz w:val="26"/>
          <w:szCs w:val="26"/>
        </w:rPr>
        <w:t xml:space="preserve"> </w:t>
      </w:r>
      <w:r w:rsidR="009E4C7C">
        <w:rPr>
          <w:rFonts w:ascii="Times New Roman" w:eastAsia="Times New Roman" w:hAnsi="Times New Roman" w:cs="Times New Roman"/>
          <w:i/>
          <w:iCs/>
          <w:sz w:val="26"/>
          <w:szCs w:val="26"/>
        </w:rPr>
        <w:t xml:space="preserve">See </w:t>
      </w:r>
      <w:r w:rsidR="006513CF">
        <w:rPr>
          <w:rFonts w:ascii="Times New Roman" w:eastAsia="Times New Roman" w:hAnsi="Times New Roman" w:cs="Times New Roman"/>
          <w:sz w:val="26"/>
          <w:szCs w:val="26"/>
        </w:rPr>
        <w:t xml:space="preserve">Joint Petition at 9.  </w:t>
      </w:r>
      <w:r w:rsidR="00B32632">
        <w:rPr>
          <w:rFonts w:ascii="Times New Roman" w:eastAsia="Times New Roman" w:hAnsi="Times New Roman" w:cs="Times New Roman"/>
          <w:sz w:val="26"/>
          <w:szCs w:val="26"/>
        </w:rPr>
        <w:t xml:space="preserve">The Settlement will benefit the </w:t>
      </w:r>
      <w:r w:rsidR="00A432CF">
        <w:rPr>
          <w:rFonts w:ascii="Times New Roman" w:eastAsia="Times New Roman" w:hAnsi="Times New Roman" w:cs="Times New Roman"/>
          <w:sz w:val="26"/>
          <w:szCs w:val="26"/>
        </w:rPr>
        <w:t xml:space="preserve">customers served by the </w:t>
      </w:r>
      <w:r w:rsidR="00951EC3">
        <w:rPr>
          <w:rFonts w:ascii="Times New Roman" w:eastAsia="Times New Roman" w:hAnsi="Times New Roman" w:cs="Times New Roman"/>
          <w:sz w:val="26"/>
          <w:szCs w:val="26"/>
        </w:rPr>
        <w:t xml:space="preserve">Ruckle Hill Road distribution circuit, </w:t>
      </w:r>
      <w:r w:rsidR="000D5FA7">
        <w:rPr>
          <w:rFonts w:ascii="Times New Roman" w:eastAsia="Times New Roman" w:hAnsi="Times New Roman" w:cs="Times New Roman"/>
          <w:sz w:val="26"/>
          <w:szCs w:val="26"/>
        </w:rPr>
        <w:t>because</w:t>
      </w:r>
      <w:r w:rsidR="00951EC3">
        <w:rPr>
          <w:rFonts w:ascii="Times New Roman" w:eastAsia="Times New Roman" w:hAnsi="Times New Roman" w:cs="Times New Roman"/>
          <w:sz w:val="26"/>
          <w:szCs w:val="26"/>
        </w:rPr>
        <w:t xml:space="preserve"> the</w:t>
      </w:r>
      <w:r w:rsidR="00951EC3" w:rsidRPr="00B10326">
        <w:rPr>
          <w:rFonts w:ascii="Times New Roman" w:hAnsi="Times New Roman" w:cs="Times New Roman"/>
          <w:bCs/>
          <w:sz w:val="26"/>
          <w:szCs w:val="26"/>
        </w:rPr>
        <w:t xml:space="preserve"> backup battery storage project </w:t>
      </w:r>
      <w:r w:rsidR="00951EC3">
        <w:rPr>
          <w:rFonts w:ascii="Times New Roman" w:hAnsi="Times New Roman" w:cs="Times New Roman"/>
          <w:bCs/>
          <w:sz w:val="26"/>
          <w:szCs w:val="26"/>
        </w:rPr>
        <w:t>will</w:t>
      </w:r>
      <w:r w:rsidR="00951EC3" w:rsidRPr="00B10326">
        <w:rPr>
          <w:rFonts w:ascii="Times New Roman" w:hAnsi="Times New Roman" w:cs="Times New Roman"/>
          <w:bCs/>
          <w:sz w:val="26"/>
          <w:szCs w:val="26"/>
        </w:rPr>
        <w:t xml:space="preserve"> maintain </w:t>
      </w:r>
      <w:r w:rsidR="00951EC3">
        <w:rPr>
          <w:rFonts w:ascii="Times New Roman" w:hAnsi="Times New Roman" w:cs="Times New Roman"/>
          <w:bCs/>
          <w:sz w:val="26"/>
          <w:szCs w:val="26"/>
        </w:rPr>
        <w:t xml:space="preserve">their </w:t>
      </w:r>
      <w:r w:rsidR="00951EC3" w:rsidRPr="00B10326">
        <w:rPr>
          <w:rFonts w:ascii="Times New Roman" w:hAnsi="Times New Roman" w:cs="Times New Roman"/>
          <w:bCs/>
          <w:sz w:val="26"/>
          <w:szCs w:val="26"/>
        </w:rPr>
        <w:t>service during outages</w:t>
      </w:r>
      <w:r w:rsidR="00951EC3">
        <w:rPr>
          <w:rFonts w:ascii="Times New Roman" w:hAnsi="Times New Roman" w:cs="Times New Roman"/>
          <w:bCs/>
          <w:sz w:val="26"/>
          <w:szCs w:val="26"/>
        </w:rPr>
        <w:t xml:space="preserve">.  </w:t>
      </w:r>
      <w:r w:rsidR="00FE596D">
        <w:rPr>
          <w:rFonts w:ascii="Times New Roman" w:hAnsi="Times New Roman" w:cs="Times New Roman"/>
          <w:bCs/>
          <w:sz w:val="26"/>
          <w:szCs w:val="26"/>
        </w:rPr>
        <w:t>Additionally, t</w:t>
      </w:r>
      <w:r w:rsidR="00FB59FF">
        <w:rPr>
          <w:rFonts w:ascii="Times New Roman" w:eastAsia="Times New Roman" w:hAnsi="Times New Roman" w:cs="Times New Roman"/>
          <w:sz w:val="26"/>
          <w:szCs w:val="26"/>
        </w:rPr>
        <w:t xml:space="preserve">he </w:t>
      </w:r>
      <w:r w:rsidR="008861F7">
        <w:rPr>
          <w:rFonts w:ascii="Times New Roman" w:eastAsia="Times New Roman" w:hAnsi="Times New Roman" w:cs="Times New Roman"/>
          <w:sz w:val="26"/>
          <w:szCs w:val="26"/>
        </w:rPr>
        <w:t>Joint Petitioners</w:t>
      </w:r>
      <w:r w:rsidR="00FB59FF">
        <w:rPr>
          <w:rFonts w:ascii="Times New Roman" w:eastAsia="Times New Roman" w:hAnsi="Times New Roman" w:cs="Times New Roman"/>
          <w:sz w:val="26"/>
          <w:szCs w:val="26"/>
        </w:rPr>
        <w:t xml:space="preserve">’ agreement that UGI Electric will not use </w:t>
      </w:r>
      <w:r w:rsidR="00177219">
        <w:rPr>
          <w:rFonts w:ascii="Times New Roman" w:eastAsia="Times New Roman" w:hAnsi="Times New Roman" w:cs="Times New Roman"/>
          <w:sz w:val="26"/>
          <w:szCs w:val="26"/>
        </w:rPr>
        <w:t xml:space="preserve">the battery storage project to </w:t>
      </w:r>
      <w:r w:rsidR="00694E43">
        <w:rPr>
          <w:rFonts w:ascii="Times New Roman" w:eastAsia="Times New Roman" w:hAnsi="Times New Roman" w:cs="Times New Roman"/>
          <w:sz w:val="26"/>
          <w:szCs w:val="26"/>
        </w:rPr>
        <w:t xml:space="preserve">participate in </w:t>
      </w:r>
      <w:r w:rsidR="00694E43" w:rsidRPr="00B10326">
        <w:rPr>
          <w:rFonts w:ascii="Times New Roman" w:hAnsi="Times New Roman" w:cs="Times New Roman"/>
          <w:bCs/>
          <w:sz w:val="26"/>
          <w:szCs w:val="26"/>
        </w:rPr>
        <w:t>the PJM Frequency Regulation Market resolve</w:t>
      </w:r>
      <w:r w:rsidR="00694E43">
        <w:rPr>
          <w:rFonts w:ascii="Times New Roman" w:hAnsi="Times New Roman" w:cs="Times New Roman"/>
          <w:bCs/>
          <w:sz w:val="26"/>
          <w:szCs w:val="26"/>
        </w:rPr>
        <w:t>d some of the Parties’ concerns that</w:t>
      </w:r>
      <w:r w:rsidR="00FB59FF">
        <w:rPr>
          <w:rFonts w:ascii="Times New Roman" w:eastAsia="Times New Roman" w:hAnsi="Times New Roman" w:cs="Times New Roman"/>
          <w:sz w:val="26"/>
          <w:szCs w:val="26"/>
        </w:rPr>
        <w:t xml:space="preserve"> </w:t>
      </w:r>
      <w:r w:rsidR="00177219" w:rsidRPr="00822608">
        <w:rPr>
          <w:rFonts w:ascii="Times New Roman" w:hAnsi="Times New Roman" w:cs="Times New Roman"/>
          <w:sz w:val="26"/>
          <w:szCs w:val="26"/>
        </w:rPr>
        <w:t>the battery may perform a generation function</w:t>
      </w:r>
      <w:r w:rsidR="001D50CD">
        <w:rPr>
          <w:rFonts w:ascii="Times New Roman" w:hAnsi="Times New Roman" w:cs="Times New Roman"/>
          <w:sz w:val="26"/>
          <w:szCs w:val="26"/>
        </w:rPr>
        <w:t xml:space="preserve"> and, thus, the project should not be included in distribution rates.</w:t>
      </w:r>
      <w:r w:rsidR="00FE596D">
        <w:rPr>
          <w:rFonts w:ascii="Times New Roman" w:hAnsi="Times New Roman" w:cs="Times New Roman"/>
          <w:sz w:val="26"/>
          <w:szCs w:val="26"/>
        </w:rPr>
        <w:t xml:space="preserve">  Further</w:t>
      </w:r>
      <w:r w:rsidR="00FE1B98">
        <w:rPr>
          <w:rFonts w:ascii="Times New Roman" w:hAnsi="Times New Roman" w:cs="Times New Roman"/>
          <w:sz w:val="26"/>
          <w:szCs w:val="26"/>
        </w:rPr>
        <w:t>,</w:t>
      </w:r>
      <w:r w:rsidR="00FE596D">
        <w:rPr>
          <w:rFonts w:ascii="Times New Roman" w:hAnsi="Times New Roman" w:cs="Times New Roman"/>
          <w:sz w:val="26"/>
          <w:szCs w:val="26"/>
        </w:rPr>
        <w:t xml:space="preserve"> </w:t>
      </w:r>
      <w:r w:rsidR="00B276B8">
        <w:rPr>
          <w:rFonts w:ascii="Times New Roman" w:hAnsi="Times New Roman" w:cs="Times New Roman"/>
          <w:sz w:val="26"/>
          <w:szCs w:val="26"/>
        </w:rPr>
        <w:t xml:space="preserve">through </w:t>
      </w:r>
      <w:r w:rsidR="00FE596D">
        <w:rPr>
          <w:rFonts w:ascii="Times New Roman" w:hAnsi="Times New Roman" w:cs="Times New Roman"/>
          <w:sz w:val="26"/>
          <w:szCs w:val="26"/>
        </w:rPr>
        <w:t>the battery storage pro</w:t>
      </w:r>
      <w:r w:rsidR="00B276B8">
        <w:rPr>
          <w:rFonts w:ascii="Times New Roman" w:hAnsi="Times New Roman" w:cs="Times New Roman"/>
          <w:sz w:val="26"/>
          <w:szCs w:val="26"/>
        </w:rPr>
        <w:t>gram, UGI Electric</w:t>
      </w:r>
      <w:r w:rsidR="00FE596D">
        <w:rPr>
          <w:rFonts w:ascii="Times New Roman" w:hAnsi="Times New Roman" w:cs="Times New Roman"/>
          <w:sz w:val="26"/>
          <w:szCs w:val="26"/>
        </w:rPr>
        <w:t xml:space="preserve"> </w:t>
      </w:r>
      <w:r w:rsidR="00852210">
        <w:rPr>
          <w:rFonts w:ascii="Times New Roman" w:hAnsi="Times New Roman" w:cs="Times New Roman"/>
          <w:sz w:val="26"/>
          <w:szCs w:val="26"/>
        </w:rPr>
        <w:t xml:space="preserve">will provide </w:t>
      </w:r>
      <w:r w:rsidR="00A158FF">
        <w:rPr>
          <w:rFonts w:ascii="Times New Roman" w:hAnsi="Times New Roman" w:cs="Times New Roman"/>
          <w:sz w:val="26"/>
          <w:szCs w:val="26"/>
        </w:rPr>
        <w:t xml:space="preserve">this Commission with information </w:t>
      </w:r>
      <w:r w:rsidR="006A5A1D">
        <w:rPr>
          <w:rFonts w:ascii="Times New Roman" w:hAnsi="Times New Roman" w:cs="Times New Roman"/>
          <w:sz w:val="26"/>
          <w:szCs w:val="26"/>
        </w:rPr>
        <w:t xml:space="preserve">regarding </w:t>
      </w:r>
      <w:r w:rsidR="006A5A1D" w:rsidRPr="006A5A1D">
        <w:rPr>
          <w:rFonts w:ascii="Times New Roman" w:hAnsi="Times New Roman" w:cs="Times New Roman"/>
          <w:sz w:val="26"/>
          <w:szCs w:val="26"/>
        </w:rPr>
        <w:t>the duration, extent, cause, and times for each outage, the duration and times the battery storage system was used to maintain service during the outage and loads on the facilities served by the battery storage system just prior to and during the outage</w:t>
      </w:r>
      <w:r w:rsidR="006A5A1D">
        <w:rPr>
          <w:rFonts w:ascii="Times New Roman" w:hAnsi="Times New Roman" w:cs="Times New Roman"/>
          <w:sz w:val="26"/>
          <w:szCs w:val="26"/>
        </w:rPr>
        <w:t xml:space="preserve">.  Joint Petition at 9-10.  As such, </w:t>
      </w:r>
      <w:r w:rsidR="00433042">
        <w:rPr>
          <w:rFonts w:ascii="Times New Roman" w:hAnsi="Times New Roman" w:cs="Times New Roman"/>
          <w:sz w:val="26"/>
          <w:szCs w:val="26"/>
        </w:rPr>
        <w:t xml:space="preserve">the program will provide the Parties and this Commission with information </w:t>
      </w:r>
      <w:r w:rsidR="004A097B">
        <w:rPr>
          <w:rFonts w:ascii="Times New Roman" w:hAnsi="Times New Roman" w:cs="Times New Roman"/>
          <w:sz w:val="26"/>
          <w:szCs w:val="26"/>
        </w:rPr>
        <w:t xml:space="preserve">and the </w:t>
      </w:r>
      <w:r w:rsidR="00A6026C">
        <w:rPr>
          <w:rFonts w:ascii="Times New Roman" w:hAnsi="Times New Roman" w:cs="Times New Roman"/>
          <w:sz w:val="26"/>
          <w:szCs w:val="26"/>
        </w:rPr>
        <w:t>o</w:t>
      </w:r>
      <w:r w:rsidR="00B4532B" w:rsidRPr="00B46739">
        <w:rPr>
          <w:rFonts w:ascii="Times New Roman" w:hAnsi="Times New Roman" w:cs="Times New Roman"/>
          <w:sz w:val="26"/>
          <w:szCs w:val="26"/>
        </w:rPr>
        <w:t>p</w:t>
      </w:r>
      <w:r w:rsidR="00A6026C">
        <w:rPr>
          <w:rFonts w:ascii="Times New Roman" w:hAnsi="Times New Roman" w:cs="Times New Roman"/>
          <w:sz w:val="26"/>
          <w:szCs w:val="26"/>
        </w:rPr>
        <w:t>p</w:t>
      </w:r>
      <w:r w:rsidR="00B4532B" w:rsidRPr="00B46739">
        <w:rPr>
          <w:rFonts w:ascii="Times New Roman" w:hAnsi="Times New Roman" w:cs="Times New Roman"/>
          <w:sz w:val="26"/>
          <w:szCs w:val="26"/>
        </w:rPr>
        <w:t xml:space="preserve">ortunity to learn </w:t>
      </w:r>
      <w:r w:rsidR="00A6026C">
        <w:rPr>
          <w:rFonts w:ascii="Times New Roman" w:hAnsi="Times New Roman" w:cs="Times New Roman"/>
          <w:sz w:val="26"/>
          <w:szCs w:val="26"/>
        </w:rPr>
        <w:t>about</w:t>
      </w:r>
      <w:r w:rsidR="00B4532B" w:rsidRPr="00B46739">
        <w:rPr>
          <w:rFonts w:ascii="Times New Roman" w:hAnsi="Times New Roman" w:cs="Times New Roman"/>
          <w:sz w:val="26"/>
          <w:szCs w:val="26"/>
        </w:rPr>
        <w:t xml:space="preserve"> </w:t>
      </w:r>
      <w:r w:rsidR="000C6A14">
        <w:rPr>
          <w:rFonts w:ascii="Times New Roman" w:hAnsi="Times New Roman" w:cs="Times New Roman"/>
          <w:sz w:val="26"/>
          <w:szCs w:val="26"/>
        </w:rPr>
        <w:t xml:space="preserve">how </w:t>
      </w:r>
      <w:r w:rsidR="00B4532B" w:rsidRPr="00B46739">
        <w:rPr>
          <w:rFonts w:ascii="Times New Roman" w:hAnsi="Times New Roman" w:cs="Times New Roman"/>
          <w:sz w:val="26"/>
          <w:szCs w:val="26"/>
        </w:rPr>
        <w:t>the Company operates the battery</w:t>
      </w:r>
      <w:r w:rsidR="00B55F39">
        <w:rPr>
          <w:rFonts w:ascii="Times New Roman" w:hAnsi="Times New Roman" w:cs="Times New Roman"/>
          <w:sz w:val="26"/>
          <w:szCs w:val="26"/>
        </w:rPr>
        <w:t xml:space="preserve"> and</w:t>
      </w:r>
      <w:r w:rsidR="00B4532B" w:rsidRPr="00B46739">
        <w:rPr>
          <w:rFonts w:ascii="Times New Roman" w:hAnsi="Times New Roman" w:cs="Times New Roman"/>
          <w:sz w:val="26"/>
          <w:szCs w:val="26"/>
        </w:rPr>
        <w:t xml:space="preserve"> the benefits </w:t>
      </w:r>
      <w:r w:rsidR="00A6026C">
        <w:rPr>
          <w:rFonts w:ascii="Times New Roman" w:hAnsi="Times New Roman" w:cs="Times New Roman"/>
          <w:sz w:val="26"/>
          <w:szCs w:val="26"/>
        </w:rPr>
        <w:t>the battery</w:t>
      </w:r>
      <w:r w:rsidR="00B4532B" w:rsidRPr="00B46739">
        <w:rPr>
          <w:rFonts w:ascii="Times New Roman" w:hAnsi="Times New Roman" w:cs="Times New Roman"/>
          <w:sz w:val="26"/>
          <w:szCs w:val="26"/>
        </w:rPr>
        <w:t xml:space="preserve"> provides</w:t>
      </w:r>
      <w:r w:rsidR="00B55F39">
        <w:rPr>
          <w:rFonts w:ascii="Times New Roman" w:hAnsi="Times New Roman" w:cs="Times New Roman"/>
          <w:sz w:val="26"/>
          <w:szCs w:val="26"/>
        </w:rPr>
        <w:t xml:space="preserve">, which may also aid in the development of </w:t>
      </w:r>
      <w:r w:rsidR="00503944">
        <w:rPr>
          <w:rFonts w:ascii="Times New Roman" w:hAnsi="Times New Roman" w:cs="Times New Roman"/>
          <w:sz w:val="26"/>
          <w:szCs w:val="26"/>
        </w:rPr>
        <w:t xml:space="preserve">future </w:t>
      </w:r>
      <w:r w:rsidR="00764C98">
        <w:rPr>
          <w:rFonts w:ascii="Times New Roman" w:hAnsi="Times New Roman" w:cs="Times New Roman"/>
          <w:sz w:val="26"/>
          <w:szCs w:val="26"/>
        </w:rPr>
        <w:t xml:space="preserve">battery storage projects and </w:t>
      </w:r>
      <w:r w:rsidR="00B55F39">
        <w:rPr>
          <w:rFonts w:ascii="Times New Roman" w:hAnsi="Times New Roman" w:cs="Times New Roman"/>
          <w:sz w:val="26"/>
          <w:szCs w:val="26"/>
        </w:rPr>
        <w:t xml:space="preserve">future regulatory policies </w:t>
      </w:r>
      <w:r w:rsidR="00A01754">
        <w:rPr>
          <w:rFonts w:ascii="Times New Roman" w:hAnsi="Times New Roman" w:cs="Times New Roman"/>
          <w:sz w:val="26"/>
          <w:szCs w:val="26"/>
        </w:rPr>
        <w:t>concerning energy storage</w:t>
      </w:r>
      <w:r w:rsidR="00B4532B">
        <w:rPr>
          <w:rFonts w:ascii="Times New Roman" w:hAnsi="Times New Roman" w:cs="Times New Roman"/>
          <w:sz w:val="26"/>
          <w:szCs w:val="26"/>
        </w:rPr>
        <w:t xml:space="preserve">.  </w:t>
      </w:r>
    </w:p>
    <w:p w14:paraId="67AB37CB" w14:textId="7908732B" w:rsidR="0093158A" w:rsidRDefault="0093158A" w:rsidP="00A01754">
      <w:pPr>
        <w:spacing w:after="0" w:line="360" w:lineRule="auto"/>
        <w:ind w:firstLine="720"/>
        <w:rPr>
          <w:rFonts w:ascii="Times New Roman" w:eastAsia="Times New Roman" w:hAnsi="Times New Roman" w:cs="Times New Roman"/>
          <w:sz w:val="26"/>
          <w:szCs w:val="26"/>
        </w:rPr>
      </w:pPr>
      <w:r>
        <w:rPr>
          <w:rFonts w:ascii="Times New Roman" w:hAnsi="Times New Roman" w:cs="Times New Roman"/>
          <w:sz w:val="26"/>
          <w:szCs w:val="26"/>
        </w:rPr>
        <w:lastRenderedPageBreak/>
        <w:tab/>
        <w:t xml:space="preserve">While we understand that Ms. Brace is also concerned </w:t>
      </w:r>
      <w:r w:rsidR="00713529">
        <w:rPr>
          <w:rFonts w:ascii="Times New Roman" w:hAnsi="Times New Roman" w:cs="Times New Roman"/>
          <w:sz w:val="26"/>
          <w:szCs w:val="26"/>
        </w:rPr>
        <w:t xml:space="preserve">about </w:t>
      </w:r>
      <w:r w:rsidR="007C27C6">
        <w:rPr>
          <w:rFonts w:ascii="Times New Roman" w:hAnsi="Times New Roman" w:cs="Times New Roman"/>
          <w:sz w:val="26"/>
          <w:szCs w:val="26"/>
        </w:rPr>
        <w:t xml:space="preserve">providing customers with assistance in </w:t>
      </w:r>
      <w:r w:rsidR="00317999">
        <w:rPr>
          <w:rFonts w:ascii="Times New Roman" w:hAnsi="Times New Roman" w:cs="Times New Roman"/>
          <w:sz w:val="26"/>
          <w:szCs w:val="26"/>
        </w:rPr>
        <w:t>paying their bills</w:t>
      </w:r>
      <w:r w:rsidR="00FF3D29">
        <w:rPr>
          <w:rFonts w:ascii="Times New Roman" w:hAnsi="Times New Roman" w:cs="Times New Roman"/>
          <w:sz w:val="26"/>
          <w:szCs w:val="26"/>
        </w:rPr>
        <w:t xml:space="preserve">, we note that the Settlement contains various </w:t>
      </w:r>
      <w:r w:rsidR="00C17276">
        <w:rPr>
          <w:rFonts w:ascii="Times New Roman" w:hAnsi="Times New Roman" w:cs="Times New Roman"/>
          <w:sz w:val="26"/>
          <w:szCs w:val="26"/>
        </w:rPr>
        <w:t xml:space="preserve">customer assistance </w:t>
      </w:r>
      <w:r w:rsidR="00FF3D29">
        <w:rPr>
          <w:rFonts w:ascii="Times New Roman" w:hAnsi="Times New Roman" w:cs="Times New Roman"/>
          <w:sz w:val="26"/>
          <w:szCs w:val="26"/>
        </w:rPr>
        <w:t>provisions</w:t>
      </w:r>
      <w:r w:rsidR="00D32791">
        <w:rPr>
          <w:rFonts w:ascii="Times New Roman" w:hAnsi="Times New Roman" w:cs="Times New Roman"/>
          <w:sz w:val="26"/>
          <w:szCs w:val="26"/>
        </w:rPr>
        <w:t xml:space="preserve">, including </w:t>
      </w:r>
      <w:r w:rsidR="00142530">
        <w:rPr>
          <w:rFonts w:ascii="Times New Roman" w:hAnsi="Times New Roman" w:cs="Times New Roman"/>
          <w:sz w:val="26"/>
          <w:szCs w:val="26"/>
        </w:rPr>
        <w:t xml:space="preserve">modifications to the Company’s universal service programs and continued outreach </w:t>
      </w:r>
      <w:r w:rsidR="00DA0E79">
        <w:rPr>
          <w:rFonts w:ascii="Times New Roman" w:hAnsi="Times New Roman" w:cs="Times New Roman"/>
          <w:sz w:val="26"/>
          <w:szCs w:val="26"/>
        </w:rPr>
        <w:t xml:space="preserve">to customers impacted by the COVID-19 pandemic.  </w:t>
      </w:r>
      <w:r w:rsidR="00174EAB">
        <w:rPr>
          <w:rFonts w:ascii="Times New Roman" w:hAnsi="Times New Roman" w:cs="Times New Roman"/>
          <w:i/>
          <w:iCs/>
          <w:sz w:val="26"/>
          <w:szCs w:val="26"/>
        </w:rPr>
        <w:t xml:space="preserve">See </w:t>
      </w:r>
      <w:r w:rsidR="00174EAB">
        <w:rPr>
          <w:rFonts w:ascii="Times New Roman" w:hAnsi="Times New Roman" w:cs="Times New Roman"/>
          <w:sz w:val="26"/>
          <w:szCs w:val="26"/>
        </w:rPr>
        <w:t xml:space="preserve">Joint Petition at 14-18.  </w:t>
      </w:r>
      <w:r w:rsidR="00DA0E79">
        <w:rPr>
          <w:rFonts w:ascii="Times New Roman" w:hAnsi="Times New Roman" w:cs="Times New Roman"/>
          <w:sz w:val="26"/>
          <w:szCs w:val="26"/>
        </w:rPr>
        <w:t xml:space="preserve">For all of these reasons, we shall deny Ms. Brace’s Exception No. 6. </w:t>
      </w:r>
    </w:p>
    <w:p w14:paraId="2B2347EA" w14:textId="566FA390" w:rsidR="0087520B" w:rsidRDefault="0087520B" w:rsidP="00496081">
      <w:pPr>
        <w:spacing w:line="360" w:lineRule="auto"/>
        <w:ind w:firstLine="1440"/>
        <w:contextualSpacing/>
        <w:rPr>
          <w:rFonts w:ascii="Times New Roman" w:eastAsia="Times New Roman" w:hAnsi="Times New Roman" w:cs="Times New Roman"/>
          <w:sz w:val="26"/>
          <w:szCs w:val="26"/>
        </w:rPr>
      </w:pPr>
    </w:p>
    <w:p w14:paraId="6F72D03C" w14:textId="1C16E62A" w:rsidR="001F7740" w:rsidRPr="00EE4D28" w:rsidRDefault="0069214B" w:rsidP="0069214B">
      <w:pPr>
        <w:spacing w:line="360" w:lineRule="auto"/>
        <w:ind w:firstLine="720"/>
        <w:contextualSpacing/>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w:t>
      </w:r>
      <w:r>
        <w:rPr>
          <w:rFonts w:ascii="Times New Roman" w:eastAsia="Times New Roman" w:hAnsi="Times New Roman" w:cs="Times New Roman"/>
          <w:b/>
          <w:bCs/>
          <w:sz w:val="26"/>
          <w:szCs w:val="26"/>
        </w:rPr>
        <w:tab/>
      </w:r>
      <w:r w:rsidR="001F7740" w:rsidRPr="00EE4D28">
        <w:rPr>
          <w:rFonts w:ascii="Times New Roman" w:eastAsia="Times New Roman" w:hAnsi="Times New Roman" w:cs="Times New Roman"/>
          <w:b/>
          <w:bCs/>
          <w:sz w:val="26"/>
          <w:szCs w:val="26"/>
        </w:rPr>
        <w:t xml:space="preserve">Disposition of the </w:t>
      </w:r>
      <w:r w:rsidR="00B0545F">
        <w:rPr>
          <w:rFonts w:ascii="Times New Roman" w:eastAsia="Times New Roman" w:hAnsi="Times New Roman" w:cs="Times New Roman"/>
          <w:b/>
          <w:bCs/>
          <w:sz w:val="26"/>
          <w:szCs w:val="26"/>
        </w:rPr>
        <w:t>Joint Petition</w:t>
      </w:r>
    </w:p>
    <w:p w14:paraId="2620B99D" w14:textId="77777777" w:rsidR="001F7740" w:rsidRDefault="001F7740" w:rsidP="00496081">
      <w:pPr>
        <w:spacing w:line="360" w:lineRule="auto"/>
        <w:ind w:firstLine="1440"/>
        <w:contextualSpacing/>
        <w:rPr>
          <w:rFonts w:ascii="Times New Roman" w:eastAsia="Times New Roman" w:hAnsi="Times New Roman" w:cs="Times New Roman"/>
          <w:sz w:val="26"/>
          <w:szCs w:val="26"/>
        </w:rPr>
      </w:pPr>
    </w:p>
    <w:p w14:paraId="0773E397" w14:textId="2BCAB7E8" w:rsidR="003E2163" w:rsidRDefault="005F4BFC" w:rsidP="00C20EAA">
      <w:pPr>
        <w:spacing w:after="0" w:line="360" w:lineRule="auto"/>
        <w:ind w:firstLine="1440"/>
        <w:rPr>
          <w:rFonts w:ascii="Times New Roman" w:hAnsi="Times New Roman" w:cs="Times New Roman"/>
          <w:sz w:val="26"/>
          <w:szCs w:val="26"/>
        </w:rPr>
      </w:pPr>
      <w:r w:rsidRPr="00496081">
        <w:rPr>
          <w:rFonts w:ascii="Times New Roman" w:hAnsi="Times New Roman" w:cs="Times New Roman"/>
          <w:sz w:val="26"/>
          <w:szCs w:val="26"/>
        </w:rPr>
        <w:t xml:space="preserve">We </w:t>
      </w:r>
      <w:r w:rsidR="00020067">
        <w:rPr>
          <w:rFonts w:ascii="Times New Roman" w:hAnsi="Times New Roman" w:cs="Times New Roman"/>
          <w:sz w:val="26"/>
          <w:szCs w:val="26"/>
        </w:rPr>
        <w:t>find</w:t>
      </w:r>
      <w:r w:rsidRPr="00496081">
        <w:rPr>
          <w:rFonts w:ascii="Times New Roman" w:hAnsi="Times New Roman" w:cs="Times New Roman"/>
          <w:sz w:val="26"/>
          <w:szCs w:val="26"/>
        </w:rPr>
        <w:t xml:space="preserve"> that the proposed Settlement balances the concerns of all Parties involved, is in the public interest, and should be approved without modification</w:t>
      </w:r>
      <w:r w:rsidR="00973240">
        <w:rPr>
          <w:rFonts w:ascii="Times New Roman" w:hAnsi="Times New Roman" w:cs="Times New Roman"/>
          <w:sz w:val="26"/>
          <w:szCs w:val="26"/>
        </w:rPr>
        <w:t>.</w:t>
      </w:r>
      <w:r w:rsidR="003E2163" w:rsidRPr="003E2163">
        <w:rPr>
          <w:rFonts w:ascii="Times New Roman" w:hAnsi="Times New Roman" w:cs="Times New Roman"/>
          <w:sz w:val="26"/>
          <w:szCs w:val="26"/>
        </w:rPr>
        <w:t xml:space="preserve">  </w:t>
      </w:r>
      <w:r w:rsidR="0081604F">
        <w:rPr>
          <w:rFonts w:ascii="Times New Roman" w:hAnsi="Times New Roman" w:cs="Times New Roman"/>
          <w:sz w:val="26"/>
          <w:szCs w:val="26"/>
        </w:rPr>
        <w:t xml:space="preserve">In terms of the </w:t>
      </w:r>
      <w:r w:rsidR="00B52492">
        <w:rPr>
          <w:rFonts w:ascii="Times New Roman" w:hAnsi="Times New Roman" w:cs="Times New Roman"/>
          <w:sz w:val="26"/>
          <w:szCs w:val="26"/>
        </w:rPr>
        <w:t xml:space="preserve">revenue requirement, </w:t>
      </w:r>
      <w:r w:rsidR="00882177">
        <w:rPr>
          <w:rFonts w:ascii="Times New Roman" w:hAnsi="Times New Roman" w:cs="Times New Roman"/>
          <w:sz w:val="26"/>
          <w:szCs w:val="26"/>
        </w:rPr>
        <w:t>the</w:t>
      </w:r>
      <w:r w:rsidR="00B52492" w:rsidRPr="00895C86">
        <w:rPr>
          <w:rFonts w:ascii="Times New Roman" w:hAnsi="Times New Roman" w:cs="Times New Roman"/>
          <w:sz w:val="26"/>
          <w:szCs w:val="26"/>
        </w:rPr>
        <w:t xml:space="preserve"> total increase in annual revenues of $6.15 million</w:t>
      </w:r>
      <w:r w:rsidR="00B52492">
        <w:rPr>
          <w:rFonts w:ascii="Times New Roman" w:hAnsi="Times New Roman" w:cs="Times New Roman"/>
          <w:sz w:val="26"/>
          <w:szCs w:val="26"/>
        </w:rPr>
        <w:t>, an increase of approximately 7.1%,</w:t>
      </w:r>
      <w:r w:rsidR="00B52492" w:rsidRPr="00895C86">
        <w:rPr>
          <w:rFonts w:ascii="Times New Roman" w:hAnsi="Times New Roman" w:cs="Times New Roman"/>
          <w:sz w:val="26"/>
          <w:szCs w:val="26"/>
        </w:rPr>
        <w:t xml:space="preserve"> that the Joint Petitioners agreed to is approximately $2.55 million less than UGI Electric’s original request of $8.7 million. </w:t>
      </w:r>
      <w:r w:rsidR="00676366">
        <w:rPr>
          <w:rFonts w:ascii="Times New Roman" w:hAnsi="Times New Roman" w:cs="Times New Roman"/>
          <w:sz w:val="26"/>
          <w:szCs w:val="26"/>
        </w:rPr>
        <w:t xml:space="preserve"> </w:t>
      </w:r>
      <w:r w:rsidR="00973240">
        <w:rPr>
          <w:rFonts w:ascii="Times New Roman" w:hAnsi="Times New Roman" w:cs="Times New Roman"/>
          <w:sz w:val="26"/>
          <w:szCs w:val="26"/>
        </w:rPr>
        <w:t xml:space="preserve">The Settlement </w:t>
      </w:r>
      <w:r w:rsidR="00F656FB" w:rsidRPr="00B72EA9">
        <w:rPr>
          <w:rFonts w:ascii="Times New Roman" w:hAnsi="Times New Roman" w:cs="Times New Roman"/>
          <w:sz w:val="26"/>
          <w:szCs w:val="26"/>
        </w:rPr>
        <w:t xml:space="preserve">will allow </w:t>
      </w:r>
      <w:r w:rsidR="00973240">
        <w:rPr>
          <w:rFonts w:ascii="Times New Roman" w:hAnsi="Times New Roman" w:cs="Times New Roman"/>
          <w:sz w:val="26"/>
          <w:szCs w:val="26"/>
        </w:rPr>
        <w:t>UGI Electric</w:t>
      </w:r>
      <w:r w:rsidR="00F656FB" w:rsidRPr="00B72EA9">
        <w:rPr>
          <w:rFonts w:ascii="Times New Roman" w:hAnsi="Times New Roman" w:cs="Times New Roman"/>
          <w:sz w:val="26"/>
          <w:szCs w:val="26"/>
        </w:rPr>
        <w:t xml:space="preserve"> to earn a fair rate of return and provide safe, reasonable, and adequate service to its customers</w:t>
      </w:r>
      <w:r w:rsidR="00973240">
        <w:rPr>
          <w:rFonts w:ascii="Times New Roman" w:hAnsi="Times New Roman" w:cs="Times New Roman"/>
          <w:sz w:val="26"/>
          <w:szCs w:val="26"/>
        </w:rPr>
        <w:t>, while also</w:t>
      </w:r>
      <w:r w:rsidR="00676366" w:rsidRPr="006D00B7">
        <w:rPr>
          <w:rFonts w:ascii="Times New Roman" w:hAnsi="Times New Roman" w:cs="Times New Roman"/>
          <w:sz w:val="26"/>
          <w:szCs w:val="26"/>
        </w:rPr>
        <w:t xml:space="preserve"> reduc</w:t>
      </w:r>
      <w:r w:rsidR="00A374EE">
        <w:rPr>
          <w:rFonts w:ascii="Times New Roman" w:hAnsi="Times New Roman" w:cs="Times New Roman"/>
          <w:sz w:val="26"/>
          <w:szCs w:val="26"/>
        </w:rPr>
        <w:t>ing</w:t>
      </w:r>
      <w:r w:rsidR="00676366" w:rsidRPr="006D00B7">
        <w:rPr>
          <w:rFonts w:ascii="Times New Roman" w:hAnsi="Times New Roman" w:cs="Times New Roman"/>
          <w:sz w:val="26"/>
          <w:szCs w:val="26"/>
        </w:rPr>
        <w:t xml:space="preserve"> the impact of th</w:t>
      </w:r>
      <w:r w:rsidR="00676366">
        <w:rPr>
          <w:rFonts w:ascii="Times New Roman" w:hAnsi="Times New Roman" w:cs="Times New Roman"/>
          <w:sz w:val="26"/>
          <w:szCs w:val="26"/>
        </w:rPr>
        <w:t>e</w:t>
      </w:r>
      <w:r w:rsidR="00676366" w:rsidRPr="006D00B7">
        <w:rPr>
          <w:rFonts w:ascii="Times New Roman" w:hAnsi="Times New Roman" w:cs="Times New Roman"/>
          <w:sz w:val="26"/>
          <w:szCs w:val="26"/>
        </w:rPr>
        <w:t xml:space="preserve"> rate increase on residential customers.  </w:t>
      </w:r>
      <w:r w:rsidR="0028215E">
        <w:rPr>
          <w:rFonts w:ascii="Times New Roman" w:hAnsi="Times New Roman" w:cs="Times New Roman"/>
          <w:sz w:val="26"/>
          <w:szCs w:val="26"/>
        </w:rPr>
        <w:t xml:space="preserve">The Joint Petitioners aver that </w:t>
      </w:r>
      <w:r w:rsidR="00B10566">
        <w:rPr>
          <w:rFonts w:ascii="Times New Roman" w:hAnsi="Times New Roman" w:cs="Times New Roman"/>
          <w:sz w:val="26"/>
          <w:szCs w:val="26"/>
        </w:rPr>
        <w:t xml:space="preserve">based on </w:t>
      </w:r>
      <w:r w:rsidR="0028215E">
        <w:rPr>
          <w:rFonts w:ascii="Times New Roman" w:hAnsi="Times New Roman" w:cs="Times New Roman"/>
          <w:sz w:val="26"/>
          <w:szCs w:val="26"/>
        </w:rPr>
        <w:t>a</w:t>
      </w:r>
      <w:r w:rsidR="00636D67" w:rsidRPr="006D00B7">
        <w:rPr>
          <w:rFonts w:ascii="Times New Roman" w:hAnsi="Times New Roman" w:cs="Times New Roman"/>
          <w:sz w:val="26"/>
          <w:szCs w:val="26"/>
        </w:rPr>
        <w:t xml:space="preserve"> review of the cost of service studies and the vari</w:t>
      </w:r>
      <w:r w:rsidR="0028215E">
        <w:rPr>
          <w:rFonts w:ascii="Times New Roman" w:hAnsi="Times New Roman" w:cs="Times New Roman"/>
          <w:sz w:val="26"/>
          <w:szCs w:val="26"/>
        </w:rPr>
        <w:t>ous</w:t>
      </w:r>
      <w:r w:rsidR="00636D67" w:rsidRPr="006D00B7">
        <w:rPr>
          <w:rFonts w:ascii="Times New Roman" w:hAnsi="Times New Roman" w:cs="Times New Roman"/>
          <w:sz w:val="26"/>
          <w:szCs w:val="26"/>
        </w:rPr>
        <w:t xml:space="preserve"> revenue allocation proposals</w:t>
      </w:r>
      <w:r w:rsidR="00A374EE">
        <w:rPr>
          <w:rFonts w:ascii="Times New Roman" w:hAnsi="Times New Roman" w:cs="Times New Roman"/>
          <w:sz w:val="26"/>
          <w:szCs w:val="26"/>
        </w:rPr>
        <w:t xml:space="preserve"> presented in this proceeding</w:t>
      </w:r>
      <w:r w:rsidR="00636D67" w:rsidRPr="006D00B7">
        <w:rPr>
          <w:rFonts w:ascii="Times New Roman" w:hAnsi="Times New Roman" w:cs="Times New Roman"/>
          <w:sz w:val="26"/>
          <w:szCs w:val="26"/>
        </w:rPr>
        <w:t xml:space="preserve">, </w:t>
      </w:r>
      <w:r w:rsidR="0028215E">
        <w:rPr>
          <w:rFonts w:ascii="Times New Roman" w:hAnsi="Times New Roman" w:cs="Times New Roman"/>
          <w:sz w:val="26"/>
          <w:szCs w:val="26"/>
        </w:rPr>
        <w:t>t</w:t>
      </w:r>
      <w:r w:rsidR="00636D67" w:rsidRPr="006D00B7">
        <w:rPr>
          <w:rFonts w:ascii="Times New Roman" w:hAnsi="Times New Roman" w:cs="Times New Roman"/>
          <w:sz w:val="26"/>
          <w:szCs w:val="26"/>
        </w:rPr>
        <w:t xml:space="preserve">he Settlement </w:t>
      </w:r>
      <w:r w:rsidR="0028215E">
        <w:rPr>
          <w:rFonts w:ascii="Times New Roman" w:hAnsi="Times New Roman" w:cs="Times New Roman"/>
          <w:sz w:val="26"/>
          <w:szCs w:val="26"/>
        </w:rPr>
        <w:t xml:space="preserve">is </w:t>
      </w:r>
      <w:r w:rsidR="00636D67" w:rsidRPr="006D00B7">
        <w:rPr>
          <w:rFonts w:ascii="Times New Roman" w:hAnsi="Times New Roman" w:cs="Times New Roman"/>
          <w:sz w:val="26"/>
          <w:szCs w:val="26"/>
        </w:rPr>
        <w:t>within the range of reasonable outcomes that would result from full litigation of this case</w:t>
      </w:r>
      <w:r w:rsidR="00676366">
        <w:rPr>
          <w:rFonts w:ascii="Times New Roman" w:hAnsi="Times New Roman" w:cs="Times New Roman"/>
          <w:sz w:val="26"/>
          <w:szCs w:val="26"/>
        </w:rPr>
        <w:t xml:space="preserve">.  </w:t>
      </w:r>
      <w:r w:rsidR="00BF72BB">
        <w:rPr>
          <w:rFonts w:ascii="Times New Roman" w:hAnsi="Times New Roman" w:cs="Times New Roman"/>
          <w:sz w:val="26"/>
          <w:szCs w:val="26"/>
        </w:rPr>
        <w:t xml:space="preserve">UGI Electric Statement in Support at 6; </w:t>
      </w:r>
      <w:r w:rsidR="0056500F">
        <w:rPr>
          <w:rFonts w:ascii="Times New Roman" w:hAnsi="Times New Roman" w:cs="Times New Roman"/>
          <w:sz w:val="26"/>
          <w:szCs w:val="26"/>
        </w:rPr>
        <w:t xml:space="preserve">I&amp;E Statement in Support at 8; </w:t>
      </w:r>
      <w:r w:rsidR="003B4E8C">
        <w:rPr>
          <w:rFonts w:ascii="Times New Roman" w:hAnsi="Times New Roman" w:cs="Times New Roman"/>
          <w:sz w:val="26"/>
          <w:szCs w:val="26"/>
        </w:rPr>
        <w:t xml:space="preserve">OCA Statement in Support at 7.  </w:t>
      </w:r>
      <w:r w:rsidR="00636D67">
        <w:rPr>
          <w:rFonts w:ascii="Times New Roman" w:hAnsi="Times New Roman" w:cs="Times New Roman"/>
          <w:sz w:val="26"/>
          <w:szCs w:val="26"/>
        </w:rPr>
        <w:t xml:space="preserve">Further, </w:t>
      </w:r>
      <w:r w:rsidR="00347288">
        <w:rPr>
          <w:rFonts w:ascii="Times New Roman" w:hAnsi="Times New Roman" w:cs="Times New Roman"/>
          <w:sz w:val="26"/>
          <w:szCs w:val="26"/>
        </w:rPr>
        <w:t xml:space="preserve">by </w:t>
      </w:r>
      <w:r w:rsidR="00636D67" w:rsidRPr="006D00B7">
        <w:rPr>
          <w:rFonts w:ascii="Times New Roman" w:hAnsi="Times New Roman" w:cs="Times New Roman"/>
          <w:sz w:val="26"/>
          <w:szCs w:val="26"/>
        </w:rPr>
        <w:t>reducing the amount of the increase allocated to the fixed monthly customer charge</w:t>
      </w:r>
      <w:r w:rsidR="00347288">
        <w:rPr>
          <w:rFonts w:ascii="Times New Roman" w:hAnsi="Times New Roman" w:cs="Times New Roman"/>
          <w:sz w:val="26"/>
          <w:szCs w:val="26"/>
        </w:rPr>
        <w:t>,</w:t>
      </w:r>
      <w:r w:rsidR="00636D67" w:rsidRPr="006D00B7">
        <w:rPr>
          <w:rFonts w:ascii="Times New Roman" w:hAnsi="Times New Roman" w:cs="Times New Roman"/>
          <w:sz w:val="26"/>
          <w:szCs w:val="26"/>
        </w:rPr>
        <w:t xml:space="preserve"> customers </w:t>
      </w:r>
      <w:r w:rsidR="00347288">
        <w:rPr>
          <w:rFonts w:ascii="Times New Roman" w:hAnsi="Times New Roman" w:cs="Times New Roman"/>
          <w:sz w:val="26"/>
          <w:szCs w:val="26"/>
        </w:rPr>
        <w:t xml:space="preserve">will </w:t>
      </w:r>
      <w:r w:rsidR="00636D67" w:rsidRPr="006D00B7">
        <w:rPr>
          <w:rFonts w:ascii="Times New Roman" w:hAnsi="Times New Roman" w:cs="Times New Roman"/>
          <w:sz w:val="26"/>
          <w:szCs w:val="26"/>
        </w:rPr>
        <w:t>have greater control over lowering their monthly bills through conservation and usage reduction efforts</w:t>
      </w:r>
      <w:r w:rsidR="00347288">
        <w:rPr>
          <w:rFonts w:ascii="Times New Roman" w:hAnsi="Times New Roman" w:cs="Times New Roman"/>
          <w:sz w:val="26"/>
          <w:szCs w:val="26"/>
        </w:rPr>
        <w:t>.</w:t>
      </w:r>
      <w:r w:rsidR="00C56CA9">
        <w:rPr>
          <w:rFonts w:ascii="Times New Roman" w:hAnsi="Times New Roman" w:cs="Times New Roman"/>
          <w:sz w:val="26"/>
          <w:szCs w:val="26"/>
        </w:rPr>
        <w:t xml:space="preserve">  </w:t>
      </w:r>
      <w:r w:rsidR="00C56CA9" w:rsidRPr="00C56CA9">
        <w:rPr>
          <w:rFonts w:ascii="Times New Roman" w:hAnsi="Times New Roman" w:cs="Times New Roman"/>
          <w:i/>
          <w:iCs/>
          <w:sz w:val="26"/>
          <w:szCs w:val="26"/>
        </w:rPr>
        <w:t>See</w:t>
      </w:r>
      <w:r w:rsidR="00C56CA9">
        <w:rPr>
          <w:rFonts w:ascii="Times New Roman" w:hAnsi="Times New Roman" w:cs="Times New Roman"/>
          <w:sz w:val="26"/>
          <w:szCs w:val="26"/>
        </w:rPr>
        <w:t xml:space="preserve"> OCA Statement in Support at 8;</w:t>
      </w:r>
      <w:r w:rsidR="003C5275">
        <w:rPr>
          <w:rFonts w:ascii="Times New Roman" w:hAnsi="Times New Roman" w:cs="Times New Roman"/>
          <w:sz w:val="26"/>
          <w:szCs w:val="26"/>
        </w:rPr>
        <w:t xml:space="preserve"> CAUSE-PA Statement in Support at </w:t>
      </w:r>
      <w:r w:rsidR="001E1457">
        <w:rPr>
          <w:rFonts w:ascii="Times New Roman" w:hAnsi="Times New Roman" w:cs="Times New Roman"/>
          <w:sz w:val="26"/>
          <w:szCs w:val="26"/>
        </w:rPr>
        <w:t>4; CEO Statement in Support at 2.</w:t>
      </w:r>
      <w:r w:rsidR="00C56CA9">
        <w:rPr>
          <w:rFonts w:ascii="Times New Roman" w:hAnsi="Times New Roman" w:cs="Times New Roman"/>
          <w:sz w:val="26"/>
          <w:szCs w:val="26"/>
        </w:rPr>
        <w:t xml:space="preserve"> </w:t>
      </w:r>
      <w:r w:rsidR="00347288">
        <w:rPr>
          <w:rFonts w:ascii="Times New Roman" w:hAnsi="Times New Roman" w:cs="Times New Roman"/>
          <w:sz w:val="26"/>
          <w:szCs w:val="26"/>
        </w:rPr>
        <w:t xml:space="preserve">  </w:t>
      </w:r>
      <w:r w:rsidR="003E2163" w:rsidRPr="003E2163">
        <w:rPr>
          <w:rFonts w:ascii="Times New Roman" w:hAnsi="Times New Roman" w:cs="Times New Roman"/>
          <w:sz w:val="26"/>
          <w:szCs w:val="26"/>
        </w:rPr>
        <w:t xml:space="preserve">  </w:t>
      </w:r>
    </w:p>
    <w:p w14:paraId="1AFE015F" w14:textId="77777777" w:rsidR="00C20EAA" w:rsidRPr="003E2163" w:rsidRDefault="00C20EAA" w:rsidP="00C20EAA">
      <w:pPr>
        <w:spacing w:after="0" w:line="360" w:lineRule="auto"/>
        <w:ind w:firstLine="1440"/>
        <w:rPr>
          <w:rFonts w:ascii="Times New Roman" w:hAnsi="Times New Roman" w:cs="Times New Roman"/>
          <w:b/>
          <w:bCs/>
          <w:sz w:val="26"/>
          <w:szCs w:val="26"/>
        </w:rPr>
      </w:pPr>
    </w:p>
    <w:p w14:paraId="05673CFD" w14:textId="2B1B5769" w:rsidR="0085032D" w:rsidRPr="00496081" w:rsidRDefault="00D35D8C" w:rsidP="00C20EAA">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In addition to these provisions, there </w:t>
      </w:r>
      <w:r w:rsidR="0085032D" w:rsidRPr="00496081">
        <w:rPr>
          <w:rFonts w:ascii="Times New Roman" w:hAnsi="Times New Roman" w:cs="Times New Roman"/>
          <w:sz w:val="26"/>
          <w:szCs w:val="26"/>
        </w:rPr>
        <w:t xml:space="preserve">are </w:t>
      </w:r>
      <w:r w:rsidR="009E4F2A">
        <w:rPr>
          <w:rFonts w:ascii="Times New Roman" w:hAnsi="Times New Roman" w:cs="Times New Roman"/>
          <w:sz w:val="26"/>
          <w:szCs w:val="26"/>
        </w:rPr>
        <w:t>other provisions</w:t>
      </w:r>
      <w:r w:rsidR="0085032D" w:rsidRPr="00496081">
        <w:rPr>
          <w:rFonts w:ascii="Times New Roman" w:hAnsi="Times New Roman" w:cs="Times New Roman"/>
          <w:sz w:val="26"/>
          <w:szCs w:val="26"/>
        </w:rPr>
        <w:t xml:space="preserve"> within the Settlement that are beneficial to </w:t>
      </w:r>
      <w:r w:rsidR="009E4F2A">
        <w:rPr>
          <w:rFonts w:ascii="Times New Roman" w:hAnsi="Times New Roman" w:cs="Times New Roman"/>
          <w:sz w:val="26"/>
          <w:szCs w:val="26"/>
        </w:rPr>
        <w:t xml:space="preserve">the Company’s </w:t>
      </w:r>
      <w:r w:rsidR="0085032D" w:rsidRPr="00496081">
        <w:rPr>
          <w:rFonts w:ascii="Times New Roman" w:hAnsi="Times New Roman" w:cs="Times New Roman"/>
          <w:sz w:val="26"/>
          <w:szCs w:val="26"/>
        </w:rPr>
        <w:t>customers</w:t>
      </w:r>
      <w:r w:rsidR="009E4F2A">
        <w:rPr>
          <w:rFonts w:ascii="Times New Roman" w:hAnsi="Times New Roman" w:cs="Times New Roman"/>
          <w:sz w:val="26"/>
          <w:szCs w:val="26"/>
        </w:rPr>
        <w:t xml:space="preserve"> and </w:t>
      </w:r>
      <w:r w:rsidR="00F40E73">
        <w:rPr>
          <w:rFonts w:ascii="Times New Roman" w:hAnsi="Times New Roman" w:cs="Times New Roman"/>
          <w:sz w:val="26"/>
          <w:szCs w:val="26"/>
        </w:rPr>
        <w:t>the public</w:t>
      </w:r>
      <w:r w:rsidR="0085032D" w:rsidRPr="00496081">
        <w:rPr>
          <w:rFonts w:ascii="Times New Roman" w:hAnsi="Times New Roman" w:cs="Times New Roman"/>
          <w:sz w:val="26"/>
          <w:szCs w:val="26"/>
        </w:rPr>
        <w:t>.  Among th</w:t>
      </w:r>
      <w:r w:rsidR="00F665FB">
        <w:rPr>
          <w:rFonts w:ascii="Times New Roman" w:hAnsi="Times New Roman" w:cs="Times New Roman"/>
          <w:sz w:val="26"/>
          <w:szCs w:val="26"/>
        </w:rPr>
        <w:t>e</w:t>
      </w:r>
      <w:r w:rsidR="0085032D" w:rsidRPr="00496081">
        <w:rPr>
          <w:rFonts w:ascii="Times New Roman" w:hAnsi="Times New Roman" w:cs="Times New Roman"/>
          <w:sz w:val="26"/>
          <w:szCs w:val="26"/>
        </w:rPr>
        <w:t>se provisions are</w:t>
      </w:r>
      <w:r w:rsidR="00F665FB">
        <w:rPr>
          <w:rFonts w:ascii="Times New Roman" w:hAnsi="Times New Roman" w:cs="Times New Roman"/>
          <w:sz w:val="26"/>
          <w:szCs w:val="26"/>
        </w:rPr>
        <w:t xml:space="preserve"> the following</w:t>
      </w:r>
      <w:r w:rsidR="0085032D" w:rsidRPr="00496081">
        <w:rPr>
          <w:rFonts w:ascii="Times New Roman" w:hAnsi="Times New Roman" w:cs="Times New Roman"/>
          <w:sz w:val="26"/>
          <w:szCs w:val="26"/>
        </w:rPr>
        <w:t>:</w:t>
      </w:r>
      <w:r w:rsidR="00CE698E">
        <w:rPr>
          <w:rFonts w:ascii="Times New Roman" w:hAnsi="Times New Roman" w:cs="Times New Roman"/>
          <w:sz w:val="26"/>
          <w:szCs w:val="26"/>
        </w:rPr>
        <w:t xml:space="preserve"> </w:t>
      </w:r>
      <w:r w:rsidR="0085032D" w:rsidRPr="00496081">
        <w:rPr>
          <w:rFonts w:ascii="Times New Roman" w:hAnsi="Times New Roman" w:cs="Times New Roman"/>
          <w:sz w:val="26"/>
          <w:szCs w:val="26"/>
        </w:rPr>
        <w:t xml:space="preserve"> (1) </w:t>
      </w:r>
      <w:r w:rsidR="0042069E">
        <w:rPr>
          <w:rFonts w:ascii="Times New Roman" w:hAnsi="Times New Roman" w:cs="Times New Roman"/>
          <w:sz w:val="26"/>
          <w:szCs w:val="26"/>
        </w:rPr>
        <w:t xml:space="preserve">the previously discussed </w:t>
      </w:r>
      <w:r w:rsidR="00852573">
        <w:rPr>
          <w:rFonts w:ascii="Times New Roman" w:hAnsi="Times New Roman" w:cs="Times New Roman"/>
          <w:sz w:val="26"/>
          <w:szCs w:val="26"/>
        </w:rPr>
        <w:t xml:space="preserve">battery storage proposal </w:t>
      </w:r>
      <w:r w:rsidR="00852573">
        <w:rPr>
          <w:rFonts w:ascii="Times New Roman" w:hAnsi="Times New Roman" w:cs="Times New Roman"/>
          <w:sz w:val="26"/>
          <w:szCs w:val="26"/>
        </w:rPr>
        <w:lastRenderedPageBreak/>
        <w:t xml:space="preserve">targeted to improve reliability on </w:t>
      </w:r>
      <w:r w:rsidR="00347C30">
        <w:rPr>
          <w:rFonts w:ascii="Times New Roman" w:hAnsi="Times New Roman" w:cs="Times New Roman"/>
          <w:sz w:val="26"/>
          <w:szCs w:val="26"/>
        </w:rPr>
        <w:t xml:space="preserve">a worst performing </w:t>
      </w:r>
      <w:r w:rsidR="00173D0D">
        <w:rPr>
          <w:rFonts w:ascii="Times New Roman" w:hAnsi="Times New Roman" w:cs="Times New Roman"/>
          <w:sz w:val="26"/>
          <w:szCs w:val="26"/>
        </w:rPr>
        <w:t xml:space="preserve">Ruckle Hill Road </w:t>
      </w:r>
      <w:r w:rsidR="00242CDE">
        <w:rPr>
          <w:rFonts w:ascii="Times New Roman" w:hAnsi="Times New Roman" w:cs="Times New Roman"/>
          <w:sz w:val="26"/>
          <w:szCs w:val="26"/>
        </w:rPr>
        <w:t>distribution circuit</w:t>
      </w:r>
      <w:r w:rsidR="00F665FB">
        <w:rPr>
          <w:rFonts w:ascii="Times New Roman" w:hAnsi="Times New Roman" w:cs="Times New Roman"/>
          <w:sz w:val="26"/>
          <w:szCs w:val="26"/>
        </w:rPr>
        <w:t xml:space="preserve"> (</w:t>
      </w:r>
      <w:r w:rsidR="00C65A18">
        <w:rPr>
          <w:rFonts w:ascii="Times New Roman" w:hAnsi="Times New Roman" w:cs="Times New Roman"/>
          <w:sz w:val="26"/>
          <w:szCs w:val="26"/>
        </w:rPr>
        <w:t>Joint Petition at 9)</w:t>
      </w:r>
      <w:r w:rsidR="00242CDE">
        <w:rPr>
          <w:rFonts w:ascii="Times New Roman" w:hAnsi="Times New Roman" w:cs="Times New Roman"/>
          <w:sz w:val="26"/>
          <w:szCs w:val="26"/>
        </w:rPr>
        <w:t xml:space="preserve">; (2) </w:t>
      </w:r>
      <w:r w:rsidR="00A6087C">
        <w:rPr>
          <w:rFonts w:ascii="Times New Roman" w:hAnsi="Times New Roman" w:cs="Times New Roman"/>
          <w:sz w:val="26"/>
          <w:szCs w:val="26"/>
        </w:rPr>
        <w:t xml:space="preserve">the Company’s </w:t>
      </w:r>
      <w:r w:rsidR="00425EC6">
        <w:rPr>
          <w:rFonts w:ascii="Times New Roman" w:hAnsi="Times New Roman" w:cs="Times New Roman"/>
          <w:sz w:val="26"/>
          <w:szCs w:val="26"/>
        </w:rPr>
        <w:t>electric vehicle (EV) charging program</w:t>
      </w:r>
      <w:r w:rsidR="006E0CE2">
        <w:rPr>
          <w:rFonts w:ascii="Times New Roman" w:hAnsi="Times New Roman" w:cs="Times New Roman"/>
          <w:sz w:val="26"/>
          <w:szCs w:val="26"/>
        </w:rPr>
        <w:t xml:space="preserve"> designed to support the growth of EVs </w:t>
      </w:r>
      <w:r w:rsidR="00C760A6">
        <w:rPr>
          <w:rFonts w:ascii="Times New Roman" w:hAnsi="Times New Roman" w:cs="Times New Roman"/>
          <w:sz w:val="26"/>
          <w:szCs w:val="26"/>
        </w:rPr>
        <w:t xml:space="preserve">within the Company’s service territory by promoting </w:t>
      </w:r>
      <w:r w:rsidR="00C6794C">
        <w:rPr>
          <w:rFonts w:ascii="Times New Roman" w:hAnsi="Times New Roman" w:cs="Times New Roman"/>
          <w:sz w:val="26"/>
          <w:szCs w:val="26"/>
        </w:rPr>
        <w:t xml:space="preserve">EV charging infrastructure build-out and expanded access to EV </w:t>
      </w:r>
      <w:r w:rsidR="00F81303">
        <w:rPr>
          <w:rFonts w:ascii="Times New Roman" w:hAnsi="Times New Roman" w:cs="Times New Roman"/>
          <w:sz w:val="26"/>
          <w:szCs w:val="26"/>
        </w:rPr>
        <w:t>charging infrastructure</w:t>
      </w:r>
      <w:r w:rsidR="00C65A18">
        <w:rPr>
          <w:rFonts w:ascii="Times New Roman" w:hAnsi="Times New Roman" w:cs="Times New Roman"/>
          <w:sz w:val="26"/>
          <w:szCs w:val="26"/>
        </w:rPr>
        <w:t xml:space="preserve"> (Joint Petition at 10-11)</w:t>
      </w:r>
      <w:r w:rsidR="00DF3EE1">
        <w:rPr>
          <w:rFonts w:ascii="Times New Roman" w:hAnsi="Times New Roman" w:cs="Times New Roman"/>
          <w:sz w:val="26"/>
          <w:szCs w:val="26"/>
        </w:rPr>
        <w:t>; (3) the Com</w:t>
      </w:r>
      <w:r w:rsidR="00D51D88">
        <w:rPr>
          <w:rFonts w:ascii="Times New Roman" w:hAnsi="Times New Roman" w:cs="Times New Roman"/>
          <w:sz w:val="26"/>
          <w:szCs w:val="26"/>
        </w:rPr>
        <w:t xml:space="preserve">pany’s various </w:t>
      </w:r>
      <w:r w:rsidR="00335AF5">
        <w:rPr>
          <w:rFonts w:ascii="Times New Roman" w:hAnsi="Times New Roman" w:cs="Times New Roman"/>
          <w:sz w:val="26"/>
          <w:szCs w:val="26"/>
        </w:rPr>
        <w:t>commitments</w:t>
      </w:r>
      <w:r w:rsidR="003125D7">
        <w:rPr>
          <w:rFonts w:ascii="Times New Roman" w:hAnsi="Times New Roman" w:cs="Times New Roman"/>
          <w:sz w:val="26"/>
          <w:szCs w:val="26"/>
        </w:rPr>
        <w:t xml:space="preserve"> and ongoing efforts</w:t>
      </w:r>
      <w:r w:rsidR="00D51D88">
        <w:rPr>
          <w:rFonts w:ascii="Times New Roman" w:hAnsi="Times New Roman" w:cs="Times New Roman"/>
          <w:sz w:val="26"/>
          <w:szCs w:val="26"/>
        </w:rPr>
        <w:t xml:space="preserve"> to assist customers affected by the economic </w:t>
      </w:r>
      <w:r w:rsidR="00AB4006">
        <w:rPr>
          <w:rFonts w:ascii="Times New Roman" w:hAnsi="Times New Roman" w:cs="Times New Roman"/>
          <w:sz w:val="26"/>
          <w:szCs w:val="26"/>
        </w:rPr>
        <w:t>impacts of the COVID-19 pandemic</w:t>
      </w:r>
      <w:r w:rsidR="00266BDA">
        <w:rPr>
          <w:rFonts w:ascii="Times New Roman" w:hAnsi="Times New Roman" w:cs="Times New Roman"/>
          <w:sz w:val="26"/>
          <w:szCs w:val="26"/>
        </w:rPr>
        <w:t xml:space="preserve">, including </w:t>
      </w:r>
      <w:r w:rsidR="003C431A">
        <w:rPr>
          <w:rFonts w:ascii="Times New Roman" w:hAnsi="Times New Roman" w:cs="Times New Roman"/>
          <w:sz w:val="26"/>
          <w:szCs w:val="26"/>
        </w:rPr>
        <w:t xml:space="preserve">efforts to promote </w:t>
      </w:r>
      <w:r w:rsidR="006C488B">
        <w:rPr>
          <w:rFonts w:ascii="Times New Roman" w:hAnsi="Times New Roman" w:cs="Times New Roman"/>
          <w:sz w:val="26"/>
          <w:szCs w:val="26"/>
        </w:rPr>
        <w:t xml:space="preserve">existing </w:t>
      </w:r>
      <w:r w:rsidR="003C431A">
        <w:rPr>
          <w:rFonts w:ascii="Times New Roman" w:hAnsi="Times New Roman" w:cs="Times New Roman"/>
          <w:sz w:val="26"/>
          <w:szCs w:val="26"/>
        </w:rPr>
        <w:t xml:space="preserve">assistance programs and </w:t>
      </w:r>
      <w:r w:rsidR="00A4415C">
        <w:rPr>
          <w:rFonts w:ascii="Times New Roman" w:hAnsi="Times New Roman" w:cs="Times New Roman"/>
          <w:sz w:val="26"/>
          <w:szCs w:val="26"/>
        </w:rPr>
        <w:t>to facilitate access to COVID-19-r</w:t>
      </w:r>
      <w:r w:rsidR="002B59F5">
        <w:rPr>
          <w:rFonts w:ascii="Times New Roman" w:hAnsi="Times New Roman" w:cs="Times New Roman"/>
          <w:sz w:val="26"/>
          <w:szCs w:val="26"/>
        </w:rPr>
        <w:t>e</w:t>
      </w:r>
      <w:r w:rsidR="00A4415C">
        <w:rPr>
          <w:rFonts w:ascii="Times New Roman" w:hAnsi="Times New Roman" w:cs="Times New Roman"/>
          <w:sz w:val="26"/>
          <w:szCs w:val="26"/>
        </w:rPr>
        <w:t>l</w:t>
      </w:r>
      <w:r w:rsidR="002B59F5">
        <w:rPr>
          <w:rFonts w:ascii="Times New Roman" w:hAnsi="Times New Roman" w:cs="Times New Roman"/>
          <w:sz w:val="26"/>
          <w:szCs w:val="26"/>
        </w:rPr>
        <w:t>a</w:t>
      </w:r>
      <w:r w:rsidR="00A4415C">
        <w:rPr>
          <w:rFonts w:ascii="Times New Roman" w:hAnsi="Times New Roman" w:cs="Times New Roman"/>
          <w:sz w:val="26"/>
          <w:szCs w:val="26"/>
        </w:rPr>
        <w:t xml:space="preserve">ted </w:t>
      </w:r>
      <w:r w:rsidR="002B59F5">
        <w:rPr>
          <w:rFonts w:ascii="Times New Roman" w:hAnsi="Times New Roman" w:cs="Times New Roman"/>
          <w:sz w:val="26"/>
          <w:szCs w:val="26"/>
        </w:rPr>
        <w:t xml:space="preserve">public utility </w:t>
      </w:r>
      <w:r w:rsidR="007716E1">
        <w:rPr>
          <w:rFonts w:ascii="Times New Roman" w:hAnsi="Times New Roman" w:cs="Times New Roman"/>
          <w:sz w:val="26"/>
          <w:szCs w:val="26"/>
        </w:rPr>
        <w:t>assistances sources, including</w:t>
      </w:r>
      <w:r w:rsidR="002B59F5">
        <w:rPr>
          <w:rFonts w:ascii="Times New Roman" w:hAnsi="Times New Roman" w:cs="Times New Roman"/>
          <w:sz w:val="26"/>
          <w:szCs w:val="26"/>
        </w:rPr>
        <w:t xml:space="preserve"> </w:t>
      </w:r>
      <w:r w:rsidR="003C431A">
        <w:rPr>
          <w:rFonts w:ascii="Times New Roman" w:hAnsi="Times New Roman" w:cs="Times New Roman"/>
          <w:sz w:val="26"/>
          <w:szCs w:val="26"/>
        </w:rPr>
        <w:t>Coronavir</w:t>
      </w:r>
      <w:r w:rsidR="0010548C">
        <w:rPr>
          <w:rFonts w:ascii="Times New Roman" w:hAnsi="Times New Roman" w:cs="Times New Roman"/>
          <w:sz w:val="26"/>
          <w:szCs w:val="26"/>
        </w:rPr>
        <w:t>us Aid</w:t>
      </w:r>
      <w:r w:rsidR="00CB140F">
        <w:rPr>
          <w:rFonts w:ascii="Times New Roman" w:hAnsi="Times New Roman" w:cs="Times New Roman"/>
          <w:sz w:val="26"/>
          <w:szCs w:val="26"/>
        </w:rPr>
        <w:t xml:space="preserve">, Relief, and Economic Security </w:t>
      </w:r>
      <w:r w:rsidR="00E66D94">
        <w:rPr>
          <w:rFonts w:ascii="Times New Roman" w:hAnsi="Times New Roman" w:cs="Times New Roman"/>
          <w:sz w:val="26"/>
          <w:szCs w:val="26"/>
        </w:rPr>
        <w:t>Act</w:t>
      </w:r>
      <w:r w:rsidR="007370BC">
        <w:rPr>
          <w:rFonts w:ascii="Times New Roman" w:hAnsi="Times New Roman" w:cs="Times New Roman"/>
          <w:sz w:val="26"/>
          <w:szCs w:val="26"/>
        </w:rPr>
        <w:t xml:space="preserve"> and the American Rescue Plan</w:t>
      </w:r>
      <w:r w:rsidR="001B733D">
        <w:rPr>
          <w:rFonts w:ascii="Times New Roman" w:hAnsi="Times New Roman" w:cs="Times New Roman"/>
          <w:sz w:val="26"/>
          <w:szCs w:val="26"/>
        </w:rPr>
        <w:t>,</w:t>
      </w:r>
      <w:r w:rsidR="00E66D94">
        <w:rPr>
          <w:rFonts w:ascii="Times New Roman" w:hAnsi="Times New Roman" w:cs="Times New Roman"/>
          <w:sz w:val="26"/>
          <w:szCs w:val="26"/>
        </w:rPr>
        <w:t xml:space="preserve"> through mass media campaigns, bills inserts</w:t>
      </w:r>
      <w:r w:rsidR="006C1C6C">
        <w:rPr>
          <w:rFonts w:ascii="Times New Roman" w:hAnsi="Times New Roman" w:cs="Times New Roman"/>
          <w:sz w:val="26"/>
          <w:szCs w:val="26"/>
        </w:rPr>
        <w:t>, and coordination with program providers</w:t>
      </w:r>
      <w:r w:rsidR="004454E7">
        <w:rPr>
          <w:rFonts w:ascii="Times New Roman" w:hAnsi="Times New Roman" w:cs="Times New Roman"/>
          <w:sz w:val="26"/>
          <w:szCs w:val="26"/>
        </w:rPr>
        <w:t xml:space="preserve"> (</w:t>
      </w:r>
      <w:r w:rsidR="00BB52C1">
        <w:rPr>
          <w:rFonts w:ascii="Times New Roman" w:hAnsi="Times New Roman" w:cs="Times New Roman"/>
          <w:sz w:val="26"/>
          <w:szCs w:val="26"/>
        </w:rPr>
        <w:t>Joint Petition at</w:t>
      </w:r>
      <w:r w:rsidR="00C20EAA">
        <w:rPr>
          <w:rFonts w:ascii="Times New Roman" w:hAnsi="Times New Roman" w:cs="Times New Roman"/>
          <w:sz w:val="26"/>
          <w:szCs w:val="26"/>
        </w:rPr>
        <w:t> </w:t>
      </w:r>
      <w:r w:rsidR="00BB52C1">
        <w:rPr>
          <w:rFonts w:ascii="Times New Roman" w:hAnsi="Times New Roman" w:cs="Times New Roman"/>
          <w:sz w:val="26"/>
          <w:szCs w:val="26"/>
        </w:rPr>
        <w:t>14-15)</w:t>
      </w:r>
      <w:r w:rsidR="00335AF5">
        <w:rPr>
          <w:rFonts w:ascii="Times New Roman" w:hAnsi="Times New Roman" w:cs="Times New Roman"/>
          <w:sz w:val="26"/>
          <w:szCs w:val="26"/>
        </w:rPr>
        <w:t xml:space="preserve">; </w:t>
      </w:r>
      <w:r w:rsidR="006E3CBA">
        <w:rPr>
          <w:rFonts w:ascii="Times New Roman" w:hAnsi="Times New Roman" w:cs="Times New Roman"/>
          <w:sz w:val="26"/>
          <w:szCs w:val="26"/>
        </w:rPr>
        <w:t xml:space="preserve">(4) </w:t>
      </w:r>
      <w:r w:rsidR="004F6693">
        <w:rPr>
          <w:rFonts w:ascii="Times New Roman" w:hAnsi="Times New Roman" w:cs="Times New Roman"/>
          <w:sz w:val="26"/>
          <w:szCs w:val="26"/>
        </w:rPr>
        <w:t xml:space="preserve">numerous provisions and modifications </w:t>
      </w:r>
      <w:r w:rsidR="00BB52C1">
        <w:rPr>
          <w:rFonts w:ascii="Times New Roman" w:hAnsi="Times New Roman" w:cs="Times New Roman"/>
          <w:sz w:val="26"/>
          <w:szCs w:val="26"/>
        </w:rPr>
        <w:t>concerning</w:t>
      </w:r>
      <w:r w:rsidR="004F6693">
        <w:rPr>
          <w:rFonts w:ascii="Times New Roman" w:hAnsi="Times New Roman" w:cs="Times New Roman"/>
          <w:sz w:val="26"/>
          <w:szCs w:val="26"/>
        </w:rPr>
        <w:t xml:space="preserve"> the Company’s universal service programs</w:t>
      </w:r>
      <w:r w:rsidR="00453713">
        <w:rPr>
          <w:rFonts w:ascii="Times New Roman" w:hAnsi="Times New Roman" w:cs="Times New Roman"/>
          <w:sz w:val="26"/>
          <w:szCs w:val="26"/>
        </w:rPr>
        <w:t>,</w:t>
      </w:r>
      <w:r w:rsidR="005D3C85">
        <w:rPr>
          <w:rFonts w:ascii="Times New Roman" w:hAnsi="Times New Roman" w:cs="Times New Roman"/>
          <w:sz w:val="26"/>
          <w:szCs w:val="26"/>
        </w:rPr>
        <w:t xml:space="preserve"> </w:t>
      </w:r>
      <w:r w:rsidR="00453713">
        <w:rPr>
          <w:rFonts w:ascii="Times New Roman" w:hAnsi="Times New Roman" w:cs="Times New Roman"/>
          <w:sz w:val="26"/>
          <w:szCs w:val="26"/>
        </w:rPr>
        <w:t xml:space="preserve">and </w:t>
      </w:r>
      <w:r w:rsidR="005D3C85">
        <w:rPr>
          <w:rFonts w:ascii="Times New Roman" w:hAnsi="Times New Roman" w:cs="Times New Roman"/>
          <w:sz w:val="26"/>
          <w:szCs w:val="26"/>
        </w:rPr>
        <w:t xml:space="preserve">increased funding for the Company’s Low Income </w:t>
      </w:r>
      <w:r w:rsidR="00AC6790">
        <w:rPr>
          <w:rFonts w:ascii="Times New Roman" w:hAnsi="Times New Roman" w:cs="Times New Roman"/>
          <w:sz w:val="26"/>
          <w:szCs w:val="26"/>
        </w:rPr>
        <w:t>Usage Reduction Program</w:t>
      </w:r>
      <w:r w:rsidR="002B7746">
        <w:rPr>
          <w:rFonts w:ascii="Times New Roman" w:hAnsi="Times New Roman" w:cs="Times New Roman"/>
          <w:sz w:val="26"/>
          <w:szCs w:val="26"/>
        </w:rPr>
        <w:t xml:space="preserve"> and the </w:t>
      </w:r>
      <w:r w:rsidR="000918E2">
        <w:rPr>
          <w:rFonts w:ascii="Times New Roman" w:hAnsi="Times New Roman" w:cs="Times New Roman"/>
          <w:sz w:val="26"/>
          <w:szCs w:val="26"/>
        </w:rPr>
        <w:t xml:space="preserve">Company’s agreement to increase </w:t>
      </w:r>
      <w:r w:rsidR="005C4EAD">
        <w:rPr>
          <w:rFonts w:ascii="Times New Roman" w:hAnsi="Times New Roman" w:cs="Times New Roman"/>
          <w:sz w:val="26"/>
          <w:szCs w:val="26"/>
        </w:rPr>
        <w:t>its contribution to its Hardship Fund</w:t>
      </w:r>
      <w:r w:rsidR="00453713">
        <w:rPr>
          <w:rFonts w:ascii="Times New Roman" w:hAnsi="Times New Roman" w:cs="Times New Roman"/>
          <w:sz w:val="26"/>
          <w:szCs w:val="26"/>
        </w:rPr>
        <w:t xml:space="preserve">, commensurate with the </w:t>
      </w:r>
      <w:r w:rsidR="00225380">
        <w:rPr>
          <w:rFonts w:ascii="Times New Roman" w:hAnsi="Times New Roman" w:cs="Times New Roman"/>
          <w:sz w:val="26"/>
          <w:szCs w:val="26"/>
        </w:rPr>
        <w:t xml:space="preserve">percentage </w:t>
      </w:r>
      <w:r w:rsidR="00D92C8C">
        <w:rPr>
          <w:rFonts w:ascii="Times New Roman" w:hAnsi="Times New Roman" w:cs="Times New Roman"/>
          <w:sz w:val="26"/>
          <w:szCs w:val="26"/>
        </w:rPr>
        <w:t xml:space="preserve">rate </w:t>
      </w:r>
      <w:r w:rsidR="00225380">
        <w:rPr>
          <w:rFonts w:ascii="Times New Roman" w:hAnsi="Times New Roman" w:cs="Times New Roman"/>
          <w:sz w:val="26"/>
          <w:szCs w:val="26"/>
        </w:rPr>
        <w:t xml:space="preserve">increase to the residential </w:t>
      </w:r>
      <w:r w:rsidR="00D92C8C">
        <w:rPr>
          <w:rFonts w:ascii="Times New Roman" w:hAnsi="Times New Roman" w:cs="Times New Roman"/>
          <w:sz w:val="26"/>
          <w:szCs w:val="26"/>
        </w:rPr>
        <w:t>class resulting from this case</w:t>
      </w:r>
      <w:r w:rsidR="002A1E34">
        <w:rPr>
          <w:rFonts w:ascii="Times New Roman" w:hAnsi="Times New Roman" w:cs="Times New Roman"/>
          <w:sz w:val="26"/>
          <w:szCs w:val="26"/>
        </w:rPr>
        <w:t xml:space="preserve"> (Joint Petition at 15-18)</w:t>
      </w:r>
      <w:r w:rsidR="00F81303">
        <w:rPr>
          <w:rFonts w:ascii="Times New Roman" w:hAnsi="Times New Roman" w:cs="Times New Roman"/>
          <w:sz w:val="26"/>
          <w:szCs w:val="26"/>
        </w:rPr>
        <w:t>.</w:t>
      </w:r>
      <w:r w:rsidR="00D92C8C">
        <w:rPr>
          <w:rFonts w:ascii="Times New Roman" w:hAnsi="Times New Roman" w:cs="Times New Roman"/>
          <w:sz w:val="26"/>
          <w:szCs w:val="26"/>
        </w:rPr>
        <w:t xml:space="preserve">  </w:t>
      </w:r>
      <w:r w:rsidR="00F81303">
        <w:rPr>
          <w:rFonts w:ascii="Times New Roman" w:hAnsi="Times New Roman" w:cs="Times New Roman"/>
          <w:sz w:val="26"/>
          <w:szCs w:val="26"/>
        </w:rPr>
        <w:t xml:space="preserve">  </w:t>
      </w:r>
      <w:r w:rsidR="006E0CE2">
        <w:rPr>
          <w:rFonts w:ascii="Times New Roman" w:hAnsi="Times New Roman" w:cs="Times New Roman"/>
          <w:sz w:val="26"/>
          <w:szCs w:val="26"/>
        </w:rPr>
        <w:t xml:space="preserve"> </w:t>
      </w:r>
      <w:r w:rsidR="00242CDE">
        <w:rPr>
          <w:rFonts w:ascii="Times New Roman" w:hAnsi="Times New Roman" w:cs="Times New Roman"/>
          <w:sz w:val="26"/>
          <w:szCs w:val="26"/>
        </w:rPr>
        <w:t xml:space="preserve"> </w:t>
      </w:r>
      <w:r w:rsidR="00347C30">
        <w:rPr>
          <w:rFonts w:ascii="Times New Roman" w:hAnsi="Times New Roman" w:cs="Times New Roman"/>
          <w:sz w:val="26"/>
          <w:szCs w:val="26"/>
        </w:rPr>
        <w:t xml:space="preserve"> </w:t>
      </w:r>
    </w:p>
    <w:p w14:paraId="649B614B" w14:textId="77777777" w:rsidR="0085032D" w:rsidRPr="00496081" w:rsidRDefault="0085032D" w:rsidP="0085032D">
      <w:pPr>
        <w:spacing w:line="360" w:lineRule="auto"/>
        <w:ind w:firstLine="1440"/>
        <w:contextualSpacing/>
        <w:rPr>
          <w:rFonts w:ascii="Times New Roman" w:hAnsi="Times New Roman" w:cs="Times New Roman"/>
          <w:sz w:val="26"/>
          <w:szCs w:val="26"/>
        </w:rPr>
      </w:pPr>
    </w:p>
    <w:p w14:paraId="13E2B351" w14:textId="05016CBE" w:rsidR="00DD531A" w:rsidRDefault="00FF4725" w:rsidP="0085032D">
      <w:pPr>
        <w:spacing w:line="360" w:lineRule="auto"/>
        <w:ind w:firstLine="1440"/>
        <w:contextualSpacing/>
        <w:rPr>
          <w:rFonts w:ascii="Times New Roman" w:eastAsia="Times New Roman" w:hAnsi="Times New Roman" w:cs="Times New Roman"/>
          <w:sz w:val="26"/>
          <w:szCs w:val="26"/>
        </w:rPr>
      </w:pPr>
      <w:r>
        <w:rPr>
          <w:rFonts w:ascii="Times New Roman" w:hAnsi="Times New Roman" w:cs="Times New Roman"/>
          <w:sz w:val="26"/>
          <w:szCs w:val="26"/>
        </w:rPr>
        <w:t>Further</w:t>
      </w:r>
      <w:r w:rsidR="0085032D" w:rsidRPr="00496081">
        <w:rPr>
          <w:rFonts w:ascii="Times New Roman" w:hAnsi="Times New Roman" w:cs="Times New Roman"/>
          <w:sz w:val="26"/>
          <w:szCs w:val="26"/>
        </w:rPr>
        <w:t xml:space="preserve">, we find that the Settlement will result in significant savings of time and expenses for all Parties involved by avoiding the necessity of further administrative proceedings, as well as possible appellate court proceedings, thereby conserving administrative resources.  </w:t>
      </w:r>
      <w:r>
        <w:rPr>
          <w:rFonts w:ascii="Times New Roman" w:hAnsi="Times New Roman" w:cs="Times New Roman"/>
          <w:sz w:val="26"/>
          <w:szCs w:val="26"/>
        </w:rPr>
        <w:t>T</w:t>
      </w:r>
      <w:r w:rsidR="0085032D" w:rsidRPr="00496081">
        <w:rPr>
          <w:rFonts w:ascii="Times New Roman" w:hAnsi="Times New Roman" w:cs="Times New Roman"/>
          <w:sz w:val="26"/>
          <w:szCs w:val="26"/>
        </w:rPr>
        <w:t xml:space="preserve">he Settlement </w:t>
      </w:r>
      <w:r>
        <w:rPr>
          <w:rFonts w:ascii="Times New Roman" w:hAnsi="Times New Roman" w:cs="Times New Roman"/>
          <w:sz w:val="26"/>
          <w:szCs w:val="26"/>
        </w:rPr>
        <w:t xml:space="preserve">also benefits all Parties by </w:t>
      </w:r>
      <w:r w:rsidR="0085032D" w:rsidRPr="00496081">
        <w:rPr>
          <w:rFonts w:ascii="Times New Roman" w:hAnsi="Times New Roman" w:cs="Times New Roman"/>
          <w:sz w:val="26"/>
          <w:szCs w:val="26"/>
        </w:rPr>
        <w:t>provid</w:t>
      </w:r>
      <w:r w:rsidR="0022239E">
        <w:rPr>
          <w:rFonts w:ascii="Times New Roman" w:hAnsi="Times New Roman" w:cs="Times New Roman"/>
          <w:sz w:val="26"/>
          <w:szCs w:val="26"/>
        </w:rPr>
        <w:t>ing</w:t>
      </w:r>
      <w:r w:rsidR="0085032D" w:rsidRPr="00496081">
        <w:rPr>
          <w:rFonts w:ascii="Times New Roman" w:hAnsi="Times New Roman" w:cs="Times New Roman"/>
          <w:sz w:val="26"/>
          <w:szCs w:val="26"/>
        </w:rPr>
        <w:t xml:space="preserve"> regulatory certainty with respect to the disposition of </w:t>
      </w:r>
      <w:r w:rsidR="0022239E">
        <w:rPr>
          <w:rFonts w:ascii="Times New Roman" w:hAnsi="Times New Roman" w:cs="Times New Roman"/>
          <w:sz w:val="26"/>
          <w:szCs w:val="26"/>
        </w:rPr>
        <w:t xml:space="preserve">the </w:t>
      </w:r>
      <w:r w:rsidR="0085032D" w:rsidRPr="00496081">
        <w:rPr>
          <w:rFonts w:ascii="Times New Roman" w:hAnsi="Times New Roman" w:cs="Times New Roman"/>
          <w:sz w:val="26"/>
          <w:szCs w:val="26"/>
        </w:rPr>
        <w:t xml:space="preserve">issues.  For the reasons stated herein and in the </w:t>
      </w:r>
      <w:r w:rsidR="0085032D">
        <w:rPr>
          <w:rFonts w:ascii="Times New Roman" w:hAnsi="Times New Roman" w:cs="Times New Roman"/>
          <w:sz w:val="26"/>
          <w:szCs w:val="26"/>
        </w:rPr>
        <w:t>Joint Petitioners</w:t>
      </w:r>
      <w:r w:rsidR="0085032D" w:rsidRPr="00496081">
        <w:rPr>
          <w:rFonts w:ascii="Times New Roman" w:hAnsi="Times New Roman" w:cs="Times New Roman"/>
          <w:sz w:val="26"/>
          <w:szCs w:val="26"/>
        </w:rPr>
        <w:t xml:space="preserve">’ Statements in Support, we </w:t>
      </w:r>
      <w:r w:rsidR="00433CD8">
        <w:rPr>
          <w:rFonts w:ascii="Times New Roman" w:hAnsi="Times New Roman" w:cs="Times New Roman"/>
          <w:sz w:val="26"/>
          <w:szCs w:val="26"/>
        </w:rPr>
        <w:t>agree</w:t>
      </w:r>
      <w:r w:rsidR="0085032D" w:rsidRPr="00496081">
        <w:rPr>
          <w:rFonts w:ascii="Times New Roman" w:hAnsi="Times New Roman" w:cs="Times New Roman"/>
          <w:sz w:val="26"/>
          <w:szCs w:val="26"/>
        </w:rPr>
        <w:t xml:space="preserve"> with the ALJ</w:t>
      </w:r>
      <w:r w:rsidR="00F0012B">
        <w:rPr>
          <w:rFonts w:ascii="Times New Roman" w:hAnsi="Times New Roman" w:cs="Times New Roman"/>
          <w:sz w:val="26"/>
          <w:szCs w:val="26"/>
        </w:rPr>
        <w:t>’</w:t>
      </w:r>
      <w:r w:rsidR="0085032D" w:rsidRPr="00496081">
        <w:rPr>
          <w:rFonts w:ascii="Times New Roman" w:hAnsi="Times New Roman" w:cs="Times New Roman"/>
          <w:sz w:val="26"/>
          <w:szCs w:val="26"/>
        </w:rPr>
        <w:t>s conclusion that the Settlement is in the public interest</w:t>
      </w:r>
      <w:r w:rsidR="007A3F54">
        <w:rPr>
          <w:rFonts w:ascii="Times New Roman" w:hAnsi="Times New Roman" w:cs="Times New Roman"/>
          <w:sz w:val="26"/>
          <w:szCs w:val="26"/>
        </w:rPr>
        <w:t xml:space="preserve"> and we shall approve it without modification</w:t>
      </w:r>
      <w:r w:rsidR="0085032D" w:rsidRPr="00496081">
        <w:rPr>
          <w:rFonts w:ascii="Times New Roman" w:hAnsi="Times New Roman" w:cs="Times New Roman"/>
          <w:sz w:val="26"/>
          <w:szCs w:val="26"/>
        </w:rPr>
        <w:t xml:space="preserve">.  </w:t>
      </w:r>
      <w:r w:rsidR="001F7740">
        <w:rPr>
          <w:rFonts w:ascii="Times New Roman" w:eastAsia="Times New Roman" w:hAnsi="Times New Roman" w:cs="Times New Roman"/>
          <w:sz w:val="26"/>
          <w:szCs w:val="26"/>
        </w:rPr>
        <w:t xml:space="preserve"> </w:t>
      </w:r>
    </w:p>
    <w:p w14:paraId="2BCB30D5" w14:textId="77777777" w:rsidR="00DD531A" w:rsidRPr="00496081" w:rsidRDefault="00DD531A" w:rsidP="00496081">
      <w:pPr>
        <w:spacing w:line="360" w:lineRule="auto"/>
        <w:ind w:firstLine="1440"/>
        <w:contextualSpacing/>
        <w:rPr>
          <w:rFonts w:ascii="Times New Roman" w:eastAsia="Times New Roman" w:hAnsi="Times New Roman" w:cs="Times New Roman"/>
          <w:sz w:val="26"/>
          <w:szCs w:val="26"/>
        </w:rPr>
      </w:pPr>
    </w:p>
    <w:p w14:paraId="6D5A67D8" w14:textId="77777777" w:rsidR="003870D4" w:rsidRPr="00496081" w:rsidRDefault="003870D4" w:rsidP="00496081">
      <w:pPr>
        <w:keepNext/>
        <w:keepLines/>
        <w:spacing w:line="36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IV.</w:t>
      </w:r>
      <w:r w:rsidRPr="00496081">
        <w:rPr>
          <w:rFonts w:ascii="Times New Roman" w:eastAsia="Times New Roman" w:hAnsi="Times New Roman" w:cs="Times New Roman"/>
          <w:b/>
          <w:sz w:val="26"/>
          <w:szCs w:val="26"/>
        </w:rPr>
        <w:tab/>
        <w:t>Conclusion</w:t>
      </w:r>
    </w:p>
    <w:p w14:paraId="404EC2B4" w14:textId="77777777" w:rsidR="003870D4" w:rsidRPr="00496081" w:rsidRDefault="003870D4" w:rsidP="00496081">
      <w:pPr>
        <w:keepNext/>
        <w:keepLines/>
        <w:spacing w:line="360" w:lineRule="auto"/>
        <w:contextualSpacing/>
        <w:rPr>
          <w:rFonts w:ascii="Times New Roman" w:eastAsia="Times New Roman" w:hAnsi="Times New Roman" w:cs="Times New Roman"/>
          <w:sz w:val="26"/>
          <w:szCs w:val="26"/>
        </w:rPr>
      </w:pPr>
    </w:p>
    <w:p w14:paraId="5A4C4E71" w14:textId="5B55EA99" w:rsidR="00A67468" w:rsidRPr="00A67468" w:rsidRDefault="00A67468" w:rsidP="00A67468">
      <w:pPr>
        <w:spacing w:after="0" w:line="360" w:lineRule="auto"/>
        <w:ind w:firstLine="1440"/>
        <w:rPr>
          <w:rFonts w:ascii="Times New Roman" w:eastAsia="Times New Roman" w:hAnsi="Times New Roman" w:cs="Times New Roman"/>
          <w:sz w:val="26"/>
          <w:szCs w:val="26"/>
        </w:rPr>
      </w:pPr>
      <w:r w:rsidRPr="00A67468">
        <w:rPr>
          <w:rFonts w:ascii="Times New Roman" w:eastAsia="Times New Roman" w:hAnsi="Times New Roman" w:cs="Times New Roman"/>
          <w:color w:val="000000"/>
          <w:sz w:val="26"/>
          <w:szCs w:val="26"/>
        </w:rPr>
        <w:t>We have reviewed the record developed in this proceeding, including the ALJ’</w:t>
      </w:r>
      <w:r w:rsidR="00B34AF4">
        <w:rPr>
          <w:rFonts w:ascii="Times New Roman" w:eastAsia="Times New Roman" w:hAnsi="Times New Roman" w:cs="Times New Roman"/>
          <w:color w:val="000000"/>
          <w:sz w:val="26"/>
          <w:szCs w:val="26"/>
        </w:rPr>
        <w:t>s</w:t>
      </w:r>
      <w:r w:rsidRPr="00A67468">
        <w:rPr>
          <w:rFonts w:ascii="Times New Roman" w:eastAsia="Times New Roman" w:hAnsi="Times New Roman" w:cs="Times New Roman"/>
          <w:color w:val="000000"/>
          <w:sz w:val="26"/>
          <w:szCs w:val="26"/>
        </w:rPr>
        <w:t xml:space="preserve"> Recommended Decision and the Exceptions and Re</w:t>
      </w:r>
      <w:r w:rsidR="00B34AF4">
        <w:rPr>
          <w:rFonts w:ascii="Times New Roman" w:eastAsia="Times New Roman" w:hAnsi="Times New Roman" w:cs="Times New Roman"/>
          <w:color w:val="000000"/>
          <w:sz w:val="26"/>
          <w:szCs w:val="26"/>
        </w:rPr>
        <w:t>s</w:t>
      </w:r>
      <w:r w:rsidRPr="00A67468">
        <w:rPr>
          <w:rFonts w:ascii="Times New Roman" w:eastAsia="Times New Roman" w:hAnsi="Times New Roman" w:cs="Times New Roman"/>
          <w:color w:val="000000"/>
          <w:sz w:val="26"/>
          <w:szCs w:val="26"/>
        </w:rPr>
        <w:t>p</w:t>
      </w:r>
      <w:r w:rsidR="00B34AF4">
        <w:rPr>
          <w:rFonts w:ascii="Times New Roman" w:eastAsia="Times New Roman" w:hAnsi="Times New Roman" w:cs="Times New Roman"/>
          <w:color w:val="000000"/>
          <w:sz w:val="26"/>
          <w:szCs w:val="26"/>
        </w:rPr>
        <w:t>onses</w:t>
      </w:r>
      <w:r w:rsidRPr="00A67468">
        <w:rPr>
          <w:rFonts w:ascii="Times New Roman" w:eastAsia="Times New Roman" w:hAnsi="Times New Roman" w:cs="Times New Roman"/>
          <w:color w:val="000000"/>
          <w:sz w:val="26"/>
          <w:szCs w:val="26"/>
        </w:rPr>
        <w:t xml:space="preserve"> filed thereto.  Based upon our review, evaluation</w:t>
      </w:r>
      <w:r w:rsidR="00B34AF4">
        <w:rPr>
          <w:rFonts w:ascii="Times New Roman" w:eastAsia="Times New Roman" w:hAnsi="Times New Roman" w:cs="Times New Roman"/>
          <w:color w:val="000000"/>
          <w:sz w:val="26"/>
          <w:szCs w:val="26"/>
        </w:rPr>
        <w:t>,</w:t>
      </w:r>
      <w:r w:rsidRPr="00A67468">
        <w:rPr>
          <w:rFonts w:ascii="Times New Roman" w:eastAsia="Times New Roman" w:hAnsi="Times New Roman" w:cs="Times New Roman"/>
          <w:color w:val="000000"/>
          <w:sz w:val="26"/>
          <w:szCs w:val="26"/>
        </w:rPr>
        <w:t xml:space="preserve"> and analysis of the record evidence, we shall </w:t>
      </w:r>
      <w:r w:rsidR="00B34AF4">
        <w:rPr>
          <w:rFonts w:ascii="Times New Roman" w:eastAsia="Times New Roman" w:hAnsi="Times New Roman" w:cs="Times New Roman"/>
          <w:color w:val="000000"/>
          <w:sz w:val="26"/>
          <w:szCs w:val="26"/>
        </w:rPr>
        <w:t>deny</w:t>
      </w:r>
      <w:r w:rsidRPr="00A67468">
        <w:rPr>
          <w:rFonts w:ascii="Times New Roman" w:eastAsia="Times New Roman" w:hAnsi="Times New Roman" w:cs="Times New Roman"/>
          <w:sz w:val="26"/>
          <w:szCs w:val="26"/>
        </w:rPr>
        <w:t xml:space="preserve"> the </w:t>
      </w:r>
      <w:r w:rsidRPr="00A67468">
        <w:rPr>
          <w:rFonts w:ascii="Times New Roman" w:eastAsia="Times New Roman" w:hAnsi="Times New Roman" w:cs="Times New Roman"/>
          <w:sz w:val="26"/>
          <w:szCs w:val="26"/>
        </w:rPr>
        <w:lastRenderedPageBreak/>
        <w:t>Exceptions filed</w:t>
      </w:r>
      <w:r w:rsidR="00CC0D3D">
        <w:rPr>
          <w:rFonts w:ascii="Times New Roman" w:eastAsia="Times New Roman" w:hAnsi="Times New Roman" w:cs="Times New Roman"/>
          <w:sz w:val="26"/>
          <w:szCs w:val="26"/>
        </w:rPr>
        <w:t xml:space="preserve"> Ms. </w:t>
      </w:r>
      <w:r w:rsidR="00E130A0">
        <w:rPr>
          <w:rFonts w:ascii="Times New Roman" w:eastAsia="Times New Roman" w:hAnsi="Times New Roman" w:cs="Times New Roman"/>
          <w:sz w:val="26"/>
          <w:szCs w:val="26"/>
        </w:rPr>
        <w:t>Brace</w:t>
      </w:r>
      <w:r w:rsidRPr="00A67468">
        <w:rPr>
          <w:rFonts w:ascii="Times New Roman" w:eastAsia="Times New Roman" w:hAnsi="Times New Roman" w:cs="Times New Roman"/>
          <w:sz w:val="26"/>
          <w:szCs w:val="26"/>
        </w:rPr>
        <w:t xml:space="preserve">, approve </w:t>
      </w:r>
      <w:r w:rsidR="00E130A0">
        <w:rPr>
          <w:rFonts w:ascii="Times New Roman" w:eastAsia="Times New Roman" w:hAnsi="Times New Roman" w:cs="Times New Roman"/>
          <w:sz w:val="26"/>
          <w:szCs w:val="26"/>
        </w:rPr>
        <w:t>the</w:t>
      </w:r>
      <w:r w:rsidRPr="00A67468">
        <w:rPr>
          <w:rFonts w:ascii="Times New Roman" w:eastAsia="Times New Roman" w:hAnsi="Times New Roman" w:cs="Times New Roman"/>
          <w:sz w:val="26"/>
          <w:szCs w:val="26"/>
        </w:rPr>
        <w:t xml:space="preserve"> Settlement in its entirety, and adopt the ALJ</w:t>
      </w:r>
      <w:r w:rsidR="00E130A0">
        <w:rPr>
          <w:rFonts w:ascii="Times New Roman" w:eastAsia="Times New Roman" w:hAnsi="Times New Roman" w:cs="Times New Roman"/>
          <w:sz w:val="26"/>
          <w:szCs w:val="26"/>
        </w:rPr>
        <w:t>’</w:t>
      </w:r>
      <w:r w:rsidRPr="00A67468">
        <w:rPr>
          <w:rFonts w:ascii="Times New Roman" w:eastAsia="Times New Roman" w:hAnsi="Times New Roman" w:cs="Times New Roman"/>
          <w:sz w:val="26"/>
          <w:szCs w:val="26"/>
        </w:rPr>
        <w:t xml:space="preserve">s Recommended Decision, consistent with this Opinion and Order; </w:t>
      </w:r>
      <w:r w:rsidRPr="00A67468">
        <w:rPr>
          <w:rFonts w:ascii="Times New Roman" w:eastAsia="Times New Roman" w:hAnsi="Times New Roman" w:cs="Times New Roman"/>
          <w:b/>
          <w:sz w:val="26"/>
          <w:szCs w:val="26"/>
        </w:rPr>
        <w:t>THEREFORE,</w:t>
      </w:r>
    </w:p>
    <w:p w14:paraId="1C5FF026" w14:textId="77777777" w:rsidR="00A67468" w:rsidRDefault="00A67468" w:rsidP="00496081">
      <w:pPr>
        <w:tabs>
          <w:tab w:val="left" w:pos="-720"/>
        </w:tabs>
        <w:suppressAutoHyphens/>
        <w:spacing w:line="360" w:lineRule="auto"/>
        <w:ind w:firstLine="1440"/>
        <w:contextualSpacing/>
        <w:rPr>
          <w:rFonts w:ascii="Times New Roman" w:eastAsia="Calibri" w:hAnsi="Times New Roman" w:cs="Times New Roman"/>
          <w:spacing w:val="-3"/>
          <w:sz w:val="26"/>
          <w:szCs w:val="26"/>
        </w:rPr>
      </w:pPr>
    </w:p>
    <w:p w14:paraId="416A59AE" w14:textId="332C08A3" w:rsidR="00EF699A" w:rsidRPr="0022254D" w:rsidRDefault="00EF699A" w:rsidP="00F11AC1">
      <w:pPr>
        <w:keepNext/>
        <w:keepLines/>
        <w:spacing w:after="0" w:line="360" w:lineRule="auto"/>
        <w:ind w:left="720" w:firstLine="720"/>
        <w:contextualSpacing/>
        <w:rPr>
          <w:rFonts w:ascii="Times New Roman" w:eastAsia="Calibri" w:hAnsi="Times New Roman" w:cs="Times New Roman"/>
          <w:b/>
          <w:sz w:val="26"/>
          <w:szCs w:val="26"/>
        </w:rPr>
      </w:pPr>
      <w:r w:rsidRPr="0022254D">
        <w:rPr>
          <w:rFonts w:ascii="Times New Roman" w:eastAsia="Calibri" w:hAnsi="Times New Roman" w:cs="Times New Roman"/>
          <w:b/>
          <w:sz w:val="26"/>
          <w:szCs w:val="26"/>
        </w:rPr>
        <w:t>IT IS ORDERED:</w:t>
      </w:r>
    </w:p>
    <w:p w14:paraId="27FF317E" w14:textId="77777777" w:rsidR="00EF699A" w:rsidRPr="00496081" w:rsidRDefault="00EF699A" w:rsidP="00B11A79">
      <w:pPr>
        <w:keepNext/>
        <w:keepLines/>
        <w:spacing w:after="0" w:line="360" w:lineRule="auto"/>
        <w:ind w:left="720"/>
        <w:contextualSpacing/>
        <w:rPr>
          <w:rFonts w:ascii="Times New Roman" w:eastAsia="Calibri" w:hAnsi="Times New Roman" w:cs="Times New Roman"/>
          <w:b/>
          <w:sz w:val="26"/>
          <w:szCs w:val="26"/>
        </w:rPr>
      </w:pPr>
    </w:p>
    <w:p w14:paraId="041A7AFB" w14:textId="49A8E9B3" w:rsidR="00FE1630" w:rsidRPr="00496081" w:rsidRDefault="00B21D40" w:rsidP="00C20EAA">
      <w:pPr>
        <w:keepNext/>
        <w:keepLines/>
        <w:spacing w:after="0" w:line="360" w:lineRule="auto"/>
        <w:ind w:firstLine="1440"/>
        <w:contextualSpacing/>
        <w:rPr>
          <w:rFonts w:ascii="Times New Roman" w:hAnsi="Times New Roman" w:cs="Times New Roman"/>
          <w:sz w:val="26"/>
          <w:szCs w:val="26"/>
        </w:rPr>
      </w:pPr>
      <w:r w:rsidRPr="00496081">
        <w:rPr>
          <w:rFonts w:ascii="Times New Roman" w:eastAsia="Calibri" w:hAnsi="Times New Roman" w:cs="Times New Roman"/>
          <w:spacing w:val="-3"/>
          <w:sz w:val="26"/>
          <w:szCs w:val="26"/>
        </w:rPr>
        <w:t>1.</w:t>
      </w:r>
      <w:r w:rsidR="00EF699A" w:rsidRPr="00496081">
        <w:rPr>
          <w:rFonts w:ascii="Times New Roman" w:eastAsia="Calibri" w:hAnsi="Times New Roman" w:cs="Times New Roman"/>
          <w:spacing w:val="-3"/>
          <w:sz w:val="26"/>
          <w:szCs w:val="26"/>
        </w:rPr>
        <w:tab/>
        <w:t>That</w:t>
      </w:r>
      <w:r w:rsidR="005D6803" w:rsidRPr="00496081">
        <w:rPr>
          <w:rFonts w:ascii="Times New Roman" w:eastAsia="Calibri" w:hAnsi="Times New Roman" w:cs="Times New Roman"/>
          <w:spacing w:val="-3"/>
          <w:sz w:val="26"/>
          <w:szCs w:val="26"/>
        </w:rPr>
        <w:t xml:space="preserve"> </w:t>
      </w:r>
      <w:r w:rsidR="005D6803" w:rsidRPr="00496081">
        <w:rPr>
          <w:rFonts w:ascii="Times New Roman" w:hAnsi="Times New Roman" w:cs="Times New Roman"/>
          <w:sz w:val="26"/>
          <w:szCs w:val="26"/>
        </w:rPr>
        <w:t xml:space="preserve">the </w:t>
      </w:r>
      <w:r w:rsidR="005C3B47" w:rsidRPr="00496081">
        <w:rPr>
          <w:rFonts w:ascii="Times New Roman" w:hAnsi="Times New Roman" w:cs="Times New Roman"/>
          <w:sz w:val="26"/>
          <w:szCs w:val="26"/>
        </w:rPr>
        <w:t xml:space="preserve">Exceptions </w:t>
      </w:r>
      <w:r w:rsidR="00590F37">
        <w:rPr>
          <w:rFonts w:ascii="Times New Roman" w:eastAsia="Times New Roman" w:hAnsi="Times New Roman" w:cs="Times New Roman"/>
          <w:sz w:val="26"/>
          <w:szCs w:val="26"/>
        </w:rPr>
        <w:t>filed by Brandi Brace on September 14, 2021,</w:t>
      </w:r>
      <w:r w:rsidR="00473385">
        <w:rPr>
          <w:rFonts w:ascii="Times New Roman" w:eastAsia="Times New Roman" w:hAnsi="Times New Roman" w:cs="Times New Roman"/>
          <w:sz w:val="26"/>
          <w:szCs w:val="26"/>
        </w:rPr>
        <w:t xml:space="preserve"> are denied.</w:t>
      </w:r>
      <w:r w:rsidR="00590F37">
        <w:rPr>
          <w:rFonts w:ascii="Times New Roman" w:eastAsia="Times New Roman" w:hAnsi="Times New Roman" w:cs="Times New Roman"/>
          <w:sz w:val="26"/>
          <w:szCs w:val="26"/>
        </w:rPr>
        <w:t xml:space="preserve"> </w:t>
      </w:r>
    </w:p>
    <w:p w14:paraId="06EC9840" w14:textId="77777777" w:rsidR="005D6803" w:rsidRPr="00496081" w:rsidRDefault="005D6803" w:rsidP="00C20EAA">
      <w:pPr>
        <w:spacing w:after="0" w:line="360" w:lineRule="auto"/>
        <w:ind w:firstLine="1440"/>
        <w:contextualSpacing/>
        <w:rPr>
          <w:rFonts w:ascii="Times New Roman" w:hAnsi="Times New Roman" w:cs="Times New Roman"/>
          <w:sz w:val="26"/>
          <w:szCs w:val="26"/>
        </w:rPr>
      </w:pPr>
    </w:p>
    <w:p w14:paraId="3D99710B" w14:textId="47A88820" w:rsidR="005D6803" w:rsidRPr="00496081" w:rsidRDefault="005D6803" w:rsidP="00C20EAA">
      <w:pPr>
        <w:spacing w:after="0"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2.</w:t>
      </w:r>
      <w:r w:rsidRPr="00496081">
        <w:rPr>
          <w:rFonts w:ascii="Times New Roman" w:hAnsi="Times New Roman" w:cs="Times New Roman"/>
          <w:sz w:val="26"/>
          <w:szCs w:val="26"/>
        </w:rPr>
        <w:tab/>
        <w:t xml:space="preserve">That the Recommended Decision of Administrative Law Judge </w:t>
      </w:r>
      <w:r w:rsidR="00800313">
        <w:rPr>
          <w:rFonts w:ascii="Times New Roman" w:eastAsia="Times New Roman" w:hAnsi="Times New Roman" w:cs="Times New Roman"/>
          <w:sz w:val="26"/>
          <w:szCs w:val="26"/>
        </w:rPr>
        <w:t>Steven K. Haas served on August 27, 2021,</w:t>
      </w:r>
      <w:r w:rsidRPr="00496081">
        <w:rPr>
          <w:rFonts w:ascii="Times New Roman" w:hAnsi="Times New Roman" w:cs="Times New Roman"/>
          <w:sz w:val="26"/>
          <w:szCs w:val="26"/>
        </w:rPr>
        <w:t xml:space="preserve"> is adopted, </w:t>
      </w:r>
      <w:r w:rsidR="00330E37">
        <w:rPr>
          <w:rFonts w:ascii="Times New Roman" w:hAnsi="Times New Roman" w:cs="Times New Roman"/>
          <w:sz w:val="26"/>
          <w:szCs w:val="26"/>
        </w:rPr>
        <w:t>consistent with</w:t>
      </w:r>
      <w:r w:rsidRPr="00496081">
        <w:rPr>
          <w:rFonts w:ascii="Times New Roman" w:hAnsi="Times New Roman" w:cs="Times New Roman"/>
          <w:sz w:val="26"/>
          <w:szCs w:val="26"/>
        </w:rPr>
        <w:t xml:space="preserve"> this Opinion and Order.</w:t>
      </w:r>
    </w:p>
    <w:p w14:paraId="429289C3" w14:textId="77777777" w:rsidR="002A584C" w:rsidRPr="00496081" w:rsidRDefault="002A584C" w:rsidP="00C20EAA">
      <w:pPr>
        <w:spacing w:after="0" w:line="360" w:lineRule="auto"/>
        <w:ind w:firstLine="1440"/>
        <w:contextualSpacing/>
        <w:rPr>
          <w:rFonts w:ascii="Times New Roman" w:hAnsi="Times New Roman" w:cs="Times New Roman"/>
          <w:sz w:val="26"/>
          <w:szCs w:val="26"/>
        </w:rPr>
      </w:pPr>
    </w:p>
    <w:p w14:paraId="0ABBE4B8" w14:textId="32FAF44D" w:rsidR="005D6803" w:rsidRPr="00496081" w:rsidRDefault="0022459D" w:rsidP="00C20EAA">
      <w:pPr>
        <w:spacing w:after="0"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3</w:t>
      </w:r>
      <w:r w:rsidR="005D6803" w:rsidRPr="00496081">
        <w:rPr>
          <w:rFonts w:ascii="Times New Roman" w:hAnsi="Times New Roman" w:cs="Times New Roman"/>
          <w:sz w:val="26"/>
          <w:szCs w:val="26"/>
        </w:rPr>
        <w:t>.</w:t>
      </w:r>
      <w:r w:rsidR="005D6803" w:rsidRPr="00496081">
        <w:rPr>
          <w:rFonts w:ascii="Times New Roman" w:hAnsi="Times New Roman" w:cs="Times New Roman"/>
          <w:sz w:val="26"/>
          <w:szCs w:val="26"/>
        </w:rPr>
        <w:tab/>
      </w:r>
      <w:r w:rsidR="00FD7F72">
        <w:rPr>
          <w:rFonts w:ascii="Times New Roman" w:hAnsi="Times New Roman" w:cs="Times New Roman"/>
          <w:sz w:val="26"/>
          <w:szCs w:val="26"/>
        </w:rPr>
        <w:t>That</w:t>
      </w:r>
      <w:r w:rsidR="00FD7F72">
        <w:rPr>
          <w:rFonts w:ascii="Times New Roman" w:eastAsia="Times New Roman" w:hAnsi="Times New Roman" w:cs="Times New Roman"/>
          <w:sz w:val="26"/>
          <w:szCs w:val="26"/>
        </w:rPr>
        <w:t xml:space="preserve"> the</w:t>
      </w:r>
      <w:r w:rsidR="00FD7F72" w:rsidRPr="00496081">
        <w:rPr>
          <w:rFonts w:ascii="Times New Roman" w:eastAsia="Times New Roman" w:hAnsi="Times New Roman" w:cs="Times New Roman"/>
          <w:sz w:val="26"/>
          <w:szCs w:val="26"/>
        </w:rPr>
        <w:t xml:space="preserve"> </w:t>
      </w:r>
      <w:bookmarkStart w:id="9" w:name="_Hlk85120484"/>
      <w:r w:rsidR="00FD7F72" w:rsidRPr="00496081">
        <w:rPr>
          <w:rFonts w:ascii="Times New Roman" w:eastAsia="Times New Roman" w:hAnsi="Times New Roman" w:cs="Times New Roman"/>
          <w:sz w:val="26"/>
          <w:szCs w:val="26"/>
        </w:rPr>
        <w:t xml:space="preserve">Joint Petition for </w:t>
      </w:r>
      <w:r w:rsidR="00FD7F72">
        <w:rPr>
          <w:rFonts w:ascii="Times New Roman" w:eastAsia="Times New Roman" w:hAnsi="Times New Roman" w:cs="Times New Roman"/>
          <w:sz w:val="26"/>
          <w:szCs w:val="26"/>
        </w:rPr>
        <w:t>Approval of Settlement of All Issues</w:t>
      </w:r>
      <w:bookmarkEnd w:id="9"/>
      <w:r w:rsidR="00FD7F72">
        <w:rPr>
          <w:rFonts w:ascii="Times New Roman" w:eastAsia="Times New Roman" w:hAnsi="Times New Roman" w:cs="Times New Roman"/>
          <w:sz w:val="26"/>
          <w:szCs w:val="26"/>
        </w:rPr>
        <w:t>,</w:t>
      </w:r>
      <w:r w:rsidR="00FD7F72" w:rsidRPr="00496081">
        <w:rPr>
          <w:rFonts w:ascii="Times New Roman" w:eastAsia="Times New Roman" w:hAnsi="Times New Roman" w:cs="Times New Roman"/>
          <w:sz w:val="26"/>
          <w:szCs w:val="26"/>
        </w:rPr>
        <w:t xml:space="preserve"> filed </w:t>
      </w:r>
      <w:r w:rsidR="00FD7F72">
        <w:rPr>
          <w:rFonts w:ascii="Times New Roman" w:eastAsia="Times New Roman" w:hAnsi="Times New Roman" w:cs="Times New Roman"/>
          <w:sz w:val="26"/>
          <w:szCs w:val="26"/>
        </w:rPr>
        <w:t xml:space="preserve">on July 19, 2021, by UGI Utilities, Inc. – Electric Division, the Commission’s Bureau of Investigation and Enforcement, the Office of Consumer Advocate, the Office of Small Business Advocate, the Coalition for Affordable Utility Services and Energy Efficiency in Pennsylvania, </w:t>
      </w:r>
      <w:r w:rsidR="00977B01">
        <w:rPr>
          <w:rFonts w:ascii="Times New Roman" w:eastAsia="Times New Roman" w:hAnsi="Times New Roman" w:cs="Times New Roman"/>
          <w:sz w:val="26"/>
          <w:szCs w:val="26"/>
        </w:rPr>
        <w:t xml:space="preserve">the </w:t>
      </w:r>
      <w:r w:rsidR="00FD7F72">
        <w:rPr>
          <w:rFonts w:ascii="Times New Roman" w:eastAsia="Times New Roman" w:hAnsi="Times New Roman" w:cs="Times New Roman"/>
          <w:sz w:val="26"/>
          <w:szCs w:val="26"/>
        </w:rPr>
        <w:t>Commission on Economic Opportunity, ChargePoint, Inc., and the Retail Energy Supply Association and NRG Energy, Inc.</w:t>
      </w:r>
      <w:r w:rsidR="00977B01">
        <w:rPr>
          <w:rFonts w:ascii="Times New Roman" w:eastAsia="Times New Roman" w:hAnsi="Times New Roman" w:cs="Times New Roman"/>
          <w:sz w:val="26"/>
          <w:szCs w:val="26"/>
        </w:rPr>
        <w:t>,</w:t>
      </w:r>
      <w:r w:rsidR="005D6803" w:rsidRPr="00496081">
        <w:rPr>
          <w:rFonts w:ascii="Times New Roman" w:hAnsi="Times New Roman" w:cs="Times New Roman"/>
          <w:sz w:val="26"/>
          <w:szCs w:val="26"/>
        </w:rPr>
        <w:t xml:space="preserve"> is approved in its entirety without modification.</w:t>
      </w:r>
    </w:p>
    <w:p w14:paraId="65422961" w14:textId="77777777" w:rsidR="00625BB7" w:rsidRPr="00496081" w:rsidRDefault="00625BB7" w:rsidP="00C20EAA">
      <w:pPr>
        <w:spacing w:after="0" w:line="360" w:lineRule="auto"/>
        <w:ind w:firstLine="1440"/>
        <w:contextualSpacing/>
        <w:rPr>
          <w:rFonts w:ascii="Times New Roman" w:hAnsi="Times New Roman" w:cs="Times New Roman"/>
          <w:sz w:val="26"/>
          <w:szCs w:val="26"/>
        </w:rPr>
      </w:pPr>
    </w:p>
    <w:p w14:paraId="363A5378" w14:textId="370D2984" w:rsidR="001203D3" w:rsidRPr="00496081" w:rsidRDefault="0022459D" w:rsidP="00C20EAA">
      <w:pPr>
        <w:spacing w:after="0"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4</w:t>
      </w:r>
      <w:r w:rsidR="001203D3" w:rsidRPr="00496081">
        <w:rPr>
          <w:rFonts w:ascii="Times New Roman" w:hAnsi="Times New Roman" w:cs="Times New Roman"/>
          <w:sz w:val="26"/>
          <w:szCs w:val="26"/>
        </w:rPr>
        <w:t>.</w:t>
      </w:r>
      <w:r w:rsidR="001203D3" w:rsidRPr="00496081">
        <w:rPr>
          <w:rFonts w:ascii="Times New Roman" w:hAnsi="Times New Roman" w:cs="Times New Roman"/>
          <w:sz w:val="26"/>
          <w:szCs w:val="26"/>
        </w:rPr>
        <w:tab/>
        <w:t xml:space="preserve">That </w:t>
      </w:r>
      <w:r w:rsidR="00DD79E9">
        <w:rPr>
          <w:rFonts w:ascii="Times New Roman" w:eastAsia="Times New Roman" w:hAnsi="Times New Roman" w:cs="Times New Roman"/>
          <w:sz w:val="26"/>
          <w:szCs w:val="26"/>
        </w:rPr>
        <w:t>UGI Utilities, Inc. – Electric Division</w:t>
      </w:r>
      <w:r w:rsidR="001203D3" w:rsidRPr="00496081">
        <w:rPr>
          <w:rFonts w:ascii="Times New Roman" w:hAnsi="Times New Roman" w:cs="Times New Roman"/>
          <w:sz w:val="26"/>
          <w:szCs w:val="26"/>
        </w:rPr>
        <w:t xml:space="preserve"> shall not place into effect the rates contained in Supplement No. </w:t>
      </w:r>
      <w:r w:rsidR="00DD79E9">
        <w:rPr>
          <w:rFonts w:ascii="Times New Roman" w:hAnsi="Times New Roman" w:cs="Times New Roman"/>
          <w:sz w:val="26"/>
          <w:szCs w:val="26"/>
        </w:rPr>
        <w:t>2</w:t>
      </w:r>
      <w:r w:rsidRPr="00496081">
        <w:rPr>
          <w:rFonts w:ascii="Times New Roman" w:hAnsi="Times New Roman" w:cs="Times New Roman"/>
          <w:sz w:val="26"/>
          <w:szCs w:val="26"/>
        </w:rPr>
        <w:t>6</w:t>
      </w:r>
      <w:r w:rsidR="001203D3" w:rsidRPr="00496081">
        <w:rPr>
          <w:rFonts w:ascii="Times New Roman" w:hAnsi="Times New Roman" w:cs="Times New Roman"/>
          <w:sz w:val="26"/>
          <w:szCs w:val="26"/>
        </w:rPr>
        <w:t xml:space="preserve"> to </w:t>
      </w:r>
      <w:r w:rsidRPr="00496081">
        <w:rPr>
          <w:rFonts w:ascii="Times New Roman" w:hAnsi="Times New Roman" w:cs="Times New Roman"/>
          <w:sz w:val="26"/>
          <w:szCs w:val="26"/>
        </w:rPr>
        <w:t xml:space="preserve">Tariff </w:t>
      </w:r>
      <w:r w:rsidR="00DD79E9">
        <w:rPr>
          <w:rFonts w:ascii="Times New Roman" w:hAnsi="Times New Roman" w:cs="Times New Roman"/>
          <w:sz w:val="26"/>
          <w:szCs w:val="26"/>
        </w:rPr>
        <w:t>Electric</w:t>
      </w:r>
      <w:r w:rsidR="001203D3" w:rsidRPr="00496081">
        <w:rPr>
          <w:rFonts w:ascii="Times New Roman" w:hAnsi="Times New Roman" w:cs="Times New Roman"/>
          <w:sz w:val="26"/>
          <w:szCs w:val="26"/>
        </w:rPr>
        <w:t xml:space="preserve"> </w:t>
      </w:r>
      <w:bookmarkStart w:id="10" w:name="_Hlk506282530"/>
      <w:r w:rsidR="001203D3" w:rsidRPr="00496081">
        <w:rPr>
          <w:rFonts w:ascii="Times New Roman" w:hAnsi="Times New Roman" w:cs="Times New Roman"/>
          <w:sz w:val="26"/>
          <w:szCs w:val="26"/>
        </w:rPr>
        <w:t>– P</w:t>
      </w:r>
      <w:r w:rsidR="00BB5D75">
        <w:rPr>
          <w:rFonts w:ascii="Times New Roman" w:hAnsi="Times New Roman" w:cs="Times New Roman"/>
          <w:sz w:val="26"/>
          <w:szCs w:val="26"/>
        </w:rPr>
        <w:t>a</w:t>
      </w:r>
      <w:r w:rsidR="001203D3" w:rsidRPr="00496081">
        <w:rPr>
          <w:rFonts w:ascii="Times New Roman" w:hAnsi="Times New Roman" w:cs="Times New Roman"/>
          <w:sz w:val="26"/>
          <w:szCs w:val="26"/>
        </w:rPr>
        <w:t xml:space="preserve">. P.U.C. No. </w:t>
      </w:r>
      <w:bookmarkEnd w:id="10"/>
      <w:r w:rsidR="00D71720">
        <w:rPr>
          <w:rFonts w:ascii="Times New Roman" w:hAnsi="Times New Roman" w:cs="Times New Roman"/>
          <w:sz w:val="26"/>
          <w:szCs w:val="26"/>
        </w:rPr>
        <w:t>6 and Supplement No. 2 to UGI Tariff Electric P</w:t>
      </w:r>
      <w:r w:rsidR="00BB5D75">
        <w:rPr>
          <w:rFonts w:ascii="Times New Roman" w:hAnsi="Times New Roman" w:cs="Times New Roman"/>
          <w:sz w:val="26"/>
          <w:szCs w:val="26"/>
        </w:rPr>
        <w:t>a. P.U.C. No. 2S</w:t>
      </w:r>
      <w:r w:rsidR="001203D3" w:rsidRPr="00496081">
        <w:rPr>
          <w:rFonts w:ascii="Times New Roman" w:hAnsi="Times New Roman" w:cs="Times New Roman"/>
          <w:sz w:val="26"/>
          <w:szCs w:val="26"/>
        </w:rPr>
        <w:t>.</w:t>
      </w:r>
    </w:p>
    <w:p w14:paraId="76A0E547" w14:textId="77777777" w:rsidR="001203D3" w:rsidRPr="00496081" w:rsidRDefault="001203D3" w:rsidP="00C20EAA">
      <w:pPr>
        <w:spacing w:after="0" w:line="360" w:lineRule="auto"/>
        <w:ind w:firstLine="1440"/>
        <w:contextualSpacing/>
        <w:rPr>
          <w:rFonts w:ascii="Times New Roman" w:hAnsi="Times New Roman" w:cs="Times New Roman"/>
          <w:sz w:val="26"/>
          <w:szCs w:val="26"/>
        </w:rPr>
      </w:pPr>
    </w:p>
    <w:p w14:paraId="1588C7F6" w14:textId="75855890" w:rsidR="0021408E" w:rsidRPr="00496081" w:rsidRDefault="0022459D" w:rsidP="002F75EB">
      <w:pPr>
        <w:spacing w:after="0"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5.</w:t>
      </w:r>
      <w:r w:rsidRPr="00496081">
        <w:rPr>
          <w:rFonts w:ascii="Times New Roman" w:hAnsi="Times New Roman" w:cs="Times New Roman"/>
          <w:sz w:val="26"/>
          <w:szCs w:val="26"/>
        </w:rPr>
        <w:tab/>
        <w:t xml:space="preserve">That </w:t>
      </w:r>
      <w:r w:rsidR="0067418F">
        <w:rPr>
          <w:rFonts w:ascii="Times New Roman" w:eastAsia="Times New Roman" w:hAnsi="Times New Roman" w:cs="Times New Roman"/>
          <w:sz w:val="26"/>
          <w:szCs w:val="26"/>
        </w:rPr>
        <w:t>UGI Utilities, Inc. – Electric Division</w:t>
      </w:r>
      <w:r w:rsidR="0067418F" w:rsidRPr="00496081">
        <w:rPr>
          <w:rFonts w:ascii="Times New Roman" w:hAnsi="Times New Roman" w:cs="Times New Roman"/>
          <w:sz w:val="26"/>
          <w:szCs w:val="26"/>
        </w:rPr>
        <w:t xml:space="preserve"> </w:t>
      </w:r>
      <w:r w:rsidRPr="00496081">
        <w:rPr>
          <w:rFonts w:ascii="Times New Roman" w:hAnsi="Times New Roman" w:cs="Times New Roman"/>
          <w:sz w:val="26"/>
          <w:szCs w:val="26"/>
        </w:rPr>
        <w:t>shall file tariff supplement</w:t>
      </w:r>
      <w:r w:rsidR="000377E2">
        <w:rPr>
          <w:rFonts w:ascii="Times New Roman" w:hAnsi="Times New Roman" w:cs="Times New Roman"/>
          <w:sz w:val="26"/>
          <w:szCs w:val="26"/>
        </w:rPr>
        <w:t>s</w:t>
      </w:r>
      <w:r w:rsidRPr="00496081">
        <w:rPr>
          <w:rFonts w:ascii="Times New Roman" w:hAnsi="Times New Roman" w:cs="Times New Roman"/>
          <w:sz w:val="26"/>
          <w:szCs w:val="26"/>
        </w:rPr>
        <w:t xml:space="preserve"> with the Commission, </w:t>
      </w:r>
      <w:r w:rsidR="008B6BDC" w:rsidRPr="00496081">
        <w:rPr>
          <w:rFonts w:ascii="Times New Roman" w:hAnsi="Times New Roman" w:cs="Times New Roman"/>
          <w:sz w:val="26"/>
          <w:szCs w:val="26"/>
        </w:rPr>
        <w:t xml:space="preserve">reflecting the rates set forth in its proposed compliance tariff attached to the Joint Petition for Settlement </w:t>
      </w:r>
      <w:r w:rsidR="008B413D">
        <w:rPr>
          <w:rFonts w:ascii="Times New Roman" w:hAnsi="Times New Roman" w:cs="Times New Roman"/>
          <w:sz w:val="26"/>
          <w:szCs w:val="26"/>
        </w:rPr>
        <w:t xml:space="preserve">of all Issues </w:t>
      </w:r>
      <w:r w:rsidR="00A167A6">
        <w:rPr>
          <w:rFonts w:ascii="Times New Roman" w:hAnsi="Times New Roman" w:cs="Times New Roman"/>
          <w:sz w:val="26"/>
          <w:szCs w:val="26"/>
        </w:rPr>
        <w:t>as Appendix A</w:t>
      </w:r>
      <w:r w:rsidR="008B6BDC" w:rsidRPr="00496081">
        <w:rPr>
          <w:rFonts w:ascii="Times New Roman" w:hAnsi="Times New Roman" w:cs="Times New Roman"/>
          <w:sz w:val="26"/>
          <w:szCs w:val="26"/>
        </w:rPr>
        <w:t xml:space="preserve">, to become effective on one </w:t>
      </w:r>
      <w:r w:rsidR="00122EA1" w:rsidRPr="00496081">
        <w:rPr>
          <w:rFonts w:ascii="Times New Roman" w:hAnsi="Times New Roman" w:cs="Times New Roman"/>
          <w:sz w:val="26"/>
          <w:szCs w:val="26"/>
        </w:rPr>
        <w:t xml:space="preserve">(1) </w:t>
      </w:r>
      <w:r w:rsidR="005C3B47" w:rsidRPr="00496081">
        <w:rPr>
          <w:rFonts w:ascii="Times New Roman" w:hAnsi="Times New Roman" w:cs="Times New Roman"/>
          <w:sz w:val="26"/>
          <w:szCs w:val="26"/>
        </w:rPr>
        <w:t>days’ notice</w:t>
      </w:r>
      <w:r w:rsidR="00122EA1" w:rsidRPr="00496081">
        <w:rPr>
          <w:rFonts w:ascii="Times New Roman" w:hAnsi="Times New Roman" w:cs="Times New Roman"/>
          <w:sz w:val="26"/>
          <w:szCs w:val="26"/>
        </w:rPr>
        <w:t xml:space="preserve"> after the date of entry of this Opinion and Order, for service rendered on and after </w:t>
      </w:r>
      <w:r w:rsidR="00B32CB5">
        <w:rPr>
          <w:rFonts w:ascii="Times New Roman" w:hAnsi="Times New Roman" w:cs="Times New Roman"/>
          <w:sz w:val="26"/>
          <w:szCs w:val="26"/>
        </w:rPr>
        <w:t>November 9, 2021</w:t>
      </w:r>
      <w:r w:rsidR="00122EA1" w:rsidRPr="00496081">
        <w:rPr>
          <w:rFonts w:ascii="Times New Roman" w:hAnsi="Times New Roman" w:cs="Times New Roman"/>
          <w:sz w:val="26"/>
          <w:szCs w:val="26"/>
        </w:rPr>
        <w:t xml:space="preserve">, so as to produce an annual </w:t>
      </w:r>
      <w:r w:rsidR="00122EA1" w:rsidRPr="00496081">
        <w:rPr>
          <w:rFonts w:ascii="Times New Roman" w:hAnsi="Times New Roman" w:cs="Times New Roman"/>
          <w:sz w:val="26"/>
          <w:szCs w:val="26"/>
        </w:rPr>
        <w:lastRenderedPageBreak/>
        <w:t>increase in base rate operating revenues not to exceed $6</w:t>
      </w:r>
      <w:r w:rsidR="0091751F">
        <w:rPr>
          <w:rFonts w:ascii="Times New Roman" w:hAnsi="Times New Roman" w:cs="Times New Roman"/>
          <w:sz w:val="26"/>
          <w:szCs w:val="26"/>
        </w:rPr>
        <w:t>.15</w:t>
      </w:r>
      <w:r w:rsidR="0068394F">
        <w:rPr>
          <w:rFonts w:ascii="Times New Roman" w:hAnsi="Times New Roman" w:cs="Times New Roman"/>
          <w:sz w:val="26"/>
          <w:szCs w:val="26"/>
        </w:rPr>
        <w:t xml:space="preserve"> million</w:t>
      </w:r>
      <w:r w:rsidR="00122EA1" w:rsidRPr="00496081">
        <w:rPr>
          <w:rFonts w:ascii="Times New Roman" w:hAnsi="Times New Roman" w:cs="Times New Roman"/>
          <w:sz w:val="26"/>
          <w:szCs w:val="26"/>
        </w:rPr>
        <w:t>, consistent with this Opinion and Order.</w:t>
      </w:r>
    </w:p>
    <w:p w14:paraId="3B6BE2E3" w14:textId="77777777" w:rsidR="008B6BDC" w:rsidRPr="00496081" w:rsidRDefault="008B6BDC" w:rsidP="002F75EB">
      <w:pPr>
        <w:spacing w:after="0" w:line="360" w:lineRule="auto"/>
        <w:ind w:firstLine="1440"/>
        <w:contextualSpacing/>
        <w:rPr>
          <w:rFonts w:ascii="Times New Roman" w:hAnsi="Times New Roman" w:cs="Times New Roman"/>
          <w:sz w:val="26"/>
          <w:szCs w:val="26"/>
        </w:rPr>
      </w:pPr>
    </w:p>
    <w:p w14:paraId="7005AD2D" w14:textId="440D1C35" w:rsidR="00895992" w:rsidRPr="00496081" w:rsidRDefault="00D86A12"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6</w:t>
      </w:r>
      <w:r w:rsidR="00D24B77" w:rsidRPr="00496081">
        <w:rPr>
          <w:rFonts w:ascii="Times New Roman" w:hAnsi="Times New Roman" w:cs="Times New Roman"/>
          <w:sz w:val="26"/>
          <w:szCs w:val="26"/>
        </w:rPr>
        <w:t>.</w:t>
      </w:r>
      <w:r w:rsidR="00320067" w:rsidRPr="00496081">
        <w:rPr>
          <w:rFonts w:ascii="Times New Roman" w:hAnsi="Times New Roman" w:cs="Times New Roman"/>
          <w:sz w:val="26"/>
          <w:szCs w:val="26"/>
        </w:rPr>
        <w:tab/>
      </w:r>
      <w:r w:rsidR="00D24B77" w:rsidRPr="00496081">
        <w:rPr>
          <w:rFonts w:ascii="Times New Roman" w:hAnsi="Times New Roman" w:cs="Times New Roman"/>
          <w:sz w:val="26"/>
          <w:szCs w:val="26"/>
        </w:rPr>
        <w:t xml:space="preserve">That after </w:t>
      </w:r>
      <w:bookmarkStart w:id="11" w:name="_Hlk84430826"/>
      <w:r>
        <w:rPr>
          <w:rFonts w:ascii="Times New Roman" w:eastAsia="Times New Roman" w:hAnsi="Times New Roman" w:cs="Times New Roman"/>
          <w:sz w:val="26"/>
          <w:szCs w:val="26"/>
        </w:rPr>
        <w:t>UGI Utilities, Inc. – Electric Division</w:t>
      </w:r>
      <w:r w:rsidRPr="00496081">
        <w:rPr>
          <w:rFonts w:ascii="Times New Roman" w:hAnsi="Times New Roman" w:cs="Times New Roman"/>
          <w:sz w:val="26"/>
          <w:szCs w:val="26"/>
        </w:rPr>
        <w:t xml:space="preserve"> </w:t>
      </w:r>
      <w:bookmarkEnd w:id="11"/>
      <w:r w:rsidR="00D24B77" w:rsidRPr="00496081">
        <w:rPr>
          <w:rFonts w:ascii="Times New Roman" w:hAnsi="Times New Roman" w:cs="Times New Roman"/>
          <w:sz w:val="26"/>
          <w:szCs w:val="26"/>
        </w:rPr>
        <w:t>files the required tariff supplement</w:t>
      </w:r>
      <w:r>
        <w:rPr>
          <w:rFonts w:ascii="Times New Roman" w:hAnsi="Times New Roman" w:cs="Times New Roman"/>
          <w:sz w:val="26"/>
          <w:szCs w:val="26"/>
        </w:rPr>
        <w:t>s</w:t>
      </w:r>
      <w:r w:rsidR="00D24B77" w:rsidRPr="00496081">
        <w:rPr>
          <w:rFonts w:ascii="Times New Roman" w:hAnsi="Times New Roman" w:cs="Times New Roman"/>
          <w:sz w:val="26"/>
          <w:szCs w:val="26"/>
        </w:rPr>
        <w:t xml:space="preserve"> set forth in </w:t>
      </w:r>
      <w:r w:rsidR="00814FF0">
        <w:rPr>
          <w:rFonts w:ascii="Times New Roman" w:hAnsi="Times New Roman" w:cs="Times New Roman"/>
          <w:sz w:val="26"/>
          <w:szCs w:val="26"/>
        </w:rPr>
        <w:t xml:space="preserve">Ordering </w:t>
      </w:r>
      <w:r w:rsidR="00D24B77" w:rsidRPr="00496081">
        <w:rPr>
          <w:rFonts w:ascii="Times New Roman" w:hAnsi="Times New Roman" w:cs="Times New Roman"/>
          <w:sz w:val="26"/>
          <w:szCs w:val="26"/>
        </w:rPr>
        <w:t xml:space="preserve">Paragraph </w:t>
      </w:r>
      <w:r w:rsidR="00814FF0">
        <w:rPr>
          <w:rFonts w:ascii="Times New Roman" w:hAnsi="Times New Roman" w:cs="Times New Roman"/>
          <w:sz w:val="26"/>
          <w:szCs w:val="26"/>
        </w:rPr>
        <w:t xml:space="preserve">No. </w:t>
      </w:r>
      <w:r w:rsidR="008B6BDC" w:rsidRPr="00496081">
        <w:rPr>
          <w:rFonts w:ascii="Times New Roman" w:hAnsi="Times New Roman" w:cs="Times New Roman"/>
          <w:sz w:val="26"/>
          <w:szCs w:val="26"/>
        </w:rPr>
        <w:t>5</w:t>
      </w:r>
      <w:r w:rsidR="008B040D" w:rsidRPr="00496081">
        <w:rPr>
          <w:rFonts w:ascii="Times New Roman" w:hAnsi="Times New Roman" w:cs="Times New Roman"/>
          <w:sz w:val="26"/>
          <w:szCs w:val="26"/>
        </w:rPr>
        <w:t xml:space="preserve"> o</w:t>
      </w:r>
      <w:r w:rsidR="00D24B77" w:rsidRPr="00496081">
        <w:rPr>
          <w:rFonts w:ascii="Times New Roman" w:hAnsi="Times New Roman" w:cs="Times New Roman"/>
          <w:sz w:val="26"/>
          <w:szCs w:val="26"/>
        </w:rPr>
        <w:t xml:space="preserve">f this </w:t>
      </w:r>
      <w:r w:rsidR="008B040D" w:rsidRPr="00496081">
        <w:rPr>
          <w:rFonts w:ascii="Times New Roman" w:hAnsi="Times New Roman" w:cs="Times New Roman"/>
          <w:sz w:val="26"/>
          <w:szCs w:val="26"/>
        </w:rPr>
        <w:t xml:space="preserve">Opinion and </w:t>
      </w:r>
      <w:r w:rsidR="00D24B77" w:rsidRPr="00496081">
        <w:rPr>
          <w:rFonts w:ascii="Times New Roman" w:hAnsi="Times New Roman" w:cs="Times New Roman"/>
          <w:sz w:val="26"/>
          <w:szCs w:val="26"/>
        </w:rPr>
        <w:t xml:space="preserve">Order, the </w:t>
      </w:r>
      <w:r w:rsidR="00AD4806" w:rsidRPr="00496081">
        <w:rPr>
          <w:rFonts w:ascii="Times New Roman" w:hAnsi="Times New Roman" w:cs="Times New Roman"/>
          <w:sz w:val="26"/>
          <w:szCs w:val="26"/>
        </w:rPr>
        <w:t xml:space="preserve">Formal </w:t>
      </w:r>
      <w:r w:rsidR="00D24B77" w:rsidRPr="00496081">
        <w:rPr>
          <w:rFonts w:ascii="Times New Roman" w:hAnsi="Times New Roman" w:cs="Times New Roman"/>
          <w:sz w:val="26"/>
          <w:szCs w:val="26"/>
        </w:rPr>
        <w:t>Complaint</w:t>
      </w:r>
      <w:r w:rsidR="009D42D4" w:rsidRPr="00496081">
        <w:rPr>
          <w:rFonts w:ascii="Times New Roman" w:hAnsi="Times New Roman" w:cs="Times New Roman"/>
          <w:sz w:val="26"/>
          <w:szCs w:val="26"/>
        </w:rPr>
        <w:t>s</w:t>
      </w:r>
      <w:r w:rsidR="00D24B77" w:rsidRPr="00496081">
        <w:rPr>
          <w:rFonts w:ascii="Times New Roman" w:hAnsi="Times New Roman" w:cs="Times New Roman"/>
          <w:sz w:val="26"/>
          <w:szCs w:val="26"/>
        </w:rPr>
        <w:t xml:space="preserve"> filed by the Office of Consumer</w:t>
      </w:r>
      <w:r w:rsidR="009564EF" w:rsidRPr="00496081">
        <w:rPr>
          <w:rFonts w:ascii="Times New Roman" w:hAnsi="Times New Roman" w:cs="Times New Roman"/>
          <w:sz w:val="26"/>
          <w:szCs w:val="26"/>
        </w:rPr>
        <w:t xml:space="preserve"> </w:t>
      </w:r>
      <w:r w:rsidR="00D24B77" w:rsidRPr="00496081">
        <w:rPr>
          <w:rFonts w:ascii="Times New Roman" w:hAnsi="Times New Roman" w:cs="Times New Roman"/>
          <w:sz w:val="26"/>
          <w:szCs w:val="26"/>
        </w:rPr>
        <w:t xml:space="preserve">Advocate </w:t>
      </w:r>
      <w:r w:rsidR="00320067" w:rsidRPr="00496081">
        <w:rPr>
          <w:rFonts w:ascii="Times New Roman" w:hAnsi="Times New Roman" w:cs="Times New Roman"/>
          <w:sz w:val="26"/>
          <w:szCs w:val="26"/>
        </w:rPr>
        <w:t xml:space="preserve">at Docket Number </w:t>
      </w:r>
      <w:r w:rsidR="009D42D4" w:rsidRPr="00496081">
        <w:rPr>
          <w:rFonts w:ascii="Times New Roman" w:hAnsi="Times New Roman" w:cs="Times New Roman"/>
          <w:sz w:val="26"/>
          <w:szCs w:val="26"/>
        </w:rPr>
        <w:t>C</w:t>
      </w:r>
      <w:r w:rsidR="002F75EB">
        <w:rPr>
          <w:rFonts w:ascii="Times New Roman" w:hAnsi="Times New Roman" w:cs="Times New Roman"/>
          <w:sz w:val="26"/>
          <w:szCs w:val="26"/>
        </w:rPr>
        <w:noBreakHyphen/>
      </w:r>
      <w:r w:rsidR="009D42D4" w:rsidRPr="00496081">
        <w:rPr>
          <w:rFonts w:ascii="Times New Roman" w:hAnsi="Times New Roman" w:cs="Times New Roman"/>
          <w:sz w:val="26"/>
          <w:szCs w:val="26"/>
        </w:rPr>
        <w:t>20</w:t>
      </w:r>
      <w:r w:rsidR="009D6D62">
        <w:rPr>
          <w:rFonts w:ascii="Times New Roman" w:hAnsi="Times New Roman" w:cs="Times New Roman"/>
          <w:sz w:val="26"/>
          <w:szCs w:val="26"/>
        </w:rPr>
        <w:t>21-</w:t>
      </w:r>
      <w:r w:rsidR="00050FB0">
        <w:rPr>
          <w:rFonts w:ascii="Times New Roman" w:hAnsi="Times New Roman" w:cs="Times New Roman"/>
          <w:sz w:val="26"/>
          <w:szCs w:val="26"/>
        </w:rPr>
        <w:t>3024213</w:t>
      </w:r>
      <w:r w:rsidR="009D42D4" w:rsidRPr="00496081">
        <w:rPr>
          <w:rFonts w:ascii="Times New Roman" w:hAnsi="Times New Roman" w:cs="Times New Roman"/>
          <w:sz w:val="26"/>
          <w:szCs w:val="26"/>
        </w:rPr>
        <w:t xml:space="preserve"> and by the Office of Small Business Advocate at C-20</w:t>
      </w:r>
      <w:r w:rsidR="00050FB0">
        <w:rPr>
          <w:rFonts w:ascii="Times New Roman" w:hAnsi="Times New Roman" w:cs="Times New Roman"/>
          <w:sz w:val="26"/>
          <w:szCs w:val="26"/>
        </w:rPr>
        <w:t>21</w:t>
      </w:r>
      <w:r w:rsidR="009D42D4" w:rsidRPr="00496081">
        <w:rPr>
          <w:rFonts w:ascii="Times New Roman" w:hAnsi="Times New Roman" w:cs="Times New Roman"/>
          <w:sz w:val="26"/>
          <w:szCs w:val="26"/>
        </w:rPr>
        <w:t>-</w:t>
      </w:r>
      <w:r w:rsidR="00011A45">
        <w:rPr>
          <w:rFonts w:ascii="Times New Roman" w:hAnsi="Times New Roman" w:cs="Times New Roman"/>
          <w:sz w:val="26"/>
          <w:szCs w:val="26"/>
        </w:rPr>
        <w:t>3024200</w:t>
      </w:r>
      <w:r w:rsidR="009D42D4" w:rsidRPr="00496081">
        <w:rPr>
          <w:rFonts w:ascii="Times New Roman" w:hAnsi="Times New Roman" w:cs="Times New Roman"/>
          <w:sz w:val="26"/>
          <w:szCs w:val="26"/>
        </w:rPr>
        <w:t xml:space="preserve"> </w:t>
      </w:r>
      <w:r w:rsidR="001A1059" w:rsidRPr="00496081">
        <w:rPr>
          <w:rFonts w:ascii="Times New Roman" w:hAnsi="Times New Roman" w:cs="Times New Roman"/>
          <w:sz w:val="26"/>
          <w:szCs w:val="26"/>
        </w:rPr>
        <w:t xml:space="preserve">shall be </w:t>
      </w:r>
      <w:r w:rsidR="009D42D4" w:rsidRPr="00496081">
        <w:rPr>
          <w:rFonts w:ascii="Times New Roman" w:hAnsi="Times New Roman" w:cs="Times New Roman"/>
          <w:sz w:val="26"/>
          <w:szCs w:val="26"/>
        </w:rPr>
        <w:t>deemed satisfied</w:t>
      </w:r>
      <w:r w:rsidR="001A1059" w:rsidRPr="00496081">
        <w:rPr>
          <w:rFonts w:ascii="Times New Roman" w:hAnsi="Times New Roman" w:cs="Times New Roman"/>
          <w:sz w:val="26"/>
          <w:szCs w:val="26"/>
        </w:rPr>
        <w:t xml:space="preserve">, </w:t>
      </w:r>
      <w:r w:rsidR="00320067" w:rsidRPr="00496081">
        <w:rPr>
          <w:rFonts w:ascii="Times New Roman" w:hAnsi="Times New Roman" w:cs="Times New Roman"/>
          <w:sz w:val="26"/>
          <w:szCs w:val="26"/>
        </w:rPr>
        <w:t>and the Commission’s investigation at Docket No. R-20</w:t>
      </w:r>
      <w:r w:rsidR="005F3F27">
        <w:rPr>
          <w:rFonts w:ascii="Times New Roman" w:hAnsi="Times New Roman" w:cs="Times New Roman"/>
          <w:sz w:val="26"/>
          <w:szCs w:val="26"/>
        </w:rPr>
        <w:t>21</w:t>
      </w:r>
      <w:r w:rsidR="00320067" w:rsidRPr="00496081">
        <w:rPr>
          <w:rFonts w:ascii="Times New Roman" w:hAnsi="Times New Roman" w:cs="Times New Roman"/>
          <w:sz w:val="26"/>
          <w:szCs w:val="26"/>
        </w:rPr>
        <w:t>-</w:t>
      </w:r>
      <w:r w:rsidR="005F3F27">
        <w:rPr>
          <w:rFonts w:ascii="Times New Roman" w:hAnsi="Times New Roman" w:cs="Times New Roman"/>
          <w:sz w:val="26"/>
          <w:szCs w:val="26"/>
        </w:rPr>
        <w:t>3023618</w:t>
      </w:r>
      <w:r w:rsidR="00320067" w:rsidRPr="00496081">
        <w:rPr>
          <w:rFonts w:ascii="Times New Roman" w:hAnsi="Times New Roman" w:cs="Times New Roman"/>
          <w:sz w:val="26"/>
          <w:szCs w:val="26"/>
        </w:rPr>
        <w:t xml:space="preserve"> </w:t>
      </w:r>
      <w:r w:rsidR="00D24B77" w:rsidRPr="00496081">
        <w:rPr>
          <w:rFonts w:ascii="Times New Roman" w:hAnsi="Times New Roman" w:cs="Times New Roman"/>
          <w:sz w:val="26"/>
          <w:szCs w:val="26"/>
        </w:rPr>
        <w:t>shall be terminated</w:t>
      </w:r>
      <w:r w:rsidR="001A1059" w:rsidRPr="00496081">
        <w:rPr>
          <w:rFonts w:ascii="Times New Roman" w:hAnsi="Times New Roman" w:cs="Times New Roman"/>
          <w:sz w:val="26"/>
          <w:szCs w:val="26"/>
        </w:rPr>
        <w:t>,</w:t>
      </w:r>
      <w:r w:rsidR="00D24B77" w:rsidRPr="00496081">
        <w:rPr>
          <w:rFonts w:ascii="Times New Roman" w:hAnsi="Times New Roman" w:cs="Times New Roman"/>
          <w:sz w:val="26"/>
          <w:szCs w:val="26"/>
        </w:rPr>
        <w:t xml:space="preserve"> and</w:t>
      </w:r>
      <w:r w:rsidR="001A1059" w:rsidRPr="00496081">
        <w:rPr>
          <w:rFonts w:ascii="Times New Roman" w:hAnsi="Times New Roman" w:cs="Times New Roman"/>
          <w:sz w:val="26"/>
          <w:szCs w:val="26"/>
        </w:rPr>
        <w:t xml:space="preserve"> </w:t>
      </w:r>
      <w:r w:rsidR="009D42D4" w:rsidRPr="00496081">
        <w:rPr>
          <w:rFonts w:ascii="Times New Roman" w:hAnsi="Times New Roman" w:cs="Times New Roman"/>
          <w:sz w:val="26"/>
          <w:szCs w:val="26"/>
        </w:rPr>
        <w:t>all three</w:t>
      </w:r>
      <w:r w:rsidR="001A1059" w:rsidRPr="00496081">
        <w:rPr>
          <w:rFonts w:ascii="Times New Roman" w:hAnsi="Times New Roman" w:cs="Times New Roman"/>
          <w:sz w:val="26"/>
          <w:szCs w:val="26"/>
        </w:rPr>
        <w:t xml:space="preserve"> dockets shall be</w:t>
      </w:r>
      <w:r w:rsidR="00D24B77" w:rsidRPr="00496081">
        <w:rPr>
          <w:rFonts w:ascii="Times New Roman" w:hAnsi="Times New Roman" w:cs="Times New Roman"/>
          <w:sz w:val="26"/>
          <w:szCs w:val="26"/>
        </w:rPr>
        <w:t xml:space="preserve"> marked closed.</w:t>
      </w:r>
    </w:p>
    <w:p w14:paraId="24D18EDC" w14:textId="77777777" w:rsidR="009D42D4" w:rsidRPr="00496081" w:rsidRDefault="009D42D4" w:rsidP="002F75EB">
      <w:pPr>
        <w:spacing w:after="0" w:line="360" w:lineRule="auto"/>
        <w:ind w:firstLine="1440"/>
        <w:contextualSpacing/>
        <w:rPr>
          <w:rFonts w:ascii="Times New Roman" w:hAnsi="Times New Roman" w:cs="Times New Roman"/>
          <w:sz w:val="26"/>
          <w:szCs w:val="26"/>
        </w:rPr>
      </w:pPr>
    </w:p>
    <w:p w14:paraId="0C064D63" w14:textId="48FCFD8F" w:rsidR="008026DB" w:rsidRPr="008026DB" w:rsidRDefault="00583140" w:rsidP="002F75EB">
      <w:pPr>
        <w:spacing w:after="0" w:line="360" w:lineRule="auto"/>
        <w:ind w:firstLine="1440"/>
        <w:rPr>
          <w:rFonts w:ascii="Times New Roman" w:hAnsi="Times New Roman" w:cs="Times New Roman"/>
          <w:sz w:val="26"/>
          <w:szCs w:val="26"/>
        </w:rPr>
      </w:pPr>
      <w:r w:rsidRPr="008026DB">
        <w:rPr>
          <w:rFonts w:ascii="Times New Roman" w:hAnsi="Times New Roman" w:cs="Times New Roman"/>
          <w:sz w:val="26"/>
          <w:szCs w:val="26"/>
        </w:rPr>
        <w:t>7.</w:t>
      </w:r>
      <w:r w:rsidRPr="008026DB">
        <w:rPr>
          <w:rFonts w:ascii="Times New Roman" w:hAnsi="Times New Roman" w:cs="Times New Roman"/>
          <w:sz w:val="26"/>
          <w:szCs w:val="26"/>
        </w:rPr>
        <w:tab/>
      </w:r>
      <w:r w:rsidR="008026DB" w:rsidRPr="008026DB">
        <w:rPr>
          <w:rFonts w:ascii="Times New Roman" w:hAnsi="Times New Roman" w:cs="Times New Roman"/>
          <w:sz w:val="26"/>
          <w:szCs w:val="26"/>
        </w:rPr>
        <w:t>That</w:t>
      </w:r>
      <w:r w:rsidR="008026DB" w:rsidRPr="008026DB">
        <w:rPr>
          <w:rFonts w:ascii="Times New Roman" w:eastAsia="Times New Roman" w:hAnsi="Times New Roman" w:cs="Times New Roman"/>
          <w:sz w:val="26"/>
          <w:szCs w:val="26"/>
        </w:rPr>
        <w:t xml:space="preserve"> UGI Utilities, Inc. – Electric Division shall provide the information about the battery storage </w:t>
      </w:r>
      <w:r w:rsidR="00B5150C">
        <w:rPr>
          <w:rFonts w:ascii="Times New Roman" w:eastAsia="Times New Roman" w:hAnsi="Times New Roman" w:cs="Times New Roman"/>
          <w:sz w:val="26"/>
          <w:szCs w:val="26"/>
        </w:rPr>
        <w:t>system</w:t>
      </w:r>
      <w:r w:rsidR="008026DB" w:rsidRPr="008026DB">
        <w:rPr>
          <w:rFonts w:ascii="Times New Roman" w:eastAsia="Times New Roman" w:hAnsi="Times New Roman" w:cs="Times New Roman"/>
          <w:sz w:val="26"/>
          <w:szCs w:val="26"/>
        </w:rPr>
        <w:t>, listed in</w:t>
      </w:r>
      <w:r w:rsidR="008026DB" w:rsidRPr="008026DB">
        <w:rPr>
          <w:rFonts w:ascii="Times New Roman" w:hAnsi="Times New Roman" w:cs="Times New Roman"/>
          <w:sz w:val="26"/>
          <w:szCs w:val="26"/>
        </w:rPr>
        <w:t xml:space="preserve"> Paragraph 50 of the </w:t>
      </w:r>
      <w:r w:rsidR="008026DB" w:rsidRPr="008026DB">
        <w:rPr>
          <w:rFonts w:ascii="Times New Roman" w:eastAsia="Times New Roman" w:hAnsi="Times New Roman" w:cs="Times New Roman"/>
          <w:sz w:val="26"/>
          <w:szCs w:val="26"/>
        </w:rPr>
        <w:t xml:space="preserve">Joint Petition for Approval of Settlement of All Issues, in annual reports filed with the Commission’s Secretary’s Bureau, with a copy </w:t>
      </w:r>
      <w:r w:rsidR="008026DB" w:rsidRPr="008026DB">
        <w:rPr>
          <w:rFonts w:ascii="Times New Roman" w:hAnsi="Times New Roman" w:cs="Times New Roman"/>
          <w:sz w:val="26"/>
          <w:szCs w:val="26"/>
        </w:rPr>
        <w:t>served on the Reliability and Emergency Preparedness Section of the Bureau of Technical Utility Services</w:t>
      </w:r>
      <w:r w:rsidR="00AC3331">
        <w:rPr>
          <w:rFonts w:ascii="Times New Roman" w:hAnsi="Times New Roman" w:cs="Times New Roman"/>
          <w:sz w:val="26"/>
          <w:szCs w:val="26"/>
        </w:rPr>
        <w:t>, by January 1st of each year that the battery storage system remains in service, with the first annual report to be filed by January 1, 2023.</w:t>
      </w:r>
      <w:r w:rsidR="008026DB" w:rsidRPr="008026DB">
        <w:rPr>
          <w:rFonts w:ascii="Times New Roman" w:hAnsi="Times New Roman" w:cs="Times New Roman"/>
          <w:sz w:val="26"/>
          <w:szCs w:val="26"/>
        </w:rPr>
        <w:t> </w:t>
      </w:r>
    </w:p>
    <w:p w14:paraId="68A8EB97" w14:textId="68D38D27" w:rsidR="00583140" w:rsidRDefault="00583140" w:rsidP="002F75EB">
      <w:pPr>
        <w:spacing w:after="0" w:line="360" w:lineRule="auto"/>
        <w:ind w:firstLine="1440"/>
        <w:contextualSpacing/>
        <w:rPr>
          <w:rFonts w:ascii="Times New Roman" w:hAnsi="Times New Roman" w:cs="Times New Roman"/>
          <w:sz w:val="26"/>
          <w:szCs w:val="26"/>
        </w:rPr>
      </w:pPr>
    </w:p>
    <w:p w14:paraId="16625CF9" w14:textId="4204D0CD" w:rsidR="009D42D4" w:rsidRPr="00496081" w:rsidRDefault="00BC5859"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8</w:t>
      </w:r>
      <w:r w:rsidR="009D42D4" w:rsidRPr="00496081">
        <w:rPr>
          <w:rFonts w:ascii="Times New Roman" w:hAnsi="Times New Roman" w:cs="Times New Roman"/>
          <w:sz w:val="26"/>
          <w:szCs w:val="26"/>
        </w:rPr>
        <w:t>.</w:t>
      </w:r>
      <w:r w:rsidR="009D42D4" w:rsidRPr="00496081">
        <w:rPr>
          <w:rFonts w:ascii="Times New Roman" w:hAnsi="Times New Roman" w:cs="Times New Roman"/>
          <w:sz w:val="26"/>
          <w:szCs w:val="26"/>
        </w:rPr>
        <w:tab/>
      </w:r>
      <w:r w:rsidR="00AD4806" w:rsidRPr="00496081">
        <w:rPr>
          <w:rFonts w:ascii="Times New Roman" w:hAnsi="Times New Roman" w:cs="Times New Roman"/>
          <w:sz w:val="26"/>
          <w:szCs w:val="26"/>
        </w:rPr>
        <w:t xml:space="preserve">That the Formal Complaint filed by </w:t>
      </w:r>
      <w:r w:rsidR="00A22CA5">
        <w:rPr>
          <w:rFonts w:ascii="Times New Roman" w:hAnsi="Times New Roman" w:cs="Times New Roman"/>
          <w:sz w:val="26"/>
          <w:szCs w:val="26"/>
        </w:rPr>
        <w:t xml:space="preserve">Jennifer Mattingly </w:t>
      </w:r>
      <w:r w:rsidR="00405A95">
        <w:rPr>
          <w:rFonts w:ascii="Times New Roman" w:hAnsi="Times New Roman" w:cs="Times New Roman"/>
          <w:sz w:val="26"/>
          <w:szCs w:val="26"/>
        </w:rPr>
        <w:t xml:space="preserve">against </w:t>
      </w:r>
      <w:r w:rsidR="00405A95">
        <w:rPr>
          <w:rFonts w:ascii="Times New Roman" w:eastAsia="Times New Roman" w:hAnsi="Times New Roman" w:cs="Times New Roman"/>
          <w:sz w:val="26"/>
          <w:szCs w:val="26"/>
        </w:rPr>
        <w:t>UGI Utilities, Inc. – Electric Division</w:t>
      </w:r>
      <w:r w:rsidR="00405A95" w:rsidRPr="00496081">
        <w:rPr>
          <w:rFonts w:ascii="Times New Roman" w:hAnsi="Times New Roman" w:cs="Times New Roman"/>
          <w:sz w:val="26"/>
          <w:szCs w:val="26"/>
        </w:rPr>
        <w:t xml:space="preserve"> </w:t>
      </w:r>
      <w:r w:rsidR="00A22CA5">
        <w:rPr>
          <w:rFonts w:ascii="Times New Roman" w:hAnsi="Times New Roman" w:cs="Times New Roman"/>
          <w:sz w:val="26"/>
          <w:szCs w:val="26"/>
        </w:rPr>
        <w:t>at Docket Number C-2021-</w:t>
      </w:r>
      <w:r w:rsidR="00400103">
        <w:rPr>
          <w:rFonts w:ascii="Times New Roman" w:hAnsi="Times New Roman" w:cs="Times New Roman"/>
          <w:sz w:val="26"/>
          <w:szCs w:val="26"/>
        </w:rPr>
        <w:t>3024500</w:t>
      </w:r>
      <w:r w:rsidR="00AD4806" w:rsidRPr="00496081">
        <w:rPr>
          <w:rFonts w:ascii="Times New Roman" w:hAnsi="Times New Roman" w:cs="Times New Roman"/>
          <w:sz w:val="26"/>
          <w:szCs w:val="26"/>
        </w:rPr>
        <w:t>, is dismissed and marked closed.</w:t>
      </w:r>
    </w:p>
    <w:p w14:paraId="56958822" w14:textId="77777777" w:rsidR="009D42D4" w:rsidRPr="00496081" w:rsidRDefault="009D42D4" w:rsidP="002F75EB">
      <w:pPr>
        <w:spacing w:after="0" w:line="360" w:lineRule="auto"/>
        <w:ind w:firstLine="1440"/>
        <w:contextualSpacing/>
        <w:rPr>
          <w:rFonts w:ascii="Times New Roman" w:hAnsi="Times New Roman" w:cs="Times New Roman"/>
          <w:sz w:val="26"/>
          <w:szCs w:val="26"/>
        </w:rPr>
      </w:pPr>
    </w:p>
    <w:p w14:paraId="41946BB9" w14:textId="0643597A" w:rsidR="009D42D4" w:rsidRPr="00496081" w:rsidRDefault="00BC5859"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9</w:t>
      </w:r>
      <w:r w:rsidR="009D42D4" w:rsidRPr="00496081">
        <w:rPr>
          <w:rFonts w:ascii="Times New Roman" w:hAnsi="Times New Roman" w:cs="Times New Roman"/>
          <w:sz w:val="26"/>
          <w:szCs w:val="26"/>
        </w:rPr>
        <w:t>.</w:t>
      </w:r>
      <w:r w:rsidR="009D42D4" w:rsidRPr="00496081">
        <w:rPr>
          <w:rFonts w:ascii="Times New Roman" w:hAnsi="Times New Roman" w:cs="Times New Roman"/>
          <w:sz w:val="26"/>
          <w:szCs w:val="26"/>
        </w:rPr>
        <w:tab/>
      </w:r>
      <w:r w:rsidR="00FE5BF0" w:rsidRPr="00496081">
        <w:rPr>
          <w:rFonts w:ascii="Times New Roman" w:hAnsi="Times New Roman" w:cs="Times New Roman"/>
          <w:sz w:val="26"/>
          <w:szCs w:val="26"/>
        </w:rPr>
        <w:t>That the Formal Complaint filed by</w:t>
      </w:r>
      <w:r w:rsidR="00D919DB">
        <w:rPr>
          <w:rFonts w:ascii="Times New Roman" w:hAnsi="Times New Roman" w:cs="Times New Roman"/>
          <w:sz w:val="26"/>
          <w:szCs w:val="26"/>
        </w:rPr>
        <w:t xml:space="preserve"> Brandi Brace against </w:t>
      </w:r>
      <w:r w:rsidR="00D919DB">
        <w:rPr>
          <w:rFonts w:ascii="Times New Roman" w:eastAsia="Times New Roman" w:hAnsi="Times New Roman" w:cs="Times New Roman"/>
          <w:sz w:val="26"/>
          <w:szCs w:val="26"/>
        </w:rPr>
        <w:t>UGI Utilities, Inc. – Electric Division at Docket Number</w:t>
      </w:r>
      <w:r w:rsidR="00C156D2">
        <w:rPr>
          <w:rFonts w:ascii="Times New Roman" w:eastAsia="Times New Roman" w:hAnsi="Times New Roman" w:cs="Times New Roman"/>
          <w:sz w:val="26"/>
          <w:szCs w:val="26"/>
        </w:rPr>
        <w:t xml:space="preserve"> C-2021-3024613</w:t>
      </w:r>
      <w:r w:rsidR="00FE5BF0" w:rsidRPr="00496081">
        <w:rPr>
          <w:rFonts w:ascii="Times New Roman" w:hAnsi="Times New Roman" w:cs="Times New Roman"/>
          <w:sz w:val="26"/>
          <w:szCs w:val="26"/>
        </w:rPr>
        <w:t>, is dismissed and marked closed.</w:t>
      </w:r>
    </w:p>
    <w:p w14:paraId="75F57D35" w14:textId="77777777" w:rsidR="009D42D4" w:rsidRPr="00496081" w:rsidRDefault="009D42D4" w:rsidP="002F75EB">
      <w:pPr>
        <w:spacing w:after="0" w:line="360" w:lineRule="auto"/>
        <w:ind w:firstLine="1440"/>
        <w:contextualSpacing/>
        <w:rPr>
          <w:rFonts w:ascii="Times New Roman" w:hAnsi="Times New Roman" w:cs="Times New Roman"/>
          <w:sz w:val="26"/>
          <w:szCs w:val="26"/>
        </w:rPr>
      </w:pPr>
    </w:p>
    <w:p w14:paraId="11C9D053" w14:textId="5E1CC78D" w:rsidR="00B658C3" w:rsidRDefault="00BC5859"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10</w:t>
      </w:r>
      <w:r w:rsidR="009D42D4" w:rsidRPr="00496081">
        <w:rPr>
          <w:rFonts w:ascii="Times New Roman" w:hAnsi="Times New Roman" w:cs="Times New Roman"/>
          <w:sz w:val="26"/>
          <w:szCs w:val="26"/>
        </w:rPr>
        <w:t>.</w:t>
      </w:r>
      <w:r w:rsidR="009D42D4" w:rsidRPr="00496081">
        <w:rPr>
          <w:rFonts w:ascii="Times New Roman" w:hAnsi="Times New Roman" w:cs="Times New Roman"/>
          <w:sz w:val="26"/>
          <w:szCs w:val="26"/>
        </w:rPr>
        <w:tab/>
      </w:r>
      <w:r w:rsidR="00FE5BF0" w:rsidRPr="00496081">
        <w:rPr>
          <w:rFonts w:ascii="Times New Roman" w:hAnsi="Times New Roman" w:cs="Times New Roman"/>
          <w:sz w:val="26"/>
          <w:szCs w:val="26"/>
        </w:rPr>
        <w:t xml:space="preserve">That the Formal Complaint filed by </w:t>
      </w:r>
      <w:r w:rsidR="00C156D2">
        <w:rPr>
          <w:rFonts w:ascii="Times New Roman" w:hAnsi="Times New Roman" w:cs="Times New Roman"/>
          <w:sz w:val="26"/>
          <w:szCs w:val="26"/>
        </w:rPr>
        <w:t xml:space="preserve">Kim </w:t>
      </w:r>
      <w:r w:rsidR="001623E9">
        <w:rPr>
          <w:rFonts w:ascii="Times New Roman" w:hAnsi="Times New Roman" w:cs="Times New Roman"/>
          <w:sz w:val="26"/>
          <w:szCs w:val="26"/>
        </w:rPr>
        <w:t xml:space="preserve">Kotyk against </w:t>
      </w:r>
      <w:r w:rsidR="001623E9">
        <w:rPr>
          <w:rFonts w:ascii="Times New Roman" w:eastAsia="Times New Roman" w:hAnsi="Times New Roman" w:cs="Times New Roman"/>
          <w:sz w:val="26"/>
          <w:szCs w:val="26"/>
        </w:rPr>
        <w:t>UGI Utilities, Inc. – Electric Division</w:t>
      </w:r>
      <w:r w:rsidR="00FE5BF0" w:rsidRPr="00496081">
        <w:rPr>
          <w:rFonts w:ascii="Times New Roman" w:hAnsi="Times New Roman" w:cs="Times New Roman"/>
          <w:sz w:val="26"/>
          <w:szCs w:val="26"/>
        </w:rPr>
        <w:t xml:space="preserve"> at Docket Number C-20</w:t>
      </w:r>
      <w:r w:rsidR="001623E9">
        <w:rPr>
          <w:rFonts w:ascii="Times New Roman" w:hAnsi="Times New Roman" w:cs="Times New Roman"/>
          <w:sz w:val="26"/>
          <w:szCs w:val="26"/>
        </w:rPr>
        <w:t>21</w:t>
      </w:r>
      <w:r w:rsidR="00FE5BF0" w:rsidRPr="00496081">
        <w:rPr>
          <w:rFonts w:ascii="Times New Roman" w:hAnsi="Times New Roman" w:cs="Times New Roman"/>
          <w:sz w:val="26"/>
          <w:szCs w:val="26"/>
        </w:rPr>
        <w:t>-</w:t>
      </w:r>
      <w:r w:rsidR="00B658C3">
        <w:rPr>
          <w:rFonts w:ascii="Times New Roman" w:hAnsi="Times New Roman" w:cs="Times New Roman"/>
          <w:sz w:val="26"/>
          <w:szCs w:val="26"/>
        </w:rPr>
        <w:t>3024833</w:t>
      </w:r>
      <w:r w:rsidR="00FE5BF0" w:rsidRPr="00496081">
        <w:rPr>
          <w:rFonts w:ascii="Times New Roman" w:hAnsi="Times New Roman" w:cs="Times New Roman"/>
          <w:sz w:val="26"/>
          <w:szCs w:val="26"/>
        </w:rPr>
        <w:t>, is dismissed and marked closed.</w:t>
      </w:r>
    </w:p>
    <w:p w14:paraId="606363EA" w14:textId="1FAAF449" w:rsidR="009D42D4" w:rsidRDefault="009D42D4" w:rsidP="002F75EB">
      <w:pPr>
        <w:spacing w:after="0"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lastRenderedPageBreak/>
        <w:t>1</w:t>
      </w:r>
      <w:r w:rsidR="00BC5859">
        <w:rPr>
          <w:rFonts w:ascii="Times New Roman" w:hAnsi="Times New Roman" w:cs="Times New Roman"/>
          <w:sz w:val="26"/>
          <w:szCs w:val="26"/>
        </w:rPr>
        <w:t>1</w:t>
      </w:r>
      <w:r w:rsidRPr="00496081">
        <w:rPr>
          <w:rFonts w:ascii="Times New Roman" w:hAnsi="Times New Roman" w:cs="Times New Roman"/>
          <w:sz w:val="26"/>
          <w:szCs w:val="26"/>
        </w:rPr>
        <w:t>.</w:t>
      </w:r>
      <w:r w:rsidRPr="00496081">
        <w:rPr>
          <w:rFonts w:ascii="Times New Roman" w:hAnsi="Times New Roman" w:cs="Times New Roman"/>
          <w:sz w:val="26"/>
          <w:szCs w:val="26"/>
        </w:rPr>
        <w:tab/>
      </w:r>
      <w:bookmarkStart w:id="12" w:name="_Hlk84431167"/>
      <w:r w:rsidR="00FE5BF0" w:rsidRPr="00496081">
        <w:rPr>
          <w:rFonts w:ascii="Times New Roman" w:hAnsi="Times New Roman" w:cs="Times New Roman"/>
          <w:sz w:val="26"/>
          <w:szCs w:val="26"/>
        </w:rPr>
        <w:t xml:space="preserve">That the Formal Complaint filed by </w:t>
      </w:r>
      <w:r w:rsidR="00B658C3">
        <w:rPr>
          <w:rFonts w:ascii="Times New Roman" w:hAnsi="Times New Roman" w:cs="Times New Roman"/>
          <w:sz w:val="26"/>
          <w:szCs w:val="26"/>
        </w:rPr>
        <w:t xml:space="preserve">Barbara Brennan against </w:t>
      </w:r>
      <w:r w:rsidR="00B658C3">
        <w:rPr>
          <w:rFonts w:ascii="Times New Roman" w:eastAsia="Times New Roman" w:hAnsi="Times New Roman" w:cs="Times New Roman"/>
          <w:sz w:val="26"/>
          <w:szCs w:val="26"/>
        </w:rPr>
        <w:t>UGI Utilities, Inc. – Electric Division</w:t>
      </w:r>
      <w:r w:rsidR="00FE5BF0" w:rsidRPr="00496081">
        <w:rPr>
          <w:rFonts w:ascii="Times New Roman" w:hAnsi="Times New Roman" w:cs="Times New Roman"/>
          <w:sz w:val="26"/>
          <w:szCs w:val="26"/>
        </w:rPr>
        <w:t xml:space="preserve"> at Docket Number C-20</w:t>
      </w:r>
      <w:r w:rsidR="00B302C6">
        <w:rPr>
          <w:rFonts w:ascii="Times New Roman" w:hAnsi="Times New Roman" w:cs="Times New Roman"/>
          <w:sz w:val="26"/>
          <w:szCs w:val="26"/>
        </w:rPr>
        <w:t>21-3024846</w:t>
      </w:r>
      <w:r w:rsidR="00FE5BF0" w:rsidRPr="00496081">
        <w:rPr>
          <w:rFonts w:ascii="Times New Roman" w:hAnsi="Times New Roman" w:cs="Times New Roman"/>
          <w:sz w:val="26"/>
          <w:szCs w:val="26"/>
        </w:rPr>
        <w:t>, is dismissed and marked closed.</w:t>
      </w:r>
    </w:p>
    <w:bookmarkEnd w:id="12"/>
    <w:p w14:paraId="57B8189D" w14:textId="4C952816" w:rsidR="00B302C6" w:rsidRDefault="00B302C6" w:rsidP="002F75EB">
      <w:pPr>
        <w:spacing w:after="0" w:line="360" w:lineRule="auto"/>
        <w:ind w:firstLine="1440"/>
        <w:contextualSpacing/>
        <w:rPr>
          <w:rFonts w:ascii="Times New Roman" w:hAnsi="Times New Roman" w:cs="Times New Roman"/>
          <w:sz w:val="26"/>
          <w:szCs w:val="26"/>
        </w:rPr>
      </w:pPr>
    </w:p>
    <w:p w14:paraId="748D1397" w14:textId="1860C4E2" w:rsidR="00B302C6" w:rsidRDefault="00B302C6"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1</w:t>
      </w:r>
      <w:r w:rsidR="00BC5859">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r>
      <w:r w:rsidRPr="00496081">
        <w:rPr>
          <w:rFonts w:ascii="Times New Roman" w:hAnsi="Times New Roman" w:cs="Times New Roman"/>
          <w:sz w:val="26"/>
          <w:szCs w:val="26"/>
        </w:rPr>
        <w:t xml:space="preserve">That the Formal Complaint filed by </w:t>
      </w:r>
      <w:r>
        <w:rPr>
          <w:rFonts w:ascii="Times New Roman" w:hAnsi="Times New Roman" w:cs="Times New Roman"/>
          <w:sz w:val="26"/>
          <w:szCs w:val="26"/>
        </w:rPr>
        <w:t xml:space="preserve">Lindsey </w:t>
      </w:r>
      <w:r w:rsidR="008D08A3">
        <w:rPr>
          <w:rFonts w:ascii="Times New Roman" w:hAnsi="Times New Roman" w:cs="Times New Roman"/>
          <w:sz w:val="26"/>
          <w:szCs w:val="26"/>
        </w:rPr>
        <w:t>Yeider Wosik</w:t>
      </w:r>
      <w:r>
        <w:rPr>
          <w:rFonts w:ascii="Times New Roman" w:hAnsi="Times New Roman" w:cs="Times New Roman"/>
          <w:sz w:val="26"/>
          <w:szCs w:val="26"/>
        </w:rPr>
        <w:t xml:space="preserve"> against </w:t>
      </w:r>
      <w:r>
        <w:rPr>
          <w:rFonts w:ascii="Times New Roman" w:eastAsia="Times New Roman" w:hAnsi="Times New Roman" w:cs="Times New Roman"/>
          <w:sz w:val="26"/>
          <w:szCs w:val="26"/>
        </w:rPr>
        <w:t>UGI Utilities, Inc. – Electric Division</w:t>
      </w:r>
      <w:r w:rsidRPr="00496081">
        <w:rPr>
          <w:rFonts w:ascii="Times New Roman" w:hAnsi="Times New Roman" w:cs="Times New Roman"/>
          <w:sz w:val="26"/>
          <w:szCs w:val="26"/>
        </w:rPr>
        <w:t xml:space="preserve"> at Docket Number C-20</w:t>
      </w:r>
      <w:r>
        <w:rPr>
          <w:rFonts w:ascii="Times New Roman" w:hAnsi="Times New Roman" w:cs="Times New Roman"/>
          <w:sz w:val="26"/>
          <w:szCs w:val="26"/>
        </w:rPr>
        <w:t>21-</w:t>
      </w:r>
      <w:r w:rsidR="008D08A3">
        <w:rPr>
          <w:rFonts w:ascii="Times New Roman" w:hAnsi="Times New Roman" w:cs="Times New Roman"/>
          <w:sz w:val="26"/>
          <w:szCs w:val="26"/>
        </w:rPr>
        <w:t>302</w:t>
      </w:r>
      <w:r w:rsidR="00A6357B">
        <w:rPr>
          <w:rFonts w:ascii="Times New Roman" w:hAnsi="Times New Roman" w:cs="Times New Roman"/>
          <w:sz w:val="26"/>
          <w:szCs w:val="26"/>
        </w:rPr>
        <w:t>4927</w:t>
      </w:r>
      <w:r w:rsidRPr="00496081">
        <w:rPr>
          <w:rFonts w:ascii="Times New Roman" w:hAnsi="Times New Roman" w:cs="Times New Roman"/>
          <w:sz w:val="26"/>
          <w:szCs w:val="26"/>
        </w:rPr>
        <w:t>, is dismissed and marked closed.</w:t>
      </w:r>
    </w:p>
    <w:p w14:paraId="112FA0CC" w14:textId="0B45B48A" w:rsidR="00B302C6" w:rsidRDefault="00B302C6" w:rsidP="002F75EB">
      <w:pPr>
        <w:spacing w:after="0" w:line="360" w:lineRule="auto"/>
        <w:ind w:firstLine="1440"/>
        <w:contextualSpacing/>
        <w:rPr>
          <w:rFonts w:ascii="Times New Roman" w:hAnsi="Times New Roman" w:cs="Times New Roman"/>
          <w:sz w:val="26"/>
          <w:szCs w:val="26"/>
        </w:rPr>
      </w:pPr>
    </w:p>
    <w:p w14:paraId="3650BCB9" w14:textId="37B4343F" w:rsidR="00A6357B" w:rsidRDefault="00A6357B"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1</w:t>
      </w:r>
      <w:r w:rsidR="00BC5859">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r>
      <w:r w:rsidRPr="00496081">
        <w:rPr>
          <w:rFonts w:ascii="Times New Roman" w:hAnsi="Times New Roman" w:cs="Times New Roman"/>
          <w:sz w:val="26"/>
          <w:szCs w:val="26"/>
        </w:rPr>
        <w:t xml:space="preserve">That the Formal Complaint filed by </w:t>
      </w:r>
      <w:r>
        <w:rPr>
          <w:rFonts w:ascii="Times New Roman" w:hAnsi="Times New Roman" w:cs="Times New Roman"/>
          <w:sz w:val="26"/>
          <w:szCs w:val="26"/>
        </w:rPr>
        <w:t>Roger and Maria Hogue</w:t>
      </w:r>
      <w:r w:rsidR="001B1134">
        <w:rPr>
          <w:rFonts w:ascii="Times New Roman" w:hAnsi="Times New Roman" w:cs="Times New Roman"/>
          <w:sz w:val="26"/>
          <w:szCs w:val="26"/>
        </w:rPr>
        <w:t xml:space="preserve"> </w:t>
      </w:r>
      <w:r>
        <w:rPr>
          <w:rFonts w:ascii="Times New Roman" w:hAnsi="Times New Roman" w:cs="Times New Roman"/>
          <w:sz w:val="26"/>
          <w:szCs w:val="26"/>
        </w:rPr>
        <w:t xml:space="preserve">against </w:t>
      </w:r>
      <w:r>
        <w:rPr>
          <w:rFonts w:ascii="Times New Roman" w:eastAsia="Times New Roman" w:hAnsi="Times New Roman" w:cs="Times New Roman"/>
          <w:sz w:val="26"/>
          <w:szCs w:val="26"/>
        </w:rPr>
        <w:t>UGI Utilities, Inc. – Electric Division</w:t>
      </w:r>
      <w:r w:rsidRPr="00496081">
        <w:rPr>
          <w:rFonts w:ascii="Times New Roman" w:hAnsi="Times New Roman" w:cs="Times New Roman"/>
          <w:sz w:val="26"/>
          <w:szCs w:val="26"/>
        </w:rPr>
        <w:t xml:space="preserve"> at Docket Number C-20</w:t>
      </w:r>
      <w:r>
        <w:rPr>
          <w:rFonts w:ascii="Times New Roman" w:hAnsi="Times New Roman" w:cs="Times New Roman"/>
          <w:sz w:val="26"/>
          <w:szCs w:val="26"/>
        </w:rPr>
        <w:t>21-</w:t>
      </w:r>
      <w:r w:rsidR="001B1134">
        <w:rPr>
          <w:rFonts w:ascii="Times New Roman" w:hAnsi="Times New Roman" w:cs="Times New Roman"/>
          <w:sz w:val="26"/>
          <w:szCs w:val="26"/>
        </w:rPr>
        <w:t>3025072</w:t>
      </w:r>
      <w:r w:rsidRPr="00496081">
        <w:rPr>
          <w:rFonts w:ascii="Times New Roman" w:hAnsi="Times New Roman" w:cs="Times New Roman"/>
          <w:sz w:val="26"/>
          <w:szCs w:val="26"/>
        </w:rPr>
        <w:t>, is dismissed and marked closed.</w:t>
      </w:r>
    </w:p>
    <w:p w14:paraId="0C2BBA39" w14:textId="58133CF9" w:rsidR="00A6357B" w:rsidRDefault="00A6357B" w:rsidP="002F75EB">
      <w:pPr>
        <w:spacing w:after="0" w:line="360" w:lineRule="auto"/>
        <w:ind w:firstLine="1440"/>
        <w:contextualSpacing/>
        <w:rPr>
          <w:rFonts w:ascii="Times New Roman" w:hAnsi="Times New Roman" w:cs="Times New Roman"/>
          <w:sz w:val="26"/>
          <w:szCs w:val="26"/>
        </w:rPr>
      </w:pPr>
    </w:p>
    <w:p w14:paraId="6F77D38F" w14:textId="51A603B1" w:rsidR="001B1134" w:rsidRDefault="001B1134"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1</w:t>
      </w:r>
      <w:r w:rsidR="00BC5859">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Pr="00496081">
        <w:rPr>
          <w:rFonts w:ascii="Times New Roman" w:hAnsi="Times New Roman" w:cs="Times New Roman"/>
          <w:sz w:val="26"/>
          <w:szCs w:val="26"/>
        </w:rPr>
        <w:t xml:space="preserve">That the Formal Complaint filed by </w:t>
      </w:r>
      <w:r w:rsidR="00D9294F">
        <w:rPr>
          <w:rFonts w:ascii="Times New Roman" w:hAnsi="Times New Roman" w:cs="Times New Roman"/>
          <w:sz w:val="26"/>
          <w:szCs w:val="26"/>
        </w:rPr>
        <w:t>Lisa Infantino</w:t>
      </w:r>
      <w:r>
        <w:rPr>
          <w:rFonts w:ascii="Times New Roman" w:hAnsi="Times New Roman" w:cs="Times New Roman"/>
          <w:sz w:val="26"/>
          <w:szCs w:val="26"/>
        </w:rPr>
        <w:t xml:space="preserve"> against </w:t>
      </w:r>
      <w:r>
        <w:rPr>
          <w:rFonts w:ascii="Times New Roman" w:eastAsia="Times New Roman" w:hAnsi="Times New Roman" w:cs="Times New Roman"/>
          <w:sz w:val="26"/>
          <w:szCs w:val="26"/>
        </w:rPr>
        <w:t>UGI Utilities, Inc. – Electric Division</w:t>
      </w:r>
      <w:r w:rsidRPr="00496081">
        <w:rPr>
          <w:rFonts w:ascii="Times New Roman" w:hAnsi="Times New Roman" w:cs="Times New Roman"/>
          <w:sz w:val="26"/>
          <w:szCs w:val="26"/>
        </w:rPr>
        <w:t xml:space="preserve"> at Docket Number C-20</w:t>
      </w:r>
      <w:r>
        <w:rPr>
          <w:rFonts w:ascii="Times New Roman" w:hAnsi="Times New Roman" w:cs="Times New Roman"/>
          <w:sz w:val="26"/>
          <w:szCs w:val="26"/>
        </w:rPr>
        <w:t>21-</w:t>
      </w:r>
      <w:r w:rsidR="00D9294F">
        <w:rPr>
          <w:rFonts w:ascii="Times New Roman" w:hAnsi="Times New Roman" w:cs="Times New Roman"/>
          <w:sz w:val="26"/>
          <w:szCs w:val="26"/>
        </w:rPr>
        <w:t>302</w:t>
      </w:r>
      <w:r w:rsidR="009D0593">
        <w:rPr>
          <w:rFonts w:ascii="Times New Roman" w:hAnsi="Times New Roman" w:cs="Times New Roman"/>
          <w:sz w:val="26"/>
          <w:szCs w:val="26"/>
        </w:rPr>
        <w:t>5090</w:t>
      </w:r>
      <w:r w:rsidRPr="00496081">
        <w:rPr>
          <w:rFonts w:ascii="Times New Roman" w:hAnsi="Times New Roman" w:cs="Times New Roman"/>
          <w:sz w:val="26"/>
          <w:szCs w:val="26"/>
        </w:rPr>
        <w:t>, is dismissed and marked closed.</w:t>
      </w:r>
    </w:p>
    <w:p w14:paraId="020C9721" w14:textId="380E8077" w:rsidR="00D9294F" w:rsidRDefault="00D9294F" w:rsidP="002F75EB">
      <w:pPr>
        <w:spacing w:after="0" w:line="360" w:lineRule="auto"/>
        <w:ind w:firstLine="1440"/>
        <w:contextualSpacing/>
        <w:rPr>
          <w:rFonts w:ascii="Times New Roman" w:hAnsi="Times New Roman" w:cs="Times New Roman"/>
          <w:sz w:val="26"/>
          <w:szCs w:val="26"/>
        </w:rPr>
      </w:pPr>
    </w:p>
    <w:p w14:paraId="12D46C47" w14:textId="3CC188A0" w:rsidR="00132212" w:rsidRDefault="00D9294F"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1</w:t>
      </w:r>
      <w:r w:rsidR="00BC5859">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r>
      <w:r w:rsidR="00132212" w:rsidRPr="00496081">
        <w:rPr>
          <w:rFonts w:ascii="Times New Roman" w:hAnsi="Times New Roman" w:cs="Times New Roman"/>
          <w:sz w:val="26"/>
          <w:szCs w:val="26"/>
        </w:rPr>
        <w:t xml:space="preserve">That the Formal Complaint filed by </w:t>
      </w:r>
      <w:r w:rsidR="00132212">
        <w:rPr>
          <w:rFonts w:ascii="Times New Roman" w:hAnsi="Times New Roman" w:cs="Times New Roman"/>
          <w:sz w:val="26"/>
          <w:szCs w:val="26"/>
        </w:rPr>
        <w:t xml:space="preserve">Mark Lazo against </w:t>
      </w:r>
      <w:r w:rsidR="00132212">
        <w:rPr>
          <w:rFonts w:ascii="Times New Roman" w:eastAsia="Times New Roman" w:hAnsi="Times New Roman" w:cs="Times New Roman"/>
          <w:sz w:val="26"/>
          <w:szCs w:val="26"/>
        </w:rPr>
        <w:t>UGI Utilities, Inc. – Electric Division</w:t>
      </w:r>
      <w:r w:rsidR="00132212" w:rsidRPr="00496081">
        <w:rPr>
          <w:rFonts w:ascii="Times New Roman" w:hAnsi="Times New Roman" w:cs="Times New Roman"/>
          <w:sz w:val="26"/>
          <w:szCs w:val="26"/>
        </w:rPr>
        <w:t xml:space="preserve"> at Docket Number C-20</w:t>
      </w:r>
      <w:r w:rsidR="00132212">
        <w:rPr>
          <w:rFonts w:ascii="Times New Roman" w:hAnsi="Times New Roman" w:cs="Times New Roman"/>
          <w:sz w:val="26"/>
          <w:szCs w:val="26"/>
        </w:rPr>
        <w:t>21-</w:t>
      </w:r>
      <w:r w:rsidR="00076987">
        <w:rPr>
          <w:rFonts w:ascii="Times New Roman" w:hAnsi="Times New Roman" w:cs="Times New Roman"/>
          <w:sz w:val="26"/>
          <w:szCs w:val="26"/>
        </w:rPr>
        <w:t>3025091</w:t>
      </w:r>
      <w:r w:rsidR="00132212" w:rsidRPr="00496081">
        <w:rPr>
          <w:rFonts w:ascii="Times New Roman" w:hAnsi="Times New Roman" w:cs="Times New Roman"/>
          <w:sz w:val="26"/>
          <w:szCs w:val="26"/>
        </w:rPr>
        <w:t>, is dismissed and marked closed.</w:t>
      </w:r>
    </w:p>
    <w:p w14:paraId="12F39442" w14:textId="258B6DBD" w:rsidR="00076987" w:rsidRDefault="00076987" w:rsidP="00132212">
      <w:pPr>
        <w:spacing w:line="360" w:lineRule="auto"/>
        <w:ind w:firstLine="1440"/>
        <w:contextualSpacing/>
        <w:rPr>
          <w:rFonts w:ascii="Times New Roman" w:hAnsi="Times New Roman" w:cs="Times New Roman"/>
          <w:sz w:val="26"/>
          <w:szCs w:val="26"/>
        </w:rPr>
      </w:pPr>
    </w:p>
    <w:p w14:paraId="13707F85" w14:textId="77777777" w:rsidR="00AE78B7" w:rsidRDefault="00AE78B7">
      <w:pPr>
        <w:rPr>
          <w:rFonts w:ascii="Times New Roman" w:hAnsi="Times New Roman" w:cs="Times New Roman"/>
          <w:sz w:val="26"/>
          <w:szCs w:val="26"/>
        </w:rPr>
      </w:pPr>
      <w:r>
        <w:rPr>
          <w:rFonts w:ascii="Times New Roman" w:hAnsi="Times New Roman" w:cs="Times New Roman"/>
          <w:sz w:val="26"/>
          <w:szCs w:val="26"/>
        </w:rPr>
        <w:br w:type="page"/>
      </w:r>
    </w:p>
    <w:p w14:paraId="5FFD025D" w14:textId="7B434FC8" w:rsidR="000D5C9C" w:rsidRDefault="00076987" w:rsidP="002F75EB">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lastRenderedPageBreak/>
        <w:t>1</w:t>
      </w:r>
      <w:r w:rsidR="00BC5859">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00345A81" w:rsidRPr="00496081">
        <w:rPr>
          <w:rFonts w:ascii="Times New Roman" w:hAnsi="Times New Roman" w:cs="Times New Roman"/>
          <w:sz w:val="26"/>
          <w:szCs w:val="26"/>
        </w:rPr>
        <w:t xml:space="preserve">That the Formal Complaint filed by </w:t>
      </w:r>
      <w:r w:rsidR="00A56A62">
        <w:rPr>
          <w:rFonts w:ascii="Times New Roman" w:hAnsi="Times New Roman" w:cs="Times New Roman"/>
          <w:sz w:val="26"/>
          <w:szCs w:val="26"/>
        </w:rPr>
        <w:t>Bridgett Brosius</w:t>
      </w:r>
      <w:r w:rsidR="00345A81">
        <w:rPr>
          <w:rFonts w:ascii="Times New Roman" w:hAnsi="Times New Roman" w:cs="Times New Roman"/>
          <w:sz w:val="26"/>
          <w:szCs w:val="26"/>
        </w:rPr>
        <w:t xml:space="preserve"> against </w:t>
      </w:r>
      <w:r w:rsidR="00345A81">
        <w:rPr>
          <w:rFonts w:ascii="Times New Roman" w:eastAsia="Times New Roman" w:hAnsi="Times New Roman" w:cs="Times New Roman"/>
          <w:sz w:val="26"/>
          <w:szCs w:val="26"/>
        </w:rPr>
        <w:t>UGI Utilities, Inc. – Electric Division</w:t>
      </w:r>
      <w:r w:rsidR="00345A81" w:rsidRPr="00496081">
        <w:rPr>
          <w:rFonts w:ascii="Times New Roman" w:hAnsi="Times New Roman" w:cs="Times New Roman"/>
          <w:sz w:val="26"/>
          <w:szCs w:val="26"/>
        </w:rPr>
        <w:t xml:space="preserve"> at Docket Number C-20</w:t>
      </w:r>
      <w:r w:rsidR="00345A81">
        <w:rPr>
          <w:rFonts w:ascii="Times New Roman" w:hAnsi="Times New Roman" w:cs="Times New Roman"/>
          <w:sz w:val="26"/>
          <w:szCs w:val="26"/>
        </w:rPr>
        <w:t>21-3025436</w:t>
      </w:r>
      <w:r w:rsidR="00345A81" w:rsidRPr="00496081">
        <w:rPr>
          <w:rFonts w:ascii="Times New Roman" w:hAnsi="Times New Roman" w:cs="Times New Roman"/>
          <w:sz w:val="26"/>
          <w:szCs w:val="26"/>
        </w:rPr>
        <w:t>, is dismissed and marked closed.</w:t>
      </w:r>
    </w:p>
    <w:p w14:paraId="6EBCB043" w14:textId="15E6896A" w:rsidR="001A2CAB" w:rsidRDefault="001A2CAB" w:rsidP="002F75EB">
      <w:pPr>
        <w:keepNext/>
        <w:keepLines/>
        <w:tabs>
          <w:tab w:val="left" w:pos="-720"/>
        </w:tabs>
        <w:suppressAutoHyphens/>
        <w:spacing w:after="0" w:line="240" w:lineRule="auto"/>
        <w:ind w:left="5400"/>
        <w:contextualSpacing/>
        <w:rPr>
          <w:rFonts w:ascii="Times New Roman" w:eastAsia="Times New Roman" w:hAnsi="Times New Roman" w:cs="Times New Roman"/>
          <w:b/>
          <w:sz w:val="26"/>
          <w:szCs w:val="26"/>
        </w:rPr>
      </w:pPr>
    </w:p>
    <w:p w14:paraId="08509B61" w14:textId="48326434" w:rsidR="00F95A41" w:rsidRPr="00496081" w:rsidRDefault="00D0748B" w:rsidP="002F75EB">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3C8897B3" wp14:editId="22CA9C9B">
            <wp:simplePos x="0" y="0"/>
            <wp:positionH relativeFrom="column">
              <wp:posOffset>3371850</wp:posOffset>
            </wp:positionH>
            <wp:positionV relativeFrom="paragraph">
              <wp:posOffset>181610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95A41" w:rsidRPr="00496081">
        <w:rPr>
          <w:rFonts w:ascii="Times New Roman" w:eastAsia="Times New Roman" w:hAnsi="Times New Roman" w:cs="Times New Roman"/>
          <w:b/>
          <w:sz w:val="26"/>
          <w:szCs w:val="26"/>
        </w:rPr>
        <w:t>BY THE COMMISSION,</w:t>
      </w:r>
    </w:p>
    <w:p w14:paraId="176599CE" w14:textId="084F2030" w:rsidR="00F95A41" w:rsidRPr="00496081" w:rsidRDefault="00F95A41" w:rsidP="002F75EB">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2FCA24D7" w14:textId="4EF71180" w:rsidR="001A6397" w:rsidRPr="00496081" w:rsidRDefault="001A6397" w:rsidP="002F75EB">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78F41E00" w14:textId="5B487904" w:rsidR="00FE5BF0" w:rsidRDefault="00FE5BF0" w:rsidP="002F75EB">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06576573" w14:textId="77777777" w:rsidR="002F75EB" w:rsidRPr="00496081" w:rsidRDefault="002F75EB" w:rsidP="002F75EB">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6DF02978" w14:textId="77777777" w:rsidR="00F95A41" w:rsidRPr="00496081" w:rsidRDefault="00F95A41" w:rsidP="002F75EB">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Rosemary Chiavetta</w:t>
      </w:r>
    </w:p>
    <w:p w14:paraId="3173D3D6" w14:textId="77777777" w:rsidR="00F95A41" w:rsidRPr="00496081" w:rsidRDefault="00F95A41" w:rsidP="002F75EB">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Secretary</w:t>
      </w:r>
    </w:p>
    <w:p w14:paraId="2751302D" w14:textId="77777777" w:rsidR="0075556D" w:rsidRDefault="0075556D" w:rsidP="002F75EB">
      <w:pPr>
        <w:keepNext/>
        <w:keepLines/>
        <w:tabs>
          <w:tab w:val="left" w:pos="-720"/>
        </w:tabs>
        <w:suppressAutoHyphens/>
        <w:spacing w:after="0" w:line="360" w:lineRule="auto"/>
        <w:contextualSpacing/>
        <w:rPr>
          <w:rFonts w:ascii="Times New Roman" w:eastAsia="Times New Roman" w:hAnsi="Times New Roman" w:cs="Times New Roman"/>
          <w:sz w:val="26"/>
          <w:szCs w:val="26"/>
        </w:rPr>
      </w:pPr>
    </w:p>
    <w:p w14:paraId="656AD9B3" w14:textId="55C2A56D" w:rsidR="00F95A41" w:rsidRPr="00496081" w:rsidRDefault="00F95A41" w:rsidP="001A15C2">
      <w:pPr>
        <w:keepNext/>
        <w:keepLines/>
        <w:tabs>
          <w:tab w:val="left" w:pos="-720"/>
        </w:tabs>
        <w:suppressAutoHyphens/>
        <w:spacing w:after="0" w:line="48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(SEAL)</w:t>
      </w:r>
    </w:p>
    <w:p w14:paraId="4F2EA049" w14:textId="4BA9C212" w:rsidR="00F95A41" w:rsidRPr="00496081" w:rsidRDefault="00F95A41" w:rsidP="001A15C2">
      <w:pPr>
        <w:keepNext/>
        <w:keepLines/>
        <w:tabs>
          <w:tab w:val="left" w:pos="-720"/>
        </w:tabs>
        <w:suppressAutoHyphens/>
        <w:spacing w:after="0" w:line="48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ORDER ADOPTED:  </w:t>
      </w:r>
      <w:r w:rsidR="00192FF2">
        <w:rPr>
          <w:rFonts w:ascii="Times New Roman" w:eastAsia="Times New Roman" w:hAnsi="Times New Roman" w:cs="Times New Roman"/>
          <w:sz w:val="26"/>
          <w:szCs w:val="26"/>
        </w:rPr>
        <w:t>October 28, 2021</w:t>
      </w:r>
    </w:p>
    <w:p w14:paraId="4AC7FED0" w14:textId="75E7C415" w:rsidR="00F95A41" w:rsidRPr="00496081" w:rsidRDefault="00F95A41" w:rsidP="001A15C2">
      <w:pPr>
        <w:keepNext/>
        <w:keepLines/>
        <w:tabs>
          <w:tab w:val="left" w:pos="-720"/>
        </w:tabs>
        <w:suppressAutoHyphens/>
        <w:spacing w:after="0" w:line="480" w:lineRule="auto"/>
        <w:contextualSpacing/>
        <w:rPr>
          <w:rFonts w:ascii="Times New Roman" w:hAnsi="Times New Roman" w:cs="Times New Roman"/>
          <w:sz w:val="26"/>
          <w:szCs w:val="26"/>
        </w:rPr>
      </w:pPr>
      <w:r w:rsidRPr="00496081">
        <w:rPr>
          <w:rFonts w:ascii="Times New Roman" w:eastAsia="Times New Roman" w:hAnsi="Times New Roman" w:cs="Times New Roman"/>
          <w:sz w:val="26"/>
          <w:szCs w:val="26"/>
        </w:rPr>
        <w:t xml:space="preserve">ORDER ENTERED:  </w:t>
      </w:r>
      <w:r w:rsidR="00D0748B">
        <w:rPr>
          <w:rFonts w:ascii="Times New Roman" w:eastAsia="Times New Roman" w:hAnsi="Times New Roman" w:cs="Times New Roman"/>
          <w:sz w:val="26"/>
          <w:szCs w:val="26"/>
        </w:rPr>
        <w:t>October 28, 2021</w:t>
      </w:r>
    </w:p>
    <w:sectPr w:rsidR="00F95A41" w:rsidRPr="00496081" w:rsidSect="0084067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3B3D" w14:textId="77777777" w:rsidR="00CA6E95" w:rsidRDefault="00CA6E95" w:rsidP="00840676">
      <w:pPr>
        <w:spacing w:after="0" w:line="240" w:lineRule="auto"/>
      </w:pPr>
      <w:r>
        <w:separator/>
      </w:r>
    </w:p>
  </w:endnote>
  <w:endnote w:type="continuationSeparator" w:id="0">
    <w:p w14:paraId="590B72F3" w14:textId="77777777" w:rsidR="00CA6E95" w:rsidRDefault="00CA6E95" w:rsidP="0084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05604"/>
      <w:docPartObj>
        <w:docPartGallery w:val="Page Numbers (Bottom of Page)"/>
        <w:docPartUnique/>
      </w:docPartObj>
    </w:sdtPr>
    <w:sdtEndPr>
      <w:rPr>
        <w:rFonts w:ascii="Times New Roman" w:hAnsi="Times New Roman" w:cs="Times New Roman"/>
        <w:noProof/>
        <w:sz w:val="26"/>
        <w:szCs w:val="26"/>
      </w:rPr>
    </w:sdtEndPr>
    <w:sdtContent>
      <w:p w14:paraId="0D929DB2" w14:textId="2150977D" w:rsidR="000164BE" w:rsidRPr="00922F6B" w:rsidRDefault="000164BE" w:rsidP="00922F6B">
        <w:pPr>
          <w:pStyle w:val="Footer"/>
          <w:jc w:val="center"/>
          <w:rPr>
            <w:sz w:val="26"/>
            <w:szCs w:val="26"/>
          </w:rPr>
        </w:pPr>
        <w:r w:rsidRPr="00EF699A">
          <w:rPr>
            <w:rFonts w:ascii="Times New Roman" w:hAnsi="Times New Roman" w:cs="Times New Roman"/>
            <w:sz w:val="26"/>
            <w:szCs w:val="26"/>
          </w:rPr>
          <w:fldChar w:fldCharType="begin"/>
        </w:r>
        <w:r w:rsidRPr="00EF699A">
          <w:rPr>
            <w:rFonts w:ascii="Times New Roman" w:hAnsi="Times New Roman" w:cs="Times New Roman"/>
            <w:sz w:val="26"/>
            <w:szCs w:val="26"/>
          </w:rPr>
          <w:instrText xml:space="preserve"> PAGE   \* MERGEFORMAT </w:instrText>
        </w:r>
        <w:r w:rsidRPr="00EF699A">
          <w:rPr>
            <w:rFonts w:ascii="Times New Roman" w:hAnsi="Times New Roman" w:cs="Times New Roman"/>
            <w:sz w:val="26"/>
            <w:szCs w:val="26"/>
          </w:rPr>
          <w:fldChar w:fldCharType="separate"/>
        </w:r>
        <w:r w:rsidR="004A2596">
          <w:rPr>
            <w:rFonts w:ascii="Times New Roman" w:hAnsi="Times New Roman" w:cs="Times New Roman"/>
            <w:noProof/>
            <w:sz w:val="26"/>
            <w:szCs w:val="26"/>
          </w:rPr>
          <w:t>21</w:t>
        </w:r>
        <w:r w:rsidRPr="00EF699A">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391A" w14:textId="77777777" w:rsidR="00CA6E95" w:rsidRPr="00BD38E2" w:rsidRDefault="00CA6E95" w:rsidP="00840676">
      <w:pPr>
        <w:spacing w:after="0" w:line="240" w:lineRule="auto"/>
        <w:rPr>
          <w:rFonts w:ascii="Times New Roman" w:hAnsi="Times New Roman" w:cs="Times New Roman"/>
          <w:sz w:val="26"/>
          <w:szCs w:val="26"/>
        </w:rPr>
      </w:pPr>
      <w:r w:rsidRPr="00BD38E2">
        <w:rPr>
          <w:rFonts w:ascii="Times New Roman" w:hAnsi="Times New Roman" w:cs="Times New Roman"/>
          <w:sz w:val="26"/>
          <w:szCs w:val="26"/>
        </w:rPr>
        <w:separator/>
      </w:r>
    </w:p>
  </w:footnote>
  <w:footnote w:type="continuationSeparator" w:id="0">
    <w:p w14:paraId="38006EFD" w14:textId="77777777" w:rsidR="00CA6E95" w:rsidRDefault="00CA6E95" w:rsidP="00840676">
      <w:pPr>
        <w:spacing w:after="0" w:line="240" w:lineRule="auto"/>
      </w:pPr>
      <w:r>
        <w:continuationSeparator/>
      </w:r>
    </w:p>
  </w:footnote>
  <w:footnote w:id="1">
    <w:p w14:paraId="1903A6DF" w14:textId="77777777" w:rsidR="000164BE" w:rsidRPr="006111A1" w:rsidRDefault="000164BE" w:rsidP="006111A1">
      <w:pPr>
        <w:pStyle w:val="FootnoteText"/>
        <w:keepNext/>
        <w:keepLines/>
        <w:ind w:firstLine="720"/>
        <w:rPr>
          <w:rFonts w:ascii="Times New Roman" w:hAnsi="Times New Roman" w:cs="Times New Roman"/>
          <w:sz w:val="26"/>
          <w:szCs w:val="26"/>
        </w:rPr>
      </w:pPr>
      <w:r w:rsidRPr="006111A1">
        <w:rPr>
          <w:rStyle w:val="FootnoteReference"/>
          <w:rFonts w:ascii="Times New Roman" w:hAnsi="Times New Roman" w:cs="Times New Roman"/>
          <w:sz w:val="26"/>
          <w:szCs w:val="26"/>
        </w:rPr>
        <w:footnoteRef/>
      </w:r>
      <w:r w:rsidRPr="006111A1">
        <w:rPr>
          <w:rFonts w:ascii="Times New Roman" w:hAnsi="Times New Roman" w:cs="Times New Roman"/>
          <w:sz w:val="26"/>
          <w:szCs w:val="26"/>
        </w:rPr>
        <w:tab/>
        <w:t>For example, full or partial</w:t>
      </w:r>
      <w:r w:rsidRPr="006111A1">
        <w:rPr>
          <w:rFonts w:ascii="Times New Roman" w:eastAsia="Times New Roman" w:hAnsi="Times New Roman" w:cs="Times New Roman"/>
          <w:sz w:val="26"/>
          <w:szCs w:val="26"/>
        </w:rPr>
        <w:t xml:space="preserve"> settlements may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Commission’s decision.  </w:t>
      </w:r>
    </w:p>
  </w:footnote>
  <w:footnote w:id="2">
    <w:p w14:paraId="43242144" w14:textId="49B041A5" w:rsidR="009A381C" w:rsidRPr="000712A8" w:rsidRDefault="009A381C" w:rsidP="004A5C75">
      <w:pPr>
        <w:keepNext/>
        <w:keepLines/>
        <w:spacing w:after="0" w:line="240" w:lineRule="auto"/>
        <w:ind w:firstLine="720"/>
        <w:contextualSpacing/>
        <w:rPr>
          <w:rFonts w:ascii="Times New Roman" w:hAnsi="Times New Roman" w:cs="Times New Roman"/>
          <w:sz w:val="26"/>
          <w:szCs w:val="26"/>
        </w:rPr>
      </w:pPr>
      <w:r w:rsidRPr="000712A8">
        <w:rPr>
          <w:rStyle w:val="FootnoteReference"/>
          <w:rFonts w:ascii="Times New Roman" w:hAnsi="Times New Roman" w:cs="Times New Roman"/>
          <w:sz w:val="26"/>
          <w:szCs w:val="26"/>
        </w:rPr>
        <w:footnoteRef/>
      </w:r>
      <w:r w:rsidRPr="000712A8">
        <w:rPr>
          <w:rFonts w:ascii="Times New Roman" w:hAnsi="Times New Roman" w:cs="Times New Roman"/>
          <w:sz w:val="26"/>
          <w:szCs w:val="26"/>
        </w:rPr>
        <w:t xml:space="preserve"> </w:t>
      </w:r>
      <w:r w:rsidR="000712A8">
        <w:rPr>
          <w:rFonts w:ascii="Times New Roman" w:hAnsi="Times New Roman" w:cs="Times New Roman"/>
          <w:sz w:val="26"/>
          <w:szCs w:val="26"/>
        </w:rPr>
        <w:tab/>
      </w:r>
      <w:r w:rsidR="000712A8" w:rsidRPr="000712A8">
        <w:rPr>
          <w:rFonts w:ascii="Times New Roman" w:hAnsi="Times New Roman" w:cs="Times New Roman"/>
          <w:sz w:val="26"/>
          <w:szCs w:val="26"/>
        </w:rPr>
        <w:t xml:space="preserve">For purposes of this Opinion and Order, we will summarize </w:t>
      </w:r>
      <w:r w:rsidR="00211387">
        <w:rPr>
          <w:rFonts w:ascii="Times New Roman" w:hAnsi="Times New Roman" w:cs="Times New Roman"/>
          <w:sz w:val="26"/>
          <w:szCs w:val="26"/>
        </w:rPr>
        <w:t>certain</w:t>
      </w:r>
      <w:r w:rsidR="000712A8" w:rsidRPr="000712A8">
        <w:rPr>
          <w:rFonts w:ascii="Times New Roman" w:hAnsi="Times New Roman" w:cs="Times New Roman"/>
          <w:sz w:val="26"/>
          <w:szCs w:val="26"/>
        </w:rPr>
        <w:t xml:space="preserve"> pertinent portions of the </w:t>
      </w:r>
      <w:r w:rsidR="00211387">
        <w:rPr>
          <w:rFonts w:ascii="Times New Roman" w:hAnsi="Times New Roman" w:cs="Times New Roman"/>
          <w:sz w:val="26"/>
          <w:szCs w:val="26"/>
        </w:rPr>
        <w:t xml:space="preserve">Parties’ Statements in Support, including </w:t>
      </w:r>
      <w:r w:rsidR="000712A8" w:rsidRPr="000712A8">
        <w:rPr>
          <w:rFonts w:ascii="Times New Roman" w:hAnsi="Times New Roman" w:cs="Times New Roman"/>
          <w:sz w:val="26"/>
          <w:szCs w:val="26"/>
        </w:rPr>
        <w:t>portions that pertain to the Exceptions and Responses before us.</w:t>
      </w:r>
      <w:r w:rsidR="00211387">
        <w:rPr>
          <w:rFonts w:ascii="Times New Roman" w:hAnsi="Times New Roman" w:cs="Times New Roman"/>
          <w:sz w:val="26"/>
          <w:szCs w:val="26"/>
        </w:rPr>
        <w:t xml:space="preserve">  </w:t>
      </w:r>
      <w:r w:rsidR="00946383">
        <w:rPr>
          <w:rFonts w:ascii="Times New Roman" w:hAnsi="Times New Roman" w:cs="Times New Roman"/>
          <w:sz w:val="26"/>
          <w:szCs w:val="26"/>
        </w:rPr>
        <w:t xml:space="preserve">This includes a summary of </w:t>
      </w:r>
      <w:r w:rsidR="00634653">
        <w:rPr>
          <w:rFonts w:ascii="Times New Roman" w:hAnsi="Times New Roman" w:cs="Times New Roman"/>
          <w:sz w:val="26"/>
          <w:szCs w:val="26"/>
        </w:rPr>
        <w:t xml:space="preserve">the issues pertaining to </w:t>
      </w:r>
      <w:r w:rsidR="00DF06D3">
        <w:rPr>
          <w:rFonts w:ascii="Times New Roman" w:hAnsi="Times New Roman" w:cs="Times New Roman"/>
          <w:sz w:val="26"/>
          <w:szCs w:val="26"/>
        </w:rPr>
        <w:t>revenue allocation, the Company’s battery storage pro</w:t>
      </w:r>
      <w:r w:rsidR="00855790">
        <w:rPr>
          <w:rFonts w:ascii="Times New Roman" w:hAnsi="Times New Roman" w:cs="Times New Roman"/>
          <w:sz w:val="26"/>
          <w:szCs w:val="26"/>
        </w:rPr>
        <w:t>posal</w:t>
      </w:r>
      <w:r w:rsidR="00DF06D3">
        <w:rPr>
          <w:rFonts w:ascii="Times New Roman" w:hAnsi="Times New Roman" w:cs="Times New Roman"/>
          <w:sz w:val="26"/>
          <w:szCs w:val="26"/>
        </w:rPr>
        <w:t xml:space="preserve">, </w:t>
      </w:r>
      <w:r w:rsidR="004E7E95">
        <w:rPr>
          <w:rFonts w:ascii="Times New Roman" w:hAnsi="Times New Roman" w:cs="Times New Roman"/>
          <w:sz w:val="26"/>
          <w:szCs w:val="26"/>
        </w:rPr>
        <w:t xml:space="preserve">and </w:t>
      </w:r>
      <w:r w:rsidR="00855790">
        <w:rPr>
          <w:rFonts w:ascii="Times New Roman" w:hAnsi="Times New Roman" w:cs="Times New Roman"/>
          <w:sz w:val="26"/>
          <w:szCs w:val="26"/>
        </w:rPr>
        <w:t>COVID-19 Cost Deferral</w:t>
      </w:r>
      <w:r w:rsidR="004E7E95">
        <w:rPr>
          <w:rFonts w:ascii="Times New Roman" w:hAnsi="Times New Roman" w:cs="Times New Roman"/>
          <w:sz w:val="26"/>
          <w:szCs w:val="26"/>
        </w:rPr>
        <w:t>.</w:t>
      </w:r>
      <w:r w:rsidR="00855790">
        <w:rPr>
          <w:rFonts w:ascii="Times New Roman" w:hAnsi="Times New Roman" w:cs="Times New Roman"/>
          <w:sz w:val="26"/>
          <w:szCs w:val="26"/>
        </w:rPr>
        <w:t xml:space="preserve">  </w:t>
      </w:r>
      <w:r w:rsidR="00211387">
        <w:rPr>
          <w:rFonts w:ascii="Times New Roman" w:hAnsi="Times New Roman" w:cs="Times New Roman"/>
          <w:sz w:val="26"/>
          <w:szCs w:val="26"/>
        </w:rPr>
        <w:t xml:space="preserve">For a detailed discussion of the Parties’ positions on </w:t>
      </w:r>
      <w:r w:rsidR="00D24ADB">
        <w:rPr>
          <w:rFonts w:ascii="Times New Roman" w:hAnsi="Times New Roman" w:cs="Times New Roman"/>
          <w:sz w:val="26"/>
          <w:szCs w:val="26"/>
        </w:rPr>
        <w:t xml:space="preserve">additional topics in the Settlement, see R.D. at 18-42.  </w:t>
      </w:r>
    </w:p>
  </w:footnote>
  <w:footnote w:id="3">
    <w:p w14:paraId="2B4D8FA4" w14:textId="1BD482F8" w:rsidR="007757E0" w:rsidRPr="00331BD0" w:rsidRDefault="007757E0" w:rsidP="00331BD0">
      <w:pPr>
        <w:pStyle w:val="FootnoteText"/>
        <w:ind w:firstLine="720"/>
        <w:rPr>
          <w:rFonts w:ascii="Times New Roman" w:hAnsi="Times New Roman" w:cs="Times New Roman"/>
          <w:sz w:val="26"/>
          <w:szCs w:val="26"/>
        </w:rPr>
      </w:pPr>
      <w:r w:rsidRPr="00331BD0">
        <w:rPr>
          <w:rStyle w:val="FootnoteReference"/>
          <w:rFonts w:ascii="Times New Roman" w:hAnsi="Times New Roman" w:cs="Times New Roman"/>
          <w:sz w:val="26"/>
          <w:szCs w:val="26"/>
        </w:rPr>
        <w:footnoteRef/>
      </w:r>
      <w:r w:rsidRPr="00331BD0">
        <w:rPr>
          <w:rFonts w:ascii="Times New Roman" w:hAnsi="Times New Roman" w:cs="Times New Roman"/>
          <w:sz w:val="26"/>
          <w:szCs w:val="26"/>
        </w:rPr>
        <w:t xml:space="preserve"> </w:t>
      </w:r>
      <w:r w:rsidR="00331BD0">
        <w:rPr>
          <w:rFonts w:ascii="Times New Roman" w:hAnsi="Times New Roman" w:cs="Times New Roman"/>
          <w:sz w:val="26"/>
          <w:szCs w:val="26"/>
        </w:rPr>
        <w:tab/>
      </w:r>
      <w:r w:rsidR="004D339D" w:rsidRPr="00331BD0">
        <w:rPr>
          <w:rFonts w:ascii="Times New Roman" w:hAnsi="Times New Roman" w:cs="Times New Roman"/>
          <w:sz w:val="26"/>
          <w:szCs w:val="26"/>
        </w:rPr>
        <w:t xml:space="preserve">The </w:t>
      </w:r>
      <w:r w:rsidR="00FC1BEB" w:rsidRPr="00331BD0">
        <w:rPr>
          <w:rFonts w:ascii="Times New Roman" w:hAnsi="Times New Roman" w:cs="Times New Roman"/>
          <w:sz w:val="26"/>
          <w:szCs w:val="26"/>
        </w:rPr>
        <w:t>PTC i</w:t>
      </w:r>
      <w:r w:rsidR="004D339D" w:rsidRPr="00331BD0">
        <w:rPr>
          <w:rFonts w:ascii="Times New Roman" w:hAnsi="Times New Roman" w:cs="Times New Roman"/>
          <w:sz w:val="26"/>
          <w:szCs w:val="26"/>
        </w:rPr>
        <w:t>s a “line item</w:t>
      </w:r>
      <w:r w:rsidR="009B56CF" w:rsidRPr="00331BD0">
        <w:rPr>
          <w:rFonts w:ascii="Times New Roman" w:hAnsi="Times New Roman" w:cs="Times New Roman"/>
          <w:sz w:val="26"/>
          <w:szCs w:val="26"/>
        </w:rPr>
        <w:t xml:space="preserve"> that appears on a retail customer’s monthly bill for default service.  The PTC is equal to the sum of </w:t>
      </w:r>
      <w:r w:rsidR="00AB353E" w:rsidRPr="00331BD0">
        <w:rPr>
          <w:rFonts w:ascii="Times New Roman" w:hAnsi="Times New Roman" w:cs="Times New Roman"/>
          <w:sz w:val="26"/>
          <w:szCs w:val="26"/>
        </w:rPr>
        <w:t xml:space="preserve">all unbundled generation and transmission related charges </w:t>
      </w:r>
      <w:r w:rsidR="004A15AF" w:rsidRPr="00331BD0">
        <w:rPr>
          <w:rFonts w:ascii="Times New Roman" w:hAnsi="Times New Roman" w:cs="Times New Roman"/>
          <w:sz w:val="26"/>
          <w:szCs w:val="26"/>
        </w:rPr>
        <w:t>to a default service customer for that month of service.</w:t>
      </w:r>
      <w:r w:rsidR="00331BD0">
        <w:rPr>
          <w:rFonts w:ascii="Times New Roman" w:hAnsi="Times New Roman" w:cs="Times New Roman"/>
          <w:sz w:val="26"/>
          <w:szCs w:val="26"/>
        </w:rPr>
        <w:t>”</w:t>
      </w:r>
      <w:r w:rsidR="004A15AF" w:rsidRPr="00331BD0">
        <w:rPr>
          <w:rFonts w:ascii="Times New Roman" w:hAnsi="Times New Roman" w:cs="Times New Roman"/>
          <w:sz w:val="26"/>
          <w:szCs w:val="26"/>
        </w:rPr>
        <w:t xml:space="preserve">  52</w:t>
      </w:r>
      <w:r w:rsidR="00F44E64">
        <w:rPr>
          <w:rFonts w:ascii="Times New Roman" w:hAnsi="Times New Roman" w:cs="Times New Roman"/>
          <w:sz w:val="26"/>
          <w:szCs w:val="26"/>
        </w:rPr>
        <w:t> </w:t>
      </w:r>
      <w:r w:rsidR="004A15AF" w:rsidRPr="00331BD0">
        <w:rPr>
          <w:rFonts w:ascii="Times New Roman" w:hAnsi="Times New Roman" w:cs="Times New Roman"/>
          <w:sz w:val="26"/>
          <w:szCs w:val="26"/>
        </w:rPr>
        <w:t>Pa. Code § 69.1803.</w:t>
      </w:r>
      <w:r w:rsidR="00AB353E" w:rsidRPr="00331BD0">
        <w:rPr>
          <w:rFonts w:ascii="Times New Roman" w:hAnsi="Times New Roman" w:cs="Times New Roman"/>
          <w:sz w:val="26"/>
          <w:szCs w:val="26"/>
        </w:rPr>
        <w:t xml:space="preserve"> </w:t>
      </w:r>
    </w:p>
  </w:footnote>
  <w:footnote w:id="4">
    <w:p w14:paraId="1437AF21" w14:textId="40646022" w:rsidR="00EB5FC3" w:rsidRPr="00F44E64" w:rsidRDefault="00EB5FC3" w:rsidP="00F44E64">
      <w:pPr>
        <w:spacing w:after="0" w:line="240" w:lineRule="auto"/>
        <w:ind w:firstLine="720"/>
        <w:rPr>
          <w:rFonts w:ascii="Times New Roman" w:eastAsia="Times New Roman" w:hAnsi="Times New Roman" w:cs="Times New Roman"/>
          <w:sz w:val="26"/>
          <w:szCs w:val="26"/>
        </w:rPr>
      </w:pPr>
      <w:r w:rsidRPr="00EB5FC3">
        <w:rPr>
          <w:rStyle w:val="FootnoteReference"/>
          <w:rFonts w:ascii="Times New Roman" w:hAnsi="Times New Roman" w:cs="Times New Roman"/>
          <w:sz w:val="26"/>
          <w:szCs w:val="26"/>
        </w:rPr>
        <w:footnoteRef/>
      </w:r>
      <w:r w:rsidRPr="00EB5FC3">
        <w:rPr>
          <w:rFonts w:ascii="Times New Roman" w:hAnsi="Times New Roman" w:cs="Times New Roman"/>
          <w:sz w:val="26"/>
          <w:szCs w:val="26"/>
        </w:rPr>
        <w:t xml:space="preserve"> </w:t>
      </w:r>
      <w:r>
        <w:rPr>
          <w:rFonts w:ascii="Times New Roman" w:hAnsi="Times New Roman" w:cs="Times New Roman"/>
          <w:sz w:val="26"/>
          <w:szCs w:val="26"/>
        </w:rPr>
        <w:tab/>
      </w:r>
      <w:r w:rsidRPr="00EB5FC3">
        <w:rPr>
          <w:rFonts w:ascii="Times New Roman" w:eastAsia="Times New Roman" w:hAnsi="Times New Roman" w:cs="Times New Roman"/>
          <w:sz w:val="26"/>
          <w:szCs w:val="26"/>
        </w:rPr>
        <w:t xml:space="preserve">Electric storage is a novel issue, and the Commission is currently exploring </w:t>
      </w:r>
      <w:r w:rsidRPr="00EB5FC3">
        <w:rPr>
          <w:rFonts w:ascii="Times New Roman" w:hAnsi="Times New Roman" w:cs="Times New Roman"/>
          <w:sz w:val="26"/>
          <w:szCs w:val="26"/>
        </w:rPr>
        <w:t xml:space="preserve">the viability of utility investment in electric storage as a distribution asset used to enhance or maintain reliability.  </w:t>
      </w:r>
      <w:r w:rsidR="002D34D7" w:rsidRPr="00EB5FC3">
        <w:rPr>
          <w:rFonts w:ascii="Times New Roman" w:hAnsi="Times New Roman" w:cs="Times New Roman"/>
          <w:i/>
          <w:iCs/>
          <w:sz w:val="26"/>
          <w:szCs w:val="26"/>
        </w:rPr>
        <w:t>See</w:t>
      </w:r>
      <w:r w:rsidR="002D34D7" w:rsidRPr="00EB5FC3">
        <w:rPr>
          <w:rFonts w:ascii="Times New Roman" w:eastAsia="Times New Roman" w:hAnsi="Times New Roman" w:cs="Times New Roman"/>
          <w:i/>
          <w:iCs/>
          <w:sz w:val="26"/>
          <w:szCs w:val="26"/>
        </w:rPr>
        <w:t xml:space="preserve"> Policy Proceeding-Utilization of Storage Resources as Electric Distribution Assets</w:t>
      </w:r>
      <w:r w:rsidR="002D34D7" w:rsidRPr="00EB5FC3">
        <w:rPr>
          <w:rFonts w:ascii="Times New Roman" w:eastAsia="Times New Roman" w:hAnsi="Times New Roman" w:cs="Times New Roman"/>
          <w:sz w:val="26"/>
          <w:szCs w:val="26"/>
        </w:rPr>
        <w:t>, Docket No. M-2020-3022877 (Secretarial Letters issued December 3, 2020</w:t>
      </w:r>
      <w:r w:rsidR="00791210">
        <w:rPr>
          <w:rFonts w:ascii="Times New Roman" w:eastAsia="Times New Roman" w:hAnsi="Times New Roman" w:cs="Times New Roman"/>
          <w:sz w:val="26"/>
          <w:szCs w:val="26"/>
        </w:rPr>
        <w:t xml:space="preserve"> (</w:t>
      </w:r>
      <w:r w:rsidR="00791210" w:rsidRPr="00791210">
        <w:rPr>
          <w:rFonts w:ascii="Times New Roman" w:eastAsia="Times New Roman" w:hAnsi="Times New Roman" w:cs="Times New Roman"/>
          <w:i/>
          <w:iCs/>
          <w:sz w:val="26"/>
          <w:szCs w:val="26"/>
        </w:rPr>
        <w:t>December 2020 Secretarial Letter</w:t>
      </w:r>
      <w:r w:rsidR="00791210">
        <w:rPr>
          <w:rFonts w:ascii="Times New Roman" w:eastAsia="Times New Roman" w:hAnsi="Times New Roman" w:cs="Times New Roman"/>
          <w:sz w:val="26"/>
          <w:szCs w:val="26"/>
        </w:rPr>
        <w:t>)</w:t>
      </w:r>
      <w:r w:rsidR="002D34D7" w:rsidRPr="00EB5FC3">
        <w:rPr>
          <w:rFonts w:ascii="Times New Roman" w:eastAsia="Times New Roman" w:hAnsi="Times New Roman" w:cs="Times New Roman"/>
          <w:sz w:val="26"/>
          <w:szCs w:val="26"/>
        </w:rPr>
        <w:t xml:space="preserve"> and August 12, 2021).</w:t>
      </w:r>
      <w:r w:rsidR="002D34D7">
        <w:rPr>
          <w:rFonts w:ascii="Times New Roman" w:eastAsia="Times New Roman" w:hAnsi="Times New Roman" w:cs="Times New Roman"/>
          <w:sz w:val="26"/>
          <w:szCs w:val="26"/>
        </w:rPr>
        <w:t xml:space="preserve">  </w:t>
      </w:r>
      <w:r w:rsidRPr="00EB5FC3">
        <w:rPr>
          <w:rFonts w:ascii="Times New Roman" w:hAnsi="Times New Roman" w:cs="Times New Roman"/>
          <w:sz w:val="26"/>
          <w:szCs w:val="26"/>
        </w:rPr>
        <w:t xml:space="preserve">The Commission stated, “Exploring this topic is warranted since utilization of batteries on the distribution grid, in appropriate circumstances, may offer an option to foster reliability that will have a less significant rate impact than other more conventional utility restoration or improvement investments.”  </w:t>
      </w:r>
      <w:r w:rsidR="00791210" w:rsidRPr="00791210">
        <w:rPr>
          <w:rFonts w:ascii="Times New Roman" w:eastAsia="Times New Roman" w:hAnsi="Times New Roman" w:cs="Times New Roman"/>
          <w:i/>
          <w:iCs/>
          <w:sz w:val="26"/>
          <w:szCs w:val="26"/>
        </w:rPr>
        <w:t>December 2020 Secretarial Letter</w:t>
      </w:r>
      <w:r w:rsidR="00791210">
        <w:rPr>
          <w:rFonts w:ascii="Times New Roman" w:eastAsia="Times New Roman" w:hAnsi="Times New Roman" w:cs="Times New Roman"/>
          <w:sz w:val="26"/>
          <w:szCs w:val="26"/>
        </w:rPr>
        <w:t xml:space="preserve"> at </w:t>
      </w:r>
      <w:r w:rsidR="00E87274">
        <w:rPr>
          <w:rFonts w:ascii="Times New Roman" w:eastAsia="Times New Roman" w:hAnsi="Times New Roman" w:cs="Times New Roman"/>
          <w:sz w:val="26"/>
          <w:szCs w:val="26"/>
        </w:rPr>
        <w:t>2.</w:t>
      </w:r>
      <w:r w:rsidRPr="00EB5FC3">
        <w:rPr>
          <w:rFonts w:ascii="Times New Roman" w:eastAsia="Times New Roman" w:hAnsi="Times New Roman" w:cs="Times New Roman"/>
          <w:sz w:val="26"/>
          <w:szCs w:val="26"/>
        </w:rPr>
        <w:t xml:space="preserve">  The Commission has solicited comments from interested parties concerning various questions on the issue of energy storage resources as electric distribution assets. </w:t>
      </w:r>
      <w:r w:rsidRPr="00EB5FC3">
        <w:rPr>
          <w:rFonts w:ascii="Times New Roman" w:hAnsi="Times New Roman" w:cs="Times New Roman"/>
          <w:sz w:val="26"/>
          <w:szCs w:val="26"/>
        </w:rPr>
        <w:t>The Commission sought the information to help guide any potential future regulatory policies.</w:t>
      </w:r>
      <w:r w:rsidRPr="00EB5FC3">
        <w:rPr>
          <w:rFonts w:ascii="Times New Roman" w:eastAsia="Times New Roman" w:hAnsi="Times New Roman" w:cs="Times New Roman"/>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5.25pt;height:28.5pt;visibility:visible;mso-wrap-style:square" o:bullet="t">
        <v:imagedata r:id="rId1" o:title=""/>
      </v:shape>
    </w:pict>
  </w:numPicBullet>
  <w:numPicBullet w:numPicBulletId="1">
    <w:pict>
      <v:shape id="_x0000_i1102" type="#_x0000_t75" style="width:36pt;height:28.5pt;visibility:visible;mso-wrap-style:square" o:bullet="t">
        <v:imagedata r:id="rId2" o:title=""/>
      </v:shape>
    </w:pict>
  </w:numPicBullet>
  <w:numPicBullet w:numPicBulletId="2">
    <w:pict>
      <v:shape id="_x0000_i1103" type="#_x0000_t75" style="width:36.75pt;height:28.5pt;visibility:visible;mso-wrap-style:square" o:bullet="t">
        <v:imagedata r:id="rId3" o:title=""/>
      </v:shape>
    </w:pict>
  </w:numPicBullet>
  <w:numPicBullet w:numPicBulletId="3">
    <w:pict>
      <v:shape id="_x0000_i1104" type="#_x0000_t75" style="width:35.25pt;height:28.5pt;visibility:visible;mso-wrap-style:square" o:bullet="t">
        <v:imagedata r:id="rId4" o:title=""/>
      </v:shape>
    </w:pict>
  </w:numPicBullet>
  <w:numPicBullet w:numPicBulletId="4">
    <w:pict>
      <v:shape id="_x0000_i1105" type="#_x0000_t75" style="width:38.25pt;height:28.5pt;visibility:visible;mso-wrap-style:square" o:bullet="t">
        <v:imagedata r:id="rId5" o:title=""/>
      </v:shape>
    </w:pict>
  </w:numPicBullet>
  <w:abstractNum w:abstractNumId="0" w15:restartNumberingAfterBreak="0">
    <w:nsid w:val="042D6B6A"/>
    <w:multiLevelType w:val="hybridMultilevel"/>
    <w:tmpl w:val="D1E856C6"/>
    <w:lvl w:ilvl="0" w:tplc="452AEB70">
      <w:start w:val="4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4663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ED5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25D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AAD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6AA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C75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C00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69A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BE5CA0"/>
    <w:multiLevelType w:val="hybridMultilevel"/>
    <w:tmpl w:val="4664F716"/>
    <w:lvl w:ilvl="0" w:tplc="A44A31A4">
      <w:start w:val="1"/>
      <w:numFmt w:val="bullet"/>
      <w:lvlText w:val=""/>
      <w:lvlPicBulletId w:val="3"/>
      <w:lvlJc w:val="left"/>
      <w:pPr>
        <w:tabs>
          <w:tab w:val="num" w:pos="720"/>
        </w:tabs>
        <w:ind w:left="720" w:hanging="360"/>
      </w:pPr>
      <w:rPr>
        <w:rFonts w:ascii="Symbol" w:hAnsi="Symbol" w:hint="default"/>
      </w:rPr>
    </w:lvl>
    <w:lvl w:ilvl="1" w:tplc="AA004502" w:tentative="1">
      <w:start w:val="1"/>
      <w:numFmt w:val="bullet"/>
      <w:lvlText w:val=""/>
      <w:lvlJc w:val="left"/>
      <w:pPr>
        <w:tabs>
          <w:tab w:val="num" w:pos="1440"/>
        </w:tabs>
        <w:ind w:left="1440" w:hanging="360"/>
      </w:pPr>
      <w:rPr>
        <w:rFonts w:ascii="Symbol" w:hAnsi="Symbol" w:hint="default"/>
      </w:rPr>
    </w:lvl>
    <w:lvl w:ilvl="2" w:tplc="E9D8BE48" w:tentative="1">
      <w:start w:val="1"/>
      <w:numFmt w:val="bullet"/>
      <w:lvlText w:val=""/>
      <w:lvlJc w:val="left"/>
      <w:pPr>
        <w:tabs>
          <w:tab w:val="num" w:pos="2160"/>
        </w:tabs>
        <w:ind w:left="2160" w:hanging="360"/>
      </w:pPr>
      <w:rPr>
        <w:rFonts w:ascii="Symbol" w:hAnsi="Symbol" w:hint="default"/>
      </w:rPr>
    </w:lvl>
    <w:lvl w:ilvl="3" w:tplc="432A3910" w:tentative="1">
      <w:start w:val="1"/>
      <w:numFmt w:val="bullet"/>
      <w:lvlText w:val=""/>
      <w:lvlJc w:val="left"/>
      <w:pPr>
        <w:tabs>
          <w:tab w:val="num" w:pos="2880"/>
        </w:tabs>
        <w:ind w:left="2880" w:hanging="360"/>
      </w:pPr>
      <w:rPr>
        <w:rFonts w:ascii="Symbol" w:hAnsi="Symbol" w:hint="default"/>
      </w:rPr>
    </w:lvl>
    <w:lvl w:ilvl="4" w:tplc="7D407920" w:tentative="1">
      <w:start w:val="1"/>
      <w:numFmt w:val="bullet"/>
      <w:lvlText w:val=""/>
      <w:lvlJc w:val="left"/>
      <w:pPr>
        <w:tabs>
          <w:tab w:val="num" w:pos="3600"/>
        </w:tabs>
        <w:ind w:left="3600" w:hanging="360"/>
      </w:pPr>
      <w:rPr>
        <w:rFonts w:ascii="Symbol" w:hAnsi="Symbol" w:hint="default"/>
      </w:rPr>
    </w:lvl>
    <w:lvl w:ilvl="5" w:tplc="36F6D4D2" w:tentative="1">
      <w:start w:val="1"/>
      <w:numFmt w:val="bullet"/>
      <w:lvlText w:val=""/>
      <w:lvlJc w:val="left"/>
      <w:pPr>
        <w:tabs>
          <w:tab w:val="num" w:pos="4320"/>
        </w:tabs>
        <w:ind w:left="4320" w:hanging="360"/>
      </w:pPr>
      <w:rPr>
        <w:rFonts w:ascii="Symbol" w:hAnsi="Symbol" w:hint="default"/>
      </w:rPr>
    </w:lvl>
    <w:lvl w:ilvl="6" w:tplc="0D3ACB8E" w:tentative="1">
      <w:start w:val="1"/>
      <w:numFmt w:val="bullet"/>
      <w:lvlText w:val=""/>
      <w:lvlJc w:val="left"/>
      <w:pPr>
        <w:tabs>
          <w:tab w:val="num" w:pos="5040"/>
        </w:tabs>
        <w:ind w:left="5040" w:hanging="360"/>
      </w:pPr>
      <w:rPr>
        <w:rFonts w:ascii="Symbol" w:hAnsi="Symbol" w:hint="default"/>
      </w:rPr>
    </w:lvl>
    <w:lvl w:ilvl="7" w:tplc="C21E7E58" w:tentative="1">
      <w:start w:val="1"/>
      <w:numFmt w:val="bullet"/>
      <w:lvlText w:val=""/>
      <w:lvlJc w:val="left"/>
      <w:pPr>
        <w:tabs>
          <w:tab w:val="num" w:pos="5760"/>
        </w:tabs>
        <w:ind w:left="5760" w:hanging="360"/>
      </w:pPr>
      <w:rPr>
        <w:rFonts w:ascii="Symbol" w:hAnsi="Symbol" w:hint="default"/>
      </w:rPr>
    </w:lvl>
    <w:lvl w:ilvl="8" w:tplc="56905AC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D1710"/>
    <w:multiLevelType w:val="hybridMultilevel"/>
    <w:tmpl w:val="77F8D352"/>
    <w:lvl w:ilvl="0" w:tplc="3B86E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715C4"/>
    <w:multiLevelType w:val="hybridMultilevel"/>
    <w:tmpl w:val="10BC5F38"/>
    <w:lvl w:ilvl="0" w:tplc="591E4C0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10A8F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8468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0836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C18D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F12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2785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0F9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C1EA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434103"/>
    <w:multiLevelType w:val="hybridMultilevel"/>
    <w:tmpl w:val="848EA36A"/>
    <w:lvl w:ilvl="0" w:tplc="83CE0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94440"/>
    <w:multiLevelType w:val="hybridMultilevel"/>
    <w:tmpl w:val="2B56E24E"/>
    <w:lvl w:ilvl="0" w:tplc="B3D0E15E">
      <w:start w:val="6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E843A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685D72">
      <w:start w:val="7"/>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CF1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A65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0C4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476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8E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AA9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06C8D"/>
    <w:multiLevelType w:val="hybridMultilevel"/>
    <w:tmpl w:val="58B0CF16"/>
    <w:lvl w:ilvl="0" w:tplc="F984C47E">
      <w:start w:val="49"/>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A690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09D1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6EC98">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AAB1E">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668F4">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48130">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68906">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275F0">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3D1FFE"/>
    <w:multiLevelType w:val="hybridMultilevel"/>
    <w:tmpl w:val="3398CD4E"/>
    <w:lvl w:ilvl="0" w:tplc="BEE02AE4">
      <w:start w:val="1"/>
      <w:numFmt w:val="bullet"/>
      <w:lvlText w:val=""/>
      <w:lvlPicBulletId w:val="2"/>
      <w:lvlJc w:val="left"/>
      <w:pPr>
        <w:tabs>
          <w:tab w:val="num" w:pos="720"/>
        </w:tabs>
        <w:ind w:left="720" w:hanging="360"/>
      </w:pPr>
      <w:rPr>
        <w:rFonts w:ascii="Symbol" w:hAnsi="Symbol" w:hint="default"/>
      </w:rPr>
    </w:lvl>
    <w:lvl w:ilvl="1" w:tplc="BFE65C3A" w:tentative="1">
      <w:start w:val="1"/>
      <w:numFmt w:val="bullet"/>
      <w:lvlText w:val=""/>
      <w:lvlJc w:val="left"/>
      <w:pPr>
        <w:tabs>
          <w:tab w:val="num" w:pos="1440"/>
        </w:tabs>
        <w:ind w:left="1440" w:hanging="360"/>
      </w:pPr>
      <w:rPr>
        <w:rFonts w:ascii="Symbol" w:hAnsi="Symbol" w:hint="default"/>
      </w:rPr>
    </w:lvl>
    <w:lvl w:ilvl="2" w:tplc="B6AECCB2" w:tentative="1">
      <w:start w:val="1"/>
      <w:numFmt w:val="bullet"/>
      <w:lvlText w:val=""/>
      <w:lvlJc w:val="left"/>
      <w:pPr>
        <w:tabs>
          <w:tab w:val="num" w:pos="2160"/>
        </w:tabs>
        <w:ind w:left="2160" w:hanging="360"/>
      </w:pPr>
      <w:rPr>
        <w:rFonts w:ascii="Symbol" w:hAnsi="Symbol" w:hint="default"/>
      </w:rPr>
    </w:lvl>
    <w:lvl w:ilvl="3" w:tplc="6E5E977C" w:tentative="1">
      <w:start w:val="1"/>
      <w:numFmt w:val="bullet"/>
      <w:lvlText w:val=""/>
      <w:lvlJc w:val="left"/>
      <w:pPr>
        <w:tabs>
          <w:tab w:val="num" w:pos="2880"/>
        </w:tabs>
        <w:ind w:left="2880" w:hanging="360"/>
      </w:pPr>
      <w:rPr>
        <w:rFonts w:ascii="Symbol" w:hAnsi="Symbol" w:hint="default"/>
      </w:rPr>
    </w:lvl>
    <w:lvl w:ilvl="4" w:tplc="DDF0FC72" w:tentative="1">
      <w:start w:val="1"/>
      <w:numFmt w:val="bullet"/>
      <w:lvlText w:val=""/>
      <w:lvlJc w:val="left"/>
      <w:pPr>
        <w:tabs>
          <w:tab w:val="num" w:pos="3600"/>
        </w:tabs>
        <w:ind w:left="3600" w:hanging="360"/>
      </w:pPr>
      <w:rPr>
        <w:rFonts w:ascii="Symbol" w:hAnsi="Symbol" w:hint="default"/>
      </w:rPr>
    </w:lvl>
    <w:lvl w:ilvl="5" w:tplc="684CC68E" w:tentative="1">
      <w:start w:val="1"/>
      <w:numFmt w:val="bullet"/>
      <w:lvlText w:val=""/>
      <w:lvlJc w:val="left"/>
      <w:pPr>
        <w:tabs>
          <w:tab w:val="num" w:pos="4320"/>
        </w:tabs>
        <w:ind w:left="4320" w:hanging="360"/>
      </w:pPr>
      <w:rPr>
        <w:rFonts w:ascii="Symbol" w:hAnsi="Symbol" w:hint="default"/>
      </w:rPr>
    </w:lvl>
    <w:lvl w:ilvl="6" w:tplc="DADE3042" w:tentative="1">
      <w:start w:val="1"/>
      <w:numFmt w:val="bullet"/>
      <w:lvlText w:val=""/>
      <w:lvlJc w:val="left"/>
      <w:pPr>
        <w:tabs>
          <w:tab w:val="num" w:pos="5040"/>
        </w:tabs>
        <w:ind w:left="5040" w:hanging="360"/>
      </w:pPr>
      <w:rPr>
        <w:rFonts w:ascii="Symbol" w:hAnsi="Symbol" w:hint="default"/>
      </w:rPr>
    </w:lvl>
    <w:lvl w:ilvl="7" w:tplc="A802C52E" w:tentative="1">
      <w:start w:val="1"/>
      <w:numFmt w:val="bullet"/>
      <w:lvlText w:val=""/>
      <w:lvlJc w:val="left"/>
      <w:pPr>
        <w:tabs>
          <w:tab w:val="num" w:pos="5760"/>
        </w:tabs>
        <w:ind w:left="5760" w:hanging="360"/>
      </w:pPr>
      <w:rPr>
        <w:rFonts w:ascii="Symbol" w:hAnsi="Symbol" w:hint="default"/>
      </w:rPr>
    </w:lvl>
    <w:lvl w:ilvl="8" w:tplc="F9745C6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3E4C1C"/>
    <w:multiLevelType w:val="hybridMultilevel"/>
    <w:tmpl w:val="1EF4FF0C"/>
    <w:lvl w:ilvl="0" w:tplc="0C324EE0">
      <w:start w:val="1"/>
      <w:numFmt w:val="bullet"/>
      <w:lvlText w:val=""/>
      <w:lvlPicBulletId w:val="1"/>
      <w:lvlJc w:val="left"/>
      <w:pPr>
        <w:tabs>
          <w:tab w:val="num" w:pos="720"/>
        </w:tabs>
        <w:ind w:left="720" w:hanging="360"/>
      </w:pPr>
      <w:rPr>
        <w:rFonts w:ascii="Symbol" w:hAnsi="Symbol" w:hint="default"/>
      </w:rPr>
    </w:lvl>
    <w:lvl w:ilvl="1" w:tplc="3994340A" w:tentative="1">
      <w:start w:val="1"/>
      <w:numFmt w:val="bullet"/>
      <w:lvlText w:val=""/>
      <w:lvlJc w:val="left"/>
      <w:pPr>
        <w:tabs>
          <w:tab w:val="num" w:pos="1440"/>
        </w:tabs>
        <w:ind w:left="1440" w:hanging="360"/>
      </w:pPr>
      <w:rPr>
        <w:rFonts w:ascii="Symbol" w:hAnsi="Symbol" w:hint="default"/>
      </w:rPr>
    </w:lvl>
    <w:lvl w:ilvl="2" w:tplc="D11250DE" w:tentative="1">
      <w:start w:val="1"/>
      <w:numFmt w:val="bullet"/>
      <w:lvlText w:val=""/>
      <w:lvlJc w:val="left"/>
      <w:pPr>
        <w:tabs>
          <w:tab w:val="num" w:pos="2160"/>
        </w:tabs>
        <w:ind w:left="2160" w:hanging="360"/>
      </w:pPr>
      <w:rPr>
        <w:rFonts w:ascii="Symbol" w:hAnsi="Symbol" w:hint="default"/>
      </w:rPr>
    </w:lvl>
    <w:lvl w:ilvl="3" w:tplc="B06839D0" w:tentative="1">
      <w:start w:val="1"/>
      <w:numFmt w:val="bullet"/>
      <w:lvlText w:val=""/>
      <w:lvlJc w:val="left"/>
      <w:pPr>
        <w:tabs>
          <w:tab w:val="num" w:pos="2880"/>
        </w:tabs>
        <w:ind w:left="2880" w:hanging="360"/>
      </w:pPr>
      <w:rPr>
        <w:rFonts w:ascii="Symbol" w:hAnsi="Symbol" w:hint="default"/>
      </w:rPr>
    </w:lvl>
    <w:lvl w:ilvl="4" w:tplc="6BA06626" w:tentative="1">
      <w:start w:val="1"/>
      <w:numFmt w:val="bullet"/>
      <w:lvlText w:val=""/>
      <w:lvlJc w:val="left"/>
      <w:pPr>
        <w:tabs>
          <w:tab w:val="num" w:pos="3600"/>
        </w:tabs>
        <w:ind w:left="3600" w:hanging="360"/>
      </w:pPr>
      <w:rPr>
        <w:rFonts w:ascii="Symbol" w:hAnsi="Symbol" w:hint="default"/>
      </w:rPr>
    </w:lvl>
    <w:lvl w:ilvl="5" w:tplc="35D8E8CA" w:tentative="1">
      <w:start w:val="1"/>
      <w:numFmt w:val="bullet"/>
      <w:lvlText w:val=""/>
      <w:lvlJc w:val="left"/>
      <w:pPr>
        <w:tabs>
          <w:tab w:val="num" w:pos="4320"/>
        </w:tabs>
        <w:ind w:left="4320" w:hanging="360"/>
      </w:pPr>
      <w:rPr>
        <w:rFonts w:ascii="Symbol" w:hAnsi="Symbol" w:hint="default"/>
      </w:rPr>
    </w:lvl>
    <w:lvl w:ilvl="6" w:tplc="4A7CF074" w:tentative="1">
      <w:start w:val="1"/>
      <w:numFmt w:val="bullet"/>
      <w:lvlText w:val=""/>
      <w:lvlJc w:val="left"/>
      <w:pPr>
        <w:tabs>
          <w:tab w:val="num" w:pos="5040"/>
        </w:tabs>
        <w:ind w:left="5040" w:hanging="360"/>
      </w:pPr>
      <w:rPr>
        <w:rFonts w:ascii="Symbol" w:hAnsi="Symbol" w:hint="default"/>
      </w:rPr>
    </w:lvl>
    <w:lvl w:ilvl="7" w:tplc="50624A22" w:tentative="1">
      <w:start w:val="1"/>
      <w:numFmt w:val="bullet"/>
      <w:lvlText w:val=""/>
      <w:lvlJc w:val="left"/>
      <w:pPr>
        <w:tabs>
          <w:tab w:val="num" w:pos="5760"/>
        </w:tabs>
        <w:ind w:left="5760" w:hanging="360"/>
      </w:pPr>
      <w:rPr>
        <w:rFonts w:ascii="Symbol" w:hAnsi="Symbol" w:hint="default"/>
      </w:rPr>
    </w:lvl>
    <w:lvl w:ilvl="8" w:tplc="8844330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8080FE7"/>
    <w:multiLevelType w:val="hybridMultilevel"/>
    <w:tmpl w:val="A5BE172A"/>
    <w:lvl w:ilvl="0" w:tplc="E5C40C2A">
      <w:start w:val="5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275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E32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0E8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625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A56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6F1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E72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2D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23297B"/>
    <w:multiLevelType w:val="hybridMultilevel"/>
    <w:tmpl w:val="058C3CCA"/>
    <w:lvl w:ilvl="0" w:tplc="858026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8006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4396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4C4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6F6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2E2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25F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A48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821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E55946"/>
    <w:multiLevelType w:val="hybridMultilevel"/>
    <w:tmpl w:val="418AA15E"/>
    <w:lvl w:ilvl="0" w:tplc="FEACC092">
      <w:start w:val="1"/>
      <w:numFmt w:val="bullet"/>
      <w:lvlText w:val=""/>
      <w:lvlPicBulletId w:val="0"/>
      <w:lvlJc w:val="left"/>
      <w:pPr>
        <w:tabs>
          <w:tab w:val="num" w:pos="720"/>
        </w:tabs>
        <w:ind w:left="720" w:hanging="360"/>
      </w:pPr>
      <w:rPr>
        <w:rFonts w:ascii="Symbol" w:hAnsi="Symbol" w:hint="default"/>
      </w:rPr>
    </w:lvl>
    <w:lvl w:ilvl="1" w:tplc="3AB23F6A" w:tentative="1">
      <w:start w:val="1"/>
      <w:numFmt w:val="bullet"/>
      <w:lvlText w:val=""/>
      <w:lvlJc w:val="left"/>
      <w:pPr>
        <w:tabs>
          <w:tab w:val="num" w:pos="1440"/>
        </w:tabs>
        <w:ind w:left="1440" w:hanging="360"/>
      </w:pPr>
      <w:rPr>
        <w:rFonts w:ascii="Symbol" w:hAnsi="Symbol" w:hint="default"/>
      </w:rPr>
    </w:lvl>
    <w:lvl w:ilvl="2" w:tplc="4E18714E" w:tentative="1">
      <w:start w:val="1"/>
      <w:numFmt w:val="bullet"/>
      <w:lvlText w:val=""/>
      <w:lvlJc w:val="left"/>
      <w:pPr>
        <w:tabs>
          <w:tab w:val="num" w:pos="2160"/>
        </w:tabs>
        <w:ind w:left="2160" w:hanging="360"/>
      </w:pPr>
      <w:rPr>
        <w:rFonts w:ascii="Symbol" w:hAnsi="Symbol" w:hint="default"/>
      </w:rPr>
    </w:lvl>
    <w:lvl w:ilvl="3" w:tplc="4692DB54" w:tentative="1">
      <w:start w:val="1"/>
      <w:numFmt w:val="bullet"/>
      <w:lvlText w:val=""/>
      <w:lvlJc w:val="left"/>
      <w:pPr>
        <w:tabs>
          <w:tab w:val="num" w:pos="2880"/>
        </w:tabs>
        <w:ind w:left="2880" w:hanging="360"/>
      </w:pPr>
      <w:rPr>
        <w:rFonts w:ascii="Symbol" w:hAnsi="Symbol" w:hint="default"/>
      </w:rPr>
    </w:lvl>
    <w:lvl w:ilvl="4" w:tplc="C3C63C8E" w:tentative="1">
      <w:start w:val="1"/>
      <w:numFmt w:val="bullet"/>
      <w:lvlText w:val=""/>
      <w:lvlJc w:val="left"/>
      <w:pPr>
        <w:tabs>
          <w:tab w:val="num" w:pos="3600"/>
        </w:tabs>
        <w:ind w:left="3600" w:hanging="360"/>
      </w:pPr>
      <w:rPr>
        <w:rFonts w:ascii="Symbol" w:hAnsi="Symbol" w:hint="default"/>
      </w:rPr>
    </w:lvl>
    <w:lvl w:ilvl="5" w:tplc="6B0C2CBC" w:tentative="1">
      <w:start w:val="1"/>
      <w:numFmt w:val="bullet"/>
      <w:lvlText w:val=""/>
      <w:lvlJc w:val="left"/>
      <w:pPr>
        <w:tabs>
          <w:tab w:val="num" w:pos="4320"/>
        </w:tabs>
        <w:ind w:left="4320" w:hanging="360"/>
      </w:pPr>
      <w:rPr>
        <w:rFonts w:ascii="Symbol" w:hAnsi="Symbol" w:hint="default"/>
      </w:rPr>
    </w:lvl>
    <w:lvl w:ilvl="6" w:tplc="9B581708" w:tentative="1">
      <w:start w:val="1"/>
      <w:numFmt w:val="bullet"/>
      <w:lvlText w:val=""/>
      <w:lvlJc w:val="left"/>
      <w:pPr>
        <w:tabs>
          <w:tab w:val="num" w:pos="5040"/>
        </w:tabs>
        <w:ind w:left="5040" w:hanging="360"/>
      </w:pPr>
      <w:rPr>
        <w:rFonts w:ascii="Symbol" w:hAnsi="Symbol" w:hint="default"/>
      </w:rPr>
    </w:lvl>
    <w:lvl w:ilvl="7" w:tplc="EDCAEE0E" w:tentative="1">
      <w:start w:val="1"/>
      <w:numFmt w:val="bullet"/>
      <w:lvlText w:val=""/>
      <w:lvlJc w:val="left"/>
      <w:pPr>
        <w:tabs>
          <w:tab w:val="num" w:pos="5760"/>
        </w:tabs>
        <w:ind w:left="5760" w:hanging="360"/>
      </w:pPr>
      <w:rPr>
        <w:rFonts w:ascii="Symbol" w:hAnsi="Symbol" w:hint="default"/>
      </w:rPr>
    </w:lvl>
    <w:lvl w:ilvl="8" w:tplc="2CC00AD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3EC4A05"/>
    <w:multiLevelType w:val="hybridMultilevel"/>
    <w:tmpl w:val="17FA4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20BDE"/>
    <w:multiLevelType w:val="hybridMultilevel"/>
    <w:tmpl w:val="F378C678"/>
    <w:lvl w:ilvl="0" w:tplc="7F902AAA">
      <w:start w:val="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29F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8C8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226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ADC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09D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801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68E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A7E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22062C"/>
    <w:multiLevelType w:val="hybridMultilevel"/>
    <w:tmpl w:val="35184BCA"/>
    <w:lvl w:ilvl="0" w:tplc="E19A7990">
      <w:start w:val="1"/>
      <w:numFmt w:val="lowerLetter"/>
      <w:lvlText w:val="%1."/>
      <w:lvlJc w:val="left"/>
      <w:pPr>
        <w:ind w:left="2160" w:hanging="720"/>
      </w:pPr>
      <w:rPr>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BC559A1"/>
    <w:multiLevelType w:val="hybridMultilevel"/>
    <w:tmpl w:val="B8D20552"/>
    <w:lvl w:ilvl="0" w:tplc="03807D8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2F1E38"/>
    <w:multiLevelType w:val="hybridMultilevel"/>
    <w:tmpl w:val="1CB23AC4"/>
    <w:lvl w:ilvl="0" w:tplc="ED5A1716">
      <w:start w:val="1"/>
      <w:numFmt w:val="bullet"/>
      <w:lvlText w:val=""/>
      <w:lvlPicBulletId w:val="4"/>
      <w:lvlJc w:val="left"/>
      <w:pPr>
        <w:tabs>
          <w:tab w:val="num" w:pos="720"/>
        </w:tabs>
        <w:ind w:left="720" w:hanging="360"/>
      </w:pPr>
      <w:rPr>
        <w:rFonts w:ascii="Symbol" w:hAnsi="Symbol" w:hint="default"/>
      </w:rPr>
    </w:lvl>
    <w:lvl w:ilvl="1" w:tplc="2B5A9996" w:tentative="1">
      <w:start w:val="1"/>
      <w:numFmt w:val="bullet"/>
      <w:lvlText w:val=""/>
      <w:lvlJc w:val="left"/>
      <w:pPr>
        <w:tabs>
          <w:tab w:val="num" w:pos="1440"/>
        </w:tabs>
        <w:ind w:left="1440" w:hanging="360"/>
      </w:pPr>
      <w:rPr>
        <w:rFonts w:ascii="Symbol" w:hAnsi="Symbol" w:hint="default"/>
      </w:rPr>
    </w:lvl>
    <w:lvl w:ilvl="2" w:tplc="7B82A1D8" w:tentative="1">
      <w:start w:val="1"/>
      <w:numFmt w:val="bullet"/>
      <w:lvlText w:val=""/>
      <w:lvlJc w:val="left"/>
      <w:pPr>
        <w:tabs>
          <w:tab w:val="num" w:pos="2160"/>
        </w:tabs>
        <w:ind w:left="2160" w:hanging="360"/>
      </w:pPr>
      <w:rPr>
        <w:rFonts w:ascii="Symbol" w:hAnsi="Symbol" w:hint="default"/>
      </w:rPr>
    </w:lvl>
    <w:lvl w:ilvl="3" w:tplc="4E9626B4" w:tentative="1">
      <w:start w:val="1"/>
      <w:numFmt w:val="bullet"/>
      <w:lvlText w:val=""/>
      <w:lvlJc w:val="left"/>
      <w:pPr>
        <w:tabs>
          <w:tab w:val="num" w:pos="2880"/>
        </w:tabs>
        <w:ind w:left="2880" w:hanging="360"/>
      </w:pPr>
      <w:rPr>
        <w:rFonts w:ascii="Symbol" w:hAnsi="Symbol" w:hint="default"/>
      </w:rPr>
    </w:lvl>
    <w:lvl w:ilvl="4" w:tplc="19A88C58" w:tentative="1">
      <w:start w:val="1"/>
      <w:numFmt w:val="bullet"/>
      <w:lvlText w:val=""/>
      <w:lvlJc w:val="left"/>
      <w:pPr>
        <w:tabs>
          <w:tab w:val="num" w:pos="3600"/>
        </w:tabs>
        <w:ind w:left="3600" w:hanging="360"/>
      </w:pPr>
      <w:rPr>
        <w:rFonts w:ascii="Symbol" w:hAnsi="Symbol" w:hint="default"/>
      </w:rPr>
    </w:lvl>
    <w:lvl w:ilvl="5" w:tplc="9DBE19FE" w:tentative="1">
      <w:start w:val="1"/>
      <w:numFmt w:val="bullet"/>
      <w:lvlText w:val=""/>
      <w:lvlJc w:val="left"/>
      <w:pPr>
        <w:tabs>
          <w:tab w:val="num" w:pos="4320"/>
        </w:tabs>
        <w:ind w:left="4320" w:hanging="360"/>
      </w:pPr>
      <w:rPr>
        <w:rFonts w:ascii="Symbol" w:hAnsi="Symbol" w:hint="default"/>
      </w:rPr>
    </w:lvl>
    <w:lvl w:ilvl="6" w:tplc="880A52A6" w:tentative="1">
      <w:start w:val="1"/>
      <w:numFmt w:val="bullet"/>
      <w:lvlText w:val=""/>
      <w:lvlJc w:val="left"/>
      <w:pPr>
        <w:tabs>
          <w:tab w:val="num" w:pos="5040"/>
        </w:tabs>
        <w:ind w:left="5040" w:hanging="360"/>
      </w:pPr>
      <w:rPr>
        <w:rFonts w:ascii="Symbol" w:hAnsi="Symbol" w:hint="default"/>
      </w:rPr>
    </w:lvl>
    <w:lvl w:ilvl="7" w:tplc="12D4B9D6" w:tentative="1">
      <w:start w:val="1"/>
      <w:numFmt w:val="bullet"/>
      <w:lvlText w:val=""/>
      <w:lvlJc w:val="left"/>
      <w:pPr>
        <w:tabs>
          <w:tab w:val="num" w:pos="5760"/>
        </w:tabs>
        <w:ind w:left="5760" w:hanging="360"/>
      </w:pPr>
      <w:rPr>
        <w:rFonts w:ascii="Symbol" w:hAnsi="Symbol" w:hint="default"/>
      </w:rPr>
    </w:lvl>
    <w:lvl w:ilvl="8" w:tplc="E4A4080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B097399"/>
    <w:multiLevelType w:val="hybridMultilevel"/>
    <w:tmpl w:val="30FC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3B344A"/>
    <w:multiLevelType w:val="hybridMultilevel"/>
    <w:tmpl w:val="D5A4B248"/>
    <w:lvl w:ilvl="0" w:tplc="3C247E96">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8C62739"/>
    <w:multiLevelType w:val="hybridMultilevel"/>
    <w:tmpl w:val="DF38E1D0"/>
    <w:lvl w:ilvl="0" w:tplc="A2D687D6">
      <w:start w:val="5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9A5A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E43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EC7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419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0D8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EB6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24D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074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6"/>
  </w:num>
  <w:num w:numId="3">
    <w:abstractNumId w:val="18"/>
  </w:num>
  <w:num w:numId="4">
    <w:abstractNumId w:val="16"/>
  </w:num>
  <w:num w:numId="5">
    <w:abstractNumId w:val="14"/>
  </w:num>
  <w:num w:numId="6">
    <w:abstractNumId w:val="0"/>
  </w:num>
  <w:num w:numId="7">
    <w:abstractNumId w:val="7"/>
  </w:num>
  <w:num w:numId="8">
    <w:abstractNumId w:val="20"/>
  </w:num>
  <w:num w:numId="9">
    <w:abstractNumId w:val="10"/>
  </w:num>
  <w:num w:numId="10">
    <w:abstractNumId w:val="3"/>
  </w:num>
  <w:num w:numId="11">
    <w:abstractNumId w:val="5"/>
  </w:num>
  <w:num w:numId="12">
    <w:abstractNumId w:val="11"/>
  </w:num>
  <w:num w:numId="13">
    <w:abstractNumId w:val="12"/>
  </w:num>
  <w:num w:numId="14">
    <w:abstractNumId w:val="9"/>
  </w:num>
  <w:num w:numId="15">
    <w:abstractNumId w:val="8"/>
  </w:num>
  <w:num w:numId="16">
    <w:abstractNumId w:val="1"/>
  </w:num>
  <w:num w:numId="17">
    <w:abstractNumId w:val="17"/>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2F"/>
    <w:rsid w:val="000000FF"/>
    <w:rsid w:val="00001785"/>
    <w:rsid w:val="00002C5F"/>
    <w:rsid w:val="00002D1D"/>
    <w:rsid w:val="000048AA"/>
    <w:rsid w:val="00004E6C"/>
    <w:rsid w:val="00005B8D"/>
    <w:rsid w:val="00007A87"/>
    <w:rsid w:val="0001192D"/>
    <w:rsid w:val="00011A45"/>
    <w:rsid w:val="000127F8"/>
    <w:rsid w:val="00012C63"/>
    <w:rsid w:val="00013B5E"/>
    <w:rsid w:val="0001441B"/>
    <w:rsid w:val="000164BE"/>
    <w:rsid w:val="00016802"/>
    <w:rsid w:val="00017F82"/>
    <w:rsid w:val="00020067"/>
    <w:rsid w:val="00020CD5"/>
    <w:rsid w:val="000235AB"/>
    <w:rsid w:val="00025079"/>
    <w:rsid w:val="00025553"/>
    <w:rsid w:val="000264B4"/>
    <w:rsid w:val="0003121C"/>
    <w:rsid w:val="00031374"/>
    <w:rsid w:val="00036D08"/>
    <w:rsid w:val="000370EC"/>
    <w:rsid w:val="0003713E"/>
    <w:rsid w:val="000377E2"/>
    <w:rsid w:val="0004302C"/>
    <w:rsid w:val="000448E8"/>
    <w:rsid w:val="00044E16"/>
    <w:rsid w:val="00045600"/>
    <w:rsid w:val="00050FB0"/>
    <w:rsid w:val="00051C34"/>
    <w:rsid w:val="00052048"/>
    <w:rsid w:val="00052821"/>
    <w:rsid w:val="000528EE"/>
    <w:rsid w:val="000555AF"/>
    <w:rsid w:val="00060244"/>
    <w:rsid w:val="00060E78"/>
    <w:rsid w:val="00060ED1"/>
    <w:rsid w:val="000613B5"/>
    <w:rsid w:val="00062076"/>
    <w:rsid w:val="00062E92"/>
    <w:rsid w:val="00065E14"/>
    <w:rsid w:val="0006695A"/>
    <w:rsid w:val="00066D53"/>
    <w:rsid w:val="00067692"/>
    <w:rsid w:val="00070525"/>
    <w:rsid w:val="00070CCB"/>
    <w:rsid w:val="000712A8"/>
    <w:rsid w:val="00072DC9"/>
    <w:rsid w:val="00073CCA"/>
    <w:rsid w:val="00076987"/>
    <w:rsid w:val="000777A1"/>
    <w:rsid w:val="00082120"/>
    <w:rsid w:val="00083657"/>
    <w:rsid w:val="0008677E"/>
    <w:rsid w:val="000868B0"/>
    <w:rsid w:val="000871BD"/>
    <w:rsid w:val="00087A06"/>
    <w:rsid w:val="00090780"/>
    <w:rsid w:val="000918E2"/>
    <w:rsid w:val="000929CF"/>
    <w:rsid w:val="00093FF1"/>
    <w:rsid w:val="000941DF"/>
    <w:rsid w:val="00094289"/>
    <w:rsid w:val="00094756"/>
    <w:rsid w:val="00096838"/>
    <w:rsid w:val="000A14EF"/>
    <w:rsid w:val="000A4356"/>
    <w:rsid w:val="000A5C68"/>
    <w:rsid w:val="000A6BF1"/>
    <w:rsid w:val="000A736A"/>
    <w:rsid w:val="000A7E57"/>
    <w:rsid w:val="000B1A1C"/>
    <w:rsid w:val="000B3A02"/>
    <w:rsid w:val="000B497C"/>
    <w:rsid w:val="000B6158"/>
    <w:rsid w:val="000C326B"/>
    <w:rsid w:val="000C33F2"/>
    <w:rsid w:val="000C6A14"/>
    <w:rsid w:val="000C78D9"/>
    <w:rsid w:val="000D00E5"/>
    <w:rsid w:val="000D0A5D"/>
    <w:rsid w:val="000D2599"/>
    <w:rsid w:val="000D278E"/>
    <w:rsid w:val="000D5C9C"/>
    <w:rsid w:val="000D5FA7"/>
    <w:rsid w:val="000D6B0F"/>
    <w:rsid w:val="000D7E6B"/>
    <w:rsid w:val="000E41C4"/>
    <w:rsid w:val="000E5729"/>
    <w:rsid w:val="000E5919"/>
    <w:rsid w:val="000E702E"/>
    <w:rsid w:val="000E7E68"/>
    <w:rsid w:val="000F21D3"/>
    <w:rsid w:val="000F360E"/>
    <w:rsid w:val="000F5449"/>
    <w:rsid w:val="000F5867"/>
    <w:rsid w:val="000F7CA3"/>
    <w:rsid w:val="00100FE7"/>
    <w:rsid w:val="001015EC"/>
    <w:rsid w:val="00103980"/>
    <w:rsid w:val="00105483"/>
    <w:rsid w:val="0010548C"/>
    <w:rsid w:val="0011274E"/>
    <w:rsid w:val="00112837"/>
    <w:rsid w:val="00114948"/>
    <w:rsid w:val="00114DFC"/>
    <w:rsid w:val="001159FD"/>
    <w:rsid w:val="00116211"/>
    <w:rsid w:val="0011639A"/>
    <w:rsid w:val="001203D3"/>
    <w:rsid w:val="00120ABA"/>
    <w:rsid w:val="00122EA1"/>
    <w:rsid w:val="0012452D"/>
    <w:rsid w:val="001246FB"/>
    <w:rsid w:val="0012528B"/>
    <w:rsid w:val="001259AA"/>
    <w:rsid w:val="00130737"/>
    <w:rsid w:val="00132212"/>
    <w:rsid w:val="00132239"/>
    <w:rsid w:val="0013236E"/>
    <w:rsid w:val="001330FA"/>
    <w:rsid w:val="00135D9F"/>
    <w:rsid w:val="0013642C"/>
    <w:rsid w:val="001406D5"/>
    <w:rsid w:val="00140AA5"/>
    <w:rsid w:val="001418F8"/>
    <w:rsid w:val="00142530"/>
    <w:rsid w:val="00142709"/>
    <w:rsid w:val="00143D98"/>
    <w:rsid w:val="00144CD7"/>
    <w:rsid w:val="00151B88"/>
    <w:rsid w:val="00151DD1"/>
    <w:rsid w:val="0015233D"/>
    <w:rsid w:val="001524C8"/>
    <w:rsid w:val="00154E42"/>
    <w:rsid w:val="00155A2C"/>
    <w:rsid w:val="00157BF8"/>
    <w:rsid w:val="001608F0"/>
    <w:rsid w:val="00161DEF"/>
    <w:rsid w:val="001623E9"/>
    <w:rsid w:val="00163B50"/>
    <w:rsid w:val="0016593C"/>
    <w:rsid w:val="00170A73"/>
    <w:rsid w:val="00171C3E"/>
    <w:rsid w:val="0017311C"/>
    <w:rsid w:val="00173D0D"/>
    <w:rsid w:val="00174EAB"/>
    <w:rsid w:val="0017545E"/>
    <w:rsid w:val="00177147"/>
    <w:rsid w:val="00177219"/>
    <w:rsid w:val="00177B0E"/>
    <w:rsid w:val="0018195D"/>
    <w:rsid w:val="00182E03"/>
    <w:rsid w:val="001832C2"/>
    <w:rsid w:val="00184F7B"/>
    <w:rsid w:val="001927FD"/>
    <w:rsid w:val="00192CC7"/>
    <w:rsid w:val="00192FF2"/>
    <w:rsid w:val="001949FA"/>
    <w:rsid w:val="0019782A"/>
    <w:rsid w:val="001A0B20"/>
    <w:rsid w:val="001A1059"/>
    <w:rsid w:val="001A15C2"/>
    <w:rsid w:val="001A2831"/>
    <w:rsid w:val="001A2CAB"/>
    <w:rsid w:val="001A35E4"/>
    <w:rsid w:val="001A3782"/>
    <w:rsid w:val="001A4DEF"/>
    <w:rsid w:val="001A6397"/>
    <w:rsid w:val="001A64F9"/>
    <w:rsid w:val="001B005B"/>
    <w:rsid w:val="001B1134"/>
    <w:rsid w:val="001B1882"/>
    <w:rsid w:val="001B2720"/>
    <w:rsid w:val="001B597F"/>
    <w:rsid w:val="001B733D"/>
    <w:rsid w:val="001C092F"/>
    <w:rsid w:val="001C0AC5"/>
    <w:rsid w:val="001C64A4"/>
    <w:rsid w:val="001C70D9"/>
    <w:rsid w:val="001C75AA"/>
    <w:rsid w:val="001C7BC7"/>
    <w:rsid w:val="001C7D94"/>
    <w:rsid w:val="001D07D5"/>
    <w:rsid w:val="001D0EFF"/>
    <w:rsid w:val="001D3C38"/>
    <w:rsid w:val="001D50CD"/>
    <w:rsid w:val="001D5B38"/>
    <w:rsid w:val="001D652D"/>
    <w:rsid w:val="001D69B2"/>
    <w:rsid w:val="001D747F"/>
    <w:rsid w:val="001E0731"/>
    <w:rsid w:val="001E1457"/>
    <w:rsid w:val="001E2E45"/>
    <w:rsid w:val="001E2E84"/>
    <w:rsid w:val="001E3E4D"/>
    <w:rsid w:val="001E6244"/>
    <w:rsid w:val="001E75D5"/>
    <w:rsid w:val="001E76DD"/>
    <w:rsid w:val="001E7CBB"/>
    <w:rsid w:val="001F0465"/>
    <w:rsid w:val="001F32A3"/>
    <w:rsid w:val="001F3A96"/>
    <w:rsid w:val="001F616D"/>
    <w:rsid w:val="001F7740"/>
    <w:rsid w:val="00200594"/>
    <w:rsid w:val="0020322A"/>
    <w:rsid w:val="002042BE"/>
    <w:rsid w:val="002043EF"/>
    <w:rsid w:val="00204FDA"/>
    <w:rsid w:val="00205DC4"/>
    <w:rsid w:val="00207103"/>
    <w:rsid w:val="00207E9D"/>
    <w:rsid w:val="00210E43"/>
    <w:rsid w:val="00211387"/>
    <w:rsid w:val="00211BAE"/>
    <w:rsid w:val="002134E5"/>
    <w:rsid w:val="002137D5"/>
    <w:rsid w:val="00213CAD"/>
    <w:rsid w:val="00213F5D"/>
    <w:rsid w:val="0021408E"/>
    <w:rsid w:val="0021691D"/>
    <w:rsid w:val="00220213"/>
    <w:rsid w:val="0022239E"/>
    <w:rsid w:val="0022254D"/>
    <w:rsid w:val="0022280E"/>
    <w:rsid w:val="0022459D"/>
    <w:rsid w:val="0022535F"/>
    <w:rsid w:val="00225380"/>
    <w:rsid w:val="00225B87"/>
    <w:rsid w:val="00226CFE"/>
    <w:rsid w:val="00230C73"/>
    <w:rsid w:val="00231350"/>
    <w:rsid w:val="002320F3"/>
    <w:rsid w:val="0023332B"/>
    <w:rsid w:val="00233BBD"/>
    <w:rsid w:val="0023452F"/>
    <w:rsid w:val="00235115"/>
    <w:rsid w:val="0023577F"/>
    <w:rsid w:val="00236695"/>
    <w:rsid w:val="00236D67"/>
    <w:rsid w:val="00242CDE"/>
    <w:rsid w:val="002430C5"/>
    <w:rsid w:val="00243702"/>
    <w:rsid w:val="00244261"/>
    <w:rsid w:val="002442A2"/>
    <w:rsid w:val="0024491C"/>
    <w:rsid w:val="00245ED2"/>
    <w:rsid w:val="0024703C"/>
    <w:rsid w:val="00250BED"/>
    <w:rsid w:val="00250C1C"/>
    <w:rsid w:val="00251253"/>
    <w:rsid w:val="00253860"/>
    <w:rsid w:val="00254BA1"/>
    <w:rsid w:val="0025723A"/>
    <w:rsid w:val="00262B66"/>
    <w:rsid w:val="00262D96"/>
    <w:rsid w:val="00263AEA"/>
    <w:rsid w:val="0026443F"/>
    <w:rsid w:val="002668A9"/>
    <w:rsid w:val="00266BDA"/>
    <w:rsid w:val="00267882"/>
    <w:rsid w:val="002700A5"/>
    <w:rsid w:val="00271350"/>
    <w:rsid w:val="002719E1"/>
    <w:rsid w:val="0027383A"/>
    <w:rsid w:val="00273B84"/>
    <w:rsid w:val="00276901"/>
    <w:rsid w:val="00276AA1"/>
    <w:rsid w:val="00276F87"/>
    <w:rsid w:val="00277201"/>
    <w:rsid w:val="0027793A"/>
    <w:rsid w:val="00277940"/>
    <w:rsid w:val="00277C62"/>
    <w:rsid w:val="00277FBD"/>
    <w:rsid w:val="00280E16"/>
    <w:rsid w:val="00282079"/>
    <w:rsid w:val="0028215E"/>
    <w:rsid w:val="00282CCB"/>
    <w:rsid w:val="002853EC"/>
    <w:rsid w:val="00286A6B"/>
    <w:rsid w:val="002912FC"/>
    <w:rsid w:val="00293C0B"/>
    <w:rsid w:val="00294592"/>
    <w:rsid w:val="00295662"/>
    <w:rsid w:val="00295A3D"/>
    <w:rsid w:val="00297E6D"/>
    <w:rsid w:val="002A1B4F"/>
    <w:rsid w:val="002A1E34"/>
    <w:rsid w:val="002A2066"/>
    <w:rsid w:val="002A3424"/>
    <w:rsid w:val="002A3712"/>
    <w:rsid w:val="002A4B7F"/>
    <w:rsid w:val="002A584C"/>
    <w:rsid w:val="002A61EA"/>
    <w:rsid w:val="002A7CF8"/>
    <w:rsid w:val="002B0280"/>
    <w:rsid w:val="002B1479"/>
    <w:rsid w:val="002B1C9F"/>
    <w:rsid w:val="002B2CCA"/>
    <w:rsid w:val="002B59F5"/>
    <w:rsid w:val="002B5BA5"/>
    <w:rsid w:val="002B6268"/>
    <w:rsid w:val="002B7746"/>
    <w:rsid w:val="002C2B63"/>
    <w:rsid w:val="002C3D0A"/>
    <w:rsid w:val="002C52F7"/>
    <w:rsid w:val="002C5C38"/>
    <w:rsid w:val="002C6578"/>
    <w:rsid w:val="002C69C7"/>
    <w:rsid w:val="002D0362"/>
    <w:rsid w:val="002D11DD"/>
    <w:rsid w:val="002D2959"/>
    <w:rsid w:val="002D34D7"/>
    <w:rsid w:val="002D42CB"/>
    <w:rsid w:val="002D4CA4"/>
    <w:rsid w:val="002D4DCD"/>
    <w:rsid w:val="002E003D"/>
    <w:rsid w:val="002E3F0C"/>
    <w:rsid w:val="002E511B"/>
    <w:rsid w:val="002F0822"/>
    <w:rsid w:val="002F1490"/>
    <w:rsid w:val="002F2BF6"/>
    <w:rsid w:val="002F2E78"/>
    <w:rsid w:val="002F3CB0"/>
    <w:rsid w:val="002F5332"/>
    <w:rsid w:val="002F699F"/>
    <w:rsid w:val="002F75EB"/>
    <w:rsid w:val="00300516"/>
    <w:rsid w:val="00301570"/>
    <w:rsid w:val="00304004"/>
    <w:rsid w:val="0030464D"/>
    <w:rsid w:val="003065A8"/>
    <w:rsid w:val="0030709E"/>
    <w:rsid w:val="00310A68"/>
    <w:rsid w:val="003125D7"/>
    <w:rsid w:val="00313144"/>
    <w:rsid w:val="0031360A"/>
    <w:rsid w:val="0031602D"/>
    <w:rsid w:val="003165BE"/>
    <w:rsid w:val="00317999"/>
    <w:rsid w:val="00320067"/>
    <w:rsid w:val="0032343C"/>
    <w:rsid w:val="0032435A"/>
    <w:rsid w:val="00325189"/>
    <w:rsid w:val="003254B5"/>
    <w:rsid w:val="00325A2D"/>
    <w:rsid w:val="003304C3"/>
    <w:rsid w:val="00330E37"/>
    <w:rsid w:val="0033132B"/>
    <w:rsid w:val="00331BD0"/>
    <w:rsid w:val="00332EF2"/>
    <w:rsid w:val="00333B93"/>
    <w:rsid w:val="00334263"/>
    <w:rsid w:val="00335AF5"/>
    <w:rsid w:val="00341547"/>
    <w:rsid w:val="0034243E"/>
    <w:rsid w:val="00343614"/>
    <w:rsid w:val="0034366D"/>
    <w:rsid w:val="0034400A"/>
    <w:rsid w:val="00344F62"/>
    <w:rsid w:val="003454A2"/>
    <w:rsid w:val="00345A81"/>
    <w:rsid w:val="00347288"/>
    <w:rsid w:val="00347C30"/>
    <w:rsid w:val="003511FE"/>
    <w:rsid w:val="003529E7"/>
    <w:rsid w:val="00352D8A"/>
    <w:rsid w:val="0035599A"/>
    <w:rsid w:val="003577AB"/>
    <w:rsid w:val="003608B5"/>
    <w:rsid w:val="00360923"/>
    <w:rsid w:val="00360BAF"/>
    <w:rsid w:val="003637DD"/>
    <w:rsid w:val="0036654D"/>
    <w:rsid w:val="0036660C"/>
    <w:rsid w:val="00366F56"/>
    <w:rsid w:val="00366F6F"/>
    <w:rsid w:val="00367A24"/>
    <w:rsid w:val="00370936"/>
    <w:rsid w:val="00370D54"/>
    <w:rsid w:val="00371418"/>
    <w:rsid w:val="00371793"/>
    <w:rsid w:val="00375D30"/>
    <w:rsid w:val="00376008"/>
    <w:rsid w:val="0037612F"/>
    <w:rsid w:val="00381E51"/>
    <w:rsid w:val="00382A2C"/>
    <w:rsid w:val="00383A25"/>
    <w:rsid w:val="003870D4"/>
    <w:rsid w:val="00393B7C"/>
    <w:rsid w:val="00394E3B"/>
    <w:rsid w:val="00395479"/>
    <w:rsid w:val="003A0184"/>
    <w:rsid w:val="003A0A52"/>
    <w:rsid w:val="003A3A4D"/>
    <w:rsid w:val="003B0E42"/>
    <w:rsid w:val="003B37BD"/>
    <w:rsid w:val="003B394C"/>
    <w:rsid w:val="003B4B6C"/>
    <w:rsid w:val="003B4BD4"/>
    <w:rsid w:val="003B4E8C"/>
    <w:rsid w:val="003B5EC8"/>
    <w:rsid w:val="003C1293"/>
    <w:rsid w:val="003C1CCA"/>
    <w:rsid w:val="003C283D"/>
    <w:rsid w:val="003C431A"/>
    <w:rsid w:val="003C5275"/>
    <w:rsid w:val="003C6C8E"/>
    <w:rsid w:val="003C6F2F"/>
    <w:rsid w:val="003C7942"/>
    <w:rsid w:val="003D0C3F"/>
    <w:rsid w:val="003D1F26"/>
    <w:rsid w:val="003D2803"/>
    <w:rsid w:val="003D3763"/>
    <w:rsid w:val="003D4718"/>
    <w:rsid w:val="003D54FC"/>
    <w:rsid w:val="003D5F00"/>
    <w:rsid w:val="003E1E4C"/>
    <w:rsid w:val="003E204F"/>
    <w:rsid w:val="003E2163"/>
    <w:rsid w:val="003F1C7C"/>
    <w:rsid w:val="003F25DC"/>
    <w:rsid w:val="003F2D69"/>
    <w:rsid w:val="003F3888"/>
    <w:rsid w:val="003F5352"/>
    <w:rsid w:val="003F5A08"/>
    <w:rsid w:val="00400103"/>
    <w:rsid w:val="00400744"/>
    <w:rsid w:val="00401B2A"/>
    <w:rsid w:val="00402426"/>
    <w:rsid w:val="004033CE"/>
    <w:rsid w:val="004047F5"/>
    <w:rsid w:val="00404C51"/>
    <w:rsid w:val="00405A95"/>
    <w:rsid w:val="004069D8"/>
    <w:rsid w:val="00410286"/>
    <w:rsid w:val="0041383A"/>
    <w:rsid w:val="00414284"/>
    <w:rsid w:val="004144A9"/>
    <w:rsid w:val="004144B8"/>
    <w:rsid w:val="00415F1D"/>
    <w:rsid w:val="0042069E"/>
    <w:rsid w:val="00422E79"/>
    <w:rsid w:val="00424089"/>
    <w:rsid w:val="00425EC6"/>
    <w:rsid w:val="004307B5"/>
    <w:rsid w:val="0043188D"/>
    <w:rsid w:val="00431C8D"/>
    <w:rsid w:val="00433042"/>
    <w:rsid w:val="00433CD8"/>
    <w:rsid w:val="00434368"/>
    <w:rsid w:val="00436812"/>
    <w:rsid w:val="004370AA"/>
    <w:rsid w:val="00442553"/>
    <w:rsid w:val="004429A9"/>
    <w:rsid w:val="004436C1"/>
    <w:rsid w:val="004454E7"/>
    <w:rsid w:val="004461A6"/>
    <w:rsid w:val="00447E27"/>
    <w:rsid w:val="00451619"/>
    <w:rsid w:val="0045244B"/>
    <w:rsid w:val="00452DF8"/>
    <w:rsid w:val="00453713"/>
    <w:rsid w:val="00453EEE"/>
    <w:rsid w:val="00456C22"/>
    <w:rsid w:val="0045790D"/>
    <w:rsid w:val="00460406"/>
    <w:rsid w:val="00462D73"/>
    <w:rsid w:val="00462EEF"/>
    <w:rsid w:val="00463048"/>
    <w:rsid w:val="00470876"/>
    <w:rsid w:val="00470C19"/>
    <w:rsid w:val="00470F90"/>
    <w:rsid w:val="00471209"/>
    <w:rsid w:val="00473385"/>
    <w:rsid w:val="0047573F"/>
    <w:rsid w:val="00476BA1"/>
    <w:rsid w:val="004834F4"/>
    <w:rsid w:val="004839E9"/>
    <w:rsid w:val="00484923"/>
    <w:rsid w:val="00485BAC"/>
    <w:rsid w:val="004869EB"/>
    <w:rsid w:val="00487D15"/>
    <w:rsid w:val="0049006C"/>
    <w:rsid w:val="00491A4B"/>
    <w:rsid w:val="00491EB2"/>
    <w:rsid w:val="00492687"/>
    <w:rsid w:val="00493E06"/>
    <w:rsid w:val="00496081"/>
    <w:rsid w:val="00496F42"/>
    <w:rsid w:val="0049709B"/>
    <w:rsid w:val="00497541"/>
    <w:rsid w:val="004A04F1"/>
    <w:rsid w:val="004A097B"/>
    <w:rsid w:val="004A15AF"/>
    <w:rsid w:val="004A2596"/>
    <w:rsid w:val="004A2C48"/>
    <w:rsid w:val="004A33D9"/>
    <w:rsid w:val="004A421F"/>
    <w:rsid w:val="004A491C"/>
    <w:rsid w:val="004A5C75"/>
    <w:rsid w:val="004A65EC"/>
    <w:rsid w:val="004A75DA"/>
    <w:rsid w:val="004B360B"/>
    <w:rsid w:val="004B397A"/>
    <w:rsid w:val="004B4A7D"/>
    <w:rsid w:val="004B74C9"/>
    <w:rsid w:val="004C05CE"/>
    <w:rsid w:val="004C3073"/>
    <w:rsid w:val="004C3348"/>
    <w:rsid w:val="004C346A"/>
    <w:rsid w:val="004C3D98"/>
    <w:rsid w:val="004C660E"/>
    <w:rsid w:val="004C6C37"/>
    <w:rsid w:val="004D03A3"/>
    <w:rsid w:val="004D330A"/>
    <w:rsid w:val="004D339D"/>
    <w:rsid w:val="004D5340"/>
    <w:rsid w:val="004D7863"/>
    <w:rsid w:val="004D79A7"/>
    <w:rsid w:val="004E036B"/>
    <w:rsid w:val="004E0B21"/>
    <w:rsid w:val="004E0C72"/>
    <w:rsid w:val="004E14F1"/>
    <w:rsid w:val="004E69E9"/>
    <w:rsid w:val="004E7C8A"/>
    <w:rsid w:val="004E7E95"/>
    <w:rsid w:val="004F21F7"/>
    <w:rsid w:val="004F30C6"/>
    <w:rsid w:val="004F3C4B"/>
    <w:rsid w:val="004F3CAA"/>
    <w:rsid w:val="004F647B"/>
    <w:rsid w:val="004F6693"/>
    <w:rsid w:val="0050164E"/>
    <w:rsid w:val="00502965"/>
    <w:rsid w:val="00503944"/>
    <w:rsid w:val="005039D5"/>
    <w:rsid w:val="00504A03"/>
    <w:rsid w:val="00504C01"/>
    <w:rsid w:val="005055BC"/>
    <w:rsid w:val="00505679"/>
    <w:rsid w:val="0051183F"/>
    <w:rsid w:val="0051190D"/>
    <w:rsid w:val="005126E5"/>
    <w:rsid w:val="0051297B"/>
    <w:rsid w:val="0051711A"/>
    <w:rsid w:val="00517C6D"/>
    <w:rsid w:val="00520B3B"/>
    <w:rsid w:val="00521CAF"/>
    <w:rsid w:val="00527548"/>
    <w:rsid w:val="00527A73"/>
    <w:rsid w:val="00531E69"/>
    <w:rsid w:val="00535846"/>
    <w:rsid w:val="005375B0"/>
    <w:rsid w:val="00542264"/>
    <w:rsid w:val="0054654E"/>
    <w:rsid w:val="005506BB"/>
    <w:rsid w:val="005540B5"/>
    <w:rsid w:val="005547F5"/>
    <w:rsid w:val="005601D6"/>
    <w:rsid w:val="005627B8"/>
    <w:rsid w:val="00563E0F"/>
    <w:rsid w:val="00563E1C"/>
    <w:rsid w:val="00564CC0"/>
    <w:rsid w:val="0056500F"/>
    <w:rsid w:val="00567267"/>
    <w:rsid w:val="005701AD"/>
    <w:rsid w:val="00575024"/>
    <w:rsid w:val="005752AC"/>
    <w:rsid w:val="005768A0"/>
    <w:rsid w:val="00577216"/>
    <w:rsid w:val="00582354"/>
    <w:rsid w:val="00582DE8"/>
    <w:rsid w:val="00583140"/>
    <w:rsid w:val="00584E5F"/>
    <w:rsid w:val="00585409"/>
    <w:rsid w:val="00585F3F"/>
    <w:rsid w:val="0058630F"/>
    <w:rsid w:val="00586851"/>
    <w:rsid w:val="00590F37"/>
    <w:rsid w:val="005921CB"/>
    <w:rsid w:val="00592E63"/>
    <w:rsid w:val="00594445"/>
    <w:rsid w:val="00594A50"/>
    <w:rsid w:val="00594BC3"/>
    <w:rsid w:val="0059556B"/>
    <w:rsid w:val="00595D33"/>
    <w:rsid w:val="005974C0"/>
    <w:rsid w:val="005974C6"/>
    <w:rsid w:val="005A0A00"/>
    <w:rsid w:val="005A20E3"/>
    <w:rsid w:val="005A356A"/>
    <w:rsid w:val="005A3D58"/>
    <w:rsid w:val="005A4483"/>
    <w:rsid w:val="005A6644"/>
    <w:rsid w:val="005A694C"/>
    <w:rsid w:val="005B2F30"/>
    <w:rsid w:val="005B5443"/>
    <w:rsid w:val="005B58FC"/>
    <w:rsid w:val="005B632A"/>
    <w:rsid w:val="005B6850"/>
    <w:rsid w:val="005B6DCF"/>
    <w:rsid w:val="005B7FC9"/>
    <w:rsid w:val="005C17D1"/>
    <w:rsid w:val="005C1B84"/>
    <w:rsid w:val="005C3B47"/>
    <w:rsid w:val="005C4D7C"/>
    <w:rsid w:val="005C4EAD"/>
    <w:rsid w:val="005D1AB8"/>
    <w:rsid w:val="005D1CF0"/>
    <w:rsid w:val="005D3C85"/>
    <w:rsid w:val="005D47C5"/>
    <w:rsid w:val="005D566E"/>
    <w:rsid w:val="005D5890"/>
    <w:rsid w:val="005D6803"/>
    <w:rsid w:val="005D6D1E"/>
    <w:rsid w:val="005D7104"/>
    <w:rsid w:val="005D72E0"/>
    <w:rsid w:val="005E1655"/>
    <w:rsid w:val="005E4069"/>
    <w:rsid w:val="005E407F"/>
    <w:rsid w:val="005E60C4"/>
    <w:rsid w:val="005F04D1"/>
    <w:rsid w:val="005F0C73"/>
    <w:rsid w:val="005F3F27"/>
    <w:rsid w:val="005F4BFC"/>
    <w:rsid w:val="005F6E65"/>
    <w:rsid w:val="005F718C"/>
    <w:rsid w:val="00600AEF"/>
    <w:rsid w:val="00601764"/>
    <w:rsid w:val="00601CB6"/>
    <w:rsid w:val="006032A3"/>
    <w:rsid w:val="00603905"/>
    <w:rsid w:val="00603B96"/>
    <w:rsid w:val="00604CDD"/>
    <w:rsid w:val="00605D06"/>
    <w:rsid w:val="006111A1"/>
    <w:rsid w:val="006116E1"/>
    <w:rsid w:val="00611764"/>
    <w:rsid w:val="006147E3"/>
    <w:rsid w:val="0061480A"/>
    <w:rsid w:val="006226BC"/>
    <w:rsid w:val="00625BB7"/>
    <w:rsid w:val="0062619E"/>
    <w:rsid w:val="00626388"/>
    <w:rsid w:val="006264DA"/>
    <w:rsid w:val="006265A2"/>
    <w:rsid w:val="00627978"/>
    <w:rsid w:val="00630CE1"/>
    <w:rsid w:val="006323BD"/>
    <w:rsid w:val="00633716"/>
    <w:rsid w:val="00634653"/>
    <w:rsid w:val="00635E96"/>
    <w:rsid w:val="00636D67"/>
    <w:rsid w:val="00636F2D"/>
    <w:rsid w:val="006375DE"/>
    <w:rsid w:val="00640FCC"/>
    <w:rsid w:val="00642B23"/>
    <w:rsid w:val="00643781"/>
    <w:rsid w:val="00645033"/>
    <w:rsid w:val="006506EB"/>
    <w:rsid w:val="00650AF3"/>
    <w:rsid w:val="006513CF"/>
    <w:rsid w:val="00651FC1"/>
    <w:rsid w:val="0065262E"/>
    <w:rsid w:val="006526E1"/>
    <w:rsid w:val="00653566"/>
    <w:rsid w:val="0065490D"/>
    <w:rsid w:val="00655467"/>
    <w:rsid w:val="00655B85"/>
    <w:rsid w:val="0065607D"/>
    <w:rsid w:val="0065688E"/>
    <w:rsid w:val="006568E4"/>
    <w:rsid w:val="006573A8"/>
    <w:rsid w:val="00660EA0"/>
    <w:rsid w:val="00660F17"/>
    <w:rsid w:val="0066119C"/>
    <w:rsid w:val="00661C37"/>
    <w:rsid w:val="006630BD"/>
    <w:rsid w:val="006635A0"/>
    <w:rsid w:val="00663FBD"/>
    <w:rsid w:val="00663FC3"/>
    <w:rsid w:val="00665286"/>
    <w:rsid w:val="006653F0"/>
    <w:rsid w:val="00667A21"/>
    <w:rsid w:val="0067418F"/>
    <w:rsid w:val="006744C2"/>
    <w:rsid w:val="00675947"/>
    <w:rsid w:val="00675BDD"/>
    <w:rsid w:val="00675DD4"/>
    <w:rsid w:val="00676366"/>
    <w:rsid w:val="0068020F"/>
    <w:rsid w:val="00681116"/>
    <w:rsid w:val="006811E7"/>
    <w:rsid w:val="0068394F"/>
    <w:rsid w:val="00686EAA"/>
    <w:rsid w:val="006872B3"/>
    <w:rsid w:val="00687C9C"/>
    <w:rsid w:val="00687E69"/>
    <w:rsid w:val="0069214B"/>
    <w:rsid w:val="00692B66"/>
    <w:rsid w:val="00693186"/>
    <w:rsid w:val="00694502"/>
    <w:rsid w:val="006948AA"/>
    <w:rsid w:val="00694E43"/>
    <w:rsid w:val="00695DE4"/>
    <w:rsid w:val="00695DE9"/>
    <w:rsid w:val="006960A2"/>
    <w:rsid w:val="006A0BF3"/>
    <w:rsid w:val="006A4CA2"/>
    <w:rsid w:val="006A5A1D"/>
    <w:rsid w:val="006A6320"/>
    <w:rsid w:val="006A6F2E"/>
    <w:rsid w:val="006B1562"/>
    <w:rsid w:val="006B3F6F"/>
    <w:rsid w:val="006B5051"/>
    <w:rsid w:val="006B53D6"/>
    <w:rsid w:val="006B6335"/>
    <w:rsid w:val="006C00B2"/>
    <w:rsid w:val="006C14BA"/>
    <w:rsid w:val="006C1C6C"/>
    <w:rsid w:val="006C3973"/>
    <w:rsid w:val="006C488B"/>
    <w:rsid w:val="006C59B1"/>
    <w:rsid w:val="006C754B"/>
    <w:rsid w:val="006D00B7"/>
    <w:rsid w:val="006D159F"/>
    <w:rsid w:val="006D1B7D"/>
    <w:rsid w:val="006D3DB3"/>
    <w:rsid w:val="006D79C0"/>
    <w:rsid w:val="006E069C"/>
    <w:rsid w:val="006E09C8"/>
    <w:rsid w:val="006E0AEF"/>
    <w:rsid w:val="006E0CE2"/>
    <w:rsid w:val="006E24CA"/>
    <w:rsid w:val="006E3AAB"/>
    <w:rsid w:val="006E3CBA"/>
    <w:rsid w:val="006E587D"/>
    <w:rsid w:val="006E59D7"/>
    <w:rsid w:val="006E63CF"/>
    <w:rsid w:val="006E6FDD"/>
    <w:rsid w:val="006E7781"/>
    <w:rsid w:val="006F0981"/>
    <w:rsid w:val="006F0B2F"/>
    <w:rsid w:val="006F11BC"/>
    <w:rsid w:val="006F2078"/>
    <w:rsid w:val="006F5E9E"/>
    <w:rsid w:val="006F71E4"/>
    <w:rsid w:val="006F76E2"/>
    <w:rsid w:val="0070090C"/>
    <w:rsid w:val="00700F59"/>
    <w:rsid w:val="00700FD0"/>
    <w:rsid w:val="00701BEB"/>
    <w:rsid w:val="00702196"/>
    <w:rsid w:val="007041F3"/>
    <w:rsid w:val="007068CA"/>
    <w:rsid w:val="00710B6F"/>
    <w:rsid w:val="0071274E"/>
    <w:rsid w:val="00713529"/>
    <w:rsid w:val="007136AD"/>
    <w:rsid w:val="00713868"/>
    <w:rsid w:val="00714895"/>
    <w:rsid w:val="00716923"/>
    <w:rsid w:val="00717B79"/>
    <w:rsid w:val="00720E8F"/>
    <w:rsid w:val="00721E0A"/>
    <w:rsid w:val="00722468"/>
    <w:rsid w:val="0072606C"/>
    <w:rsid w:val="00726EAD"/>
    <w:rsid w:val="00727D9D"/>
    <w:rsid w:val="00730D62"/>
    <w:rsid w:val="00732BCB"/>
    <w:rsid w:val="007339B5"/>
    <w:rsid w:val="007347E4"/>
    <w:rsid w:val="00734968"/>
    <w:rsid w:val="00736A42"/>
    <w:rsid w:val="007370BC"/>
    <w:rsid w:val="0073752C"/>
    <w:rsid w:val="00737E7F"/>
    <w:rsid w:val="00741783"/>
    <w:rsid w:val="0074242F"/>
    <w:rsid w:val="00743035"/>
    <w:rsid w:val="0074461A"/>
    <w:rsid w:val="007446AC"/>
    <w:rsid w:val="00744DFC"/>
    <w:rsid w:val="00744E06"/>
    <w:rsid w:val="00745980"/>
    <w:rsid w:val="00745C71"/>
    <w:rsid w:val="00745F40"/>
    <w:rsid w:val="00751263"/>
    <w:rsid w:val="00752001"/>
    <w:rsid w:val="00752D43"/>
    <w:rsid w:val="00753B47"/>
    <w:rsid w:val="0075556D"/>
    <w:rsid w:val="00757792"/>
    <w:rsid w:val="00760839"/>
    <w:rsid w:val="00760A39"/>
    <w:rsid w:val="00762A11"/>
    <w:rsid w:val="00764C98"/>
    <w:rsid w:val="00764FBA"/>
    <w:rsid w:val="00766675"/>
    <w:rsid w:val="00770FB0"/>
    <w:rsid w:val="007716E1"/>
    <w:rsid w:val="0077369D"/>
    <w:rsid w:val="007757E0"/>
    <w:rsid w:val="00775A0E"/>
    <w:rsid w:val="007762FB"/>
    <w:rsid w:val="007763DC"/>
    <w:rsid w:val="00776F5D"/>
    <w:rsid w:val="00776FB3"/>
    <w:rsid w:val="007778FF"/>
    <w:rsid w:val="00777F1E"/>
    <w:rsid w:val="007800F9"/>
    <w:rsid w:val="007843A8"/>
    <w:rsid w:val="00786EA9"/>
    <w:rsid w:val="0078709E"/>
    <w:rsid w:val="00787FE9"/>
    <w:rsid w:val="00791210"/>
    <w:rsid w:val="007927C6"/>
    <w:rsid w:val="00794398"/>
    <w:rsid w:val="0079489F"/>
    <w:rsid w:val="007A0531"/>
    <w:rsid w:val="007A0F26"/>
    <w:rsid w:val="007A25B5"/>
    <w:rsid w:val="007A2D52"/>
    <w:rsid w:val="007A3F54"/>
    <w:rsid w:val="007A55D4"/>
    <w:rsid w:val="007A79AA"/>
    <w:rsid w:val="007B042C"/>
    <w:rsid w:val="007B1884"/>
    <w:rsid w:val="007B223A"/>
    <w:rsid w:val="007B2334"/>
    <w:rsid w:val="007B341B"/>
    <w:rsid w:val="007B3569"/>
    <w:rsid w:val="007B7267"/>
    <w:rsid w:val="007C0FC5"/>
    <w:rsid w:val="007C1131"/>
    <w:rsid w:val="007C27C6"/>
    <w:rsid w:val="007C29B6"/>
    <w:rsid w:val="007C3D1E"/>
    <w:rsid w:val="007C51CF"/>
    <w:rsid w:val="007C535E"/>
    <w:rsid w:val="007C61C1"/>
    <w:rsid w:val="007C6584"/>
    <w:rsid w:val="007C6C52"/>
    <w:rsid w:val="007C7038"/>
    <w:rsid w:val="007C79B1"/>
    <w:rsid w:val="007D1092"/>
    <w:rsid w:val="007D140A"/>
    <w:rsid w:val="007D1750"/>
    <w:rsid w:val="007D2D21"/>
    <w:rsid w:val="007D2F7B"/>
    <w:rsid w:val="007D6BF0"/>
    <w:rsid w:val="007E000C"/>
    <w:rsid w:val="007E0C8B"/>
    <w:rsid w:val="007E127D"/>
    <w:rsid w:val="007E2B76"/>
    <w:rsid w:val="007E32DB"/>
    <w:rsid w:val="007E455A"/>
    <w:rsid w:val="007E68E4"/>
    <w:rsid w:val="007F02BB"/>
    <w:rsid w:val="007F0B8C"/>
    <w:rsid w:val="007F48A5"/>
    <w:rsid w:val="007F59DB"/>
    <w:rsid w:val="007F74EA"/>
    <w:rsid w:val="00800313"/>
    <w:rsid w:val="0080045B"/>
    <w:rsid w:val="008026DB"/>
    <w:rsid w:val="008038D8"/>
    <w:rsid w:val="008054AC"/>
    <w:rsid w:val="00805621"/>
    <w:rsid w:val="008068C0"/>
    <w:rsid w:val="00807288"/>
    <w:rsid w:val="00807ADD"/>
    <w:rsid w:val="00810A1F"/>
    <w:rsid w:val="00811D66"/>
    <w:rsid w:val="00811EF8"/>
    <w:rsid w:val="00813940"/>
    <w:rsid w:val="008142ED"/>
    <w:rsid w:val="00814633"/>
    <w:rsid w:val="00814FF0"/>
    <w:rsid w:val="00815122"/>
    <w:rsid w:val="0081604F"/>
    <w:rsid w:val="00816820"/>
    <w:rsid w:val="00816EC5"/>
    <w:rsid w:val="00817583"/>
    <w:rsid w:val="008209B1"/>
    <w:rsid w:val="00820C34"/>
    <w:rsid w:val="008213BC"/>
    <w:rsid w:val="008219CC"/>
    <w:rsid w:val="00821A33"/>
    <w:rsid w:val="00821C33"/>
    <w:rsid w:val="00822608"/>
    <w:rsid w:val="00823CF8"/>
    <w:rsid w:val="008276A8"/>
    <w:rsid w:val="00830826"/>
    <w:rsid w:val="008310E0"/>
    <w:rsid w:val="00831269"/>
    <w:rsid w:val="00831D6A"/>
    <w:rsid w:val="008327CF"/>
    <w:rsid w:val="00833C41"/>
    <w:rsid w:val="0083542A"/>
    <w:rsid w:val="00835A49"/>
    <w:rsid w:val="00837CCB"/>
    <w:rsid w:val="00840676"/>
    <w:rsid w:val="00840DD6"/>
    <w:rsid w:val="00841033"/>
    <w:rsid w:val="00844A04"/>
    <w:rsid w:val="008451F8"/>
    <w:rsid w:val="00845A10"/>
    <w:rsid w:val="00846E00"/>
    <w:rsid w:val="0084739A"/>
    <w:rsid w:val="0085032D"/>
    <w:rsid w:val="0085192E"/>
    <w:rsid w:val="00851BDF"/>
    <w:rsid w:val="00852210"/>
    <w:rsid w:val="00852573"/>
    <w:rsid w:val="008537FA"/>
    <w:rsid w:val="00855790"/>
    <w:rsid w:val="00857DFD"/>
    <w:rsid w:val="0086199D"/>
    <w:rsid w:val="00862E1E"/>
    <w:rsid w:val="00863D9B"/>
    <w:rsid w:val="008667E7"/>
    <w:rsid w:val="008670A4"/>
    <w:rsid w:val="0086795B"/>
    <w:rsid w:val="00872DEE"/>
    <w:rsid w:val="00873360"/>
    <w:rsid w:val="0087520B"/>
    <w:rsid w:val="00876516"/>
    <w:rsid w:val="00877932"/>
    <w:rsid w:val="00877FC4"/>
    <w:rsid w:val="008804F7"/>
    <w:rsid w:val="00880B79"/>
    <w:rsid w:val="0088208C"/>
    <w:rsid w:val="00882177"/>
    <w:rsid w:val="00884C9E"/>
    <w:rsid w:val="008861F7"/>
    <w:rsid w:val="0088713F"/>
    <w:rsid w:val="008918E0"/>
    <w:rsid w:val="00893BCA"/>
    <w:rsid w:val="00895992"/>
    <w:rsid w:val="00895C86"/>
    <w:rsid w:val="00897291"/>
    <w:rsid w:val="00897861"/>
    <w:rsid w:val="008A0B5C"/>
    <w:rsid w:val="008A1AA0"/>
    <w:rsid w:val="008A4726"/>
    <w:rsid w:val="008A4D77"/>
    <w:rsid w:val="008A7831"/>
    <w:rsid w:val="008B040D"/>
    <w:rsid w:val="008B13B8"/>
    <w:rsid w:val="008B248D"/>
    <w:rsid w:val="008B3054"/>
    <w:rsid w:val="008B413D"/>
    <w:rsid w:val="008B439A"/>
    <w:rsid w:val="008B4B01"/>
    <w:rsid w:val="008B528D"/>
    <w:rsid w:val="008B55D8"/>
    <w:rsid w:val="008B58C0"/>
    <w:rsid w:val="008B6BDC"/>
    <w:rsid w:val="008C0BB3"/>
    <w:rsid w:val="008C184B"/>
    <w:rsid w:val="008C3E3F"/>
    <w:rsid w:val="008C5767"/>
    <w:rsid w:val="008C688D"/>
    <w:rsid w:val="008D04B9"/>
    <w:rsid w:val="008D08A3"/>
    <w:rsid w:val="008D15C0"/>
    <w:rsid w:val="008D25B1"/>
    <w:rsid w:val="008D2C4F"/>
    <w:rsid w:val="008D3F6F"/>
    <w:rsid w:val="008D3F77"/>
    <w:rsid w:val="008D4E81"/>
    <w:rsid w:val="008D544A"/>
    <w:rsid w:val="008D7B19"/>
    <w:rsid w:val="008E01F3"/>
    <w:rsid w:val="008E06E7"/>
    <w:rsid w:val="008E1812"/>
    <w:rsid w:val="008E23B3"/>
    <w:rsid w:val="008E23D1"/>
    <w:rsid w:val="008E48E4"/>
    <w:rsid w:val="008E4ACF"/>
    <w:rsid w:val="008E5644"/>
    <w:rsid w:val="008E6DC1"/>
    <w:rsid w:val="008F1A8B"/>
    <w:rsid w:val="008F3298"/>
    <w:rsid w:val="008F3579"/>
    <w:rsid w:val="008F4FCC"/>
    <w:rsid w:val="008F7C4F"/>
    <w:rsid w:val="009004E8"/>
    <w:rsid w:val="00900A91"/>
    <w:rsid w:val="00900E6B"/>
    <w:rsid w:val="009018B5"/>
    <w:rsid w:val="0090192F"/>
    <w:rsid w:val="00902843"/>
    <w:rsid w:val="00904FAB"/>
    <w:rsid w:val="009067F9"/>
    <w:rsid w:val="00907299"/>
    <w:rsid w:val="00907C09"/>
    <w:rsid w:val="00913C49"/>
    <w:rsid w:val="00916CC9"/>
    <w:rsid w:val="0091751F"/>
    <w:rsid w:val="009227E8"/>
    <w:rsid w:val="00922B01"/>
    <w:rsid w:val="00922C70"/>
    <w:rsid w:val="00922F6B"/>
    <w:rsid w:val="00924778"/>
    <w:rsid w:val="009268A7"/>
    <w:rsid w:val="00927471"/>
    <w:rsid w:val="0093158A"/>
    <w:rsid w:val="0093367A"/>
    <w:rsid w:val="00933680"/>
    <w:rsid w:val="00934781"/>
    <w:rsid w:val="00934DA2"/>
    <w:rsid w:val="00936D5F"/>
    <w:rsid w:val="00937477"/>
    <w:rsid w:val="00937779"/>
    <w:rsid w:val="0093780B"/>
    <w:rsid w:val="00940621"/>
    <w:rsid w:val="00940990"/>
    <w:rsid w:val="00941F86"/>
    <w:rsid w:val="00942CC0"/>
    <w:rsid w:val="00946383"/>
    <w:rsid w:val="00947CD2"/>
    <w:rsid w:val="00951EC3"/>
    <w:rsid w:val="00952413"/>
    <w:rsid w:val="00955321"/>
    <w:rsid w:val="009564EF"/>
    <w:rsid w:val="009568AC"/>
    <w:rsid w:val="00964BAE"/>
    <w:rsid w:val="00965786"/>
    <w:rsid w:val="0096688B"/>
    <w:rsid w:val="00967DBB"/>
    <w:rsid w:val="00967F48"/>
    <w:rsid w:val="009701E1"/>
    <w:rsid w:val="00972FA1"/>
    <w:rsid w:val="00973240"/>
    <w:rsid w:val="00973258"/>
    <w:rsid w:val="00974A5B"/>
    <w:rsid w:val="009763EE"/>
    <w:rsid w:val="00976C33"/>
    <w:rsid w:val="00977913"/>
    <w:rsid w:val="0097794E"/>
    <w:rsid w:val="00977B01"/>
    <w:rsid w:val="00980E20"/>
    <w:rsid w:val="00983A5B"/>
    <w:rsid w:val="009877CA"/>
    <w:rsid w:val="00987FEF"/>
    <w:rsid w:val="00991320"/>
    <w:rsid w:val="00991EE8"/>
    <w:rsid w:val="00992095"/>
    <w:rsid w:val="009929C3"/>
    <w:rsid w:val="00993D97"/>
    <w:rsid w:val="009A1E75"/>
    <w:rsid w:val="009A2397"/>
    <w:rsid w:val="009A2AE9"/>
    <w:rsid w:val="009A2CF3"/>
    <w:rsid w:val="009A35ED"/>
    <w:rsid w:val="009A381C"/>
    <w:rsid w:val="009A40AE"/>
    <w:rsid w:val="009A58EB"/>
    <w:rsid w:val="009B04E9"/>
    <w:rsid w:val="009B0BC0"/>
    <w:rsid w:val="009B456F"/>
    <w:rsid w:val="009B56CF"/>
    <w:rsid w:val="009B5B93"/>
    <w:rsid w:val="009C2970"/>
    <w:rsid w:val="009C3754"/>
    <w:rsid w:val="009C41F2"/>
    <w:rsid w:val="009C4802"/>
    <w:rsid w:val="009C4F6A"/>
    <w:rsid w:val="009C61CA"/>
    <w:rsid w:val="009D0593"/>
    <w:rsid w:val="009D16C2"/>
    <w:rsid w:val="009D1CEB"/>
    <w:rsid w:val="009D3472"/>
    <w:rsid w:val="009D42D4"/>
    <w:rsid w:val="009D6D62"/>
    <w:rsid w:val="009E14EC"/>
    <w:rsid w:val="009E1F23"/>
    <w:rsid w:val="009E2762"/>
    <w:rsid w:val="009E4C7C"/>
    <w:rsid w:val="009E4F2A"/>
    <w:rsid w:val="009E6F02"/>
    <w:rsid w:val="009F0696"/>
    <w:rsid w:val="009F1926"/>
    <w:rsid w:val="009F3D15"/>
    <w:rsid w:val="009F4651"/>
    <w:rsid w:val="009F69F4"/>
    <w:rsid w:val="009F7903"/>
    <w:rsid w:val="00A00181"/>
    <w:rsid w:val="00A001C8"/>
    <w:rsid w:val="00A00D33"/>
    <w:rsid w:val="00A01754"/>
    <w:rsid w:val="00A063B3"/>
    <w:rsid w:val="00A074DE"/>
    <w:rsid w:val="00A14145"/>
    <w:rsid w:val="00A158FF"/>
    <w:rsid w:val="00A167A6"/>
    <w:rsid w:val="00A17727"/>
    <w:rsid w:val="00A17EB9"/>
    <w:rsid w:val="00A2003D"/>
    <w:rsid w:val="00A205B8"/>
    <w:rsid w:val="00A20BB2"/>
    <w:rsid w:val="00A21CDE"/>
    <w:rsid w:val="00A22CA5"/>
    <w:rsid w:val="00A2382C"/>
    <w:rsid w:val="00A23C2A"/>
    <w:rsid w:val="00A23D78"/>
    <w:rsid w:val="00A23F7D"/>
    <w:rsid w:val="00A23FFB"/>
    <w:rsid w:val="00A258F4"/>
    <w:rsid w:val="00A31342"/>
    <w:rsid w:val="00A31700"/>
    <w:rsid w:val="00A317A4"/>
    <w:rsid w:val="00A3199F"/>
    <w:rsid w:val="00A321D7"/>
    <w:rsid w:val="00A327EE"/>
    <w:rsid w:val="00A32F3E"/>
    <w:rsid w:val="00A33E1D"/>
    <w:rsid w:val="00A374EE"/>
    <w:rsid w:val="00A41524"/>
    <w:rsid w:val="00A432CF"/>
    <w:rsid w:val="00A43DF2"/>
    <w:rsid w:val="00A4415C"/>
    <w:rsid w:val="00A4443E"/>
    <w:rsid w:val="00A456E5"/>
    <w:rsid w:val="00A4624A"/>
    <w:rsid w:val="00A47B58"/>
    <w:rsid w:val="00A50816"/>
    <w:rsid w:val="00A50E1A"/>
    <w:rsid w:val="00A52455"/>
    <w:rsid w:val="00A55E85"/>
    <w:rsid w:val="00A56A62"/>
    <w:rsid w:val="00A56FA6"/>
    <w:rsid w:val="00A57F33"/>
    <w:rsid w:val="00A6026C"/>
    <w:rsid w:val="00A6087C"/>
    <w:rsid w:val="00A6269D"/>
    <w:rsid w:val="00A6357B"/>
    <w:rsid w:val="00A63B51"/>
    <w:rsid w:val="00A64674"/>
    <w:rsid w:val="00A64C8B"/>
    <w:rsid w:val="00A65CBA"/>
    <w:rsid w:val="00A66637"/>
    <w:rsid w:val="00A67468"/>
    <w:rsid w:val="00A706C5"/>
    <w:rsid w:val="00A722F8"/>
    <w:rsid w:val="00A73341"/>
    <w:rsid w:val="00A7540E"/>
    <w:rsid w:val="00A763B5"/>
    <w:rsid w:val="00A8371C"/>
    <w:rsid w:val="00A84E51"/>
    <w:rsid w:val="00A86155"/>
    <w:rsid w:val="00A870AA"/>
    <w:rsid w:val="00A90A74"/>
    <w:rsid w:val="00A9110E"/>
    <w:rsid w:val="00A93BD7"/>
    <w:rsid w:val="00A964A6"/>
    <w:rsid w:val="00A9679D"/>
    <w:rsid w:val="00AA0CCE"/>
    <w:rsid w:val="00AA2F3C"/>
    <w:rsid w:val="00AA42A4"/>
    <w:rsid w:val="00AA46B4"/>
    <w:rsid w:val="00AA56B7"/>
    <w:rsid w:val="00AA58D2"/>
    <w:rsid w:val="00AB353E"/>
    <w:rsid w:val="00AB4006"/>
    <w:rsid w:val="00AB4180"/>
    <w:rsid w:val="00AB464C"/>
    <w:rsid w:val="00AB4FC1"/>
    <w:rsid w:val="00AB6EDA"/>
    <w:rsid w:val="00AC1625"/>
    <w:rsid w:val="00AC3331"/>
    <w:rsid w:val="00AC431B"/>
    <w:rsid w:val="00AC51C1"/>
    <w:rsid w:val="00AC5FBF"/>
    <w:rsid w:val="00AC6790"/>
    <w:rsid w:val="00AC73B6"/>
    <w:rsid w:val="00AC73BA"/>
    <w:rsid w:val="00AD06E8"/>
    <w:rsid w:val="00AD16A4"/>
    <w:rsid w:val="00AD2342"/>
    <w:rsid w:val="00AD4806"/>
    <w:rsid w:val="00AD550D"/>
    <w:rsid w:val="00AD5747"/>
    <w:rsid w:val="00AE0029"/>
    <w:rsid w:val="00AE3473"/>
    <w:rsid w:val="00AE3A2E"/>
    <w:rsid w:val="00AE6795"/>
    <w:rsid w:val="00AE78B7"/>
    <w:rsid w:val="00AF35BB"/>
    <w:rsid w:val="00AF3CC3"/>
    <w:rsid w:val="00AF3FAB"/>
    <w:rsid w:val="00AF469E"/>
    <w:rsid w:val="00AF60E5"/>
    <w:rsid w:val="00AF7359"/>
    <w:rsid w:val="00AF7AD0"/>
    <w:rsid w:val="00B00F76"/>
    <w:rsid w:val="00B025B7"/>
    <w:rsid w:val="00B02DD8"/>
    <w:rsid w:val="00B04411"/>
    <w:rsid w:val="00B0545F"/>
    <w:rsid w:val="00B06B7B"/>
    <w:rsid w:val="00B10326"/>
    <w:rsid w:val="00B10566"/>
    <w:rsid w:val="00B11279"/>
    <w:rsid w:val="00B11A79"/>
    <w:rsid w:val="00B11CD2"/>
    <w:rsid w:val="00B156EF"/>
    <w:rsid w:val="00B15880"/>
    <w:rsid w:val="00B15F9B"/>
    <w:rsid w:val="00B166D3"/>
    <w:rsid w:val="00B16C17"/>
    <w:rsid w:val="00B214CC"/>
    <w:rsid w:val="00B21D40"/>
    <w:rsid w:val="00B21E3D"/>
    <w:rsid w:val="00B224DF"/>
    <w:rsid w:val="00B22D3B"/>
    <w:rsid w:val="00B233FF"/>
    <w:rsid w:val="00B2451C"/>
    <w:rsid w:val="00B25689"/>
    <w:rsid w:val="00B2605E"/>
    <w:rsid w:val="00B270F7"/>
    <w:rsid w:val="00B276B8"/>
    <w:rsid w:val="00B27B2A"/>
    <w:rsid w:val="00B302C6"/>
    <w:rsid w:val="00B31AC2"/>
    <w:rsid w:val="00B31F45"/>
    <w:rsid w:val="00B32632"/>
    <w:rsid w:val="00B32CB5"/>
    <w:rsid w:val="00B331E1"/>
    <w:rsid w:val="00B335E9"/>
    <w:rsid w:val="00B34AF4"/>
    <w:rsid w:val="00B3745E"/>
    <w:rsid w:val="00B37CCB"/>
    <w:rsid w:val="00B421C1"/>
    <w:rsid w:val="00B43A4E"/>
    <w:rsid w:val="00B43B40"/>
    <w:rsid w:val="00B4532B"/>
    <w:rsid w:val="00B4669D"/>
    <w:rsid w:val="00B46739"/>
    <w:rsid w:val="00B47368"/>
    <w:rsid w:val="00B478E8"/>
    <w:rsid w:val="00B50944"/>
    <w:rsid w:val="00B5150C"/>
    <w:rsid w:val="00B51511"/>
    <w:rsid w:val="00B52492"/>
    <w:rsid w:val="00B533A3"/>
    <w:rsid w:val="00B54BE5"/>
    <w:rsid w:val="00B55F39"/>
    <w:rsid w:val="00B60389"/>
    <w:rsid w:val="00B60D81"/>
    <w:rsid w:val="00B60F25"/>
    <w:rsid w:val="00B62D52"/>
    <w:rsid w:val="00B63453"/>
    <w:rsid w:val="00B6463E"/>
    <w:rsid w:val="00B658C3"/>
    <w:rsid w:val="00B65BCB"/>
    <w:rsid w:val="00B665C3"/>
    <w:rsid w:val="00B67476"/>
    <w:rsid w:val="00B67607"/>
    <w:rsid w:val="00B71390"/>
    <w:rsid w:val="00B713BB"/>
    <w:rsid w:val="00B71631"/>
    <w:rsid w:val="00B71DD5"/>
    <w:rsid w:val="00B727D5"/>
    <w:rsid w:val="00B72EA9"/>
    <w:rsid w:val="00B7453A"/>
    <w:rsid w:val="00B7643D"/>
    <w:rsid w:val="00B80876"/>
    <w:rsid w:val="00B83E67"/>
    <w:rsid w:val="00B84259"/>
    <w:rsid w:val="00B85B00"/>
    <w:rsid w:val="00B87445"/>
    <w:rsid w:val="00B9107D"/>
    <w:rsid w:val="00B919F5"/>
    <w:rsid w:val="00B94571"/>
    <w:rsid w:val="00B95AFC"/>
    <w:rsid w:val="00BA2712"/>
    <w:rsid w:val="00BA2AD9"/>
    <w:rsid w:val="00BA596F"/>
    <w:rsid w:val="00BA605C"/>
    <w:rsid w:val="00BA7718"/>
    <w:rsid w:val="00BB4734"/>
    <w:rsid w:val="00BB4876"/>
    <w:rsid w:val="00BB52C1"/>
    <w:rsid w:val="00BB5D75"/>
    <w:rsid w:val="00BB5FB0"/>
    <w:rsid w:val="00BB6DDF"/>
    <w:rsid w:val="00BC0723"/>
    <w:rsid w:val="00BC0805"/>
    <w:rsid w:val="00BC1CB2"/>
    <w:rsid w:val="00BC1E2B"/>
    <w:rsid w:val="00BC1F59"/>
    <w:rsid w:val="00BC2903"/>
    <w:rsid w:val="00BC2F93"/>
    <w:rsid w:val="00BC3A44"/>
    <w:rsid w:val="00BC3C78"/>
    <w:rsid w:val="00BC43A3"/>
    <w:rsid w:val="00BC455B"/>
    <w:rsid w:val="00BC5859"/>
    <w:rsid w:val="00BD38E2"/>
    <w:rsid w:val="00BD5287"/>
    <w:rsid w:val="00BD52BF"/>
    <w:rsid w:val="00BD771C"/>
    <w:rsid w:val="00BD7EC7"/>
    <w:rsid w:val="00BD7FA6"/>
    <w:rsid w:val="00BE01C8"/>
    <w:rsid w:val="00BE16C5"/>
    <w:rsid w:val="00BE16F5"/>
    <w:rsid w:val="00BE2A8D"/>
    <w:rsid w:val="00BE34E9"/>
    <w:rsid w:val="00BE6367"/>
    <w:rsid w:val="00BF34D6"/>
    <w:rsid w:val="00BF38E1"/>
    <w:rsid w:val="00BF596E"/>
    <w:rsid w:val="00BF6C77"/>
    <w:rsid w:val="00BF72BB"/>
    <w:rsid w:val="00BF79C4"/>
    <w:rsid w:val="00C016BC"/>
    <w:rsid w:val="00C01A45"/>
    <w:rsid w:val="00C0364F"/>
    <w:rsid w:val="00C113E2"/>
    <w:rsid w:val="00C11D52"/>
    <w:rsid w:val="00C129E5"/>
    <w:rsid w:val="00C12A23"/>
    <w:rsid w:val="00C13697"/>
    <w:rsid w:val="00C1416C"/>
    <w:rsid w:val="00C1534D"/>
    <w:rsid w:val="00C156D2"/>
    <w:rsid w:val="00C17276"/>
    <w:rsid w:val="00C17FDA"/>
    <w:rsid w:val="00C20EAA"/>
    <w:rsid w:val="00C22F7C"/>
    <w:rsid w:val="00C24E54"/>
    <w:rsid w:val="00C25777"/>
    <w:rsid w:val="00C26B6A"/>
    <w:rsid w:val="00C3059A"/>
    <w:rsid w:val="00C3060F"/>
    <w:rsid w:val="00C3289E"/>
    <w:rsid w:val="00C33F53"/>
    <w:rsid w:val="00C34F51"/>
    <w:rsid w:val="00C35824"/>
    <w:rsid w:val="00C36C99"/>
    <w:rsid w:val="00C37F9C"/>
    <w:rsid w:val="00C40AF6"/>
    <w:rsid w:val="00C4292E"/>
    <w:rsid w:val="00C43327"/>
    <w:rsid w:val="00C44D85"/>
    <w:rsid w:val="00C45032"/>
    <w:rsid w:val="00C504BC"/>
    <w:rsid w:val="00C50F32"/>
    <w:rsid w:val="00C51229"/>
    <w:rsid w:val="00C51EC4"/>
    <w:rsid w:val="00C550F8"/>
    <w:rsid w:val="00C56CA9"/>
    <w:rsid w:val="00C63C56"/>
    <w:rsid w:val="00C65652"/>
    <w:rsid w:val="00C65A18"/>
    <w:rsid w:val="00C6794C"/>
    <w:rsid w:val="00C67FCD"/>
    <w:rsid w:val="00C71050"/>
    <w:rsid w:val="00C711D6"/>
    <w:rsid w:val="00C71947"/>
    <w:rsid w:val="00C724C6"/>
    <w:rsid w:val="00C7265E"/>
    <w:rsid w:val="00C73483"/>
    <w:rsid w:val="00C7600C"/>
    <w:rsid w:val="00C760A6"/>
    <w:rsid w:val="00C76127"/>
    <w:rsid w:val="00C80A92"/>
    <w:rsid w:val="00C8123E"/>
    <w:rsid w:val="00C82C8A"/>
    <w:rsid w:val="00C82D1F"/>
    <w:rsid w:val="00C839D2"/>
    <w:rsid w:val="00C83B03"/>
    <w:rsid w:val="00C84753"/>
    <w:rsid w:val="00C862EE"/>
    <w:rsid w:val="00C86B66"/>
    <w:rsid w:val="00C9392E"/>
    <w:rsid w:val="00C94F9D"/>
    <w:rsid w:val="00C959FE"/>
    <w:rsid w:val="00C95A5D"/>
    <w:rsid w:val="00CA01AC"/>
    <w:rsid w:val="00CA1076"/>
    <w:rsid w:val="00CA15E9"/>
    <w:rsid w:val="00CA1A92"/>
    <w:rsid w:val="00CA1AAC"/>
    <w:rsid w:val="00CA25B4"/>
    <w:rsid w:val="00CA6460"/>
    <w:rsid w:val="00CA6877"/>
    <w:rsid w:val="00CA6E95"/>
    <w:rsid w:val="00CA7417"/>
    <w:rsid w:val="00CA7830"/>
    <w:rsid w:val="00CB030E"/>
    <w:rsid w:val="00CB12D7"/>
    <w:rsid w:val="00CB140F"/>
    <w:rsid w:val="00CB1B2E"/>
    <w:rsid w:val="00CB1F32"/>
    <w:rsid w:val="00CB4754"/>
    <w:rsid w:val="00CC0A1A"/>
    <w:rsid w:val="00CC0D3D"/>
    <w:rsid w:val="00CC32C9"/>
    <w:rsid w:val="00CC49CD"/>
    <w:rsid w:val="00CC5429"/>
    <w:rsid w:val="00CC587B"/>
    <w:rsid w:val="00CE0308"/>
    <w:rsid w:val="00CE04F3"/>
    <w:rsid w:val="00CE1532"/>
    <w:rsid w:val="00CE2958"/>
    <w:rsid w:val="00CE34F4"/>
    <w:rsid w:val="00CE36A6"/>
    <w:rsid w:val="00CE3AE7"/>
    <w:rsid w:val="00CE408A"/>
    <w:rsid w:val="00CE52AB"/>
    <w:rsid w:val="00CE63F0"/>
    <w:rsid w:val="00CE698E"/>
    <w:rsid w:val="00CE7415"/>
    <w:rsid w:val="00CF64F0"/>
    <w:rsid w:val="00CF6A90"/>
    <w:rsid w:val="00D0230A"/>
    <w:rsid w:val="00D02CA8"/>
    <w:rsid w:val="00D049C9"/>
    <w:rsid w:val="00D0653E"/>
    <w:rsid w:val="00D067E1"/>
    <w:rsid w:val="00D0748B"/>
    <w:rsid w:val="00D10024"/>
    <w:rsid w:val="00D1159C"/>
    <w:rsid w:val="00D119C2"/>
    <w:rsid w:val="00D11B44"/>
    <w:rsid w:val="00D1370B"/>
    <w:rsid w:val="00D13DEF"/>
    <w:rsid w:val="00D14CEC"/>
    <w:rsid w:val="00D15662"/>
    <w:rsid w:val="00D1700A"/>
    <w:rsid w:val="00D17C70"/>
    <w:rsid w:val="00D20CD0"/>
    <w:rsid w:val="00D23D86"/>
    <w:rsid w:val="00D24ADB"/>
    <w:rsid w:val="00D24B77"/>
    <w:rsid w:val="00D24BE2"/>
    <w:rsid w:val="00D24D21"/>
    <w:rsid w:val="00D24FAD"/>
    <w:rsid w:val="00D27FA7"/>
    <w:rsid w:val="00D3000A"/>
    <w:rsid w:val="00D309BA"/>
    <w:rsid w:val="00D30B7F"/>
    <w:rsid w:val="00D30CD7"/>
    <w:rsid w:val="00D31A5F"/>
    <w:rsid w:val="00D31E10"/>
    <w:rsid w:val="00D32791"/>
    <w:rsid w:val="00D330BD"/>
    <w:rsid w:val="00D3327A"/>
    <w:rsid w:val="00D340C1"/>
    <w:rsid w:val="00D34884"/>
    <w:rsid w:val="00D35BFB"/>
    <w:rsid w:val="00D35D8C"/>
    <w:rsid w:val="00D36831"/>
    <w:rsid w:val="00D403E7"/>
    <w:rsid w:val="00D40495"/>
    <w:rsid w:val="00D417E9"/>
    <w:rsid w:val="00D421FA"/>
    <w:rsid w:val="00D45641"/>
    <w:rsid w:val="00D50649"/>
    <w:rsid w:val="00D51A12"/>
    <w:rsid w:val="00D51D88"/>
    <w:rsid w:val="00D5352A"/>
    <w:rsid w:val="00D54351"/>
    <w:rsid w:val="00D553A2"/>
    <w:rsid w:val="00D5731D"/>
    <w:rsid w:val="00D62C4A"/>
    <w:rsid w:val="00D65024"/>
    <w:rsid w:val="00D70FA3"/>
    <w:rsid w:val="00D71720"/>
    <w:rsid w:val="00D72B7B"/>
    <w:rsid w:val="00D7658B"/>
    <w:rsid w:val="00D77691"/>
    <w:rsid w:val="00D77B61"/>
    <w:rsid w:val="00D827D9"/>
    <w:rsid w:val="00D84F67"/>
    <w:rsid w:val="00D85A68"/>
    <w:rsid w:val="00D85C2F"/>
    <w:rsid w:val="00D86764"/>
    <w:rsid w:val="00D86A12"/>
    <w:rsid w:val="00D90C68"/>
    <w:rsid w:val="00D919DB"/>
    <w:rsid w:val="00D921E9"/>
    <w:rsid w:val="00D9294F"/>
    <w:rsid w:val="00D92B71"/>
    <w:rsid w:val="00D92C8C"/>
    <w:rsid w:val="00D93E79"/>
    <w:rsid w:val="00D948CB"/>
    <w:rsid w:val="00D94A3E"/>
    <w:rsid w:val="00D94B1D"/>
    <w:rsid w:val="00D954FE"/>
    <w:rsid w:val="00D95FF4"/>
    <w:rsid w:val="00DA0E79"/>
    <w:rsid w:val="00DA2228"/>
    <w:rsid w:val="00DA2780"/>
    <w:rsid w:val="00DA5A9D"/>
    <w:rsid w:val="00DA765E"/>
    <w:rsid w:val="00DB1544"/>
    <w:rsid w:val="00DB1F26"/>
    <w:rsid w:val="00DB28EB"/>
    <w:rsid w:val="00DB6753"/>
    <w:rsid w:val="00DB7566"/>
    <w:rsid w:val="00DC1598"/>
    <w:rsid w:val="00DC2BDA"/>
    <w:rsid w:val="00DC5094"/>
    <w:rsid w:val="00DC6E4B"/>
    <w:rsid w:val="00DC7931"/>
    <w:rsid w:val="00DD1B1E"/>
    <w:rsid w:val="00DD3155"/>
    <w:rsid w:val="00DD4A68"/>
    <w:rsid w:val="00DD531A"/>
    <w:rsid w:val="00DD5C15"/>
    <w:rsid w:val="00DD68FB"/>
    <w:rsid w:val="00DD79E9"/>
    <w:rsid w:val="00DE3866"/>
    <w:rsid w:val="00DE46E7"/>
    <w:rsid w:val="00DE56EF"/>
    <w:rsid w:val="00DE6E9F"/>
    <w:rsid w:val="00DE759C"/>
    <w:rsid w:val="00DF06D3"/>
    <w:rsid w:val="00DF0CF4"/>
    <w:rsid w:val="00DF142D"/>
    <w:rsid w:val="00DF2258"/>
    <w:rsid w:val="00DF3EC1"/>
    <w:rsid w:val="00DF3EE1"/>
    <w:rsid w:val="00DF4F78"/>
    <w:rsid w:val="00DF5869"/>
    <w:rsid w:val="00DF5C49"/>
    <w:rsid w:val="00DF71B5"/>
    <w:rsid w:val="00DF7DB9"/>
    <w:rsid w:val="00E00885"/>
    <w:rsid w:val="00E01C6E"/>
    <w:rsid w:val="00E025CD"/>
    <w:rsid w:val="00E10BE0"/>
    <w:rsid w:val="00E1102A"/>
    <w:rsid w:val="00E111BA"/>
    <w:rsid w:val="00E130A0"/>
    <w:rsid w:val="00E148D8"/>
    <w:rsid w:val="00E15089"/>
    <w:rsid w:val="00E176E6"/>
    <w:rsid w:val="00E17AB2"/>
    <w:rsid w:val="00E17B9E"/>
    <w:rsid w:val="00E202C4"/>
    <w:rsid w:val="00E23211"/>
    <w:rsid w:val="00E2528A"/>
    <w:rsid w:val="00E25AC4"/>
    <w:rsid w:val="00E32FD5"/>
    <w:rsid w:val="00E36E4B"/>
    <w:rsid w:val="00E400AC"/>
    <w:rsid w:val="00E43250"/>
    <w:rsid w:val="00E43B1D"/>
    <w:rsid w:val="00E43C7D"/>
    <w:rsid w:val="00E45BE3"/>
    <w:rsid w:val="00E4728D"/>
    <w:rsid w:val="00E50052"/>
    <w:rsid w:val="00E512F6"/>
    <w:rsid w:val="00E51489"/>
    <w:rsid w:val="00E51563"/>
    <w:rsid w:val="00E52B5E"/>
    <w:rsid w:val="00E5308D"/>
    <w:rsid w:val="00E54AAF"/>
    <w:rsid w:val="00E56BB0"/>
    <w:rsid w:val="00E61091"/>
    <w:rsid w:val="00E64EE9"/>
    <w:rsid w:val="00E664B5"/>
    <w:rsid w:val="00E66D94"/>
    <w:rsid w:val="00E673E0"/>
    <w:rsid w:val="00E71A7F"/>
    <w:rsid w:val="00E72A9E"/>
    <w:rsid w:val="00E72CFA"/>
    <w:rsid w:val="00E7350C"/>
    <w:rsid w:val="00E73A52"/>
    <w:rsid w:val="00E73DCD"/>
    <w:rsid w:val="00E73DCF"/>
    <w:rsid w:val="00E7445C"/>
    <w:rsid w:val="00E75FF3"/>
    <w:rsid w:val="00E76908"/>
    <w:rsid w:val="00E802E6"/>
    <w:rsid w:val="00E82A25"/>
    <w:rsid w:val="00E85DE9"/>
    <w:rsid w:val="00E87024"/>
    <w:rsid w:val="00E87274"/>
    <w:rsid w:val="00E87C94"/>
    <w:rsid w:val="00E90016"/>
    <w:rsid w:val="00E90321"/>
    <w:rsid w:val="00E938EB"/>
    <w:rsid w:val="00EA0670"/>
    <w:rsid w:val="00EA11C0"/>
    <w:rsid w:val="00EA1581"/>
    <w:rsid w:val="00EA444B"/>
    <w:rsid w:val="00EA490E"/>
    <w:rsid w:val="00EA5104"/>
    <w:rsid w:val="00EA53E5"/>
    <w:rsid w:val="00EA55B3"/>
    <w:rsid w:val="00EA7AA8"/>
    <w:rsid w:val="00EB28F6"/>
    <w:rsid w:val="00EB38B6"/>
    <w:rsid w:val="00EB3C31"/>
    <w:rsid w:val="00EB4343"/>
    <w:rsid w:val="00EB5FC3"/>
    <w:rsid w:val="00EB792F"/>
    <w:rsid w:val="00EC003F"/>
    <w:rsid w:val="00EC004A"/>
    <w:rsid w:val="00EC0A6D"/>
    <w:rsid w:val="00EC16A1"/>
    <w:rsid w:val="00EC17C9"/>
    <w:rsid w:val="00EC2AD7"/>
    <w:rsid w:val="00EC5D50"/>
    <w:rsid w:val="00EC76BB"/>
    <w:rsid w:val="00ED17D7"/>
    <w:rsid w:val="00ED25D9"/>
    <w:rsid w:val="00ED263A"/>
    <w:rsid w:val="00ED2F86"/>
    <w:rsid w:val="00ED57A7"/>
    <w:rsid w:val="00ED7F5B"/>
    <w:rsid w:val="00EE001D"/>
    <w:rsid w:val="00EE05D7"/>
    <w:rsid w:val="00EE0E54"/>
    <w:rsid w:val="00EE10D9"/>
    <w:rsid w:val="00EE2865"/>
    <w:rsid w:val="00EE4051"/>
    <w:rsid w:val="00EE4171"/>
    <w:rsid w:val="00EE4A48"/>
    <w:rsid w:val="00EE4ADF"/>
    <w:rsid w:val="00EE4D28"/>
    <w:rsid w:val="00EF08B8"/>
    <w:rsid w:val="00EF096B"/>
    <w:rsid w:val="00EF0F75"/>
    <w:rsid w:val="00EF5142"/>
    <w:rsid w:val="00EF542E"/>
    <w:rsid w:val="00EF699A"/>
    <w:rsid w:val="00EF7C46"/>
    <w:rsid w:val="00F0012B"/>
    <w:rsid w:val="00F01965"/>
    <w:rsid w:val="00F02D2A"/>
    <w:rsid w:val="00F06533"/>
    <w:rsid w:val="00F10F53"/>
    <w:rsid w:val="00F11AC1"/>
    <w:rsid w:val="00F12DB0"/>
    <w:rsid w:val="00F12DC3"/>
    <w:rsid w:val="00F13CA9"/>
    <w:rsid w:val="00F161CD"/>
    <w:rsid w:val="00F16A06"/>
    <w:rsid w:val="00F20214"/>
    <w:rsid w:val="00F25EFC"/>
    <w:rsid w:val="00F26962"/>
    <w:rsid w:val="00F3012C"/>
    <w:rsid w:val="00F32979"/>
    <w:rsid w:val="00F32A87"/>
    <w:rsid w:val="00F334FD"/>
    <w:rsid w:val="00F34505"/>
    <w:rsid w:val="00F35037"/>
    <w:rsid w:val="00F360EA"/>
    <w:rsid w:val="00F36BFA"/>
    <w:rsid w:val="00F408B5"/>
    <w:rsid w:val="00F40E73"/>
    <w:rsid w:val="00F44E64"/>
    <w:rsid w:val="00F45677"/>
    <w:rsid w:val="00F47581"/>
    <w:rsid w:val="00F50592"/>
    <w:rsid w:val="00F50813"/>
    <w:rsid w:val="00F53B50"/>
    <w:rsid w:val="00F53B55"/>
    <w:rsid w:val="00F548C1"/>
    <w:rsid w:val="00F5673C"/>
    <w:rsid w:val="00F6388B"/>
    <w:rsid w:val="00F63BBD"/>
    <w:rsid w:val="00F63D35"/>
    <w:rsid w:val="00F6434E"/>
    <w:rsid w:val="00F64D9A"/>
    <w:rsid w:val="00F656FB"/>
    <w:rsid w:val="00F66359"/>
    <w:rsid w:val="00F665FB"/>
    <w:rsid w:val="00F66B5F"/>
    <w:rsid w:val="00F67602"/>
    <w:rsid w:val="00F71EB4"/>
    <w:rsid w:val="00F74798"/>
    <w:rsid w:val="00F7483A"/>
    <w:rsid w:val="00F76401"/>
    <w:rsid w:val="00F764FE"/>
    <w:rsid w:val="00F7719F"/>
    <w:rsid w:val="00F77D15"/>
    <w:rsid w:val="00F77F25"/>
    <w:rsid w:val="00F80697"/>
    <w:rsid w:val="00F80ACF"/>
    <w:rsid w:val="00F81303"/>
    <w:rsid w:val="00F820C2"/>
    <w:rsid w:val="00F821A0"/>
    <w:rsid w:val="00F904F1"/>
    <w:rsid w:val="00F924BE"/>
    <w:rsid w:val="00F9261F"/>
    <w:rsid w:val="00F9415C"/>
    <w:rsid w:val="00F95A41"/>
    <w:rsid w:val="00F96EC9"/>
    <w:rsid w:val="00F97244"/>
    <w:rsid w:val="00F975D8"/>
    <w:rsid w:val="00FA21F5"/>
    <w:rsid w:val="00FA419B"/>
    <w:rsid w:val="00FA4AC8"/>
    <w:rsid w:val="00FA5C22"/>
    <w:rsid w:val="00FB02B6"/>
    <w:rsid w:val="00FB1559"/>
    <w:rsid w:val="00FB1B03"/>
    <w:rsid w:val="00FB2454"/>
    <w:rsid w:val="00FB5300"/>
    <w:rsid w:val="00FB5488"/>
    <w:rsid w:val="00FB556E"/>
    <w:rsid w:val="00FB59FF"/>
    <w:rsid w:val="00FB79D8"/>
    <w:rsid w:val="00FC0D4C"/>
    <w:rsid w:val="00FC1A22"/>
    <w:rsid w:val="00FC1BEB"/>
    <w:rsid w:val="00FC208B"/>
    <w:rsid w:val="00FC3C1B"/>
    <w:rsid w:val="00FC4F35"/>
    <w:rsid w:val="00FD0EEC"/>
    <w:rsid w:val="00FD2525"/>
    <w:rsid w:val="00FD33BE"/>
    <w:rsid w:val="00FD3D92"/>
    <w:rsid w:val="00FD4ED5"/>
    <w:rsid w:val="00FD6FBB"/>
    <w:rsid w:val="00FD722F"/>
    <w:rsid w:val="00FD7F72"/>
    <w:rsid w:val="00FE1630"/>
    <w:rsid w:val="00FE1B98"/>
    <w:rsid w:val="00FE445D"/>
    <w:rsid w:val="00FE596D"/>
    <w:rsid w:val="00FE5BF0"/>
    <w:rsid w:val="00FF0970"/>
    <w:rsid w:val="00FF3D29"/>
    <w:rsid w:val="00FF4725"/>
    <w:rsid w:val="00FF6937"/>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BE47E7F"/>
  <w15:docId w15:val="{80CC2D9A-21A8-4385-A35F-86A74D6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FA"/>
  </w:style>
  <w:style w:type="paragraph" w:styleId="Heading6">
    <w:name w:val="heading 6"/>
    <w:next w:val="Normal"/>
    <w:link w:val="Heading6Char"/>
    <w:uiPriority w:val="9"/>
    <w:unhideWhenUsed/>
    <w:qFormat/>
    <w:rsid w:val="001015EC"/>
    <w:pPr>
      <w:keepNext/>
      <w:keepLines/>
      <w:spacing w:after="11" w:line="247" w:lineRule="auto"/>
      <w:ind w:left="10" w:hanging="10"/>
      <w:jc w:val="center"/>
      <w:outlineLvl w:val="5"/>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76"/>
  </w:style>
  <w:style w:type="paragraph" w:styleId="Footer">
    <w:name w:val="footer"/>
    <w:basedOn w:val="Normal"/>
    <w:link w:val="FooterChar"/>
    <w:uiPriority w:val="99"/>
    <w:unhideWhenUsed/>
    <w:rsid w:val="0084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76"/>
  </w:style>
  <w:style w:type="paragraph" w:styleId="ListParagraph">
    <w:name w:val="List Paragraph"/>
    <w:basedOn w:val="Normal"/>
    <w:uiPriority w:val="34"/>
    <w:qFormat/>
    <w:rsid w:val="009E1F23"/>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B6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850"/>
    <w:rPr>
      <w:sz w:val="20"/>
      <w:szCs w:val="20"/>
    </w:r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footnote text"/>
    <w:basedOn w:val="DefaultParagraphFont"/>
    <w:uiPriority w:val="99"/>
    <w:unhideWhenUsed/>
    <w:qFormat/>
    <w:rsid w:val="005B6850"/>
    <w:rPr>
      <w:vertAlign w:val="superscript"/>
    </w:rPr>
  </w:style>
  <w:style w:type="paragraph" w:styleId="BalloonText">
    <w:name w:val="Balloon Text"/>
    <w:basedOn w:val="Normal"/>
    <w:link w:val="BalloonTextChar"/>
    <w:uiPriority w:val="99"/>
    <w:semiHidden/>
    <w:unhideWhenUsed/>
    <w:rsid w:val="008B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D"/>
    <w:rPr>
      <w:rFonts w:ascii="Segoe UI" w:hAnsi="Segoe UI" w:cs="Segoe UI"/>
      <w:sz w:val="18"/>
      <w:szCs w:val="18"/>
    </w:rPr>
  </w:style>
  <w:style w:type="paragraph" w:customStyle="1" w:styleId="footnotedescription">
    <w:name w:val="footnote description"/>
    <w:next w:val="Normal"/>
    <w:link w:val="footnotedescriptionChar"/>
    <w:hidden/>
    <w:rsid w:val="004461A6"/>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461A6"/>
    <w:rPr>
      <w:rFonts w:ascii="Times New Roman" w:eastAsia="Times New Roman" w:hAnsi="Times New Roman" w:cs="Times New Roman"/>
      <w:color w:val="000000"/>
      <w:sz w:val="20"/>
    </w:rPr>
  </w:style>
  <w:style w:type="character" w:customStyle="1" w:styleId="footnotemark">
    <w:name w:val="footnote mark"/>
    <w:hidden/>
    <w:rsid w:val="004461A6"/>
    <w:rPr>
      <w:rFonts w:ascii="Times New Roman" w:eastAsia="Times New Roman" w:hAnsi="Times New Roman" w:cs="Times New Roman"/>
      <w:color w:val="000000"/>
      <w:sz w:val="20"/>
      <w:vertAlign w:val="superscript"/>
    </w:rPr>
  </w:style>
  <w:style w:type="character" w:customStyle="1" w:styleId="Heading6Char">
    <w:name w:val="Heading 6 Char"/>
    <w:basedOn w:val="DefaultParagraphFont"/>
    <w:link w:val="Heading6"/>
    <w:uiPriority w:val="9"/>
    <w:rsid w:val="001015EC"/>
    <w:rPr>
      <w:rFonts w:ascii="Arial" w:eastAsia="Arial" w:hAnsi="Arial" w:cs="Arial"/>
      <w:b/>
      <w:color w:val="000000"/>
      <w:sz w:val="20"/>
    </w:rPr>
  </w:style>
  <w:style w:type="table" w:customStyle="1" w:styleId="TableGrid">
    <w:name w:val="TableGrid"/>
    <w:rsid w:val="001015EC"/>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9006C"/>
    <w:rPr>
      <w:sz w:val="16"/>
      <w:szCs w:val="16"/>
    </w:rPr>
  </w:style>
  <w:style w:type="paragraph" w:styleId="CommentText">
    <w:name w:val="annotation text"/>
    <w:basedOn w:val="Normal"/>
    <w:link w:val="CommentTextChar"/>
    <w:uiPriority w:val="99"/>
    <w:semiHidden/>
    <w:unhideWhenUsed/>
    <w:rsid w:val="0049006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9006C"/>
    <w:rPr>
      <w:sz w:val="20"/>
      <w:szCs w:val="20"/>
    </w:rPr>
  </w:style>
  <w:style w:type="paragraph" w:styleId="CommentSubject">
    <w:name w:val="annotation subject"/>
    <w:basedOn w:val="CommentText"/>
    <w:next w:val="CommentText"/>
    <w:link w:val="CommentSubjectChar"/>
    <w:uiPriority w:val="99"/>
    <w:semiHidden/>
    <w:unhideWhenUsed/>
    <w:rsid w:val="00653566"/>
    <w:pPr>
      <w:spacing w:after="200"/>
    </w:pPr>
    <w:rPr>
      <w:b/>
      <w:bCs/>
    </w:rPr>
  </w:style>
  <w:style w:type="character" w:customStyle="1" w:styleId="CommentSubjectChar">
    <w:name w:val="Comment Subject Char"/>
    <w:basedOn w:val="CommentTextChar"/>
    <w:link w:val="CommentSubject"/>
    <w:uiPriority w:val="99"/>
    <w:semiHidden/>
    <w:rsid w:val="006535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6770">
      <w:bodyDiv w:val="1"/>
      <w:marLeft w:val="0"/>
      <w:marRight w:val="0"/>
      <w:marTop w:val="0"/>
      <w:marBottom w:val="0"/>
      <w:divBdr>
        <w:top w:val="none" w:sz="0" w:space="0" w:color="auto"/>
        <w:left w:val="none" w:sz="0" w:space="0" w:color="auto"/>
        <w:bottom w:val="none" w:sz="0" w:space="0" w:color="auto"/>
        <w:right w:val="none" w:sz="0" w:space="0" w:color="auto"/>
      </w:divBdr>
    </w:div>
    <w:div w:id="820847144">
      <w:bodyDiv w:val="1"/>
      <w:marLeft w:val="0"/>
      <w:marRight w:val="0"/>
      <w:marTop w:val="0"/>
      <w:marBottom w:val="0"/>
      <w:divBdr>
        <w:top w:val="none" w:sz="0" w:space="0" w:color="auto"/>
        <w:left w:val="none" w:sz="0" w:space="0" w:color="auto"/>
        <w:bottom w:val="none" w:sz="0" w:space="0" w:color="auto"/>
        <w:right w:val="none" w:sz="0" w:space="0" w:color="auto"/>
      </w:divBdr>
    </w:div>
    <w:div w:id="913666483">
      <w:bodyDiv w:val="1"/>
      <w:marLeft w:val="0"/>
      <w:marRight w:val="0"/>
      <w:marTop w:val="0"/>
      <w:marBottom w:val="0"/>
      <w:divBdr>
        <w:top w:val="none" w:sz="0" w:space="0" w:color="auto"/>
        <w:left w:val="none" w:sz="0" w:space="0" w:color="auto"/>
        <w:bottom w:val="none" w:sz="0" w:space="0" w:color="auto"/>
        <w:right w:val="none" w:sz="0" w:space="0" w:color="auto"/>
      </w:divBdr>
    </w:div>
    <w:div w:id="1184782752">
      <w:bodyDiv w:val="1"/>
      <w:marLeft w:val="0"/>
      <w:marRight w:val="0"/>
      <w:marTop w:val="0"/>
      <w:marBottom w:val="0"/>
      <w:divBdr>
        <w:top w:val="none" w:sz="0" w:space="0" w:color="auto"/>
        <w:left w:val="none" w:sz="0" w:space="0" w:color="auto"/>
        <w:bottom w:val="none" w:sz="0" w:space="0" w:color="auto"/>
        <w:right w:val="none" w:sz="0" w:space="0" w:color="auto"/>
      </w:divBdr>
    </w:div>
    <w:div w:id="1345978466">
      <w:bodyDiv w:val="1"/>
      <w:marLeft w:val="0"/>
      <w:marRight w:val="0"/>
      <w:marTop w:val="0"/>
      <w:marBottom w:val="0"/>
      <w:divBdr>
        <w:top w:val="none" w:sz="0" w:space="0" w:color="auto"/>
        <w:left w:val="none" w:sz="0" w:space="0" w:color="auto"/>
        <w:bottom w:val="none" w:sz="0" w:space="0" w:color="auto"/>
        <w:right w:val="none" w:sz="0" w:space="0" w:color="auto"/>
      </w:divBdr>
    </w:div>
    <w:div w:id="16341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264-F1F9-4D1A-9C64-0B9E4CDC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14631</Words>
  <Characters>83403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Andrew</dc:creator>
  <cp:keywords/>
  <dc:description/>
  <cp:lastModifiedBy>Wagner, Nathan R</cp:lastModifiedBy>
  <cp:revision>3</cp:revision>
  <cp:lastPrinted>2018-03-01T12:41:00Z</cp:lastPrinted>
  <dcterms:created xsi:type="dcterms:W3CDTF">2021-10-28T14:55:00Z</dcterms:created>
  <dcterms:modified xsi:type="dcterms:W3CDTF">2021-10-28T14:56:00Z</dcterms:modified>
</cp:coreProperties>
</file>