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4E2" w:rsidRPr="00472E12" w:rsidRDefault="009324E2" w:rsidP="007D3734">
      <w:pPr>
        <w:widowControl/>
        <w:contextualSpacing/>
        <w:jc w:val="center"/>
        <w:rPr>
          <w:b/>
          <w:sz w:val="26"/>
          <w:szCs w:val="26"/>
        </w:rPr>
      </w:pPr>
      <w:r w:rsidRPr="00472E12">
        <w:rPr>
          <w:b/>
          <w:sz w:val="26"/>
          <w:szCs w:val="26"/>
        </w:rPr>
        <w:t>PENNSYLVANIA</w:t>
      </w:r>
    </w:p>
    <w:p w:rsidR="009324E2" w:rsidRDefault="009324E2" w:rsidP="007D3734">
      <w:pPr>
        <w:widowControl/>
        <w:tabs>
          <w:tab w:val="center" w:pos="4680"/>
        </w:tabs>
        <w:suppressAutoHyphens/>
        <w:contextualSpacing/>
        <w:jc w:val="center"/>
        <w:rPr>
          <w:b/>
          <w:sz w:val="26"/>
        </w:rPr>
      </w:pPr>
      <w:r>
        <w:rPr>
          <w:b/>
          <w:sz w:val="26"/>
        </w:rPr>
        <w:t>PUBLIC UTILITY COMMISSION</w:t>
      </w:r>
    </w:p>
    <w:p w:rsidR="009324E2" w:rsidRDefault="009324E2" w:rsidP="007D3734">
      <w:pPr>
        <w:widowControl/>
        <w:tabs>
          <w:tab w:val="center" w:pos="4680"/>
        </w:tabs>
        <w:suppressAutoHyphens/>
        <w:contextualSpacing/>
        <w:jc w:val="center"/>
        <w:rPr>
          <w:b/>
          <w:sz w:val="26"/>
        </w:rPr>
      </w:pPr>
      <w:r>
        <w:rPr>
          <w:b/>
          <w:sz w:val="26"/>
        </w:rPr>
        <w:t>Harrisburg, PA  17105-3265</w:t>
      </w:r>
    </w:p>
    <w:p w:rsidR="009324E2" w:rsidRDefault="009324E2" w:rsidP="007D3734">
      <w:pPr>
        <w:widowControl/>
        <w:tabs>
          <w:tab w:val="left" w:pos="-720"/>
        </w:tabs>
        <w:suppressAutoHyphens/>
        <w:contextualSpacing/>
        <w:rPr>
          <w:b/>
          <w:sz w:val="26"/>
        </w:rPr>
      </w:pPr>
    </w:p>
    <w:p w:rsidR="009324E2" w:rsidRDefault="009324E2" w:rsidP="007D3734">
      <w:pPr>
        <w:widowControl/>
        <w:tabs>
          <w:tab w:val="right" w:pos="9360"/>
        </w:tabs>
        <w:suppressAutoHyphens/>
        <w:contextualSpacing/>
        <w:rPr>
          <w:sz w:val="26"/>
        </w:rPr>
      </w:pPr>
    </w:p>
    <w:p w:rsidR="009324E2" w:rsidRDefault="009324E2" w:rsidP="007D3734">
      <w:pPr>
        <w:widowControl/>
        <w:tabs>
          <w:tab w:val="right" w:pos="9360"/>
        </w:tabs>
        <w:suppressAutoHyphens/>
        <w:contextualSpacing/>
        <w:jc w:val="right"/>
        <w:rPr>
          <w:sz w:val="26"/>
        </w:rPr>
      </w:pPr>
      <w:r>
        <w:rPr>
          <w:sz w:val="26"/>
        </w:rPr>
        <w:t xml:space="preserve">Public Meeting held </w:t>
      </w:r>
      <w:r w:rsidR="000D1FB9">
        <w:rPr>
          <w:sz w:val="26"/>
        </w:rPr>
        <w:t>December 20</w:t>
      </w:r>
      <w:r w:rsidR="006503DC">
        <w:rPr>
          <w:sz w:val="26"/>
        </w:rPr>
        <w:t>, 2018</w:t>
      </w:r>
    </w:p>
    <w:p w:rsidR="009324E2" w:rsidRDefault="009324E2" w:rsidP="007D3734">
      <w:pPr>
        <w:widowControl/>
        <w:tabs>
          <w:tab w:val="left" w:pos="-720"/>
        </w:tabs>
        <w:suppressAutoHyphens/>
        <w:contextualSpacing/>
        <w:rPr>
          <w:sz w:val="26"/>
        </w:rPr>
      </w:pPr>
    </w:p>
    <w:p w:rsidR="009324E2" w:rsidRDefault="009324E2" w:rsidP="007D3734">
      <w:pPr>
        <w:widowControl/>
        <w:tabs>
          <w:tab w:val="left" w:pos="-720"/>
        </w:tabs>
        <w:suppressAutoHyphens/>
        <w:contextualSpacing/>
        <w:rPr>
          <w:sz w:val="26"/>
        </w:rPr>
      </w:pPr>
      <w:r>
        <w:rPr>
          <w:sz w:val="26"/>
        </w:rPr>
        <w:t>Commissioners Present:</w:t>
      </w:r>
    </w:p>
    <w:p w:rsidR="009324E2" w:rsidRDefault="009324E2" w:rsidP="007D3734">
      <w:pPr>
        <w:widowControl/>
        <w:tabs>
          <w:tab w:val="left" w:pos="-720"/>
        </w:tabs>
        <w:suppressAutoHyphens/>
        <w:contextualSpacing/>
        <w:rPr>
          <w:sz w:val="26"/>
        </w:rPr>
      </w:pPr>
    </w:p>
    <w:p w:rsidR="009324E2" w:rsidRPr="0060709A" w:rsidRDefault="009324E2" w:rsidP="007D3734">
      <w:pPr>
        <w:widowControl/>
        <w:tabs>
          <w:tab w:val="left" w:pos="705"/>
        </w:tabs>
        <w:ind w:firstLine="720"/>
        <w:contextualSpacing/>
        <w:rPr>
          <w:sz w:val="26"/>
          <w:szCs w:val="26"/>
        </w:rPr>
      </w:pPr>
      <w:r w:rsidRPr="0060709A">
        <w:rPr>
          <w:sz w:val="26"/>
          <w:szCs w:val="26"/>
        </w:rPr>
        <w:t>Gladys M. Brown, Chairman</w:t>
      </w:r>
      <w:r w:rsidR="00B01658">
        <w:rPr>
          <w:sz w:val="26"/>
          <w:szCs w:val="26"/>
        </w:rPr>
        <w:t>, Statement</w:t>
      </w:r>
    </w:p>
    <w:p w:rsidR="009324E2" w:rsidRPr="0060709A" w:rsidRDefault="009324E2" w:rsidP="007D3734">
      <w:pPr>
        <w:widowControl/>
        <w:tabs>
          <w:tab w:val="left" w:pos="705"/>
        </w:tabs>
        <w:ind w:firstLine="720"/>
        <w:contextualSpacing/>
        <w:rPr>
          <w:sz w:val="26"/>
          <w:szCs w:val="26"/>
        </w:rPr>
      </w:pPr>
      <w:r w:rsidRPr="0060709A">
        <w:rPr>
          <w:sz w:val="26"/>
          <w:szCs w:val="26"/>
        </w:rPr>
        <w:t>Andrew G. Place, Vice Chairman</w:t>
      </w:r>
    </w:p>
    <w:p w:rsidR="009324E2" w:rsidRDefault="006503DC" w:rsidP="007D3734">
      <w:pPr>
        <w:widowControl/>
        <w:tabs>
          <w:tab w:val="left" w:pos="705"/>
        </w:tabs>
        <w:ind w:firstLine="720"/>
        <w:contextualSpacing/>
        <w:rPr>
          <w:sz w:val="26"/>
          <w:szCs w:val="26"/>
        </w:rPr>
      </w:pPr>
      <w:r>
        <w:rPr>
          <w:sz w:val="26"/>
          <w:szCs w:val="26"/>
        </w:rPr>
        <w:t>Norman J. Kennard</w:t>
      </w:r>
    </w:p>
    <w:p w:rsidR="006503DC" w:rsidRPr="0060709A" w:rsidRDefault="006503DC" w:rsidP="007D3734">
      <w:pPr>
        <w:widowControl/>
        <w:tabs>
          <w:tab w:val="left" w:pos="705"/>
        </w:tabs>
        <w:ind w:firstLine="720"/>
        <w:contextualSpacing/>
        <w:rPr>
          <w:sz w:val="26"/>
          <w:szCs w:val="26"/>
        </w:rPr>
      </w:pPr>
      <w:r>
        <w:rPr>
          <w:sz w:val="26"/>
          <w:szCs w:val="26"/>
        </w:rPr>
        <w:t>David W. Sweet</w:t>
      </w:r>
    </w:p>
    <w:p w:rsidR="009324E2" w:rsidRPr="0060709A" w:rsidRDefault="009324E2" w:rsidP="007D3734">
      <w:pPr>
        <w:widowControl/>
        <w:tabs>
          <w:tab w:val="left" w:pos="705"/>
        </w:tabs>
        <w:ind w:firstLine="720"/>
        <w:contextualSpacing/>
        <w:rPr>
          <w:sz w:val="26"/>
          <w:szCs w:val="26"/>
        </w:rPr>
      </w:pPr>
      <w:r w:rsidRPr="0060709A">
        <w:rPr>
          <w:sz w:val="26"/>
          <w:szCs w:val="26"/>
        </w:rPr>
        <w:t>John F. Coleman, Jr.</w:t>
      </w:r>
    </w:p>
    <w:p w:rsidR="009324E2" w:rsidRPr="008401FA" w:rsidRDefault="009324E2" w:rsidP="007D3734">
      <w:pPr>
        <w:widowControl/>
        <w:tabs>
          <w:tab w:val="left" w:pos="-720"/>
        </w:tabs>
        <w:suppressAutoHyphens/>
        <w:contextualSpacing/>
        <w:rPr>
          <w:sz w:val="26"/>
        </w:rPr>
      </w:pPr>
    </w:p>
    <w:p w:rsidR="009324E2" w:rsidRDefault="009324E2" w:rsidP="007D3734">
      <w:pPr>
        <w:widowControl/>
        <w:tabs>
          <w:tab w:val="left" w:pos="-720"/>
        </w:tabs>
        <w:suppressAutoHyphens/>
        <w:contextualSpacing/>
        <w:rPr>
          <w:sz w:val="26"/>
        </w:rPr>
      </w:pPr>
    </w:p>
    <w:p w:rsidR="001E0D79" w:rsidRDefault="00736BAC" w:rsidP="007D3734">
      <w:pPr>
        <w:pStyle w:val="Default"/>
        <w:contextualSpacing/>
        <w:rPr>
          <w:sz w:val="26"/>
          <w:szCs w:val="26"/>
        </w:rPr>
      </w:pPr>
      <w:r>
        <w:rPr>
          <w:sz w:val="26"/>
          <w:szCs w:val="26"/>
        </w:rPr>
        <w:t>Pe</w:t>
      </w:r>
      <w:r w:rsidR="00972ED6">
        <w:rPr>
          <w:sz w:val="26"/>
          <w:szCs w:val="26"/>
        </w:rPr>
        <w:t xml:space="preserve">nnsylvania Public Utility Commission </w:t>
      </w:r>
      <w:r w:rsidR="00972ED6">
        <w:rPr>
          <w:sz w:val="26"/>
          <w:szCs w:val="26"/>
        </w:rPr>
        <w:tab/>
      </w:r>
      <w:r w:rsidR="001E0D79">
        <w:rPr>
          <w:sz w:val="26"/>
          <w:szCs w:val="26"/>
        </w:rPr>
        <w:tab/>
      </w:r>
      <w:r w:rsidR="001E0D79">
        <w:rPr>
          <w:sz w:val="26"/>
          <w:szCs w:val="26"/>
        </w:rPr>
        <w:tab/>
      </w:r>
      <w:r w:rsidR="001E0D79">
        <w:rPr>
          <w:sz w:val="26"/>
          <w:szCs w:val="26"/>
        </w:rPr>
        <w:tab/>
      </w:r>
      <w:r w:rsidR="001E0D79">
        <w:rPr>
          <w:sz w:val="26"/>
          <w:szCs w:val="26"/>
        </w:rPr>
        <w:tab/>
      </w:r>
      <w:r w:rsidR="00972ED6">
        <w:rPr>
          <w:sz w:val="26"/>
          <w:szCs w:val="26"/>
        </w:rPr>
        <w:t>R-2018-3000124</w:t>
      </w:r>
    </w:p>
    <w:p w:rsidR="00972ED6" w:rsidRPr="001E0D79" w:rsidRDefault="00972ED6" w:rsidP="007D3734">
      <w:pPr>
        <w:widowControl/>
        <w:contextualSpacing/>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R-2018-3000829</w:t>
      </w:r>
    </w:p>
    <w:p w:rsidR="00BB679F" w:rsidRDefault="00BB679F" w:rsidP="007D3734">
      <w:pPr>
        <w:widowControl/>
        <w:autoSpaceDE w:val="0"/>
        <w:autoSpaceDN w:val="0"/>
        <w:adjustRightInd w:val="0"/>
        <w:contextualSpacing/>
        <w:rPr>
          <w:sz w:val="26"/>
          <w:szCs w:val="26"/>
        </w:rPr>
      </w:pPr>
    </w:p>
    <w:p w:rsidR="0029388A" w:rsidRDefault="00972ED6" w:rsidP="007D3734">
      <w:pPr>
        <w:widowControl/>
        <w:autoSpaceDE w:val="0"/>
        <w:autoSpaceDN w:val="0"/>
        <w:adjustRightInd w:val="0"/>
        <w:contextualSpacing/>
        <w:rPr>
          <w:sz w:val="26"/>
          <w:szCs w:val="26"/>
        </w:rPr>
      </w:pPr>
      <w:r>
        <w:rPr>
          <w:sz w:val="26"/>
          <w:szCs w:val="26"/>
        </w:rPr>
        <w:t>Office of Consumer Advocate</w:t>
      </w:r>
      <w:r>
        <w:rPr>
          <w:sz w:val="26"/>
          <w:szCs w:val="26"/>
        </w:rPr>
        <w:tab/>
      </w:r>
      <w:r>
        <w:rPr>
          <w:sz w:val="26"/>
          <w:szCs w:val="26"/>
        </w:rPr>
        <w:tab/>
      </w:r>
      <w:r w:rsidR="0029388A" w:rsidRPr="001E0D79">
        <w:rPr>
          <w:sz w:val="26"/>
          <w:szCs w:val="26"/>
        </w:rPr>
        <w:tab/>
      </w:r>
      <w:r w:rsidR="0029388A" w:rsidRPr="001E0D79">
        <w:rPr>
          <w:sz w:val="26"/>
          <w:szCs w:val="26"/>
        </w:rPr>
        <w:tab/>
      </w:r>
      <w:r w:rsidR="0029388A" w:rsidRPr="001E0D79">
        <w:rPr>
          <w:sz w:val="26"/>
          <w:szCs w:val="26"/>
        </w:rPr>
        <w:tab/>
      </w:r>
      <w:r w:rsidR="00AB0A4B">
        <w:rPr>
          <w:sz w:val="26"/>
          <w:szCs w:val="26"/>
        </w:rPr>
        <w:tab/>
      </w:r>
      <w:r w:rsidR="002D60A9">
        <w:rPr>
          <w:sz w:val="26"/>
          <w:szCs w:val="26"/>
        </w:rPr>
        <w:t>C-2018-3001029</w:t>
      </w:r>
    </w:p>
    <w:p w:rsidR="00731376" w:rsidRPr="001E0D79" w:rsidRDefault="002D60A9" w:rsidP="007D3734">
      <w:pPr>
        <w:widowControl/>
        <w:contextualSpacing/>
        <w:rPr>
          <w:sz w:val="26"/>
        </w:rPr>
      </w:pPr>
      <w:r>
        <w:rPr>
          <w:sz w:val="26"/>
        </w:rPr>
        <w:t xml:space="preserve">Jason Dolby </w:t>
      </w:r>
      <w:r>
        <w:rPr>
          <w:sz w:val="26"/>
        </w:rPr>
        <w:tab/>
      </w:r>
      <w:r w:rsidR="00731376">
        <w:rPr>
          <w:sz w:val="26"/>
        </w:rPr>
        <w:tab/>
      </w:r>
      <w:r w:rsidR="00731376">
        <w:rPr>
          <w:sz w:val="26"/>
        </w:rPr>
        <w:tab/>
      </w:r>
      <w:r w:rsidR="00731376">
        <w:rPr>
          <w:sz w:val="26"/>
        </w:rPr>
        <w:tab/>
      </w:r>
      <w:r w:rsidR="00731376">
        <w:rPr>
          <w:sz w:val="26"/>
        </w:rPr>
        <w:tab/>
      </w:r>
      <w:r w:rsidR="00731376">
        <w:rPr>
          <w:sz w:val="26"/>
        </w:rPr>
        <w:tab/>
      </w:r>
      <w:r w:rsidR="00731376">
        <w:rPr>
          <w:sz w:val="26"/>
        </w:rPr>
        <w:tab/>
      </w:r>
      <w:r w:rsidR="00731376">
        <w:rPr>
          <w:sz w:val="26"/>
        </w:rPr>
        <w:tab/>
      </w:r>
      <w:r w:rsidR="00731376">
        <w:rPr>
          <w:sz w:val="26"/>
        </w:rPr>
        <w:tab/>
      </w:r>
      <w:r w:rsidR="00731376" w:rsidRPr="001E0D79">
        <w:rPr>
          <w:sz w:val="26"/>
        </w:rPr>
        <w:t>C-2018-</w:t>
      </w:r>
      <w:r>
        <w:rPr>
          <w:sz w:val="26"/>
        </w:rPr>
        <w:t>3001074</w:t>
      </w:r>
    </w:p>
    <w:p w:rsidR="00731376" w:rsidRPr="001E0D79" w:rsidRDefault="002D60A9" w:rsidP="007D3734">
      <w:pPr>
        <w:widowControl/>
        <w:contextualSpacing/>
        <w:rPr>
          <w:sz w:val="26"/>
        </w:rPr>
      </w:pPr>
      <w:r>
        <w:rPr>
          <w:sz w:val="26"/>
        </w:rPr>
        <w:t>Peoples Natural Gas Company LLC</w:t>
      </w:r>
      <w:r w:rsidR="00731376">
        <w:rPr>
          <w:sz w:val="26"/>
        </w:rPr>
        <w:tab/>
      </w:r>
      <w:r w:rsidR="00731376">
        <w:rPr>
          <w:sz w:val="26"/>
        </w:rPr>
        <w:tab/>
      </w:r>
      <w:r w:rsidR="00731376">
        <w:rPr>
          <w:sz w:val="26"/>
        </w:rPr>
        <w:tab/>
      </w:r>
      <w:r w:rsidR="00731376">
        <w:rPr>
          <w:sz w:val="26"/>
        </w:rPr>
        <w:tab/>
      </w:r>
      <w:r w:rsidR="00731376">
        <w:rPr>
          <w:sz w:val="26"/>
        </w:rPr>
        <w:tab/>
      </w:r>
      <w:r w:rsidR="00731376" w:rsidRPr="001E0D79">
        <w:rPr>
          <w:sz w:val="26"/>
        </w:rPr>
        <w:t>C-2018-</w:t>
      </w:r>
      <w:r>
        <w:rPr>
          <w:sz w:val="26"/>
        </w:rPr>
        <w:t>3001152</w:t>
      </w:r>
    </w:p>
    <w:p w:rsidR="00731376" w:rsidRPr="001E0D79" w:rsidRDefault="002D60A9" w:rsidP="007D3734">
      <w:pPr>
        <w:widowControl/>
        <w:contextualSpacing/>
        <w:rPr>
          <w:sz w:val="26"/>
        </w:rPr>
      </w:pPr>
      <w:r>
        <w:rPr>
          <w:sz w:val="26"/>
        </w:rPr>
        <w:t>Office of Small Business Advocate</w:t>
      </w:r>
      <w:r w:rsidR="00731376">
        <w:rPr>
          <w:sz w:val="26"/>
        </w:rPr>
        <w:tab/>
      </w:r>
      <w:r w:rsidR="00731376">
        <w:rPr>
          <w:sz w:val="26"/>
        </w:rPr>
        <w:tab/>
      </w:r>
      <w:r w:rsidR="00731376">
        <w:rPr>
          <w:sz w:val="26"/>
        </w:rPr>
        <w:tab/>
      </w:r>
      <w:r w:rsidR="00731376">
        <w:rPr>
          <w:sz w:val="26"/>
        </w:rPr>
        <w:tab/>
      </w:r>
      <w:r w:rsidR="00731376">
        <w:rPr>
          <w:sz w:val="26"/>
        </w:rPr>
        <w:tab/>
      </w:r>
      <w:r w:rsidR="00731376" w:rsidRPr="001E0D79">
        <w:rPr>
          <w:sz w:val="26"/>
        </w:rPr>
        <w:t>C-2018-</w:t>
      </w:r>
      <w:r>
        <w:rPr>
          <w:sz w:val="26"/>
        </w:rPr>
        <w:t>3001566</w:t>
      </w:r>
    </w:p>
    <w:p w:rsidR="00AB0A4B" w:rsidRDefault="002D60A9" w:rsidP="007D3734">
      <w:pPr>
        <w:widowControl/>
        <w:tabs>
          <w:tab w:val="left" w:pos="-720"/>
        </w:tabs>
        <w:suppressAutoHyphens/>
        <w:contextualSpacing/>
        <w:rPr>
          <w:sz w:val="26"/>
          <w:szCs w:val="26"/>
        </w:rPr>
      </w:pPr>
      <w:r>
        <w:rPr>
          <w:sz w:val="26"/>
          <w:szCs w:val="26"/>
        </w:rPr>
        <w:t>Duquesne Industrial Intervenors</w:t>
      </w:r>
      <w:r>
        <w:rPr>
          <w:sz w:val="26"/>
          <w:szCs w:val="26"/>
        </w:rPr>
        <w:tab/>
      </w:r>
      <w:r>
        <w:rPr>
          <w:sz w:val="26"/>
          <w:szCs w:val="26"/>
        </w:rPr>
        <w:tab/>
      </w:r>
      <w:r w:rsidR="00AB0A4B">
        <w:rPr>
          <w:sz w:val="26"/>
          <w:szCs w:val="26"/>
        </w:rPr>
        <w:t xml:space="preserve"> </w:t>
      </w:r>
      <w:r w:rsidR="00AB0A4B">
        <w:rPr>
          <w:sz w:val="26"/>
          <w:szCs w:val="26"/>
        </w:rPr>
        <w:tab/>
      </w:r>
      <w:r w:rsidR="00AB0A4B">
        <w:rPr>
          <w:sz w:val="26"/>
          <w:szCs w:val="26"/>
        </w:rPr>
        <w:tab/>
      </w:r>
      <w:r w:rsidR="00AB0A4B">
        <w:rPr>
          <w:sz w:val="26"/>
          <w:szCs w:val="26"/>
        </w:rPr>
        <w:tab/>
      </w:r>
      <w:r w:rsidR="00AB0A4B">
        <w:rPr>
          <w:sz w:val="26"/>
          <w:szCs w:val="26"/>
        </w:rPr>
        <w:tab/>
      </w:r>
      <w:r>
        <w:rPr>
          <w:sz w:val="26"/>
          <w:szCs w:val="26"/>
        </w:rPr>
        <w:t>C-2018-3001713</w:t>
      </w:r>
    </w:p>
    <w:p w:rsidR="005867A5" w:rsidRDefault="002D60A9" w:rsidP="007D3734">
      <w:pPr>
        <w:widowControl/>
        <w:tabs>
          <w:tab w:val="left" w:pos="-720"/>
        </w:tabs>
        <w:suppressAutoHyphens/>
        <w:contextualSpacing/>
        <w:rPr>
          <w:sz w:val="26"/>
        </w:rPr>
      </w:pPr>
      <w:r>
        <w:rPr>
          <w:sz w:val="26"/>
          <w:szCs w:val="26"/>
        </w:rPr>
        <w:t>Leonard Coyer</w:t>
      </w:r>
      <w:r>
        <w:rPr>
          <w:sz w:val="26"/>
          <w:szCs w:val="26"/>
        </w:rPr>
        <w:tab/>
      </w:r>
      <w:r>
        <w:rPr>
          <w:sz w:val="26"/>
          <w:szCs w:val="26"/>
        </w:rPr>
        <w:tab/>
      </w:r>
      <w:r>
        <w:rPr>
          <w:sz w:val="26"/>
          <w:szCs w:val="26"/>
        </w:rPr>
        <w:tab/>
      </w:r>
      <w:r>
        <w:rPr>
          <w:sz w:val="26"/>
          <w:szCs w:val="26"/>
        </w:rPr>
        <w:tab/>
      </w:r>
      <w:r w:rsidR="005867A5" w:rsidRPr="001E0D79">
        <w:rPr>
          <w:sz w:val="26"/>
          <w:szCs w:val="26"/>
        </w:rPr>
        <w:t xml:space="preserve"> </w:t>
      </w:r>
      <w:r w:rsidR="0029388A" w:rsidRPr="001E0D79">
        <w:rPr>
          <w:sz w:val="26"/>
          <w:szCs w:val="26"/>
        </w:rPr>
        <w:tab/>
      </w:r>
      <w:r w:rsidR="0029388A" w:rsidRPr="001E0D79">
        <w:rPr>
          <w:sz w:val="26"/>
          <w:szCs w:val="26"/>
        </w:rPr>
        <w:tab/>
      </w:r>
      <w:r w:rsidR="0029388A" w:rsidRPr="001E0D79">
        <w:rPr>
          <w:sz w:val="26"/>
          <w:szCs w:val="26"/>
        </w:rPr>
        <w:tab/>
      </w:r>
      <w:r w:rsidR="0029388A" w:rsidRPr="001E0D79">
        <w:rPr>
          <w:sz w:val="26"/>
          <w:szCs w:val="26"/>
        </w:rPr>
        <w:tab/>
      </w:r>
      <w:r>
        <w:rPr>
          <w:sz w:val="26"/>
        </w:rPr>
        <w:t>C-2018-3002424</w:t>
      </w:r>
    </w:p>
    <w:p w:rsidR="002D60A9" w:rsidRDefault="002D60A9" w:rsidP="007D3734">
      <w:pPr>
        <w:widowControl/>
        <w:tabs>
          <w:tab w:val="left" w:pos="-720"/>
        </w:tabs>
        <w:suppressAutoHyphens/>
        <w:contextualSpacing/>
        <w:rPr>
          <w:sz w:val="26"/>
        </w:rPr>
      </w:pPr>
      <w:r>
        <w:rPr>
          <w:sz w:val="26"/>
        </w:rPr>
        <w:t>NRG Energy Center Pittsburgh LLC</w:t>
      </w:r>
      <w:r>
        <w:rPr>
          <w:sz w:val="26"/>
        </w:rPr>
        <w:tab/>
      </w:r>
      <w:r>
        <w:rPr>
          <w:sz w:val="26"/>
        </w:rPr>
        <w:tab/>
      </w:r>
      <w:r>
        <w:rPr>
          <w:sz w:val="26"/>
        </w:rPr>
        <w:tab/>
      </w:r>
      <w:r>
        <w:rPr>
          <w:sz w:val="26"/>
        </w:rPr>
        <w:tab/>
      </w:r>
      <w:r>
        <w:rPr>
          <w:sz w:val="26"/>
        </w:rPr>
        <w:tab/>
        <w:t>C-2018-3002755</w:t>
      </w:r>
    </w:p>
    <w:p w:rsidR="00A82476" w:rsidRDefault="00A82476" w:rsidP="007D3734">
      <w:pPr>
        <w:widowControl/>
        <w:tabs>
          <w:tab w:val="left" w:pos="-720"/>
        </w:tabs>
        <w:suppressAutoHyphens/>
        <w:contextualSpacing/>
        <w:rPr>
          <w:sz w:val="26"/>
        </w:rPr>
      </w:pPr>
    </w:p>
    <w:p w:rsidR="002D60A9" w:rsidRDefault="00A82476" w:rsidP="007D3734">
      <w:pPr>
        <w:widowControl/>
        <w:tabs>
          <w:tab w:val="left" w:pos="-720"/>
        </w:tabs>
        <w:suppressAutoHyphens/>
        <w:contextualSpacing/>
        <w:rPr>
          <w:sz w:val="26"/>
        </w:rPr>
      </w:pPr>
      <w:r>
        <w:rPr>
          <w:sz w:val="26"/>
        </w:rPr>
        <w:tab/>
      </w:r>
      <w:r w:rsidR="002D60A9">
        <w:rPr>
          <w:sz w:val="26"/>
        </w:rPr>
        <w:t>v.</w:t>
      </w:r>
    </w:p>
    <w:p w:rsidR="00A82476" w:rsidRDefault="00A82476" w:rsidP="007D3734">
      <w:pPr>
        <w:widowControl/>
        <w:tabs>
          <w:tab w:val="left" w:pos="-720"/>
        </w:tabs>
        <w:suppressAutoHyphens/>
        <w:contextualSpacing/>
        <w:rPr>
          <w:sz w:val="26"/>
        </w:rPr>
      </w:pPr>
    </w:p>
    <w:p w:rsidR="002D60A9" w:rsidRDefault="002D60A9" w:rsidP="007D3734">
      <w:pPr>
        <w:widowControl/>
        <w:tabs>
          <w:tab w:val="left" w:pos="-720"/>
        </w:tabs>
        <w:suppressAutoHyphens/>
        <w:contextualSpacing/>
        <w:rPr>
          <w:sz w:val="26"/>
        </w:rPr>
      </w:pPr>
      <w:r>
        <w:rPr>
          <w:sz w:val="26"/>
        </w:rPr>
        <w:t>Duquesne Light Company</w:t>
      </w:r>
    </w:p>
    <w:p w:rsidR="00AB0A4B" w:rsidRDefault="00AB0A4B" w:rsidP="007D3734">
      <w:pPr>
        <w:widowControl/>
        <w:tabs>
          <w:tab w:val="left" w:pos="-720"/>
        </w:tabs>
        <w:suppressAutoHyphens/>
        <w:contextualSpacing/>
        <w:rPr>
          <w:sz w:val="26"/>
        </w:rPr>
      </w:pPr>
    </w:p>
    <w:p w:rsidR="00AB0A4B" w:rsidRDefault="00AB0A4B" w:rsidP="007D3734">
      <w:pPr>
        <w:widowControl/>
        <w:tabs>
          <w:tab w:val="left" w:pos="-720"/>
        </w:tabs>
        <w:suppressAutoHyphens/>
        <w:contextualSpacing/>
        <w:rPr>
          <w:sz w:val="26"/>
        </w:rPr>
      </w:pPr>
    </w:p>
    <w:p w:rsidR="008401FA" w:rsidRDefault="008401FA" w:rsidP="007D3734">
      <w:pPr>
        <w:widowControl/>
        <w:tabs>
          <w:tab w:val="left" w:pos="-720"/>
        </w:tabs>
        <w:suppressAutoHyphens/>
        <w:contextualSpacing/>
        <w:rPr>
          <w:sz w:val="26"/>
        </w:rPr>
      </w:pPr>
    </w:p>
    <w:p w:rsidR="009324E2" w:rsidRPr="008401FA" w:rsidRDefault="009324E2" w:rsidP="007D3734">
      <w:pPr>
        <w:widowControl/>
        <w:tabs>
          <w:tab w:val="center" w:pos="4680"/>
        </w:tabs>
        <w:suppressAutoHyphens/>
        <w:contextualSpacing/>
        <w:rPr>
          <w:sz w:val="26"/>
        </w:rPr>
      </w:pPr>
    </w:p>
    <w:p w:rsidR="009324E2" w:rsidRDefault="009324E2" w:rsidP="007D3734">
      <w:pPr>
        <w:widowControl/>
        <w:tabs>
          <w:tab w:val="center" w:pos="4680"/>
        </w:tabs>
        <w:suppressAutoHyphens/>
        <w:contextualSpacing/>
        <w:jc w:val="center"/>
        <w:rPr>
          <w:b/>
          <w:sz w:val="26"/>
        </w:rPr>
      </w:pPr>
      <w:r>
        <w:rPr>
          <w:b/>
          <w:sz w:val="26"/>
        </w:rPr>
        <w:t>OPINION AND ORDER</w:t>
      </w:r>
    </w:p>
    <w:p w:rsidR="00647C6E" w:rsidRDefault="00647C6E" w:rsidP="007D3734">
      <w:pPr>
        <w:widowControl/>
        <w:spacing w:after="200" w:line="276" w:lineRule="auto"/>
        <w:contextualSpacing/>
        <w:rPr>
          <w:b/>
          <w:sz w:val="26"/>
        </w:rPr>
        <w:sectPr w:rsidR="00647C6E" w:rsidSect="00643850">
          <w:footerReference w:type="default" r:id="rId8"/>
          <w:pgSz w:w="12240" w:h="15840"/>
          <w:pgMar w:top="1440" w:right="1440" w:bottom="1440" w:left="1440" w:header="720" w:footer="720" w:gutter="0"/>
          <w:pgNumType w:start="1"/>
          <w:cols w:space="720"/>
          <w:titlePg/>
          <w:docGrid w:linePitch="360"/>
        </w:sectPr>
      </w:pPr>
    </w:p>
    <w:bookmarkStart w:id="0" w:name="_Toc531945167" w:displacedByCustomXml="next"/>
    <w:bookmarkStart w:id="1" w:name="_Toc531091813" w:displacedByCustomXml="next"/>
    <w:sdt>
      <w:sdtPr>
        <w:rPr>
          <w:b/>
          <w:sz w:val="20"/>
        </w:rPr>
        <w:id w:val="-407535074"/>
        <w:docPartObj>
          <w:docPartGallery w:val="Table of Contents"/>
          <w:docPartUnique/>
        </w:docPartObj>
      </w:sdtPr>
      <w:sdtEndPr>
        <w:rPr>
          <w:b w:val="0"/>
          <w:bCs/>
          <w:noProof/>
          <w:sz w:val="26"/>
        </w:rPr>
      </w:sdtEndPr>
      <w:sdtContent>
        <w:p w:rsidR="00BF4BCF" w:rsidRDefault="00B12554" w:rsidP="00BF4BCF">
          <w:pPr>
            <w:pStyle w:val="TOC1"/>
            <w:widowControl/>
            <w:tabs>
              <w:tab w:val="right" w:pos="9350"/>
            </w:tabs>
            <w:jc w:val="center"/>
            <w:rPr>
              <w:noProof/>
            </w:rPr>
          </w:pPr>
          <w:r w:rsidRPr="00D904DE">
            <w:rPr>
              <w:sz w:val="24"/>
              <w:szCs w:val="24"/>
            </w:rPr>
            <w:t>Table of C</w:t>
          </w:r>
          <w:r w:rsidR="00D068F4" w:rsidRPr="00D904DE">
            <w:rPr>
              <w:sz w:val="24"/>
              <w:szCs w:val="24"/>
            </w:rPr>
            <w:t>ontents</w:t>
          </w:r>
          <w:bookmarkEnd w:id="1"/>
          <w:bookmarkEnd w:id="0"/>
          <w:r w:rsidR="00BF4BCF">
            <w:rPr>
              <w:bCs/>
              <w:noProof/>
              <w:sz w:val="24"/>
              <w:szCs w:val="24"/>
            </w:rPr>
            <w:fldChar w:fldCharType="begin"/>
          </w:r>
          <w:r w:rsidR="00BF4BCF">
            <w:rPr>
              <w:bCs/>
              <w:noProof/>
              <w:sz w:val="24"/>
              <w:szCs w:val="24"/>
            </w:rPr>
            <w:instrText xml:space="preserve"> TOC \o "1-3" \h \z \u </w:instrText>
          </w:r>
          <w:r w:rsidR="00BF4BCF">
            <w:rPr>
              <w:bCs/>
              <w:noProof/>
              <w:sz w:val="24"/>
              <w:szCs w:val="24"/>
            </w:rPr>
            <w:fldChar w:fldCharType="separate"/>
          </w:r>
        </w:p>
        <w:p w:rsidR="00BF4BCF" w:rsidRDefault="00466818">
          <w:pPr>
            <w:pStyle w:val="TOC1"/>
            <w:tabs>
              <w:tab w:val="left" w:pos="400"/>
              <w:tab w:val="right" w:leader="dot" w:pos="9350"/>
            </w:tabs>
            <w:rPr>
              <w:rFonts w:asciiTheme="minorHAnsi" w:eastAsiaTheme="minorEastAsia" w:hAnsiTheme="minorHAnsi" w:cstheme="minorBidi"/>
              <w:noProof/>
              <w:sz w:val="22"/>
              <w:szCs w:val="22"/>
            </w:rPr>
          </w:pPr>
          <w:hyperlink w:anchor="_Toc532905954" w:history="1">
            <w:r w:rsidR="00BF4BCF" w:rsidRPr="00F36D7E">
              <w:rPr>
                <w:rStyle w:val="Hyperlink"/>
                <w:noProof/>
              </w:rPr>
              <w:t>I.</w:t>
            </w:r>
            <w:r w:rsidR="00BF4BCF">
              <w:rPr>
                <w:rFonts w:asciiTheme="minorHAnsi" w:eastAsiaTheme="minorEastAsia" w:hAnsiTheme="minorHAnsi" w:cstheme="minorBidi"/>
                <w:noProof/>
                <w:sz w:val="22"/>
                <w:szCs w:val="22"/>
              </w:rPr>
              <w:tab/>
            </w:r>
            <w:r w:rsidR="00BF4BCF" w:rsidRPr="00F36D7E">
              <w:rPr>
                <w:rStyle w:val="Hyperlink"/>
                <w:noProof/>
              </w:rPr>
              <w:t>History of the Proceeding</w:t>
            </w:r>
            <w:r w:rsidR="00BF4BCF">
              <w:rPr>
                <w:noProof/>
                <w:webHidden/>
              </w:rPr>
              <w:tab/>
            </w:r>
            <w:r w:rsidR="00BF4BCF">
              <w:rPr>
                <w:noProof/>
                <w:webHidden/>
              </w:rPr>
              <w:fldChar w:fldCharType="begin"/>
            </w:r>
            <w:r w:rsidR="00BF4BCF">
              <w:rPr>
                <w:noProof/>
                <w:webHidden/>
              </w:rPr>
              <w:instrText xml:space="preserve"> PAGEREF _Toc532905954 \h </w:instrText>
            </w:r>
            <w:r w:rsidR="00BF4BCF">
              <w:rPr>
                <w:noProof/>
                <w:webHidden/>
              </w:rPr>
            </w:r>
            <w:r w:rsidR="00BF4BCF">
              <w:rPr>
                <w:noProof/>
                <w:webHidden/>
              </w:rPr>
              <w:fldChar w:fldCharType="separate"/>
            </w:r>
            <w:r w:rsidR="00BF4BCF">
              <w:rPr>
                <w:noProof/>
                <w:webHidden/>
              </w:rPr>
              <w:t>2</w:t>
            </w:r>
            <w:r w:rsidR="00BF4BCF">
              <w:rPr>
                <w:noProof/>
                <w:webHidden/>
              </w:rPr>
              <w:fldChar w:fldCharType="end"/>
            </w:r>
          </w:hyperlink>
        </w:p>
        <w:p w:rsidR="00BF4BCF" w:rsidRDefault="00466818">
          <w:pPr>
            <w:pStyle w:val="TOC1"/>
            <w:tabs>
              <w:tab w:val="left" w:pos="600"/>
              <w:tab w:val="right" w:leader="dot" w:pos="9350"/>
            </w:tabs>
            <w:rPr>
              <w:rFonts w:asciiTheme="minorHAnsi" w:eastAsiaTheme="minorEastAsia" w:hAnsiTheme="minorHAnsi" w:cstheme="minorBidi"/>
              <w:noProof/>
              <w:sz w:val="22"/>
              <w:szCs w:val="22"/>
            </w:rPr>
          </w:pPr>
          <w:hyperlink w:anchor="_Toc532905955" w:history="1">
            <w:r w:rsidR="00BF4BCF" w:rsidRPr="00F36D7E">
              <w:rPr>
                <w:rStyle w:val="Hyperlink"/>
                <w:rFonts w:eastAsia="Calibri"/>
                <w:noProof/>
              </w:rPr>
              <w:t>II.</w:t>
            </w:r>
            <w:r w:rsidR="00BF4BCF">
              <w:rPr>
                <w:rFonts w:asciiTheme="minorHAnsi" w:eastAsiaTheme="minorEastAsia" w:hAnsiTheme="minorHAnsi" w:cstheme="minorBidi"/>
                <w:noProof/>
                <w:sz w:val="22"/>
                <w:szCs w:val="22"/>
              </w:rPr>
              <w:tab/>
            </w:r>
            <w:r w:rsidR="00BF4BCF" w:rsidRPr="00F36D7E">
              <w:rPr>
                <w:rStyle w:val="Hyperlink"/>
                <w:rFonts w:eastAsia="Calibri"/>
                <w:noProof/>
              </w:rPr>
              <w:t>Introduction</w:t>
            </w:r>
            <w:r w:rsidR="00BF4BCF">
              <w:rPr>
                <w:noProof/>
                <w:webHidden/>
              </w:rPr>
              <w:tab/>
            </w:r>
            <w:r w:rsidR="00BF4BCF">
              <w:rPr>
                <w:noProof/>
                <w:webHidden/>
              </w:rPr>
              <w:fldChar w:fldCharType="begin"/>
            </w:r>
            <w:r w:rsidR="00BF4BCF">
              <w:rPr>
                <w:noProof/>
                <w:webHidden/>
              </w:rPr>
              <w:instrText xml:space="preserve"> PAGEREF _Toc532905955 \h </w:instrText>
            </w:r>
            <w:r w:rsidR="00BF4BCF">
              <w:rPr>
                <w:noProof/>
                <w:webHidden/>
              </w:rPr>
            </w:r>
            <w:r w:rsidR="00BF4BCF">
              <w:rPr>
                <w:noProof/>
                <w:webHidden/>
              </w:rPr>
              <w:fldChar w:fldCharType="separate"/>
            </w:r>
            <w:r w:rsidR="00BF4BCF">
              <w:rPr>
                <w:noProof/>
                <w:webHidden/>
              </w:rPr>
              <w:t>7</w:t>
            </w:r>
            <w:r w:rsidR="00BF4BCF">
              <w:rPr>
                <w:noProof/>
                <w:webHidden/>
              </w:rPr>
              <w:fldChar w:fldCharType="end"/>
            </w:r>
          </w:hyperlink>
        </w:p>
        <w:p w:rsidR="00BF4BCF" w:rsidRDefault="00466818">
          <w:pPr>
            <w:pStyle w:val="TOC2"/>
            <w:tabs>
              <w:tab w:val="left" w:pos="800"/>
              <w:tab w:val="right" w:leader="dot" w:pos="9350"/>
            </w:tabs>
            <w:rPr>
              <w:rFonts w:asciiTheme="minorHAnsi" w:eastAsiaTheme="minorEastAsia" w:hAnsiTheme="minorHAnsi" w:cstheme="minorBidi"/>
              <w:noProof/>
              <w:sz w:val="22"/>
              <w:szCs w:val="22"/>
            </w:rPr>
          </w:pPr>
          <w:hyperlink w:anchor="_Toc532905956" w:history="1">
            <w:r w:rsidR="00BF4BCF" w:rsidRPr="00F36D7E">
              <w:rPr>
                <w:rStyle w:val="Hyperlink"/>
                <w:noProof/>
              </w:rPr>
              <w:t>A.</w:t>
            </w:r>
            <w:r w:rsidR="00BF4BCF">
              <w:rPr>
                <w:rFonts w:asciiTheme="minorHAnsi" w:eastAsiaTheme="minorEastAsia" w:hAnsiTheme="minorHAnsi" w:cstheme="minorBidi"/>
                <w:noProof/>
                <w:sz w:val="22"/>
                <w:szCs w:val="22"/>
              </w:rPr>
              <w:tab/>
            </w:r>
            <w:r w:rsidR="00BF4BCF" w:rsidRPr="00F36D7E">
              <w:rPr>
                <w:rStyle w:val="Hyperlink"/>
                <w:noProof/>
              </w:rPr>
              <w:t>Legal Standards</w:t>
            </w:r>
            <w:r w:rsidR="00BF4BCF">
              <w:rPr>
                <w:noProof/>
                <w:webHidden/>
              </w:rPr>
              <w:tab/>
            </w:r>
            <w:r w:rsidR="00BF4BCF">
              <w:rPr>
                <w:noProof/>
                <w:webHidden/>
              </w:rPr>
              <w:fldChar w:fldCharType="begin"/>
            </w:r>
            <w:r w:rsidR="00BF4BCF">
              <w:rPr>
                <w:noProof/>
                <w:webHidden/>
              </w:rPr>
              <w:instrText xml:space="preserve"> PAGEREF _Toc532905956 \h </w:instrText>
            </w:r>
            <w:r w:rsidR="00BF4BCF">
              <w:rPr>
                <w:noProof/>
                <w:webHidden/>
              </w:rPr>
            </w:r>
            <w:r w:rsidR="00BF4BCF">
              <w:rPr>
                <w:noProof/>
                <w:webHidden/>
              </w:rPr>
              <w:fldChar w:fldCharType="separate"/>
            </w:r>
            <w:r w:rsidR="00BF4BCF">
              <w:rPr>
                <w:noProof/>
                <w:webHidden/>
              </w:rPr>
              <w:t>7</w:t>
            </w:r>
            <w:r w:rsidR="00BF4BCF">
              <w:rPr>
                <w:noProof/>
                <w:webHidden/>
              </w:rPr>
              <w:fldChar w:fldCharType="end"/>
            </w:r>
          </w:hyperlink>
        </w:p>
        <w:p w:rsidR="00BF4BCF" w:rsidRDefault="00466818">
          <w:pPr>
            <w:pStyle w:val="TOC1"/>
            <w:tabs>
              <w:tab w:val="left" w:pos="600"/>
              <w:tab w:val="right" w:leader="dot" w:pos="9350"/>
            </w:tabs>
            <w:rPr>
              <w:rFonts w:asciiTheme="minorHAnsi" w:eastAsiaTheme="minorEastAsia" w:hAnsiTheme="minorHAnsi" w:cstheme="minorBidi"/>
              <w:noProof/>
              <w:sz w:val="22"/>
              <w:szCs w:val="22"/>
            </w:rPr>
          </w:pPr>
          <w:hyperlink w:anchor="_Toc532905957" w:history="1">
            <w:r w:rsidR="00BF4BCF" w:rsidRPr="00F36D7E">
              <w:rPr>
                <w:rStyle w:val="Hyperlink"/>
                <w:noProof/>
              </w:rPr>
              <w:t>III.</w:t>
            </w:r>
            <w:r w:rsidR="00BF4BCF">
              <w:rPr>
                <w:rFonts w:asciiTheme="minorHAnsi" w:eastAsiaTheme="minorEastAsia" w:hAnsiTheme="minorHAnsi" w:cstheme="minorBidi"/>
                <w:noProof/>
                <w:sz w:val="22"/>
                <w:szCs w:val="22"/>
              </w:rPr>
              <w:tab/>
            </w:r>
            <w:r w:rsidR="00BF4BCF" w:rsidRPr="00F36D7E">
              <w:rPr>
                <w:rStyle w:val="Hyperlink"/>
                <w:noProof/>
              </w:rPr>
              <w:t>Joint Petition for Partial Settlement</w:t>
            </w:r>
            <w:r w:rsidR="00BF4BCF">
              <w:rPr>
                <w:noProof/>
                <w:webHidden/>
              </w:rPr>
              <w:tab/>
            </w:r>
            <w:r w:rsidR="00BF4BCF">
              <w:rPr>
                <w:noProof/>
                <w:webHidden/>
              </w:rPr>
              <w:fldChar w:fldCharType="begin"/>
            </w:r>
            <w:r w:rsidR="00BF4BCF">
              <w:rPr>
                <w:noProof/>
                <w:webHidden/>
              </w:rPr>
              <w:instrText xml:space="preserve"> PAGEREF _Toc532905957 \h </w:instrText>
            </w:r>
            <w:r w:rsidR="00BF4BCF">
              <w:rPr>
                <w:noProof/>
                <w:webHidden/>
              </w:rPr>
            </w:r>
            <w:r w:rsidR="00BF4BCF">
              <w:rPr>
                <w:noProof/>
                <w:webHidden/>
              </w:rPr>
              <w:fldChar w:fldCharType="separate"/>
            </w:r>
            <w:r w:rsidR="00BF4BCF">
              <w:rPr>
                <w:noProof/>
                <w:webHidden/>
              </w:rPr>
              <w:t>10</w:t>
            </w:r>
            <w:r w:rsidR="00BF4BCF">
              <w:rPr>
                <w:noProof/>
                <w:webHidden/>
              </w:rPr>
              <w:fldChar w:fldCharType="end"/>
            </w:r>
          </w:hyperlink>
        </w:p>
        <w:p w:rsidR="00BF4BCF" w:rsidRDefault="00466818">
          <w:pPr>
            <w:pStyle w:val="TOC2"/>
            <w:tabs>
              <w:tab w:val="left" w:pos="800"/>
              <w:tab w:val="right" w:leader="dot" w:pos="9350"/>
            </w:tabs>
            <w:rPr>
              <w:rFonts w:asciiTheme="minorHAnsi" w:eastAsiaTheme="minorEastAsia" w:hAnsiTheme="minorHAnsi" w:cstheme="minorBidi"/>
              <w:noProof/>
              <w:sz w:val="22"/>
              <w:szCs w:val="22"/>
            </w:rPr>
          </w:pPr>
          <w:hyperlink w:anchor="_Toc532905958" w:history="1">
            <w:r w:rsidR="00BF4BCF" w:rsidRPr="00F36D7E">
              <w:rPr>
                <w:rStyle w:val="Hyperlink"/>
                <w:noProof/>
              </w:rPr>
              <w:t>A.</w:t>
            </w:r>
            <w:r w:rsidR="00BF4BCF">
              <w:rPr>
                <w:rFonts w:asciiTheme="minorHAnsi" w:eastAsiaTheme="minorEastAsia" w:hAnsiTheme="minorHAnsi" w:cstheme="minorBidi"/>
                <w:noProof/>
                <w:sz w:val="22"/>
                <w:szCs w:val="22"/>
              </w:rPr>
              <w:tab/>
            </w:r>
            <w:r w:rsidR="00BF4BCF" w:rsidRPr="00F36D7E">
              <w:rPr>
                <w:rStyle w:val="Hyperlink"/>
                <w:noProof/>
              </w:rPr>
              <w:t>Terms and Conditions of the Partial Settlement</w:t>
            </w:r>
            <w:r w:rsidR="00BF4BCF">
              <w:rPr>
                <w:noProof/>
                <w:webHidden/>
              </w:rPr>
              <w:tab/>
            </w:r>
            <w:r w:rsidR="00BF4BCF">
              <w:rPr>
                <w:noProof/>
                <w:webHidden/>
              </w:rPr>
              <w:fldChar w:fldCharType="begin"/>
            </w:r>
            <w:r w:rsidR="00BF4BCF">
              <w:rPr>
                <w:noProof/>
                <w:webHidden/>
              </w:rPr>
              <w:instrText xml:space="preserve"> PAGEREF _Toc532905958 \h </w:instrText>
            </w:r>
            <w:r w:rsidR="00BF4BCF">
              <w:rPr>
                <w:noProof/>
                <w:webHidden/>
              </w:rPr>
            </w:r>
            <w:r w:rsidR="00BF4BCF">
              <w:rPr>
                <w:noProof/>
                <w:webHidden/>
              </w:rPr>
              <w:fldChar w:fldCharType="separate"/>
            </w:r>
            <w:r w:rsidR="00BF4BCF">
              <w:rPr>
                <w:noProof/>
                <w:webHidden/>
              </w:rPr>
              <w:t>10</w:t>
            </w:r>
            <w:r w:rsidR="00BF4BCF">
              <w:rPr>
                <w:noProof/>
                <w:webHidden/>
              </w:rPr>
              <w:fldChar w:fldCharType="end"/>
            </w:r>
          </w:hyperlink>
        </w:p>
        <w:p w:rsidR="00BF4BCF" w:rsidRDefault="00466818">
          <w:pPr>
            <w:pStyle w:val="TOC2"/>
            <w:tabs>
              <w:tab w:val="left" w:pos="800"/>
              <w:tab w:val="right" w:leader="dot" w:pos="9350"/>
            </w:tabs>
            <w:rPr>
              <w:rFonts w:asciiTheme="minorHAnsi" w:eastAsiaTheme="minorEastAsia" w:hAnsiTheme="minorHAnsi" w:cstheme="minorBidi"/>
              <w:noProof/>
              <w:sz w:val="22"/>
              <w:szCs w:val="22"/>
            </w:rPr>
          </w:pPr>
          <w:hyperlink w:anchor="_Toc532905959" w:history="1">
            <w:r w:rsidR="00BF4BCF" w:rsidRPr="00F36D7E">
              <w:rPr>
                <w:rStyle w:val="Hyperlink"/>
                <w:noProof/>
              </w:rPr>
              <w:t>B.</w:t>
            </w:r>
            <w:r w:rsidR="00BF4BCF">
              <w:rPr>
                <w:rFonts w:asciiTheme="minorHAnsi" w:eastAsiaTheme="minorEastAsia" w:hAnsiTheme="minorHAnsi" w:cstheme="minorBidi"/>
                <w:noProof/>
                <w:sz w:val="22"/>
                <w:szCs w:val="22"/>
              </w:rPr>
              <w:tab/>
            </w:r>
            <w:r w:rsidR="00BF4BCF" w:rsidRPr="00F36D7E">
              <w:rPr>
                <w:rStyle w:val="Hyperlink"/>
                <w:noProof/>
              </w:rPr>
              <w:t>Highlighted Issues</w:t>
            </w:r>
            <w:r w:rsidR="00BF4BCF">
              <w:rPr>
                <w:noProof/>
                <w:webHidden/>
              </w:rPr>
              <w:tab/>
            </w:r>
            <w:r w:rsidR="00BF4BCF">
              <w:rPr>
                <w:noProof/>
                <w:webHidden/>
              </w:rPr>
              <w:fldChar w:fldCharType="begin"/>
            </w:r>
            <w:r w:rsidR="00BF4BCF">
              <w:rPr>
                <w:noProof/>
                <w:webHidden/>
              </w:rPr>
              <w:instrText xml:space="preserve"> PAGEREF _Toc532905959 \h </w:instrText>
            </w:r>
            <w:r w:rsidR="00BF4BCF">
              <w:rPr>
                <w:noProof/>
                <w:webHidden/>
              </w:rPr>
            </w:r>
            <w:r w:rsidR="00BF4BCF">
              <w:rPr>
                <w:noProof/>
                <w:webHidden/>
              </w:rPr>
              <w:fldChar w:fldCharType="separate"/>
            </w:r>
            <w:r w:rsidR="00BF4BCF">
              <w:rPr>
                <w:noProof/>
                <w:webHidden/>
              </w:rPr>
              <w:t>26</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60" w:history="1">
            <w:r w:rsidR="00BF4BCF" w:rsidRPr="00F36D7E">
              <w:rPr>
                <w:rStyle w:val="Hyperlink"/>
                <w:noProof/>
              </w:rPr>
              <w:t>1.</w:t>
            </w:r>
            <w:r w:rsidR="00BF4BCF">
              <w:rPr>
                <w:rFonts w:asciiTheme="minorHAnsi" w:eastAsiaTheme="minorEastAsia" w:hAnsiTheme="minorHAnsi" w:cstheme="minorBidi"/>
                <w:noProof/>
                <w:sz w:val="22"/>
                <w:szCs w:val="22"/>
              </w:rPr>
              <w:tab/>
            </w:r>
            <w:r w:rsidR="00BF4BCF" w:rsidRPr="00F36D7E">
              <w:rPr>
                <w:rStyle w:val="Hyperlink"/>
                <w:noProof/>
              </w:rPr>
              <w:t>Proposed Changes to Rider No. 21</w:t>
            </w:r>
            <w:r w:rsidR="00BF4BCF">
              <w:rPr>
                <w:noProof/>
                <w:webHidden/>
              </w:rPr>
              <w:tab/>
            </w:r>
            <w:r w:rsidR="00BF4BCF">
              <w:rPr>
                <w:noProof/>
                <w:webHidden/>
              </w:rPr>
              <w:fldChar w:fldCharType="begin"/>
            </w:r>
            <w:r w:rsidR="00BF4BCF">
              <w:rPr>
                <w:noProof/>
                <w:webHidden/>
              </w:rPr>
              <w:instrText xml:space="preserve"> PAGEREF _Toc532905960 \h </w:instrText>
            </w:r>
            <w:r w:rsidR="00BF4BCF">
              <w:rPr>
                <w:noProof/>
                <w:webHidden/>
              </w:rPr>
            </w:r>
            <w:r w:rsidR="00BF4BCF">
              <w:rPr>
                <w:noProof/>
                <w:webHidden/>
              </w:rPr>
              <w:fldChar w:fldCharType="separate"/>
            </w:r>
            <w:r w:rsidR="00BF4BCF">
              <w:rPr>
                <w:noProof/>
                <w:webHidden/>
              </w:rPr>
              <w:t>26</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61" w:history="1">
            <w:r w:rsidR="00BF4BCF" w:rsidRPr="00F36D7E">
              <w:rPr>
                <w:rStyle w:val="Hyperlink"/>
                <w:noProof/>
              </w:rPr>
              <w:t>2.</w:t>
            </w:r>
            <w:r w:rsidR="00BF4BCF">
              <w:rPr>
                <w:rFonts w:asciiTheme="minorHAnsi" w:eastAsiaTheme="minorEastAsia" w:hAnsiTheme="minorHAnsi" w:cstheme="minorBidi"/>
                <w:noProof/>
                <w:sz w:val="22"/>
                <w:szCs w:val="22"/>
              </w:rPr>
              <w:tab/>
            </w:r>
            <w:r w:rsidR="00BF4BCF" w:rsidRPr="00F36D7E">
              <w:rPr>
                <w:rStyle w:val="Hyperlink"/>
                <w:noProof/>
              </w:rPr>
              <w:t>Allowed Smart Meter Costs</w:t>
            </w:r>
            <w:r w:rsidR="00BF4BCF">
              <w:rPr>
                <w:noProof/>
                <w:webHidden/>
              </w:rPr>
              <w:tab/>
            </w:r>
            <w:r w:rsidR="00BF4BCF">
              <w:rPr>
                <w:noProof/>
                <w:webHidden/>
              </w:rPr>
              <w:fldChar w:fldCharType="begin"/>
            </w:r>
            <w:r w:rsidR="00BF4BCF">
              <w:rPr>
                <w:noProof/>
                <w:webHidden/>
              </w:rPr>
              <w:instrText xml:space="preserve"> PAGEREF _Toc532905961 \h </w:instrText>
            </w:r>
            <w:r w:rsidR="00BF4BCF">
              <w:rPr>
                <w:noProof/>
                <w:webHidden/>
              </w:rPr>
            </w:r>
            <w:r w:rsidR="00BF4BCF">
              <w:rPr>
                <w:noProof/>
                <w:webHidden/>
              </w:rPr>
              <w:fldChar w:fldCharType="separate"/>
            </w:r>
            <w:r w:rsidR="00BF4BCF">
              <w:rPr>
                <w:noProof/>
                <w:webHidden/>
              </w:rPr>
              <w:t>28</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62" w:history="1">
            <w:r w:rsidR="00BF4BCF" w:rsidRPr="00F36D7E">
              <w:rPr>
                <w:rStyle w:val="Hyperlink"/>
                <w:noProof/>
              </w:rPr>
              <w:t>3.</w:t>
            </w:r>
            <w:r w:rsidR="00BF4BCF">
              <w:rPr>
                <w:rFonts w:asciiTheme="minorHAnsi" w:eastAsiaTheme="minorEastAsia" w:hAnsiTheme="minorHAnsi" w:cstheme="minorBidi"/>
                <w:noProof/>
                <w:sz w:val="22"/>
                <w:szCs w:val="22"/>
              </w:rPr>
              <w:tab/>
            </w:r>
            <w:r w:rsidR="00BF4BCF" w:rsidRPr="00F36D7E">
              <w:rPr>
                <w:rStyle w:val="Hyperlink"/>
                <w:noProof/>
              </w:rPr>
              <w:t>Allocation of 2018 Tax Refund</w:t>
            </w:r>
            <w:r w:rsidR="00BF4BCF">
              <w:rPr>
                <w:noProof/>
                <w:webHidden/>
              </w:rPr>
              <w:tab/>
            </w:r>
            <w:r w:rsidR="00BF4BCF">
              <w:rPr>
                <w:noProof/>
                <w:webHidden/>
              </w:rPr>
              <w:fldChar w:fldCharType="begin"/>
            </w:r>
            <w:r w:rsidR="00BF4BCF">
              <w:rPr>
                <w:noProof/>
                <w:webHidden/>
              </w:rPr>
              <w:instrText xml:space="preserve"> PAGEREF _Toc532905962 \h </w:instrText>
            </w:r>
            <w:r w:rsidR="00BF4BCF">
              <w:rPr>
                <w:noProof/>
                <w:webHidden/>
              </w:rPr>
            </w:r>
            <w:r w:rsidR="00BF4BCF">
              <w:rPr>
                <w:noProof/>
                <w:webHidden/>
              </w:rPr>
              <w:fldChar w:fldCharType="separate"/>
            </w:r>
            <w:r w:rsidR="00BF4BCF">
              <w:rPr>
                <w:noProof/>
                <w:webHidden/>
              </w:rPr>
              <w:t>29</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63" w:history="1">
            <w:r w:rsidR="00BF4BCF" w:rsidRPr="00F36D7E">
              <w:rPr>
                <w:rStyle w:val="Hyperlink"/>
                <w:noProof/>
              </w:rPr>
              <w:t>4.</w:t>
            </w:r>
            <w:r w:rsidR="00BF4BCF">
              <w:rPr>
                <w:rFonts w:asciiTheme="minorHAnsi" w:eastAsiaTheme="minorEastAsia" w:hAnsiTheme="minorHAnsi" w:cstheme="minorBidi"/>
                <w:noProof/>
                <w:sz w:val="22"/>
                <w:szCs w:val="22"/>
              </w:rPr>
              <w:tab/>
            </w:r>
            <w:r w:rsidR="00BF4BCF" w:rsidRPr="00F36D7E">
              <w:rPr>
                <w:rStyle w:val="Hyperlink"/>
                <w:noProof/>
              </w:rPr>
              <w:t>Electric Vehicle Program</w:t>
            </w:r>
            <w:r w:rsidR="00BF4BCF">
              <w:rPr>
                <w:noProof/>
                <w:webHidden/>
              </w:rPr>
              <w:tab/>
            </w:r>
            <w:r w:rsidR="00BF4BCF">
              <w:rPr>
                <w:noProof/>
                <w:webHidden/>
              </w:rPr>
              <w:fldChar w:fldCharType="begin"/>
            </w:r>
            <w:r w:rsidR="00BF4BCF">
              <w:rPr>
                <w:noProof/>
                <w:webHidden/>
              </w:rPr>
              <w:instrText xml:space="preserve"> PAGEREF _Toc532905963 \h </w:instrText>
            </w:r>
            <w:r w:rsidR="00BF4BCF">
              <w:rPr>
                <w:noProof/>
                <w:webHidden/>
              </w:rPr>
            </w:r>
            <w:r w:rsidR="00BF4BCF">
              <w:rPr>
                <w:noProof/>
                <w:webHidden/>
              </w:rPr>
              <w:fldChar w:fldCharType="separate"/>
            </w:r>
            <w:r w:rsidR="00BF4BCF">
              <w:rPr>
                <w:noProof/>
                <w:webHidden/>
              </w:rPr>
              <w:t>31</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64" w:history="1">
            <w:r w:rsidR="00BF4BCF" w:rsidRPr="00F36D7E">
              <w:rPr>
                <w:rStyle w:val="Hyperlink"/>
                <w:noProof/>
              </w:rPr>
              <w:t>5.</w:t>
            </w:r>
            <w:r w:rsidR="00BF4BCF">
              <w:rPr>
                <w:rFonts w:asciiTheme="minorHAnsi" w:eastAsiaTheme="minorEastAsia" w:hAnsiTheme="minorHAnsi" w:cstheme="minorBidi"/>
                <w:noProof/>
                <w:sz w:val="22"/>
                <w:szCs w:val="22"/>
              </w:rPr>
              <w:tab/>
            </w:r>
            <w:r w:rsidR="00BF4BCF" w:rsidRPr="00F36D7E">
              <w:rPr>
                <w:rStyle w:val="Hyperlink"/>
                <w:noProof/>
              </w:rPr>
              <w:t>Time of Use Rates</w:t>
            </w:r>
            <w:r w:rsidR="00BF4BCF">
              <w:rPr>
                <w:noProof/>
                <w:webHidden/>
              </w:rPr>
              <w:tab/>
            </w:r>
            <w:r w:rsidR="00BF4BCF">
              <w:rPr>
                <w:noProof/>
                <w:webHidden/>
              </w:rPr>
              <w:fldChar w:fldCharType="begin"/>
            </w:r>
            <w:r w:rsidR="00BF4BCF">
              <w:rPr>
                <w:noProof/>
                <w:webHidden/>
              </w:rPr>
              <w:instrText xml:space="preserve"> PAGEREF _Toc532905964 \h </w:instrText>
            </w:r>
            <w:r w:rsidR="00BF4BCF">
              <w:rPr>
                <w:noProof/>
                <w:webHidden/>
              </w:rPr>
            </w:r>
            <w:r w:rsidR="00BF4BCF">
              <w:rPr>
                <w:noProof/>
                <w:webHidden/>
              </w:rPr>
              <w:fldChar w:fldCharType="separate"/>
            </w:r>
            <w:r w:rsidR="00BF4BCF">
              <w:rPr>
                <w:noProof/>
                <w:webHidden/>
              </w:rPr>
              <w:t>35</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65" w:history="1">
            <w:r w:rsidR="00BF4BCF" w:rsidRPr="00F36D7E">
              <w:rPr>
                <w:rStyle w:val="Hyperlink"/>
                <w:noProof/>
              </w:rPr>
              <w:t>6.</w:t>
            </w:r>
            <w:r w:rsidR="00BF4BCF">
              <w:rPr>
                <w:rFonts w:asciiTheme="minorHAnsi" w:eastAsiaTheme="minorEastAsia" w:hAnsiTheme="minorHAnsi" w:cstheme="minorBidi"/>
                <w:noProof/>
                <w:sz w:val="22"/>
                <w:szCs w:val="22"/>
              </w:rPr>
              <w:tab/>
            </w:r>
            <w:r w:rsidR="00BF4BCF" w:rsidRPr="00F36D7E">
              <w:rPr>
                <w:rStyle w:val="Hyperlink"/>
                <w:noProof/>
              </w:rPr>
              <w:t>Effect of Medical Certificate Program Changes for Ratepayers with Balances in Excess of $10,000</w:t>
            </w:r>
            <w:r w:rsidR="00BF4BCF">
              <w:rPr>
                <w:noProof/>
                <w:webHidden/>
              </w:rPr>
              <w:tab/>
            </w:r>
            <w:r w:rsidR="00BF4BCF">
              <w:rPr>
                <w:noProof/>
                <w:webHidden/>
              </w:rPr>
              <w:fldChar w:fldCharType="begin"/>
            </w:r>
            <w:r w:rsidR="00BF4BCF">
              <w:rPr>
                <w:noProof/>
                <w:webHidden/>
              </w:rPr>
              <w:instrText xml:space="preserve"> PAGEREF _Toc532905965 \h </w:instrText>
            </w:r>
            <w:r w:rsidR="00BF4BCF">
              <w:rPr>
                <w:noProof/>
                <w:webHidden/>
              </w:rPr>
            </w:r>
            <w:r w:rsidR="00BF4BCF">
              <w:rPr>
                <w:noProof/>
                <w:webHidden/>
              </w:rPr>
              <w:fldChar w:fldCharType="separate"/>
            </w:r>
            <w:r w:rsidR="00BF4BCF">
              <w:rPr>
                <w:noProof/>
                <w:webHidden/>
              </w:rPr>
              <w:t>37</w:t>
            </w:r>
            <w:r w:rsidR="00BF4BCF">
              <w:rPr>
                <w:noProof/>
                <w:webHidden/>
              </w:rPr>
              <w:fldChar w:fldCharType="end"/>
            </w:r>
          </w:hyperlink>
        </w:p>
        <w:p w:rsidR="00BF4BCF" w:rsidRDefault="00466818">
          <w:pPr>
            <w:pStyle w:val="TOC2"/>
            <w:tabs>
              <w:tab w:val="left" w:pos="800"/>
              <w:tab w:val="right" w:leader="dot" w:pos="9350"/>
            </w:tabs>
            <w:rPr>
              <w:rFonts w:asciiTheme="minorHAnsi" w:eastAsiaTheme="minorEastAsia" w:hAnsiTheme="minorHAnsi" w:cstheme="minorBidi"/>
              <w:noProof/>
              <w:sz w:val="22"/>
              <w:szCs w:val="22"/>
            </w:rPr>
          </w:pPr>
          <w:hyperlink w:anchor="_Toc532905966" w:history="1">
            <w:r w:rsidR="00BF4BCF" w:rsidRPr="00F36D7E">
              <w:rPr>
                <w:rStyle w:val="Hyperlink"/>
                <w:noProof/>
              </w:rPr>
              <w:t>C.</w:t>
            </w:r>
            <w:r w:rsidR="00BF4BCF">
              <w:rPr>
                <w:rFonts w:asciiTheme="minorHAnsi" w:eastAsiaTheme="minorEastAsia" w:hAnsiTheme="minorHAnsi" w:cstheme="minorBidi"/>
                <w:noProof/>
                <w:sz w:val="22"/>
                <w:szCs w:val="22"/>
              </w:rPr>
              <w:tab/>
            </w:r>
            <w:r w:rsidR="00BF4BCF" w:rsidRPr="00F36D7E">
              <w:rPr>
                <w:rStyle w:val="Hyperlink"/>
                <w:noProof/>
              </w:rPr>
              <w:t>ALJ’s Overall Recommendation</w:t>
            </w:r>
            <w:r w:rsidR="00BF4BCF">
              <w:rPr>
                <w:noProof/>
                <w:webHidden/>
              </w:rPr>
              <w:tab/>
            </w:r>
            <w:r w:rsidR="00BF4BCF">
              <w:rPr>
                <w:noProof/>
                <w:webHidden/>
              </w:rPr>
              <w:fldChar w:fldCharType="begin"/>
            </w:r>
            <w:r w:rsidR="00BF4BCF">
              <w:rPr>
                <w:noProof/>
                <w:webHidden/>
              </w:rPr>
              <w:instrText xml:space="preserve"> PAGEREF _Toc532905966 \h </w:instrText>
            </w:r>
            <w:r w:rsidR="00BF4BCF">
              <w:rPr>
                <w:noProof/>
                <w:webHidden/>
              </w:rPr>
            </w:r>
            <w:r w:rsidR="00BF4BCF">
              <w:rPr>
                <w:noProof/>
                <w:webHidden/>
              </w:rPr>
              <w:fldChar w:fldCharType="separate"/>
            </w:r>
            <w:r w:rsidR="00BF4BCF">
              <w:rPr>
                <w:noProof/>
                <w:webHidden/>
              </w:rPr>
              <w:t>39</w:t>
            </w:r>
            <w:r w:rsidR="00BF4BCF">
              <w:rPr>
                <w:noProof/>
                <w:webHidden/>
              </w:rPr>
              <w:fldChar w:fldCharType="end"/>
            </w:r>
          </w:hyperlink>
        </w:p>
        <w:p w:rsidR="00BF4BCF" w:rsidRDefault="00466818">
          <w:pPr>
            <w:pStyle w:val="TOC2"/>
            <w:tabs>
              <w:tab w:val="left" w:pos="800"/>
              <w:tab w:val="right" w:leader="dot" w:pos="9350"/>
            </w:tabs>
            <w:rPr>
              <w:rFonts w:asciiTheme="minorHAnsi" w:eastAsiaTheme="minorEastAsia" w:hAnsiTheme="minorHAnsi" w:cstheme="minorBidi"/>
              <w:noProof/>
              <w:sz w:val="22"/>
              <w:szCs w:val="22"/>
            </w:rPr>
          </w:pPr>
          <w:hyperlink w:anchor="_Toc532905967" w:history="1">
            <w:r w:rsidR="00BF4BCF" w:rsidRPr="00F36D7E">
              <w:rPr>
                <w:rStyle w:val="Hyperlink"/>
                <w:noProof/>
              </w:rPr>
              <w:t>D.</w:t>
            </w:r>
            <w:r w:rsidR="00BF4BCF">
              <w:rPr>
                <w:rFonts w:asciiTheme="minorHAnsi" w:eastAsiaTheme="minorEastAsia" w:hAnsiTheme="minorHAnsi" w:cstheme="minorBidi"/>
                <w:noProof/>
                <w:sz w:val="22"/>
                <w:szCs w:val="22"/>
              </w:rPr>
              <w:tab/>
            </w:r>
            <w:r w:rsidR="00BF4BCF" w:rsidRPr="00F36D7E">
              <w:rPr>
                <w:rStyle w:val="Hyperlink"/>
                <w:noProof/>
              </w:rPr>
              <w:t>Disposition</w:t>
            </w:r>
            <w:r w:rsidR="00BF4BCF">
              <w:rPr>
                <w:noProof/>
                <w:webHidden/>
              </w:rPr>
              <w:tab/>
            </w:r>
            <w:r w:rsidR="00BF4BCF">
              <w:rPr>
                <w:noProof/>
                <w:webHidden/>
              </w:rPr>
              <w:fldChar w:fldCharType="begin"/>
            </w:r>
            <w:r w:rsidR="00BF4BCF">
              <w:rPr>
                <w:noProof/>
                <w:webHidden/>
              </w:rPr>
              <w:instrText xml:space="preserve"> PAGEREF _Toc532905967 \h </w:instrText>
            </w:r>
            <w:r w:rsidR="00BF4BCF">
              <w:rPr>
                <w:noProof/>
                <w:webHidden/>
              </w:rPr>
            </w:r>
            <w:r w:rsidR="00BF4BCF">
              <w:rPr>
                <w:noProof/>
                <w:webHidden/>
              </w:rPr>
              <w:fldChar w:fldCharType="separate"/>
            </w:r>
            <w:r w:rsidR="00BF4BCF">
              <w:rPr>
                <w:noProof/>
                <w:webHidden/>
              </w:rPr>
              <w:t>39</w:t>
            </w:r>
            <w:r w:rsidR="00BF4BCF">
              <w:rPr>
                <w:noProof/>
                <w:webHidden/>
              </w:rPr>
              <w:fldChar w:fldCharType="end"/>
            </w:r>
          </w:hyperlink>
        </w:p>
        <w:p w:rsidR="00BF4BCF" w:rsidRDefault="00466818">
          <w:pPr>
            <w:pStyle w:val="TOC1"/>
            <w:tabs>
              <w:tab w:val="left" w:pos="600"/>
              <w:tab w:val="right" w:leader="dot" w:pos="9350"/>
            </w:tabs>
            <w:rPr>
              <w:rFonts w:asciiTheme="minorHAnsi" w:eastAsiaTheme="minorEastAsia" w:hAnsiTheme="minorHAnsi" w:cstheme="minorBidi"/>
              <w:noProof/>
              <w:sz w:val="22"/>
              <w:szCs w:val="22"/>
            </w:rPr>
          </w:pPr>
          <w:hyperlink w:anchor="_Toc532905968" w:history="1">
            <w:r w:rsidR="00BF4BCF" w:rsidRPr="00F36D7E">
              <w:rPr>
                <w:rStyle w:val="Hyperlink"/>
                <w:noProof/>
              </w:rPr>
              <w:t>IV.</w:t>
            </w:r>
            <w:r w:rsidR="00BF4BCF">
              <w:rPr>
                <w:rFonts w:asciiTheme="minorHAnsi" w:eastAsiaTheme="minorEastAsia" w:hAnsiTheme="minorHAnsi" w:cstheme="minorBidi"/>
                <w:noProof/>
                <w:sz w:val="22"/>
                <w:szCs w:val="22"/>
              </w:rPr>
              <w:tab/>
            </w:r>
            <w:r w:rsidR="00BF4BCF" w:rsidRPr="00F36D7E">
              <w:rPr>
                <w:rStyle w:val="Hyperlink"/>
                <w:noProof/>
              </w:rPr>
              <w:t>Rider No. 16</w:t>
            </w:r>
            <w:r w:rsidR="00BF4BCF">
              <w:rPr>
                <w:noProof/>
                <w:webHidden/>
              </w:rPr>
              <w:tab/>
            </w:r>
            <w:r w:rsidR="00BF4BCF">
              <w:rPr>
                <w:noProof/>
                <w:webHidden/>
              </w:rPr>
              <w:fldChar w:fldCharType="begin"/>
            </w:r>
            <w:r w:rsidR="00BF4BCF">
              <w:rPr>
                <w:noProof/>
                <w:webHidden/>
              </w:rPr>
              <w:instrText xml:space="preserve"> PAGEREF _Toc532905968 \h </w:instrText>
            </w:r>
            <w:r w:rsidR="00BF4BCF">
              <w:rPr>
                <w:noProof/>
                <w:webHidden/>
              </w:rPr>
            </w:r>
            <w:r w:rsidR="00BF4BCF">
              <w:rPr>
                <w:noProof/>
                <w:webHidden/>
              </w:rPr>
              <w:fldChar w:fldCharType="separate"/>
            </w:r>
            <w:r w:rsidR="00BF4BCF">
              <w:rPr>
                <w:noProof/>
                <w:webHidden/>
              </w:rPr>
              <w:t>42</w:t>
            </w:r>
            <w:r w:rsidR="00BF4BCF">
              <w:rPr>
                <w:noProof/>
                <w:webHidden/>
              </w:rPr>
              <w:fldChar w:fldCharType="end"/>
            </w:r>
          </w:hyperlink>
        </w:p>
        <w:p w:rsidR="00BF4BCF" w:rsidRDefault="00466818">
          <w:pPr>
            <w:pStyle w:val="TOC2"/>
            <w:tabs>
              <w:tab w:val="left" w:pos="800"/>
              <w:tab w:val="right" w:leader="dot" w:pos="9350"/>
            </w:tabs>
            <w:rPr>
              <w:rFonts w:asciiTheme="minorHAnsi" w:eastAsiaTheme="minorEastAsia" w:hAnsiTheme="minorHAnsi" w:cstheme="minorBidi"/>
              <w:noProof/>
              <w:sz w:val="22"/>
              <w:szCs w:val="22"/>
            </w:rPr>
          </w:pPr>
          <w:hyperlink w:anchor="_Toc532905969" w:history="1">
            <w:r w:rsidR="00BF4BCF" w:rsidRPr="00F36D7E">
              <w:rPr>
                <w:rStyle w:val="Hyperlink"/>
                <w:noProof/>
              </w:rPr>
              <w:t>A.</w:t>
            </w:r>
            <w:r w:rsidR="00BF4BCF">
              <w:rPr>
                <w:rFonts w:asciiTheme="minorHAnsi" w:eastAsiaTheme="minorEastAsia" w:hAnsiTheme="minorHAnsi" w:cstheme="minorBidi"/>
                <w:noProof/>
                <w:sz w:val="22"/>
                <w:szCs w:val="22"/>
              </w:rPr>
              <w:tab/>
            </w:r>
            <w:r w:rsidR="00BF4BCF" w:rsidRPr="00F36D7E">
              <w:rPr>
                <w:rStyle w:val="Hyperlink"/>
                <w:noProof/>
              </w:rPr>
              <w:t>Burden of Proof</w:t>
            </w:r>
            <w:r w:rsidR="00BF4BCF">
              <w:rPr>
                <w:noProof/>
                <w:webHidden/>
              </w:rPr>
              <w:tab/>
            </w:r>
            <w:r w:rsidR="00BF4BCF">
              <w:rPr>
                <w:noProof/>
                <w:webHidden/>
              </w:rPr>
              <w:fldChar w:fldCharType="begin"/>
            </w:r>
            <w:r w:rsidR="00BF4BCF">
              <w:rPr>
                <w:noProof/>
                <w:webHidden/>
              </w:rPr>
              <w:instrText xml:space="preserve"> PAGEREF _Toc532905969 \h </w:instrText>
            </w:r>
            <w:r w:rsidR="00BF4BCF">
              <w:rPr>
                <w:noProof/>
                <w:webHidden/>
              </w:rPr>
            </w:r>
            <w:r w:rsidR="00BF4BCF">
              <w:rPr>
                <w:noProof/>
                <w:webHidden/>
              </w:rPr>
              <w:fldChar w:fldCharType="separate"/>
            </w:r>
            <w:r w:rsidR="00BF4BCF">
              <w:rPr>
                <w:noProof/>
                <w:webHidden/>
              </w:rPr>
              <w:t>42</w:t>
            </w:r>
            <w:r w:rsidR="00BF4BCF">
              <w:rPr>
                <w:noProof/>
                <w:webHidden/>
              </w:rPr>
              <w:fldChar w:fldCharType="end"/>
            </w:r>
          </w:hyperlink>
        </w:p>
        <w:p w:rsidR="00BF4BCF" w:rsidRDefault="00466818">
          <w:pPr>
            <w:pStyle w:val="TOC2"/>
            <w:tabs>
              <w:tab w:val="left" w:pos="800"/>
              <w:tab w:val="right" w:leader="dot" w:pos="9350"/>
            </w:tabs>
            <w:rPr>
              <w:rFonts w:asciiTheme="minorHAnsi" w:eastAsiaTheme="minorEastAsia" w:hAnsiTheme="minorHAnsi" w:cstheme="minorBidi"/>
              <w:noProof/>
              <w:sz w:val="22"/>
              <w:szCs w:val="22"/>
            </w:rPr>
          </w:pPr>
          <w:hyperlink w:anchor="_Toc532905970" w:history="1">
            <w:r w:rsidR="00BF4BCF" w:rsidRPr="00F36D7E">
              <w:rPr>
                <w:rStyle w:val="Hyperlink"/>
                <w:noProof/>
              </w:rPr>
              <w:t>B.</w:t>
            </w:r>
            <w:r w:rsidR="00BF4BCF">
              <w:rPr>
                <w:rFonts w:asciiTheme="minorHAnsi" w:eastAsiaTheme="minorEastAsia" w:hAnsiTheme="minorHAnsi" w:cstheme="minorBidi"/>
                <w:noProof/>
                <w:sz w:val="22"/>
                <w:szCs w:val="22"/>
              </w:rPr>
              <w:tab/>
            </w:r>
            <w:r w:rsidR="00BF4BCF" w:rsidRPr="00F36D7E">
              <w:rPr>
                <w:rStyle w:val="Hyperlink"/>
                <w:noProof/>
              </w:rPr>
              <w:t>Rider No. 16 – Service to Non-Utility Generating Facilities</w:t>
            </w:r>
            <w:r w:rsidR="00BF4BCF">
              <w:rPr>
                <w:noProof/>
                <w:webHidden/>
              </w:rPr>
              <w:tab/>
            </w:r>
            <w:r w:rsidR="00BF4BCF">
              <w:rPr>
                <w:noProof/>
                <w:webHidden/>
              </w:rPr>
              <w:fldChar w:fldCharType="begin"/>
            </w:r>
            <w:r w:rsidR="00BF4BCF">
              <w:rPr>
                <w:noProof/>
                <w:webHidden/>
              </w:rPr>
              <w:instrText xml:space="preserve"> PAGEREF _Toc532905970 \h </w:instrText>
            </w:r>
            <w:r w:rsidR="00BF4BCF">
              <w:rPr>
                <w:noProof/>
                <w:webHidden/>
              </w:rPr>
            </w:r>
            <w:r w:rsidR="00BF4BCF">
              <w:rPr>
                <w:noProof/>
                <w:webHidden/>
              </w:rPr>
              <w:fldChar w:fldCharType="separate"/>
            </w:r>
            <w:r w:rsidR="00BF4BCF">
              <w:rPr>
                <w:noProof/>
                <w:webHidden/>
              </w:rPr>
              <w:t>44</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71" w:history="1">
            <w:r w:rsidR="00BF4BCF" w:rsidRPr="00F36D7E">
              <w:rPr>
                <w:rStyle w:val="Hyperlink"/>
                <w:noProof/>
              </w:rPr>
              <w:t>1.</w:t>
            </w:r>
            <w:r w:rsidR="00BF4BCF">
              <w:rPr>
                <w:rFonts w:asciiTheme="minorHAnsi" w:eastAsiaTheme="minorEastAsia" w:hAnsiTheme="minorHAnsi" w:cstheme="minorBidi"/>
                <w:noProof/>
                <w:sz w:val="22"/>
                <w:szCs w:val="22"/>
              </w:rPr>
              <w:tab/>
            </w:r>
            <w:r w:rsidR="00BF4BCF" w:rsidRPr="00F36D7E">
              <w:rPr>
                <w:rStyle w:val="Hyperlink"/>
                <w:noProof/>
              </w:rPr>
              <w:t>Background</w:t>
            </w:r>
            <w:r w:rsidR="00BF4BCF">
              <w:rPr>
                <w:noProof/>
                <w:webHidden/>
              </w:rPr>
              <w:tab/>
            </w:r>
            <w:r w:rsidR="00BF4BCF">
              <w:rPr>
                <w:noProof/>
                <w:webHidden/>
              </w:rPr>
              <w:fldChar w:fldCharType="begin"/>
            </w:r>
            <w:r w:rsidR="00BF4BCF">
              <w:rPr>
                <w:noProof/>
                <w:webHidden/>
              </w:rPr>
              <w:instrText xml:space="preserve"> PAGEREF _Toc532905971 \h </w:instrText>
            </w:r>
            <w:r w:rsidR="00BF4BCF">
              <w:rPr>
                <w:noProof/>
                <w:webHidden/>
              </w:rPr>
            </w:r>
            <w:r w:rsidR="00BF4BCF">
              <w:rPr>
                <w:noProof/>
                <w:webHidden/>
              </w:rPr>
              <w:fldChar w:fldCharType="separate"/>
            </w:r>
            <w:r w:rsidR="00BF4BCF">
              <w:rPr>
                <w:noProof/>
                <w:webHidden/>
              </w:rPr>
              <w:t>44</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72" w:history="1">
            <w:r w:rsidR="00BF4BCF" w:rsidRPr="00F36D7E">
              <w:rPr>
                <w:rStyle w:val="Hyperlink"/>
                <w:noProof/>
              </w:rPr>
              <w:t>2.</w:t>
            </w:r>
            <w:r w:rsidR="00BF4BCF">
              <w:rPr>
                <w:rFonts w:asciiTheme="minorHAnsi" w:eastAsiaTheme="minorEastAsia" w:hAnsiTheme="minorHAnsi" w:cstheme="minorBidi"/>
                <w:noProof/>
                <w:sz w:val="22"/>
                <w:szCs w:val="22"/>
              </w:rPr>
              <w:tab/>
            </w:r>
            <w:r w:rsidR="00BF4BCF" w:rsidRPr="00F36D7E">
              <w:rPr>
                <w:rStyle w:val="Hyperlink"/>
                <w:noProof/>
              </w:rPr>
              <w:t>Memorandum of Understanding Between Duquesne Light Company and Duquesne University</w:t>
            </w:r>
            <w:r w:rsidR="00BF4BCF">
              <w:rPr>
                <w:noProof/>
                <w:webHidden/>
              </w:rPr>
              <w:tab/>
            </w:r>
            <w:r w:rsidR="00BF4BCF">
              <w:rPr>
                <w:noProof/>
                <w:webHidden/>
              </w:rPr>
              <w:fldChar w:fldCharType="begin"/>
            </w:r>
            <w:r w:rsidR="00BF4BCF">
              <w:rPr>
                <w:noProof/>
                <w:webHidden/>
              </w:rPr>
              <w:instrText xml:space="preserve"> PAGEREF _Toc532905972 \h </w:instrText>
            </w:r>
            <w:r w:rsidR="00BF4BCF">
              <w:rPr>
                <w:noProof/>
                <w:webHidden/>
              </w:rPr>
            </w:r>
            <w:r w:rsidR="00BF4BCF">
              <w:rPr>
                <w:noProof/>
                <w:webHidden/>
              </w:rPr>
              <w:fldChar w:fldCharType="separate"/>
            </w:r>
            <w:r w:rsidR="00BF4BCF">
              <w:rPr>
                <w:noProof/>
                <w:webHidden/>
              </w:rPr>
              <w:t>46</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73" w:history="1">
            <w:r w:rsidR="00BF4BCF" w:rsidRPr="00F36D7E">
              <w:rPr>
                <w:rStyle w:val="Hyperlink"/>
                <w:noProof/>
              </w:rPr>
              <w:t>3.</w:t>
            </w:r>
            <w:r w:rsidR="00BF4BCF">
              <w:rPr>
                <w:rFonts w:asciiTheme="minorHAnsi" w:eastAsiaTheme="minorEastAsia" w:hAnsiTheme="minorHAnsi" w:cstheme="minorBidi"/>
                <w:noProof/>
                <w:sz w:val="22"/>
                <w:szCs w:val="22"/>
              </w:rPr>
              <w:tab/>
            </w:r>
            <w:r w:rsidR="00BF4BCF" w:rsidRPr="00F36D7E">
              <w:rPr>
                <w:rStyle w:val="Hyperlink"/>
                <w:noProof/>
              </w:rPr>
              <w:t>Positions of the Parties</w:t>
            </w:r>
            <w:r w:rsidR="00BF4BCF">
              <w:rPr>
                <w:noProof/>
                <w:webHidden/>
              </w:rPr>
              <w:tab/>
            </w:r>
            <w:r w:rsidR="00BF4BCF">
              <w:rPr>
                <w:noProof/>
                <w:webHidden/>
              </w:rPr>
              <w:fldChar w:fldCharType="begin"/>
            </w:r>
            <w:r w:rsidR="00BF4BCF">
              <w:rPr>
                <w:noProof/>
                <w:webHidden/>
              </w:rPr>
              <w:instrText xml:space="preserve"> PAGEREF _Toc532905973 \h </w:instrText>
            </w:r>
            <w:r w:rsidR="00BF4BCF">
              <w:rPr>
                <w:noProof/>
                <w:webHidden/>
              </w:rPr>
            </w:r>
            <w:r w:rsidR="00BF4BCF">
              <w:rPr>
                <w:noProof/>
                <w:webHidden/>
              </w:rPr>
              <w:fldChar w:fldCharType="separate"/>
            </w:r>
            <w:r w:rsidR="00BF4BCF">
              <w:rPr>
                <w:noProof/>
                <w:webHidden/>
              </w:rPr>
              <w:t>47</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74" w:history="1">
            <w:r w:rsidR="00BF4BCF" w:rsidRPr="00F36D7E">
              <w:rPr>
                <w:rStyle w:val="Hyperlink"/>
                <w:noProof/>
              </w:rPr>
              <w:t>4.</w:t>
            </w:r>
            <w:r w:rsidR="00BF4BCF">
              <w:rPr>
                <w:rFonts w:asciiTheme="minorHAnsi" w:eastAsiaTheme="minorEastAsia" w:hAnsiTheme="minorHAnsi" w:cstheme="minorBidi"/>
                <w:noProof/>
                <w:sz w:val="22"/>
                <w:szCs w:val="22"/>
              </w:rPr>
              <w:tab/>
            </w:r>
            <w:r w:rsidR="00BF4BCF" w:rsidRPr="00F36D7E">
              <w:rPr>
                <w:rStyle w:val="Hyperlink"/>
                <w:noProof/>
              </w:rPr>
              <w:t>ALJ’s Recommendation</w:t>
            </w:r>
            <w:r w:rsidR="00BF4BCF">
              <w:rPr>
                <w:noProof/>
                <w:webHidden/>
              </w:rPr>
              <w:tab/>
            </w:r>
            <w:r w:rsidR="00BF4BCF">
              <w:rPr>
                <w:noProof/>
                <w:webHidden/>
              </w:rPr>
              <w:fldChar w:fldCharType="begin"/>
            </w:r>
            <w:r w:rsidR="00BF4BCF">
              <w:rPr>
                <w:noProof/>
                <w:webHidden/>
              </w:rPr>
              <w:instrText xml:space="preserve"> PAGEREF _Toc532905974 \h </w:instrText>
            </w:r>
            <w:r w:rsidR="00BF4BCF">
              <w:rPr>
                <w:noProof/>
                <w:webHidden/>
              </w:rPr>
            </w:r>
            <w:r w:rsidR="00BF4BCF">
              <w:rPr>
                <w:noProof/>
                <w:webHidden/>
              </w:rPr>
              <w:fldChar w:fldCharType="separate"/>
            </w:r>
            <w:r w:rsidR="00BF4BCF">
              <w:rPr>
                <w:noProof/>
                <w:webHidden/>
              </w:rPr>
              <w:t>48</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75" w:history="1">
            <w:r w:rsidR="00BF4BCF" w:rsidRPr="00F36D7E">
              <w:rPr>
                <w:rStyle w:val="Hyperlink"/>
                <w:noProof/>
              </w:rPr>
              <w:t>5.</w:t>
            </w:r>
            <w:r w:rsidR="00BF4BCF">
              <w:rPr>
                <w:rFonts w:asciiTheme="minorHAnsi" w:eastAsiaTheme="minorEastAsia" w:hAnsiTheme="minorHAnsi" w:cstheme="minorBidi"/>
                <w:noProof/>
                <w:sz w:val="22"/>
                <w:szCs w:val="22"/>
              </w:rPr>
              <w:tab/>
            </w:r>
            <w:r w:rsidR="00BF4BCF" w:rsidRPr="00F36D7E">
              <w:rPr>
                <w:rStyle w:val="Hyperlink"/>
                <w:noProof/>
              </w:rPr>
              <w:t>Duquesne’s Exception No. 1 Regarding the Burden of Proof</w:t>
            </w:r>
            <w:r w:rsidR="00BF4BCF">
              <w:rPr>
                <w:noProof/>
                <w:webHidden/>
              </w:rPr>
              <w:tab/>
            </w:r>
            <w:r w:rsidR="00BF4BCF">
              <w:rPr>
                <w:noProof/>
                <w:webHidden/>
              </w:rPr>
              <w:fldChar w:fldCharType="begin"/>
            </w:r>
            <w:r w:rsidR="00BF4BCF">
              <w:rPr>
                <w:noProof/>
                <w:webHidden/>
              </w:rPr>
              <w:instrText xml:space="preserve"> PAGEREF _Toc532905975 \h </w:instrText>
            </w:r>
            <w:r w:rsidR="00BF4BCF">
              <w:rPr>
                <w:noProof/>
                <w:webHidden/>
              </w:rPr>
            </w:r>
            <w:r w:rsidR="00BF4BCF">
              <w:rPr>
                <w:noProof/>
                <w:webHidden/>
              </w:rPr>
              <w:fldChar w:fldCharType="separate"/>
            </w:r>
            <w:r w:rsidR="00BF4BCF">
              <w:rPr>
                <w:noProof/>
                <w:webHidden/>
              </w:rPr>
              <w:t>49</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76" w:history="1">
            <w:r w:rsidR="00BF4BCF" w:rsidRPr="00F36D7E">
              <w:rPr>
                <w:rStyle w:val="Hyperlink"/>
                <w:noProof/>
              </w:rPr>
              <w:t xml:space="preserve">6. </w:t>
            </w:r>
            <w:r w:rsidR="00BF4BCF">
              <w:rPr>
                <w:rFonts w:asciiTheme="minorHAnsi" w:eastAsiaTheme="minorEastAsia" w:hAnsiTheme="minorHAnsi" w:cstheme="minorBidi"/>
                <w:noProof/>
                <w:sz w:val="22"/>
                <w:szCs w:val="22"/>
              </w:rPr>
              <w:tab/>
            </w:r>
            <w:r w:rsidR="00BF4BCF" w:rsidRPr="00F36D7E">
              <w:rPr>
                <w:rStyle w:val="Hyperlink"/>
                <w:noProof/>
              </w:rPr>
              <w:t>Duquesne’s Exception No. 2 Regarding the “As Used” Basis for  Rider No. 16</w:t>
            </w:r>
            <w:r w:rsidR="00BF4BCF">
              <w:rPr>
                <w:noProof/>
                <w:webHidden/>
              </w:rPr>
              <w:tab/>
            </w:r>
            <w:r w:rsidR="00BF4BCF">
              <w:rPr>
                <w:noProof/>
                <w:webHidden/>
              </w:rPr>
              <w:fldChar w:fldCharType="begin"/>
            </w:r>
            <w:r w:rsidR="00BF4BCF">
              <w:rPr>
                <w:noProof/>
                <w:webHidden/>
              </w:rPr>
              <w:instrText xml:space="preserve"> PAGEREF _Toc532905976 \h </w:instrText>
            </w:r>
            <w:r w:rsidR="00BF4BCF">
              <w:rPr>
                <w:noProof/>
                <w:webHidden/>
              </w:rPr>
            </w:r>
            <w:r w:rsidR="00BF4BCF">
              <w:rPr>
                <w:noProof/>
                <w:webHidden/>
              </w:rPr>
              <w:fldChar w:fldCharType="separate"/>
            </w:r>
            <w:r w:rsidR="00BF4BCF">
              <w:rPr>
                <w:noProof/>
                <w:webHidden/>
              </w:rPr>
              <w:t>52</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77" w:history="1">
            <w:r w:rsidR="00BF4BCF" w:rsidRPr="00F36D7E">
              <w:rPr>
                <w:rStyle w:val="Hyperlink"/>
                <w:noProof/>
              </w:rPr>
              <w:t xml:space="preserve">7. </w:t>
            </w:r>
            <w:r w:rsidR="00BF4BCF">
              <w:rPr>
                <w:rFonts w:asciiTheme="minorHAnsi" w:eastAsiaTheme="minorEastAsia" w:hAnsiTheme="minorHAnsi" w:cstheme="minorBidi"/>
                <w:noProof/>
                <w:sz w:val="22"/>
                <w:szCs w:val="22"/>
              </w:rPr>
              <w:tab/>
            </w:r>
            <w:r w:rsidR="00BF4BCF" w:rsidRPr="00F36D7E">
              <w:rPr>
                <w:rStyle w:val="Hyperlink"/>
                <w:noProof/>
              </w:rPr>
              <w:t>Duquesne’s Exception No. 3 Regarding DII’s Proposed Rider No. 16 Rate</w:t>
            </w:r>
            <w:r w:rsidR="00BF4BCF">
              <w:rPr>
                <w:noProof/>
                <w:webHidden/>
              </w:rPr>
              <w:tab/>
            </w:r>
            <w:r w:rsidR="00BF4BCF">
              <w:rPr>
                <w:noProof/>
                <w:webHidden/>
              </w:rPr>
              <w:fldChar w:fldCharType="begin"/>
            </w:r>
            <w:r w:rsidR="00BF4BCF">
              <w:rPr>
                <w:noProof/>
                <w:webHidden/>
              </w:rPr>
              <w:instrText xml:space="preserve"> PAGEREF _Toc532905977 \h </w:instrText>
            </w:r>
            <w:r w:rsidR="00BF4BCF">
              <w:rPr>
                <w:noProof/>
                <w:webHidden/>
              </w:rPr>
            </w:r>
            <w:r w:rsidR="00BF4BCF">
              <w:rPr>
                <w:noProof/>
                <w:webHidden/>
              </w:rPr>
              <w:fldChar w:fldCharType="separate"/>
            </w:r>
            <w:r w:rsidR="00BF4BCF">
              <w:rPr>
                <w:noProof/>
                <w:webHidden/>
              </w:rPr>
              <w:t>54</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78" w:history="1">
            <w:r w:rsidR="00BF4BCF" w:rsidRPr="00F36D7E">
              <w:rPr>
                <w:rStyle w:val="Hyperlink"/>
                <w:noProof/>
              </w:rPr>
              <w:t xml:space="preserve">8. </w:t>
            </w:r>
            <w:r w:rsidR="00BF4BCF">
              <w:rPr>
                <w:rFonts w:asciiTheme="minorHAnsi" w:eastAsiaTheme="minorEastAsia" w:hAnsiTheme="minorHAnsi" w:cstheme="minorBidi"/>
                <w:noProof/>
                <w:sz w:val="22"/>
                <w:szCs w:val="22"/>
              </w:rPr>
              <w:tab/>
            </w:r>
            <w:r w:rsidR="00BF4BCF" w:rsidRPr="00F36D7E">
              <w:rPr>
                <w:rStyle w:val="Hyperlink"/>
                <w:noProof/>
              </w:rPr>
              <w:t>Duquesne’s Exception No. 4 Regarding the Record Evidence for the Rider No. 16 Rate</w:t>
            </w:r>
            <w:r w:rsidR="00BF4BCF">
              <w:rPr>
                <w:noProof/>
                <w:webHidden/>
              </w:rPr>
              <w:tab/>
            </w:r>
            <w:r w:rsidR="00BF4BCF">
              <w:rPr>
                <w:noProof/>
                <w:webHidden/>
              </w:rPr>
              <w:fldChar w:fldCharType="begin"/>
            </w:r>
            <w:r w:rsidR="00BF4BCF">
              <w:rPr>
                <w:noProof/>
                <w:webHidden/>
              </w:rPr>
              <w:instrText xml:space="preserve"> PAGEREF _Toc532905978 \h </w:instrText>
            </w:r>
            <w:r w:rsidR="00BF4BCF">
              <w:rPr>
                <w:noProof/>
                <w:webHidden/>
              </w:rPr>
            </w:r>
            <w:r w:rsidR="00BF4BCF">
              <w:rPr>
                <w:noProof/>
                <w:webHidden/>
              </w:rPr>
              <w:fldChar w:fldCharType="separate"/>
            </w:r>
            <w:r w:rsidR="00BF4BCF">
              <w:rPr>
                <w:noProof/>
                <w:webHidden/>
              </w:rPr>
              <w:t>58</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79" w:history="1">
            <w:r w:rsidR="00BF4BCF" w:rsidRPr="00F36D7E">
              <w:rPr>
                <w:rStyle w:val="Hyperlink"/>
                <w:noProof/>
              </w:rPr>
              <w:t>9.</w:t>
            </w:r>
            <w:r w:rsidR="00BF4BCF">
              <w:rPr>
                <w:rFonts w:asciiTheme="minorHAnsi" w:eastAsiaTheme="minorEastAsia" w:hAnsiTheme="minorHAnsi" w:cstheme="minorBidi"/>
                <w:noProof/>
                <w:sz w:val="22"/>
                <w:szCs w:val="22"/>
              </w:rPr>
              <w:tab/>
            </w:r>
            <w:r w:rsidR="00BF4BCF" w:rsidRPr="00F36D7E">
              <w:rPr>
                <w:rStyle w:val="Hyperlink"/>
                <w:noProof/>
              </w:rPr>
              <w:t>Duquesne’s Exception No. 5 Regarding a Separate Class for Rider No. 16 Customers</w:t>
            </w:r>
            <w:r w:rsidR="00BF4BCF">
              <w:rPr>
                <w:noProof/>
                <w:webHidden/>
              </w:rPr>
              <w:tab/>
            </w:r>
            <w:r w:rsidR="00BF4BCF">
              <w:rPr>
                <w:noProof/>
                <w:webHidden/>
              </w:rPr>
              <w:fldChar w:fldCharType="begin"/>
            </w:r>
            <w:r w:rsidR="00BF4BCF">
              <w:rPr>
                <w:noProof/>
                <w:webHidden/>
              </w:rPr>
              <w:instrText xml:space="preserve"> PAGEREF _Toc532905979 \h </w:instrText>
            </w:r>
            <w:r w:rsidR="00BF4BCF">
              <w:rPr>
                <w:noProof/>
                <w:webHidden/>
              </w:rPr>
            </w:r>
            <w:r w:rsidR="00BF4BCF">
              <w:rPr>
                <w:noProof/>
                <w:webHidden/>
              </w:rPr>
              <w:fldChar w:fldCharType="separate"/>
            </w:r>
            <w:r w:rsidR="00BF4BCF">
              <w:rPr>
                <w:noProof/>
                <w:webHidden/>
              </w:rPr>
              <w:t>63</w:t>
            </w:r>
            <w:r w:rsidR="00BF4BCF">
              <w:rPr>
                <w:noProof/>
                <w:webHidden/>
              </w:rPr>
              <w:fldChar w:fldCharType="end"/>
            </w:r>
          </w:hyperlink>
        </w:p>
        <w:p w:rsidR="00BF4BCF" w:rsidRDefault="00466818">
          <w:pPr>
            <w:pStyle w:val="TOC3"/>
            <w:tabs>
              <w:tab w:val="left" w:pos="1100"/>
              <w:tab w:val="right" w:leader="dot" w:pos="9350"/>
            </w:tabs>
            <w:rPr>
              <w:rFonts w:asciiTheme="minorHAnsi" w:eastAsiaTheme="minorEastAsia" w:hAnsiTheme="minorHAnsi" w:cstheme="minorBidi"/>
              <w:noProof/>
              <w:sz w:val="22"/>
              <w:szCs w:val="22"/>
            </w:rPr>
          </w:pPr>
          <w:hyperlink w:anchor="_Toc532905980" w:history="1">
            <w:r w:rsidR="00BF4BCF" w:rsidRPr="00F36D7E">
              <w:rPr>
                <w:rStyle w:val="Hyperlink"/>
                <w:noProof/>
              </w:rPr>
              <w:t xml:space="preserve">10. </w:t>
            </w:r>
            <w:r w:rsidR="00BF4BCF">
              <w:rPr>
                <w:rFonts w:asciiTheme="minorHAnsi" w:eastAsiaTheme="minorEastAsia" w:hAnsiTheme="minorHAnsi" w:cstheme="minorBidi"/>
                <w:noProof/>
                <w:sz w:val="22"/>
                <w:szCs w:val="22"/>
              </w:rPr>
              <w:tab/>
            </w:r>
            <w:r w:rsidR="00BF4BCF" w:rsidRPr="00F36D7E">
              <w:rPr>
                <w:rStyle w:val="Hyperlink"/>
                <w:noProof/>
              </w:rPr>
              <w:t>DII’s Exception No. 1 Regarding a Separate Maintenance Rate</w:t>
            </w:r>
            <w:r w:rsidR="00BF4BCF">
              <w:rPr>
                <w:noProof/>
                <w:webHidden/>
              </w:rPr>
              <w:tab/>
            </w:r>
            <w:r w:rsidR="00BF4BCF">
              <w:rPr>
                <w:noProof/>
                <w:webHidden/>
              </w:rPr>
              <w:fldChar w:fldCharType="begin"/>
            </w:r>
            <w:r w:rsidR="00BF4BCF">
              <w:rPr>
                <w:noProof/>
                <w:webHidden/>
              </w:rPr>
              <w:instrText xml:space="preserve"> PAGEREF _Toc532905980 \h </w:instrText>
            </w:r>
            <w:r w:rsidR="00BF4BCF">
              <w:rPr>
                <w:noProof/>
                <w:webHidden/>
              </w:rPr>
            </w:r>
            <w:r w:rsidR="00BF4BCF">
              <w:rPr>
                <w:noProof/>
                <w:webHidden/>
              </w:rPr>
              <w:fldChar w:fldCharType="separate"/>
            </w:r>
            <w:r w:rsidR="00BF4BCF">
              <w:rPr>
                <w:noProof/>
                <w:webHidden/>
              </w:rPr>
              <w:t>64</w:t>
            </w:r>
            <w:r w:rsidR="00BF4BCF">
              <w:rPr>
                <w:noProof/>
                <w:webHidden/>
              </w:rPr>
              <w:fldChar w:fldCharType="end"/>
            </w:r>
          </w:hyperlink>
        </w:p>
        <w:p w:rsidR="00D068F4" w:rsidRDefault="00466818" w:rsidP="00BF4BCF">
          <w:pPr>
            <w:pStyle w:val="TOC1"/>
            <w:tabs>
              <w:tab w:val="left" w:pos="600"/>
              <w:tab w:val="right" w:leader="dot" w:pos="9350"/>
            </w:tabs>
          </w:pPr>
          <w:hyperlink w:anchor="_Toc532905981" w:history="1">
            <w:r w:rsidR="00BF4BCF" w:rsidRPr="00F36D7E">
              <w:rPr>
                <w:rStyle w:val="Hyperlink"/>
                <w:noProof/>
              </w:rPr>
              <w:t>V.</w:t>
            </w:r>
            <w:r w:rsidR="00BF4BCF">
              <w:rPr>
                <w:rFonts w:asciiTheme="minorHAnsi" w:eastAsiaTheme="minorEastAsia" w:hAnsiTheme="minorHAnsi" w:cstheme="minorBidi"/>
                <w:noProof/>
                <w:sz w:val="22"/>
                <w:szCs w:val="22"/>
              </w:rPr>
              <w:tab/>
            </w:r>
            <w:r w:rsidR="00BF4BCF" w:rsidRPr="00F36D7E">
              <w:rPr>
                <w:rStyle w:val="Hyperlink"/>
                <w:noProof/>
              </w:rPr>
              <w:t>Conclusion</w:t>
            </w:r>
            <w:r w:rsidR="00BF4BCF">
              <w:rPr>
                <w:noProof/>
                <w:webHidden/>
              </w:rPr>
              <w:tab/>
            </w:r>
            <w:r w:rsidR="00BF4BCF">
              <w:rPr>
                <w:noProof/>
                <w:webHidden/>
              </w:rPr>
              <w:fldChar w:fldCharType="begin"/>
            </w:r>
            <w:r w:rsidR="00BF4BCF">
              <w:rPr>
                <w:noProof/>
                <w:webHidden/>
              </w:rPr>
              <w:instrText xml:space="preserve"> PAGEREF _Toc532905981 \h </w:instrText>
            </w:r>
            <w:r w:rsidR="00BF4BCF">
              <w:rPr>
                <w:noProof/>
                <w:webHidden/>
              </w:rPr>
            </w:r>
            <w:r w:rsidR="00BF4BCF">
              <w:rPr>
                <w:noProof/>
                <w:webHidden/>
              </w:rPr>
              <w:fldChar w:fldCharType="separate"/>
            </w:r>
            <w:r w:rsidR="00BF4BCF">
              <w:rPr>
                <w:noProof/>
                <w:webHidden/>
              </w:rPr>
              <w:t>68</w:t>
            </w:r>
            <w:r w:rsidR="00BF4BCF">
              <w:rPr>
                <w:noProof/>
                <w:webHidden/>
              </w:rPr>
              <w:fldChar w:fldCharType="end"/>
            </w:r>
          </w:hyperlink>
          <w:r w:rsidR="00BF4BCF">
            <w:rPr>
              <w:bCs/>
              <w:noProof/>
              <w:sz w:val="24"/>
              <w:szCs w:val="24"/>
            </w:rPr>
            <w:fldChar w:fldCharType="end"/>
          </w:r>
        </w:p>
      </w:sdtContent>
    </w:sdt>
    <w:p w:rsidR="000B4A48" w:rsidRDefault="000B4A48" w:rsidP="007D3734">
      <w:pPr>
        <w:widowControl/>
        <w:tabs>
          <w:tab w:val="center" w:pos="4680"/>
        </w:tabs>
        <w:suppressAutoHyphens/>
        <w:contextualSpacing/>
        <w:jc w:val="center"/>
        <w:rPr>
          <w:b/>
          <w:sz w:val="26"/>
        </w:rPr>
        <w:sectPr w:rsidR="000B4A48" w:rsidSect="00F63E88">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A53929" w:rsidRDefault="00A53929" w:rsidP="007D3734">
      <w:pPr>
        <w:widowControl/>
        <w:tabs>
          <w:tab w:val="center" w:pos="4680"/>
        </w:tabs>
        <w:suppressAutoHyphens/>
        <w:contextualSpacing/>
        <w:jc w:val="center"/>
        <w:rPr>
          <w:b/>
          <w:sz w:val="26"/>
        </w:rPr>
      </w:pPr>
    </w:p>
    <w:p w:rsidR="00503B58" w:rsidRDefault="00503B58" w:rsidP="007D3734">
      <w:pPr>
        <w:widowControl/>
        <w:tabs>
          <w:tab w:val="left" w:pos="-720"/>
        </w:tabs>
        <w:suppressAutoHyphens/>
        <w:spacing w:after="120"/>
        <w:contextualSpacing/>
        <w:rPr>
          <w:sz w:val="26"/>
        </w:rPr>
      </w:pPr>
      <w:r>
        <w:rPr>
          <w:b/>
          <w:sz w:val="26"/>
        </w:rPr>
        <w:t>BY THE COMMISSION:</w:t>
      </w:r>
    </w:p>
    <w:p w:rsidR="009324E2" w:rsidRDefault="009324E2" w:rsidP="007D3734">
      <w:pPr>
        <w:widowControl/>
        <w:tabs>
          <w:tab w:val="left" w:pos="-720"/>
        </w:tabs>
        <w:suppressAutoHyphens/>
        <w:spacing w:line="360" w:lineRule="auto"/>
        <w:contextualSpacing/>
        <w:rPr>
          <w:sz w:val="26"/>
        </w:rPr>
      </w:pPr>
    </w:p>
    <w:p w:rsidR="000E5E09" w:rsidRPr="00D32E33" w:rsidRDefault="009324E2" w:rsidP="007D3734">
      <w:pPr>
        <w:widowControl/>
        <w:tabs>
          <w:tab w:val="left" w:pos="-720"/>
        </w:tabs>
        <w:suppressAutoHyphens/>
        <w:spacing w:line="360" w:lineRule="auto"/>
        <w:contextualSpacing/>
        <w:rPr>
          <w:rFonts w:eastAsiaTheme="minorHAnsi"/>
          <w:color w:val="000000"/>
          <w:sz w:val="26"/>
        </w:rPr>
      </w:pPr>
      <w:r>
        <w:rPr>
          <w:sz w:val="26"/>
        </w:rPr>
        <w:tab/>
      </w:r>
      <w:r>
        <w:rPr>
          <w:sz w:val="26"/>
        </w:rPr>
        <w:tab/>
        <w:t xml:space="preserve">Before the Pennsylvania Public Utility Commission (Commission) for consideration and disposition </w:t>
      </w:r>
      <w:r w:rsidR="003B6802">
        <w:rPr>
          <w:sz w:val="26"/>
        </w:rPr>
        <w:t xml:space="preserve">are the </w:t>
      </w:r>
      <w:r w:rsidR="00650A8C">
        <w:rPr>
          <w:sz w:val="26"/>
        </w:rPr>
        <w:t xml:space="preserve">Exceptions of </w:t>
      </w:r>
      <w:r w:rsidR="004A0D25">
        <w:rPr>
          <w:sz w:val="26"/>
        </w:rPr>
        <w:t>Duquesne Light Company (Duquesne or the Company)</w:t>
      </w:r>
      <w:r w:rsidR="00650A8C">
        <w:rPr>
          <w:sz w:val="26"/>
        </w:rPr>
        <w:t xml:space="preserve"> and the </w:t>
      </w:r>
      <w:r w:rsidR="004A0D25">
        <w:rPr>
          <w:sz w:val="26"/>
        </w:rPr>
        <w:t>Duquesne Industrial Intervenors (DII)</w:t>
      </w:r>
      <w:r w:rsidR="00650A8C">
        <w:rPr>
          <w:sz w:val="26"/>
        </w:rPr>
        <w:t>, filed on October 29, 2018, to the Recommended Decision (R.D.) of Administrative Law Judge (ALJ) Katrina</w:t>
      </w:r>
      <w:r w:rsidR="004A0D25">
        <w:rPr>
          <w:sz w:val="26"/>
        </w:rPr>
        <w:t> </w:t>
      </w:r>
      <w:r w:rsidR="00650A8C">
        <w:rPr>
          <w:sz w:val="26"/>
        </w:rPr>
        <w:t>L. Dunderdale, issued on October 18, 2018</w:t>
      </w:r>
      <w:r w:rsidR="004A0D25">
        <w:rPr>
          <w:sz w:val="26"/>
        </w:rPr>
        <w:t>, in which she</w:t>
      </w:r>
      <w:r w:rsidR="006118CB">
        <w:rPr>
          <w:sz w:val="26"/>
        </w:rPr>
        <w:t xml:space="preserve">, </w:t>
      </w:r>
      <w:r w:rsidR="006118CB">
        <w:rPr>
          <w:i/>
          <w:sz w:val="26"/>
        </w:rPr>
        <w:t>inter alia</w:t>
      </w:r>
      <w:r w:rsidR="006118CB" w:rsidRPr="006118CB">
        <w:rPr>
          <w:sz w:val="26"/>
        </w:rPr>
        <w:t>,</w:t>
      </w:r>
      <w:r w:rsidR="004A0D25">
        <w:rPr>
          <w:sz w:val="26"/>
        </w:rPr>
        <w:t xml:space="preserve"> </w:t>
      </w:r>
      <w:r w:rsidR="006118CB">
        <w:rPr>
          <w:sz w:val="26"/>
        </w:rPr>
        <w:t xml:space="preserve">granted </w:t>
      </w:r>
      <w:r w:rsidR="004A0D25">
        <w:rPr>
          <w:sz w:val="26"/>
        </w:rPr>
        <w:t xml:space="preserve">the </w:t>
      </w:r>
      <w:bookmarkStart w:id="2" w:name="_Hlk529437732"/>
      <w:r w:rsidR="0029388A">
        <w:rPr>
          <w:sz w:val="26"/>
        </w:rPr>
        <w:t xml:space="preserve">Joint Petition for </w:t>
      </w:r>
      <w:r w:rsidR="0043130E">
        <w:rPr>
          <w:sz w:val="26"/>
        </w:rPr>
        <w:t xml:space="preserve">Approval of </w:t>
      </w:r>
      <w:r w:rsidR="0029388A">
        <w:rPr>
          <w:sz w:val="26"/>
        </w:rPr>
        <w:t xml:space="preserve">Settlement </w:t>
      </w:r>
      <w:r w:rsidR="0043130E">
        <w:rPr>
          <w:sz w:val="26"/>
        </w:rPr>
        <w:t xml:space="preserve">Stipulation </w:t>
      </w:r>
      <w:r w:rsidR="0029388A">
        <w:rPr>
          <w:sz w:val="26"/>
        </w:rPr>
        <w:t xml:space="preserve">(Joint </w:t>
      </w:r>
      <w:r w:rsidR="007674F8">
        <w:rPr>
          <w:sz w:val="26"/>
        </w:rPr>
        <w:t xml:space="preserve">Settlement </w:t>
      </w:r>
      <w:r w:rsidR="0029388A">
        <w:rPr>
          <w:sz w:val="26"/>
        </w:rPr>
        <w:t xml:space="preserve">Petition or </w:t>
      </w:r>
      <w:r w:rsidR="00796EA6">
        <w:rPr>
          <w:sz w:val="26"/>
        </w:rPr>
        <w:t xml:space="preserve">Partial </w:t>
      </w:r>
      <w:r w:rsidR="0029388A">
        <w:rPr>
          <w:sz w:val="26"/>
        </w:rPr>
        <w:t xml:space="preserve">Settlement) </w:t>
      </w:r>
      <w:r w:rsidR="004A0D25">
        <w:rPr>
          <w:sz w:val="26"/>
        </w:rPr>
        <w:t xml:space="preserve">that was </w:t>
      </w:r>
      <w:r w:rsidR="0029388A">
        <w:rPr>
          <w:sz w:val="26"/>
        </w:rPr>
        <w:t xml:space="preserve">filed on </w:t>
      </w:r>
      <w:r w:rsidR="00796EA6">
        <w:rPr>
          <w:sz w:val="26"/>
        </w:rPr>
        <w:t>September</w:t>
      </w:r>
      <w:r w:rsidR="0029388A">
        <w:rPr>
          <w:sz w:val="26"/>
        </w:rPr>
        <w:t xml:space="preserve"> 1</w:t>
      </w:r>
      <w:r w:rsidR="00796EA6">
        <w:rPr>
          <w:sz w:val="26"/>
        </w:rPr>
        <w:t>4</w:t>
      </w:r>
      <w:r w:rsidR="0029388A">
        <w:rPr>
          <w:sz w:val="26"/>
        </w:rPr>
        <w:t>, 2018, by</w:t>
      </w:r>
      <w:r w:rsidR="004A0D25">
        <w:rPr>
          <w:sz w:val="26"/>
        </w:rPr>
        <w:t xml:space="preserve"> Duquesne</w:t>
      </w:r>
      <w:r w:rsidR="0029388A">
        <w:rPr>
          <w:sz w:val="26"/>
        </w:rPr>
        <w:t xml:space="preserve">, </w:t>
      </w:r>
      <w:r w:rsidR="002D60A9">
        <w:rPr>
          <w:sz w:val="26"/>
        </w:rPr>
        <w:t>the Commission</w:t>
      </w:r>
      <w:r w:rsidR="001E73FA">
        <w:rPr>
          <w:sz w:val="26"/>
        </w:rPr>
        <w:t>’</w:t>
      </w:r>
      <w:r w:rsidR="002D60A9">
        <w:rPr>
          <w:sz w:val="26"/>
        </w:rPr>
        <w:t>s Bureau of Investigation and Enforcement (I&amp;E), the Office of Consumer Advocate (OCA), the Office of Small Business Advocate (OSBA)</w:t>
      </w:r>
      <w:r w:rsidR="00F454DF">
        <w:rPr>
          <w:sz w:val="26"/>
        </w:rPr>
        <w:t>,</w:t>
      </w:r>
      <w:r w:rsidR="002D60A9" w:rsidRPr="002D60A9">
        <w:rPr>
          <w:sz w:val="26"/>
        </w:rPr>
        <w:t xml:space="preserve"> </w:t>
      </w:r>
      <w:r w:rsidR="00B92EA6">
        <w:rPr>
          <w:sz w:val="26"/>
        </w:rPr>
        <w:t xml:space="preserve">Clean Air Council (CAC), </w:t>
      </w:r>
      <w:r w:rsidR="002D60A9">
        <w:rPr>
          <w:sz w:val="26"/>
        </w:rPr>
        <w:t xml:space="preserve">the Coalition for Affordable Utility Services and Energy Efficiency in Pennsylvania (CAUSE-PA), </w:t>
      </w:r>
      <w:r w:rsidR="00B92EA6">
        <w:rPr>
          <w:sz w:val="26"/>
        </w:rPr>
        <w:t xml:space="preserve">ChargePoint, Inc. (ChargePoint), </w:t>
      </w:r>
      <w:r w:rsidR="00A33F04">
        <w:rPr>
          <w:sz w:val="26"/>
        </w:rPr>
        <w:t xml:space="preserve">Community Action of Pennsylvania (CAAP), </w:t>
      </w:r>
      <w:r w:rsidR="00650A8C">
        <w:rPr>
          <w:sz w:val="26"/>
        </w:rPr>
        <w:t>DII</w:t>
      </w:r>
      <w:r w:rsidR="002D60A9">
        <w:rPr>
          <w:sz w:val="26"/>
        </w:rPr>
        <w:t xml:space="preserve">, </w:t>
      </w:r>
      <w:r w:rsidR="00F454DF">
        <w:rPr>
          <w:sz w:val="26"/>
        </w:rPr>
        <w:t xml:space="preserve">the Keystone Energy Efficiency Alliance (KEEA), </w:t>
      </w:r>
      <w:r w:rsidR="00B92EA6">
        <w:rPr>
          <w:sz w:val="26"/>
        </w:rPr>
        <w:t xml:space="preserve">the Natural Resources Defense Council, Inc. (NRDC), </w:t>
      </w:r>
      <w:r w:rsidR="00F454DF">
        <w:rPr>
          <w:sz w:val="26"/>
        </w:rPr>
        <w:t xml:space="preserve">NRG Energy Center Pittsburgh LLC (NRGP), and </w:t>
      </w:r>
      <w:r w:rsidR="00B92EA6">
        <w:rPr>
          <w:sz w:val="26"/>
        </w:rPr>
        <w:t>Wal-Mart Stores East, LP and Sam’s East, Inc. (Wal-Mart),</w:t>
      </w:r>
      <w:r w:rsidR="00F454DF">
        <w:rPr>
          <w:sz w:val="26"/>
        </w:rPr>
        <w:t xml:space="preserve"> (collectively the Joint Petitioners)</w:t>
      </w:r>
      <w:bookmarkEnd w:id="2"/>
      <w:r w:rsidR="00F454DF">
        <w:rPr>
          <w:sz w:val="26"/>
        </w:rPr>
        <w:t>.</w:t>
      </w:r>
      <w:r w:rsidR="002D60A9">
        <w:rPr>
          <w:sz w:val="26"/>
        </w:rPr>
        <w:t xml:space="preserve"> </w:t>
      </w:r>
      <w:r w:rsidR="004A0D25">
        <w:rPr>
          <w:sz w:val="26"/>
        </w:rPr>
        <w:t xml:space="preserve"> </w:t>
      </w:r>
      <w:r w:rsidR="00FF7B86">
        <w:rPr>
          <w:sz w:val="26"/>
          <w:szCs w:val="26"/>
        </w:rPr>
        <w:t xml:space="preserve">The Partial Settlement proposes to resolve all </w:t>
      </w:r>
      <w:r w:rsidR="00237EB1">
        <w:rPr>
          <w:sz w:val="26"/>
          <w:szCs w:val="26"/>
        </w:rPr>
        <w:t>but one of the contested i</w:t>
      </w:r>
      <w:r w:rsidR="00FF7B86">
        <w:rPr>
          <w:sz w:val="26"/>
          <w:szCs w:val="26"/>
        </w:rPr>
        <w:t>ssues related to the rate proceeding</w:t>
      </w:r>
      <w:r w:rsidR="00237EB1">
        <w:rPr>
          <w:sz w:val="26"/>
          <w:szCs w:val="26"/>
        </w:rPr>
        <w:t xml:space="preserve">.  The remaining contested issue reserved for litigation </w:t>
      </w:r>
      <w:bookmarkStart w:id="3" w:name="_Hlk531277791"/>
      <w:r w:rsidR="00237EB1">
        <w:rPr>
          <w:sz w:val="26"/>
          <w:szCs w:val="26"/>
        </w:rPr>
        <w:t xml:space="preserve">involves </w:t>
      </w:r>
      <w:r w:rsidR="00852C9E" w:rsidRPr="00952E0C">
        <w:rPr>
          <w:sz w:val="26"/>
          <w:szCs w:val="26"/>
        </w:rPr>
        <w:t xml:space="preserve">the </w:t>
      </w:r>
      <w:r w:rsidR="00AA6CC2" w:rsidRPr="00952E0C">
        <w:rPr>
          <w:sz w:val="26"/>
          <w:szCs w:val="26"/>
        </w:rPr>
        <w:t xml:space="preserve">proposed </w:t>
      </w:r>
      <w:r w:rsidR="008B2701" w:rsidRPr="00952E0C">
        <w:rPr>
          <w:sz w:val="26"/>
          <w:szCs w:val="26"/>
        </w:rPr>
        <w:t xml:space="preserve">rate increase </w:t>
      </w:r>
      <w:r w:rsidR="00AA6CC2" w:rsidRPr="00952E0C">
        <w:rPr>
          <w:sz w:val="26"/>
          <w:szCs w:val="26"/>
        </w:rPr>
        <w:t>by Duquesne to its Tariff Rider No.</w:t>
      </w:r>
      <w:r w:rsidR="00336A4F" w:rsidRPr="00952E0C">
        <w:rPr>
          <w:sz w:val="26"/>
          <w:szCs w:val="26"/>
        </w:rPr>
        <w:t> </w:t>
      </w:r>
      <w:r w:rsidR="00AA6CC2" w:rsidRPr="00952E0C">
        <w:rPr>
          <w:sz w:val="26"/>
          <w:szCs w:val="26"/>
        </w:rPr>
        <w:t>16</w:t>
      </w:r>
      <w:r w:rsidR="00D16465" w:rsidRPr="00952E0C">
        <w:rPr>
          <w:sz w:val="26"/>
          <w:szCs w:val="26"/>
        </w:rPr>
        <w:t xml:space="preserve"> – Service to Non-Utility Generating Facilities</w:t>
      </w:r>
      <w:r w:rsidR="008E75A9" w:rsidRPr="00952E0C">
        <w:rPr>
          <w:sz w:val="26"/>
          <w:szCs w:val="26"/>
        </w:rPr>
        <w:t xml:space="preserve"> (</w:t>
      </w:r>
      <w:r w:rsidR="00BF7139">
        <w:rPr>
          <w:sz w:val="26"/>
          <w:szCs w:val="26"/>
        </w:rPr>
        <w:t>Rider</w:t>
      </w:r>
      <w:r w:rsidR="008E75A9" w:rsidRPr="00952E0C">
        <w:rPr>
          <w:sz w:val="26"/>
          <w:szCs w:val="26"/>
        </w:rPr>
        <w:t xml:space="preserve"> No. 16)</w:t>
      </w:r>
      <w:bookmarkEnd w:id="3"/>
      <w:r w:rsidR="00AA6CC2" w:rsidRPr="00952E0C">
        <w:rPr>
          <w:sz w:val="26"/>
          <w:szCs w:val="26"/>
        </w:rPr>
        <w:t>.</w:t>
      </w:r>
      <w:r w:rsidR="00A81229" w:rsidRPr="00A81229">
        <w:rPr>
          <w:rStyle w:val="FootnoteReference"/>
          <w:rFonts w:eastAsiaTheme="minorHAnsi"/>
          <w:color w:val="000000"/>
          <w:sz w:val="26"/>
          <w:szCs w:val="26"/>
        </w:rPr>
        <w:t xml:space="preserve"> </w:t>
      </w:r>
      <w:r w:rsidR="00A81229">
        <w:rPr>
          <w:rStyle w:val="FootnoteReference"/>
          <w:rFonts w:eastAsiaTheme="minorHAnsi"/>
          <w:color w:val="000000"/>
          <w:sz w:val="26"/>
          <w:szCs w:val="26"/>
        </w:rPr>
        <w:footnoteReference w:id="2"/>
      </w:r>
      <w:r w:rsidR="00AA6CC2" w:rsidRPr="00952E0C">
        <w:rPr>
          <w:sz w:val="26"/>
          <w:szCs w:val="26"/>
        </w:rPr>
        <w:t xml:space="preserve">  </w:t>
      </w:r>
      <w:r w:rsidR="00B515E7" w:rsidRPr="00952E0C">
        <w:rPr>
          <w:sz w:val="26"/>
          <w:szCs w:val="26"/>
        </w:rPr>
        <w:t>With regard to the outstanding issue</w:t>
      </w:r>
      <w:r w:rsidR="00171EBE" w:rsidRPr="00952E0C">
        <w:rPr>
          <w:sz w:val="26"/>
          <w:szCs w:val="26"/>
        </w:rPr>
        <w:t xml:space="preserve">, the ALJ </w:t>
      </w:r>
      <w:r w:rsidR="00926D67" w:rsidRPr="00952E0C">
        <w:rPr>
          <w:sz w:val="26"/>
          <w:szCs w:val="26"/>
        </w:rPr>
        <w:t xml:space="preserve">supported </w:t>
      </w:r>
      <w:r w:rsidR="000F1780">
        <w:rPr>
          <w:sz w:val="26"/>
          <w:szCs w:val="26"/>
        </w:rPr>
        <w:t>DII</w:t>
      </w:r>
      <w:r w:rsidR="00926D67" w:rsidRPr="00952E0C">
        <w:rPr>
          <w:sz w:val="26"/>
          <w:szCs w:val="26"/>
        </w:rPr>
        <w:t>’s position</w:t>
      </w:r>
      <w:r w:rsidR="00926D67">
        <w:rPr>
          <w:rFonts w:eastAsiaTheme="minorHAnsi"/>
          <w:color w:val="000000"/>
          <w:sz w:val="26"/>
          <w:szCs w:val="26"/>
        </w:rPr>
        <w:t xml:space="preserve"> </w:t>
      </w:r>
      <w:r w:rsidR="00926D67" w:rsidRPr="00D32E33">
        <w:rPr>
          <w:rFonts w:eastAsiaTheme="minorHAnsi"/>
          <w:color w:val="000000"/>
          <w:sz w:val="26"/>
        </w:rPr>
        <w:t xml:space="preserve">and </w:t>
      </w:r>
      <w:r w:rsidR="00171EBE">
        <w:rPr>
          <w:rFonts w:eastAsiaTheme="minorHAnsi"/>
          <w:color w:val="000000"/>
          <w:sz w:val="26"/>
          <w:szCs w:val="26"/>
        </w:rPr>
        <w:t xml:space="preserve">recommended that Duquesne file a tariff supplement </w:t>
      </w:r>
      <w:r w:rsidR="00A27A17">
        <w:rPr>
          <w:rFonts w:eastAsiaTheme="minorHAnsi"/>
          <w:color w:val="000000"/>
          <w:sz w:val="26"/>
          <w:szCs w:val="26"/>
        </w:rPr>
        <w:t xml:space="preserve">to </w:t>
      </w:r>
      <w:r w:rsidR="00626064">
        <w:rPr>
          <w:rFonts w:eastAsiaTheme="minorHAnsi"/>
          <w:color w:val="000000"/>
          <w:sz w:val="26"/>
          <w:szCs w:val="26"/>
        </w:rPr>
        <w:t>reduce the present</w:t>
      </w:r>
      <w:r w:rsidR="00486737">
        <w:rPr>
          <w:rFonts w:eastAsiaTheme="minorHAnsi"/>
          <w:color w:val="000000"/>
          <w:sz w:val="26"/>
          <w:szCs w:val="26"/>
        </w:rPr>
        <w:t xml:space="preserve"> </w:t>
      </w:r>
      <w:r w:rsidR="00BF7139">
        <w:rPr>
          <w:rFonts w:eastAsiaTheme="minorHAnsi"/>
          <w:color w:val="000000"/>
          <w:sz w:val="26"/>
          <w:szCs w:val="26"/>
        </w:rPr>
        <w:t>Rider</w:t>
      </w:r>
      <w:r w:rsidR="00486737" w:rsidRPr="004D7469">
        <w:rPr>
          <w:rFonts w:eastAsiaTheme="minorHAnsi"/>
          <w:color w:val="000000"/>
          <w:sz w:val="26"/>
          <w:szCs w:val="26"/>
        </w:rPr>
        <w:t xml:space="preserve"> No. 16 rate from $2.50 kW to $0.352 per kW</w:t>
      </w:r>
      <w:r w:rsidR="00486737">
        <w:rPr>
          <w:rFonts w:eastAsiaTheme="minorHAnsi"/>
          <w:color w:val="000000"/>
          <w:sz w:val="26"/>
          <w:szCs w:val="26"/>
        </w:rPr>
        <w:t xml:space="preserve"> to </w:t>
      </w:r>
      <w:r w:rsidR="00171EBE">
        <w:rPr>
          <w:rFonts w:eastAsiaTheme="minorHAnsi"/>
          <w:color w:val="000000"/>
          <w:sz w:val="26"/>
          <w:szCs w:val="26"/>
        </w:rPr>
        <w:t xml:space="preserve">reflect the </w:t>
      </w:r>
      <w:r w:rsidR="00486737">
        <w:rPr>
          <w:rFonts w:eastAsiaTheme="minorHAnsi"/>
          <w:color w:val="000000"/>
          <w:sz w:val="26"/>
          <w:szCs w:val="26"/>
        </w:rPr>
        <w:t xml:space="preserve">actual </w:t>
      </w:r>
      <w:r w:rsidR="00171EBE">
        <w:rPr>
          <w:rFonts w:eastAsiaTheme="minorHAnsi"/>
          <w:color w:val="000000"/>
          <w:sz w:val="26"/>
          <w:szCs w:val="26"/>
        </w:rPr>
        <w:t xml:space="preserve">cost </w:t>
      </w:r>
      <w:r w:rsidR="00486737">
        <w:rPr>
          <w:rFonts w:eastAsiaTheme="minorHAnsi"/>
          <w:color w:val="000000"/>
          <w:sz w:val="26"/>
          <w:szCs w:val="26"/>
        </w:rPr>
        <w:t xml:space="preserve">of receiving </w:t>
      </w:r>
      <w:r w:rsidR="00171EBE">
        <w:rPr>
          <w:rFonts w:eastAsiaTheme="minorHAnsi"/>
          <w:color w:val="000000"/>
          <w:sz w:val="26"/>
          <w:szCs w:val="26"/>
        </w:rPr>
        <w:t xml:space="preserve">service under </w:t>
      </w:r>
      <w:r w:rsidR="00BF7139">
        <w:rPr>
          <w:rFonts w:eastAsiaTheme="minorHAnsi"/>
          <w:color w:val="000000"/>
          <w:sz w:val="26"/>
          <w:szCs w:val="26"/>
        </w:rPr>
        <w:t>Rider</w:t>
      </w:r>
      <w:r w:rsidR="00171EBE">
        <w:rPr>
          <w:rFonts w:eastAsiaTheme="minorHAnsi"/>
          <w:color w:val="000000"/>
          <w:sz w:val="26"/>
          <w:szCs w:val="26"/>
        </w:rPr>
        <w:t xml:space="preserve"> No. 16</w:t>
      </w:r>
      <w:r w:rsidR="00486737">
        <w:rPr>
          <w:rFonts w:eastAsiaTheme="minorHAnsi"/>
          <w:color w:val="000000"/>
          <w:sz w:val="26"/>
          <w:szCs w:val="26"/>
        </w:rPr>
        <w:t>.</w:t>
      </w:r>
      <w:r w:rsidR="005C3E45" w:rsidRPr="00D32E33">
        <w:rPr>
          <w:rFonts w:eastAsiaTheme="minorHAnsi"/>
          <w:color w:val="000000"/>
          <w:sz w:val="26"/>
        </w:rPr>
        <w:t xml:space="preserve"> </w:t>
      </w:r>
      <w:r w:rsidR="00663C62" w:rsidRPr="00D32E33">
        <w:rPr>
          <w:rFonts w:eastAsiaTheme="minorHAnsi"/>
          <w:color w:val="000000"/>
          <w:sz w:val="26"/>
        </w:rPr>
        <w:t xml:space="preserve"> </w:t>
      </w:r>
      <w:r w:rsidR="00F454DF">
        <w:rPr>
          <w:sz w:val="26"/>
        </w:rPr>
        <w:t xml:space="preserve">Duquesne and </w:t>
      </w:r>
      <w:r w:rsidR="000F1780">
        <w:rPr>
          <w:sz w:val="26"/>
        </w:rPr>
        <w:t>DII</w:t>
      </w:r>
      <w:r w:rsidR="00F454DF">
        <w:rPr>
          <w:sz w:val="26"/>
        </w:rPr>
        <w:t xml:space="preserve"> filed </w:t>
      </w:r>
      <w:r w:rsidR="009B7EE8">
        <w:rPr>
          <w:sz w:val="26"/>
        </w:rPr>
        <w:t>Replies</w:t>
      </w:r>
      <w:r>
        <w:rPr>
          <w:sz w:val="26"/>
        </w:rPr>
        <w:t xml:space="preserve"> to Exceptions</w:t>
      </w:r>
      <w:r w:rsidR="00B071DF">
        <w:rPr>
          <w:sz w:val="26"/>
        </w:rPr>
        <w:t xml:space="preserve"> on </w:t>
      </w:r>
      <w:r w:rsidR="00F454DF">
        <w:rPr>
          <w:sz w:val="26"/>
        </w:rPr>
        <w:t>November 5</w:t>
      </w:r>
      <w:r w:rsidR="00B071DF">
        <w:rPr>
          <w:sz w:val="26"/>
        </w:rPr>
        <w:t>, 2018</w:t>
      </w:r>
      <w:r w:rsidR="00F56D53">
        <w:rPr>
          <w:sz w:val="26"/>
        </w:rPr>
        <w:t>.</w:t>
      </w:r>
    </w:p>
    <w:p w:rsidR="000E5E09" w:rsidRDefault="000E5E09" w:rsidP="007D3734">
      <w:pPr>
        <w:widowControl/>
        <w:tabs>
          <w:tab w:val="left" w:pos="-720"/>
        </w:tabs>
        <w:suppressAutoHyphens/>
        <w:spacing w:line="360" w:lineRule="auto"/>
        <w:contextualSpacing/>
        <w:rPr>
          <w:sz w:val="26"/>
        </w:rPr>
      </w:pPr>
    </w:p>
    <w:p w:rsidR="00FF1ACB" w:rsidRDefault="000E5E09" w:rsidP="007D3734">
      <w:pPr>
        <w:widowControl/>
        <w:tabs>
          <w:tab w:val="left" w:pos="-720"/>
        </w:tabs>
        <w:suppressAutoHyphens/>
        <w:spacing w:line="360" w:lineRule="auto"/>
        <w:contextualSpacing/>
        <w:rPr>
          <w:color w:val="FF0000"/>
          <w:sz w:val="26"/>
          <w:szCs w:val="26"/>
        </w:rPr>
      </w:pPr>
      <w:r>
        <w:rPr>
          <w:sz w:val="26"/>
        </w:rPr>
        <w:tab/>
      </w:r>
      <w:r>
        <w:rPr>
          <w:sz w:val="26"/>
        </w:rPr>
        <w:tab/>
      </w:r>
      <w:r w:rsidR="0090131A">
        <w:rPr>
          <w:sz w:val="26"/>
        </w:rPr>
        <w:t xml:space="preserve">For the reasons </w:t>
      </w:r>
      <w:r w:rsidR="008F6B17">
        <w:rPr>
          <w:sz w:val="26"/>
        </w:rPr>
        <w:t xml:space="preserve">discussed below, </w:t>
      </w:r>
      <w:r w:rsidR="004B1DE4">
        <w:rPr>
          <w:sz w:val="26"/>
        </w:rPr>
        <w:t xml:space="preserve">with regard to the sole outstanding issue involving Tariff rider No. 16 that was left unresolved by the terms of the Partial Settlement, </w:t>
      </w:r>
      <w:r w:rsidR="008F6B17">
        <w:rPr>
          <w:sz w:val="26"/>
        </w:rPr>
        <w:t>we shall grant Duquesne’s Exceptions</w:t>
      </w:r>
      <w:r w:rsidR="0040439A">
        <w:rPr>
          <w:sz w:val="26"/>
        </w:rPr>
        <w:t xml:space="preserve"> and </w:t>
      </w:r>
      <w:r w:rsidR="008F6B17" w:rsidRPr="00C22791">
        <w:rPr>
          <w:sz w:val="26"/>
        </w:rPr>
        <w:t xml:space="preserve">deny </w:t>
      </w:r>
      <w:r w:rsidR="00D9355E">
        <w:rPr>
          <w:sz w:val="26"/>
        </w:rPr>
        <w:t>DII’s Exceptions</w:t>
      </w:r>
      <w:r w:rsidR="004B1DE4">
        <w:rPr>
          <w:sz w:val="26"/>
        </w:rPr>
        <w:t xml:space="preserve"> </w:t>
      </w:r>
      <w:r w:rsidR="00077CFC">
        <w:rPr>
          <w:sz w:val="26"/>
        </w:rPr>
        <w:t xml:space="preserve">so that </w:t>
      </w:r>
      <w:r w:rsidR="004B1DE4" w:rsidRPr="00D61E80">
        <w:rPr>
          <w:sz w:val="26"/>
          <w:szCs w:val="26"/>
        </w:rPr>
        <w:t xml:space="preserve">Duquesne Light Company </w:t>
      </w:r>
      <w:r w:rsidR="00077CFC">
        <w:rPr>
          <w:sz w:val="26"/>
          <w:szCs w:val="26"/>
        </w:rPr>
        <w:t xml:space="preserve">will not be required </w:t>
      </w:r>
      <w:r w:rsidR="004B1DE4">
        <w:rPr>
          <w:sz w:val="26"/>
          <w:szCs w:val="26"/>
        </w:rPr>
        <w:t>to decrease the rate in Tariff No. 16 for “back-up” service that can be elected by eligible customers that meet a portion of their load with their own generating facilities.</w:t>
      </w:r>
      <w:r w:rsidR="004B1DE4">
        <w:rPr>
          <w:sz w:val="26"/>
        </w:rPr>
        <w:t xml:space="preserve">  Accordingly, we shall </w:t>
      </w:r>
      <w:r w:rsidR="00D9355E">
        <w:rPr>
          <w:sz w:val="26"/>
        </w:rPr>
        <w:t xml:space="preserve">adopt the </w:t>
      </w:r>
      <w:r w:rsidR="004D681D">
        <w:rPr>
          <w:sz w:val="26"/>
        </w:rPr>
        <w:t>ALJ</w:t>
      </w:r>
      <w:r w:rsidR="001E73FA">
        <w:rPr>
          <w:sz w:val="26"/>
        </w:rPr>
        <w:t>’</w:t>
      </w:r>
      <w:r w:rsidR="004D681D">
        <w:rPr>
          <w:sz w:val="26"/>
        </w:rPr>
        <w:t xml:space="preserve">s </w:t>
      </w:r>
      <w:r>
        <w:rPr>
          <w:sz w:val="26"/>
        </w:rPr>
        <w:t>Recommended Decision</w:t>
      </w:r>
      <w:r w:rsidR="00E32908">
        <w:rPr>
          <w:sz w:val="26"/>
        </w:rPr>
        <w:t xml:space="preserve">, as modified, </w:t>
      </w:r>
      <w:r w:rsidR="000E7885">
        <w:rPr>
          <w:sz w:val="26"/>
        </w:rPr>
        <w:t xml:space="preserve">and grant </w:t>
      </w:r>
      <w:r w:rsidR="00E32908">
        <w:rPr>
          <w:sz w:val="26"/>
        </w:rPr>
        <w:t xml:space="preserve">the Joint </w:t>
      </w:r>
      <w:r w:rsidR="00D32F46">
        <w:rPr>
          <w:sz w:val="26"/>
        </w:rPr>
        <w:t xml:space="preserve">Settlement </w:t>
      </w:r>
      <w:r w:rsidR="00E32908">
        <w:rPr>
          <w:sz w:val="26"/>
        </w:rPr>
        <w:t>Petition</w:t>
      </w:r>
      <w:r w:rsidR="00077CFC">
        <w:rPr>
          <w:sz w:val="26"/>
        </w:rPr>
        <w:t xml:space="preserve"> which approves </w:t>
      </w:r>
      <w:r w:rsidR="00CB72F5">
        <w:rPr>
          <w:sz w:val="26"/>
        </w:rPr>
        <w:t>the P</w:t>
      </w:r>
      <w:r w:rsidR="00102FC7">
        <w:rPr>
          <w:sz w:val="26"/>
        </w:rPr>
        <w:t xml:space="preserve">artial </w:t>
      </w:r>
      <w:r w:rsidR="00D9355E">
        <w:rPr>
          <w:sz w:val="26"/>
        </w:rPr>
        <w:t>Settlement</w:t>
      </w:r>
      <w:r w:rsidR="00102FC7">
        <w:rPr>
          <w:sz w:val="26"/>
        </w:rPr>
        <w:t>,</w:t>
      </w:r>
      <w:r w:rsidR="00E32908">
        <w:rPr>
          <w:sz w:val="26"/>
        </w:rPr>
        <w:t xml:space="preserve"> </w:t>
      </w:r>
      <w:r w:rsidR="00102FC7">
        <w:rPr>
          <w:sz w:val="26"/>
        </w:rPr>
        <w:t xml:space="preserve">without modification, </w:t>
      </w:r>
      <w:r w:rsidR="00E32908">
        <w:rPr>
          <w:sz w:val="26"/>
        </w:rPr>
        <w:t xml:space="preserve">consistent with </w:t>
      </w:r>
      <w:r w:rsidR="00D4022D">
        <w:rPr>
          <w:sz w:val="26"/>
        </w:rPr>
        <w:t>this Opinion and Order.</w:t>
      </w:r>
    </w:p>
    <w:p w:rsidR="006B76D5" w:rsidRDefault="006B76D5" w:rsidP="007D3734">
      <w:pPr>
        <w:widowControl/>
        <w:tabs>
          <w:tab w:val="left" w:pos="-720"/>
        </w:tabs>
        <w:suppressAutoHyphens/>
        <w:spacing w:line="360" w:lineRule="auto"/>
        <w:contextualSpacing/>
        <w:rPr>
          <w:sz w:val="26"/>
        </w:rPr>
      </w:pPr>
    </w:p>
    <w:p w:rsidR="002043CF" w:rsidRPr="00256014" w:rsidRDefault="00256014" w:rsidP="007D3734">
      <w:pPr>
        <w:widowControl/>
        <w:tabs>
          <w:tab w:val="left" w:pos="-720"/>
        </w:tabs>
        <w:suppressAutoHyphens/>
        <w:spacing w:line="360" w:lineRule="auto"/>
        <w:contextualSpacing/>
        <w:rPr>
          <w:sz w:val="26"/>
        </w:rPr>
      </w:pPr>
      <w:r>
        <w:rPr>
          <w:sz w:val="26"/>
        </w:rPr>
        <w:tab/>
      </w:r>
      <w:r>
        <w:rPr>
          <w:sz w:val="26"/>
        </w:rPr>
        <w:tab/>
      </w:r>
      <w:r w:rsidR="002043CF" w:rsidRPr="00256014">
        <w:rPr>
          <w:sz w:val="26"/>
        </w:rPr>
        <w:t xml:space="preserve">As discussed below, the genesis of this proceeding involved a general rate increase in which Duquesne proposed a base rate change that would have increased its annual distribution revenue by $133.8 million, </w:t>
      </w:r>
      <w:r w:rsidR="009A6B28">
        <w:rPr>
          <w:sz w:val="26"/>
        </w:rPr>
        <w:t>a</w:t>
      </w:r>
      <w:r w:rsidR="002043CF" w:rsidRPr="00256014">
        <w:rPr>
          <w:sz w:val="26"/>
        </w:rPr>
        <w:t xml:space="preserve"> </w:t>
      </w:r>
      <w:r w:rsidR="008E159B">
        <w:rPr>
          <w:sz w:val="26"/>
        </w:rPr>
        <w:t>16.4</w:t>
      </w:r>
      <w:r w:rsidR="002043CF" w:rsidRPr="00256014">
        <w:rPr>
          <w:sz w:val="26"/>
        </w:rPr>
        <w:t xml:space="preserve">% </w:t>
      </w:r>
      <w:r w:rsidR="009A6B28">
        <w:rPr>
          <w:sz w:val="26"/>
        </w:rPr>
        <w:t xml:space="preserve">increase </w:t>
      </w:r>
      <w:r w:rsidR="00E05D31">
        <w:rPr>
          <w:sz w:val="26"/>
        </w:rPr>
        <w:t xml:space="preserve">over present </w:t>
      </w:r>
      <w:r w:rsidR="009A6B28">
        <w:rPr>
          <w:sz w:val="26"/>
        </w:rPr>
        <w:t xml:space="preserve">revenues, </w:t>
      </w:r>
      <w:r w:rsidR="002043CF" w:rsidRPr="00256014">
        <w:rPr>
          <w:sz w:val="26"/>
        </w:rPr>
        <w:t xml:space="preserve">on a distribution revenue basis, based on a fully projected future test year (FPFTY) ending December 31, 2019.  </w:t>
      </w:r>
      <w:r w:rsidR="008E159B">
        <w:rPr>
          <w:sz w:val="26"/>
        </w:rPr>
        <w:t>Joint Settlement, Appendix E</w:t>
      </w:r>
      <w:r w:rsidR="002043CF" w:rsidRPr="00256014">
        <w:rPr>
          <w:sz w:val="26"/>
        </w:rPr>
        <w:t xml:space="preserve">.  Our approval of the Joint Petition, which embodies a so-called “black box” settlement, permits Duquesne to file new tariff rates designed to provide an overall distribution base rate increase of $92.7 million, </w:t>
      </w:r>
      <w:r w:rsidR="009A6B28">
        <w:rPr>
          <w:sz w:val="26"/>
        </w:rPr>
        <w:t>a</w:t>
      </w:r>
      <w:r w:rsidR="008E159B">
        <w:rPr>
          <w:sz w:val="26"/>
        </w:rPr>
        <w:t>n</w:t>
      </w:r>
      <w:r w:rsidR="002043CF" w:rsidRPr="00256014">
        <w:rPr>
          <w:sz w:val="26"/>
        </w:rPr>
        <w:t xml:space="preserve"> </w:t>
      </w:r>
      <w:r w:rsidR="008E159B">
        <w:rPr>
          <w:sz w:val="26"/>
        </w:rPr>
        <w:t xml:space="preserve">8.1% </w:t>
      </w:r>
      <w:r w:rsidR="009A6B28">
        <w:rPr>
          <w:sz w:val="26"/>
        </w:rPr>
        <w:t xml:space="preserve">over present revenues, </w:t>
      </w:r>
      <w:r w:rsidR="002043CF" w:rsidRPr="00256014">
        <w:rPr>
          <w:sz w:val="26"/>
        </w:rPr>
        <w:t>on a distribution revenue basis.</w:t>
      </w:r>
      <w:r>
        <w:rPr>
          <w:sz w:val="26"/>
        </w:rPr>
        <w:t xml:space="preserve">  </w:t>
      </w:r>
      <w:r w:rsidR="008E159B" w:rsidRPr="00D32E33">
        <w:rPr>
          <w:i/>
          <w:sz w:val="26"/>
        </w:rPr>
        <w:t>Id</w:t>
      </w:r>
      <w:r w:rsidR="008E159B">
        <w:rPr>
          <w:sz w:val="26"/>
        </w:rPr>
        <w:t>.</w:t>
      </w:r>
    </w:p>
    <w:p w:rsidR="00256014" w:rsidRPr="00256014" w:rsidRDefault="00256014" w:rsidP="007D3734">
      <w:pPr>
        <w:widowControl/>
        <w:tabs>
          <w:tab w:val="left" w:pos="-720"/>
        </w:tabs>
        <w:suppressAutoHyphens/>
        <w:spacing w:line="360" w:lineRule="auto"/>
        <w:contextualSpacing/>
        <w:rPr>
          <w:sz w:val="26"/>
        </w:rPr>
      </w:pPr>
    </w:p>
    <w:p w:rsidR="009324E2" w:rsidRDefault="009324E2" w:rsidP="007D3734">
      <w:pPr>
        <w:pStyle w:val="Heading1"/>
        <w:keepLines/>
        <w:contextualSpacing/>
        <w:jc w:val="center"/>
      </w:pPr>
      <w:bookmarkStart w:id="4" w:name="_Toc531091814"/>
      <w:bookmarkStart w:id="5" w:name="_Toc532905954"/>
      <w:r w:rsidRPr="003D07BC">
        <w:t>History of the Proceeding</w:t>
      </w:r>
      <w:r w:rsidR="00994B3F">
        <w:rPr>
          <w:rStyle w:val="FootnoteReference"/>
        </w:rPr>
        <w:footnoteReference w:id="3"/>
      </w:r>
      <w:bookmarkEnd w:id="4"/>
      <w:bookmarkEnd w:id="5"/>
    </w:p>
    <w:p w:rsidR="000D1FB9" w:rsidRPr="00F62CF1" w:rsidRDefault="000D1FB9" w:rsidP="007D3734">
      <w:pPr>
        <w:keepNext/>
        <w:keepLines/>
        <w:widowControl/>
        <w:contextualSpacing/>
        <w:rPr>
          <w:sz w:val="26"/>
        </w:rPr>
      </w:pPr>
    </w:p>
    <w:p w:rsidR="000D1FB9" w:rsidRDefault="00975C80"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bookmarkStart w:id="6" w:name="_Hlk531937272"/>
      <w:r w:rsidR="000D1FB9" w:rsidRPr="00975C80">
        <w:rPr>
          <w:rFonts w:eastAsiaTheme="minorHAnsi"/>
          <w:color w:val="000000"/>
          <w:sz w:val="26"/>
          <w:szCs w:val="26"/>
        </w:rPr>
        <w:t>On March 28, 2018, Duquesne</w:t>
      </w:r>
      <w:r w:rsidR="00341C14">
        <w:rPr>
          <w:rStyle w:val="FootnoteReference"/>
          <w:rFonts w:eastAsiaTheme="minorHAnsi"/>
          <w:color w:val="000000"/>
          <w:sz w:val="26"/>
          <w:szCs w:val="26"/>
        </w:rPr>
        <w:footnoteReference w:id="4"/>
      </w:r>
      <w:r w:rsidR="000D1FB9" w:rsidRPr="00975C80">
        <w:rPr>
          <w:rFonts w:eastAsiaTheme="minorHAnsi"/>
          <w:color w:val="000000"/>
          <w:sz w:val="26"/>
          <w:szCs w:val="26"/>
        </w:rPr>
        <w:t xml:space="preserve"> filed Supplement No. 174 to Tariff Electric</w:t>
      </w:r>
      <w:r w:rsidR="00D27C8B">
        <w:rPr>
          <w:rFonts w:eastAsiaTheme="minorHAnsi"/>
          <w:color w:val="000000"/>
          <w:sz w:val="26"/>
          <w:szCs w:val="26"/>
        </w:rPr>
        <w:t> </w:t>
      </w:r>
      <w:r w:rsidR="001349FE">
        <w:rPr>
          <w:rFonts w:eastAsiaTheme="minorHAnsi"/>
          <w:color w:val="000000"/>
          <w:sz w:val="26"/>
          <w:szCs w:val="26"/>
        </w:rPr>
        <w:t>–</w:t>
      </w:r>
      <w:r w:rsidR="00D27C8B">
        <w:rPr>
          <w:rFonts w:eastAsiaTheme="minorHAnsi"/>
        </w:rPr>
        <w:t> </w:t>
      </w:r>
      <w:r w:rsidR="000D1FB9" w:rsidRPr="00975C80">
        <w:rPr>
          <w:rFonts w:eastAsiaTheme="minorHAnsi"/>
          <w:color w:val="000000"/>
          <w:sz w:val="26"/>
          <w:szCs w:val="26"/>
        </w:rPr>
        <w:t xml:space="preserve">Pa. P.U.C. No. 24 </w:t>
      </w:r>
      <w:r w:rsidR="00C06689">
        <w:rPr>
          <w:rFonts w:eastAsiaTheme="minorHAnsi"/>
          <w:color w:val="000000"/>
          <w:sz w:val="26"/>
          <w:szCs w:val="26"/>
        </w:rPr>
        <w:t>(</w:t>
      </w:r>
      <w:r w:rsidR="00884E32">
        <w:rPr>
          <w:rFonts w:eastAsiaTheme="minorHAnsi"/>
          <w:color w:val="000000"/>
          <w:sz w:val="26"/>
          <w:szCs w:val="26"/>
        </w:rPr>
        <w:t xml:space="preserve">Supplement No. 174) </w:t>
      </w:r>
      <w:r w:rsidR="000D1FB9" w:rsidRPr="00975C80">
        <w:rPr>
          <w:rFonts w:eastAsiaTheme="minorHAnsi"/>
          <w:color w:val="000000"/>
          <w:sz w:val="26"/>
          <w:szCs w:val="26"/>
        </w:rPr>
        <w:t xml:space="preserve">to become effective May 29, 2018, </w:t>
      </w:r>
      <w:r w:rsidR="000D1FB9" w:rsidRPr="00975C80">
        <w:rPr>
          <w:rFonts w:eastAsiaTheme="minorHAnsi"/>
          <w:color w:val="000000"/>
          <w:sz w:val="26"/>
          <w:szCs w:val="26"/>
        </w:rPr>
        <w:lastRenderedPageBreak/>
        <w:t xml:space="preserve">containing a proposed general increase in electric distribution rates of approximately $133.8 million in additional annual base rate operating revenues based upon data for a Fully Projected Future Test Year (FPFTY) ending December 31, 2019. </w:t>
      </w:r>
      <w:r w:rsidR="00884E32">
        <w:rPr>
          <w:rFonts w:eastAsiaTheme="minorHAnsi"/>
          <w:color w:val="000000"/>
          <w:sz w:val="26"/>
          <w:szCs w:val="26"/>
        </w:rPr>
        <w:t xml:space="preserve"> </w:t>
      </w:r>
      <w:r w:rsidR="000D1FB9" w:rsidRPr="00975C80">
        <w:rPr>
          <w:rFonts w:eastAsiaTheme="minorHAnsi"/>
          <w:color w:val="000000"/>
          <w:sz w:val="26"/>
          <w:szCs w:val="26"/>
        </w:rPr>
        <w:t xml:space="preserve">The proposed base rate increase included $52.2 million of revenues currently recovered by surcharges. </w:t>
      </w:r>
      <w:r w:rsidR="00884E32">
        <w:rPr>
          <w:rFonts w:eastAsiaTheme="minorHAnsi"/>
          <w:color w:val="000000"/>
          <w:sz w:val="26"/>
          <w:szCs w:val="26"/>
        </w:rPr>
        <w:t xml:space="preserve"> </w:t>
      </w:r>
      <w:r w:rsidR="000D1FB9" w:rsidRPr="00975C80">
        <w:rPr>
          <w:rFonts w:eastAsiaTheme="minorHAnsi"/>
          <w:color w:val="000000"/>
          <w:sz w:val="26"/>
          <w:szCs w:val="26"/>
        </w:rPr>
        <w:t xml:space="preserve">Therefore, the proposed </w:t>
      </w:r>
      <w:r w:rsidR="0034277F">
        <w:rPr>
          <w:rFonts w:eastAsiaTheme="minorHAnsi"/>
          <w:color w:val="000000"/>
          <w:sz w:val="26"/>
          <w:szCs w:val="26"/>
        </w:rPr>
        <w:t xml:space="preserve">annual revenue </w:t>
      </w:r>
      <w:r w:rsidR="000D1FB9" w:rsidRPr="00975C80">
        <w:rPr>
          <w:rFonts w:eastAsiaTheme="minorHAnsi"/>
          <w:color w:val="000000"/>
          <w:sz w:val="26"/>
          <w:szCs w:val="26"/>
        </w:rPr>
        <w:t xml:space="preserve">increase to customers over current </w:t>
      </w:r>
      <w:r w:rsidR="0034277F">
        <w:rPr>
          <w:rFonts w:eastAsiaTheme="minorHAnsi"/>
          <w:color w:val="000000"/>
          <w:sz w:val="26"/>
          <w:szCs w:val="26"/>
        </w:rPr>
        <w:t xml:space="preserve">rates </w:t>
      </w:r>
      <w:r w:rsidR="000D1FB9" w:rsidRPr="00975C80">
        <w:rPr>
          <w:rFonts w:eastAsiaTheme="minorHAnsi"/>
          <w:color w:val="000000"/>
          <w:sz w:val="26"/>
          <w:szCs w:val="26"/>
        </w:rPr>
        <w:t>was $81.6 million.</w:t>
      </w:r>
    </w:p>
    <w:bookmarkEnd w:id="6"/>
    <w:p w:rsidR="00FE721B" w:rsidRDefault="00FE721B" w:rsidP="007D3734">
      <w:pPr>
        <w:widowControl/>
        <w:autoSpaceDE w:val="0"/>
        <w:autoSpaceDN w:val="0"/>
        <w:adjustRightInd w:val="0"/>
        <w:spacing w:line="360" w:lineRule="auto"/>
        <w:contextualSpacing/>
        <w:rPr>
          <w:rFonts w:eastAsiaTheme="minorHAnsi"/>
          <w:color w:val="000000"/>
          <w:sz w:val="26"/>
          <w:szCs w:val="26"/>
        </w:rPr>
      </w:pPr>
    </w:p>
    <w:p w:rsidR="00823A7B" w:rsidRDefault="00F42E8B" w:rsidP="007D3734">
      <w:pPr>
        <w:widowControl/>
        <w:autoSpaceDE w:val="0"/>
        <w:autoSpaceDN w:val="0"/>
        <w:adjustRightInd w:val="0"/>
        <w:spacing w:line="360" w:lineRule="auto"/>
        <w:rPr>
          <w:rFonts w:eastAsiaTheme="minorHAnsi"/>
          <w:sz w:val="26"/>
          <w:szCs w:val="26"/>
        </w:rPr>
      </w:pPr>
      <w:r>
        <w:rPr>
          <w:rFonts w:eastAsiaTheme="minorHAnsi"/>
          <w:color w:val="000000"/>
          <w:sz w:val="26"/>
          <w:szCs w:val="26"/>
        </w:rPr>
        <w:tab/>
      </w:r>
      <w:r>
        <w:rPr>
          <w:rFonts w:eastAsiaTheme="minorHAnsi"/>
          <w:color w:val="000000"/>
          <w:sz w:val="26"/>
          <w:szCs w:val="26"/>
        </w:rPr>
        <w:tab/>
      </w:r>
      <w:r w:rsidR="00FE721B" w:rsidRPr="00FE721B">
        <w:rPr>
          <w:rFonts w:eastAsiaTheme="minorHAnsi"/>
          <w:color w:val="000000"/>
          <w:sz w:val="26"/>
          <w:szCs w:val="26"/>
        </w:rPr>
        <w:t xml:space="preserve">On April 6, 2018, the Office of Consumer Advocate (OCA) filed a public </w:t>
      </w:r>
      <w:r w:rsidR="00FE721B" w:rsidRPr="00F42E8B">
        <w:rPr>
          <w:rFonts w:eastAsiaTheme="minorHAnsi"/>
          <w:sz w:val="26"/>
          <w:szCs w:val="26"/>
        </w:rPr>
        <w:t xml:space="preserve">statement and formal complaint at Docket No. C-2018-3001029. </w:t>
      </w:r>
      <w:r>
        <w:rPr>
          <w:rFonts w:eastAsiaTheme="minorHAnsi"/>
          <w:sz w:val="26"/>
          <w:szCs w:val="26"/>
        </w:rPr>
        <w:t xml:space="preserve"> </w:t>
      </w:r>
      <w:r w:rsidR="00FE721B" w:rsidRPr="00F42E8B">
        <w:rPr>
          <w:rFonts w:eastAsiaTheme="minorHAnsi"/>
          <w:sz w:val="26"/>
          <w:szCs w:val="26"/>
        </w:rPr>
        <w:t xml:space="preserve">In addition to the formal complaint filed by </w:t>
      </w:r>
      <w:r>
        <w:rPr>
          <w:rFonts w:eastAsiaTheme="minorHAnsi"/>
          <w:sz w:val="26"/>
          <w:szCs w:val="26"/>
        </w:rPr>
        <w:t xml:space="preserve">the </w:t>
      </w:r>
      <w:r w:rsidR="00FE721B" w:rsidRPr="00F42E8B">
        <w:rPr>
          <w:rFonts w:eastAsiaTheme="minorHAnsi"/>
          <w:sz w:val="26"/>
          <w:szCs w:val="26"/>
        </w:rPr>
        <w:t>OCA, formal complaints were filed by Jason Dolby at Docket No. C-2018-3001074; the Peoples Natural Gas Company LLC (Peoples) at Docket No. C-2018-3001152; James Fedell at Docket No. C-2018-3001473;</w:t>
      </w:r>
      <w:r>
        <w:rPr>
          <w:rStyle w:val="FootnoteReference"/>
          <w:rFonts w:eastAsiaTheme="minorHAnsi"/>
          <w:sz w:val="26"/>
          <w:szCs w:val="26"/>
        </w:rPr>
        <w:footnoteReference w:id="5"/>
      </w:r>
      <w:r w:rsidR="00FE721B" w:rsidRPr="00F42E8B">
        <w:rPr>
          <w:rFonts w:eastAsiaTheme="minorHAnsi"/>
          <w:sz w:val="26"/>
          <w:szCs w:val="26"/>
        </w:rPr>
        <w:t xml:space="preserve"> the Office of Small Business Advocate (OSBA) at Docket No. C-2018-3001566; Duquesne Industrial Intervenors (DII) at Docket No. C-2018-3001713; Leonard Coyer at Docket No. C-2018-3002424; and NRG Energy Center Pittsburgh LLC (NRG Pittsburgh or NRGP) at Docket No. C-2018-3002755.</w:t>
      </w:r>
    </w:p>
    <w:p w:rsidR="00F42E8B" w:rsidRPr="00F42E8B" w:rsidRDefault="00F42E8B" w:rsidP="007D3734">
      <w:pPr>
        <w:widowControl/>
        <w:autoSpaceDE w:val="0"/>
        <w:autoSpaceDN w:val="0"/>
        <w:adjustRightInd w:val="0"/>
        <w:spacing w:line="360" w:lineRule="auto"/>
        <w:rPr>
          <w:rFonts w:eastAsiaTheme="minorHAnsi"/>
          <w:color w:val="000000"/>
          <w:sz w:val="26"/>
          <w:szCs w:val="26"/>
        </w:rPr>
      </w:pPr>
    </w:p>
    <w:p w:rsidR="00975C80" w:rsidRDefault="00AD2AC8" w:rsidP="007D3734">
      <w:pPr>
        <w:widowControl/>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r w:rsidR="00975C80" w:rsidRPr="00975C80">
        <w:rPr>
          <w:rFonts w:eastAsiaTheme="minorHAnsi"/>
          <w:color w:val="000000"/>
          <w:sz w:val="26"/>
          <w:szCs w:val="26"/>
        </w:rPr>
        <w:t xml:space="preserve">On April 19, 2018, the Commission suspended the </w:t>
      </w:r>
      <w:r w:rsidR="00BC0D80">
        <w:rPr>
          <w:rFonts w:eastAsiaTheme="minorHAnsi"/>
          <w:color w:val="000000"/>
          <w:sz w:val="26"/>
          <w:szCs w:val="26"/>
        </w:rPr>
        <w:t>effective date of</w:t>
      </w:r>
      <w:r w:rsidR="00975C80" w:rsidRPr="00975C80">
        <w:rPr>
          <w:rFonts w:eastAsiaTheme="minorHAnsi"/>
          <w:color w:val="000000"/>
          <w:sz w:val="26"/>
          <w:szCs w:val="26"/>
        </w:rPr>
        <w:t xml:space="preserve"> Supplement No. 174 by operation of law, pursuant to </w:t>
      </w:r>
      <w:r w:rsidR="00D5754C">
        <w:rPr>
          <w:rFonts w:eastAsiaTheme="minorHAnsi"/>
          <w:color w:val="000000"/>
          <w:sz w:val="26"/>
          <w:szCs w:val="26"/>
        </w:rPr>
        <w:t>Section 1308</w:t>
      </w:r>
      <w:r w:rsidR="00DB4FE6">
        <w:rPr>
          <w:rFonts w:eastAsiaTheme="minorHAnsi"/>
          <w:color w:val="000000"/>
          <w:sz w:val="26"/>
          <w:szCs w:val="26"/>
        </w:rPr>
        <w:t xml:space="preserve">(d) of the Code, </w:t>
      </w:r>
      <w:r w:rsidR="00975C80" w:rsidRPr="00975C80">
        <w:rPr>
          <w:rFonts w:eastAsiaTheme="minorHAnsi"/>
          <w:color w:val="000000"/>
          <w:sz w:val="26"/>
          <w:szCs w:val="26"/>
        </w:rPr>
        <w:t>66</w:t>
      </w:r>
      <w:r w:rsidR="00DB4FE6">
        <w:rPr>
          <w:rFonts w:eastAsiaTheme="minorHAnsi"/>
          <w:color w:val="000000"/>
          <w:sz w:val="26"/>
          <w:szCs w:val="26"/>
        </w:rPr>
        <w:t> </w:t>
      </w:r>
      <w:r w:rsidR="00975C80" w:rsidRPr="00975C80">
        <w:rPr>
          <w:rFonts w:eastAsiaTheme="minorHAnsi"/>
          <w:color w:val="000000"/>
          <w:sz w:val="26"/>
          <w:szCs w:val="26"/>
        </w:rPr>
        <w:t>Pa.</w:t>
      </w:r>
      <w:r w:rsidR="00DB4FE6">
        <w:rPr>
          <w:rFonts w:eastAsiaTheme="minorHAnsi"/>
          <w:color w:val="000000"/>
          <w:sz w:val="26"/>
          <w:szCs w:val="26"/>
        </w:rPr>
        <w:t xml:space="preserve"> </w:t>
      </w:r>
      <w:r w:rsidR="00975C80" w:rsidRPr="00975C80">
        <w:rPr>
          <w:rFonts w:eastAsiaTheme="minorHAnsi"/>
          <w:color w:val="000000"/>
          <w:sz w:val="26"/>
          <w:szCs w:val="26"/>
        </w:rPr>
        <w:t>C.S. § 1308(d), until December 29, 2018, unless permitted by Commission Order to become effective at an earlier date, and instituted an investigation into the lawfulness, justness, and reasonableness of the rates, rules, and regulations proposed in Supplement No. 174.</w:t>
      </w:r>
    </w:p>
    <w:p w:rsidR="00AD2AC8" w:rsidRPr="00975C80" w:rsidRDefault="00AD2AC8" w:rsidP="007D3734">
      <w:pPr>
        <w:widowControl/>
        <w:spacing w:line="360" w:lineRule="auto"/>
        <w:contextualSpacing/>
        <w:rPr>
          <w:rFonts w:eastAsiaTheme="minorHAnsi"/>
          <w:color w:val="000000"/>
          <w:sz w:val="26"/>
          <w:szCs w:val="26"/>
        </w:rPr>
      </w:pPr>
    </w:p>
    <w:p w:rsidR="000D1FB9" w:rsidRPr="00975C80" w:rsidRDefault="00AD2AC8" w:rsidP="007D3734">
      <w:pPr>
        <w:widowControl/>
        <w:spacing w:line="360" w:lineRule="auto"/>
        <w:contextualSpacing/>
        <w:rPr>
          <w:rFonts w:eastAsiaTheme="minorHAnsi"/>
          <w:color w:val="000000"/>
          <w:sz w:val="26"/>
          <w:szCs w:val="26"/>
        </w:rPr>
      </w:pPr>
      <w:r>
        <w:rPr>
          <w:rFonts w:eastAsiaTheme="minorHAnsi"/>
          <w:color w:val="000000"/>
          <w:sz w:val="26"/>
          <w:szCs w:val="26"/>
        </w:rPr>
        <w:lastRenderedPageBreak/>
        <w:tab/>
      </w:r>
      <w:r>
        <w:rPr>
          <w:rFonts w:eastAsiaTheme="minorHAnsi"/>
          <w:color w:val="000000"/>
          <w:sz w:val="26"/>
          <w:szCs w:val="26"/>
        </w:rPr>
        <w:tab/>
      </w:r>
      <w:r w:rsidR="00166731">
        <w:rPr>
          <w:rFonts w:eastAsiaTheme="minorHAnsi"/>
          <w:color w:val="000000"/>
          <w:sz w:val="26"/>
          <w:szCs w:val="26"/>
        </w:rPr>
        <w:t xml:space="preserve">Peoples filed a </w:t>
      </w:r>
      <w:r w:rsidR="00D27C8B">
        <w:rPr>
          <w:rFonts w:eastAsiaTheme="minorHAnsi"/>
          <w:color w:val="000000"/>
          <w:sz w:val="26"/>
          <w:szCs w:val="26"/>
        </w:rPr>
        <w:t>f</w:t>
      </w:r>
      <w:r w:rsidR="00166731">
        <w:rPr>
          <w:rFonts w:eastAsiaTheme="minorHAnsi"/>
          <w:color w:val="000000"/>
          <w:sz w:val="26"/>
          <w:szCs w:val="26"/>
        </w:rPr>
        <w:t>ormal complaint against Duquesne</w:t>
      </w:r>
      <w:r w:rsidR="00D27C8B">
        <w:rPr>
          <w:rFonts w:eastAsiaTheme="minorHAnsi"/>
          <w:color w:val="000000"/>
          <w:sz w:val="26"/>
          <w:szCs w:val="26"/>
        </w:rPr>
        <w:t>,</w:t>
      </w:r>
      <w:r w:rsidR="00166731">
        <w:rPr>
          <w:rFonts w:eastAsiaTheme="minorHAnsi"/>
          <w:color w:val="000000"/>
          <w:sz w:val="26"/>
          <w:szCs w:val="26"/>
        </w:rPr>
        <w:t xml:space="preserve"> at Docket No. C</w:t>
      </w:r>
      <w:r w:rsidR="00E43724">
        <w:rPr>
          <w:rFonts w:eastAsiaTheme="minorHAnsi"/>
          <w:color w:val="000000"/>
          <w:sz w:val="26"/>
          <w:szCs w:val="26"/>
        </w:rPr>
        <w:noBreakHyphen/>
      </w:r>
      <w:r w:rsidR="00166731">
        <w:rPr>
          <w:rFonts w:eastAsiaTheme="minorHAnsi"/>
          <w:color w:val="000000"/>
          <w:sz w:val="26"/>
          <w:szCs w:val="26"/>
        </w:rPr>
        <w:t>2018</w:t>
      </w:r>
      <w:r w:rsidR="00E43724">
        <w:rPr>
          <w:rFonts w:eastAsiaTheme="minorHAnsi"/>
          <w:color w:val="000000"/>
          <w:sz w:val="26"/>
          <w:szCs w:val="26"/>
        </w:rPr>
        <w:noBreakHyphen/>
      </w:r>
      <w:r w:rsidR="00166731">
        <w:rPr>
          <w:rFonts w:eastAsiaTheme="minorHAnsi"/>
          <w:color w:val="000000"/>
          <w:sz w:val="26"/>
          <w:szCs w:val="26"/>
        </w:rPr>
        <w:t>3001152</w:t>
      </w:r>
      <w:r w:rsidR="00D27C8B">
        <w:rPr>
          <w:rFonts w:eastAsiaTheme="minorHAnsi"/>
          <w:color w:val="000000"/>
          <w:sz w:val="26"/>
          <w:szCs w:val="26"/>
        </w:rPr>
        <w:t>,</w:t>
      </w:r>
      <w:r w:rsidR="00166731">
        <w:rPr>
          <w:rFonts w:eastAsiaTheme="minorHAnsi"/>
          <w:color w:val="000000"/>
          <w:sz w:val="26"/>
          <w:szCs w:val="26"/>
        </w:rPr>
        <w:t xml:space="preserve"> </w:t>
      </w:r>
      <w:r w:rsidR="00166731" w:rsidRPr="00994B3F">
        <w:rPr>
          <w:rFonts w:eastAsiaTheme="minorHAnsi"/>
          <w:color w:val="000000"/>
          <w:sz w:val="26"/>
          <w:szCs w:val="26"/>
        </w:rPr>
        <w:t xml:space="preserve">on </w:t>
      </w:r>
      <w:r w:rsidR="00720907" w:rsidRPr="00994B3F">
        <w:rPr>
          <w:rFonts w:eastAsiaTheme="minorHAnsi"/>
          <w:color w:val="000000"/>
          <w:sz w:val="26"/>
          <w:szCs w:val="26"/>
        </w:rPr>
        <w:t>April 10, 2018</w:t>
      </w:r>
      <w:r w:rsidR="00166731" w:rsidRPr="00994B3F">
        <w:rPr>
          <w:rFonts w:eastAsiaTheme="minorHAnsi"/>
          <w:color w:val="000000"/>
          <w:sz w:val="26"/>
          <w:szCs w:val="26"/>
        </w:rPr>
        <w:t>.</w:t>
      </w:r>
      <w:r w:rsidR="00166731">
        <w:rPr>
          <w:rFonts w:eastAsiaTheme="minorHAnsi"/>
          <w:color w:val="000000"/>
          <w:sz w:val="26"/>
          <w:szCs w:val="26"/>
        </w:rPr>
        <w:t xml:space="preserve">  </w:t>
      </w:r>
      <w:r w:rsidR="00975C80" w:rsidRPr="00975C80">
        <w:rPr>
          <w:rFonts w:eastAsiaTheme="minorHAnsi"/>
          <w:color w:val="000000"/>
          <w:sz w:val="26"/>
          <w:szCs w:val="26"/>
        </w:rPr>
        <w:t xml:space="preserve">On May 1, 2018, Duquesne filed a Motion for Partial Judgment on the Pleadings against Peoples. </w:t>
      </w:r>
      <w:r w:rsidR="000D7F88">
        <w:rPr>
          <w:rFonts w:eastAsiaTheme="minorHAnsi"/>
          <w:color w:val="000000"/>
          <w:sz w:val="26"/>
          <w:szCs w:val="26"/>
        </w:rPr>
        <w:t xml:space="preserve"> </w:t>
      </w:r>
      <w:r w:rsidR="00975C80" w:rsidRPr="00975C80">
        <w:rPr>
          <w:rFonts w:eastAsiaTheme="minorHAnsi"/>
          <w:color w:val="000000"/>
          <w:sz w:val="26"/>
          <w:szCs w:val="26"/>
        </w:rPr>
        <w:t xml:space="preserve">Duquesne contended Peoples lacked standing to pursue a claim against </w:t>
      </w:r>
      <w:r w:rsidR="00451D48" w:rsidRPr="00975C80">
        <w:rPr>
          <w:rFonts w:eastAsiaTheme="minorHAnsi"/>
          <w:color w:val="000000"/>
          <w:sz w:val="26"/>
          <w:szCs w:val="26"/>
        </w:rPr>
        <w:t>Duquesne</w:t>
      </w:r>
      <w:r w:rsidR="001E73FA">
        <w:rPr>
          <w:rFonts w:eastAsiaTheme="minorHAnsi"/>
          <w:color w:val="000000"/>
          <w:sz w:val="26"/>
          <w:szCs w:val="26"/>
        </w:rPr>
        <w:t>’</w:t>
      </w:r>
      <w:r w:rsidR="00451D48">
        <w:rPr>
          <w:rFonts w:eastAsiaTheme="minorHAnsi"/>
          <w:color w:val="000000"/>
          <w:sz w:val="26"/>
          <w:szCs w:val="26"/>
        </w:rPr>
        <w:t>s</w:t>
      </w:r>
      <w:r w:rsidR="00451D48" w:rsidRPr="00975C80">
        <w:rPr>
          <w:rFonts w:eastAsiaTheme="minorHAnsi"/>
          <w:color w:val="000000"/>
          <w:sz w:val="26"/>
          <w:szCs w:val="26"/>
        </w:rPr>
        <w:t xml:space="preserve"> proposed</w:t>
      </w:r>
      <w:r w:rsidR="00975C80" w:rsidRPr="00975C80">
        <w:rPr>
          <w:rFonts w:eastAsiaTheme="minorHAnsi"/>
          <w:color w:val="000000"/>
          <w:sz w:val="26"/>
          <w:szCs w:val="26"/>
        </w:rPr>
        <w:t xml:space="preserve"> changes to </w:t>
      </w:r>
      <w:r w:rsidR="00BF7139">
        <w:rPr>
          <w:rFonts w:eastAsiaTheme="minorHAnsi"/>
          <w:color w:val="000000"/>
          <w:sz w:val="26"/>
          <w:szCs w:val="26"/>
        </w:rPr>
        <w:t>Rider</w:t>
      </w:r>
      <w:r w:rsidR="00975C80" w:rsidRPr="00975C80">
        <w:rPr>
          <w:rFonts w:eastAsiaTheme="minorHAnsi"/>
          <w:color w:val="000000"/>
          <w:sz w:val="26"/>
          <w:szCs w:val="26"/>
        </w:rPr>
        <w:t xml:space="preserve"> No. 16 because Peoples did not receive service under </w:t>
      </w:r>
      <w:r w:rsidR="00904A24">
        <w:rPr>
          <w:rFonts w:eastAsiaTheme="minorHAnsi"/>
          <w:color w:val="000000"/>
          <w:sz w:val="26"/>
          <w:szCs w:val="26"/>
        </w:rPr>
        <w:t xml:space="preserve">the Rider and thus, Peoples </w:t>
      </w:r>
      <w:r w:rsidR="00975C80" w:rsidRPr="00975C80">
        <w:rPr>
          <w:rFonts w:eastAsiaTheme="minorHAnsi"/>
          <w:color w:val="000000"/>
          <w:sz w:val="26"/>
          <w:szCs w:val="26"/>
        </w:rPr>
        <w:t xml:space="preserve">lacked standing to pursue a claim on behalf of its customers who might use </w:t>
      </w:r>
      <w:r w:rsidR="00BF7139">
        <w:rPr>
          <w:rFonts w:eastAsiaTheme="minorHAnsi"/>
          <w:color w:val="000000"/>
          <w:sz w:val="26"/>
          <w:szCs w:val="26"/>
        </w:rPr>
        <w:t>Rider</w:t>
      </w:r>
      <w:r w:rsidR="00975C80" w:rsidRPr="00975C80">
        <w:rPr>
          <w:rFonts w:eastAsiaTheme="minorHAnsi"/>
          <w:color w:val="000000"/>
          <w:sz w:val="26"/>
          <w:szCs w:val="26"/>
        </w:rPr>
        <w:t xml:space="preserve"> No. 16.</w:t>
      </w:r>
    </w:p>
    <w:p w:rsidR="00AD2AC8" w:rsidRPr="00975C80" w:rsidRDefault="00AD2AC8" w:rsidP="007D3734">
      <w:pPr>
        <w:widowControl/>
        <w:autoSpaceDE w:val="0"/>
        <w:autoSpaceDN w:val="0"/>
        <w:adjustRightInd w:val="0"/>
        <w:spacing w:line="360" w:lineRule="auto"/>
        <w:contextualSpacing/>
        <w:rPr>
          <w:rFonts w:eastAsiaTheme="minorHAnsi"/>
          <w:color w:val="000000"/>
          <w:sz w:val="26"/>
          <w:szCs w:val="26"/>
        </w:rPr>
      </w:pPr>
    </w:p>
    <w:p w:rsidR="00975C80" w:rsidRDefault="00AD2AC8"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r w:rsidR="00975C80" w:rsidRPr="00975C80">
        <w:rPr>
          <w:rFonts w:eastAsiaTheme="minorHAnsi"/>
          <w:color w:val="000000"/>
          <w:sz w:val="26"/>
          <w:szCs w:val="26"/>
        </w:rPr>
        <w:t>On May 15, 2018, the O</w:t>
      </w:r>
      <w:r w:rsidR="00904A24">
        <w:rPr>
          <w:rFonts w:eastAsiaTheme="minorHAnsi"/>
          <w:color w:val="000000"/>
          <w:sz w:val="26"/>
          <w:szCs w:val="26"/>
        </w:rPr>
        <w:t xml:space="preserve">ffice of Administrative Law Judge </w:t>
      </w:r>
      <w:r w:rsidR="00975C80" w:rsidRPr="00975C80">
        <w:rPr>
          <w:rFonts w:eastAsiaTheme="minorHAnsi"/>
          <w:color w:val="000000"/>
          <w:sz w:val="26"/>
          <w:szCs w:val="26"/>
        </w:rPr>
        <w:t xml:space="preserve">scheduled one public input hearing to be conducted </w:t>
      </w:r>
      <w:r w:rsidR="001B7B41">
        <w:rPr>
          <w:rFonts w:eastAsiaTheme="minorHAnsi"/>
          <w:color w:val="000000"/>
          <w:sz w:val="26"/>
          <w:szCs w:val="26"/>
        </w:rPr>
        <w:t>i</w:t>
      </w:r>
      <w:r w:rsidR="00975C80" w:rsidRPr="00975C80">
        <w:rPr>
          <w:rFonts w:eastAsiaTheme="minorHAnsi"/>
          <w:color w:val="000000"/>
          <w:sz w:val="26"/>
          <w:szCs w:val="26"/>
        </w:rPr>
        <w:t>n the afternoon of June 14, 2018</w:t>
      </w:r>
      <w:r w:rsidR="007969F4">
        <w:rPr>
          <w:rFonts w:eastAsiaTheme="minorHAnsi"/>
          <w:color w:val="000000"/>
          <w:sz w:val="26"/>
          <w:szCs w:val="26"/>
        </w:rPr>
        <w:t>,</w:t>
      </w:r>
      <w:r w:rsidR="00975C80" w:rsidRPr="00975C80">
        <w:rPr>
          <w:rFonts w:eastAsiaTheme="minorHAnsi"/>
          <w:color w:val="000000"/>
          <w:sz w:val="26"/>
          <w:szCs w:val="26"/>
        </w:rPr>
        <w:t xml:space="preserve"> in the City of Pittsburgh, Allegheny County, Pennsylvania and another public input hearing to be conducted </w:t>
      </w:r>
      <w:r w:rsidR="00F034E3">
        <w:rPr>
          <w:rFonts w:eastAsiaTheme="minorHAnsi"/>
          <w:color w:val="000000"/>
          <w:sz w:val="26"/>
          <w:szCs w:val="26"/>
        </w:rPr>
        <w:t>i</w:t>
      </w:r>
      <w:r w:rsidR="00975C80" w:rsidRPr="00975C80">
        <w:rPr>
          <w:rFonts w:eastAsiaTheme="minorHAnsi"/>
          <w:color w:val="000000"/>
          <w:sz w:val="26"/>
          <w:szCs w:val="26"/>
        </w:rPr>
        <w:t>n the evening of June 14, 2018</w:t>
      </w:r>
      <w:r w:rsidR="007969F4">
        <w:rPr>
          <w:rFonts w:eastAsiaTheme="minorHAnsi"/>
          <w:color w:val="000000"/>
          <w:sz w:val="26"/>
          <w:szCs w:val="26"/>
        </w:rPr>
        <w:t>,</w:t>
      </w:r>
      <w:r w:rsidR="00975C80" w:rsidRPr="00975C80">
        <w:rPr>
          <w:rFonts w:eastAsiaTheme="minorHAnsi"/>
          <w:color w:val="000000"/>
          <w:sz w:val="26"/>
          <w:szCs w:val="26"/>
        </w:rPr>
        <w:t xml:space="preserve"> in Beaver Falls, Beaver County, Pennsylvania. </w:t>
      </w:r>
      <w:r w:rsidR="007969F4">
        <w:rPr>
          <w:rFonts w:eastAsiaTheme="minorHAnsi"/>
          <w:color w:val="000000"/>
          <w:sz w:val="26"/>
          <w:szCs w:val="26"/>
        </w:rPr>
        <w:t xml:space="preserve"> </w:t>
      </w:r>
      <w:r w:rsidR="00975C80" w:rsidRPr="00975C80">
        <w:rPr>
          <w:rFonts w:eastAsiaTheme="minorHAnsi"/>
          <w:color w:val="000000"/>
          <w:sz w:val="26"/>
          <w:szCs w:val="26"/>
        </w:rPr>
        <w:t>Notice was published in two newspapers of general circulation on June 1, 2018</w:t>
      </w:r>
      <w:r w:rsidR="007969F4">
        <w:rPr>
          <w:rFonts w:eastAsiaTheme="minorHAnsi"/>
          <w:color w:val="000000"/>
          <w:sz w:val="26"/>
          <w:szCs w:val="26"/>
        </w:rPr>
        <w:t>,</w:t>
      </w:r>
      <w:r w:rsidR="00975C80" w:rsidRPr="00975C80">
        <w:rPr>
          <w:rFonts w:eastAsiaTheme="minorHAnsi"/>
          <w:color w:val="000000"/>
          <w:sz w:val="26"/>
          <w:szCs w:val="26"/>
        </w:rPr>
        <w:t xml:space="preserve"> and June 8, 2018. </w:t>
      </w:r>
    </w:p>
    <w:p w:rsidR="00AD2AC8" w:rsidRPr="00975C80" w:rsidRDefault="00AD2AC8" w:rsidP="007D3734">
      <w:pPr>
        <w:widowControl/>
        <w:autoSpaceDE w:val="0"/>
        <w:autoSpaceDN w:val="0"/>
        <w:adjustRightInd w:val="0"/>
        <w:spacing w:line="360" w:lineRule="auto"/>
        <w:contextualSpacing/>
        <w:rPr>
          <w:rFonts w:eastAsiaTheme="minorHAnsi"/>
          <w:color w:val="000000"/>
          <w:sz w:val="26"/>
          <w:szCs w:val="26"/>
        </w:rPr>
      </w:pPr>
    </w:p>
    <w:p w:rsidR="00975C80" w:rsidRDefault="00AD2AC8"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r w:rsidR="00975C80" w:rsidRPr="00975C80">
        <w:rPr>
          <w:rFonts w:eastAsiaTheme="minorHAnsi"/>
          <w:color w:val="000000"/>
          <w:sz w:val="26"/>
          <w:szCs w:val="26"/>
        </w:rPr>
        <w:t>On May 18, 2018, the Commission consolidated the temporary rates proceeding for Duquesne at Docket No. R-2018-3000829 with the pending Section 1308(d) rate proceeding at Docket No. R-2018-3000124, pursuant to the Commission</w:t>
      </w:r>
      <w:r w:rsidR="001E73FA">
        <w:rPr>
          <w:rFonts w:eastAsiaTheme="minorHAnsi"/>
          <w:color w:val="000000"/>
          <w:sz w:val="26"/>
          <w:szCs w:val="26"/>
        </w:rPr>
        <w:t>’</w:t>
      </w:r>
      <w:r w:rsidR="00975C80" w:rsidRPr="00975C80">
        <w:rPr>
          <w:rFonts w:eastAsiaTheme="minorHAnsi"/>
          <w:color w:val="000000"/>
          <w:sz w:val="26"/>
          <w:szCs w:val="26"/>
        </w:rPr>
        <w:t>s Order adopted May 17, 2018 at Docket No. M-2018-2641242 concerning the Tax Cuts and Jobs Act of 2017</w:t>
      </w:r>
      <w:r w:rsidR="004F7E64">
        <w:rPr>
          <w:rFonts w:eastAsiaTheme="minorHAnsi"/>
          <w:color w:val="000000"/>
          <w:sz w:val="26"/>
          <w:szCs w:val="26"/>
        </w:rPr>
        <w:t xml:space="preserve"> </w:t>
      </w:r>
      <w:r w:rsidR="004F7E64" w:rsidRPr="00975C80">
        <w:rPr>
          <w:rFonts w:eastAsiaTheme="minorHAnsi"/>
          <w:color w:val="000000"/>
          <w:sz w:val="26"/>
          <w:szCs w:val="26"/>
        </w:rPr>
        <w:t>(TCJA)</w:t>
      </w:r>
      <w:r w:rsidR="00975C80" w:rsidRPr="00975C80">
        <w:rPr>
          <w:rFonts w:eastAsiaTheme="minorHAnsi"/>
          <w:color w:val="000000"/>
          <w:sz w:val="26"/>
          <w:szCs w:val="26"/>
        </w:rPr>
        <w:t xml:space="preserve">. </w:t>
      </w:r>
      <w:r w:rsidR="004F7E64">
        <w:rPr>
          <w:rFonts w:eastAsiaTheme="minorHAnsi"/>
          <w:color w:val="000000"/>
          <w:sz w:val="26"/>
          <w:szCs w:val="26"/>
        </w:rPr>
        <w:t xml:space="preserve"> </w:t>
      </w:r>
      <w:r w:rsidR="00975C80" w:rsidRPr="00975C80">
        <w:rPr>
          <w:rFonts w:eastAsiaTheme="minorHAnsi"/>
          <w:color w:val="000000"/>
          <w:sz w:val="26"/>
          <w:szCs w:val="26"/>
        </w:rPr>
        <w:t xml:space="preserve">The Commission specified the parties were expected to address the effect of the federal tax rate reductions and other changes in the </w:t>
      </w:r>
      <w:r w:rsidR="004F7E64">
        <w:rPr>
          <w:rFonts w:eastAsiaTheme="minorHAnsi"/>
          <w:color w:val="000000"/>
          <w:sz w:val="26"/>
          <w:szCs w:val="26"/>
        </w:rPr>
        <w:t>TCJA</w:t>
      </w:r>
      <w:r w:rsidR="00975C80" w:rsidRPr="00975C80">
        <w:rPr>
          <w:rFonts w:eastAsiaTheme="minorHAnsi"/>
          <w:color w:val="000000"/>
          <w:sz w:val="26"/>
          <w:szCs w:val="26"/>
        </w:rPr>
        <w:t xml:space="preserve"> on the justness and reasonableness of the consumer rates charged during the term of the suspension period and, in particular, whether a retroactive surcharge or other measure is necessary to account for the tax rate changes that became effective on January 1, 2018. </w:t>
      </w:r>
    </w:p>
    <w:p w:rsidR="00AD2AC8" w:rsidRPr="00975C80" w:rsidRDefault="00AD2AC8" w:rsidP="007D3734">
      <w:pPr>
        <w:widowControl/>
        <w:autoSpaceDE w:val="0"/>
        <w:autoSpaceDN w:val="0"/>
        <w:adjustRightInd w:val="0"/>
        <w:spacing w:line="360" w:lineRule="auto"/>
        <w:contextualSpacing/>
        <w:rPr>
          <w:rFonts w:eastAsiaTheme="minorHAnsi"/>
          <w:color w:val="000000"/>
          <w:sz w:val="26"/>
          <w:szCs w:val="26"/>
        </w:rPr>
      </w:pPr>
    </w:p>
    <w:p w:rsidR="00975C80" w:rsidRDefault="00AD2AC8"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r w:rsidR="00975C80" w:rsidRPr="00975C80">
        <w:rPr>
          <w:rFonts w:eastAsiaTheme="minorHAnsi"/>
          <w:color w:val="000000"/>
          <w:sz w:val="26"/>
          <w:szCs w:val="26"/>
        </w:rPr>
        <w:t xml:space="preserve">On May 22, 2018, the </w:t>
      </w:r>
      <w:r w:rsidR="004F7E64">
        <w:rPr>
          <w:rFonts w:eastAsiaTheme="minorHAnsi"/>
          <w:color w:val="000000"/>
          <w:sz w:val="26"/>
          <w:szCs w:val="26"/>
        </w:rPr>
        <w:t>ALJ</w:t>
      </w:r>
      <w:r w:rsidR="00975C80" w:rsidRPr="00975C80">
        <w:rPr>
          <w:rFonts w:eastAsiaTheme="minorHAnsi"/>
          <w:color w:val="000000"/>
          <w:sz w:val="26"/>
          <w:szCs w:val="26"/>
        </w:rPr>
        <w:t xml:space="preserve"> issued an Interim Order which granted </w:t>
      </w:r>
      <w:r w:rsidR="00451D48" w:rsidRPr="00975C80">
        <w:rPr>
          <w:rFonts w:eastAsiaTheme="minorHAnsi"/>
          <w:color w:val="000000"/>
          <w:sz w:val="26"/>
          <w:szCs w:val="26"/>
        </w:rPr>
        <w:t>Duquesne</w:t>
      </w:r>
      <w:r w:rsidR="001E73FA">
        <w:rPr>
          <w:rFonts w:eastAsiaTheme="minorHAnsi"/>
          <w:color w:val="000000"/>
          <w:sz w:val="26"/>
          <w:szCs w:val="26"/>
        </w:rPr>
        <w:t>’</w:t>
      </w:r>
      <w:r w:rsidR="00451D48">
        <w:rPr>
          <w:rFonts w:eastAsiaTheme="minorHAnsi"/>
          <w:color w:val="000000"/>
          <w:sz w:val="26"/>
          <w:szCs w:val="26"/>
        </w:rPr>
        <w:t>s</w:t>
      </w:r>
      <w:r w:rsidR="00451D48" w:rsidRPr="00975C80">
        <w:rPr>
          <w:rFonts w:eastAsiaTheme="minorHAnsi"/>
          <w:color w:val="000000"/>
          <w:sz w:val="26"/>
          <w:szCs w:val="26"/>
        </w:rPr>
        <w:t xml:space="preserve"> Motion</w:t>
      </w:r>
      <w:r w:rsidR="00975C80" w:rsidRPr="00975C80">
        <w:rPr>
          <w:rFonts w:eastAsiaTheme="minorHAnsi"/>
          <w:color w:val="000000"/>
          <w:sz w:val="26"/>
          <w:szCs w:val="26"/>
        </w:rPr>
        <w:t xml:space="preserve"> for Partial Judgment on the Pleadings against Peoples. </w:t>
      </w:r>
      <w:r w:rsidR="004F7E64">
        <w:rPr>
          <w:rFonts w:eastAsiaTheme="minorHAnsi"/>
          <w:color w:val="000000"/>
          <w:sz w:val="26"/>
          <w:szCs w:val="26"/>
        </w:rPr>
        <w:t xml:space="preserve"> </w:t>
      </w:r>
      <w:r w:rsidR="00975C80" w:rsidRPr="00975C80">
        <w:rPr>
          <w:rFonts w:eastAsiaTheme="minorHAnsi"/>
          <w:color w:val="000000"/>
          <w:sz w:val="26"/>
          <w:szCs w:val="26"/>
        </w:rPr>
        <w:t>The Interim Order noted Peoples was still a party in the base rate proceeding due to its status as a customer of Duquesne.</w:t>
      </w:r>
    </w:p>
    <w:p w:rsidR="00AD2AC8" w:rsidRPr="00975C80" w:rsidRDefault="00AD2AC8" w:rsidP="007D3734">
      <w:pPr>
        <w:widowControl/>
        <w:autoSpaceDE w:val="0"/>
        <w:autoSpaceDN w:val="0"/>
        <w:adjustRightInd w:val="0"/>
        <w:spacing w:line="360" w:lineRule="auto"/>
        <w:contextualSpacing/>
        <w:rPr>
          <w:rFonts w:eastAsiaTheme="minorHAnsi"/>
          <w:color w:val="000000"/>
          <w:sz w:val="26"/>
          <w:szCs w:val="26"/>
        </w:rPr>
      </w:pPr>
    </w:p>
    <w:p w:rsidR="00975C80" w:rsidRDefault="00AD2AC8" w:rsidP="007D3734">
      <w:pPr>
        <w:pStyle w:val="Default"/>
        <w:spacing w:line="360" w:lineRule="auto"/>
        <w:contextualSpacing/>
        <w:rPr>
          <w:sz w:val="26"/>
          <w:szCs w:val="26"/>
        </w:rPr>
      </w:pPr>
      <w:r>
        <w:rPr>
          <w:sz w:val="26"/>
          <w:szCs w:val="26"/>
        </w:rPr>
        <w:lastRenderedPageBreak/>
        <w:tab/>
      </w:r>
      <w:r>
        <w:rPr>
          <w:sz w:val="26"/>
          <w:szCs w:val="26"/>
        </w:rPr>
        <w:tab/>
      </w:r>
      <w:r w:rsidR="00975C80" w:rsidRPr="00975C80">
        <w:rPr>
          <w:sz w:val="26"/>
          <w:szCs w:val="26"/>
        </w:rPr>
        <w:t>Also</w:t>
      </w:r>
      <w:r w:rsidR="00D82B2B">
        <w:rPr>
          <w:sz w:val="26"/>
          <w:szCs w:val="26"/>
        </w:rPr>
        <w:t>,</w:t>
      </w:r>
      <w:r w:rsidR="00975C80" w:rsidRPr="00975C80">
        <w:rPr>
          <w:sz w:val="26"/>
          <w:szCs w:val="26"/>
        </w:rPr>
        <w:t xml:space="preserve"> on May 22, 2018, Peoples filed a Petition for Interlocutory Review and Answer to Material Question on an Expedited Basis (</w:t>
      </w:r>
      <w:r w:rsidR="00975C80" w:rsidRPr="00D32E33">
        <w:rPr>
          <w:i/>
          <w:sz w:val="26"/>
        </w:rPr>
        <w:t>IR Petition</w:t>
      </w:r>
      <w:r w:rsidR="00975C80" w:rsidRPr="00975C80">
        <w:rPr>
          <w:sz w:val="26"/>
          <w:szCs w:val="26"/>
        </w:rPr>
        <w:t>) with the Commission, pursuant to 52 Pa.</w:t>
      </w:r>
      <w:r w:rsidR="00D82B2B">
        <w:rPr>
          <w:sz w:val="26"/>
          <w:szCs w:val="26"/>
        </w:rPr>
        <w:t xml:space="preserve"> </w:t>
      </w:r>
      <w:r w:rsidR="00975C80" w:rsidRPr="00975C80">
        <w:rPr>
          <w:sz w:val="26"/>
          <w:szCs w:val="26"/>
        </w:rPr>
        <w:t>Code § 5.302(a).</w:t>
      </w:r>
      <w:r w:rsidR="00D82B2B">
        <w:rPr>
          <w:sz w:val="26"/>
          <w:szCs w:val="26"/>
        </w:rPr>
        <w:t xml:space="preserve"> </w:t>
      </w:r>
      <w:r w:rsidR="00975C80" w:rsidRPr="00975C80">
        <w:rPr>
          <w:sz w:val="26"/>
          <w:szCs w:val="26"/>
        </w:rPr>
        <w:t xml:space="preserve"> Peoples asked the Commission if the presiding officer erred in the Interim Order dated May 22, 2018</w:t>
      </w:r>
      <w:r w:rsidR="00ED294F">
        <w:rPr>
          <w:sz w:val="26"/>
          <w:szCs w:val="26"/>
        </w:rPr>
        <w:t xml:space="preserve">, </w:t>
      </w:r>
      <w:r w:rsidR="002A5CCE">
        <w:rPr>
          <w:sz w:val="26"/>
          <w:szCs w:val="26"/>
        </w:rPr>
        <w:t xml:space="preserve">when </w:t>
      </w:r>
      <w:r w:rsidR="00975C80" w:rsidRPr="00975C80">
        <w:rPr>
          <w:sz w:val="26"/>
          <w:szCs w:val="26"/>
        </w:rPr>
        <w:t xml:space="preserve">granting the Motion for Partial Judgment on the Pleadings filed by Duquesne on May 1, 2018. </w:t>
      </w:r>
      <w:r w:rsidR="002A5CCE">
        <w:rPr>
          <w:sz w:val="26"/>
          <w:szCs w:val="26"/>
        </w:rPr>
        <w:t xml:space="preserve"> </w:t>
      </w:r>
      <w:r w:rsidR="00975C80" w:rsidRPr="00975C80">
        <w:rPr>
          <w:sz w:val="26"/>
          <w:szCs w:val="26"/>
        </w:rPr>
        <w:t xml:space="preserve">Peoples and DII filed briefs in support of the </w:t>
      </w:r>
      <w:r w:rsidR="00975C80" w:rsidRPr="00D32E33">
        <w:rPr>
          <w:i/>
          <w:sz w:val="26"/>
        </w:rPr>
        <w:t>IR Petition</w:t>
      </w:r>
      <w:r w:rsidR="00975C80" w:rsidRPr="00975C80">
        <w:rPr>
          <w:sz w:val="26"/>
          <w:szCs w:val="26"/>
        </w:rPr>
        <w:t xml:space="preserve">, and Duquesne filed a brief in opposition to the </w:t>
      </w:r>
      <w:r w:rsidR="00975C80" w:rsidRPr="00D32E33">
        <w:rPr>
          <w:i/>
          <w:sz w:val="26"/>
        </w:rPr>
        <w:t>IR Petition</w:t>
      </w:r>
      <w:r w:rsidR="00975C80" w:rsidRPr="00975C80">
        <w:rPr>
          <w:sz w:val="26"/>
          <w:szCs w:val="26"/>
        </w:rPr>
        <w:t>.</w:t>
      </w:r>
    </w:p>
    <w:p w:rsidR="00AD2AC8" w:rsidRPr="00975C80" w:rsidRDefault="00AD2AC8" w:rsidP="007D3734">
      <w:pPr>
        <w:widowControl/>
        <w:autoSpaceDE w:val="0"/>
        <w:autoSpaceDN w:val="0"/>
        <w:adjustRightInd w:val="0"/>
        <w:spacing w:line="360" w:lineRule="auto"/>
        <w:contextualSpacing/>
        <w:rPr>
          <w:rFonts w:eastAsiaTheme="minorHAnsi"/>
          <w:color w:val="000000"/>
          <w:sz w:val="26"/>
          <w:szCs w:val="26"/>
        </w:rPr>
      </w:pPr>
    </w:p>
    <w:p w:rsidR="00975C80" w:rsidRDefault="00AD2AC8"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r w:rsidR="00975C80" w:rsidRPr="00975C80">
        <w:rPr>
          <w:rFonts w:eastAsiaTheme="minorHAnsi"/>
          <w:color w:val="000000"/>
          <w:sz w:val="26"/>
          <w:szCs w:val="26"/>
        </w:rPr>
        <w:t xml:space="preserve">On May 31, 2018, KEEA filed a Petition to Intervene. </w:t>
      </w:r>
      <w:r w:rsidR="00756166">
        <w:rPr>
          <w:rFonts w:eastAsiaTheme="minorHAnsi"/>
          <w:color w:val="000000"/>
          <w:sz w:val="26"/>
          <w:szCs w:val="26"/>
        </w:rPr>
        <w:t xml:space="preserve"> </w:t>
      </w:r>
      <w:r w:rsidR="00975C80" w:rsidRPr="00975C80">
        <w:rPr>
          <w:rFonts w:eastAsiaTheme="minorHAnsi"/>
          <w:color w:val="000000"/>
          <w:sz w:val="26"/>
          <w:szCs w:val="26"/>
        </w:rPr>
        <w:t xml:space="preserve">KEEA averred it consisted of over </w:t>
      </w:r>
      <w:r w:rsidR="00756166">
        <w:rPr>
          <w:rFonts w:eastAsiaTheme="minorHAnsi"/>
          <w:color w:val="000000"/>
          <w:sz w:val="26"/>
          <w:szCs w:val="26"/>
        </w:rPr>
        <w:t xml:space="preserve">forty </w:t>
      </w:r>
      <w:r w:rsidR="00975C80" w:rsidRPr="00975C80">
        <w:rPr>
          <w:rFonts w:eastAsiaTheme="minorHAnsi"/>
          <w:color w:val="000000"/>
          <w:sz w:val="26"/>
          <w:szCs w:val="26"/>
        </w:rPr>
        <w:t>entities which implement energy efficiency improvements</w:t>
      </w:r>
      <w:r w:rsidR="00A6506C">
        <w:rPr>
          <w:rFonts w:eastAsiaTheme="minorHAnsi"/>
          <w:color w:val="000000"/>
          <w:sz w:val="26"/>
          <w:szCs w:val="26"/>
        </w:rPr>
        <w:t>,</w:t>
      </w:r>
      <w:r w:rsidR="00975C80" w:rsidRPr="00975C80">
        <w:rPr>
          <w:rFonts w:eastAsiaTheme="minorHAnsi"/>
          <w:color w:val="000000"/>
          <w:sz w:val="26"/>
          <w:szCs w:val="26"/>
        </w:rPr>
        <w:t xml:space="preserve"> and the proposed changes to </w:t>
      </w:r>
      <w:r w:rsidR="00BF7139">
        <w:rPr>
          <w:rFonts w:eastAsiaTheme="minorHAnsi"/>
          <w:color w:val="000000"/>
          <w:sz w:val="26"/>
          <w:szCs w:val="26"/>
        </w:rPr>
        <w:t>Rider</w:t>
      </w:r>
      <w:r w:rsidR="00975C80" w:rsidRPr="00975C80">
        <w:rPr>
          <w:rFonts w:eastAsiaTheme="minorHAnsi"/>
          <w:color w:val="000000"/>
          <w:sz w:val="26"/>
          <w:szCs w:val="26"/>
        </w:rPr>
        <w:t xml:space="preserve"> No. 16 could impact negatively the ability of KEEA entities to offer these energy efficiency improvements to customers of Duquesne</w:t>
      </w:r>
      <w:r w:rsidR="00A6506C">
        <w:rPr>
          <w:rFonts w:eastAsiaTheme="minorHAnsi"/>
          <w:color w:val="000000"/>
          <w:sz w:val="26"/>
          <w:szCs w:val="26"/>
        </w:rPr>
        <w:t>.</w:t>
      </w:r>
    </w:p>
    <w:p w:rsidR="00975C80" w:rsidRPr="00975C80" w:rsidRDefault="00975C80" w:rsidP="007D3734">
      <w:pPr>
        <w:widowControl/>
        <w:spacing w:line="360" w:lineRule="auto"/>
        <w:contextualSpacing/>
        <w:rPr>
          <w:sz w:val="26"/>
          <w:szCs w:val="26"/>
        </w:rPr>
      </w:pPr>
    </w:p>
    <w:p w:rsidR="00975C80" w:rsidRDefault="00AD2AC8"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r w:rsidR="00975C80" w:rsidRPr="00975C80">
        <w:rPr>
          <w:rFonts w:eastAsiaTheme="minorHAnsi"/>
          <w:color w:val="000000"/>
          <w:sz w:val="26"/>
          <w:szCs w:val="26"/>
        </w:rPr>
        <w:t xml:space="preserve">On June 14, 2018, the </w:t>
      </w:r>
      <w:r w:rsidR="00166731">
        <w:rPr>
          <w:rFonts w:eastAsiaTheme="minorHAnsi"/>
          <w:color w:val="000000"/>
          <w:sz w:val="26"/>
          <w:szCs w:val="26"/>
        </w:rPr>
        <w:t>ALJ</w:t>
      </w:r>
      <w:r w:rsidR="00975C80" w:rsidRPr="00975C80">
        <w:rPr>
          <w:rFonts w:eastAsiaTheme="minorHAnsi"/>
          <w:color w:val="000000"/>
          <w:sz w:val="26"/>
          <w:szCs w:val="26"/>
        </w:rPr>
        <w:t xml:space="preserve"> conducted an afternoon public input hearing at which ten people appeared and testified under oath, and an evening public input hearing at which two people appeared and testified under oath. </w:t>
      </w:r>
      <w:r>
        <w:rPr>
          <w:rFonts w:eastAsiaTheme="minorHAnsi"/>
          <w:color w:val="000000"/>
          <w:sz w:val="26"/>
          <w:szCs w:val="26"/>
        </w:rPr>
        <w:t xml:space="preserve"> </w:t>
      </w:r>
      <w:r w:rsidR="00975C80" w:rsidRPr="00975C80">
        <w:rPr>
          <w:rFonts w:eastAsiaTheme="minorHAnsi"/>
          <w:color w:val="000000"/>
          <w:sz w:val="26"/>
          <w:szCs w:val="26"/>
        </w:rPr>
        <w:t xml:space="preserve">On the same date (June 14, 2018), the Commission issued its Opinion and Order on </w:t>
      </w:r>
      <w:r w:rsidR="00A6506C">
        <w:rPr>
          <w:rFonts w:eastAsiaTheme="minorHAnsi"/>
          <w:color w:val="000000"/>
          <w:sz w:val="26"/>
          <w:szCs w:val="26"/>
        </w:rPr>
        <w:t>Peoples</w:t>
      </w:r>
      <w:r w:rsidR="001E73FA">
        <w:rPr>
          <w:rFonts w:eastAsiaTheme="minorHAnsi"/>
          <w:color w:val="000000"/>
          <w:sz w:val="26"/>
          <w:szCs w:val="26"/>
        </w:rPr>
        <w:t>’</w:t>
      </w:r>
      <w:r w:rsidR="00975C80" w:rsidRPr="00975C80">
        <w:rPr>
          <w:rFonts w:eastAsiaTheme="minorHAnsi"/>
          <w:color w:val="000000"/>
          <w:sz w:val="26"/>
          <w:szCs w:val="26"/>
        </w:rPr>
        <w:t xml:space="preserve"> </w:t>
      </w:r>
      <w:r w:rsidR="00975C80" w:rsidRPr="00D32E33">
        <w:rPr>
          <w:rFonts w:eastAsiaTheme="minorHAnsi"/>
          <w:i/>
          <w:color w:val="000000"/>
          <w:sz w:val="26"/>
        </w:rPr>
        <w:t>IR Petition</w:t>
      </w:r>
      <w:r w:rsidR="00576C02" w:rsidRPr="00D32E33">
        <w:rPr>
          <w:rFonts w:eastAsiaTheme="minorHAnsi"/>
          <w:i/>
          <w:color w:val="000000"/>
          <w:sz w:val="26"/>
        </w:rPr>
        <w:t xml:space="preserve"> </w:t>
      </w:r>
      <w:r w:rsidR="00576C02">
        <w:rPr>
          <w:rFonts w:eastAsiaTheme="minorHAnsi"/>
          <w:color w:val="000000"/>
          <w:sz w:val="26"/>
          <w:szCs w:val="26"/>
        </w:rPr>
        <w:t xml:space="preserve">in which it answered </w:t>
      </w:r>
      <w:r w:rsidR="00AC7C55">
        <w:rPr>
          <w:rFonts w:eastAsiaTheme="minorHAnsi"/>
          <w:color w:val="000000"/>
          <w:sz w:val="26"/>
          <w:szCs w:val="26"/>
        </w:rPr>
        <w:t xml:space="preserve">in the affirmative </w:t>
      </w:r>
      <w:r w:rsidR="00576C02">
        <w:rPr>
          <w:rFonts w:eastAsiaTheme="minorHAnsi"/>
          <w:color w:val="000000"/>
          <w:sz w:val="26"/>
          <w:szCs w:val="26"/>
        </w:rPr>
        <w:t xml:space="preserve">the material question of whether </w:t>
      </w:r>
      <w:r w:rsidR="00975C80" w:rsidRPr="00975C80">
        <w:rPr>
          <w:rFonts w:eastAsiaTheme="minorHAnsi"/>
          <w:color w:val="000000"/>
          <w:sz w:val="26"/>
          <w:szCs w:val="26"/>
        </w:rPr>
        <w:t xml:space="preserve">the May 22, 2018 Interim Order (which granted the Motion for Partial Judgment on the Pleadings) erred by precluding Peoples, as a developer of Combined Heat </w:t>
      </w:r>
      <w:r>
        <w:rPr>
          <w:rFonts w:eastAsiaTheme="minorHAnsi"/>
          <w:color w:val="000000"/>
          <w:sz w:val="26"/>
          <w:szCs w:val="26"/>
        </w:rPr>
        <w:t>a</w:t>
      </w:r>
      <w:r w:rsidR="00975C80" w:rsidRPr="00975C80">
        <w:rPr>
          <w:rFonts w:eastAsiaTheme="minorHAnsi"/>
          <w:color w:val="000000"/>
          <w:sz w:val="26"/>
          <w:szCs w:val="26"/>
        </w:rPr>
        <w:t>nd Power projects, from contesting Duquesne</w:t>
      </w:r>
      <w:r w:rsidR="001E73FA">
        <w:rPr>
          <w:rFonts w:eastAsiaTheme="minorHAnsi"/>
          <w:color w:val="000000"/>
          <w:sz w:val="26"/>
          <w:szCs w:val="26"/>
        </w:rPr>
        <w:t>’</w:t>
      </w:r>
      <w:r w:rsidR="00975C80" w:rsidRPr="00975C80">
        <w:rPr>
          <w:rFonts w:eastAsiaTheme="minorHAnsi"/>
          <w:color w:val="000000"/>
          <w:sz w:val="26"/>
          <w:szCs w:val="26"/>
        </w:rPr>
        <w:t>s proposed increase to the Back</w:t>
      </w:r>
      <w:r w:rsidR="00B43B4E">
        <w:rPr>
          <w:rFonts w:eastAsiaTheme="minorHAnsi"/>
          <w:color w:val="000000"/>
          <w:sz w:val="26"/>
          <w:szCs w:val="26"/>
        </w:rPr>
        <w:t>-u</w:t>
      </w:r>
      <w:r w:rsidR="00975C80" w:rsidRPr="00975C80">
        <w:rPr>
          <w:rFonts w:eastAsiaTheme="minorHAnsi"/>
          <w:color w:val="000000"/>
          <w:sz w:val="26"/>
          <w:szCs w:val="26"/>
        </w:rPr>
        <w:t xml:space="preserve">p Rate for Combined Heat and Power projects. </w:t>
      </w:r>
      <w:r w:rsidR="00D83F92">
        <w:rPr>
          <w:rFonts w:eastAsiaTheme="minorHAnsi"/>
          <w:color w:val="000000"/>
          <w:sz w:val="26"/>
          <w:szCs w:val="26"/>
        </w:rPr>
        <w:t xml:space="preserve"> </w:t>
      </w:r>
      <w:r w:rsidR="00975C80" w:rsidRPr="00975C80">
        <w:rPr>
          <w:rFonts w:eastAsiaTheme="minorHAnsi"/>
          <w:color w:val="000000"/>
          <w:sz w:val="26"/>
          <w:szCs w:val="26"/>
        </w:rPr>
        <w:t xml:space="preserve">The Commission </w:t>
      </w:r>
      <w:r w:rsidR="00AC7C55">
        <w:rPr>
          <w:rFonts w:eastAsiaTheme="minorHAnsi"/>
          <w:color w:val="000000"/>
          <w:sz w:val="26"/>
          <w:szCs w:val="26"/>
        </w:rPr>
        <w:t xml:space="preserve">then </w:t>
      </w:r>
      <w:r w:rsidR="00975C80" w:rsidRPr="00975C80">
        <w:rPr>
          <w:rFonts w:eastAsiaTheme="minorHAnsi"/>
          <w:color w:val="000000"/>
          <w:sz w:val="26"/>
          <w:szCs w:val="26"/>
        </w:rPr>
        <w:t xml:space="preserve">returned the matter to </w:t>
      </w:r>
      <w:r w:rsidR="00F034E3">
        <w:rPr>
          <w:rFonts w:eastAsiaTheme="minorHAnsi"/>
          <w:color w:val="000000"/>
          <w:sz w:val="26"/>
          <w:szCs w:val="26"/>
        </w:rPr>
        <w:t>the Office of Administrative Law Judge</w:t>
      </w:r>
      <w:r w:rsidR="00975C80" w:rsidRPr="00975C80">
        <w:rPr>
          <w:rFonts w:eastAsiaTheme="minorHAnsi"/>
          <w:color w:val="000000"/>
          <w:sz w:val="26"/>
          <w:szCs w:val="26"/>
        </w:rPr>
        <w:t xml:space="preserve"> for further proceedings.</w:t>
      </w:r>
    </w:p>
    <w:p w:rsidR="00B95FBE" w:rsidRDefault="00B95FBE" w:rsidP="007D3734">
      <w:pPr>
        <w:widowControl/>
        <w:autoSpaceDE w:val="0"/>
        <w:autoSpaceDN w:val="0"/>
        <w:adjustRightInd w:val="0"/>
        <w:spacing w:line="360" w:lineRule="auto"/>
        <w:contextualSpacing/>
        <w:rPr>
          <w:rFonts w:eastAsiaTheme="minorHAnsi"/>
          <w:color w:val="000000"/>
          <w:sz w:val="26"/>
          <w:szCs w:val="26"/>
        </w:rPr>
      </w:pPr>
    </w:p>
    <w:p w:rsidR="00975C80" w:rsidRDefault="00B95FBE"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r w:rsidR="00975C80" w:rsidRPr="00975C80">
        <w:rPr>
          <w:rFonts w:eastAsiaTheme="minorHAnsi"/>
          <w:color w:val="000000"/>
          <w:sz w:val="26"/>
          <w:szCs w:val="26"/>
        </w:rPr>
        <w:t xml:space="preserve">On August 15, 2018, the </w:t>
      </w:r>
      <w:r w:rsidR="004F7E64">
        <w:rPr>
          <w:rFonts w:eastAsiaTheme="minorHAnsi"/>
          <w:color w:val="000000"/>
          <w:sz w:val="26"/>
          <w:szCs w:val="26"/>
        </w:rPr>
        <w:t>ALJ</w:t>
      </w:r>
      <w:r w:rsidR="00975C80" w:rsidRPr="00975C80">
        <w:rPr>
          <w:rFonts w:eastAsiaTheme="minorHAnsi"/>
          <w:color w:val="000000"/>
          <w:sz w:val="26"/>
          <w:szCs w:val="26"/>
        </w:rPr>
        <w:t xml:space="preserve"> convened the </w:t>
      </w:r>
      <w:r w:rsidR="004F7E64">
        <w:rPr>
          <w:rFonts w:eastAsiaTheme="minorHAnsi"/>
          <w:color w:val="000000"/>
          <w:sz w:val="26"/>
          <w:szCs w:val="26"/>
        </w:rPr>
        <w:t>P</w:t>
      </w:r>
      <w:r w:rsidR="00975C80" w:rsidRPr="00975C80">
        <w:rPr>
          <w:rFonts w:eastAsiaTheme="minorHAnsi"/>
          <w:color w:val="000000"/>
          <w:sz w:val="26"/>
          <w:szCs w:val="26"/>
        </w:rPr>
        <w:t xml:space="preserve">arties and conducted the </w:t>
      </w:r>
      <w:r w:rsidR="00D1387D">
        <w:rPr>
          <w:rFonts w:eastAsiaTheme="minorHAnsi"/>
          <w:color w:val="000000"/>
          <w:sz w:val="26"/>
          <w:szCs w:val="26"/>
        </w:rPr>
        <w:t>E</w:t>
      </w:r>
      <w:r w:rsidR="00975C80" w:rsidRPr="00975C80">
        <w:rPr>
          <w:rFonts w:eastAsiaTheme="minorHAnsi"/>
          <w:color w:val="000000"/>
          <w:sz w:val="26"/>
          <w:szCs w:val="26"/>
        </w:rPr>
        <w:t xml:space="preserve">videntiary </w:t>
      </w:r>
      <w:r w:rsidR="00D1387D">
        <w:rPr>
          <w:rFonts w:eastAsiaTheme="minorHAnsi"/>
          <w:color w:val="000000"/>
          <w:sz w:val="26"/>
          <w:szCs w:val="26"/>
        </w:rPr>
        <w:t>H</w:t>
      </w:r>
      <w:r w:rsidR="00975C80" w:rsidRPr="00975C80">
        <w:rPr>
          <w:rFonts w:eastAsiaTheme="minorHAnsi"/>
          <w:color w:val="000000"/>
          <w:sz w:val="26"/>
          <w:szCs w:val="26"/>
        </w:rPr>
        <w:t xml:space="preserve">earing in Harrisburg, Pennsylvania. </w:t>
      </w:r>
      <w:r w:rsidR="004F7E64">
        <w:rPr>
          <w:rFonts w:eastAsiaTheme="minorHAnsi"/>
          <w:color w:val="000000"/>
          <w:sz w:val="26"/>
          <w:szCs w:val="26"/>
        </w:rPr>
        <w:t xml:space="preserve"> </w:t>
      </w:r>
      <w:r w:rsidR="00975C80" w:rsidRPr="00975C80">
        <w:rPr>
          <w:rFonts w:eastAsiaTheme="minorHAnsi"/>
          <w:color w:val="000000"/>
          <w:sz w:val="26"/>
          <w:szCs w:val="26"/>
        </w:rPr>
        <w:t xml:space="preserve">Present were the following </w:t>
      </w:r>
      <w:r w:rsidR="004F7E64">
        <w:rPr>
          <w:rFonts w:eastAsiaTheme="minorHAnsi"/>
          <w:color w:val="000000"/>
          <w:sz w:val="26"/>
          <w:szCs w:val="26"/>
        </w:rPr>
        <w:t>P</w:t>
      </w:r>
      <w:r w:rsidR="00975C80" w:rsidRPr="00975C80">
        <w:rPr>
          <w:rFonts w:eastAsiaTheme="minorHAnsi"/>
          <w:color w:val="000000"/>
          <w:sz w:val="26"/>
          <w:szCs w:val="26"/>
        </w:rPr>
        <w:t xml:space="preserve">arties: Duquesne, BIE, OCA, OSBA, Wal-Mart, ChargePoint, DII, CAUSE-PA, CAAP, NRDC, NRG Pittsburgh, KEEA and Peoples. </w:t>
      </w:r>
      <w:r w:rsidR="00AC7C55">
        <w:rPr>
          <w:rFonts w:eastAsiaTheme="minorHAnsi"/>
          <w:color w:val="000000"/>
          <w:sz w:val="26"/>
          <w:szCs w:val="26"/>
        </w:rPr>
        <w:t xml:space="preserve"> </w:t>
      </w:r>
      <w:r w:rsidR="00975C80" w:rsidRPr="00975C80">
        <w:rPr>
          <w:rFonts w:eastAsiaTheme="minorHAnsi"/>
          <w:color w:val="000000"/>
          <w:sz w:val="26"/>
          <w:szCs w:val="26"/>
        </w:rPr>
        <w:t xml:space="preserve">The </w:t>
      </w:r>
      <w:r w:rsidR="00D1387D">
        <w:rPr>
          <w:rFonts w:eastAsiaTheme="minorHAnsi"/>
          <w:color w:val="000000"/>
          <w:sz w:val="26"/>
          <w:szCs w:val="26"/>
        </w:rPr>
        <w:t>P</w:t>
      </w:r>
      <w:r w:rsidR="00975C80" w:rsidRPr="00975C80">
        <w:rPr>
          <w:rFonts w:eastAsiaTheme="minorHAnsi"/>
          <w:color w:val="000000"/>
          <w:sz w:val="26"/>
          <w:szCs w:val="26"/>
        </w:rPr>
        <w:t xml:space="preserve">residing </w:t>
      </w:r>
      <w:r w:rsidR="00D1387D">
        <w:rPr>
          <w:rFonts w:eastAsiaTheme="minorHAnsi"/>
          <w:color w:val="000000"/>
          <w:sz w:val="26"/>
          <w:szCs w:val="26"/>
        </w:rPr>
        <w:t>O</w:t>
      </w:r>
      <w:r w:rsidR="00975C80" w:rsidRPr="00975C80">
        <w:rPr>
          <w:rFonts w:eastAsiaTheme="minorHAnsi"/>
          <w:color w:val="000000"/>
          <w:sz w:val="26"/>
          <w:szCs w:val="26"/>
        </w:rPr>
        <w:t xml:space="preserve">fficer concluded the proceedings on August 17, 2018. </w:t>
      </w:r>
      <w:r w:rsidR="00AC7C55">
        <w:rPr>
          <w:rFonts w:eastAsiaTheme="minorHAnsi"/>
          <w:color w:val="000000"/>
          <w:sz w:val="26"/>
          <w:szCs w:val="26"/>
        </w:rPr>
        <w:t xml:space="preserve"> </w:t>
      </w:r>
      <w:r w:rsidR="00975C80" w:rsidRPr="00975C80">
        <w:rPr>
          <w:rFonts w:eastAsiaTheme="minorHAnsi"/>
          <w:color w:val="000000"/>
          <w:sz w:val="26"/>
          <w:szCs w:val="26"/>
        </w:rPr>
        <w:t xml:space="preserve">The August 15, 2018 </w:t>
      </w:r>
      <w:r w:rsidR="00D1387D">
        <w:rPr>
          <w:rFonts w:eastAsiaTheme="minorHAnsi"/>
          <w:color w:val="000000"/>
          <w:sz w:val="26"/>
          <w:szCs w:val="26"/>
        </w:rPr>
        <w:t>Evidentiary H</w:t>
      </w:r>
      <w:r w:rsidR="00AC7C55">
        <w:rPr>
          <w:rFonts w:eastAsiaTheme="minorHAnsi"/>
          <w:color w:val="000000"/>
          <w:sz w:val="26"/>
          <w:szCs w:val="26"/>
        </w:rPr>
        <w:t xml:space="preserve">earing </w:t>
      </w:r>
      <w:r w:rsidR="00975C80" w:rsidRPr="00975C80">
        <w:rPr>
          <w:rFonts w:eastAsiaTheme="minorHAnsi"/>
          <w:color w:val="000000"/>
          <w:sz w:val="26"/>
          <w:szCs w:val="26"/>
        </w:rPr>
        <w:t xml:space="preserve">generated Transcript </w:t>
      </w:r>
      <w:r w:rsidR="00975C80" w:rsidRPr="00975C80">
        <w:rPr>
          <w:rFonts w:eastAsiaTheme="minorHAnsi"/>
          <w:color w:val="000000"/>
          <w:sz w:val="26"/>
          <w:szCs w:val="26"/>
        </w:rPr>
        <w:lastRenderedPageBreak/>
        <w:t>pages 169 through 388</w:t>
      </w:r>
      <w:r w:rsidR="00AC7C55">
        <w:rPr>
          <w:rFonts w:eastAsiaTheme="minorHAnsi"/>
          <w:color w:val="000000"/>
          <w:sz w:val="26"/>
          <w:szCs w:val="26"/>
        </w:rPr>
        <w:t>; the Au</w:t>
      </w:r>
      <w:r w:rsidR="00975C80" w:rsidRPr="00975C80">
        <w:rPr>
          <w:rFonts w:eastAsiaTheme="minorHAnsi"/>
          <w:color w:val="000000"/>
          <w:sz w:val="26"/>
          <w:szCs w:val="26"/>
        </w:rPr>
        <w:t xml:space="preserve">gust 16, 2018 </w:t>
      </w:r>
      <w:r w:rsidR="00D1387D">
        <w:rPr>
          <w:rFonts w:eastAsiaTheme="minorHAnsi"/>
          <w:color w:val="000000"/>
          <w:sz w:val="26"/>
          <w:szCs w:val="26"/>
        </w:rPr>
        <w:t xml:space="preserve">Evidentiary Hearing </w:t>
      </w:r>
      <w:r w:rsidR="00975C80" w:rsidRPr="00975C80">
        <w:rPr>
          <w:rFonts w:eastAsiaTheme="minorHAnsi"/>
          <w:color w:val="000000"/>
          <w:sz w:val="26"/>
          <w:szCs w:val="26"/>
        </w:rPr>
        <w:t xml:space="preserve">generated Transcript pages 389 through 639, and August 17, 2018 </w:t>
      </w:r>
      <w:r w:rsidR="00D1387D">
        <w:rPr>
          <w:rFonts w:eastAsiaTheme="minorHAnsi"/>
          <w:color w:val="000000"/>
          <w:sz w:val="26"/>
          <w:szCs w:val="26"/>
        </w:rPr>
        <w:t xml:space="preserve">Evidentiary Hearing </w:t>
      </w:r>
      <w:r w:rsidR="00975C80" w:rsidRPr="00975C80">
        <w:rPr>
          <w:rFonts w:eastAsiaTheme="minorHAnsi"/>
          <w:color w:val="000000"/>
          <w:sz w:val="26"/>
          <w:szCs w:val="26"/>
        </w:rPr>
        <w:t xml:space="preserve">generated Transcript pages 640 through 678. </w:t>
      </w:r>
      <w:r w:rsidR="00D1387D">
        <w:rPr>
          <w:rFonts w:eastAsiaTheme="minorHAnsi"/>
          <w:color w:val="000000"/>
          <w:sz w:val="26"/>
          <w:szCs w:val="26"/>
        </w:rPr>
        <w:t xml:space="preserve"> </w:t>
      </w:r>
      <w:r w:rsidR="00975C80" w:rsidRPr="00975C80">
        <w:rPr>
          <w:rFonts w:eastAsiaTheme="minorHAnsi"/>
          <w:color w:val="000000"/>
          <w:sz w:val="26"/>
          <w:szCs w:val="26"/>
        </w:rPr>
        <w:t xml:space="preserve">The documents that were marked and admitted into evidence at the evidentiary hearing are itemized by party in an </w:t>
      </w:r>
      <w:r w:rsidR="00D1387D">
        <w:rPr>
          <w:rFonts w:eastAsiaTheme="minorHAnsi"/>
          <w:color w:val="000000"/>
          <w:sz w:val="26"/>
          <w:szCs w:val="26"/>
        </w:rPr>
        <w:t>eighteen</w:t>
      </w:r>
      <w:r w:rsidR="00975C80" w:rsidRPr="00975C80">
        <w:rPr>
          <w:rFonts w:eastAsiaTheme="minorHAnsi"/>
          <w:color w:val="000000"/>
          <w:sz w:val="26"/>
          <w:szCs w:val="26"/>
        </w:rPr>
        <w:t xml:space="preserve">-page document marked as </w:t>
      </w:r>
      <w:r w:rsidR="001E73FA">
        <w:rPr>
          <w:rFonts w:eastAsiaTheme="minorHAnsi"/>
          <w:color w:val="000000"/>
          <w:sz w:val="26"/>
          <w:szCs w:val="26"/>
        </w:rPr>
        <w:t>“</w:t>
      </w:r>
      <w:r w:rsidR="00975C80" w:rsidRPr="00975C80">
        <w:rPr>
          <w:rFonts w:eastAsiaTheme="minorHAnsi"/>
          <w:color w:val="000000"/>
          <w:sz w:val="26"/>
          <w:szCs w:val="26"/>
        </w:rPr>
        <w:t>Appendix A</w:t>
      </w:r>
      <w:r w:rsidR="001E73FA">
        <w:rPr>
          <w:rFonts w:eastAsiaTheme="minorHAnsi"/>
          <w:color w:val="000000"/>
          <w:sz w:val="26"/>
          <w:szCs w:val="26"/>
        </w:rPr>
        <w:t>”</w:t>
      </w:r>
      <w:r w:rsidR="00975C80" w:rsidRPr="00975C80">
        <w:rPr>
          <w:rFonts w:eastAsiaTheme="minorHAnsi"/>
          <w:color w:val="000000"/>
          <w:sz w:val="26"/>
          <w:szCs w:val="26"/>
        </w:rPr>
        <w:t xml:space="preserve"> attached to t</w:t>
      </w:r>
      <w:r w:rsidR="00E13620">
        <w:rPr>
          <w:rFonts w:eastAsiaTheme="minorHAnsi"/>
          <w:color w:val="000000"/>
          <w:sz w:val="26"/>
          <w:szCs w:val="26"/>
        </w:rPr>
        <w:t>he</w:t>
      </w:r>
      <w:r w:rsidR="00975C80" w:rsidRPr="00975C80">
        <w:rPr>
          <w:rFonts w:eastAsiaTheme="minorHAnsi"/>
          <w:color w:val="000000"/>
          <w:sz w:val="26"/>
          <w:szCs w:val="26"/>
        </w:rPr>
        <w:t xml:space="preserve"> R</w:t>
      </w:r>
      <w:r w:rsidR="00672E0D">
        <w:rPr>
          <w:rFonts w:eastAsiaTheme="minorHAnsi"/>
          <w:color w:val="000000"/>
          <w:sz w:val="26"/>
          <w:szCs w:val="26"/>
        </w:rPr>
        <w:t>ecommended Decision</w:t>
      </w:r>
      <w:r w:rsidR="00975C80" w:rsidRPr="00975C80">
        <w:rPr>
          <w:rFonts w:eastAsiaTheme="minorHAnsi"/>
          <w:color w:val="000000"/>
          <w:sz w:val="26"/>
          <w:szCs w:val="26"/>
        </w:rPr>
        <w:t>.</w:t>
      </w:r>
    </w:p>
    <w:p w:rsidR="00AD2AC8" w:rsidRPr="00975C80" w:rsidRDefault="00AD2AC8" w:rsidP="007D3734">
      <w:pPr>
        <w:widowControl/>
        <w:autoSpaceDE w:val="0"/>
        <w:autoSpaceDN w:val="0"/>
        <w:adjustRightInd w:val="0"/>
        <w:spacing w:line="360" w:lineRule="auto"/>
        <w:contextualSpacing/>
        <w:rPr>
          <w:rFonts w:eastAsiaTheme="minorHAnsi"/>
          <w:color w:val="000000"/>
          <w:sz w:val="26"/>
          <w:szCs w:val="26"/>
        </w:rPr>
      </w:pPr>
    </w:p>
    <w:p w:rsidR="00975C80" w:rsidRDefault="00AD2AC8"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r w:rsidR="00975C80" w:rsidRPr="00975C80">
        <w:rPr>
          <w:rFonts w:eastAsiaTheme="minorHAnsi"/>
          <w:color w:val="000000"/>
          <w:sz w:val="26"/>
          <w:szCs w:val="26"/>
        </w:rPr>
        <w:t xml:space="preserve">At the start of the </w:t>
      </w:r>
      <w:r w:rsidR="00672E0D">
        <w:rPr>
          <w:rFonts w:eastAsiaTheme="minorHAnsi"/>
          <w:color w:val="000000"/>
          <w:sz w:val="26"/>
          <w:szCs w:val="26"/>
        </w:rPr>
        <w:t>August 15, 2018 E</w:t>
      </w:r>
      <w:r w:rsidR="00975C80" w:rsidRPr="00975C80">
        <w:rPr>
          <w:rFonts w:eastAsiaTheme="minorHAnsi"/>
          <w:color w:val="000000"/>
          <w:sz w:val="26"/>
          <w:szCs w:val="26"/>
        </w:rPr>
        <w:t xml:space="preserve">videntiary </w:t>
      </w:r>
      <w:r w:rsidR="00672E0D">
        <w:rPr>
          <w:rFonts w:eastAsiaTheme="minorHAnsi"/>
          <w:color w:val="000000"/>
          <w:sz w:val="26"/>
          <w:szCs w:val="26"/>
        </w:rPr>
        <w:t>H</w:t>
      </w:r>
      <w:r w:rsidR="00975C80" w:rsidRPr="00975C80">
        <w:rPr>
          <w:rFonts w:eastAsiaTheme="minorHAnsi"/>
          <w:color w:val="000000"/>
          <w:sz w:val="26"/>
          <w:szCs w:val="26"/>
        </w:rPr>
        <w:t xml:space="preserve">earing, Duquesne advised the </w:t>
      </w:r>
      <w:r w:rsidR="004F7E64">
        <w:rPr>
          <w:rFonts w:eastAsiaTheme="minorHAnsi"/>
          <w:color w:val="000000"/>
          <w:sz w:val="26"/>
          <w:szCs w:val="26"/>
        </w:rPr>
        <w:t>ALJ</w:t>
      </w:r>
      <w:r w:rsidR="00975C80" w:rsidRPr="00975C80">
        <w:rPr>
          <w:rFonts w:eastAsiaTheme="minorHAnsi"/>
          <w:color w:val="000000"/>
          <w:sz w:val="26"/>
          <w:szCs w:val="26"/>
        </w:rPr>
        <w:t xml:space="preserve"> </w:t>
      </w:r>
      <w:r w:rsidR="00672E0D">
        <w:rPr>
          <w:rFonts w:eastAsiaTheme="minorHAnsi"/>
          <w:color w:val="000000"/>
          <w:sz w:val="26"/>
          <w:szCs w:val="26"/>
        </w:rPr>
        <w:t xml:space="preserve">that </w:t>
      </w:r>
      <w:r w:rsidR="00975C80" w:rsidRPr="00975C80">
        <w:rPr>
          <w:rFonts w:eastAsiaTheme="minorHAnsi"/>
          <w:color w:val="000000"/>
          <w:sz w:val="26"/>
          <w:szCs w:val="26"/>
        </w:rPr>
        <w:t xml:space="preserve">a </w:t>
      </w:r>
      <w:r w:rsidR="00CB7550">
        <w:rPr>
          <w:rFonts w:eastAsiaTheme="minorHAnsi"/>
          <w:color w:val="000000"/>
          <w:sz w:val="26"/>
          <w:szCs w:val="26"/>
        </w:rPr>
        <w:t>Partial S</w:t>
      </w:r>
      <w:r w:rsidR="00975C80" w:rsidRPr="00975C80">
        <w:rPr>
          <w:rFonts w:eastAsiaTheme="minorHAnsi"/>
          <w:color w:val="000000"/>
          <w:sz w:val="26"/>
          <w:szCs w:val="26"/>
        </w:rPr>
        <w:t xml:space="preserve">ettlement in principle had been reached between Duquesne and all </w:t>
      </w:r>
      <w:r w:rsidR="00672E0D">
        <w:rPr>
          <w:rFonts w:eastAsiaTheme="minorHAnsi"/>
          <w:color w:val="000000"/>
          <w:sz w:val="26"/>
          <w:szCs w:val="26"/>
        </w:rPr>
        <w:t xml:space="preserve">of the </w:t>
      </w:r>
      <w:r w:rsidR="00975C80" w:rsidRPr="00975C80">
        <w:rPr>
          <w:rFonts w:eastAsiaTheme="minorHAnsi"/>
          <w:color w:val="000000"/>
          <w:sz w:val="26"/>
          <w:szCs w:val="26"/>
        </w:rPr>
        <w:t xml:space="preserve">other active parties except Peoples. </w:t>
      </w:r>
      <w:r w:rsidR="004F7E64">
        <w:rPr>
          <w:rFonts w:eastAsiaTheme="minorHAnsi"/>
          <w:color w:val="000000"/>
          <w:sz w:val="26"/>
          <w:szCs w:val="26"/>
        </w:rPr>
        <w:t xml:space="preserve"> </w:t>
      </w:r>
      <w:r w:rsidR="00451D48" w:rsidRPr="00975C80">
        <w:rPr>
          <w:rFonts w:eastAsiaTheme="minorHAnsi"/>
          <w:color w:val="000000"/>
          <w:sz w:val="26"/>
          <w:szCs w:val="26"/>
        </w:rPr>
        <w:t>Duquesne also</w:t>
      </w:r>
      <w:r w:rsidR="00975C80" w:rsidRPr="00975C80">
        <w:rPr>
          <w:rFonts w:eastAsiaTheme="minorHAnsi"/>
          <w:color w:val="000000"/>
          <w:sz w:val="26"/>
          <w:szCs w:val="26"/>
        </w:rPr>
        <w:t xml:space="preserve"> advised </w:t>
      </w:r>
      <w:r w:rsidR="00672E0D">
        <w:rPr>
          <w:rFonts w:eastAsiaTheme="minorHAnsi"/>
          <w:color w:val="000000"/>
          <w:sz w:val="26"/>
          <w:szCs w:val="26"/>
        </w:rPr>
        <w:t xml:space="preserve">that </w:t>
      </w:r>
      <w:r w:rsidR="00975C80" w:rsidRPr="00975C80">
        <w:rPr>
          <w:rFonts w:eastAsiaTheme="minorHAnsi"/>
          <w:color w:val="000000"/>
          <w:sz w:val="26"/>
          <w:szCs w:val="26"/>
        </w:rPr>
        <w:t xml:space="preserve">the </w:t>
      </w:r>
      <w:r w:rsidR="00CB7550">
        <w:rPr>
          <w:rFonts w:eastAsiaTheme="minorHAnsi"/>
          <w:color w:val="000000"/>
          <w:sz w:val="26"/>
          <w:szCs w:val="26"/>
        </w:rPr>
        <w:t>Partial S</w:t>
      </w:r>
      <w:r w:rsidR="00975C80" w:rsidRPr="00975C80">
        <w:rPr>
          <w:rFonts w:eastAsiaTheme="minorHAnsi"/>
          <w:color w:val="000000"/>
          <w:sz w:val="26"/>
          <w:szCs w:val="26"/>
        </w:rPr>
        <w:t xml:space="preserve">ettlement covered all issues except the </w:t>
      </w:r>
      <w:r w:rsidR="00BF7139">
        <w:rPr>
          <w:rFonts w:eastAsiaTheme="minorHAnsi"/>
          <w:color w:val="000000"/>
          <w:sz w:val="26"/>
          <w:szCs w:val="26"/>
        </w:rPr>
        <w:t>Rider</w:t>
      </w:r>
      <w:r w:rsidR="00975C80" w:rsidRPr="00975C80">
        <w:rPr>
          <w:rFonts w:eastAsiaTheme="minorHAnsi"/>
          <w:color w:val="000000"/>
          <w:sz w:val="26"/>
          <w:szCs w:val="26"/>
        </w:rPr>
        <w:t xml:space="preserve"> No. 16 issue. </w:t>
      </w:r>
      <w:r w:rsidR="00672E0D">
        <w:rPr>
          <w:rFonts w:eastAsiaTheme="minorHAnsi"/>
          <w:color w:val="000000"/>
          <w:sz w:val="26"/>
          <w:szCs w:val="26"/>
        </w:rPr>
        <w:t xml:space="preserve"> </w:t>
      </w:r>
      <w:r w:rsidR="00451D48" w:rsidRPr="00975C80">
        <w:rPr>
          <w:rFonts w:eastAsiaTheme="minorHAnsi"/>
          <w:color w:val="000000"/>
          <w:sz w:val="26"/>
          <w:szCs w:val="26"/>
        </w:rPr>
        <w:t>Duquesne provided</w:t>
      </w:r>
      <w:r w:rsidR="00975C80" w:rsidRPr="00975C80">
        <w:rPr>
          <w:rFonts w:eastAsiaTheme="minorHAnsi"/>
          <w:color w:val="000000"/>
          <w:sz w:val="26"/>
          <w:szCs w:val="26"/>
        </w:rPr>
        <w:t xml:space="preserve"> the presiding officer with a confidential summary list of the settlement provisions. </w:t>
      </w:r>
      <w:r w:rsidR="004F7E64">
        <w:rPr>
          <w:rFonts w:eastAsiaTheme="minorHAnsi"/>
          <w:color w:val="000000"/>
          <w:sz w:val="26"/>
          <w:szCs w:val="26"/>
        </w:rPr>
        <w:t xml:space="preserve"> </w:t>
      </w:r>
      <w:r w:rsidR="00975C80" w:rsidRPr="00975C80">
        <w:rPr>
          <w:rFonts w:eastAsiaTheme="minorHAnsi"/>
          <w:color w:val="000000"/>
          <w:sz w:val="26"/>
          <w:szCs w:val="26"/>
        </w:rPr>
        <w:t xml:space="preserve">The </w:t>
      </w:r>
      <w:r w:rsidR="00672E0D">
        <w:rPr>
          <w:rFonts w:eastAsiaTheme="minorHAnsi"/>
          <w:color w:val="000000"/>
          <w:sz w:val="26"/>
          <w:szCs w:val="26"/>
        </w:rPr>
        <w:t>E</w:t>
      </w:r>
      <w:r w:rsidR="00975C80" w:rsidRPr="00975C80">
        <w:rPr>
          <w:rFonts w:eastAsiaTheme="minorHAnsi"/>
          <w:color w:val="000000"/>
          <w:sz w:val="26"/>
          <w:szCs w:val="26"/>
        </w:rPr>
        <w:t xml:space="preserve">videntiary </w:t>
      </w:r>
      <w:r w:rsidR="00672E0D">
        <w:rPr>
          <w:rFonts w:eastAsiaTheme="minorHAnsi"/>
          <w:color w:val="000000"/>
          <w:sz w:val="26"/>
          <w:szCs w:val="26"/>
        </w:rPr>
        <w:t>H</w:t>
      </w:r>
      <w:r w:rsidR="00975C80" w:rsidRPr="00975C80">
        <w:rPr>
          <w:rFonts w:eastAsiaTheme="minorHAnsi"/>
          <w:color w:val="000000"/>
          <w:sz w:val="26"/>
          <w:szCs w:val="26"/>
        </w:rPr>
        <w:t xml:space="preserve">earing proceeded on the litigated issue involving </w:t>
      </w:r>
      <w:r w:rsidR="00BF7139">
        <w:rPr>
          <w:rFonts w:eastAsiaTheme="minorHAnsi"/>
          <w:color w:val="000000"/>
          <w:sz w:val="26"/>
          <w:szCs w:val="26"/>
        </w:rPr>
        <w:t>Rider</w:t>
      </w:r>
      <w:r w:rsidR="00975C80" w:rsidRPr="00975C80">
        <w:rPr>
          <w:rFonts w:eastAsiaTheme="minorHAnsi"/>
          <w:color w:val="000000"/>
          <w:sz w:val="26"/>
          <w:szCs w:val="26"/>
        </w:rPr>
        <w:t xml:space="preserve"> No. 16. </w:t>
      </w:r>
    </w:p>
    <w:p w:rsidR="00AD2AC8" w:rsidRPr="00975C80" w:rsidRDefault="00AD2AC8" w:rsidP="007D3734">
      <w:pPr>
        <w:widowControl/>
        <w:autoSpaceDE w:val="0"/>
        <w:autoSpaceDN w:val="0"/>
        <w:adjustRightInd w:val="0"/>
        <w:spacing w:line="360" w:lineRule="auto"/>
        <w:contextualSpacing/>
        <w:rPr>
          <w:rFonts w:eastAsiaTheme="minorHAnsi"/>
          <w:color w:val="000000"/>
          <w:sz w:val="26"/>
          <w:szCs w:val="26"/>
        </w:rPr>
      </w:pPr>
    </w:p>
    <w:p w:rsidR="00975C80" w:rsidRPr="00975C80" w:rsidRDefault="00AD2AC8"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r w:rsidR="00975C80" w:rsidRPr="00975C80">
        <w:rPr>
          <w:rFonts w:eastAsiaTheme="minorHAnsi"/>
          <w:color w:val="000000"/>
          <w:sz w:val="26"/>
          <w:szCs w:val="26"/>
        </w:rPr>
        <w:t xml:space="preserve">At the start of the </w:t>
      </w:r>
      <w:r w:rsidR="00672E0D">
        <w:rPr>
          <w:rFonts w:eastAsiaTheme="minorHAnsi"/>
          <w:color w:val="000000"/>
          <w:sz w:val="26"/>
          <w:szCs w:val="26"/>
        </w:rPr>
        <w:t>August 17, 2018 E</w:t>
      </w:r>
      <w:r w:rsidR="00975C80" w:rsidRPr="00975C80">
        <w:rPr>
          <w:rFonts w:eastAsiaTheme="minorHAnsi"/>
          <w:color w:val="000000"/>
          <w:sz w:val="26"/>
          <w:szCs w:val="26"/>
        </w:rPr>
        <w:t xml:space="preserve">videntiary </w:t>
      </w:r>
      <w:r w:rsidR="00672E0D">
        <w:rPr>
          <w:rFonts w:eastAsiaTheme="minorHAnsi"/>
          <w:color w:val="000000"/>
          <w:sz w:val="26"/>
          <w:szCs w:val="26"/>
        </w:rPr>
        <w:t>H</w:t>
      </w:r>
      <w:r w:rsidR="00975C80" w:rsidRPr="00975C80">
        <w:rPr>
          <w:rFonts w:eastAsiaTheme="minorHAnsi"/>
          <w:color w:val="000000"/>
          <w:sz w:val="26"/>
          <w:szCs w:val="26"/>
        </w:rPr>
        <w:t xml:space="preserve">earing, Duquesne advised the </w:t>
      </w:r>
      <w:r w:rsidR="00672E0D">
        <w:rPr>
          <w:rFonts w:eastAsiaTheme="minorHAnsi"/>
          <w:color w:val="000000"/>
          <w:sz w:val="26"/>
          <w:szCs w:val="26"/>
        </w:rPr>
        <w:t>P</w:t>
      </w:r>
      <w:r w:rsidR="00975C80" w:rsidRPr="00975C80">
        <w:rPr>
          <w:rFonts w:eastAsiaTheme="minorHAnsi"/>
          <w:color w:val="000000"/>
          <w:sz w:val="26"/>
          <w:szCs w:val="26"/>
        </w:rPr>
        <w:t xml:space="preserve">residing </w:t>
      </w:r>
      <w:r w:rsidR="00672E0D">
        <w:rPr>
          <w:rFonts w:eastAsiaTheme="minorHAnsi"/>
          <w:color w:val="000000"/>
          <w:sz w:val="26"/>
          <w:szCs w:val="26"/>
        </w:rPr>
        <w:t>O</w:t>
      </w:r>
      <w:r w:rsidR="00975C80" w:rsidRPr="00975C80">
        <w:rPr>
          <w:rFonts w:eastAsiaTheme="minorHAnsi"/>
          <w:color w:val="000000"/>
          <w:sz w:val="26"/>
          <w:szCs w:val="26"/>
        </w:rPr>
        <w:t xml:space="preserve">fficer that </w:t>
      </w:r>
      <w:r w:rsidR="00672E0D">
        <w:rPr>
          <w:rFonts w:eastAsiaTheme="minorHAnsi"/>
          <w:color w:val="000000"/>
          <w:sz w:val="26"/>
          <w:szCs w:val="26"/>
        </w:rPr>
        <w:t xml:space="preserve">it </w:t>
      </w:r>
      <w:r w:rsidR="00975C80" w:rsidRPr="00975C80">
        <w:rPr>
          <w:rFonts w:eastAsiaTheme="minorHAnsi"/>
          <w:color w:val="000000"/>
          <w:sz w:val="26"/>
          <w:szCs w:val="26"/>
        </w:rPr>
        <w:t xml:space="preserve">officially </w:t>
      </w:r>
      <w:r w:rsidR="00672E0D">
        <w:rPr>
          <w:rFonts w:eastAsiaTheme="minorHAnsi"/>
          <w:color w:val="000000"/>
          <w:sz w:val="26"/>
          <w:szCs w:val="26"/>
        </w:rPr>
        <w:t xml:space="preserve">had </w:t>
      </w:r>
      <w:r w:rsidR="00975C80" w:rsidRPr="00975C80">
        <w:rPr>
          <w:rFonts w:eastAsiaTheme="minorHAnsi"/>
          <w:color w:val="000000"/>
          <w:sz w:val="26"/>
          <w:szCs w:val="26"/>
        </w:rPr>
        <w:t>withdr</w:t>
      </w:r>
      <w:r w:rsidR="00672E0D">
        <w:rPr>
          <w:rFonts w:eastAsiaTheme="minorHAnsi"/>
          <w:color w:val="000000"/>
          <w:sz w:val="26"/>
          <w:szCs w:val="26"/>
        </w:rPr>
        <w:t>awn</w:t>
      </w:r>
      <w:r w:rsidR="00975C80" w:rsidRPr="00975C80">
        <w:rPr>
          <w:rFonts w:eastAsiaTheme="minorHAnsi"/>
          <w:color w:val="000000"/>
          <w:sz w:val="26"/>
          <w:szCs w:val="26"/>
        </w:rPr>
        <w:t xml:space="preserve"> its request to amend </w:t>
      </w:r>
      <w:r w:rsidR="00BF7139">
        <w:rPr>
          <w:rFonts w:eastAsiaTheme="minorHAnsi"/>
          <w:color w:val="000000"/>
          <w:sz w:val="26"/>
          <w:szCs w:val="26"/>
        </w:rPr>
        <w:t>Rider</w:t>
      </w:r>
      <w:r w:rsidR="00975C80" w:rsidRPr="00975C80">
        <w:rPr>
          <w:rFonts w:eastAsiaTheme="minorHAnsi"/>
          <w:color w:val="000000"/>
          <w:sz w:val="26"/>
          <w:szCs w:val="26"/>
        </w:rPr>
        <w:t xml:space="preserve"> No. 16, and </w:t>
      </w:r>
      <w:r w:rsidR="00672E0D">
        <w:rPr>
          <w:rFonts w:eastAsiaTheme="minorHAnsi"/>
          <w:color w:val="000000"/>
          <w:sz w:val="26"/>
          <w:szCs w:val="26"/>
        </w:rPr>
        <w:t xml:space="preserve">that </w:t>
      </w:r>
      <w:r w:rsidR="00F904BA">
        <w:rPr>
          <w:rFonts w:eastAsiaTheme="minorHAnsi"/>
          <w:color w:val="000000"/>
          <w:sz w:val="26"/>
          <w:szCs w:val="26"/>
        </w:rPr>
        <w:t xml:space="preserve">Peoples </w:t>
      </w:r>
      <w:r w:rsidR="00975C80" w:rsidRPr="00975C80">
        <w:rPr>
          <w:rFonts w:eastAsiaTheme="minorHAnsi"/>
          <w:color w:val="000000"/>
          <w:sz w:val="26"/>
          <w:szCs w:val="26"/>
        </w:rPr>
        <w:t xml:space="preserve">no longer objected to the settlement. </w:t>
      </w:r>
      <w:r w:rsidR="007B443A">
        <w:rPr>
          <w:rFonts w:eastAsiaTheme="minorHAnsi"/>
          <w:color w:val="000000"/>
          <w:sz w:val="26"/>
          <w:szCs w:val="26"/>
        </w:rPr>
        <w:t xml:space="preserve"> </w:t>
      </w:r>
      <w:r w:rsidR="00975C80" w:rsidRPr="00975C80">
        <w:rPr>
          <w:rFonts w:eastAsiaTheme="minorHAnsi"/>
          <w:color w:val="000000"/>
          <w:sz w:val="26"/>
          <w:szCs w:val="26"/>
        </w:rPr>
        <w:t xml:space="preserve">However, </w:t>
      </w:r>
      <w:r w:rsidR="000F1780">
        <w:rPr>
          <w:rFonts w:eastAsiaTheme="minorHAnsi"/>
          <w:color w:val="000000"/>
          <w:sz w:val="26"/>
          <w:szCs w:val="26"/>
        </w:rPr>
        <w:t>DII</w:t>
      </w:r>
      <w:r w:rsidR="00975C80" w:rsidRPr="00975C80">
        <w:rPr>
          <w:rFonts w:eastAsiaTheme="minorHAnsi"/>
          <w:color w:val="000000"/>
          <w:sz w:val="26"/>
          <w:szCs w:val="26"/>
        </w:rPr>
        <w:t xml:space="preserve"> indicated it </w:t>
      </w:r>
      <w:r w:rsidR="007B443A">
        <w:rPr>
          <w:rFonts w:eastAsiaTheme="minorHAnsi"/>
          <w:color w:val="000000"/>
          <w:sz w:val="26"/>
          <w:szCs w:val="26"/>
        </w:rPr>
        <w:t xml:space="preserve">still </w:t>
      </w:r>
      <w:r w:rsidR="00975C80" w:rsidRPr="00975C80">
        <w:rPr>
          <w:rFonts w:eastAsiaTheme="minorHAnsi"/>
          <w:color w:val="000000"/>
          <w:sz w:val="26"/>
          <w:szCs w:val="26"/>
        </w:rPr>
        <w:t xml:space="preserve">wished to pursue its objection to </w:t>
      </w:r>
      <w:r w:rsidR="00BF7139">
        <w:rPr>
          <w:rFonts w:eastAsiaTheme="minorHAnsi"/>
          <w:color w:val="000000"/>
          <w:sz w:val="26"/>
          <w:szCs w:val="26"/>
        </w:rPr>
        <w:t>Rider</w:t>
      </w:r>
      <w:r w:rsidR="00975C80" w:rsidRPr="00975C80">
        <w:rPr>
          <w:rFonts w:eastAsiaTheme="minorHAnsi"/>
          <w:color w:val="000000"/>
          <w:sz w:val="26"/>
          <w:szCs w:val="26"/>
        </w:rPr>
        <w:t xml:space="preserve"> No. 16 and requested the opportunity to question witnesses on August 17, 2018</w:t>
      </w:r>
      <w:r w:rsidR="007B443A">
        <w:rPr>
          <w:rFonts w:eastAsiaTheme="minorHAnsi"/>
          <w:color w:val="000000"/>
          <w:sz w:val="26"/>
          <w:szCs w:val="26"/>
        </w:rPr>
        <w:t>,</w:t>
      </w:r>
      <w:r w:rsidR="00975C80" w:rsidRPr="00975C80">
        <w:rPr>
          <w:rFonts w:eastAsiaTheme="minorHAnsi"/>
          <w:color w:val="000000"/>
          <w:sz w:val="26"/>
          <w:szCs w:val="26"/>
        </w:rPr>
        <w:t xml:space="preserve"> and to brief the Commission on its position.</w:t>
      </w:r>
      <w:r w:rsidR="00EB53A4">
        <w:rPr>
          <w:rFonts w:eastAsiaTheme="minorHAnsi"/>
          <w:color w:val="000000"/>
          <w:sz w:val="26"/>
          <w:szCs w:val="26"/>
        </w:rPr>
        <w:t xml:space="preserve"> </w:t>
      </w:r>
      <w:r w:rsidR="00975C80" w:rsidRPr="00975C80">
        <w:rPr>
          <w:rFonts w:eastAsiaTheme="minorHAnsi"/>
          <w:color w:val="000000"/>
          <w:sz w:val="26"/>
          <w:szCs w:val="26"/>
        </w:rPr>
        <w:t xml:space="preserve"> Both requests were granted.</w:t>
      </w:r>
      <w:r w:rsidR="007B443A">
        <w:rPr>
          <w:rFonts w:eastAsiaTheme="minorHAnsi"/>
          <w:color w:val="000000"/>
          <w:sz w:val="26"/>
          <w:szCs w:val="26"/>
        </w:rPr>
        <w:t xml:space="preserve">  </w:t>
      </w:r>
      <w:r w:rsidR="00975C80" w:rsidRPr="00975C80">
        <w:rPr>
          <w:rFonts w:eastAsiaTheme="minorHAnsi"/>
          <w:color w:val="000000"/>
          <w:sz w:val="26"/>
          <w:szCs w:val="26"/>
        </w:rPr>
        <w:t xml:space="preserve">On September 6, 2018, </w:t>
      </w:r>
      <w:r w:rsidR="007B443A">
        <w:rPr>
          <w:rFonts w:eastAsiaTheme="minorHAnsi"/>
          <w:color w:val="000000"/>
          <w:sz w:val="26"/>
          <w:szCs w:val="26"/>
        </w:rPr>
        <w:t>M</w:t>
      </w:r>
      <w:r w:rsidR="00975C80" w:rsidRPr="00975C80">
        <w:rPr>
          <w:rFonts w:eastAsiaTheme="minorHAnsi"/>
          <w:color w:val="000000"/>
          <w:sz w:val="26"/>
          <w:szCs w:val="26"/>
        </w:rPr>
        <w:t xml:space="preserve">ain </w:t>
      </w:r>
      <w:r w:rsidR="007B443A">
        <w:rPr>
          <w:rFonts w:eastAsiaTheme="minorHAnsi"/>
          <w:color w:val="000000"/>
          <w:sz w:val="26"/>
          <w:szCs w:val="26"/>
        </w:rPr>
        <w:t>B</w:t>
      </w:r>
      <w:r w:rsidR="00975C80" w:rsidRPr="00975C80">
        <w:rPr>
          <w:rFonts w:eastAsiaTheme="minorHAnsi"/>
          <w:color w:val="000000"/>
          <w:sz w:val="26"/>
          <w:szCs w:val="26"/>
        </w:rPr>
        <w:t xml:space="preserve">riefs were received from Duquesne and </w:t>
      </w:r>
      <w:r w:rsidR="000F1780">
        <w:rPr>
          <w:rFonts w:eastAsiaTheme="minorHAnsi"/>
          <w:color w:val="000000"/>
          <w:sz w:val="26"/>
          <w:szCs w:val="26"/>
        </w:rPr>
        <w:t>DII</w:t>
      </w:r>
      <w:r w:rsidR="00975C80" w:rsidRPr="00975C80">
        <w:rPr>
          <w:rFonts w:eastAsiaTheme="minorHAnsi"/>
          <w:color w:val="000000"/>
          <w:sz w:val="26"/>
          <w:szCs w:val="26"/>
        </w:rPr>
        <w:t>.</w:t>
      </w:r>
    </w:p>
    <w:p w:rsidR="00975C80" w:rsidRPr="00975C80" w:rsidRDefault="00975C80" w:rsidP="007D3734">
      <w:pPr>
        <w:widowControl/>
        <w:spacing w:line="360" w:lineRule="auto"/>
        <w:contextualSpacing/>
        <w:rPr>
          <w:rFonts w:eastAsiaTheme="minorHAnsi"/>
          <w:color w:val="000000"/>
          <w:sz w:val="26"/>
          <w:szCs w:val="26"/>
        </w:rPr>
      </w:pPr>
    </w:p>
    <w:p w:rsidR="00975C80" w:rsidRDefault="00AD2AC8"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tab/>
      </w:r>
      <w:r>
        <w:rPr>
          <w:rFonts w:eastAsiaTheme="minorHAnsi"/>
          <w:color w:val="000000"/>
          <w:sz w:val="26"/>
          <w:szCs w:val="26"/>
        </w:rPr>
        <w:tab/>
      </w:r>
      <w:r w:rsidR="00975C80" w:rsidRPr="00975C80">
        <w:rPr>
          <w:rFonts w:eastAsiaTheme="minorHAnsi"/>
          <w:color w:val="000000"/>
          <w:sz w:val="26"/>
          <w:szCs w:val="26"/>
        </w:rPr>
        <w:t xml:space="preserve">On September 14, 2018, </w:t>
      </w:r>
      <w:r w:rsidR="007B443A">
        <w:rPr>
          <w:rFonts w:eastAsiaTheme="minorHAnsi"/>
          <w:color w:val="000000"/>
          <w:sz w:val="26"/>
          <w:szCs w:val="26"/>
        </w:rPr>
        <w:t>R</w:t>
      </w:r>
      <w:r w:rsidR="00975C80" w:rsidRPr="00975C80">
        <w:rPr>
          <w:rFonts w:eastAsiaTheme="minorHAnsi"/>
          <w:color w:val="000000"/>
          <w:sz w:val="26"/>
          <w:szCs w:val="26"/>
        </w:rPr>
        <w:t xml:space="preserve">eply </w:t>
      </w:r>
      <w:r w:rsidR="007B443A">
        <w:rPr>
          <w:rFonts w:eastAsiaTheme="minorHAnsi"/>
          <w:color w:val="000000"/>
          <w:sz w:val="26"/>
          <w:szCs w:val="26"/>
        </w:rPr>
        <w:t>B</w:t>
      </w:r>
      <w:r w:rsidR="00975C80" w:rsidRPr="00975C80">
        <w:rPr>
          <w:rFonts w:eastAsiaTheme="minorHAnsi"/>
          <w:color w:val="000000"/>
          <w:sz w:val="26"/>
          <w:szCs w:val="26"/>
        </w:rPr>
        <w:t xml:space="preserve">riefs </w:t>
      </w:r>
      <w:r w:rsidR="007B443A">
        <w:rPr>
          <w:rFonts w:eastAsiaTheme="minorHAnsi"/>
          <w:color w:val="000000"/>
          <w:sz w:val="26"/>
          <w:szCs w:val="26"/>
        </w:rPr>
        <w:t xml:space="preserve">(R.B.) </w:t>
      </w:r>
      <w:r w:rsidR="00975C80" w:rsidRPr="00975C80">
        <w:rPr>
          <w:rFonts w:eastAsiaTheme="minorHAnsi"/>
          <w:color w:val="000000"/>
          <w:sz w:val="26"/>
          <w:szCs w:val="26"/>
        </w:rPr>
        <w:t xml:space="preserve">were received from Duquesne and </w:t>
      </w:r>
      <w:r w:rsidR="000F1780">
        <w:rPr>
          <w:rFonts w:eastAsiaTheme="minorHAnsi"/>
          <w:color w:val="000000"/>
          <w:sz w:val="26"/>
          <w:szCs w:val="26"/>
        </w:rPr>
        <w:t>DII</w:t>
      </w:r>
      <w:r w:rsidR="00975C80" w:rsidRPr="00975C80">
        <w:rPr>
          <w:rFonts w:eastAsiaTheme="minorHAnsi"/>
          <w:color w:val="000000"/>
          <w:sz w:val="26"/>
          <w:szCs w:val="26"/>
        </w:rPr>
        <w:t xml:space="preserve">. </w:t>
      </w:r>
      <w:r w:rsidR="00463B07">
        <w:rPr>
          <w:rFonts w:eastAsiaTheme="minorHAnsi"/>
          <w:color w:val="000000"/>
          <w:sz w:val="26"/>
          <w:szCs w:val="26"/>
        </w:rPr>
        <w:t xml:space="preserve"> </w:t>
      </w:r>
      <w:r w:rsidR="00975C80" w:rsidRPr="00975C80">
        <w:rPr>
          <w:rFonts w:eastAsiaTheme="minorHAnsi"/>
          <w:color w:val="000000"/>
          <w:sz w:val="26"/>
          <w:szCs w:val="26"/>
        </w:rPr>
        <w:t xml:space="preserve">On the same date, </w:t>
      </w:r>
      <w:r w:rsidR="00FF275E" w:rsidRPr="00975C80">
        <w:rPr>
          <w:rFonts w:eastAsiaTheme="minorHAnsi"/>
          <w:color w:val="000000"/>
          <w:sz w:val="26"/>
          <w:szCs w:val="26"/>
        </w:rPr>
        <w:t>Duquesne,</w:t>
      </w:r>
      <w:r w:rsidR="00975C80" w:rsidRPr="00975C80">
        <w:rPr>
          <w:rFonts w:eastAsiaTheme="minorHAnsi"/>
          <w:color w:val="000000"/>
          <w:sz w:val="26"/>
          <w:szCs w:val="26"/>
        </w:rPr>
        <w:t xml:space="preserve"> on behalf of all signatories, filed </w:t>
      </w:r>
      <w:r w:rsidR="00463B07">
        <w:rPr>
          <w:rFonts w:eastAsiaTheme="minorHAnsi"/>
          <w:color w:val="000000"/>
          <w:sz w:val="26"/>
          <w:szCs w:val="26"/>
        </w:rPr>
        <w:t xml:space="preserve">the </w:t>
      </w:r>
      <w:r w:rsidR="004F7E64">
        <w:rPr>
          <w:rFonts w:eastAsiaTheme="minorHAnsi"/>
          <w:color w:val="000000"/>
          <w:sz w:val="26"/>
          <w:szCs w:val="26"/>
        </w:rPr>
        <w:t xml:space="preserve">Joint </w:t>
      </w:r>
      <w:r w:rsidR="007674F8">
        <w:rPr>
          <w:rFonts w:eastAsiaTheme="minorHAnsi"/>
          <w:color w:val="000000"/>
          <w:sz w:val="26"/>
          <w:szCs w:val="26"/>
        </w:rPr>
        <w:t xml:space="preserve">Settlement </w:t>
      </w:r>
      <w:r w:rsidR="004F7E64">
        <w:rPr>
          <w:rFonts w:eastAsiaTheme="minorHAnsi"/>
          <w:color w:val="000000"/>
          <w:sz w:val="26"/>
          <w:szCs w:val="26"/>
        </w:rPr>
        <w:t>Petition</w:t>
      </w:r>
      <w:r w:rsidR="00AE32FF">
        <w:rPr>
          <w:rFonts w:eastAsiaTheme="minorHAnsi"/>
          <w:color w:val="000000"/>
          <w:sz w:val="26"/>
          <w:szCs w:val="26"/>
        </w:rPr>
        <w:t xml:space="preserve"> </w:t>
      </w:r>
      <w:r w:rsidR="00975C80" w:rsidRPr="00975C80">
        <w:rPr>
          <w:rFonts w:eastAsiaTheme="minorHAnsi"/>
          <w:color w:val="000000"/>
          <w:sz w:val="26"/>
          <w:szCs w:val="26"/>
        </w:rPr>
        <w:t xml:space="preserve">including </w:t>
      </w:r>
      <w:r w:rsidR="00463B07">
        <w:rPr>
          <w:rFonts w:eastAsiaTheme="minorHAnsi"/>
          <w:color w:val="000000"/>
          <w:sz w:val="26"/>
          <w:szCs w:val="26"/>
        </w:rPr>
        <w:t xml:space="preserve">attached </w:t>
      </w:r>
      <w:r w:rsidR="00975C80" w:rsidRPr="00975C80">
        <w:rPr>
          <w:rFonts w:eastAsiaTheme="minorHAnsi"/>
          <w:color w:val="000000"/>
          <w:sz w:val="26"/>
          <w:szCs w:val="26"/>
        </w:rPr>
        <w:t xml:space="preserve">Statements in Support. </w:t>
      </w:r>
      <w:r w:rsidR="00463B07">
        <w:rPr>
          <w:rFonts w:eastAsiaTheme="minorHAnsi"/>
          <w:color w:val="000000"/>
          <w:sz w:val="26"/>
          <w:szCs w:val="26"/>
        </w:rPr>
        <w:t xml:space="preserve"> </w:t>
      </w:r>
      <w:r w:rsidR="00975C80" w:rsidRPr="00975C80">
        <w:rPr>
          <w:rFonts w:eastAsiaTheme="minorHAnsi"/>
          <w:color w:val="000000"/>
          <w:sz w:val="26"/>
          <w:szCs w:val="26"/>
        </w:rPr>
        <w:t>The following parties joined with Duquesne in requesting th</w:t>
      </w:r>
      <w:r w:rsidR="00463B07">
        <w:rPr>
          <w:rFonts w:eastAsiaTheme="minorHAnsi"/>
          <w:color w:val="000000"/>
          <w:sz w:val="26"/>
          <w:szCs w:val="26"/>
        </w:rPr>
        <w:t>at the</w:t>
      </w:r>
      <w:r w:rsidR="00975C80" w:rsidRPr="00975C80">
        <w:rPr>
          <w:rFonts w:eastAsiaTheme="minorHAnsi"/>
          <w:color w:val="000000"/>
          <w:sz w:val="26"/>
          <w:szCs w:val="26"/>
        </w:rPr>
        <w:t xml:space="preserve"> Commission approve the proposed resolution: </w:t>
      </w:r>
      <w:r w:rsidR="00463B07">
        <w:rPr>
          <w:rFonts w:eastAsiaTheme="minorHAnsi"/>
          <w:color w:val="000000"/>
          <w:sz w:val="26"/>
          <w:szCs w:val="26"/>
        </w:rPr>
        <w:t xml:space="preserve"> </w:t>
      </w:r>
      <w:r w:rsidR="00975C80" w:rsidRPr="00975C80">
        <w:rPr>
          <w:rFonts w:eastAsiaTheme="minorHAnsi"/>
          <w:color w:val="000000"/>
          <w:sz w:val="26"/>
          <w:szCs w:val="26"/>
        </w:rPr>
        <w:t xml:space="preserve">BIE, OCA, OSBA, CAUSE-PA, DII, CAAP, Wal-Mart, ChargePoint, KEEA, NRG Pittsburgh, CAC, and NRDC. </w:t>
      </w:r>
      <w:r w:rsidR="004F7E64">
        <w:rPr>
          <w:rFonts w:eastAsiaTheme="minorHAnsi"/>
          <w:color w:val="000000"/>
          <w:sz w:val="26"/>
          <w:szCs w:val="26"/>
        </w:rPr>
        <w:t xml:space="preserve"> </w:t>
      </w:r>
      <w:r w:rsidR="00975C80" w:rsidRPr="00975C80">
        <w:rPr>
          <w:rFonts w:eastAsiaTheme="minorHAnsi"/>
          <w:color w:val="000000"/>
          <w:sz w:val="26"/>
          <w:szCs w:val="26"/>
        </w:rPr>
        <w:t xml:space="preserve">Peoples and IBEW indicated they had no objection to the </w:t>
      </w:r>
      <w:r w:rsidR="00CB7550">
        <w:rPr>
          <w:rFonts w:eastAsiaTheme="minorHAnsi"/>
          <w:color w:val="000000"/>
          <w:sz w:val="26"/>
          <w:szCs w:val="26"/>
        </w:rPr>
        <w:t xml:space="preserve">Partial </w:t>
      </w:r>
      <w:r w:rsidR="00975C80" w:rsidRPr="00975C80">
        <w:rPr>
          <w:rFonts w:eastAsiaTheme="minorHAnsi"/>
          <w:color w:val="000000"/>
          <w:sz w:val="26"/>
          <w:szCs w:val="26"/>
        </w:rPr>
        <w:t>Settlement.</w:t>
      </w:r>
    </w:p>
    <w:p w:rsidR="00AD2AC8" w:rsidRPr="00975C80" w:rsidRDefault="00AD2AC8" w:rsidP="007D3734">
      <w:pPr>
        <w:widowControl/>
        <w:autoSpaceDE w:val="0"/>
        <w:autoSpaceDN w:val="0"/>
        <w:adjustRightInd w:val="0"/>
        <w:spacing w:line="360" w:lineRule="auto"/>
        <w:contextualSpacing/>
        <w:rPr>
          <w:rFonts w:eastAsiaTheme="minorHAnsi"/>
          <w:color w:val="000000"/>
          <w:sz w:val="26"/>
          <w:szCs w:val="26"/>
        </w:rPr>
      </w:pPr>
    </w:p>
    <w:p w:rsidR="00975C80" w:rsidRDefault="00AD2AC8" w:rsidP="007D3734">
      <w:pPr>
        <w:widowControl/>
        <w:autoSpaceDE w:val="0"/>
        <w:autoSpaceDN w:val="0"/>
        <w:adjustRightInd w:val="0"/>
        <w:spacing w:line="360" w:lineRule="auto"/>
        <w:contextualSpacing/>
        <w:rPr>
          <w:rFonts w:eastAsiaTheme="minorHAnsi"/>
          <w:color w:val="000000"/>
          <w:sz w:val="26"/>
          <w:szCs w:val="26"/>
        </w:rPr>
      </w:pPr>
      <w:r>
        <w:rPr>
          <w:rFonts w:eastAsiaTheme="minorHAnsi"/>
          <w:color w:val="000000"/>
          <w:sz w:val="26"/>
          <w:szCs w:val="26"/>
        </w:rPr>
        <w:lastRenderedPageBreak/>
        <w:tab/>
      </w:r>
      <w:r>
        <w:rPr>
          <w:rFonts w:eastAsiaTheme="minorHAnsi"/>
          <w:color w:val="000000"/>
          <w:sz w:val="26"/>
          <w:szCs w:val="26"/>
        </w:rPr>
        <w:tab/>
      </w:r>
      <w:r w:rsidR="00975C80" w:rsidRPr="00975C80">
        <w:rPr>
          <w:rFonts w:eastAsiaTheme="minorHAnsi"/>
          <w:color w:val="000000"/>
          <w:sz w:val="26"/>
          <w:szCs w:val="26"/>
        </w:rPr>
        <w:t xml:space="preserve">On September 14, 2018, the </w:t>
      </w:r>
      <w:r w:rsidR="00E13620">
        <w:rPr>
          <w:rFonts w:eastAsiaTheme="minorHAnsi"/>
          <w:color w:val="000000"/>
          <w:sz w:val="26"/>
          <w:szCs w:val="26"/>
        </w:rPr>
        <w:t>ALJ</w:t>
      </w:r>
      <w:r w:rsidR="00975C80" w:rsidRPr="00975C80">
        <w:rPr>
          <w:rFonts w:eastAsiaTheme="minorHAnsi"/>
          <w:color w:val="000000"/>
          <w:sz w:val="26"/>
          <w:szCs w:val="26"/>
        </w:rPr>
        <w:t xml:space="preserve"> issued a letter to all formal </w:t>
      </w:r>
      <w:r w:rsidR="00595D7E">
        <w:rPr>
          <w:rFonts w:eastAsiaTheme="minorHAnsi"/>
          <w:color w:val="000000"/>
          <w:sz w:val="26"/>
          <w:szCs w:val="26"/>
        </w:rPr>
        <w:t>C</w:t>
      </w:r>
      <w:r w:rsidR="00975C80" w:rsidRPr="00975C80">
        <w:rPr>
          <w:rFonts w:eastAsiaTheme="minorHAnsi"/>
          <w:color w:val="000000"/>
          <w:sz w:val="26"/>
          <w:szCs w:val="26"/>
        </w:rPr>
        <w:t xml:space="preserve">omplainants </w:t>
      </w:r>
      <w:r w:rsidR="00463B07">
        <w:rPr>
          <w:rFonts w:eastAsiaTheme="minorHAnsi"/>
          <w:color w:val="000000"/>
          <w:sz w:val="26"/>
          <w:szCs w:val="26"/>
        </w:rPr>
        <w:t xml:space="preserve">in which </w:t>
      </w:r>
      <w:r w:rsidR="00F904BA">
        <w:rPr>
          <w:rFonts w:eastAsiaTheme="minorHAnsi"/>
          <w:color w:val="000000"/>
          <w:sz w:val="26"/>
          <w:szCs w:val="26"/>
        </w:rPr>
        <w:t>s</w:t>
      </w:r>
      <w:r w:rsidR="00463B07">
        <w:rPr>
          <w:rFonts w:eastAsiaTheme="minorHAnsi"/>
          <w:color w:val="000000"/>
          <w:sz w:val="26"/>
          <w:szCs w:val="26"/>
        </w:rPr>
        <w:t xml:space="preserve">he </w:t>
      </w:r>
      <w:r w:rsidR="00975C80" w:rsidRPr="00975C80">
        <w:rPr>
          <w:rFonts w:eastAsiaTheme="minorHAnsi"/>
          <w:color w:val="000000"/>
          <w:sz w:val="26"/>
          <w:szCs w:val="26"/>
        </w:rPr>
        <w:t>advis</w:t>
      </w:r>
      <w:r w:rsidR="00463B07">
        <w:rPr>
          <w:rFonts w:eastAsiaTheme="minorHAnsi"/>
          <w:color w:val="000000"/>
          <w:sz w:val="26"/>
          <w:szCs w:val="26"/>
        </w:rPr>
        <w:t>ed</w:t>
      </w:r>
      <w:r w:rsidR="00975C80" w:rsidRPr="00975C80">
        <w:rPr>
          <w:rFonts w:eastAsiaTheme="minorHAnsi"/>
          <w:color w:val="000000"/>
          <w:sz w:val="26"/>
          <w:szCs w:val="26"/>
        </w:rPr>
        <w:t xml:space="preserve"> </w:t>
      </w:r>
      <w:r w:rsidR="00463B07">
        <w:rPr>
          <w:rFonts w:eastAsiaTheme="minorHAnsi"/>
          <w:color w:val="000000"/>
          <w:sz w:val="26"/>
          <w:szCs w:val="26"/>
        </w:rPr>
        <w:t xml:space="preserve">them </w:t>
      </w:r>
      <w:r w:rsidR="00975C80" w:rsidRPr="00975C80">
        <w:rPr>
          <w:rFonts w:eastAsiaTheme="minorHAnsi"/>
          <w:color w:val="000000"/>
          <w:sz w:val="26"/>
          <w:szCs w:val="26"/>
        </w:rPr>
        <w:t xml:space="preserve">of their right to comment, agree or object to the </w:t>
      </w:r>
      <w:r w:rsidR="00632087">
        <w:rPr>
          <w:rFonts w:eastAsiaTheme="minorHAnsi"/>
          <w:color w:val="000000"/>
          <w:sz w:val="26"/>
          <w:szCs w:val="26"/>
        </w:rPr>
        <w:t xml:space="preserve">Partial </w:t>
      </w:r>
      <w:r w:rsidR="00975C80" w:rsidRPr="00975C80">
        <w:rPr>
          <w:rFonts w:eastAsiaTheme="minorHAnsi"/>
          <w:color w:val="000000"/>
          <w:sz w:val="26"/>
          <w:szCs w:val="26"/>
        </w:rPr>
        <w:t>Settlement and how their responses could be included in the record in this proceeding.</w:t>
      </w:r>
      <w:r w:rsidR="00E660F8">
        <w:rPr>
          <w:rFonts w:eastAsiaTheme="minorHAnsi"/>
          <w:color w:val="000000"/>
          <w:sz w:val="26"/>
          <w:szCs w:val="26"/>
        </w:rPr>
        <w:t xml:space="preserve">  </w:t>
      </w:r>
      <w:r w:rsidR="00975C80" w:rsidRPr="00975C80">
        <w:rPr>
          <w:rFonts w:eastAsiaTheme="minorHAnsi"/>
          <w:color w:val="000000"/>
          <w:sz w:val="26"/>
          <w:szCs w:val="26"/>
        </w:rPr>
        <w:t>On October 2, 2018, the record</w:t>
      </w:r>
      <w:r w:rsidR="00E13620">
        <w:rPr>
          <w:rFonts w:eastAsiaTheme="minorHAnsi"/>
          <w:color w:val="000000"/>
          <w:sz w:val="26"/>
          <w:szCs w:val="26"/>
        </w:rPr>
        <w:t xml:space="preserve"> was closed</w:t>
      </w:r>
      <w:r w:rsidR="00975C80" w:rsidRPr="00975C80">
        <w:rPr>
          <w:rFonts w:eastAsiaTheme="minorHAnsi"/>
          <w:color w:val="000000"/>
          <w:sz w:val="26"/>
          <w:szCs w:val="26"/>
        </w:rPr>
        <w:t xml:space="preserve">. </w:t>
      </w:r>
      <w:r w:rsidR="005509E3">
        <w:rPr>
          <w:rFonts w:eastAsiaTheme="minorHAnsi"/>
          <w:color w:val="000000"/>
          <w:sz w:val="26"/>
          <w:szCs w:val="26"/>
        </w:rPr>
        <w:t xml:space="preserve"> </w:t>
      </w:r>
      <w:r w:rsidR="00975C80" w:rsidRPr="00975C80">
        <w:rPr>
          <w:rFonts w:eastAsiaTheme="minorHAnsi"/>
          <w:color w:val="000000"/>
          <w:sz w:val="26"/>
          <w:szCs w:val="26"/>
        </w:rPr>
        <w:t xml:space="preserve">The record </w:t>
      </w:r>
      <w:r w:rsidR="005509E3">
        <w:rPr>
          <w:rFonts w:eastAsiaTheme="minorHAnsi"/>
          <w:color w:val="000000"/>
          <w:sz w:val="26"/>
          <w:szCs w:val="26"/>
        </w:rPr>
        <w:t>is comprised of T</w:t>
      </w:r>
      <w:r w:rsidR="00975C80" w:rsidRPr="00975C80">
        <w:rPr>
          <w:rFonts w:eastAsiaTheme="minorHAnsi"/>
          <w:color w:val="000000"/>
          <w:sz w:val="26"/>
          <w:szCs w:val="26"/>
        </w:rPr>
        <w:t xml:space="preserve">ranscript </w:t>
      </w:r>
      <w:r w:rsidR="005509E3">
        <w:rPr>
          <w:rFonts w:eastAsiaTheme="minorHAnsi"/>
          <w:color w:val="000000"/>
          <w:sz w:val="26"/>
          <w:szCs w:val="26"/>
        </w:rPr>
        <w:t>P</w:t>
      </w:r>
      <w:r w:rsidR="00975C80" w:rsidRPr="00975C80">
        <w:rPr>
          <w:rFonts w:eastAsiaTheme="minorHAnsi"/>
          <w:color w:val="000000"/>
          <w:sz w:val="26"/>
          <w:szCs w:val="26"/>
        </w:rPr>
        <w:t>ages</w:t>
      </w:r>
      <w:r w:rsidR="00595D7E">
        <w:rPr>
          <w:rFonts w:eastAsiaTheme="minorHAnsi"/>
          <w:color w:val="000000"/>
          <w:sz w:val="26"/>
          <w:szCs w:val="26"/>
        </w:rPr>
        <w:t> </w:t>
      </w:r>
      <w:r w:rsidR="00975C80" w:rsidRPr="00975C80">
        <w:rPr>
          <w:rFonts w:eastAsiaTheme="minorHAnsi"/>
          <w:color w:val="000000"/>
          <w:sz w:val="26"/>
          <w:szCs w:val="26"/>
        </w:rPr>
        <w:t>1 through 678 in addition to the statements and exhibits listed in Appendix A</w:t>
      </w:r>
      <w:r w:rsidR="00FF275E">
        <w:rPr>
          <w:rFonts w:eastAsiaTheme="minorHAnsi"/>
          <w:color w:val="000000"/>
          <w:sz w:val="26"/>
          <w:szCs w:val="26"/>
        </w:rPr>
        <w:t xml:space="preserve"> </w:t>
      </w:r>
      <w:r w:rsidR="00975C80" w:rsidRPr="00975C80">
        <w:rPr>
          <w:rFonts w:eastAsiaTheme="minorHAnsi"/>
          <w:color w:val="000000"/>
          <w:sz w:val="26"/>
          <w:szCs w:val="26"/>
        </w:rPr>
        <w:t>of the R</w:t>
      </w:r>
      <w:r w:rsidR="005509E3">
        <w:rPr>
          <w:rFonts w:eastAsiaTheme="minorHAnsi"/>
          <w:color w:val="000000"/>
          <w:sz w:val="26"/>
          <w:szCs w:val="26"/>
        </w:rPr>
        <w:t>ecommended Decision.</w:t>
      </w:r>
    </w:p>
    <w:p w:rsidR="00997B7A" w:rsidRDefault="00997B7A" w:rsidP="007D3734">
      <w:pPr>
        <w:widowControl/>
        <w:tabs>
          <w:tab w:val="left" w:pos="-720"/>
        </w:tabs>
        <w:suppressAutoHyphens/>
        <w:spacing w:line="360" w:lineRule="auto"/>
        <w:contextualSpacing/>
        <w:rPr>
          <w:rFonts w:eastAsia="Calibri"/>
          <w:sz w:val="26"/>
          <w:szCs w:val="26"/>
        </w:rPr>
      </w:pPr>
    </w:p>
    <w:p w:rsidR="00997B7A" w:rsidRDefault="00997B7A" w:rsidP="007D3734">
      <w:pPr>
        <w:widowControl/>
        <w:tabs>
          <w:tab w:val="left" w:pos="-720"/>
        </w:tabs>
        <w:suppressAutoHyphens/>
        <w:spacing w:line="360" w:lineRule="auto"/>
        <w:contextualSpacing/>
        <w:rPr>
          <w:rFonts w:eastAsia="Calibri"/>
          <w:sz w:val="26"/>
          <w:szCs w:val="26"/>
        </w:rPr>
      </w:pPr>
      <w:r>
        <w:rPr>
          <w:rFonts w:eastAsia="Calibri"/>
          <w:sz w:val="26"/>
          <w:szCs w:val="26"/>
        </w:rPr>
        <w:tab/>
      </w:r>
      <w:r>
        <w:rPr>
          <w:rFonts w:eastAsia="Calibri"/>
          <w:sz w:val="26"/>
          <w:szCs w:val="26"/>
        </w:rPr>
        <w:tab/>
        <w:t xml:space="preserve">As noted, Exceptions were filed by </w:t>
      </w:r>
      <w:r w:rsidR="00B95FBE">
        <w:rPr>
          <w:rFonts w:eastAsia="Calibri"/>
          <w:sz w:val="26"/>
          <w:szCs w:val="26"/>
        </w:rPr>
        <w:t>Duquesne and DII</w:t>
      </w:r>
      <w:r>
        <w:rPr>
          <w:rFonts w:eastAsia="Calibri"/>
          <w:sz w:val="26"/>
          <w:szCs w:val="26"/>
        </w:rPr>
        <w:t xml:space="preserve"> on </w:t>
      </w:r>
      <w:r w:rsidR="00B95FBE">
        <w:rPr>
          <w:rFonts w:eastAsia="Calibri"/>
          <w:sz w:val="26"/>
          <w:szCs w:val="26"/>
        </w:rPr>
        <w:t>October 29</w:t>
      </w:r>
      <w:r>
        <w:rPr>
          <w:rFonts w:eastAsia="Calibri"/>
          <w:sz w:val="26"/>
          <w:szCs w:val="26"/>
        </w:rPr>
        <w:t xml:space="preserve">, 2018.  </w:t>
      </w:r>
      <w:r w:rsidR="00B95FBE">
        <w:rPr>
          <w:rFonts w:eastAsia="Calibri"/>
          <w:sz w:val="26"/>
          <w:szCs w:val="26"/>
        </w:rPr>
        <w:t>Duquesne and DII</w:t>
      </w:r>
      <w:r>
        <w:rPr>
          <w:rFonts w:eastAsia="Calibri"/>
          <w:sz w:val="26"/>
          <w:szCs w:val="26"/>
        </w:rPr>
        <w:t xml:space="preserve"> filed Replies to Exceptions on </w:t>
      </w:r>
      <w:r w:rsidR="00B95FBE">
        <w:rPr>
          <w:rFonts w:eastAsia="Calibri"/>
          <w:sz w:val="26"/>
          <w:szCs w:val="26"/>
        </w:rPr>
        <w:t>November 5</w:t>
      </w:r>
      <w:r>
        <w:rPr>
          <w:rFonts w:eastAsia="Calibri"/>
          <w:sz w:val="26"/>
          <w:szCs w:val="26"/>
        </w:rPr>
        <w:t>, 2018.</w:t>
      </w:r>
    </w:p>
    <w:p w:rsidR="008E46A0" w:rsidRDefault="008E46A0" w:rsidP="007D3734">
      <w:pPr>
        <w:widowControl/>
        <w:tabs>
          <w:tab w:val="left" w:pos="-720"/>
        </w:tabs>
        <w:suppressAutoHyphens/>
        <w:spacing w:line="360" w:lineRule="auto"/>
        <w:contextualSpacing/>
        <w:rPr>
          <w:rFonts w:eastAsia="Calibri"/>
          <w:sz w:val="26"/>
          <w:szCs w:val="26"/>
        </w:rPr>
      </w:pPr>
    </w:p>
    <w:p w:rsidR="00997B7A" w:rsidRDefault="00997B7A" w:rsidP="007D3734">
      <w:pPr>
        <w:pStyle w:val="Heading1"/>
        <w:keepLines/>
        <w:contextualSpacing/>
        <w:jc w:val="center"/>
        <w:rPr>
          <w:rFonts w:eastAsia="Calibri"/>
        </w:rPr>
      </w:pPr>
      <w:bookmarkStart w:id="7" w:name="_Toc531091815"/>
      <w:bookmarkStart w:id="8" w:name="_Toc532905955"/>
      <w:r>
        <w:rPr>
          <w:rFonts w:eastAsia="Calibri"/>
        </w:rPr>
        <w:t>Introduction</w:t>
      </w:r>
      <w:bookmarkEnd w:id="7"/>
      <w:bookmarkEnd w:id="8"/>
    </w:p>
    <w:p w:rsidR="000B4A48" w:rsidRPr="000B4A48" w:rsidRDefault="000B4A48" w:rsidP="007D3734">
      <w:pPr>
        <w:keepNext/>
        <w:keepLines/>
        <w:widowControl/>
        <w:contextualSpacing/>
        <w:rPr>
          <w:rFonts w:eastAsia="Calibri"/>
        </w:rPr>
      </w:pPr>
    </w:p>
    <w:p w:rsidR="00A77F08" w:rsidRDefault="00A77F08" w:rsidP="007D3734">
      <w:pPr>
        <w:widowControl/>
        <w:spacing w:line="360" w:lineRule="auto"/>
        <w:contextualSpacing/>
        <w:rPr>
          <w:rFonts w:eastAsia="Calibri"/>
          <w:sz w:val="26"/>
          <w:szCs w:val="26"/>
        </w:rPr>
      </w:pPr>
      <w:r>
        <w:rPr>
          <w:rFonts w:eastAsia="Calibri"/>
          <w:b/>
          <w:sz w:val="26"/>
          <w:szCs w:val="26"/>
        </w:rPr>
        <w:tab/>
      </w:r>
      <w:r>
        <w:rPr>
          <w:rFonts w:eastAsia="Calibri"/>
          <w:b/>
          <w:sz w:val="26"/>
          <w:szCs w:val="26"/>
        </w:rPr>
        <w:tab/>
      </w:r>
      <w:r w:rsidRPr="00A77F08">
        <w:rPr>
          <w:rFonts w:eastAsia="Calibri"/>
          <w:sz w:val="26"/>
          <w:szCs w:val="26"/>
        </w:rPr>
        <w:t xml:space="preserve">As a </w:t>
      </w:r>
      <w:r>
        <w:rPr>
          <w:rFonts w:eastAsia="Calibri"/>
          <w:sz w:val="26"/>
          <w:szCs w:val="26"/>
        </w:rPr>
        <w:t xml:space="preserve">preliminary matter, we note that any issue that we do not specifically delineate shall be deemed to have been duly considered and denied without further discussion.  The Commission is not required to </w:t>
      </w:r>
      <w:r w:rsidR="00E960E8">
        <w:rPr>
          <w:rFonts w:eastAsia="Calibri"/>
          <w:sz w:val="26"/>
          <w:szCs w:val="26"/>
        </w:rPr>
        <w:t>consider</w:t>
      </w:r>
      <w:r>
        <w:rPr>
          <w:rFonts w:eastAsia="Calibri"/>
          <w:sz w:val="26"/>
          <w:szCs w:val="26"/>
        </w:rPr>
        <w:t xml:space="preserve"> expressly or at length each contention or argument raised by the parties.  </w:t>
      </w:r>
      <w:r w:rsidRPr="00E960E8">
        <w:rPr>
          <w:rFonts w:eastAsia="Calibri"/>
          <w:i/>
          <w:sz w:val="26"/>
          <w:szCs w:val="26"/>
        </w:rPr>
        <w:t>Consolidated Rail Corp. v. Pa. PUC</w:t>
      </w:r>
      <w:r>
        <w:rPr>
          <w:rFonts w:eastAsia="Calibri"/>
          <w:sz w:val="26"/>
          <w:szCs w:val="26"/>
        </w:rPr>
        <w:t xml:space="preserve">, 625 A.2d 741 (Pa. Cmwlth. 1993); also see, generally, </w:t>
      </w:r>
      <w:r w:rsidRPr="00E960E8">
        <w:rPr>
          <w:rFonts w:eastAsia="Calibri"/>
          <w:i/>
          <w:sz w:val="26"/>
          <w:szCs w:val="26"/>
        </w:rPr>
        <w:t>University of Pennsylvania v. Pa. PUC</w:t>
      </w:r>
      <w:r>
        <w:rPr>
          <w:rFonts w:eastAsia="Calibri"/>
          <w:sz w:val="26"/>
          <w:szCs w:val="26"/>
        </w:rPr>
        <w:t>, 485 A.2d 1217 (Pa. Cmwlth. 1984).</w:t>
      </w:r>
    </w:p>
    <w:p w:rsidR="00A77F08" w:rsidRDefault="00A77F08" w:rsidP="007D3734">
      <w:pPr>
        <w:widowControl/>
        <w:spacing w:line="360" w:lineRule="auto"/>
        <w:contextualSpacing/>
        <w:rPr>
          <w:rFonts w:eastAsia="Calibri"/>
          <w:sz w:val="26"/>
          <w:szCs w:val="26"/>
        </w:rPr>
      </w:pPr>
    </w:p>
    <w:p w:rsidR="00A77F08" w:rsidRDefault="00A77F08" w:rsidP="007D3734">
      <w:pPr>
        <w:widowControl/>
        <w:spacing w:line="360" w:lineRule="auto"/>
        <w:contextualSpacing/>
        <w:rPr>
          <w:rFonts w:eastAsia="Calibri"/>
          <w:sz w:val="26"/>
          <w:szCs w:val="26"/>
        </w:rPr>
      </w:pPr>
      <w:r>
        <w:rPr>
          <w:rFonts w:eastAsia="Calibri"/>
          <w:sz w:val="26"/>
          <w:szCs w:val="26"/>
        </w:rPr>
        <w:tab/>
      </w:r>
      <w:r>
        <w:rPr>
          <w:rFonts w:eastAsia="Calibri"/>
          <w:sz w:val="26"/>
          <w:szCs w:val="26"/>
        </w:rPr>
        <w:tab/>
        <w:t xml:space="preserve">In her Recommended Decision, the ALJ made seventy Findings of Fact and reached </w:t>
      </w:r>
      <w:r w:rsidR="00F47CD4">
        <w:rPr>
          <w:rFonts w:eastAsia="Calibri"/>
          <w:sz w:val="26"/>
          <w:szCs w:val="26"/>
        </w:rPr>
        <w:t>eleven</w:t>
      </w:r>
      <w:r>
        <w:rPr>
          <w:rFonts w:eastAsia="Calibri"/>
          <w:sz w:val="26"/>
          <w:szCs w:val="26"/>
        </w:rPr>
        <w:t xml:space="preserve"> Conclusions of Law.  R.D. at </w:t>
      </w:r>
      <w:r w:rsidR="00F47CD4">
        <w:rPr>
          <w:rFonts w:eastAsia="Calibri"/>
          <w:sz w:val="26"/>
          <w:szCs w:val="26"/>
        </w:rPr>
        <w:t>145</w:t>
      </w:r>
      <w:r>
        <w:rPr>
          <w:rFonts w:eastAsia="Calibri"/>
          <w:sz w:val="26"/>
          <w:szCs w:val="26"/>
        </w:rPr>
        <w:t>-</w:t>
      </w:r>
      <w:r w:rsidR="00E960E8">
        <w:rPr>
          <w:rFonts w:eastAsia="Calibri"/>
          <w:sz w:val="26"/>
          <w:szCs w:val="26"/>
        </w:rPr>
        <w:t>1</w:t>
      </w:r>
      <w:r w:rsidR="00F47CD4">
        <w:rPr>
          <w:rFonts w:eastAsia="Calibri"/>
          <w:sz w:val="26"/>
          <w:szCs w:val="26"/>
        </w:rPr>
        <w:t>55</w:t>
      </w:r>
      <w:r w:rsidR="00E960E8">
        <w:rPr>
          <w:rFonts w:eastAsia="Calibri"/>
          <w:sz w:val="26"/>
          <w:szCs w:val="26"/>
        </w:rPr>
        <w:t xml:space="preserve">, </w:t>
      </w:r>
      <w:r w:rsidR="00F47CD4">
        <w:rPr>
          <w:rFonts w:eastAsia="Calibri"/>
          <w:sz w:val="26"/>
          <w:szCs w:val="26"/>
        </w:rPr>
        <w:t>17</w:t>
      </w:r>
      <w:r w:rsidR="00E960E8">
        <w:rPr>
          <w:rFonts w:eastAsia="Calibri"/>
          <w:sz w:val="26"/>
          <w:szCs w:val="26"/>
        </w:rPr>
        <w:t>8-</w:t>
      </w:r>
      <w:r w:rsidR="00F47CD4">
        <w:rPr>
          <w:rFonts w:eastAsia="Calibri"/>
          <w:sz w:val="26"/>
          <w:szCs w:val="26"/>
        </w:rPr>
        <w:t>1</w:t>
      </w:r>
      <w:r w:rsidR="00E960E8">
        <w:rPr>
          <w:rFonts w:eastAsia="Calibri"/>
          <w:sz w:val="26"/>
          <w:szCs w:val="26"/>
        </w:rPr>
        <w:t>8</w:t>
      </w:r>
      <w:r w:rsidR="00F47CD4">
        <w:rPr>
          <w:rFonts w:eastAsia="Calibri"/>
          <w:sz w:val="26"/>
          <w:szCs w:val="26"/>
        </w:rPr>
        <w:t>0</w:t>
      </w:r>
      <w:r w:rsidR="00E960E8">
        <w:rPr>
          <w:rFonts w:eastAsia="Calibri"/>
          <w:sz w:val="26"/>
          <w:szCs w:val="26"/>
        </w:rPr>
        <w:t>.  The Findings of Fact and Conclusions of Law are incorporated herein b</w:t>
      </w:r>
      <w:r w:rsidR="00EF6C5B">
        <w:rPr>
          <w:rFonts w:eastAsia="Calibri"/>
          <w:sz w:val="26"/>
          <w:szCs w:val="26"/>
        </w:rPr>
        <w:t>y</w:t>
      </w:r>
      <w:r w:rsidR="00E960E8">
        <w:rPr>
          <w:rFonts w:eastAsia="Calibri"/>
          <w:sz w:val="26"/>
          <w:szCs w:val="26"/>
        </w:rPr>
        <w:t xml:space="preserve"> reference and are adopted without comment unless they are either expressly or by necessary implication rejected or modified by this Opinion and Order.</w:t>
      </w:r>
    </w:p>
    <w:p w:rsidR="00E960E8" w:rsidRPr="00A77F08" w:rsidRDefault="00E960E8" w:rsidP="007D3734">
      <w:pPr>
        <w:widowControl/>
        <w:spacing w:line="360" w:lineRule="auto"/>
        <w:contextualSpacing/>
        <w:rPr>
          <w:rFonts w:eastAsia="Calibri"/>
          <w:sz w:val="26"/>
          <w:szCs w:val="26"/>
        </w:rPr>
      </w:pPr>
    </w:p>
    <w:p w:rsidR="009324E2" w:rsidRPr="00D068F4" w:rsidRDefault="00566238" w:rsidP="007D3734">
      <w:pPr>
        <w:pStyle w:val="Heading2"/>
        <w:keepNext/>
        <w:keepLines/>
        <w:ind w:left="720" w:hanging="720"/>
      </w:pPr>
      <w:bookmarkStart w:id="9" w:name="_Toc531091816"/>
      <w:bookmarkStart w:id="10" w:name="_Toc532905956"/>
      <w:r w:rsidRPr="00D068F4">
        <w:t>Legal Standards</w:t>
      </w:r>
      <w:bookmarkEnd w:id="9"/>
      <w:bookmarkEnd w:id="10"/>
    </w:p>
    <w:p w:rsidR="009324E2" w:rsidRPr="00663C81" w:rsidRDefault="009324E2" w:rsidP="007D3734">
      <w:pPr>
        <w:keepNext/>
        <w:keepLines/>
        <w:widowControl/>
        <w:spacing w:line="360" w:lineRule="auto"/>
        <w:contextualSpacing/>
        <w:rPr>
          <w:b/>
          <w:sz w:val="26"/>
          <w:szCs w:val="26"/>
        </w:rPr>
      </w:pPr>
    </w:p>
    <w:p w:rsidR="00324B48" w:rsidRPr="00324B48" w:rsidRDefault="00324B48" w:rsidP="007D3734">
      <w:pPr>
        <w:widowControl/>
        <w:spacing w:line="360" w:lineRule="auto"/>
        <w:ind w:firstLine="1440"/>
        <w:contextualSpacing/>
        <w:rPr>
          <w:sz w:val="26"/>
          <w:szCs w:val="26"/>
        </w:rPr>
      </w:pPr>
      <w:r w:rsidRPr="00324B48">
        <w:rPr>
          <w:sz w:val="26"/>
          <w:szCs w:val="26"/>
        </w:rPr>
        <w:t>The purpose of this investigation is to establish distribution rates for Duquesne</w:t>
      </w:r>
      <w:r w:rsidR="001E73FA">
        <w:rPr>
          <w:sz w:val="26"/>
          <w:szCs w:val="26"/>
        </w:rPr>
        <w:t>’</w:t>
      </w:r>
      <w:r w:rsidRPr="00324B48">
        <w:rPr>
          <w:sz w:val="26"/>
          <w:szCs w:val="26"/>
        </w:rPr>
        <w:t xml:space="preserve">s customers that are </w:t>
      </w:r>
      <w:r w:rsidR="001E73FA">
        <w:rPr>
          <w:sz w:val="26"/>
          <w:szCs w:val="26"/>
        </w:rPr>
        <w:t>“</w:t>
      </w:r>
      <w:r w:rsidRPr="00324B48">
        <w:rPr>
          <w:sz w:val="26"/>
          <w:szCs w:val="26"/>
        </w:rPr>
        <w:t>just and reasonable</w:t>
      </w:r>
      <w:r w:rsidR="001E73FA">
        <w:rPr>
          <w:sz w:val="26"/>
          <w:szCs w:val="26"/>
        </w:rPr>
        <w:t>”</w:t>
      </w:r>
      <w:r w:rsidRPr="00324B48">
        <w:rPr>
          <w:sz w:val="26"/>
          <w:szCs w:val="26"/>
        </w:rPr>
        <w:t xml:space="preserve"> pursuant to Section 1301 of the </w:t>
      </w:r>
      <w:r w:rsidRPr="00324B48">
        <w:rPr>
          <w:sz w:val="26"/>
          <w:szCs w:val="26"/>
        </w:rPr>
        <w:lastRenderedPageBreak/>
        <w:t xml:space="preserve">Code.  A public utility seeking a general rate increase is entitled to an opportunity to earn a fair rate of return on the value of the property dedicated to public service.  </w:t>
      </w:r>
      <w:r w:rsidRPr="00324B48">
        <w:rPr>
          <w:i/>
          <w:sz w:val="26"/>
          <w:szCs w:val="26"/>
        </w:rPr>
        <w:t>Bluefield Water Works and Improvement Co. v. Public Service Comm</w:t>
      </w:r>
      <w:r w:rsidR="001E73FA">
        <w:rPr>
          <w:i/>
          <w:sz w:val="26"/>
          <w:szCs w:val="26"/>
        </w:rPr>
        <w:t>’</w:t>
      </w:r>
      <w:r w:rsidRPr="00324B48">
        <w:rPr>
          <w:i/>
          <w:sz w:val="26"/>
          <w:szCs w:val="26"/>
        </w:rPr>
        <w:t>n of West Virginia,</w:t>
      </w:r>
      <w:r w:rsidRPr="00324B48">
        <w:rPr>
          <w:sz w:val="26"/>
          <w:szCs w:val="26"/>
        </w:rPr>
        <w:t xml:space="preserve"> 262 U.S. 679 (1923).</w:t>
      </w:r>
    </w:p>
    <w:p w:rsidR="00324B48" w:rsidRPr="00324B48" w:rsidRDefault="00324B48" w:rsidP="007D3734">
      <w:pPr>
        <w:widowControl/>
        <w:spacing w:line="360" w:lineRule="auto"/>
        <w:contextualSpacing/>
        <w:rPr>
          <w:sz w:val="26"/>
          <w:szCs w:val="26"/>
        </w:rPr>
      </w:pPr>
    </w:p>
    <w:p w:rsidR="00324B48" w:rsidRPr="00324B48" w:rsidRDefault="00324B48" w:rsidP="007D3734">
      <w:pPr>
        <w:widowControl/>
        <w:spacing w:line="360" w:lineRule="auto"/>
        <w:ind w:firstLine="1440"/>
        <w:contextualSpacing/>
        <w:rPr>
          <w:sz w:val="26"/>
          <w:szCs w:val="26"/>
        </w:rPr>
      </w:pPr>
      <w:r w:rsidRPr="00324B48">
        <w:rPr>
          <w:sz w:val="26"/>
          <w:szCs w:val="26"/>
        </w:rPr>
        <w:t xml:space="preserve">In determining what constitutes a fair rate of return, the Commission is guided by the criteria set forth in </w:t>
      </w:r>
      <w:r w:rsidRPr="00324B48">
        <w:rPr>
          <w:i/>
          <w:sz w:val="26"/>
          <w:szCs w:val="26"/>
        </w:rPr>
        <w:t xml:space="preserve">Bluefield, supra </w:t>
      </w:r>
      <w:r w:rsidRPr="00324B48">
        <w:rPr>
          <w:sz w:val="26"/>
          <w:szCs w:val="26"/>
        </w:rPr>
        <w:t xml:space="preserve">and </w:t>
      </w:r>
      <w:r w:rsidRPr="00324B48">
        <w:rPr>
          <w:i/>
          <w:sz w:val="26"/>
          <w:szCs w:val="26"/>
        </w:rPr>
        <w:t>Federal Power Comm</w:t>
      </w:r>
      <w:r w:rsidR="001E73FA">
        <w:rPr>
          <w:i/>
          <w:sz w:val="26"/>
          <w:szCs w:val="26"/>
        </w:rPr>
        <w:t>’</w:t>
      </w:r>
      <w:r w:rsidRPr="00324B48">
        <w:rPr>
          <w:i/>
          <w:sz w:val="26"/>
          <w:szCs w:val="26"/>
        </w:rPr>
        <w:t>n v. Hope Natural Gas Co.</w:t>
      </w:r>
      <w:r w:rsidRPr="00324B48">
        <w:rPr>
          <w:sz w:val="26"/>
          <w:szCs w:val="26"/>
        </w:rPr>
        <w:t xml:space="preserve">, 320 U.S. 591 (1944).  In </w:t>
      </w:r>
      <w:r w:rsidRPr="00324B48">
        <w:rPr>
          <w:i/>
          <w:sz w:val="26"/>
          <w:szCs w:val="26"/>
        </w:rPr>
        <w:t>Bluefield</w:t>
      </w:r>
      <w:r w:rsidRPr="00324B48">
        <w:rPr>
          <w:sz w:val="26"/>
          <w:szCs w:val="26"/>
        </w:rPr>
        <w:t xml:space="preserve"> the United States Supreme Court stated:</w:t>
      </w:r>
    </w:p>
    <w:p w:rsidR="00324B48" w:rsidRPr="00324B48" w:rsidRDefault="00324B48" w:rsidP="007D3734">
      <w:pPr>
        <w:widowControl/>
        <w:spacing w:line="360" w:lineRule="auto"/>
        <w:contextualSpacing/>
        <w:rPr>
          <w:sz w:val="26"/>
          <w:szCs w:val="26"/>
        </w:rPr>
      </w:pPr>
    </w:p>
    <w:p w:rsidR="00324B48" w:rsidRPr="00324B48" w:rsidRDefault="00324B48" w:rsidP="007D3734">
      <w:pPr>
        <w:widowControl/>
        <w:ind w:left="1440" w:right="1440"/>
        <w:contextualSpacing/>
        <w:rPr>
          <w:sz w:val="26"/>
          <w:szCs w:val="26"/>
        </w:rPr>
      </w:pPr>
      <w:r w:rsidRPr="00324B48">
        <w:rPr>
          <w:sz w:val="26"/>
          <w:szCs w:val="26"/>
        </w:rPr>
        <w:tab/>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w:t>
      </w:r>
    </w:p>
    <w:p w:rsidR="00324B48" w:rsidRPr="00324B48" w:rsidRDefault="00324B48" w:rsidP="007D3734">
      <w:pPr>
        <w:keepNext/>
        <w:widowControl/>
        <w:ind w:left="1440" w:right="1440"/>
        <w:contextualSpacing/>
        <w:rPr>
          <w:sz w:val="26"/>
          <w:szCs w:val="26"/>
        </w:rPr>
      </w:pPr>
      <w:r w:rsidRPr="00324B48">
        <w:rPr>
          <w:sz w:val="26"/>
          <w:szCs w:val="26"/>
        </w:rPr>
        <w:t>A rate of return may be too high or too low by changes affecting opportunities for investment, the money market and business conditions generally.</w:t>
      </w:r>
    </w:p>
    <w:p w:rsidR="00324B48" w:rsidRDefault="00324B48" w:rsidP="007D3734">
      <w:pPr>
        <w:keepNext/>
        <w:widowControl/>
        <w:ind w:left="1440" w:right="1440"/>
        <w:contextualSpacing/>
        <w:rPr>
          <w:sz w:val="26"/>
          <w:szCs w:val="26"/>
        </w:rPr>
      </w:pPr>
    </w:p>
    <w:p w:rsidR="007B709A" w:rsidRPr="00324B48" w:rsidRDefault="007B709A" w:rsidP="007D3734">
      <w:pPr>
        <w:keepNext/>
        <w:widowControl/>
        <w:ind w:left="1440" w:right="1440"/>
        <w:contextualSpacing/>
        <w:rPr>
          <w:sz w:val="26"/>
          <w:szCs w:val="26"/>
        </w:rPr>
      </w:pPr>
    </w:p>
    <w:p w:rsidR="00324B48" w:rsidRPr="00324B48" w:rsidRDefault="00324B48" w:rsidP="007D3734">
      <w:pPr>
        <w:keepNext/>
        <w:widowControl/>
        <w:spacing w:after="120"/>
        <w:contextualSpacing/>
        <w:jc w:val="both"/>
        <w:rPr>
          <w:sz w:val="26"/>
          <w:szCs w:val="26"/>
        </w:rPr>
      </w:pPr>
      <w:r w:rsidRPr="00324B48">
        <w:rPr>
          <w:i/>
          <w:sz w:val="26"/>
          <w:szCs w:val="26"/>
        </w:rPr>
        <w:t xml:space="preserve">Bluefield, </w:t>
      </w:r>
      <w:r w:rsidRPr="00324B48">
        <w:rPr>
          <w:sz w:val="26"/>
          <w:szCs w:val="26"/>
        </w:rPr>
        <w:t>262 U.S. at 692-3.</w:t>
      </w:r>
    </w:p>
    <w:p w:rsidR="00324B48" w:rsidRPr="00324B48" w:rsidRDefault="00324B48" w:rsidP="007D3734">
      <w:pPr>
        <w:widowControl/>
        <w:spacing w:line="360" w:lineRule="auto"/>
        <w:contextualSpacing/>
        <w:rPr>
          <w:sz w:val="26"/>
          <w:szCs w:val="26"/>
        </w:rPr>
      </w:pPr>
    </w:p>
    <w:p w:rsidR="00324B48" w:rsidRPr="00324B48" w:rsidRDefault="00324B48" w:rsidP="007D3734">
      <w:pPr>
        <w:widowControl/>
        <w:spacing w:line="360" w:lineRule="auto"/>
        <w:ind w:firstLine="1440"/>
        <w:contextualSpacing/>
        <w:rPr>
          <w:sz w:val="26"/>
          <w:szCs w:val="26"/>
        </w:rPr>
      </w:pPr>
      <w:r w:rsidRPr="00324B48">
        <w:rPr>
          <w:sz w:val="26"/>
          <w:szCs w:val="26"/>
        </w:rPr>
        <w:t xml:space="preserve">The policy of the Commission is to encourage settlements, and the Commission has stated that settlement rates are often preferable to those achieved at the conclusion of a fully litigated proceeding.  52 Pa. Code §§ 5.231, 69.401.  A full settlement of all the issues in a proceeding eliminates the time, effort and expense that otherwise would have been used in litigating the proceeding, while a partial settlement </w:t>
      </w:r>
      <w:r w:rsidRPr="00324B48">
        <w:rPr>
          <w:sz w:val="26"/>
          <w:szCs w:val="26"/>
        </w:rPr>
        <w:lastRenderedPageBreak/>
        <w:t>may significantly reduce the time, effort and expense of litigating a case.  A settlement, whether whole or partial, benefits not only the named parties directly, but, indirectly, all customers of the public utility involved in the case.</w:t>
      </w:r>
    </w:p>
    <w:p w:rsidR="00324B48" w:rsidRPr="00324B48" w:rsidRDefault="00324B48" w:rsidP="007D3734">
      <w:pPr>
        <w:widowControl/>
        <w:suppressAutoHyphens/>
        <w:spacing w:line="360" w:lineRule="auto"/>
        <w:contextualSpacing/>
        <w:jc w:val="both"/>
        <w:rPr>
          <w:sz w:val="26"/>
          <w:szCs w:val="26"/>
        </w:rPr>
      </w:pPr>
    </w:p>
    <w:p w:rsidR="00324B48" w:rsidRPr="00324B48" w:rsidRDefault="00324B48" w:rsidP="007D3734">
      <w:pPr>
        <w:widowControl/>
        <w:suppressAutoHyphens/>
        <w:spacing w:line="360" w:lineRule="auto"/>
        <w:ind w:firstLine="1440"/>
        <w:contextualSpacing/>
        <w:rPr>
          <w:sz w:val="26"/>
          <w:szCs w:val="26"/>
        </w:rPr>
      </w:pPr>
      <w:r w:rsidRPr="00324B48">
        <w:rPr>
          <w:sz w:val="26"/>
          <w:szCs w:val="26"/>
        </w:rPr>
        <w:t xml:space="preserve">Rate cases are expensive to litigate, and the reasonable cost of such litigation is an operating expense </w:t>
      </w:r>
      <w:r w:rsidR="00DB4E02">
        <w:rPr>
          <w:sz w:val="26"/>
          <w:szCs w:val="26"/>
        </w:rPr>
        <w:t xml:space="preserve">that is </w:t>
      </w:r>
      <w:r w:rsidRPr="00324B48">
        <w:rPr>
          <w:sz w:val="26"/>
          <w:szCs w:val="26"/>
        </w:rPr>
        <w:t>recovered in the rates approved by the Commission.  Partial or full settlements allow the parties to avoid the substantial costs of preparing and serving testimony and the cross-examination of witnesses in lengthy hearings</w:t>
      </w:r>
      <w:r w:rsidR="00050713">
        <w:rPr>
          <w:sz w:val="26"/>
          <w:szCs w:val="26"/>
        </w:rPr>
        <w:t xml:space="preserve"> as well as </w:t>
      </w:r>
      <w:r w:rsidRPr="00324B48">
        <w:rPr>
          <w:sz w:val="26"/>
          <w:szCs w:val="26"/>
        </w:rPr>
        <w:t>the preparation and service of briefs, reply briefs, exceptions and replies to exceptions, together with the briefs and reply briefs necessitated by any appeal of the Commission</w:t>
      </w:r>
      <w:r w:rsidR="001E73FA">
        <w:rPr>
          <w:sz w:val="26"/>
          <w:szCs w:val="26"/>
        </w:rPr>
        <w:t>’</w:t>
      </w:r>
      <w:r w:rsidRPr="00324B48">
        <w:rPr>
          <w:sz w:val="26"/>
          <w:szCs w:val="26"/>
        </w:rPr>
        <w:t>s decision</w:t>
      </w:r>
      <w:r w:rsidR="00DB4E02">
        <w:rPr>
          <w:sz w:val="26"/>
          <w:szCs w:val="26"/>
        </w:rPr>
        <w:t>;</w:t>
      </w:r>
      <w:r w:rsidRPr="00324B48">
        <w:rPr>
          <w:sz w:val="26"/>
          <w:szCs w:val="26"/>
        </w:rPr>
        <w:t xml:space="preserve"> yielding significant expense savings for the company</w:t>
      </w:r>
      <w:r w:rsidR="001E73FA">
        <w:rPr>
          <w:sz w:val="26"/>
          <w:szCs w:val="26"/>
        </w:rPr>
        <w:t>’</w:t>
      </w:r>
      <w:r w:rsidRPr="00324B48">
        <w:rPr>
          <w:sz w:val="26"/>
          <w:szCs w:val="26"/>
        </w:rPr>
        <w:t>s customers.  For this and other sound reasons, settlements are encouraged by long-standing Commission policy.</w:t>
      </w:r>
    </w:p>
    <w:p w:rsidR="00324B48" w:rsidRPr="00324B48" w:rsidRDefault="00324B48" w:rsidP="007D3734">
      <w:pPr>
        <w:widowControl/>
        <w:suppressAutoHyphens/>
        <w:spacing w:line="360" w:lineRule="auto"/>
        <w:ind w:firstLine="1440"/>
        <w:contextualSpacing/>
        <w:rPr>
          <w:sz w:val="26"/>
          <w:szCs w:val="26"/>
        </w:rPr>
      </w:pPr>
    </w:p>
    <w:p w:rsidR="00324B48" w:rsidRPr="00324B48" w:rsidRDefault="00324B48" w:rsidP="007D3734">
      <w:pPr>
        <w:widowControl/>
        <w:spacing w:line="360" w:lineRule="auto"/>
        <w:ind w:firstLine="1440"/>
        <w:contextualSpacing/>
        <w:rPr>
          <w:sz w:val="26"/>
          <w:szCs w:val="26"/>
        </w:rPr>
      </w:pPr>
      <w:r w:rsidRPr="00324B48">
        <w:rPr>
          <w:sz w:val="26"/>
          <w:szCs w:val="26"/>
        </w:rPr>
        <w:t xml:space="preserve">Despite the policy favoring settlements, the Commission does not simply rubber stamp settlements without further inquiry.  In order to accept a rate case settlement such as that proposed here, the Commission must determine that the proposed terms and conditions are in the public interest.  </w:t>
      </w:r>
      <w:r w:rsidRPr="00324B48">
        <w:rPr>
          <w:i/>
          <w:sz w:val="26"/>
          <w:szCs w:val="26"/>
        </w:rPr>
        <w:t>Pa. PUC v. York Water Co.</w:t>
      </w:r>
      <w:r w:rsidRPr="00324B48">
        <w:rPr>
          <w:sz w:val="26"/>
          <w:szCs w:val="26"/>
        </w:rPr>
        <w:t>, Docket No. R</w:t>
      </w:r>
      <w:r w:rsidR="00050713">
        <w:rPr>
          <w:sz w:val="26"/>
          <w:szCs w:val="26"/>
        </w:rPr>
        <w:noBreakHyphen/>
      </w:r>
      <w:r w:rsidRPr="00324B48">
        <w:rPr>
          <w:sz w:val="26"/>
          <w:szCs w:val="26"/>
        </w:rPr>
        <w:t xml:space="preserve">00049165 (Order entered October 4, 2004); </w:t>
      </w:r>
      <w:r w:rsidRPr="00324B48">
        <w:rPr>
          <w:i/>
          <w:sz w:val="26"/>
          <w:szCs w:val="26"/>
        </w:rPr>
        <w:t>Pa. PUC v. C. S. Water and Sewer Assoc.</w:t>
      </w:r>
      <w:r w:rsidRPr="00324B48">
        <w:rPr>
          <w:sz w:val="26"/>
          <w:szCs w:val="26"/>
        </w:rPr>
        <w:t>, 74 Pa. P.U.C. 767 (1991).</w:t>
      </w:r>
    </w:p>
    <w:p w:rsidR="00324B48" w:rsidRPr="00324B48" w:rsidRDefault="00324B48" w:rsidP="007D3734">
      <w:pPr>
        <w:widowControl/>
        <w:spacing w:line="360" w:lineRule="auto"/>
        <w:contextualSpacing/>
        <w:rPr>
          <w:sz w:val="26"/>
          <w:szCs w:val="26"/>
        </w:rPr>
      </w:pPr>
    </w:p>
    <w:p w:rsidR="00324B48" w:rsidRPr="00324B48" w:rsidRDefault="00324B48" w:rsidP="007D3734">
      <w:pPr>
        <w:widowControl/>
        <w:spacing w:line="360" w:lineRule="auto"/>
        <w:ind w:firstLine="1440"/>
        <w:contextualSpacing/>
        <w:rPr>
          <w:sz w:val="26"/>
          <w:szCs w:val="26"/>
        </w:rPr>
      </w:pPr>
      <w:r w:rsidRPr="00324B48">
        <w:rPr>
          <w:sz w:val="26"/>
          <w:szCs w:val="26"/>
        </w:rPr>
        <w:t>With regard to the burden of proof in this matter, Section 315(a) of the Code provides:</w:t>
      </w:r>
    </w:p>
    <w:p w:rsidR="00324B48" w:rsidRPr="00324B48" w:rsidRDefault="00324B48" w:rsidP="007D3734">
      <w:pPr>
        <w:widowControl/>
        <w:spacing w:line="360" w:lineRule="auto"/>
        <w:ind w:firstLine="1440"/>
        <w:contextualSpacing/>
        <w:rPr>
          <w:sz w:val="26"/>
          <w:szCs w:val="26"/>
        </w:rPr>
      </w:pPr>
    </w:p>
    <w:p w:rsidR="00324B48" w:rsidRPr="00324B48" w:rsidRDefault="00324B48" w:rsidP="007D3734">
      <w:pPr>
        <w:keepNext/>
        <w:widowControl/>
        <w:spacing w:after="120"/>
        <w:ind w:left="1440" w:right="1440"/>
        <w:jc w:val="both"/>
        <w:rPr>
          <w:b/>
          <w:sz w:val="26"/>
          <w:szCs w:val="26"/>
        </w:rPr>
      </w:pPr>
      <w:r w:rsidRPr="00324B48">
        <w:rPr>
          <w:b/>
          <w:sz w:val="26"/>
          <w:szCs w:val="26"/>
        </w:rPr>
        <w:t>§ 315.  Burden of proof</w:t>
      </w:r>
    </w:p>
    <w:p w:rsidR="00AE4A6E" w:rsidRDefault="00324B48" w:rsidP="007D3734">
      <w:pPr>
        <w:keepNext/>
        <w:widowControl/>
        <w:numPr>
          <w:ilvl w:val="0"/>
          <w:numId w:val="20"/>
        </w:numPr>
        <w:ind w:left="1440" w:right="1440" w:firstLine="360"/>
        <w:rPr>
          <w:sz w:val="26"/>
          <w:szCs w:val="26"/>
        </w:rPr>
      </w:pPr>
      <w:r w:rsidRPr="00324B48">
        <w:rPr>
          <w:b/>
          <w:sz w:val="26"/>
          <w:szCs w:val="26"/>
        </w:rPr>
        <w:t>Reasonableness of rates.—</w:t>
      </w:r>
      <w:r w:rsidRPr="00324B48">
        <w:rPr>
          <w:sz w:val="26"/>
          <w:szCs w:val="26"/>
        </w:rPr>
        <w:t xml:space="preserve">In any proceeding upon the motion of the commission, involving any proposed or existing rate of any public utility, or in any proceedings upon complaint involving any proposed increase in rates, the burden of proof to show that the rate involved is just and </w:t>
      </w:r>
      <w:r w:rsidRPr="00324B48">
        <w:rPr>
          <w:sz w:val="26"/>
          <w:szCs w:val="26"/>
        </w:rPr>
        <w:lastRenderedPageBreak/>
        <w:t xml:space="preserve">reasonable shall be upon the public utility.  The commission shall give to the hearing and decision of any such proceeding </w:t>
      </w:r>
    </w:p>
    <w:p w:rsidR="00324B48" w:rsidRDefault="00324B48" w:rsidP="007D3734">
      <w:pPr>
        <w:keepNext/>
        <w:widowControl/>
        <w:ind w:left="1440" w:right="1440"/>
        <w:rPr>
          <w:sz w:val="26"/>
          <w:szCs w:val="26"/>
        </w:rPr>
      </w:pPr>
      <w:r w:rsidRPr="00324B48">
        <w:rPr>
          <w:sz w:val="26"/>
          <w:szCs w:val="26"/>
        </w:rPr>
        <w:t xml:space="preserve">preference over all other </w:t>
      </w:r>
      <w:r w:rsidR="00F47CD4" w:rsidRPr="00324B48">
        <w:rPr>
          <w:sz w:val="26"/>
          <w:szCs w:val="26"/>
        </w:rPr>
        <w:t>proceedings and</w:t>
      </w:r>
      <w:r w:rsidRPr="00324B48">
        <w:rPr>
          <w:sz w:val="26"/>
          <w:szCs w:val="26"/>
        </w:rPr>
        <w:t xml:space="preserve"> decide the same as speedily as possible.</w:t>
      </w:r>
    </w:p>
    <w:p w:rsidR="00AE4A6E" w:rsidRPr="00795ACA" w:rsidRDefault="00AE4A6E" w:rsidP="007D3734">
      <w:pPr>
        <w:keepNext/>
        <w:widowControl/>
        <w:ind w:left="1800" w:right="1440"/>
        <w:rPr>
          <w:sz w:val="26"/>
          <w:szCs w:val="26"/>
        </w:rPr>
      </w:pPr>
    </w:p>
    <w:p w:rsidR="00AE4A6E" w:rsidRPr="00324B48" w:rsidRDefault="00AE4A6E" w:rsidP="007D3734">
      <w:pPr>
        <w:keepNext/>
        <w:widowControl/>
        <w:ind w:left="1800" w:right="1440"/>
        <w:rPr>
          <w:sz w:val="26"/>
          <w:szCs w:val="26"/>
        </w:rPr>
      </w:pPr>
    </w:p>
    <w:p w:rsidR="00324B48" w:rsidRPr="00324B48" w:rsidRDefault="00324B48" w:rsidP="007D3734">
      <w:pPr>
        <w:widowControl/>
        <w:spacing w:line="360" w:lineRule="auto"/>
        <w:contextualSpacing/>
        <w:rPr>
          <w:sz w:val="26"/>
          <w:szCs w:val="26"/>
        </w:rPr>
      </w:pPr>
      <w:r w:rsidRPr="00324B48">
        <w:rPr>
          <w:sz w:val="26"/>
          <w:szCs w:val="26"/>
        </w:rPr>
        <w:t xml:space="preserve">66 Pa. C.S. § 315(a).  Consequently, in this proceeding, Duquesne has the burden to prove that the rate increase proposed by the </w:t>
      </w:r>
      <w:r w:rsidR="00EF3C09">
        <w:rPr>
          <w:sz w:val="26"/>
          <w:szCs w:val="26"/>
        </w:rPr>
        <w:t xml:space="preserve">Partial </w:t>
      </w:r>
      <w:r w:rsidRPr="00324B48">
        <w:rPr>
          <w:sz w:val="26"/>
          <w:szCs w:val="26"/>
        </w:rPr>
        <w:t xml:space="preserve">Settlement is just and reasonable.  The Joint Petitioners have reached an accord on many of the issues and claims that arose in this proceeding and submitted the Settlement.  The Joint Petitioners have the burden to prove that the </w:t>
      </w:r>
      <w:r w:rsidR="00EF3C09">
        <w:rPr>
          <w:sz w:val="26"/>
          <w:szCs w:val="26"/>
        </w:rPr>
        <w:t xml:space="preserve">Partial </w:t>
      </w:r>
      <w:r w:rsidRPr="00324B48">
        <w:rPr>
          <w:sz w:val="26"/>
          <w:szCs w:val="26"/>
        </w:rPr>
        <w:t>Settlement is in the public interest.</w:t>
      </w:r>
    </w:p>
    <w:p w:rsidR="008E46A0" w:rsidRPr="00663C81" w:rsidRDefault="008E46A0" w:rsidP="007D3734">
      <w:pPr>
        <w:widowControl/>
        <w:spacing w:line="360" w:lineRule="auto"/>
        <w:contextualSpacing/>
        <w:rPr>
          <w:rFonts w:eastAsia="Calibri"/>
          <w:sz w:val="26"/>
          <w:szCs w:val="26"/>
        </w:rPr>
      </w:pPr>
    </w:p>
    <w:p w:rsidR="00DD43A9" w:rsidRPr="00DD43A9" w:rsidRDefault="00DD43A9" w:rsidP="007D3734">
      <w:pPr>
        <w:pStyle w:val="Heading1"/>
        <w:keepLines/>
        <w:contextualSpacing/>
        <w:jc w:val="center"/>
      </w:pPr>
      <w:bookmarkStart w:id="11" w:name="_Toc531091817"/>
      <w:bookmarkStart w:id="12" w:name="_Toc532905957"/>
      <w:r w:rsidRPr="00DD43A9">
        <w:t>Joint Petition for Partial Settlement</w:t>
      </w:r>
      <w:bookmarkEnd w:id="11"/>
      <w:bookmarkEnd w:id="12"/>
    </w:p>
    <w:p w:rsidR="00DD43A9" w:rsidRDefault="00DD43A9" w:rsidP="007D3734">
      <w:pPr>
        <w:keepNext/>
        <w:keepLines/>
        <w:widowControl/>
        <w:tabs>
          <w:tab w:val="left" w:pos="900"/>
        </w:tabs>
        <w:spacing w:line="360" w:lineRule="auto"/>
        <w:contextualSpacing/>
        <w:rPr>
          <w:sz w:val="26"/>
        </w:rPr>
      </w:pPr>
    </w:p>
    <w:p w:rsidR="009F561B" w:rsidRDefault="00D65054" w:rsidP="007D3734">
      <w:pPr>
        <w:pStyle w:val="Heading2"/>
        <w:keepNext/>
        <w:keepLines/>
        <w:numPr>
          <w:ilvl w:val="0"/>
          <w:numId w:val="15"/>
        </w:numPr>
        <w:ind w:hanging="720"/>
      </w:pPr>
      <w:bookmarkStart w:id="13" w:name="_Toc531091818"/>
      <w:bookmarkStart w:id="14" w:name="_Toc532905958"/>
      <w:r>
        <w:t xml:space="preserve">Terms and Conditions of the </w:t>
      </w:r>
      <w:r w:rsidR="00DD43A9" w:rsidRPr="00DD43A9">
        <w:t>Partial Settlement</w:t>
      </w:r>
      <w:bookmarkEnd w:id="13"/>
      <w:bookmarkEnd w:id="14"/>
    </w:p>
    <w:p w:rsidR="006A03F7" w:rsidRPr="00D32E33" w:rsidRDefault="006A03F7" w:rsidP="007D3734">
      <w:pPr>
        <w:keepNext/>
        <w:keepLines/>
        <w:widowControl/>
        <w:tabs>
          <w:tab w:val="left" w:pos="900"/>
        </w:tabs>
        <w:spacing w:line="360" w:lineRule="auto"/>
        <w:contextualSpacing/>
        <w:rPr>
          <w:sz w:val="26"/>
        </w:rPr>
      </w:pPr>
    </w:p>
    <w:p w:rsidR="00D65054" w:rsidRDefault="00795ACA" w:rsidP="007D3734">
      <w:pPr>
        <w:pStyle w:val="ListNumber"/>
        <w:numPr>
          <w:ilvl w:val="0"/>
          <w:numId w:val="0"/>
        </w:numPr>
        <w:spacing w:after="0" w:line="360" w:lineRule="auto"/>
        <w:ind w:firstLine="1440"/>
        <w:contextualSpacing/>
        <w:jc w:val="left"/>
        <w:rPr>
          <w:rFonts w:cs="Times New Roman"/>
          <w:sz w:val="26"/>
          <w:szCs w:val="26"/>
        </w:rPr>
      </w:pPr>
      <w:r>
        <w:rPr>
          <w:rFonts w:cs="Times New Roman"/>
          <w:sz w:val="26"/>
          <w:szCs w:val="26"/>
        </w:rPr>
        <w:t>As noted, t</w:t>
      </w:r>
      <w:r w:rsidR="00D65054" w:rsidRPr="00460A91">
        <w:rPr>
          <w:rFonts w:cs="Times New Roman"/>
          <w:sz w:val="26"/>
          <w:szCs w:val="26"/>
        </w:rPr>
        <w:t>he Joint Petitioners agreed to the Partial Settlement covering all issues except for one</w:t>
      </w:r>
      <w:r>
        <w:rPr>
          <w:rFonts w:cs="Times New Roman"/>
          <w:sz w:val="26"/>
          <w:szCs w:val="26"/>
        </w:rPr>
        <w:t xml:space="preserve"> – the issue involving </w:t>
      </w:r>
      <w:r w:rsidR="00CD2E7F">
        <w:rPr>
          <w:color w:val="000000"/>
          <w:sz w:val="26"/>
          <w:szCs w:val="26"/>
        </w:rPr>
        <w:t xml:space="preserve">the proposed </w:t>
      </w:r>
      <w:r w:rsidR="00CD2E7F" w:rsidRPr="001F75B6">
        <w:rPr>
          <w:rFonts w:cs="Times New Roman"/>
          <w:sz w:val="26"/>
          <w:szCs w:val="26"/>
        </w:rPr>
        <w:t xml:space="preserve">revisions by Duquesne to </w:t>
      </w:r>
      <w:r w:rsidR="00BF7139">
        <w:rPr>
          <w:rFonts w:cs="Times New Roman"/>
          <w:sz w:val="26"/>
          <w:szCs w:val="26"/>
        </w:rPr>
        <w:t>Rider</w:t>
      </w:r>
      <w:r w:rsidR="00CD2E7F" w:rsidRPr="001F75B6">
        <w:rPr>
          <w:rFonts w:cs="Times New Roman"/>
          <w:sz w:val="26"/>
          <w:szCs w:val="26"/>
        </w:rPr>
        <w:t xml:space="preserve"> No. 16 (Service to Non-Utility Generating Facilities)</w:t>
      </w:r>
      <w:r w:rsidR="00D65054" w:rsidRPr="00460A91">
        <w:rPr>
          <w:rFonts w:cs="Times New Roman"/>
          <w:sz w:val="26"/>
          <w:szCs w:val="26"/>
        </w:rPr>
        <w:t xml:space="preserve">.  </w:t>
      </w:r>
      <w:r w:rsidR="00D65054">
        <w:rPr>
          <w:rFonts w:cs="Times New Roman"/>
          <w:sz w:val="26"/>
          <w:szCs w:val="26"/>
        </w:rPr>
        <w:t>The Partial Settlement</w:t>
      </w:r>
      <w:r w:rsidR="00CD2E7F">
        <w:rPr>
          <w:rFonts w:cs="Times New Roman"/>
          <w:sz w:val="26"/>
          <w:szCs w:val="26"/>
        </w:rPr>
        <w:t>, if approved,</w:t>
      </w:r>
      <w:r w:rsidR="00D65054">
        <w:rPr>
          <w:rFonts w:cs="Times New Roman"/>
          <w:sz w:val="26"/>
          <w:szCs w:val="26"/>
        </w:rPr>
        <w:t xml:space="preserve"> will result in a net increase in annual base distribution operating revenues of $92.7 million</w:t>
      </w:r>
      <w:r w:rsidR="00CD2E7F">
        <w:rPr>
          <w:rFonts w:cs="Times New Roman"/>
          <w:sz w:val="26"/>
          <w:szCs w:val="26"/>
        </w:rPr>
        <w:t xml:space="preserve">.  This increase </w:t>
      </w:r>
      <w:r w:rsidR="00D65054">
        <w:rPr>
          <w:rFonts w:cs="Times New Roman"/>
          <w:sz w:val="26"/>
          <w:szCs w:val="26"/>
        </w:rPr>
        <w:t xml:space="preserve">includes $52.2 million of revenues </w:t>
      </w:r>
      <w:r w:rsidR="002D1F6A">
        <w:rPr>
          <w:rFonts w:cs="Times New Roman"/>
          <w:sz w:val="26"/>
          <w:szCs w:val="26"/>
        </w:rPr>
        <w:t xml:space="preserve">that are </w:t>
      </w:r>
      <w:r w:rsidR="00D65054">
        <w:rPr>
          <w:rFonts w:cs="Times New Roman"/>
          <w:sz w:val="26"/>
          <w:szCs w:val="26"/>
        </w:rPr>
        <w:t xml:space="preserve">currently recovered from customers </w:t>
      </w:r>
      <w:r w:rsidR="002D1F6A">
        <w:rPr>
          <w:rFonts w:cs="Times New Roman"/>
          <w:sz w:val="26"/>
          <w:szCs w:val="26"/>
        </w:rPr>
        <w:t>through various s</w:t>
      </w:r>
      <w:r w:rsidR="00D65054">
        <w:rPr>
          <w:rFonts w:cs="Times New Roman"/>
          <w:sz w:val="26"/>
          <w:szCs w:val="26"/>
        </w:rPr>
        <w:t>urcharges</w:t>
      </w:r>
      <w:r w:rsidR="002D1F6A">
        <w:rPr>
          <w:rFonts w:cs="Times New Roman"/>
          <w:sz w:val="26"/>
          <w:szCs w:val="26"/>
        </w:rPr>
        <w:t>.</w:t>
      </w:r>
      <w:r w:rsidR="00D65054">
        <w:rPr>
          <w:rStyle w:val="FootnoteReference"/>
          <w:rFonts w:cs="Times New Roman"/>
          <w:sz w:val="26"/>
          <w:szCs w:val="26"/>
        </w:rPr>
        <w:footnoteReference w:id="6"/>
      </w:r>
      <w:r w:rsidR="00D65054">
        <w:rPr>
          <w:rFonts w:cs="Times New Roman"/>
          <w:sz w:val="26"/>
          <w:szCs w:val="26"/>
        </w:rPr>
        <w:t xml:space="preserve"> </w:t>
      </w:r>
      <w:r w:rsidR="002D1F6A">
        <w:rPr>
          <w:rFonts w:cs="Times New Roman"/>
          <w:sz w:val="26"/>
          <w:szCs w:val="26"/>
        </w:rPr>
        <w:t xml:space="preserve"> Thus, </w:t>
      </w:r>
      <w:r w:rsidR="008B43BF">
        <w:rPr>
          <w:rFonts w:cs="Times New Roman"/>
          <w:sz w:val="26"/>
          <w:szCs w:val="26"/>
        </w:rPr>
        <w:t>the remaining $</w:t>
      </w:r>
      <w:r w:rsidR="00770553">
        <w:rPr>
          <w:rFonts w:cs="Times New Roman"/>
          <w:sz w:val="26"/>
          <w:szCs w:val="26"/>
        </w:rPr>
        <w:t xml:space="preserve">40.5 million </w:t>
      </w:r>
      <w:r w:rsidR="008B43BF">
        <w:rPr>
          <w:rFonts w:cs="Times New Roman"/>
          <w:sz w:val="26"/>
          <w:szCs w:val="26"/>
        </w:rPr>
        <w:t xml:space="preserve">attributed to </w:t>
      </w:r>
      <w:r w:rsidR="00770553">
        <w:rPr>
          <w:rFonts w:cs="Times New Roman"/>
          <w:sz w:val="26"/>
          <w:szCs w:val="26"/>
        </w:rPr>
        <w:t>non-surcharge rev</w:t>
      </w:r>
      <w:r w:rsidR="00D65054">
        <w:rPr>
          <w:rFonts w:cs="Times New Roman"/>
          <w:sz w:val="26"/>
          <w:szCs w:val="26"/>
        </w:rPr>
        <w:t>enues</w:t>
      </w:r>
      <w:r w:rsidR="008B43BF">
        <w:rPr>
          <w:rFonts w:cs="Times New Roman"/>
          <w:sz w:val="26"/>
          <w:szCs w:val="26"/>
        </w:rPr>
        <w:t xml:space="preserve"> </w:t>
      </w:r>
      <w:r w:rsidR="00D65054">
        <w:rPr>
          <w:rFonts w:cs="Times New Roman"/>
          <w:sz w:val="26"/>
          <w:szCs w:val="26"/>
        </w:rPr>
        <w:t>represent</w:t>
      </w:r>
      <w:r w:rsidR="00BD1877">
        <w:rPr>
          <w:rFonts w:cs="Times New Roman"/>
          <w:sz w:val="26"/>
          <w:szCs w:val="26"/>
        </w:rPr>
        <w:t xml:space="preserve"> approximate</w:t>
      </w:r>
      <w:r w:rsidR="002D5B56">
        <w:rPr>
          <w:rFonts w:cs="Times New Roman"/>
          <w:sz w:val="26"/>
          <w:szCs w:val="26"/>
        </w:rPr>
        <w:t>ly a</w:t>
      </w:r>
      <w:r w:rsidR="00BD1877">
        <w:rPr>
          <w:rFonts w:cs="Times New Roman"/>
          <w:sz w:val="26"/>
          <w:szCs w:val="26"/>
        </w:rPr>
        <w:t xml:space="preserve"> </w:t>
      </w:r>
      <w:r w:rsidR="00D65054">
        <w:rPr>
          <w:rFonts w:cs="Times New Roman"/>
          <w:sz w:val="26"/>
          <w:szCs w:val="26"/>
        </w:rPr>
        <w:t xml:space="preserve">50% </w:t>
      </w:r>
      <w:r w:rsidR="00717563">
        <w:rPr>
          <w:rFonts w:cs="Times New Roman"/>
          <w:sz w:val="26"/>
          <w:szCs w:val="26"/>
        </w:rPr>
        <w:t xml:space="preserve">reduction to the $81.6 million </w:t>
      </w:r>
      <w:r w:rsidR="00AA39C9">
        <w:rPr>
          <w:rFonts w:cs="Times New Roman"/>
          <w:sz w:val="26"/>
          <w:szCs w:val="26"/>
        </w:rPr>
        <w:t xml:space="preserve">originally proposed by </w:t>
      </w:r>
      <w:r w:rsidR="00D65054">
        <w:rPr>
          <w:rFonts w:cs="Times New Roman"/>
          <w:sz w:val="26"/>
          <w:szCs w:val="26"/>
        </w:rPr>
        <w:t>Duquesne</w:t>
      </w:r>
      <w:r w:rsidR="00AA39C9">
        <w:rPr>
          <w:rFonts w:cs="Times New Roman"/>
          <w:sz w:val="26"/>
          <w:szCs w:val="26"/>
        </w:rPr>
        <w:t xml:space="preserve"> </w:t>
      </w:r>
      <w:r w:rsidR="002D5B56">
        <w:rPr>
          <w:rFonts w:cs="Times New Roman"/>
          <w:sz w:val="26"/>
          <w:szCs w:val="26"/>
        </w:rPr>
        <w:t>on its base rates.</w:t>
      </w:r>
      <w:r w:rsidR="00D65054">
        <w:rPr>
          <w:rFonts w:cs="Times New Roman"/>
          <w:sz w:val="26"/>
          <w:szCs w:val="26"/>
        </w:rPr>
        <w:t xml:space="preserve">  The Joint Petitioners have agreed, </w:t>
      </w:r>
      <w:r w:rsidR="00D65054">
        <w:rPr>
          <w:rFonts w:cs="Times New Roman"/>
          <w:i/>
          <w:sz w:val="26"/>
          <w:szCs w:val="26"/>
        </w:rPr>
        <w:t>inter alia,</w:t>
      </w:r>
      <w:r w:rsidR="00D65054">
        <w:rPr>
          <w:rFonts w:cs="Times New Roman"/>
          <w:sz w:val="26"/>
          <w:szCs w:val="26"/>
        </w:rPr>
        <w:t xml:space="preserve"> to a base rate increase, an allocation of that revenue increase to the rate classes, a rate design for each rate class, universal service, customer service, time of use, and master metering matters, and an Electric Vehicle ChargeUp Pilot </w:t>
      </w:r>
      <w:r w:rsidR="00D65054">
        <w:rPr>
          <w:rFonts w:cs="Times New Roman"/>
          <w:sz w:val="26"/>
          <w:szCs w:val="26"/>
        </w:rPr>
        <w:lastRenderedPageBreak/>
        <w:t xml:space="preserve">(EV Pilot) program.  </w:t>
      </w:r>
      <w:r w:rsidR="007A0AC3">
        <w:rPr>
          <w:rFonts w:cs="Times New Roman"/>
          <w:sz w:val="26"/>
          <w:szCs w:val="26"/>
        </w:rPr>
        <w:t>As noted, t</w:t>
      </w:r>
      <w:r w:rsidR="00D65054" w:rsidRPr="00460A91">
        <w:rPr>
          <w:rFonts w:cs="Times New Roman"/>
          <w:sz w:val="26"/>
          <w:szCs w:val="26"/>
        </w:rPr>
        <w:t xml:space="preserve">he </w:t>
      </w:r>
      <w:r w:rsidR="00EF3C09">
        <w:rPr>
          <w:rFonts w:cs="Times New Roman"/>
          <w:sz w:val="26"/>
          <w:szCs w:val="26"/>
        </w:rPr>
        <w:t>Partial</w:t>
      </w:r>
      <w:r w:rsidR="0057119F">
        <w:rPr>
          <w:rFonts w:cs="Times New Roman"/>
          <w:sz w:val="26"/>
          <w:szCs w:val="26"/>
        </w:rPr>
        <w:t xml:space="preserve"> Settlement further provides that the </w:t>
      </w:r>
      <w:r w:rsidR="00D65054" w:rsidRPr="00460A91">
        <w:rPr>
          <w:rFonts w:cs="Times New Roman"/>
          <w:sz w:val="26"/>
          <w:szCs w:val="26"/>
        </w:rPr>
        <w:t xml:space="preserve">Parties to this proceeding </w:t>
      </w:r>
      <w:r w:rsidR="0057119F">
        <w:rPr>
          <w:rFonts w:cs="Times New Roman"/>
          <w:sz w:val="26"/>
          <w:szCs w:val="26"/>
        </w:rPr>
        <w:t xml:space="preserve">have </w:t>
      </w:r>
      <w:r w:rsidR="00D65054" w:rsidRPr="00460A91">
        <w:rPr>
          <w:rFonts w:cs="Times New Roman"/>
          <w:sz w:val="26"/>
          <w:szCs w:val="26"/>
        </w:rPr>
        <w:t>reserved for litigation</w:t>
      </w:r>
      <w:r w:rsidR="0057119F">
        <w:rPr>
          <w:rFonts w:cs="Times New Roman"/>
          <w:sz w:val="26"/>
          <w:szCs w:val="26"/>
        </w:rPr>
        <w:t>,</w:t>
      </w:r>
      <w:r w:rsidR="00D65054" w:rsidRPr="00460A91">
        <w:rPr>
          <w:rFonts w:cs="Times New Roman"/>
          <w:sz w:val="26"/>
          <w:szCs w:val="26"/>
        </w:rPr>
        <w:t xml:space="preserve"> the </w:t>
      </w:r>
      <w:r w:rsidR="00D65054">
        <w:rPr>
          <w:rFonts w:cs="Times New Roman"/>
          <w:sz w:val="26"/>
          <w:szCs w:val="26"/>
        </w:rPr>
        <w:t xml:space="preserve">issues related to </w:t>
      </w:r>
      <w:r w:rsidR="00BF7139">
        <w:rPr>
          <w:rFonts w:cs="Times New Roman"/>
          <w:sz w:val="26"/>
          <w:szCs w:val="26"/>
        </w:rPr>
        <w:t>Rider</w:t>
      </w:r>
      <w:r w:rsidR="00D65054">
        <w:rPr>
          <w:rFonts w:cs="Times New Roman"/>
          <w:sz w:val="26"/>
          <w:szCs w:val="26"/>
        </w:rPr>
        <w:t xml:space="preserve"> No. 16 – Service to Non-Utility Generating Facilities.</w:t>
      </w:r>
      <w:r w:rsidR="00D65054" w:rsidRPr="00460A91">
        <w:rPr>
          <w:rFonts w:cs="Times New Roman"/>
          <w:sz w:val="26"/>
          <w:szCs w:val="26"/>
        </w:rPr>
        <w:t xml:space="preserve">  </w:t>
      </w:r>
      <w:r w:rsidR="00D65054">
        <w:rPr>
          <w:rFonts w:cs="Times New Roman"/>
          <w:sz w:val="26"/>
          <w:szCs w:val="26"/>
        </w:rPr>
        <w:t>All parties in this proceeding either support or do not oppose the Partial Settlement.  Partial Settlement at 1-2.</w:t>
      </w:r>
    </w:p>
    <w:p w:rsidR="00D65054" w:rsidRDefault="00D65054" w:rsidP="007D3734">
      <w:pPr>
        <w:pStyle w:val="ListNumber"/>
        <w:numPr>
          <w:ilvl w:val="0"/>
          <w:numId w:val="0"/>
        </w:numPr>
        <w:spacing w:after="0" w:line="360" w:lineRule="auto"/>
        <w:ind w:firstLine="1440"/>
        <w:contextualSpacing/>
        <w:jc w:val="left"/>
        <w:rPr>
          <w:rFonts w:cs="Times New Roman"/>
          <w:sz w:val="26"/>
          <w:szCs w:val="26"/>
        </w:rPr>
      </w:pPr>
    </w:p>
    <w:p w:rsidR="00D65054" w:rsidRDefault="00D65054" w:rsidP="007D3734">
      <w:pPr>
        <w:widowControl/>
        <w:spacing w:line="360" w:lineRule="auto"/>
        <w:ind w:firstLine="1440"/>
        <w:contextualSpacing/>
        <w:rPr>
          <w:sz w:val="26"/>
          <w:szCs w:val="26"/>
        </w:rPr>
      </w:pPr>
      <w:r w:rsidRPr="009B16A2">
        <w:rPr>
          <w:sz w:val="26"/>
          <w:szCs w:val="26"/>
        </w:rPr>
        <w:t>The Settling Parties state</w:t>
      </w:r>
      <w:r>
        <w:rPr>
          <w:sz w:val="26"/>
          <w:szCs w:val="26"/>
        </w:rPr>
        <w:t>d</w:t>
      </w:r>
      <w:r w:rsidRPr="009B16A2">
        <w:rPr>
          <w:sz w:val="26"/>
          <w:szCs w:val="26"/>
        </w:rPr>
        <w:t xml:space="preserve"> that the </w:t>
      </w:r>
      <w:r w:rsidR="008B7FFD">
        <w:rPr>
          <w:sz w:val="26"/>
          <w:szCs w:val="26"/>
        </w:rPr>
        <w:t xml:space="preserve">Partial </w:t>
      </w:r>
      <w:r w:rsidRPr="009B16A2">
        <w:rPr>
          <w:sz w:val="26"/>
          <w:szCs w:val="26"/>
        </w:rPr>
        <w:t>Settlement was achieved after an extensive investigation of Columbia</w:t>
      </w:r>
      <w:r w:rsidR="001E73FA">
        <w:rPr>
          <w:sz w:val="26"/>
          <w:szCs w:val="26"/>
        </w:rPr>
        <w:t>’</w:t>
      </w:r>
      <w:r w:rsidRPr="009B16A2">
        <w:rPr>
          <w:sz w:val="26"/>
          <w:szCs w:val="26"/>
        </w:rPr>
        <w:t xml:space="preserve">s filing, including extensive informal and formal discovery and the filing of direct, rebuttal, surrebuttal and rejoinder testimony by a number of the Joint Petitioners.  </w:t>
      </w:r>
      <w:r>
        <w:rPr>
          <w:sz w:val="26"/>
          <w:szCs w:val="26"/>
        </w:rPr>
        <w:t xml:space="preserve">Partial </w:t>
      </w:r>
      <w:r w:rsidRPr="009B16A2">
        <w:rPr>
          <w:sz w:val="26"/>
          <w:szCs w:val="26"/>
        </w:rPr>
        <w:t xml:space="preserve">Settlement ¶ </w:t>
      </w:r>
      <w:r>
        <w:rPr>
          <w:sz w:val="26"/>
          <w:szCs w:val="26"/>
        </w:rPr>
        <w:t>61</w:t>
      </w:r>
      <w:r w:rsidRPr="009B16A2">
        <w:rPr>
          <w:sz w:val="26"/>
          <w:szCs w:val="26"/>
        </w:rPr>
        <w:t xml:space="preserve"> at 19</w:t>
      </w:r>
      <w:r>
        <w:rPr>
          <w:sz w:val="26"/>
          <w:szCs w:val="26"/>
        </w:rPr>
        <w:t>-20</w:t>
      </w:r>
      <w:r w:rsidRPr="009B16A2">
        <w:rPr>
          <w:sz w:val="26"/>
          <w:szCs w:val="26"/>
        </w:rPr>
        <w:t>.  They also state</w:t>
      </w:r>
      <w:r>
        <w:rPr>
          <w:sz w:val="26"/>
          <w:szCs w:val="26"/>
        </w:rPr>
        <w:t>d</w:t>
      </w:r>
      <w:r w:rsidRPr="009B16A2">
        <w:rPr>
          <w:sz w:val="26"/>
          <w:szCs w:val="26"/>
        </w:rPr>
        <w:t xml:space="preserve"> that the </w:t>
      </w:r>
      <w:r>
        <w:rPr>
          <w:sz w:val="26"/>
          <w:szCs w:val="26"/>
        </w:rPr>
        <w:t xml:space="preserve">Partial </w:t>
      </w:r>
      <w:r w:rsidRPr="009B16A2">
        <w:rPr>
          <w:sz w:val="26"/>
          <w:szCs w:val="26"/>
        </w:rPr>
        <w:t xml:space="preserve">Settlement is in the public interest for the reasons set forth in their respective Statements in Support.  </w:t>
      </w:r>
      <w:r>
        <w:rPr>
          <w:sz w:val="26"/>
          <w:szCs w:val="26"/>
        </w:rPr>
        <w:t xml:space="preserve">Partial </w:t>
      </w:r>
      <w:r w:rsidRPr="009B16A2">
        <w:rPr>
          <w:sz w:val="26"/>
          <w:szCs w:val="26"/>
        </w:rPr>
        <w:t xml:space="preserve">Settlement ¶ </w:t>
      </w:r>
      <w:r>
        <w:rPr>
          <w:sz w:val="26"/>
          <w:szCs w:val="26"/>
        </w:rPr>
        <w:t>64</w:t>
      </w:r>
      <w:r w:rsidRPr="009B16A2">
        <w:rPr>
          <w:sz w:val="26"/>
          <w:szCs w:val="26"/>
        </w:rPr>
        <w:t xml:space="preserve"> at </w:t>
      </w:r>
      <w:r>
        <w:rPr>
          <w:sz w:val="26"/>
          <w:szCs w:val="26"/>
        </w:rPr>
        <w:t>20</w:t>
      </w:r>
      <w:r w:rsidRPr="009B16A2">
        <w:rPr>
          <w:sz w:val="26"/>
          <w:szCs w:val="26"/>
        </w:rPr>
        <w:t>.</w:t>
      </w:r>
    </w:p>
    <w:p w:rsidR="00D65054" w:rsidRDefault="00D65054" w:rsidP="007D3734">
      <w:pPr>
        <w:widowControl/>
        <w:spacing w:line="360" w:lineRule="auto"/>
        <w:ind w:firstLine="1440"/>
        <w:contextualSpacing/>
        <w:rPr>
          <w:sz w:val="26"/>
          <w:szCs w:val="26"/>
        </w:rPr>
      </w:pPr>
    </w:p>
    <w:p w:rsidR="00D65054" w:rsidRDefault="00D65054" w:rsidP="007D3734">
      <w:pPr>
        <w:widowControl/>
        <w:spacing w:line="360" w:lineRule="auto"/>
        <w:ind w:firstLine="1440"/>
        <w:contextualSpacing/>
        <w:rPr>
          <w:sz w:val="26"/>
          <w:szCs w:val="26"/>
        </w:rPr>
      </w:pPr>
      <w:r w:rsidRPr="00035B71">
        <w:rPr>
          <w:bCs/>
          <w:sz w:val="26"/>
          <w:szCs w:val="26"/>
        </w:rPr>
        <w:t xml:space="preserve">The </w:t>
      </w:r>
      <w:r w:rsidR="00BC0EAB">
        <w:rPr>
          <w:bCs/>
          <w:sz w:val="26"/>
          <w:szCs w:val="26"/>
        </w:rPr>
        <w:t xml:space="preserve">Joint Settlement Petition contains the </w:t>
      </w:r>
      <w:r w:rsidRPr="00035B71">
        <w:rPr>
          <w:bCs/>
          <w:sz w:val="26"/>
          <w:szCs w:val="26"/>
        </w:rPr>
        <w:t xml:space="preserve">terms and conditions of the Partial Settlement and Appendices A through </w:t>
      </w:r>
      <w:r>
        <w:rPr>
          <w:bCs/>
          <w:sz w:val="26"/>
          <w:szCs w:val="26"/>
        </w:rPr>
        <w:t>T</w:t>
      </w:r>
      <w:r w:rsidRPr="00035B71">
        <w:rPr>
          <w:bCs/>
          <w:sz w:val="26"/>
          <w:szCs w:val="26"/>
        </w:rPr>
        <w:t xml:space="preserve">.  </w:t>
      </w:r>
      <w:r w:rsidRPr="00035B71">
        <w:rPr>
          <w:sz w:val="26"/>
          <w:szCs w:val="26"/>
        </w:rPr>
        <w:t xml:space="preserve">Appendix A to the </w:t>
      </w:r>
      <w:r>
        <w:rPr>
          <w:sz w:val="26"/>
          <w:szCs w:val="26"/>
        </w:rPr>
        <w:t xml:space="preserve">Partial </w:t>
      </w:r>
      <w:r w:rsidRPr="00035B71">
        <w:rPr>
          <w:sz w:val="26"/>
          <w:szCs w:val="26"/>
        </w:rPr>
        <w:t>Settlement</w:t>
      </w:r>
      <w:r>
        <w:rPr>
          <w:sz w:val="26"/>
          <w:szCs w:val="26"/>
        </w:rPr>
        <w:t xml:space="preserve"> sets out the tariff supplements to be filed and to become effective in accordance with the Partial Settlement.  Appendix B sets out the proof of revenues.  Appendix C presents the present rates, the proposed rates, and the effects of the Partial Settlement on each rate class.  Appendix D presents the allocation of the tax refund resulting from the TCJA.  Appendix E represents the revenue allocation to each class at the net settlement increase of $40.5 Million.  Appendix F sets forth the proposed Findings of Fact, Conclusions of Law, and Ordering Paragraphs.  Appendices G through R represent the Statements in Support filed by Duquesne, </w:t>
      </w:r>
      <w:r w:rsidRPr="00780E72">
        <w:rPr>
          <w:sz w:val="26"/>
          <w:szCs w:val="26"/>
        </w:rPr>
        <w:t>I&amp;E</w:t>
      </w:r>
      <w:r>
        <w:rPr>
          <w:sz w:val="26"/>
          <w:szCs w:val="26"/>
        </w:rPr>
        <w:t xml:space="preserve">, the OCA, the OSBA, CAUSE-PA, </w:t>
      </w:r>
      <w:r w:rsidR="000F1780">
        <w:rPr>
          <w:sz w:val="26"/>
          <w:szCs w:val="26"/>
        </w:rPr>
        <w:t>DII</w:t>
      </w:r>
      <w:r>
        <w:rPr>
          <w:sz w:val="26"/>
          <w:szCs w:val="26"/>
        </w:rPr>
        <w:t>, ChargePoint, Walmart, NRDC, KEEA, NRGP</w:t>
      </w:r>
      <w:r>
        <w:rPr>
          <w:rStyle w:val="FootnoteReference"/>
          <w:sz w:val="26"/>
          <w:szCs w:val="26"/>
        </w:rPr>
        <w:footnoteReference w:id="7"/>
      </w:r>
      <w:r>
        <w:rPr>
          <w:sz w:val="26"/>
          <w:szCs w:val="26"/>
        </w:rPr>
        <w:t>, and CAAP, respectively.  Appendices S and T are letters of non-opposition filed by Peoples and IBEW.</w:t>
      </w:r>
    </w:p>
    <w:p w:rsidR="00D65054" w:rsidRDefault="00D65054" w:rsidP="007D3734">
      <w:pPr>
        <w:widowControl/>
        <w:spacing w:line="360" w:lineRule="auto"/>
        <w:contextualSpacing/>
        <w:rPr>
          <w:sz w:val="26"/>
          <w:szCs w:val="26"/>
        </w:rPr>
      </w:pPr>
    </w:p>
    <w:p w:rsidR="00D65054" w:rsidRPr="00496081" w:rsidRDefault="00D65054" w:rsidP="007D3734">
      <w:pPr>
        <w:widowControl/>
        <w:spacing w:line="360" w:lineRule="auto"/>
        <w:ind w:firstLine="1440"/>
        <w:contextualSpacing/>
        <w:rPr>
          <w:bCs/>
          <w:sz w:val="26"/>
          <w:szCs w:val="26"/>
        </w:rPr>
      </w:pPr>
      <w:r w:rsidRPr="00496081">
        <w:rPr>
          <w:bCs/>
          <w:sz w:val="26"/>
          <w:szCs w:val="26"/>
        </w:rPr>
        <w:lastRenderedPageBreak/>
        <w:t xml:space="preserve">The essential terms of the </w:t>
      </w:r>
      <w:r>
        <w:rPr>
          <w:bCs/>
          <w:sz w:val="26"/>
          <w:szCs w:val="26"/>
        </w:rPr>
        <w:t xml:space="preserve">Partial </w:t>
      </w:r>
      <w:r w:rsidRPr="00496081">
        <w:rPr>
          <w:bCs/>
          <w:sz w:val="26"/>
          <w:szCs w:val="26"/>
        </w:rPr>
        <w:t xml:space="preserve">Settlement are set forth in </w:t>
      </w:r>
      <w:r>
        <w:rPr>
          <w:bCs/>
          <w:sz w:val="26"/>
          <w:szCs w:val="26"/>
        </w:rPr>
        <w:t>Paragraph</w:t>
      </w:r>
      <w:r w:rsidR="003E2797">
        <w:rPr>
          <w:bCs/>
          <w:sz w:val="26"/>
          <w:szCs w:val="26"/>
        </w:rPr>
        <w:t xml:space="preserve"> No</w:t>
      </w:r>
      <w:r>
        <w:rPr>
          <w:bCs/>
          <w:sz w:val="26"/>
          <w:szCs w:val="26"/>
        </w:rPr>
        <w:t>s</w:t>
      </w:r>
      <w:r w:rsidR="003E2797">
        <w:rPr>
          <w:bCs/>
          <w:sz w:val="26"/>
          <w:szCs w:val="26"/>
        </w:rPr>
        <w:t>. </w:t>
      </w:r>
      <w:r>
        <w:rPr>
          <w:bCs/>
          <w:sz w:val="26"/>
          <w:szCs w:val="26"/>
        </w:rPr>
        <w:t>30 through 60</w:t>
      </w:r>
      <w:r w:rsidRPr="00496081">
        <w:rPr>
          <w:bCs/>
          <w:sz w:val="26"/>
          <w:szCs w:val="26"/>
        </w:rPr>
        <w:t xml:space="preserve"> of the Joint Petition, which is shown below in full as it appears in the Joint Petition:</w:t>
      </w:r>
    </w:p>
    <w:p w:rsidR="00D65054" w:rsidRDefault="00D65054" w:rsidP="007D3734">
      <w:pPr>
        <w:widowControl/>
        <w:spacing w:line="360" w:lineRule="auto"/>
        <w:contextualSpacing/>
        <w:rPr>
          <w:sz w:val="26"/>
          <w:szCs w:val="26"/>
        </w:rPr>
      </w:pPr>
    </w:p>
    <w:p w:rsidR="00D65054" w:rsidRPr="00C65F4C" w:rsidRDefault="00D65054" w:rsidP="007D3734">
      <w:pPr>
        <w:widowControl/>
        <w:ind w:left="2160" w:right="1440" w:hanging="720"/>
        <w:contextualSpacing/>
        <w:rPr>
          <w:b/>
          <w:sz w:val="26"/>
          <w:szCs w:val="26"/>
        </w:rPr>
      </w:pPr>
      <w:r>
        <w:rPr>
          <w:b/>
          <w:sz w:val="26"/>
          <w:szCs w:val="26"/>
        </w:rPr>
        <w:t>A.</w:t>
      </w:r>
      <w:r>
        <w:rPr>
          <w:b/>
          <w:sz w:val="26"/>
          <w:szCs w:val="26"/>
        </w:rPr>
        <w:tab/>
        <w:t>REVENUE REQUIREMENT AND ACCOUNTING</w:t>
      </w:r>
    </w:p>
    <w:p w:rsidR="00D65054" w:rsidRDefault="00D65054" w:rsidP="007D3734">
      <w:pPr>
        <w:widowControl/>
        <w:spacing w:line="360" w:lineRule="auto"/>
        <w:contextualSpacing/>
        <w:rPr>
          <w:sz w:val="26"/>
          <w:szCs w:val="26"/>
        </w:rPr>
      </w:pPr>
    </w:p>
    <w:p w:rsidR="00D65054" w:rsidRPr="00D602AF" w:rsidRDefault="00D65054" w:rsidP="007D3734">
      <w:pPr>
        <w:widowControl/>
        <w:ind w:left="1440" w:right="1440"/>
        <w:contextualSpacing/>
        <w:textAlignment w:val="baseline"/>
        <w:rPr>
          <w:color w:val="000000"/>
          <w:sz w:val="26"/>
          <w:szCs w:val="26"/>
        </w:rPr>
      </w:pPr>
      <w:r>
        <w:rPr>
          <w:color w:val="000000"/>
          <w:sz w:val="26"/>
          <w:szCs w:val="26"/>
        </w:rPr>
        <w:tab/>
        <w:t>30.</w:t>
      </w:r>
      <w:r>
        <w:rPr>
          <w:color w:val="000000"/>
          <w:sz w:val="26"/>
          <w:szCs w:val="26"/>
        </w:rPr>
        <w:tab/>
      </w:r>
      <w:r w:rsidRPr="00D602AF">
        <w:rPr>
          <w:color w:val="000000"/>
          <w:sz w:val="26"/>
          <w:szCs w:val="26"/>
        </w:rPr>
        <w:t>The distribution rates set in this proceeding will be designed to produce increased base operating revenues of $92.7 million based upon the pro forma level of operations for the twelve months ended December 31, 2019, inclusive of the $52.2 million of revenues recovered under current surcharges, for a net increase in revenues of $40.5 million.</w:t>
      </w:r>
    </w:p>
    <w:p w:rsidR="00D65054" w:rsidRDefault="00D65054" w:rsidP="007D3734">
      <w:pPr>
        <w:widowControl/>
        <w:spacing w:line="360" w:lineRule="auto"/>
        <w:contextualSpacing/>
        <w:rPr>
          <w:sz w:val="26"/>
          <w:szCs w:val="26"/>
        </w:rPr>
      </w:pPr>
    </w:p>
    <w:p w:rsidR="00D65054" w:rsidRDefault="00D65054" w:rsidP="007D3734">
      <w:pPr>
        <w:widowControl/>
        <w:ind w:left="1440" w:right="1440"/>
        <w:contextualSpacing/>
        <w:rPr>
          <w:sz w:val="26"/>
          <w:szCs w:val="26"/>
        </w:rPr>
      </w:pPr>
      <w:r>
        <w:rPr>
          <w:color w:val="000000"/>
          <w:spacing w:val="2"/>
          <w:sz w:val="26"/>
          <w:szCs w:val="26"/>
        </w:rPr>
        <w:tab/>
        <w:t>31.</w:t>
      </w:r>
      <w:r>
        <w:rPr>
          <w:color w:val="000000"/>
          <w:spacing w:val="2"/>
          <w:sz w:val="26"/>
          <w:szCs w:val="26"/>
        </w:rPr>
        <w:tab/>
      </w:r>
      <w:r w:rsidRPr="00D602AF">
        <w:rPr>
          <w:color w:val="000000"/>
          <w:spacing w:val="2"/>
          <w:sz w:val="26"/>
          <w:szCs w:val="26"/>
        </w:rPr>
        <w:t>Duquesne Light will provide a refund to customers of $24 million, which includes interest. This amount resolves the parties</w:t>
      </w:r>
      <w:r w:rsidR="001E73FA">
        <w:rPr>
          <w:color w:val="000000"/>
          <w:spacing w:val="2"/>
          <w:sz w:val="26"/>
          <w:szCs w:val="26"/>
        </w:rPr>
        <w:t>’</w:t>
      </w:r>
      <w:r w:rsidRPr="00D602AF">
        <w:rPr>
          <w:color w:val="000000"/>
          <w:spacing w:val="2"/>
          <w:sz w:val="26"/>
          <w:szCs w:val="26"/>
        </w:rPr>
        <w:t xml:space="preserve"> positions regarding the return of 2018 federal income tax expense savings and 2018 Excess Deferred Income Taxes (</w:t>
      </w:r>
      <w:r w:rsidR="001E73FA">
        <w:rPr>
          <w:color w:val="000000"/>
          <w:spacing w:val="2"/>
          <w:sz w:val="26"/>
          <w:szCs w:val="26"/>
        </w:rPr>
        <w:t>“</w:t>
      </w:r>
      <w:r w:rsidRPr="00D602AF">
        <w:rPr>
          <w:color w:val="000000"/>
          <w:spacing w:val="2"/>
          <w:sz w:val="26"/>
          <w:szCs w:val="26"/>
        </w:rPr>
        <w:t>EDIT</w:t>
      </w:r>
      <w:r w:rsidR="001E73FA">
        <w:rPr>
          <w:color w:val="000000"/>
          <w:spacing w:val="2"/>
          <w:sz w:val="26"/>
          <w:szCs w:val="26"/>
        </w:rPr>
        <w:t>”</w:t>
      </w:r>
      <w:r w:rsidRPr="00D602AF">
        <w:rPr>
          <w:color w:val="000000"/>
          <w:spacing w:val="2"/>
          <w:sz w:val="26"/>
          <w:szCs w:val="26"/>
        </w:rPr>
        <w:t xml:space="preserve">). </w:t>
      </w:r>
      <w:r>
        <w:rPr>
          <w:color w:val="000000"/>
          <w:spacing w:val="2"/>
          <w:sz w:val="26"/>
          <w:szCs w:val="26"/>
        </w:rPr>
        <w:t xml:space="preserve"> </w:t>
      </w:r>
      <w:r w:rsidRPr="00D602AF">
        <w:rPr>
          <w:color w:val="000000"/>
          <w:spacing w:val="2"/>
          <w:sz w:val="26"/>
          <w:szCs w:val="26"/>
        </w:rPr>
        <w:t xml:space="preserve">Duquesne Light will refund this amount beginning January 2019 through a one- or two -time bill credit on a distribution revenue basis. </w:t>
      </w:r>
      <w:r>
        <w:rPr>
          <w:color w:val="000000"/>
          <w:spacing w:val="2"/>
          <w:sz w:val="26"/>
          <w:szCs w:val="26"/>
        </w:rPr>
        <w:t xml:space="preserve"> </w:t>
      </w:r>
      <w:r w:rsidRPr="00D602AF">
        <w:rPr>
          <w:color w:val="000000"/>
          <w:spacing w:val="2"/>
          <w:sz w:val="26"/>
          <w:szCs w:val="26"/>
        </w:rPr>
        <w:t xml:space="preserve">The provision of this credit to customers will be subject to audit to ensure that the Company has returned the full amount of the credit to customers in the manner referenced herein. </w:t>
      </w:r>
      <w:r>
        <w:rPr>
          <w:color w:val="000000"/>
          <w:spacing w:val="2"/>
          <w:sz w:val="26"/>
          <w:szCs w:val="26"/>
        </w:rPr>
        <w:t xml:space="preserve"> </w:t>
      </w:r>
      <w:r w:rsidRPr="00D602AF">
        <w:rPr>
          <w:color w:val="000000"/>
          <w:spacing w:val="2"/>
          <w:sz w:val="26"/>
          <w:szCs w:val="26"/>
        </w:rPr>
        <w:t xml:space="preserve">The allocation of the tax refund is set forth in </w:t>
      </w:r>
      <w:r w:rsidRPr="00D602AF">
        <w:rPr>
          <w:b/>
          <w:color w:val="000000"/>
          <w:spacing w:val="2"/>
          <w:sz w:val="26"/>
          <w:szCs w:val="26"/>
        </w:rPr>
        <w:t>Appendix D</w:t>
      </w:r>
      <w:r w:rsidRPr="00D602AF">
        <w:rPr>
          <w:color w:val="000000"/>
          <w:spacing w:val="2"/>
          <w:sz w:val="26"/>
          <w:szCs w:val="26"/>
        </w:rPr>
        <w:t xml:space="preserve">. </w:t>
      </w:r>
      <w:r>
        <w:rPr>
          <w:color w:val="000000"/>
          <w:spacing w:val="2"/>
          <w:sz w:val="26"/>
          <w:szCs w:val="26"/>
        </w:rPr>
        <w:t xml:space="preserve"> </w:t>
      </w:r>
      <w:r w:rsidRPr="00D602AF">
        <w:rPr>
          <w:color w:val="000000"/>
          <w:spacing w:val="2"/>
          <w:sz w:val="26"/>
          <w:szCs w:val="26"/>
        </w:rPr>
        <w:t xml:space="preserve">As set forth in </w:t>
      </w:r>
      <w:r w:rsidRPr="00D602AF">
        <w:rPr>
          <w:b/>
          <w:color w:val="000000"/>
          <w:spacing w:val="2"/>
          <w:sz w:val="26"/>
          <w:szCs w:val="26"/>
        </w:rPr>
        <w:t>Appendix D</w:t>
      </w:r>
      <w:r w:rsidRPr="00D602AF">
        <w:rPr>
          <w:color w:val="000000"/>
          <w:spacing w:val="2"/>
          <w:sz w:val="26"/>
          <w:szCs w:val="26"/>
        </w:rPr>
        <w:t xml:space="preserve">, the credit for most customers will be a fixed amount per customer based upon the allocation of the refund to class divided by the number of customers in the class as of December 1, 2018. </w:t>
      </w:r>
      <w:r>
        <w:rPr>
          <w:color w:val="000000"/>
          <w:spacing w:val="2"/>
          <w:sz w:val="26"/>
          <w:szCs w:val="26"/>
        </w:rPr>
        <w:t xml:space="preserve"> </w:t>
      </w:r>
      <w:r w:rsidRPr="00D602AF">
        <w:rPr>
          <w:color w:val="000000"/>
          <w:spacing w:val="2"/>
          <w:sz w:val="26"/>
          <w:szCs w:val="26"/>
        </w:rPr>
        <w:t>The credit for other customers will be an individual calculation based on the percentage of each customers</w:t>
      </w:r>
      <w:r w:rsidR="001E73FA">
        <w:rPr>
          <w:color w:val="000000"/>
          <w:spacing w:val="2"/>
          <w:sz w:val="26"/>
          <w:szCs w:val="26"/>
        </w:rPr>
        <w:t>’</w:t>
      </w:r>
      <w:r w:rsidRPr="00D602AF">
        <w:rPr>
          <w:color w:val="000000"/>
          <w:spacing w:val="2"/>
          <w:sz w:val="26"/>
          <w:szCs w:val="26"/>
        </w:rPr>
        <w:t xml:space="preserve"> base distribution revenue to the class distribution revenue for the period of December 1, 2017 through November 30, 2018.</w:t>
      </w:r>
    </w:p>
    <w:p w:rsidR="00D65054" w:rsidRDefault="00D65054" w:rsidP="007D3734">
      <w:pPr>
        <w:widowControl/>
        <w:contextualSpacing/>
        <w:rPr>
          <w:sz w:val="26"/>
          <w:szCs w:val="26"/>
        </w:rPr>
      </w:pPr>
    </w:p>
    <w:p w:rsidR="00D65054" w:rsidRPr="000822B4" w:rsidRDefault="00D65054" w:rsidP="007D3734">
      <w:pPr>
        <w:widowControl/>
        <w:tabs>
          <w:tab w:val="left" w:pos="648"/>
        </w:tabs>
        <w:ind w:left="1440" w:right="1440"/>
        <w:contextualSpacing/>
        <w:jc w:val="both"/>
        <w:textAlignment w:val="baseline"/>
        <w:rPr>
          <w:color w:val="000000"/>
          <w:spacing w:val="4"/>
          <w:sz w:val="26"/>
          <w:szCs w:val="26"/>
        </w:rPr>
      </w:pPr>
      <w:r>
        <w:rPr>
          <w:color w:val="000000"/>
          <w:spacing w:val="4"/>
          <w:sz w:val="26"/>
          <w:szCs w:val="26"/>
        </w:rPr>
        <w:tab/>
        <w:t>32.</w:t>
      </w:r>
      <w:r>
        <w:rPr>
          <w:color w:val="000000"/>
          <w:spacing w:val="4"/>
          <w:sz w:val="26"/>
          <w:szCs w:val="26"/>
        </w:rPr>
        <w:tab/>
      </w:r>
      <w:r w:rsidRPr="000822B4">
        <w:rPr>
          <w:color w:val="000000"/>
          <w:spacing w:val="4"/>
          <w:sz w:val="26"/>
          <w:szCs w:val="26"/>
        </w:rPr>
        <w:t>The level of revenue requirement included in this Settlement reflects the resolution of the parties</w:t>
      </w:r>
      <w:r w:rsidR="001E73FA">
        <w:rPr>
          <w:color w:val="000000"/>
          <w:spacing w:val="4"/>
          <w:sz w:val="26"/>
          <w:szCs w:val="26"/>
        </w:rPr>
        <w:t>’</w:t>
      </w:r>
      <w:r w:rsidRPr="000822B4">
        <w:rPr>
          <w:color w:val="000000"/>
          <w:spacing w:val="4"/>
          <w:sz w:val="26"/>
          <w:szCs w:val="26"/>
        </w:rPr>
        <w:t xml:space="preserve"> positions in the dispute regarding the application of 66</w:t>
      </w:r>
      <w:r w:rsidR="00090A68">
        <w:rPr>
          <w:color w:val="000000"/>
          <w:spacing w:val="4"/>
          <w:sz w:val="26"/>
          <w:szCs w:val="26"/>
        </w:rPr>
        <w:t> </w:t>
      </w:r>
      <w:r w:rsidRPr="000822B4">
        <w:rPr>
          <w:color w:val="000000"/>
          <w:spacing w:val="4"/>
          <w:sz w:val="26"/>
          <w:szCs w:val="26"/>
        </w:rPr>
        <w:t>Pa.C.S. § 1301.1 in this case.</w:t>
      </w:r>
    </w:p>
    <w:p w:rsidR="00D65054" w:rsidRDefault="00D65054" w:rsidP="007D3734">
      <w:pPr>
        <w:widowControl/>
        <w:contextualSpacing/>
        <w:rPr>
          <w:sz w:val="26"/>
          <w:szCs w:val="26"/>
        </w:rPr>
      </w:pPr>
    </w:p>
    <w:p w:rsidR="00D65054" w:rsidRPr="00D443C7" w:rsidRDefault="00D65054" w:rsidP="007D3734">
      <w:pPr>
        <w:widowControl/>
        <w:spacing w:before="16"/>
        <w:ind w:left="1440" w:right="1440"/>
        <w:contextualSpacing/>
        <w:textAlignment w:val="baseline"/>
        <w:rPr>
          <w:color w:val="000000"/>
          <w:sz w:val="26"/>
          <w:szCs w:val="26"/>
        </w:rPr>
      </w:pPr>
      <w:r>
        <w:rPr>
          <w:color w:val="000000"/>
          <w:spacing w:val="7"/>
          <w:sz w:val="26"/>
          <w:szCs w:val="26"/>
        </w:rPr>
        <w:lastRenderedPageBreak/>
        <w:tab/>
        <w:t>33.</w:t>
      </w:r>
      <w:r>
        <w:rPr>
          <w:color w:val="000000"/>
          <w:spacing w:val="7"/>
          <w:sz w:val="26"/>
          <w:szCs w:val="26"/>
        </w:rPr>
        <w:tab/>
      </w:r>
      <w:r w:rsidRPr="00D443C7">
        <w:rPr>
          <w:color w:val="000000"/>
          <w:spacing w:val="7"/>
          <w:sz w:val="26"/>
          <w:szCs w:val="26"/>
        </w:rPr>
        <w:t>As of the effective date of rates in this proceeding, Duquesne Light will be eligible to include plant additions in the Distribution System Improvement Charge (</w:t>
      </w:r>
      <w:r w:rsidR="001E73FA">
        <w:rPr>
          <w:color w:val="000000"/>
          <w:spacing w:val="7"/>
          <w:sz w:val="26"/>
          <w:szCs w:val="26"/>
        </w:rPr>
        <w:t>“</w:t>
      </w:r>
      <w:r w:rsidRPr="00D443C7">
        <w:rPr>
          <w:color w:val="000000"/>
          <w:spacing w:val="7"/>
          <w:sz w:val="26"/>
          <w:szCs w:val="26"/>
        </w:rPr>
        <w:t>DSIC</w:t>
      </w:r>
      <w:r w:rsidR="001E73FA">
        <w:rPr>
          <w:color w:val="000000"/>
          <w:spacing w:val="7"/>
          <w:sz w:val="26"/>
          <w:szCs w:val="26"/>
        </w:rPr>
        <w:t>”</w:t>
      </w:r>
      <w:r w:rsidRPr="00D443C7">
        <w:rPr>
          <w:color w:val="000000"/>
          <w:spacing w:val="7"/>
          <w:sz w:val="26"/>
          <w:szCs w:val="26"/>
        </w:rPr>
        <w:t>) once the total eligible account balances exceed the levels projected by the Company in this</w:t>
      </w:r>
      <w:r>
        <w:rPr>
          <w:color w:val="000000"/>
          <w:spacing w:val="7"/>
          <w:sz w:val="26"/>
          <w:szCs w:val="26"/>
        </w:rPr>
        <w:t xml:space="preserve"> </w:t>
      </w:r>
      <w:r w:rsidRPr="00D443C7">
        <w:rPr>
          <w:color w:val="000000"/>
          <w:sz w:val="26"/>
          <w:szCs w:val="26"/>
        </w:rPr>
        <w:t xml:space="preserve">proceeding at December 31, 2019. </w:t>
      </w:r>
      <w:r>
        <w:rPr>
          <w:color w:val="000000"/>
          <w:sz w:val="26"/>
          <w:szCs w:val="26"/>
        </w:rPr>
        <w:t xml:space="preserve"> </w:t>
      </w:r>
      <w:r w:rsidRPr="00D443C7">
        <w:rPr>
          <w:color w:val="000000"/>
          <w:sz w:val="26"/>
          <w:szCs w:val="26"/>
        </w:rPr>
        <w:t>The foregoing provision is included solely for purposes of calculating the DSIC, and is not determinative for future ratemaking purposes of the projected additions to be included in rate base in an FPFTY filing.</w:t>
      </w:r>
    </w:p>
    <w:p w:rsidR="00D65054" w:rsidRDefault="00D65054" w:rsidP="007D3734">
      <w:pPr>
        <w:widowControl/>
        <w:contextualSpacing/>
        <w:rPr>
          <w:sz w:val="26"/>
          <w:szCs w:val="26"/>
        </w:rPr>
      </w:pPr>
    </w:p>
    <w:p w:rsidR="00D65054" w:rsidRPr="000822B4" w:rsidRDefault="00D65054" w:rsidP="007D3734">
      <w:pPr>
        <w:widowControl/>
        <w:tabs>
          <w:tab w:val="left" w:pos="720"/>
        </w:tabs>
        <w:spacing w:before="5"/>
        <w:ind w:left="1440" w:right="1440"/>
        <w:contextualSpacing/>
        <w:textAlignment w:val="baseline"/>
        <w:rPr>
          <w:color w:val="000000"/>
          <w:spacing w:val="3"/>
          <w:sz w:val="26"/>
          <w:szCs w:val="26"/>
        </w:rPr>
      </w:pPr>
      <w:r>
        <w:rPr>
          <w:color w:val="000000"/>
          <w:spacing w:val="3"/>
          <w:sz w:val="26"/>
          <w:szCs w:val="26"/>
        </w:rPr>
        <w:tab/>
        <w:t>34.</w:t>
      </w:r>
      <w:r>
        <w:rPr>
          <w:color w:val="000000"/>
          <w:spacing w:val="3"/>
          <w:sz w:val="26"/>
          <w:szCs w:val="26"/>
        </w:rPr>
        <w:tab/>
      </w:r>
      <w:r w:rsidRPr="000822B4">
        <w:rPr>
          <w:color w:val="000000"/>
          <w:spacing w:val="3"/>
          <w:sz w:val="26"/>
          <w:szCs w:val="26"/>
        </w:rPr>
        <w:t>For purposes of calculating its DSIC, Duquesne Light shall use the equity return rate for electric utilities contained in the Commission</w:t>
      </w:r>
      <w:r w:rsidR="001E73FA">
        <w:rPr>
          <w:color w:val="000000"/>
          <w:spacing w:val="3"/>
          <w:sz w:val="26"/>
          <w:szCs w:val="26"/>
        </w:rPr>
        <w:t>’</w:t>
      </w:r>
      <w:r w:rsidRPr="000822B4">
        <w:rPr>
          <w:color w:val="000000"/>
          <w:spacing w:val="3"/>
          <w:sz w:val="26"/>
          <w:szCs w:val="26"/>
        </w:rPr>
        <w:t>s most recent Quarterly Report on the Earnings of Jurisdictional Utilities and shall update the equity return rate each quarter consistent with any changes to the equity return rate for electric utilities contained in the most recent Quarterly Earnings Report, consistent with 66 Pa. C.S. § 1357(b)(3), until such time as the DSIC is reset pursuant to the provisions of 66 Pa. C.S. § 1358(b)(1).</w:t>
      </w:r>
    </w:p>
    <w:p w:rsidR="00D65054" w:rsidRDefault="00D65054" w:rsidP="007D3734">
      <w:pPr>
        <w:widowControl/>
        <w:contextualSpacing/>
        <w:rPr>
          <w:sz w:val="26"/>
          <w:szCs w:val="26"/>
        </w:rPr>
      </w:pPr>
    </w:p>
    <w:p w:rsidR="00D65054" w:rsidRDefault="00D65054" w:rsidP="007D3734">
      <w:pPr>
        <w:widowControl/>
        <w:ind w:left="1440" w:right="1440"/>
        <w:contextualSpacing/>
        <w:rPr>
          <w:sz w:val="26"/>
          <w:szCs w:val="26"/>
        </w:rPr>
      </w:pPr>
      <w:r>
        <w:rPr>
          <w:color w:val="000000"/>
          <w:spacing w:val="3"/>
          <w:sz w:val="26"/>
          <w:szCs w:val="26"/>
        </w:rPr>
        <w:tab/>
        <w:t>35.</w:t>
      </w:r>
      <w:r>
        <w:rPr>
          <w:color w:val="000000"/>
          <w:spacing w:val="3"/>
          <w:sz w:val="26"/>
          <w:szCs w:val="26"/>
        </w:rPr>
        <w:tab/>
      </w:r>
      <w:r w:rsidRPr="00FB12D0">
        <w:rPr>
          <w:color w:val="000000"/>
          <w:spacing w:val="3"/>
          <w:sz w:val="26"/>
          <w:szCs w:val="26"/>
        </w:rPr>
        <w:t>Duquesne Light will continue to use normalization accounting with respect to the benefits of the tax repairs and Internal Revenue Code (</w:t>
      </w:r>
      <w:r w:rsidR="001E73FA">
        <w:rPr>
          <w:color w:val="000000"/>
          <w:spacing w:val="3"/>
          <w:sz w:val="26"/>
          <w:szCs w:val="26"/>
        </w:rPr>
        <w:t>“</w:t>
      </w:r>
      <w:r w:rsidRPr="00FB12D0">
        <w:rPr>
          <w:color w:val="000000"/>
          <w:spacing w:val="3"/>
          <w:sz w:val="26"/>
          <w:szCs w:val="26"/>
        </w:rPr>
        <w:t>IRC</w:t>
      </w:r>
      <w:r w:rsidR="001E73FA">
        <w:rPr>
          <w:color w:val="000000"/>
          <w:spacing w:val="3"/>
          <w:sz w:val="26"/>
          <w:szCs w:val="26"/>
        </w:rPr>
        <w:t>”</w:t>
      </w:r>
      <w:r w:rsidRPr="00FB12D0">
        <w:rPr>
          <w:color w:val="000000"/>
          <w:spacing w:val="3"/>
          <w:sz w:val="26"/>
          <w:szCs w:val="26"/>
        </w:rPr>
        <w:t>) Section 263A deductions.  Duquesne Light will reverse EDIT with regard to prior tax repairs and IRC Section 263A deductions pursuant to the Average Rate Assumption Method (</w:t>
      </w:r>
      <w:r w:rsidR="001E73FA">
        <w:rPr>
          <w:color w:val="000000"/>
          <w:spacing w:val="3"/>
          <w:sz w:val="26"/>
          <w:szCs w:val="26"/>
        </w:rPr>
        <w:t>“</w:t>
      </w:r>
      <w:r w:rsidRPr="00FB12D0">
        <w:rPr>
          <w:color w:val="000000"/>
          <w:spacing w:val="3"/>
          <w:sz w:val="26"/>
          <w:szCs w:val="26"/>
        </w:rPr>
        <w:t>ARAM</w:t>
      </w:r>
      <w:r w:rsidR="001E73FA">
        <w:rPr>
          <w:color w:val="000000"/>
          <w:spacing w:val="3"/>
          <w:sz w:val="26"/>
          <w:szCs w:val="26"/>
        </w:rPr>
        <w:t>”</w:t>
      </w:r>
      <w:r w:rsidRPr="00FB12D0">
        <w:rPr>
          <w:color w:val="000000"/>
          <w:spacing w:val="3"/>
          <w:sz w:val="26"/>
          <w:szCs w:val="26"/>
        </w:rPr>
        <w:t>) used to reverse EDIT associated with accelerated depreciation deductions.  The remaining unamortized EDIT balance will continue as a reduction to rate base in all future base rate proceedings until the full amount is returned to ratepayers.</w:t>
      </w:r>
    </w:p>
    <w:p w:rsidR="00D65054" w:rsidRDefault="00D65054" w:rsidP="007D3734">
      <w:pPr>
        <w:widowControl/>
        <w:contextualSpacing/>
        <w:rPr>
          <w:sz w:val="26"/>
          <w:szCs w:val="26"/>
        </w:rPr>
      </w:pPr>
    </w:p>
    <w:p w:rsidR="00D65054" w:rsidRPr="00FB12D0" w:rsidRDefault="00D65054" w:rsidP="007D3734">
      <w:pPr>
        <w:widowControl/>
        <w:spacing w:before="288" w:line="273" w:lineRule="exact"/>
        <w:ind w:left="1440" w:right="1440"/>
        <w:contextualSpacing/>
        <w:textAlignment w:val="baseline"/>
        <w:rPr>
          <w:color w:val="000000"/>
          <w:spacing w:val="3"/>
          <w:sz w:val="26"/>
          <w:szCs w:val="26"/>
        </w:rPr>
      </w:pPr>
      <w:r>
        <w:rPr>
          <w:color w:val="000000"/>
          <w:spacing w:val="3"/>
          <w:sz w:val="26"/>
          <w:szCs w:val="26"/>
        </w:rPr>
        <w:tab/>
        <w:t>36.</w:t>
      </w:r>
      <w:r>
        <w:rPr>
          <w:color w:val="000000"/>
          <w:spacing w:val="3"/>
          <w:sz w:val="26"/>
          <w:szCs w:val="26"/>
        </w:rPr>
        <w:tab/>
      </w:r>
      <w:r w:rsidRPr="00FB12D0">
        <w:rPr>
          <w:color w:val="000000"/>
          <w:spacing w:val="3"/>
          <w:sz w:val="26"/>
          <w:szCs w:val="26"/>
        </w:rPr>
        <w:t>Duquesne Light will be permitted to amortize its costs related to the following:</w:t>
      </w:r>
    </w:p>
    <w:p w:rsidR="00D65054" w:rsidRDefault="00D65054" w:rsidP="007D3734">
      <w:pPr>
        <w:widowControl/>
        <w:ind w:right="1440"/>
        <w:contextualSpacing/>
        <w:rPr>
          <w:sz w:val="26"/>
          <w:szCs w:val="26"/>
        </w:rPr>
      </w:pPr>
    </w:p>
    <w:p w:rsidR="00D65054" w:rsidRDefault="00D65054" w:rsidP="007D3734">
      <w:pPr>
        <w:widowControl/>
        <w:spacing w:before="284" w:line="272" w:lineRule="exact"/>
        <w:ind w:left="2160" w:right="1440"/>
        <w:contextualSpacing/>
        <w:textAlignment w:val="baseline"/>
        <w:rPr>
          <w:color w:val="000000"/>
          <w:spacing w:val="3"/>
          <w:sz w:val="26"/>
          <w:szCs w:val="26"/>
        </w:rPr>
      </w:pPr>
      <w:r>
        <w:rPr>
          <w:color w:val="000000"/>
          <w:spacing w:val="5"/>
          <w:sz w:val="26"/>
          <w:szCs w:val="26"/>
        </w:rPr>
        <w:tab/>
      </w:r>
      <w:r w:rsidRPr="000822B4">
        <w:rPr>
          <w:color w:val="000000"/>
          <w:spacing w:val="5"/>
          <w:sz w:val="26"/>
          <w:szCs w:val="26"/>
        </w:rPr>
        <w:t>(i)</w:t>
      </w:r>
      <w:r w:rsidRPr="000822B4">
        <w:rPr>
          <w:color w:val="000000"/>
          <w:spacing w:val="5"/>
          <w:sz w:val="26"/>
          <w:szCs w:val="26"/>
        </w:rPr>
        <w:tab/>
        <w:t>Electrical Model — Commencing with the effective date of rates in this</w:t>
      </w:r>
      <w:r>
        <w:rPr>
          <w:color w:val="000000"/>
          <w:spacing w:val="5"/>
          <w:sz w:val="26"/>
          <w:szCs w:val="26"/>
        </w:rPr>
        <w:t xml:space="preserve"> </w:t>
      </w:r>
      <w:r w:rsidRPr="000822B4">
        <w:rPr>
          <w:color w:val="000000"/>
          <w:spacing w:val="3"/>
          <w:sz w:val="26"/>
          <w:szCs w:val="26"/>
        </w:rPr>
        <w:t xml:space="preserve">proceeding (December 29, 2018), the Company will be permitted to amortize the estimated non-labor expenses for the field inventory and graphic design tool of $20.6 million related to the development and </w:t>
      </w:r>
      <w:r w:rsidR="00090A68">
        <w:rPr>
          <w:color w:val="000000"/>
          <w:spacing w:val="3"/>
          <w:sz w:val="26"/>
          <w:szCs w:val="26"/>
        </w:rPr>
        <w:t>implement-</w:t>
      </w:r>
      <w:r w:rsidRPr="000822B4">
        <w:rPr>
          <w:color w:val="000000"/>
          <w:spacing w:val="3"/>
          <w:sz w:val="26"/>
          <w:szCs w:val="26"/>
        </w:rPr>
        <w:lastRenderedPageBreak/>
        <w:t>tation of the electrical model over a five year period for an annual amortization of $4.12 million per year.</w:t>
      </w:r>
    </w:p>
    <w:p w:rsidR="00D65054" w:rsidRDefault="00D65054" w:rsidP="007D3734">
      <w:pPr>
        <w:widowControl/>
        <w:ind w:right="1440"/>
        <w:contextualSpacing/>
        <w:rPr>
          <w:sz w:val="26"/>
          <w:szCs w:val="26"/>
        </w:rPr>
      </w:pPr>
    </w:p>
    <w:p w:rsidR="00D65054" w:rsidRDefault="00D65054" w:rsidP="007D3734">
      <w:pPr>
        <w:widowControl/>
        <w:ind w:left="1440" w:right="1440"/>
        <w:contextualSpacing/>
        <w:rPr>
          <w:sz w:val="26"/>
          <w:szCs w:val="26"/>
        </w:rPr>
      </w:pPr>
      <w:r>
        <w:rPr>
          <w:color w:val="000000"/>
          <w:spacing w:val="3"/>
          <w:sz w:val="26"/>
          <w:szCs w:val="26"/>
        </w:rPr>
        <w:tab/>
        <w:t>37.</w:t>
      </w:r>
      <w:r>
        <w:rPr>
          <w:color w:val="000000"/>
          <w:spacing w:val="3"/>
          <w:sz w:val="26"/>
          <w:szCs w:val="26"/>
        </w:rPr>
        <w:tab/>
      </w:r>
      <w:r w:rsidRPr="00427291">
        <w:rPr>
          <w:color w:val="000000"/>
          <w:spacing w:val="3"/>
          <w:sz w:val="26"/>
          <w:szCs w:val="26"/>
        </w:rPr>
        <w:t>Commencing with calendar year 2019, Duquesne Light will deposit into its pension trusts an amount equal to $10 million per year; provided, however, that contribution(s) in any year in excess of the foregoing may be used on a cumulative basis to satisfy future contribution obligations under this Settlement.  The Settlement provides for recovery of the expense component of $5 million (50% of the average cash contributions) of projected future pension contributions.  Additionally, Duquesne Light will be permitted to include the other 50% of actual pension contributions from January 1, 2007, forward, net of related accumulated deferred income taxes, in rate base for rate making purposes.  The rate base adjustment for pensions shall be the amount necessary to adjust the Accounting Standards Codification (</w:t>
      </w:r>
      <w:r w:rsidR="001E73FA">
        <w:rPr>
          <w:color w:val="000000"/>
          <w:spacing w:val="3"/>
          <w:sz w:val="26"/>
          <w:szCs w:val="26"/>
        </w:rPr>
        <w:t>“</w:t>
      </w:r>
      <w:r w:rsidRPr="00427291">
        <w:rPr>
          <w:color w:val="000000"/>
          <w:spacing w:val="3"/>
          <w:sz w:val="26"/>
          <w:szCs w:val="26"/>
        </w:rPr>
        <w:t>ASC</w:t>
      </w:r>
      <w:r w:rsidR="001E73FA">
        <w:rPr>
          <w:color w:val="000000"/>
          <w:spacing w:val="3"/>
          <w:sz w:val="26"/>
          <w:szCs w:val="26"/>
        </w:rPr>
        <w:t>”</w:t>
      </w:r>
      <w:r w:rsidRPr="00427291">
        <w:rPr>
          <w:color w:val="000000"/>
          <w:spacing w:val="3"/>
          <w:sz w:val="26"/>
          <w:szCs w:val="26"/>
        </w:rPr>
        <w:t>) 715 capitalized pension amounts to equal accumulated capitalized pension contributions, net of applicable deferred income taxes, from January 1, 2007 forward.  The depreciation expense for book and ratemaking purposes will be based on the ASC 715 capitalized amounts.  The adjusted amounts will be used for reporting rate base in reports to the Commission.  If Duquesne Light concludes that a contribution less than $10 million to the pension trust is appropriate, the Company may reduce the pension contribution and will record a regulatory liability on its books of account that is equal to 50% of the reduction to the pension contribution below the level of $10 million.  Any regulatory liability recorded will be reduced to the extent of 50% of contributions in excess of $10 million in subsequent years.  If a regulatory liability remains at the time of the Company</w:t>
      </w:r>
      <w:r w:rsidR="001E73FA">
        <w:rPr>
          <w:color w:val="000000"/>
          <w:spacing w:val="3"/>
          <w:sz w:val="26"/>
          <w:szCs w:val="26"/>
        </w:rPr>
        <w:t>’</w:t>
      </w:r>
      <w:r w:rsidRPr="00427291">
        <w:rPr>
          <w:color w:val="000000"/>
          <w:spacing w:val="3"/>
          <w:sz w:val="26"/>
          <w:szCs w:val="26"/>
        </w:rPr>
        <w:t>s next rate proceeding, the regulatory liability amount will be returned to ratepayers as directed in the next base rate proceeding.  Any amount recorded as a regulatory liability shall not bear an interest obligation.  Duquesne Light shall provide a report and affidavit attesting to the actual contributions to pension trusts during each calendar year.  The report and affidavit shall be publicly filed with the Commission, with copies provided to I&amp;E, OCA and</w:t>
      </w:r>
      <w:r>
        <w:rPr>
          <w:color w:val="000000"/>
          <w:spacing w:val="3"/>
          <w:sz w:val="26"/>
          <w:szCs w:val="26"/>
        </w:rPr>
        <w:t xml:space="preserve"> </w:t>
      </w:r>
      <w:r w:rsidRPr="00427291">
        <w:rPr>
          <w:color w:val="000000"/>
          <w:spacing w:val="3"/>
          <w:sz w:val="26"/>
          <w:szCs w:val="26"/>
        </w:rPr>
        <w:t xml:space="preserve">OSBA on or before January 31 of the following calendar </w:t>
      </w:r>
      <w:r w:rsidRPr="00427291">
        <w:rPr>
          <w:color w:val="000000"/>
          <w:spacing w:val="3"/>
          <w:sz w:val="26"/>
          <w:szCs w:val="26"/>
        </w:rPr>
        <w:lastRenderedPageBreak/>
        <w:t>year, with the first report and affidavit due on or before January 31, 2020.</w:t>
      </w:r>
    </w:p>
    <w:p w:rsidR="00D65054" w:rsidRDefault="00D65054" w:rsidP="007D3734">
      <w:pPr>
        <w:widowControl/>
        <w:contextualSpacing/>
        <w:rPr>
          <w:sz w:val="26"/>
          <w:szCs w:val="26"/>
        </w:rPr>
      </w:pPr>
    </w:p>
    <w:p w:rsidR="00D65054" w:rsidRPr="000822B4" w:rsidRDefault="00D65054" w:rsidP="007D3734">
      <w:pPr>
        <w:widowControl/>
        <w:spacing w:before="8"/>
        <w:ind w:left="1440" w:right="1440"/>
        <w:contextualSpacing/>
        <w:textAlignment w:val="baseline"/>
        <w:rPr>
          <w:color w:val="000000"/>
          <w:spacing w:val="3"/>
          <w:sz w:val="26"/>
          <w:szCs w:val="26"/>
        </w:rPr>
      </w:pPr>
      <w:r>
        <w:rPr>
          <w:color w:val="000000"/>
          <w:spacing w:val="3"/>
          <w:sz w:val="26"/>
          <w:szCs w:val="26"/>
        </w:rPr>
        <w:tab/>
        <w:t>38.</w:t>
      </w:r>
      <w:r>
        <w:rPr>
          <w:color w:val="000000"/>
          <w:spacing w:val="3"/>
          <w:sz w:val="26"/>
          <w:szCs w:val="26"/>
        </w:rPr>
        <w:tab/>
      </w:r>
      <w:r w:rsidRPr="000822B4">
        <w:rPr>
          <w:color w:val="000000"/>
          <w:spacing w:val="3"/>
          <w:sz w:val="26"/>
          <w:szCs w:val="26"/>
        </w:rPr>
        <w:t>The Company</w:t>
      </w:r>
      <w:r w:rsidR="001E73FA">
        <w:rPr>
          <w:color w:val="000000"/>
          <w:spacing w:val="3"/>
          <w:sz w:val="26"/>
          <w:szCs w:val="26"/>
        </w:rPr>
        <w:t>’</w:t>
      </w:r>
      <w:r w:rsidRPr="000822B4">
        <w:rPr>
          <w:color w:val="000000"/>
          <w:spacing w:val="3"/>
          <w:sz w:val="26"/>
          <w:szCs w:val="26"/>
        </w:rPr>
        <w:t>s distribution rate allowance for Other Post Employment Benefits (</w:t>
      </w:r>
      <w:r w:rsidR="001E73FA">
        <w:rPr>
          <w:color w:val="000000"/>
          <w:spacing w:val="3"/>
          <w:sz w:val="26"/>
          <w:szCs w:val="26"/>
        </w:rPr>
        <w:t>“</w:t>
      </w:r>
      <w:r w:rsidRPr="000822B4">
        <w:rPr>
          <w:color w:val="000000"/>
          <w:spacing w:val="3"/>
          <w:sz w:val="26"/>
          <w:szCs w:val="26"/>
        </w:rPr>
        <w:t>OPEBs</w:t>
      </w:r>
      <w:r w:rsidR="001E73FA">
        <w:rPr>
          <w:color w:val="000000"/>
          <w:spacing w:val="3"/>
          <w:sz w:val="26"/>
          <w:szCs w:val="26"/>
        </w:rPr>
        <w:t>”</w:t>
      </w:r>
      <w:r w:rsidRPr="000822B4">
        <w:rPr>
          <w:color w:val="000000"/>
          <w:spacing w:val="3"/>
          <w:sz w:val="26"/>
          <w:szCs w:val="26"/>
        </w:rPr>
        <w:t xml:space="preserve">) is based upon the estimated ASC 715 cost for the FPFTY of approximately $0.4 million ($0.3 million on a distribution basis), which reflects a two-year normalization of the Net Periodic Benefit Cost for historic and future test year distribution costs. </w:t>
      </w:r>
      <w:r>
        <w:rPr>
          <w:color w:val="000000"/>
          <w:spacing w:val="3"/>
          <w:sz w:val="26"/>
          <w:szCs w:val="26"/>
        </w:rPr>
        <w:t xml:space="preserve"> </w:t>
      </w:r>
      <w:r w:rsidRPr="000822B4">
        <w:rPr>
          <w:color w:val="000000"/>
          <w:spacing w:val="3"/>
          <w:sz w:val="26"/>
          <w:szCs w:val="26"/>
        </w:rPr>
        <w:t xml:space="preserve">The distribution expense component included in rates is approximately 50% of this estimated cost less the annual effect of the 3-year amortization of the regulatory liability of $2.6 million ($2.2 million on a distribution basis) as explained in Duquesne Light St. No. 2, p. 29, for a net distribution credit of $0.6 million. </w:t>
      </w:r>
      <w:r>
        <w:rPr>
          <w:color w:val="000000"/>
          <w:spacing w:val="3"/>
          <w:sz w:val="26"/>
          <w:szCs w:val="26"/>
        </w:rPr>
        <w:t xml:space="preserve"> </w:t>
      </w:r>
      <w:r w:rsidRPr="000822B4">
        <w:rPr>
          <w:color w:val="000000"/>
          <w:spacing w:val="3"/>
          <w:sz w:val="26"/>
          <w:szCs w:val="26"/>
        </w:rPr>
        <w:t>The remaining 50% of actual ASC 715 cost will be the amount to be capitalized on the Company</w:t>
      </w:r>
      <w:r w:rsidR="001E73FA">
        <w:rPr>
          <w:color w:val="000000"/>
          <w:spacing w:val="3"/>
          <w:sz w:val="26"/>
          <w:szCs w:val="26"/>
        </w:rPr>
        <w:t>’</w:t>
      </w:r>
      <w:r w:rsidRPr="000822B4">
        <w:rPr>
          <w:color w:val="000000"/>
          <w:spacing w:val="3"/>
          <w:sz w:val="26"/>
          <w:szCs w:val="26"/>
        </w:rPr>
        <w:t xml:space="preserve">s books. </w:t>
      </w:r>
      <w:r>
        <w:rPr>
          <w:color w:val="000000"/>
          <w:spacing w:val="3"/>
          <w:sz w:val="26"/>
          <w:szCs w:val="26"/>
        </w:rPr>
        <w:t xml:space="preserve"> </w:t>
      </w:r>
      <w:r w:rsidRPr="000822B4">
        <w:rPr>
          <w:color w:val="000000"/>
          <w:spacing w:val="3"/>
          <w:sz w:val="26"/>
          <w:szCs w:val="26"/>
        </w:rPr>
        <w:t xml:space="preserve">The actual labor capitalization ratio will be used to determine the split between capitalized and expensed amounts. </w:t>
      </w:r>
      <w:r>
        <w:rPr>
          <w:color w:val="000000"/>
          <w:spacing w:val="3"/>
          <w:sz w:val="26"/>
          <w:szCs w:val="26"/>
        </w:rPr>
        <w:t xml:space="preserve"> </w:t>
      </w:r>
      <w:r w:rsidRPr="000822B4">
        <w:rPr>
          <w:color w:val="000000"/>
          <w:spacing w:val="3"/>
          <w:sz w:val="26"/>
          <w:szCs w:val="26"/>
        </w:rPr>
        <w:t>The Company accounts for and funds OPEBs through a Voluntary Employees Beneficiary Associated (</w:t>
      </w:r>
      <w:r w:rsidR="001E73FA">
        <w:rPr>
          <w:color w:val="000000"/>
          <w:spacing w:val="3"/>
          <w:sz w:val="26"/>
          <w:szCs w:val="26"/>
        </w:rPr>
        <w:t>“</w:t>
      </w:r>
      <w:r w:rsidRPr="000822B4">
        <w:rPr>
          <w:color w:val="000000"/>
          <w:spacing w:val="3"/>
          <w:sz w:val="26"/>
          <w:szCs w:val="26"/>
        </w:rPr>
        <w:t>VEBA</w:t>
      </w:r>
      <w:r w:rsidR="001E73FA">
        <w:rPr>
          <w:color w:val="000000"/>
          <w:spacing w:val="3"/>
          <w:sz w:val="26"/>
          <w:szCs w:val="26"/>
        </w:rPr>
        <w:t>”</w:t>
      </w:r>
      <w:r w:rsidRPr="000822B4">
        <w:rPr>
          <w:color w:val="000000"/>
          <w:spacing w:val="3"/>
          <w:sz w:val="26"/>
          <w:szCs w:val="26"/>
        </w:rPr>
        <w:t>) trust, into which it will deposit the full amount of annual costs calculated by the Company</w:t>
      </w:r>
      <w:r w:rsidR="001E73FA">
        <w:rPr>
          <w:color w:val="000000"/>
          <w:spacing w:val="3"/>
          <w:sz w:val="26"/>
          <w:szCs w:val="26"/>
        </w:rPr>
        <w:t>’</w:t>
      </w:r>
      <w:r w:rsidRPr="000822B4">
        <w:rPr>
          <w:color w:val="000000"/>
          <w:spacing w:val="3"/>
          <w:sz w:val="26"/>
          <w:szCs w:val="26"/>
        </w:rPr>
        <w:t>s actuary pursuant to ASC 715. Retiree OPEBs and administrative costs of maintaining the trusts and/or accounts are paid from amounts deposited in the trust.</w:t>
      </w:r>
      <w:r>
        <w:rPr>
          <w:color w:val="000000"/>
          <w:spacing w:val="3"/>
          <w:sz w:val="26"/>
          <w:szCs w:val="26"/>
        </w:rPr>
        <w:t xml:space="preserve"> </w:t>
      </w:r>
      <w:r w:rsidRPr="000822B4">
        <w:rPr>
          <w:color w:val="000000"/>
          <w:spacing w:val="3"/>
          <w:sz w:val="26"/>
          <w:szCs w:val="26"/>
        </w:rPr>
        <w:t xml:space="preserve"> The Company accounts for the difference between the net periodic postretirement benefit expense determined annually by the actuary in accordance with ASC 715 and the amount of ASC 715 postretirement benefit expense used to establish rates. That difference is recorded as a regulatory asset or liability and will be expensed or credited in future base rate proceedings in determining OPEB expense included in rates.</w:t>
      </w:r>
    </w:p>
    <w:p w:rsidR="00D65054" w:rsidRDefault="00D65054" w:rsidP="007D3734">
      <w:pPr>
        <w:widowControl/>
        <w:contextualSpacing/>
        <w:rPr>
          <w:sz w:val="26"/>
          <w:szCs w:val="26"/>
        </w:rPr>
      </w:pPr>
    </w:p>
    <w:p w:rsidR="00D65054" w:rsidRPr="00427291" w:rsidRDefault="00D65054" w:rsidP="007D3734">
      <w:pPr>
        <w:widowControl/>
        <w:spacing w:before="6"/>
        <w:ind w:left="1440" w:right="1440"/>
        <w:contextualSpacing/>
        <w:textAlignment w:val="baseline"/>
        <w:rPr>
          <w:color w:val="000000"/>
          <w:sz w:val="26"/>
          <w:szCs w:val="26"/>
        </w:rPr>
      </w:pPr>
      <w:r>
        <w:rPr>
          <w:color w:val="000000"/>
          <w:sz w:val="26"/>
          <w:szCs w:val="26"/>
        </w:rPr>
        <w:tab/>
        <w:t>39.</w:t>
      </w:r>
      <w:r>
        <w:rPr>
          <w:color w:val="000000"/>
          <w:sz w:val="26"/>
          <w:szCs w:val="26"/>
        </w:rPr>
        <w:tab/>
      </w:r>
      <w:r w:rsidRPr="00427291">
        <w:rPr>
          <w:color w:val="000000"/>
          <w:sz w:val="26"/>
          <w:szCs w:val="26"/>
        </w:rPr>
        <w:t>Duquesne Light</w:t>
      </w:r>
      <w:r w:rsidR="001E73FA">
        <w:rPr>
          <w:color w:val="000000"/>
          <w:sz w:val="26"/>
          <w:szCs w:val="26"/>
        </w:rPr>
        <w:t>’</w:t>
      </w:r>
      <w:r w:rsidRPr="00427291">
        <w:rPr>
          <w:color w:val="000000"/>
          <w:sz w:val="26"/>
          <w:szCs w:val="26"/>
        </w:rPr>
        <w:t>s jurisdictional separation study of distribution and transmission costs and assets shall be approved for purposes of this case only and shall hold no precedential</w:t>
      </w:r>
      <w:r>
        <w:rPr>
          <w:color w:val="000000"/>
          <w:sz w:val="26"/>
          <w:szCs w:val="26"/>
        </w:rPr>
        <w:t xml:space="preserve"> </w:t>
      </w:r>
      <w:r w:rsidRPr="00427291">
        <w:rPr>
          <w:color w:val="000000"/>
          <w:sz w:val="26"/>
          <w:szCs w:val="26"/>
        </w:rPr>
        <w:t xml:space="preserve">value in a future base rate proceeding. </w:t>
      </w:r>
      <w:r>
        <w:rPr>
          <w:color w:val="000000"/>
          <w:sz w:val="26"/>
          <w:szCs w:val="26"/>
        </w:rPr>
        <w:t xml:space="preserve"> </w:t>
      </w:r>
      <w:r w:rsidRPr="00427291">
        <w:rPr>
          <w:color w:val="000000"/>
          <w:sz w:val="26"/>
          <w:szCs w:val="26"/>
        </w:rPr>
        <w:t>All parties reserve the right to challenge the jurisdictional separation study in future matters.</w:t>
      </w:r>
    </w:p>
    <w:p w:rsidR="00D65054" w:rsidRDefault="00D65054" w:rsidP="007D3734">
      <w:pPr>
        <w:widowControl/>
        <w:contextualSpacing/>
        <w:rPr>
          <w:sz w:val="26"/>
          <w:szCs w:val="26"/>
        </w:rPr>
      </w:pPr>
    </w:p>
    <w:p w:rsidR="00D65054" w:rsidRPr="000822B4" w:rsidRDefault="00D65054" w:rsidP="007D3734">
      <w:pPr>
        <w:widowControl/>
        <w:spacing w:before="3"/>
        <w:ind w:left="1440" w:right="1440"/>
        <w:contextualSpacing/>
        <w:textAlignment w:val="baseline"/>
        <w:rPr>
          <w:color w:val="000000"/>
          <w:spacing w:val="2"/>
          <w:sz w:val="26"/>
          <w:szCs w:val="26"/>
        </w:rPr>
      </w:pPr>
      <w:r>
        <w:rPr>
          <w:color w:val="000000"/>
          <w:spacing w:val="2"/>
          <w:sz w:val="26"/>
          <w:szCs w:val="26"/>
        </w:rPr>
        <w:tab/>
        <w:t>40.</w:t>
      </w:r>
      <w:r>
        <w:rPr>
          <w:color w:val="000000"/>
          <w:spacing w:val="2"/>
          <w:sz w:val="26"/>
          <w:szCs w:val="26"/>
        </w:rPr>
        <w:tab/>
      </w:r>
      <w:r w:rsidRPr="000822B4">
        <w:rPr>
          <w:color w:val="000000"/>
          <w:spacing w:val="2"/>
          <w:sz w:val="26"/>
          <w:szCs w:val="26"/>
        </w:rPr>
        <w:t xml:space="preserve">Duquesne Light will file a Total Company Pennsylvania jurisdictional report showing capital </w:t>
      </w:r>
      <w:r w:rsidRPr="000822B4">
        <w:rPr>
          <w:color w:val="000000"/>
          <w:spacing w:val="2"/>
          <w:sz w:val="26"/>
          <w:szCs w:val="26"/>
        </w:rPr>
        <w:lastRenderedPageBreak/>
        <w:t>expenditures, plant additions and retirements, by month, for the Future Test Year (</w:t>
      </w:r>
      <w:r w:rsidR="001E73FA">
        <w:rPr>
          <w:color w:val="000000"/>
          <w:spacing w:val="2"/>
          <w:sz w:val="26"/>
          <w:szCs w:val="26"/>
        </w:rPr>
        <w:t>“</w:t>
      </w:r>
      <w:r w:rsidRPr="000822B4">
        <w:rPr>
          <w:color w:val="000000"/>
          <w:spacing w:val="2"/>
          <w:sz w:val="26"/>
          <w:szCs w:val="26"/>
        </w:rPr>
        <w:t>FTY</w:t>
      </w:r>
      <w:r w:rsidR="001E73FA">
        <w:rPr>
          <w:color w:val="000000"/>
          <w:spacing w:val="2"/>
          <w:sz w:val="26"/>
          <w:szCs w:val="26"/>
        </w:rPr>
        <w:t>”</w:t>
      </w:r>
      <w:r w:rsidRPr="000822B4">
        <w:rPr>
          <w:color w:val="000000"/>
          <w:spacing w:val="2"/>
          <w:sz w:val="26"/>
          <w:szCs w:val="26"/>
        </w:rPr>
        <w:t xml:space="preserve">) ending December 31, 2018, and the FPFTY ending December 31, 2019, by July 31 of each of the years following the test years. </w:t>
      </w:r>
      <w:r>
        <w:rPr>
          <w:color w:val="000000"/>
          <w:spacing w:val="2"/>
          <w:sz w:val="26"/>
          <w:szCs w:val="26"/>
        </w:rPr>
        <w:t xml:space="preserve"> </w:t>
      </w:r>
      <w:r w:rsidRPr="000822B4">
        <w:rPr>
          <w:color w:val="000000"/>
          <w:spacing w:val="2"/>
          <w:sz w:val="26"/>
          <w:szCs w:val="26"/>
        </w:rPr>
        <w:t>In Duquesne Light</w:t>
      </w:r>
      <w:r w:rsidR="001E73FA">
        <w:rPr>
          <w:color w:val="000000"/>
          <w:spacing w:val="2"/>
          <w:sz w:val="26"/>
          <w:szCs w:val="26"/>
        </w:rPr>
        <w:t>’</w:t>
      </w:r>
      <w:r w:rsidRPr="000822B4">
        <w:rPr>
          <w:color w:val="000000"/>
          <w:spacing w:val="2"/>
          <w:sz w:val="26"/>
          <w:szCs w:val="26"/>
        </w:rPr>
        <w:t xml:space="preserve">s next base rate proceeding, the Company will prepare a comparison of its actual expenses and rate base additions for the twelve months ending December 31, 2019, to its projections in this case. </w:t>
      </w:r>
      <w:r>
        <w:rPr>
          <w:color w:val="000000"/>
          <w:spacing w:val="2"/>
          <w:sz w:val="26"/>
          <w:szCs w:val="26"/>
        </w:rPr>
        <w:t xml:space="preserve"> </w:t>
      </w:r>
      <w:r w:rsidRPr="000822B4">
        <w:rPr>
          <w:color w:val="000000"/>
          <w:spacing w:val="2"/>
          <w:sz w:val="26"/>
          <w:szCs w:val="26"/>
        </w:rPr>
        <w:t>However, it is recognized by Joint Petitioners that this is a black box settlement that is a compromise of the Joint Petitioners</w:t>
      </w:r>
      <w:r w:rsidR="001E73FA">
        <w:rPr>
          <w:color w:val="000000"/>
          <w:spacing w:val="2"/>
          <w:sz w:val="26"/>
          <w:szCs w:val="26"/>
        </w:rPr>
        <w:t>’</w:t>
      </w:r>
      <w:r w:rsidRPr="000822B4">
        <w:rPr>
          <w:color w:val="000000"/>
          <w:spacing w:val="2"/>
          <w:sz w:val="26"/>
          <w:szCs w:val="26"/>
        </w:rPr>
        <w:t xml:space="preserve"> positions on various issues.</w:t>
      </w:r>
    </w:p>
    <w:p w:rsidR="00D65054" w:rsidRDefault="00D65054" w:rsidP="007D3734">
      <w:pPr>
        <w:widowControl/>
        <w:contextualSpacing/>
        <w:rPr>
          <w:sz w:val="26"/>
          <w:szCs w:val="26"/>
        </w:rPr>
      </w:pPr>
    </w:p>
    <w:p w:rsidR="00D65054" w:rsidRPr="000822B4" w:rsidRDefault="00D65054" w:rsidP="007D3734">
      <w:pPr>
        <w:widowControl/>
        <w:spacing w:before="7"/>
        <w:ind w:left="1440" w:right="1440"/>
        <w:contextualSpacing/>
        <w:textAlignment w:val="baseline"/>
        <w:rPr>
          <w:color w:val="000000"/>
          <w:spacing w:val="4"/>
          <w:sz w:val="26"/>
          <w:szCs w:val="26"/>
        </w:rPr>
      </w:pPr>
      <w:r>
        <w:rPr>
          <w:color w:val="000000"/>
          <w:spacing w:val="4"/>
          <w:sz w:val="26"/>
          <w:szCs w:val="26"/>
        </w:rPr>
        <w:tab/>
        <w:t>41.</w:t>
      </w:r>
      <w:r>
        <w:rPr>
          <w:color w:val="000000"/>
          <w:spacing w:val="4"/>
          <w:sz w:val="26"/>
          <w:szCs w:val="26"/>
        </w:rPr>
        <w:tab/>
      </w:r>
      <w:r w:rsidRPr="000822B4">
        <w:rPr>
          <w:color w:val="000000"/>
          <w:spacing w:val="4"/>
          <w:sz w:val="26"/>
          <w:szCs w:val="26"/>
        </w:rPr>
        <w:t xml:space="preserve">Commencing with implementations subsequent to May 1, 2015, the Company shall be permitted to capitalize the development costs for cloud-based information systems. </w:t>
      </w:r>
      <w:r>
        <w:rPr>
          <w:color w:val="000000"/>
          <w:spacing w:val="4"/>
          <w:sz w:val="26"/>
          <w:szCs w:val="26"/>
        </w:rPr>
        <w:t xml:space="preserve"> </w:t>
      </w:r>
      <w:r w:rsidRPr="000822B4">
        <w:rPr>
          <w:color w:val="000000"/>
          <w:spacing w:val="4"/>
          <w:sz w:val="26"/>
          <w:szCs w:val="26"/>
        </w:rPr>
        <w:t xml:space="preserve">The Company will record the costs related to the development of cloud-based information systems as a regulatory asset at the time such costs are incurred. </w:t>
      </w:r>
      <w:r>
        <w:rPr>
          <w:color w:val="000000"/>
          <w:spacing w:val="4"/>
          <w:sz w:val="26"/>
          <w:szCs w:val="26"/>
        </w:rPr>
        <w:t xml:space="preserve"> </w:t>
      </w:r>
      <w:r w:rsidRPr="000822B4">
        <w:rPr>
          <w:color w:val="000000"/>
          <w:spacing w:val="4"/>
          <w:sz w:val="26"/>
          <w:szCs w:val="26"/>
        </w:rPr>
        <w:t xml:space="preserve">The Company shall begin amortization of the costs after the systems are placed in service. </w:t>
      </w:r>
      <w:r>
        <w:rPr>
          <w:color w:val="000000"/>
          <w:spacing w:val="4"/>
          <w:sz w:val="26"/>
          <w:szCs w:val="26"/>
        </w:rPr>
        <w:t xml:space="preserve"> </w:t>
      </w:r>
      <w:r w:rsidRPr="000822B4">
        <w:rPr>
          <w:color w:val="000000"/>
          <w:spacing w:val="4"/>
          <w:sz w:val="26"/>
          <w:szCs w:val="26"/>
        </w:rPr>
        <w:t>Amortization of the regulatory asset will be included in the Company</w:t>
      </w:r>
      <w:r w:rsidR="001E73FA">
        <w:rPr>
          <w:color w:val="000000"/>
          <w:spacing w:val="4"/>
          <w:sz w:val="26"/>
          <w:szCs w:val="26"/>
        </w:rPr>
        <w:t>’</w:t>
      </w:r>
      <w:r w:rsidRPr="000822B4">
        <w:rPr>
          <w:color w:val="000000"/>
          <w:spacing w:val="4"/>
          <w:sz w:val="26"/>
          <w:szCs w:val="26"/>
        </w:rPr>
        <w:t>s depreciation claim and the unamortized balance in the regulatory asset account will be included in rate base in the Company</w:t>
      </w:r>
      <w:r w:rsidR="001E73FA">
        <w:rPr>
          <w:color w:val="000000"/>
          <w:spacing w:val="4"/>
          <w:sz w:val="26"/>
          <w:szCs w:val="26"/>
        </w:rPr>
        <w:t>’</w:t>
      </w:r>
      <w:r w:rsidRPr="000822B4">
        <w:rPr>
          <w:color w:val="000000"/>
          <w:spacing w:val="4"/>
          <w:sz w:val="26"/>
          <w:szCs w:val="26"/>
        </w:rPr>
        <w:t xml:space="preserve">s current and future base rate proceedings. </w:t>
      </w:r>
      <w:r>
        <w:rPr>
          <w:color w:val="000000"/>
          <w:spacing w:val="4"/>
          <w:sz w:val="26"/>
          <w:szCs w:val="26"/>
        </w:rPr>
        <w:t xml:space="preserve"> </w:t>
      </w:r>
      <w:r w:rsidRPr="000822B4">
        <w:rPr>
          <w:color w:val="000000"/>
          <w:spacing w:val="4"/>
          <w:sz w:val="26"/>
          <w:szCs w:val="26"/>
        </w:rPr>
        <w:t>Nothing in this provision shall preclude a challenge to the prudence or reasonableness of specific cloud-based expenditures in a future base rate proceeding.</w:t>
      </w:r>
    </w:p>
    <w:p w:rsidR="00D65054" w:rsidRDefault="00D65054" w:rsidP="007D3734">
      <w:pPr>
        <w:widowControl/>
        <w:contextualSpacing/>
        <w:rPr>
          <w:sz w:val="26"/>
          <w:szCs w:val="26"/>
        </w:rPr>
      </w:pPr>
    </w:p>
    <w:p w:rsidR="00D65054" w:rsidRPr="00E02CBE" w:rsidRDefault="00D65054" w:rsidP="007D3734">
      <w:pPr>
        <w:widowControl/>
        <w:spacing w:before="5"/>
        <w:ind w:left="1440" w:right="1440"/>
        <w:contextualSpacing/>
        <w:textAlignment w:val="baseline"/>
        <w:rPr>
          <w:color w:val="000000"/>
          <w:sz w:val="26"/>
          <w:szCs w:val="26"/>
        </w:rPr>
      </w:pPr>
      <w:r>
        <w:rPr>
          <w:color w:val="000000"/>
          <w:sz w:val="26"/>
          <w:szCs w:val="26"/>
        </w:rPr>
        <w:tab/>
        <w:t>42.</w:t>
      </w:r>
      <w:r>
        <w:rPr>
          <w:color w:val="000000"/>
          <w:sz w:val="26"/>
          <w:szCs w:val="26"/>
        </w:rPr>
        <w:tab/>
      </w:r>
      <w:r w:rsidRPr="00E02CBE">
        <w:rPr>
          <w:color w:val="000000"/>
          <w:sz w:val="26"/>
          <w:szCs w:val="26"/>
        </w:rPr>
        <w:t xml:space="preserve">In each base rate case in which the Company proposes to recover costs of cloud-based information systems that were recorded in the regulatory asset, pursuant to paragraph 41 as a capital cost for ratemaking purposes, the Company will provide a listing of the cloud-based computing costs by year, as well as the expected useful life of each item. </w:t>
      </w:r>
      <w:r>
        <w:rPr>
          <w:color w:val="000000"/>
          <w:sz w:val="26"/>
          <w:szCs w:val="26"/>
        </w:rPr>
        <w:t xml:space="preserve"> </w:t>
      </w:r>
      <w:r w:rsidRPr="00E02CBE">
        <w:rPr>
          <w:color w:val="000000"/>
          <w:sz w:val="26"/>
          <w:szCs w:val="26"/>
        </w:rPr>
        <w:t>This requirement</w:t>
      </w:r>
      <w:r>
        <w:rPr>
          <w:color w:val="000000"/>
          <w:sz w:val="26"/>
          <w:szCs w:val="26"/>
        </w:rPr>
        <w:t xml:space="preserve"> </w:t>
      </w:r>
      <w:r w:rsidRPr="00E02CBE">
        <w:rPr>
          <w:color w:val="000000"/>
          <w:sz w:val="26"/>
          <w:szCs w:val="26"/>
        </w:rPr>
        <w:t>applies to the costs of cloud-based information systems recorded in the regulatory asset that were not capitalized for Generally Accepted Accounting Principles (</w:t>
      </w:r>
      <w:r w:rsidR="001E73FA">
        <w:rPr>
          <w:color w:val="000000"/>
          <w:sz w:val="26"/>
          <w:szCs w:val="26"/>
        </w:rPr>
        <w:t>“</w:t>
      </w:r>
      <w:r w:rsidRPr="00E02CBE">
        <w:rPr>
          <w:color w:val="000000"/>
          <w:sz w:val="26"/>
          <w:szCs w:val="26"/>
        </w:rPr>
        <w:t>GAAP</w:t>
      </w:r>
      <w:r w:rsidR="001E73FA">
        <w:rPr>
          <w:color w:val="000000"/>
          <w:sz w:val="26"/>
          <w:szCs w:val="26"/>
        </w:rPr>
        <w:t>”</w:t>
      </w:r>
      <w:r w:rsidRPr="00E02CBE">
        <w:rPr>
          <w:color w:val="000000"/>
          <w:sz w:val="26"/>
          <w:szCs w:val="26"/>
        </w:rPr>
        <w:t>) purposes.</w:t>
      </w:r>
    </w:p>
    <w:p w:rsidR="00D65054" w:rsidRDefault="00D65054" w:rsidP="007D3734">
      <w:pPr>
        <w:widowControl/>
        <w:contextualSpacing/>
        <w:rPr>
          <w:sz w:val="26"/>
          <w:szCs w:val="26"/>
        </w:rPr>
      </w:pPr>
    </w:p>
    <w:p w:rsidR="00D65054" w:rsidRPr="000822B4" w:rsidRDefault="00D65054" w:rsidP="007D3734">
      <w:pPr>
        <w:widowControl/>
        <w:tabs>
          <w:tab w:val="left" w:pos="360"/>
        </w:tabs>
        <w:spacing w:before="2"/>
        <w:ind w:left="1440" w:right="1440"/>
        <w:contextualSpacing/>
        <w:textAlignment w:val="baseline"/>
        <w:rPr>
          <w:color w:val="000000"/>
          <w:sz w:val="26"/>
          <w:szCs w:val="26"/>
        </w:rPr>
      </w:pPr>
      <w:r>
        <w:rPr>
          <w:color w:val="000000"/>
          <w:sz w:val="26"/>
          <w:szCs w:val="26"/>
        </w:rPr>
        <w:tab/>
        <w:t>43.</w:t>
      </w:r>
      <w:r>
        <w:rPr>
          <w:color w:val="000000"/>
          <w:sz w:val="26"/>
          <w:szCs w:val="26"/>
        </w:rPr>
        <w:tab/>
      </w:r>
      <w:r w:rsidRPr="000822B4">
        <w:rPr>
          <w:color w:val="000000"/>
          <w:sz w:val="26"/>
          <w:szCs w:val="26"/>
        </w:rPr>
        <w:t xml:space="preserve">The timing of a Company notice with regard to annual dividends in excess of 85% of annual net income will be revised to the following: </w:t>
      </w:r>
      <w:r>
        <w:rPr>
          <w:color w:val="000000"/>
          <w:sz w:val="26"/>
          <w:szCs w:val="26"/>
        </w:rPr>
        <w:t xml:space="preserve"> </w:t>
      </w:r>
      <w:r w:rsidRPr="000822B4">
        <w:rPr>
          <w:color w:val="000000"/>
          <w:sz w:val="26"/>
          <w:szCs w:val="26"/>
        </w:rPr>
        <w:t xml:space="preserve">The Company must provide notice and explanation to the Commission when annual </w:t>
      </w:r>
      <w:r w:rsidRPr="000822B4">
        <w:rPr>
          <w:color w:val="000000"/>
          <w:sz w:val="26"/>
          <w:szCs w:val="26"/>
        </w:rPr>
        <w:lastRenderedPageBreak/>
        <w:t>dividend payments in the preceding 12 months ended March</w:t>
      </w:r>
      <w:r w:rsidR="001938C4">
        <w:rPr>
          <w:color w:val="000000"/>
          <w:sz w:val="26"/>
          <w:szCs w:val="26"/>
        </w:rPr>
        <w:t> </w:t>
      </w:r>
      <w:r w:rsidRPr="000822B4">
        <w:rPr>
          <w:color w:val="000000"/>
          <w:sz w:val="26"/>
          <w:szCs w:val="26"/>
        </w:rPr>
        <w:t xml:space="preserve">31st exceed 85% of annual net income of the prior calendar year. </w:t>
      </w:r>
      <w:r w:rsidR="001938C4">
        <w:rPr>
          <w:color w:val="000000"/>
          <w:sz w:val="26"/>
          <w:szCs w:val="26"/>
        </w:rPr>
        <w:t xml:space="preserve"> </w:t>
      </w:r>
      <w:r w:rsidRPr="000822B4">
        <w:rPr>
          <w:color w:val="000000"/>
          <w:sz w:val="26"/>
          <w:szCs w:val="26"/>
        </w:rPr>
        <w:t>With the revised language, the Company will be able to adjust its distributions in the first quarter of the following year in order to avoid inadvertently violating the advance notice requirement currently in place.</w:t>
      </w:r>
    </w:p>
    <w:p w:rsidR="00D65054" w:rsidRDefault="00D65054" w:rsidP="007D3734">
      <w:pPr>
        <w:widowControl/>
        <w:contextualSpacing/>
        <w:rPr>
          <w:sz w:val="26"/>
          <w:szCs w:val="26"/>
        </w:rPr>
      </w:pPr>
    </w:p>
    <w:p w:rsidR="00D65054" w:rsidRPr="000822B4" w:rsidRDefault="00D65054" w:rsidP="007D3734">
      <w:pPr>
        <w:widowControl/>
        <w:tabs>
          <w:tab w:val="left" w:pos="360"/>
        </w:tabs>
        <w:spacing w:before="3"/>
        <w:ind w:left="1440" w:right="1440"/>
        <w:contextualSpacing/>
        <w:textAlignment w:val="baseline"/>
        <w:rPr>
          <w:color w:val="000000"/>
          <w:sz w:val="26"/>
          <w:szCs w:val="26"/>
        </w:rPr>
      </w:pPr>
      <w:r>
        <w:rPr>
          <w:color w:val="000000"/>
          <w:sz w:val="26"/>
          <w:szCs w:val="26"/>
        </w:rPr>
        <w:tab/>
        <w:t>44.</w:t>
      </w:r>
      <w:r>
        <w:rPr>
          <w:color w:val="000000"/>
          <w:sz w:val="26"/>
          <w:szCs w:val="26"/>
        </w:rPr>
        <w:tab/>
      </w:r>
      <w:r w:rsidRPr="000822B4">
        <w:rPr>
          <w:color w:val="000000"/>
          <w:sz w:val="26"/>
          <w:szCs w:val="26"/>
        </w:rPr>
        <w:t xml:space="preserve">Duquesne Light will update the unbundled costs that are currently recovered in default service rates that were previously approved by the Commission as part of the Petition of Duquesne Light Company for Approval of a Default Service Plan for the Period June 1, 2017, to May 31, 2021, at Docket No. P-2016-2543140. </w:t>
      </w:r>
      <w:r>
        <w:rPr>
          <w:color w:val="000000"/>
          <w:sz w:val="26"/>
          <w:szCs w:val="26"/>
        </w:rPr>
        <w:t xml:space="preserve"> </w:t>
      </w:r>
      <w:r w:rsidRPr="000822B4">
        <w:rPr>
          <w:color w:val="000000"/>
          <w:sz w:val="26"/>
          <w:szCs w:val="26"/>
        </w:rPr>
        <w:t xml:space="preserve">Exhibit DBO-5 reflects the updated unbundling costs. </w:t>
      </w:r>
      <w:r>
        <w:rPr>
          <w:color w:val="000000"/>
          <w:sz w:val="26"/>
          <w:szCs w:val="26"/>
        </w:rPr>
        <w:t xml:space="preserve"> </w:t>
      </w:r>
      <w:r w:rsidRPr="000822B4">
        <w:rPr>
          <w:color w:val="000000"/>
          <w:sz w:val="26"/>
          <w:szCs w:val="26"/>
        </w:rPr>
        <w:t xml:space="preserve">These updated unbundling costs will be fixed and reconciled only for differences between projected and actual consumption. </w:t>
      </w:r>
      <w:r>
        <w:rPr>
          <w:color w:val="000000"/>
          <w:sz w:val="26"/>
          <w:szCs w:val="26"/>
        </w:rPr>
        <w:t xml:space="preserve"> </w:t>
      </w:r>
      <w:r w:rsidRPr="000822B4">
        <w:rPr>
          <w:color w:val="000000"/>
          <w:sz w:val="26"/>
          <w:szCs w:val="26"/>
        </w:rPr>
        <w:t>The Company would reflect the updated unbundled costs in rates effective June 1, 2019, the first effective default service supply rate change for all classes after new distribution rates become effective December 29, 2018.</w:t>
      </w:r>
    </w:p>
    <w:p w:rsidR="00D65054" w:rsidRDefault="00D65054" w:rsidP="007D3734">
      <w:pPr>
        <w:widowControl/>
        <w:contextualSpacing/>
        <w:rPr>
          <w:sz w:val="26"/>
          <w:szCs w:val="26"/>
        </w:rPr>
      </w:pPr>
    </w:p>
    <w:p w:rsidR="00D65054" w:rsidRPr="00C65F4C" w:rsidRDefault="00D65054" w:rsidP="007D3734">
      <w:pPr>
        <w:keepNext/>
        <w:keepLines/>
        <w:widowControl/>
        <w:ind w:left="1440" w:right="1440"/>
        <w:contextualSpacing/>
        <w:rPr>
          <w:b/>
          <w:sz w:val="26"/>
          <w:szCs w:val="26"/>
        </w:rPr>
      </w:pPr>
      <w:r w:rsidRPr="00C65F4C">
        <w:rPr>
          <w:b/>
          <w:sz w:val="26"/>
          <w:szCs w:val="26"/>
        </w:rPr>
        <w:t>B.</w:t>
      </w:r>
      <w:r w:rsidRPr="00C65F4C">
        <w:rPr>
          <w:b/>
          <w:sz w:val="26"/>
          <w:szCs w:val="26"/>
        </w:rPr>
        <w:tab/>
        <w:t>DUQUESNE LIGHT PROGRAMS</w:t>
      </w:r>
    </w:p>
    <w:p w:rsidR="00D65054" w:rsidRDefault="00D65054" w:rsidP="007D3734">
      <w:pPr>
        <w:keepNext/>
        <w:keepLines/>
        <w:widowControl/>
        <w:contextualSpacing/>
        <w:rPr>
          <w:sz w:val="26"/>
          <w:szCs w:val="26"/>
        </w:rPr>
      </w:pPr>
    </w:p>
    <w:p w:rsidR="00D65054" w:rsidRPr="000822B4" w:rsidRDefault="00D65054" w:rsidP="007D3734">
      <w:pPr>
        <w:widowControl/>
        <w:tabs>
          <w:tab w:val="left" w:pos="360"/>
        </w:tabs>
        <w:spacing w:line="360" w:lineRule="auto"/>
        <w:ind w:left="1440" w:right="1440"/>
        <w:contextualSpacing/>
        <w:textAlignment w:val="baseline"/>
        <w:rPr>
          <w:color w:val="000000"/>
          <w:sz w:val="26"/>
          <w:szCs w:val="26"/>
        </w:rPr>
      </w:pPr>
      <w:r>
        <w:rPr>
          <w:color w:val="000000"/>
          <w:sz w:val="26"/>
          <w:szCs w:val="26"/>
        </w:rPr>
        <w:tab/>
        <w:t>45.</w:t>
      </w:r>
      <w:r>
        <w:rPr>
          <w:color w:val="000000"/>
          <w:sz w:val="26"/>
          <w:szCs w:val="26"/>
        </w:rPr>
        <w:tab/>
      </w:r>
      <w:r w:rsidRPr="000822B4">
        <w:rPr>
          <w:color w:val="000000"/>
          <w:sz w:val="26"/>
          <w:szCs w:val="26"/>
        </w:rPr>
        <w:t>The Electric Vehicle ChargeUp Pilot (</w:t>
      </w:r>
      <w:r w:rsidR="001E73FA">
        <w:rPr>
          <w:color w:val="000000"/>
          <w:sz w:val="26"/>
          <w:szCs w:val="26"/>
        </w:rPr>
        <w:t>“</w:t>
      </w:r>
      <w:r w:rsidRPr="000822B4">
        <w:rPr>
          <w:color w:val="000000"/>
          <w:sz w:val="26"/>
          <w:szCs w:val="26"/>
        </w:rPr>
        <w:t>EV Pilot</w:t>
      </w:r>
      <w:r w:rsidR="001E73FA">
        <w:rPr>
          <w:color w:val="000000"/>
          <w:sz w:val="26"/>
          <w:szCs w:val="26"/>
        </w:rPr>
        <w:t>”</w:t>
      </w:r>
      <w:r w:rsidRPr="000822B4">
        <w:rPr>
          <w:color w:val="000000"/>
          <w:sz w:val="26"/>
          <w:szCs w:val="26"/>
        </w:rPr>
        <w:t>) is resolved on the following terms and conditions:</w:t>
      </w:r>
    </w:p>
    <w:p w:rsidR="00D65054" w:rsidRDefault="00D65054" w:rsidP="007D3734">
      <w:pPr>
        <w:widowControl/>
        <w:contextualSpacing/>
        <w:rPr>
          <w:sz w:val="26"/>
          <w:szCs w:val="26"/>
        </w:rPr>
      </w:pPr>
    </w:p>
    <w:p w:rsidR="00D65054" w:rsidRPr="000822B4" w:rsidRDefault="00D65054" w:rsidP="007D3734">
      <w:pPr>
        <w:widowControl/>
        <w:numPr>
          <w:ilvl w:val="0"/>
          <w:numId w:val="21"/>
        </w:numPr>
        <w:tabs>
          <w:tab w:val="clear" w:pos="360"/>
        </w:tabs>
        <w:spacing w:before="292"/>
        <w:ind w:left="2880" w:right="1440" w:hanging="720"/>
        <w:contextualSpacing/>
        <w:textAlignment w:val="baseline"/>
        <w:rPr>
          <w:color w:val="000000"/>
          <w:spacing w:val="3"/>
          <w:sz w:val="26"/>
          <w:szCs w:val="26"/>
        </w:rPr>
      </w:pPr>
      <w:r w:rsidRPr="000822B4">
        <w:rPr>
          <w:color w:val="000000"/>
          <w:spacing w:val="3"/>
          <w:sz w:val="26"/>
          <w:szCs w:val="26"/>
        </w:rPr>
        <w:t>The Company</w:t>
      </w:r>
      <w:r w:rsidR="001E73FA">
        <w:rPr>
          <w:color w:val="000000"/>
          <w:spacing w:val="3"/>
          <w:sz w:val="26"/>
          <w:szCs w:val="26"/>
        </w:rPr>
        <w:t>’</w:t>
      </w:r>
      <w:r w:rsidRPr="000822B4">
        <w:rPr>
          <w:color w:val="000000"/>
          <w:spacing w:val="3"/>
          <w:sz w:val="26"/>
          <w:szCs w:val="26"/>
        </w:rPr>
        <w:t xml:space="preserve">s proposed DC Fast Charging Evaluation will be limited to make ready infrastructure, as defined in DLC Statement No. 6, and fast charging stations owned by the Company to be used solely for the Company and the Port Authority of Allegheny County electric bus evaluation. </w:t>
      </w:r>
      <w:r w:rsidR="001938C4">
        <w:rPr>
          <w:color w:val="000000"/>
          <w:spacing w:val="3"/>
          <w:sz w:val="26"/>
          <w:szCs w:val="26"/>
        </w:rPr>
        <w:t xml:space="preserve"> </w:t>
      </w:r>
      <w:r w:rsidRPr="000822B4">
        <w:rPr>
          <w:color w:val="000000"/>
          <w:spacing w:val="3"/>
          <w:sz w:val="26"/>
          <w:szCs w:val="26"/>
        </w:rPr>
        <w:t>The cost associated with this investment included in rate base in this case is $500,000.</w:t>
      </w:r>
    </w:p>
    <w:p w:rsidR="00D65054" w:rsidRDefault="00D65054" w:rsidP="007D3734">
      <w:pPr>
        <w:widowControl/>
        <w:ind w:left="2880" w:hanging="720"/>
        <w:contextualSpacing/>
        <w:rPr>
          <w:sz w:val="26"/>
          <w:szCs w:val="26"/>
        </w:rPr>
      </w:pPr>
    </w:p>
    <w:p w:rsidR="00D65054" w:rsidRDefault="00D65054" w:rsidP="007D3734">
      <w:pPr>
        <w:widowControl/>
        <w:spacing w:before="2"/>
        <w:ind w:left="2880" w:right="1440" w:hanging="720"/>
        <w:contextualSpacing/>
        <w:textAlignment w:val="baseline"/>
        <w:rPr>
          <w:color w:val="000000"/>
          <w:spacing w:val="1"/>
          <w:sz w:val="26"/>
          <w:szCs w:val="26"/>
        </w:rPr>
      </w:pPr>
      <w:r>
        <w:rPr>
          <w:color w:val="000000"/>
          <w:spacing w:val="9"/>
          <w:sz w:val="26"/>
          <w:szCs w:val="26"/>
        </w:rPr>
        <w:t>b.</w:t>
      </w:r>
      <w:r>
        <w:rPr>
          <w:color w:val="000000"/>
          <w:spacing w:val="9"/>
          <w:sz w:val="26"/>
          <w:szCs w:val="26"/>
        </w:rPr>
        <w:tab/>
      </w:r>
      <w:r w:rsidRPr="00DF5FBD">
        <w:rPr>
          <w:color w:val="000000"/>
          <w:spacing w:val="9"/>
          <w:sz w:val="26"/>
          <w:szCs w:val="26"/>
        </w:rPr>
        <w:t>The Company</w:t>
      </w:r>
      <w:r w:rsidR="001E73FA">
        <w:rPr>
          <w:color w:val="000000"/>
          <w:spacing w:val="9"/>
          <w:sz w:val="26"/>
          <w:szCs w:val="26"/>
        </w:rPr>
        <w:t>’</w:t>
      </w:r>
      <w:r w:rsidRPr="00DF5FBD">
        <w:rPr>
          <w:color w:val="000000"/>
          <w:spacing w:val="9"/>
          <w:sz w:val="26"/>
          <w:szCs w:val="26"/>
        </w:rPr>
        <w:t>s Level 2 charging proposal will be limited to the Company</w:t>
      </w:r>
      <w:r w:rsidR="001E73FA">
        <w:rPr>
          <w:color w:val="000000"/>
          <w:spacing w:val="9"/>
          <w:sz w:val="26"/>
          <w:szCs w:val="26"/>
        </w:rPr>
        <w:t>’</w:t>
      </w:r>
      <w:r w:rsidRPr="00DF5FBD">
        <w:rPr>
          <w:color w:val="000000"/>
          <w:spacing w:val="9"/>
          <w:sz w:val="26"/>
          <w:szCs w:val="26"/>
        </w:rPr>
        <w:t xml:space="preserve">s investment in make ready infrastructure to provide electric </w:t>
      </w:r>
      <w:r w:rsidRPr="00DF5FBD">
        <w:rPr>
          <w:color w:val="000000"/>
          <w:spacing w:val="2"/>
          <w:sz w:val="26"/>
          <w:szCs w:val="26"/>
        </w:rPr>
        <w:t>service to charging stations owned by other parties with at least 4 charging stations available to the public.  The Company</w:t>
      </w:r>
      <w:r w:rsidR="001E73FA">
        <w:rPr>
          <w:color w:val="000000"/>
          <w:spacing w:val="2"/>
          <w:sz w:val="26"/>
          <w:szCs w:val="26"/>
        </w:rPr>
        <w:t>’</w:t>
      </w:r>
      <w:r w:rsidRPr="00DF5FBD">
        <w:rPr>
          <w:color w:val="000000"/>
          <w:spacing w:val="2"/>
          <w:sz w:val="26"/>
          <w:szCs w:val="26"/>
        </w:rPr>
        <w:t xml:space="preserve">s total </w:t>
      </w:r>
      <w:r w:rsidRPr="00DF5FBD">
        <w:rPr>
          <w:color w:val="000000"/>
          <w:spacing w:val="2"/>
          <w:sz w:val="26"/>
          <w:szCs w:val="26"/>
        </w:rPr>
        <w:lastRenderedPageBreak/>
        <w:t>investment in these facilities under the pilot will be limited to $1.3 million: approximately $650,000 of this investment will be capital investment in front of and including the meter, and approximately $650,000 will be expense investment in the form of rebates behind the meter.  The Company will be permitted to capitalize all costs for infrastructure in front of and including the meter.  The Company will be permitted to provide a rebate for costs for infrastructure behind the meter and will be permitted to record these rebate costs as a regulatory asset.  The Company will provide a report in</w:t>
      </w:r>
      <w:r>
        <w:rPr>
          <w:color w:val="000000"/>
          <w:spacing w:val="2"/>
          <w:sz w:val="26"/>
          <w:szCs w:val="26"/>
        </w:rPr>
        <w:t xml:space="preserve"> </w:t>
      </w:r>
      <w:r w:rsidRPr="00DF5FBD">
        <w:rPr>
          <w:color w:val="000000"/>
          <w:spacing w:val="1"/>
          <w:sz w:val="26"/>
          <w:szCs w:val="26"/>
        </w:rPr>
        <w:t>its next base rate proceeding.</w:t>
      </w:r>
      <w:r>
        <w:rPr>
          <w:color w:val="000000"/>
          <w:spacing w:val="1"/>
          <w:sz w:val="26"/>
          <w:szCs w:val="26"/>
        </w:rPr>
        <w:t xml:space="preserve">  </w:t>
      </w:r>
      <w:r w:rsidRPr="00DF5FBD">
        <w:rPr>
          <w:color w:val="000000"/>
          <w:spacing w:val="1"/>
          <w:sz w:val="26"/>
          <w:szCs w:val="26"/>
        </w:rPr>
        <w:t>The report will evaluate customer participation and feedback, public access to charging stations and charger station usage and identify the charging station revenues received by the Company from charging station owners.</w:t>
      </w:r>
      <w:r>
        <w:rPr>
          <w:color w:val="000000"/>
          <w:spacing w:val="1"/>
          <w:sz w:val="26"/>
          <w:szCs w:val="26"/>
        </w:rPr>
        <w:t xml:space="preserve"> </w:t>
      </w:r>
      <w:r w:rsidRPr="00DF5FBD">
        <w:rPr>
          <w:color w:val="000000"/>
          <w:spacing w:val="1"/>
          <w:sz w:val="26"/>
          <w:szCs w:val="26"/>
        </w:rPr>
        <w:t xml:space="preserve"> Report results will be broken down by year. </w:t>
      </w:r>
      <w:r>
        <w:rPr>
          <w:color w:val="000000"/>
          <w:spacing w:val="1"/>
          <w:sz w:val="26"/>
          <w:szCs w:val="26"/>
        </w:rPr>
        <w:t xml:space="preserve"> </w:t>
      </w:r>
      <w:r w:rsidRPr="00DF5FBD">
        <w:rPr>
          <w:color w:val="000000"/>
          <w:spacing w:val="1"/>
          <w:sz w:val="26"/>
          <w:szCs w:val="26"/>
        </w:rPr>
        <w:t>Determination of the appropriate method of cost recovery for the behind the meter Level 2 rebate costs will be deferred to the Company</w:t>
      </w:r>
      <w:r w:rsidR="001E73FA">
        <w:rPr>
          <w:color w:val="000000"/>
          <w:spacing w:val="1"/>
          <w:sz w:val="26"/>
          <w:szCs w:val="26"/>
        </w:rPr>
        <w:t>’</w:t>
      </w:r>
      <w:r w:rsidRPr="00DF5FBD">
        <w:rPr>
          <w:color w:val="000000"/>
          <w:spacing w:val="1"/>
          <w:sz w:val="26"/>
          <w:szCs w:val="26"/>
        </w:rPr>
        <w:t>s next base rate case.</w:t>
      </w:r>
    </w:p>
    <w:p w:rsidR="00D65054" w:rsidRPr="00DF5FBD" w:rsidRDefault="00D65054" w:rsidP="007D3734">
      <w:pPr>
        <w:widowControl/>
        <w:spacing w:before="2"/>
        <w:ind w:left="2880" w:right="1440" w:hanging="720"/>
        <w:contextualSpacing/>
        <w:textAlignment w:val="baseline"/>
        <w:rPr>
          <w:color w:val="000000"/>
          <w:spacing w:val="1"/>
          <w:sz w:val="26"/>
          <w:szCs w:val="26"/>
        </w:rPr>
      </w:pPr>
    </w:p>
    <w:p w:rsidR="00D65054" w:rsidRDefault="00D65054" w:rsidP="007D3734">
      <w:pPr>
        <w:widowControl/>
        <w:ind w:left="2880" w:right="1440" w:hanging="720"/>
        <w:contextualSpacing/>
        <w:rPr>
          <w:sz w:val="26"/>
          <w:szCs w:val="26"/>
        </w:rPr>
      </w:pPr>
      <w:r>
        <w:rPr>
          <w:color w:val="000000"/>
          <w:sz w:val="26"/>
          <w:szCs w:val="26"/>
        </w:rPr>
        <w:t>c.</w:t>
      </w:r>
      <w:r>
        <w:rPr>
          <w:color w:val="000000"/>
          <w:sz w:val="26"/>
          <w:szCs w:val="26"/>
        </w:rPr>
        <w:tab/>
      </w:r>
      <w:r w:rsidRPr="000822B4">
        <w:rPr>
          <w:color w:val="000000"/>
          <w:sz w:val="26"/>
          <w:szCs w:val="26"/>
        </w:rPr>
        <w:t>Customer education costs with regard to the EV Pilot in this proceeding are reduced to $200,000 to reflect the reduction in scope of the pilot in this settlement.</w:t>
      </w:r>
    </w:p>
    <w:p w:rsidR="00D65054" w:rsidRDefault="00D65054" w:rsidP="007D3734">
      <w:pPr>
        <w:widowControl/>
        <w:ind w:left="2880" w:hanging="720"/>
        <w:contextualSpacing/>
        <w:rPr>
          <w:sz w:val="26"/>
          <w:szCs w:val="26"/>
        </w:rPr>
      </w:pPr>
    </w:p>
    <w:p w:rsidR="00D65054" w:rsidRPr="000822B4" w:rsidRDefault="00D65054" w:rsidP="007D3734">
      <w:pPr>
        <w:widowControl/>
        <w:tabs>
          <w:tab w:val="left" w:pos="432"/>
        </w:tabs>
        <w:spacing w:before="247"/>
        <w:ind w:left="2880" w:right="1440" w:hanging="720"/>
        <w:contextualSpacing/>
        <w:textAlignment w:val="baseline"/>
        <w:rPr>
          <w:color w:val="000000"/>
          <w:spacing w:val="1"/>
          <w:sz w:val="26"/>
          <w:szCs w:val="26"/>
        </w:rPr>
      </w:pPr>
      <w:r>
        <w:rPr>
          <w:sz w:val="26"/>
          <w:szCs w:val="26"/>
        </w:rPr>
        <w:t>d.</w:t>
      </w:r>
      <w:r>
        <w:rPr>
          <w:sz w:val="26"/>
          <w:szCs w:val="26"/>
        </w:rPr>
        <w:tab/>
      </w:r>
      <w:r w:rsidRPr="000822B4">
        <w:rPr>
          <w:color w:val="000000"/>
          <w:spacing w:val="1"/>
          <w:sz w:val="26"/>
          <w:szCs w:val="26"/>
        </w:rPr>
        <w:t>The Company will assess the EV Pilot data and develop a plan for an EV load management program to be proposed in its next base rate case proceeding.</w:t>
      </w:r>
    </w:p>
    <w:p w:rsidR="00D65054" w:rsidRDefault="00D65054" w:rsidP="007D3734">
      <w:pPr>
        <w:widowControl/>
        <w:ind w:left="2880" w:hanging="720"/>
        <w:contextualSpacing/>
        <w:rPr>
          <w:sz w:val="26"/>
          <w:szCs w:val="26"/>
        </w:rPr>
      </w:pPr>
    </w:p>
    <w:p w:rsidR="00D65054" w:rsidRPr="000822B4" w:rsidRDefault="00D65054" w:rsidP="007D3734">
      <w:pPr>
        <w:widowControl/>
        <w:tabs>
          <w:tab w:val="left" w:pos="432"/>
        </w:tabs>
        <w:spacing w:before="242"/>
        <w:ind w:left="2880" w:right="1440" w:hanging="720"/>
        <w:contextualSpacing/>
        <w:textAlignment w:val="baseline"/>
        <w:rPr>
          <w:color w:val="000000"/>
          <w:sz w:val="26"/>
          <w:szCs w:val="26"/>
        </w:rPr>
      </w:pPr>
      <w:r>
        <w:rPr>
          <w:sz w:val="26"/>
          <w:szCs w:val="26"/>
        </w:rPr>
        <w:t>e.</w:t>
      </w:r>
      <w:r>
        <w:rPr>
          <w:sz w:val="26"/>
          <w:szCs w:val="26"/>
        </w:rPr>
        <w:tab/>
      </w:r>
      <w:r w:rsidRPr="000822B4">
        <w:rPr>
          <w:color w:val="000000"/>
          <w:sz w:val="26"/>
          <w:szCs w:val="26"/>
        </w:rPr>
        <w:t xml:space="preserve">Customer Electric Vehicle Registration Incentives in this proceeding are reduced to $70,000 per year. </w:t>
      </w:r>
      <w:r>
        <w:rPr>
          <w:color w:val="000000"/>
          <w:sz w:val="26"/>
          <w:szCs w:val="26"/>
        </w:rPr>
        <w:t xml:space="preserve"> </w:t>
      </w:r>
      <w:r w:rsidRPr="000822B4">
        <w:rPr>
          <w:color w:val="000000"/>
          <w:sz w:val="26"/>
          <w:szCs w:val="26"/>
        </w:rPr>
        <w:t>Any unused portion of the $70,000 per year will be addressed in the next base rate proceeding.</w:t>
      </w:r>
    </w:p>
    <w:p w:rsidR="00D65054" w:rsidRDefault="00D65054" w:rsidP="007D3734">
      <w:pPr>
        <w:widowControl/>
        <w:ind w:left="2880" w:hanging="720"/>
        <w:contextualSpacing/>
        <w:rPr>
          <w:sz w:val="26"/>
          <w:szCs w:val="26"/>
        </w:rPr>
      </w:pPr>
    </w:p>
    <w:p w:rsidR="00D65054" w:rsidRPr="000822B4" w:rsidRDefault="00D65054" w:rsidP="007D3734">
      <w:pPr>
        <w:widowControl/>
        <w:tabs>
          <w:tab w:val="left" w:pos="432"/>
        </w:tabs>
        <w:spacing w:before="245"/>
        <w:ind w:left="2880" w:right="1440" w:hanging="720"/>
        <w:contextualSpacing/>
        <w:textAlignment w:val="baseline"/>
        <w:rPr>
          <w:color w:val="000000"/>
          <w:sz w:val="26"/>
          <w:szCs w:val="26"/>
        </w:rPr>
      </w:pPr>
      <w:r>
        <w:rPr>
          <w:sz w:val="26"/>
          <w:szCs w:val="26"/>
        </w:rPr>
        <w:t>f.</w:t>
      </w:r>
      <w:r>
        <w:rPr>
          <w:sz w:val="26"/>
          <w:szCs w:val="26"/>
        </w:rPr>
        <w:tab/>
      </w:r>
      <w:r w:rsidRPr="000822B4">
        <w:rPr>
          <w:color w:val="000000"/>
          <w:sz w:val="26"/>
          <w:szCs w:val="26"/>
        </w:rPr>
        <w:t xml:space="preserve">The Company will develop annual public reports, submitted to the Commission, to track </w:t>
      </w:r>
      <w:r w:rsidRPr="000822B4">
        <w:rPr>
          <w:color w:val="000000"/>
          <w:sz w:val="26"/>
          <w:szCs w:val="26"/>
        </w:rPr>
        <w:lastRenderedPageBreak/>
        <w:t>the progress of the EV Pilot implementation. Metrics include:</w:t>
      </w:r>
    </w:p>
    <w:p w:rsidR="00D65054" w:rsidRDefault="00D65054" w:rsidP="007D3734">
      <w:pPr>
        <w:widowControl/>
        <w:contextualSpacing/>
        <w:rPr>
          <w:sz w:val="26"/>
          <w:szCs w:val="26"/>
        </w:rPr>
      </w:pPr>
    </w:p>
    <w:p w:rsidR="00D65054" w:rsidRPr="000822B4" w:rsidRDefault="00D65054" w:rsidP="007D3734">
      <w:pPr>
        <w:widowControl/>
        <w:tabs>
          <w:tab w:val="left" w:pos="1080"/>
        </w:tabs>
        <w:spacing w:before="247"/>
        <w:ind w:left="3600" w:right="1440" w:hanging="720"/>
        <w:contextualSpacing/>
        <w:textAlignment w:val="baseline"/>
        <w:rPr>
          <w:color w:val="000000"/>
          <w:sz w:val="26"/>
          <w:szCs w:val="26"/>
        </w:rPr>
      </w:pPr>
      <w:r>
        <w:rPr>
          <w:color w:val="000000"/>
          <w:sz w:val="26"/>
          <w:szCs w:val="26"/>
        </w:rPr>
        <w:t>i.</w:t>
      </w:r>
      <w:r>
        <w:rPr>
          <w:color w:val="000000"/>
          <w:sz w:val="26"/>
          <w:szCs w:val="26"/>
        </w:rPr>
        <w:tab/>
      </w:r>
      <w:r w:rsidRPr="000822B4">
        <w:rPr>
          <w:color w:val="000000"/>
          <w:sz w:val="26"/>
          <w:szCs w:val="26"/>
        </w:rPr>
        <w:t>Charging infrastructure deployed over time, including by location and date of activation;</w:t>
      </w:r>
    </w:p>
    <w:p w:rsidR="00D65054" w:rsidRDefault="00D65054" w:rsidP="007D3734">
      <w:pPr>
        <w:widowControl/>
        <w:ind w:right="1440"/>
        <w:contextualSpacing/>
        <w:rPr>
          <w:sz w:val="26"/>
          <w:szCs w:val="26"/>
        </w:rPr>
      </w:pPr>
    </w:p>
    <w:p w:rsidR="00D65054" w:rsidRDefault="00D65054" w:rsidP="007D3734">
      <w:pPr>
        <w:widowControl/>
        <w:spacing w:before="243"/>
        <w:ind w:left="3600" w:right="1440" w:hanging="720"/>
        <w:contextualSpacing/>
        <w:textAlignment w:val="baseline"/>
        <w:rPr>
          <w:color w:val="000000"/>
          <w:sz w:val="26"/>
          <w:szCs w:val="26"/>
        </w:rPr>
      </w:pPr>
      <w:r>
        <w:rPr>
          <w:color w:val="000000"/>
          <w:sz w:val="26"/>
          <w:szCs w:val="26"/>
        </w:rPr>
        <w:t>ii.</w:t>
      </w:r>
      <w:r>
        <w:rPr>
          <w:color w:val="000000"/>
          <w:sz w:val="26"/>
          <w:szCs w:val="26"/>
        </w:rPr>
        <w:tab/>
      </w:r>
      <w:r w:rsidRPr="00B441A0">
        <w:rPr>
          <w:color w:val="000000"/>
          <w:sz w:val="26"/>
          <w:szCs w:val="26"/>
        </w:rPr>
        <w:t>Charging infrastructure installation costs by site type (broken out by capital and rebate costs);</w:t>
      </w:r>
    </w:p>
    <w:p w:rsidR="00D65054" w:rsidRPr="00B441A0" w:rsidRDefault="00D65054" w:rsidP="007D3734">
      <w:pPr>
        <w:widowControl/>
        <w:spacing w:before="243"/>
        <w:ind w:left="3600" w:right="1440" w:hanging="720"/>
        <w:contextualSpacing/>
        <w:textAlignment w:val="baseline"/>
        <w:rPr>
          <w:color w:val="000000"/>
          <w:sz w:val="26"/>
          <w:szCs w:val="26"/>
        </w:rPr>
      </w:pPr>
    </w:p>
    <w:p w:rsidR="00D65054" w:rsidRPr="00B441A0" w:rsidRDefault="00D65054" w:rsidP="007D3734">
      <w:pPr>
        <w:widowControl/>
        <w:spacing w:before="244"/>
        <w:ind w:left="3600" w:right="1440" w:hanging="720"/>
        <w:contextualSpacing/>
        <w:textAlignment w:val="baseline"/>
        <w:rPr>
          <w:color w:val="000000"/>
          <w:sz w:val="26"/>
          <w:szCs w:val="26"/>
        </w:rPr>
      </w:pPr>
      <w:r>
        <w:rPr>
          <w:color w:val="000000"/>
          <w:sz w:val="26"/>
          <w:szCs w:val="26"/>
        </w:rPr>
        <w:t>iii.</w:t>
      </w:r>
      <w:r>
        <w:rPr>
          <w:color w:val="000000"/>
          <w:sz w:val="26"/>
          <w:szCs w:val="26"/>
        </w:rPr>
        <w:tab/>
      </w:r>
      <w:r w:rsidRPr="00B441A0">
        <w:rPr>
          <w:color w:val="000000"/>
          <w:sz w:val="26"/>
          <w:szCs w:val="26"/>
        </w:rPr>
        <w:t>For all charging stations deployed through the EV Pilot: the usage rate by site type and charger type;</w:t>
      </w:r>
    </w:p>
    <w:p w:rsidR="00D65054" w:rsidRDefault="00D65054" w:rsidP="007D3734">
      <w:pPr>
        <w:widowControl/>
        <w:ind w:right="1440"/>
        <w:contextualSpacing/>
        <w:rPr>
          <w:color w:val="000000"/>
          <w:spacing w:val="2"/>
          <w:sz w:val="26"/>
          <w:szCs w:val="26"/>
        </w:rPr>
      </w:pPr>
    </w:p>
    <w:p w:rsidR="00D65054" w:rsidRDefault="00D65054" w:rsidP="007D3734">
      <w:pPr>
        <w:widowControl/>
        <w:ind w:left="3600" w:right="1440" w:hanging="720"/>
        <w:contextualSpacing/>
        <w:rPr>
          <w:sz w:val="26"/>
          <w:szCs w:val="26"/>
        </w:rPr>
      </w:pPr>
      <w:r>
        <w:rPr>
          <w:color w:val="000000"/>
          <w:spacing w:val="2"/>
          <w:sz w:val="26"/>
          <w:szCs w:val="26"/>
        </w:rPr>
        <w:t>iv.</w:t>
      </w:r>
      <w:r>
        <w:rPr>
          <w:color w:val="000000"/>
          <w:spacing w:val="2"/>
          <w:sz w:val="26"/>
          <w:szCs w:val="26"/>
        </w:rPr>
        <w:tab/>
      </w:r>
      <w:r w:rsidRPr="00B441A0">
        <w:rPr>
          <w:color w:val="000000"/>
          <w:spacing w:val="2"/>
          <w:sz w:val="26"/>
          <w:szCs w:val="26"/>
        </w:rPr>
        <w:t>Estimated avoided air emissions resulting from the programs.</w:t>
      </w:r>
    </w:p>
    <w:p w:rsidR="00D65054" w:rsidRDefault="00D65054" w:rsidP="007D3734">
      <w:pPr>
        <w:widowControl/>
        <w:contextualSpacing/>
        <w:rPr>
          <w:sz w:val="26"/>
          <w:szCs w:val="26"/>
        </w:rPr>
      </w:pPr>
    </w:p>
    <w:p w:rsidR="00D65054" w:rsidRPr="000822B4" w:rsidRDefault="00D65054" w:rsidP="007D3734">
      <w:pPr>
        <w:widowControl/>
        <w:spacing w:before="284"/>
        <w:ind w:left="1440" w:right="1440"/>
        <w:contextualSpacing/>
        <w:textAlignment w:val="baseline"/>
        <w:rPr>
          <w:color w:val="000000"/>
          <w:sz w:val="26"/>
          <w:szCs w:val="26"/>
        </w:rPr>
      </w:pPr>
      <w:r>
        <w:rPr>
          <w:color w:val="000000"/>
          <w:sz w:val="26"/>
          <w:szCs w:val="26"/>
        </w:rPr>
        <w:tab/>
      </w:r>
      <w:r w:rsidRPr="00E02CBE">
        <w:rPr>
          <w:color w:val="000000"/>
          <w:sz w:val="26"/>
          <w:szCs w:val="26"/>
        </w:rPr>
        <w:t>46.</w:t>
      </w:r>
      <w:r w:rsidRPr="00E02CBE">
        <w:rPr>
          <w:color w:val="000000"/>
          <w:sz w:val="26"/>
          <w:szCs w:val="26"/>
        </w:rPr>
        <w:tab/>
        <w:t>Duquesne Light</w:t>
      </w:r>
      <w:r w:rsidR="001E73FA">
        <w:rPr>
          <w:color w:val="000000"/>
          <w:sz w:val="26"/>
          <w:szCs w:val="26"/>
        </w:rPr>
        <w:t>’</w:t>
      </w:r>
      <w:r w:rsidRPr="00E02CBE">
        <w:rPr>
          <w:color w:val="000000"/>
          <w:sz w:val="26"/>
          <w:szCs w:val="26"/>
        </w:rPr>
        <w:t>s revised Light Emitting Diode (</w:t>
      </w:r>
      <w:r w:rsidR="001E73FA">
        <w:rPr>
          <w:color w:val="000000"/>
          <w:sz w:val="26"/>
          <w:szCs w:val="26"/>
        </w:rPr>
        <w:t>“</w:t>
      </w:r>
      <w:r w:rsidRPr="00E02CBE">
        <w:rPr>
          <w:color w:val="000000"/>
          <w:sz w:val="26"/>
          <w:szCs w:val="26"/>
        </w:rPr>
        <w:t>LED</w:t>
      </w:r>
      <w:r w:rsidR="001E73FA">
        <w:rPr>
          <w:color w:val="000000"/>
          <w:sz w:val="26"/>
          <w:szCs w:val="26"/>
        </w:rPr>
        <w:t>”</w:t>
      </w:r>
      <w:r w:rsidRPr="00E02CBE">
        <w:rPr>
          <w:color w:val="000000"/>
          <w:sz w:val="26"/>
          <w:szCs w:val="26"/>
        </w:rPr>
        <w:t>) Street Light Program, as</w:t>
      </w:r>
      <w:r>
        <w:rPr>
          <w:color w:val="000000"/>
          <w:sz w:val="26"/>
          <w:szCs w:val="26"/>
        </w:rPr>
        <w:t xml:space="preserve"> </w:t>
      </w:r>
      <w:r w:rsidRPr="000822B4">
        <w:rPr>
          <w:color w:val="000000"/>
          <w:sz w:val="26"/>
          <w:szCs w:val="26"/>
        </w:rPr>
        <w:t>explained in Duquesne Light Statement No. 6 and as set forth in Rate SM of the Company</w:t>
      </w:r>
      <w:r w:rsidR="001E73FA">
        <w:rPr>
          <w:color w:val="000000"/>
          <w:sz w:val="26"/>
          <w:szCs w:val="26"/>
        </w:rPr>
        <w:t>’</w:t>
      </w:r>
      <w:r w:rsidRPr="000822B4">
        <w:rPr>
          <w:color w:val="000000"/>
          <w:sz w:val="26"/>
          <w:szCs w:val="26"/>
        </w:rPr>
        <w:t>s tariff Supplement No. 174, is approved.</w:t>
      </w:r>
      <w:r>
        <w:rPr>
          <w:color w:val="000000"/>
          <w:sz w:val="26"/>
          <w:szCs w:val="26"/>
        </w:rPr>
        <w:t xml:space="preserve"> </w:t>
      </w:r>
      <w:r w:rsidRPr="000822B4">
        <w:rPr>
          <w:color w:val="000000"/>
          <w:sz w:val="26"/>
          <w:szCs w:val="26"/>
        </w:rPr>
        <w:t xml:space="preserve"> See Duquesne Light Exhibit No. DBO-1.</w:t>
      </w:r>
    </w:p>
    <w:p w:rsidR="00D65054" w:rsidRDefault="00D65054" w:rsidP="007D3734">
      <w:pPr>
        <w:widowControl/>
        <w:contextualSpacing/>
        <w:rPr>
          <w:sz w:val="26"/>
          <w:szCs w:val="26"/>
        </w:rPr>
      </w:pPr>
    </w:p>
    <w:p w:rsidR="00D65054" w:rsidRPr="000822B4" w:rsidRDefault="00D65054" w:rsidP="007D3734">
      <w:pPr>
        <w:widowControl/>
        <w:spacing w:before="10"/>
        <w:ind w:left="1440" w:right="1440"/>
        <w:contextualSpacing/>
        <w:textAlignment w:val="baseline"/>
        <w:rPr>
          <w:color w:val="000000"/>
          <w:sz w:val="26"/>
          <w:szCs w:val="26"/>
        </w:rPr>
      </w:pPr>
      <w:r w:rsidRPr="000822B4">
        <w:rPr>
          <w:color w:val="000000"/>
          <w:sz w:val="26"/>
          <w:szCs w:val="26"/>
        </w:rPr>
        <w:tab/>
        <w:t>47.</w:t>
      </w:r>
      <w:r w:rsidRPr="000822B4">
        <w:rPr>
          <w:color w:val="000000"/>
          <w:sz w:val="26"/>
          <w:szCs w:val="26"/>
        </w:rPr>
        <w:tab/>
        <w:t>Duquesne Light</w:t>
      </w:r>
      <w:r w:rsidR="001E73FA">
        <w:rPr>
          <w:color w:val="000000"/>
          <w:sz w:val="26"/>
          <w:szCs w:val="26"/>
        </w:rPr>
        <w:t>’</w:t>
      </w:r>
      <w:r w:rsidRPr="000822B4">
        <w:rPr>
          <w:color w:val="000000"/>
          <w:sz w:val="26"/>
          <w:szCs w:val="26"/>
        </w:rPr>
        <w:t>s proposed fee free bank card payment program, as described in DLC Statement No. 7, is approved.</w:t>
      </w:r>
    </w:p>
    <w:p w:rsidR="00D65054" w:rsidRDefault="00D65054" w:rsidP="007D3734">
      <w:pPr>
        <w:widowControl/>
        <w:contextualSpacing/>
        <w:rPr>
          <w:sz w:val="26"/>
          <w:szCs w:val="26"/>
        </w:rPr>
      </w:pPr>
    </w:p>
    <w:p w:rsidR="00D65054" w:rsidRPr="000822B4" w:rsidRDefault="00D65054" w:rsidP="007D3734">
      <w:pPr>
        <w:widowControl/>
        <w:spacing w:before="276"/>
        <w:ind w:left="1440" w:right="1440"/>
        <w:contextualSpacing/>
        <w:textAlignment w:val="baseline"/>
        <w:rPr>
          <w:color w:val="000000"/>
          <w:sz w:val="26"/>
          <w:szCs w:val="26"/>
        </w:rPr>
      </w:pPr>
      <w:r>
        <w:rPr>
          <w:color w:val="000000"/>
          <w:sz w:val="26"/>
          <w:szCs w:val="26"/>
        </w:rPr>
        <w:tab/>
        <w:t>48.</w:t>
      </w:r>
      <w:r>
        <w:rPr>
          <w:color w:val="000000"/>
          <w:sz w:val="26"/>
          <w:szCs w:val="26"/>
        </w:rPr>
        <w:tab/>
      </w:r>
      <w:r w:rsidRPr="000822B4">
        <w:rPr>
          <w:color w:val="000000"/>
          <w:sz w:val="26"/>
          <w:szCs w:val="26"/>
        </w:rPr>
        <w:t>Duquesne Light withdraws its Woods Run Microgrid proposal without prejudice.</w:t>
      </w:r>
    </w:p>
    <w:p w:rsidR="00D65054" w:rsidRDefault="00D65054" w:rsidP="007D3734">
      <w:pPr>
        <w:widowControl/>
        <w:ind w:left="1440" w:right="1440"/>
        <w:contextualSpacing/>
        <w:rPr>
          <w:sz w:val="26"/>
          <w:szCs w:val="26"/>
        </w:rPr>
      </w:pPr>
    </w:p>
    <w:p w:rsidR="00D65054" w:rsidRPr="00D61FD2" w:rsidRDefault="00D65054" w:rsidP="007D3734">
      <w:pPr>
        <w:widowControl/>
        <w:ind w:left="2160" w:right="1440" w:hanging="720"/>
        <w:contextualSpacing/>
        <w:rPr>
          <w:b/>
          <w:sz w:val="26"/>
          <w:szCs w:val="26"/>
        </w:rPr>
      </w:pPr>
      <w:r>
        <w:rPr>
          <w:b/>
          <w:sz w:val="26"/>
          <w:szCs w:val="26"/>
        </w:rPr>
        <w:t>C.</w:t>
      </w:r>
      <w:r>
        <w:rPr>
          <w:b/>
          <w:sz w:val="26"/>
          <w:szCs w:val="26"/>
        </w:rPr>
        <w:tab/>
        <w:t>REVENUE ALLOCATION AND RATE DESIGN INCLUDING CUSTOMER CHARGE</w:t>
      </w:r>
    </w:p>
    <w:p w:rsidR="00D65054" w:rsidRDefault="00D65054" w:rsidP="007D3734">
      <w:pPr>
        <w:widowControl/>
        <w:contextualSpacing/>
        <w:rPr>
          <w:sz w:val="26"/>
          <w:szCs w:val="26"/>
        </w:rPr>
      </w:pPr>
    </w:p>
    <w:p w:rsidR="00D65054" w:rsidRPr="00D61FD2" w:rsidRDefault="00D65054" w:rsidP="007D3734">
      <w:pPr>
        <w:widowControl/>
        <w:spacing w:before="243"/>
        <w:ind w:left="1440" w:right="1440"/>
        <w:contextualSpacing/>
        <w:textAlignment w:val="baseline"/>
        <w:rPr>
          <w:color w:val="000000"/>
          <w:spacing w:val="4"/>
          <w:sz w:val="26"/>
          <w:szCs w:val="26"/>
        </w:rPr>
      </w:pPr>
      <w:r>
        <w:rPr>
          <w:color w:val="000000"/>
          <w:sz w:val="26"/>
          <w:szCs w:val="26"/>
        </w:rPr>
        <w:tab/>
      </w:r>
      <w:r w:rsidRPr="00D61FD2">
        <w:rPr>
          <w:color w:val="000000"/>
          <w:sz w:val="26"/>
          <w:szCs w:val="26"/>
        </w:rPr>
        <w:t>49.</w:t>
      </w:r>
      <w:r w:rsidRPr="00D61FD2">
        <w:rPr>
          <w:color w:val="000000"/>
          <w:sz w:val="26"/>
          <w:szCs w:val="26"/>
        </w:rPr>
        <w:tab/>
        <w:t xml:space="preserve">The revenue allocation to each class at the net settlement increase of $40.5 million </w:t>
      </w:r>
      <w:r w:rsidRPr="00D61FD2">
        <w:rPr>
          <w:color w:val="000000"/>
          <w:spacing w:val="4"/>
          <w:sz w:val="26"/>
          <w:szCs w:val="26"/>
        </w:rPr>
        <w:t xml:space="preserve">is reflected in </w:t>
      </w:r>
      <w:r w:rsidRPr="00D61FD2">
        <w:rPr>
          <w:b/>
          <w:color w:val="000000"/>
          <w:spacing w:val="4"/>
          <w:sz w:val="26"/>
          <w:szCs w:val="26"/>
        </w:rPr>
        <w:t>Appendix E</w:t>
      </w:r>
      <w:r w:rsidRPr="00D61FD2">
        <w:rPr>
          <w:color w:val="000000"/>
          <w:spacing w:val="4"/>
          <w:sz w:val="26"/>
          <w:szCs w:val="26"/>
        </w:rPr>
        <w:t>.</w:t>
      </w:r>
    </w:p>
    <w:p w:rsidR="00D65054" w:rsidRDefault="00D65054" w:rsidP="007D3734">
      <w:pPr>
        <w:widowControl/>
        <w:spacing w:before="243"/>
        <w:ind w:left="1440" w:right="1440"/>
        <w:contextualSpacing/>
        <w:textAlignment w:val="baseline"/>
        <w:rPr>
          <w:color w:val="000000"/>
          <w:spacing w:val="4"/>
          <w:sz w:val="26"/>
          <w:szCs w:val="26"/>
        </w:rPr>
      </w:pPr>
    </w:p>
    <w:p w:rsidR="00D65054" w:rsidRPr="00D61FD2" w:rsidRDefault="00D65054" w:rsidP="007D3734">
      <w:pPr>
        <w:widowControl/>
        <w:spacing w:before="243"/>
        <w:ind w:left="1440" w:right="1440"/>
        <w:contextualSpacing/>
        <w:textAlignment w:val="baseline"/>
        <w:rPr>
          <w:color w:val="000000"/>
          <w:spacing w:val="4"/>
          <w:sz w:val="26"/>
          <w:szCs w:val="26"/>
        </w:rPr>
      </w:pPr>
      <w:r>
        <w:rPr>
          <w:color w:val="000000"/>
          <w:spacing w:val="4"/>
          <w:sz w:val="26"/>
          <w:szCs w:val="26"/>
        </w:rPr>
        <w:tab/>
        <w:t>50.</w:t>
      </w:r>
      <w:r>
        <w:rPr>
          <w:color w:val="000000"/>
          <w:spacing w:val="4"/>
          <w:sz w:val="26"/>
          <w:szCs w:val="26"/>
        </w:rPr>
        <w:tab/>
        <w:t>The fixed monthly charge for Rates RS, RA, RH and GS will be increased from $10.00 per month to $12.50 per month</w:t>
      </w:r>
    </w:p>
    <w:p w:rsidR="00D65054" w:rsidRDefault="00D65054" w:rsidP="007D3734">
      <w:pPr>
        <w:widowControl/>
        <w:ind w:left="1440" w:right="1440"/>
        <w:contextualSpacing/>
        <w:rPr>
          <w:sz w:val="26"/>
          <w:szCs w:val="26"/>
        </w:rPr>
      </w:pPr>
    </w:p>
    <w:p w:rsidR="00D65054" w:rsidRPr="00D61FD2" w:rsidRDefault="00D65054" w:rsidP="007D3734">
      <w:pPr>
        <w:keepNext/>
        <w:keepLines/>
        <w:widowControl/>
        <w:ind w:left="2160" w:right="1440" w:hanging="720"/>
        <w:contextualSpacing/>
        <w:rPr>
          <w:b/>
          <w:sz w:val="26"/>
          <w:szCs w:val="26"/>
        </w:rPr>
      </w:pPr>
      <w:r>
        <w:rPr>
          <w:b/>
          <w:sz w:val="26"/>
          <w:szCs w:val="26"/>
        </w:rPr>
        <w:lastRenderedPageBreak/>
        <w:t>D.</w:t>
      </w:r>
      <w:r>
        <w:rPr>
          <w:b/>
          <w:sz w:val="26"/>
          <w:szCs w:val="26"/>
        </w:rPr>
        <w:tab/>
        <w:t>UNIVERSAL SERVICE, CUSTOMER SERVICE, TIME OF USE SERVICE AND MASTER METERING</w:t>
      </w:r>
    </w:p>
    <w:p w:rsidR="00D65054" w:rsidRDefault="00D65054" w:rsidP="007D3734">
      <w:pPr>
        <w:keepNext/>
        <w:keepLines/>
        <w:widowControl/>
        <w:spacing w:before="244" w:line="360" w:lineRule="auto"/>
        <w:contextualSpacing/>
        <w:textAlignment w:val="baseline"/>
        <w:rPr>
          <w:color w:val="000000"/>
          <w:sz w:val="26"/>
          <w:szCs w:val="26"/>
        </w:rPr>
      </w:pPr>
    </w:p>
    <w:p w:rsidR="00D65054" w:rsidRPr="000822B4" w:rsidRDefault="00D65054" w:rsidP="007D3734">
      <w:pPr>
        <w:widowControl/>
        <w:spacing w:before="244"/>
        <w:ind w:left="1440" w:right="1440"/>
        <w:contextualSpacing/>
        <w:textAlignment w:val="baseline"/>
        <w:rPr>
          <w:color w:val="000000"/>
          <w:spacing w:val="2"/>
          <w:sz w:val="26"/>
          <w:szCs w:val="26"/>
        </w:rPr>
      </w:pPr>
      <w:r>
        <w:rPr>
          <w:color w:val="000000"/>
          <w:sz w:val="26"/>
          <w:szCs w:val="26"/>
        </w:rPr>
        <w:tab/>
      </w:r>
      <w:r w:rsidRPr="000822B4">
        <w:rPr>
          <w:color w:val="000000"/>
          <w:sz w:val="26"/>
          <w:szCs w:val="26"/>
        </w:rPr>
        <w:t>51.</w:t>
      </w:r>
      <w:r w:rsidRPr="000822B4">
        <w:rPr>
          <w:color w:val="000000"/>
          <w:sz w:val="26"/>
          <w:szCs w:val="26"/>
        </w:rPr>
        <w:tab/>
        <w:t xml:space="preserve">Duquesne Light agrees that its proposal to remove the phrase </w:t>
      </w:r>
      <w:r w:rsidR="001E73FA">
        <w:rPr>
          <w:color w:val="000000"/>
          <w:sz w:val="26"/>
          <w:szCs w:val="26"/>
        </w:rPr>
        <w:t>“</w:t>
      </w:r>
      <w:r w:rsidRPr="000822B4">
        <w:rPr>
          <w:color w:val="000000"/>
          <w:sz w:val="26"/>
          <w:szCs w:val="26"/>
        </w:rPr>
        <w:t>for which service</w:t>
      </w:r>
      <w:r>
        <w:rPr>
          <w:color w:val="000000"/>
          <w:sz w:val="26"/>
          <w:szCs w:val="26"/>
        </w:rPr>
        <w:t xml:space="preserve"> </w:t>
      </w:r>
      <w:r w:rsidRPr="000822B4">
        <w:rPr>
          <w:color w:val="000000"/>
          <w:spacing w:val="2"/>
          <w:sz w:val="26"/>
          <w:szCs w:val="26"/>
        </w:rPr>
        <w:t>is requested</w:t>
      </w:r>
      <w:r w:rsidR="001E73FA">
        <w:rPr>
          <w:color w:val="000000"/>
          <w:spacing w:val="2"/>
          <w:sz w:val="26"/>
          <w:szCs w:val="26"/>
        </w:rPr>
        <w:t>”</w:t>
      </w:r>
      <w:r w:rsidRPr="000822B4">
        <w:rPr>
          <w:color w:val="000000"/>
          <w:spacing w:val="2"/>
          <w:sz w:val="26"/>
          <w:szCs w:val="26"/>
        </w:rPr>
        <w:t xml:space="preserve"> from its retail tariff Rule No. 5a is withdrawn.</w:t>
      </w:r>
    </w:p>
    <w:p w:rsidR="00D65054" w:rsidRDefault="00D65054" w:rsidP="007D3734">
      <w:pPr>
        <w:widowControl/>
        <w:ind w:left="1440" w:right="1440"/>
        <w:contextualSpacing/>
        <w:rPr>
          <w:sz w:val="26"/>
          <w:szCs w:val="26"/>
        </w:rPr>
      </w:pPr>
    </w:p>
    <w:p w:rsidR="00D65054" w:rsidRPr="001B5F0D" w:rsidRDefault="00D65054" w:rsidP="007D3734">
      <w:pPr>
        <w:widowControl/>
        <w:spacing w:before="11"/>
        <w:ind w:left="1440" w:right="1440"/>
        <w:contextualSpacing/>
        <w:textAlignment w:val="baseline"/>
        <w:rPr>
          <w:color w:val="000000"/>
          <w:sz w:val="26"/>
          <w:szCs w:val="26"/>
        </w:rPr>
      </w:pPr>
      <w:r>
        <w:rPr>
          <w:color w:val="000000"/>
          <w:spacing w:val="1"/>
          <w:sz w:val="26"/>
          <w:szCs w:val="26"/>
        </w:rPr>
        <w:tab/>
        <w:t>52.</w:t>
      </w:r>
      <w:r>
        <w:rPr>
          <w:color w:val="000000"/>
          <w:spacing w:val="1"/>
          <w:sz w:val="26"/>
          <w:szCs w:val="26"/>
        </w:rPr>
        <w:tab/>
      </w:r>
      <w:r w:rsidRPr="001B5F0D">
        <w:rPr>
          <w:color w:val="000000"/>
          <w:spacing w:val="1"/>
          <w:sz w:val="26"/>
          <w:szCs w:val="26"/>
        </w:rPr>
        <w:t xml:space="preserve">Within 120 days of the entry of a Commission order approving this settlement, Duquesne Light agrees to hold a non-confidential collaborative with all interested stakeholders to obtain stakeholder input regarding residential time-of-use rates.  Duquesne Light agrees to continue with a second non-confidential collaborative with all interested stakeholders to obtain additional stakeholder input regarding residential time-of-use rates within 30 to 60 days after its initial collaborative.  Duquesne Light agrees to consider in good faith the issues and suggestions raised in the collaboratives.  Duquesne Light agrees to make a proposal regarding time-of-use rates in its next default service rate filing, unless the Commission directs that Duquesne Light make a time-of-use rate filing prior to its next default service rate filing.  All parties retain all </w:t>
      </w:r>
      <w:r w:rsidRPr="001B5F0D">
        <w:rPr>
          <w:color w:val="000000"/>
          <w:sz w:val="26"/>
          <w:szCs w:val="26"/>
        </w:rPr>
        <w:t>rights to challenge the rates, terms and conditions proposed by Duquesne Light with regard to its time-of-use rates.  This paragraph 52 does not supersede any Commission directive relating to time-of-use rates that conflicts with the provisions herein.</w:t>
      </w:r>
    </w:p>
    <w:p w:rsidR="00D65054" w:rsidRDefault="00D65054" w:rsidP="007D3734">
      <w:pPr>
        <w:widowControl/>
        <w:ind w:left="1440" w:right="1440"/>
        <w:contextualSpacing/>
        <w:rPr>
          <w:sz w:val="26"/>
          <w:szCs w:val="26"/>
        </w:rPr>
      </w:pPr>
    </w:p>
    <w:p w:rsidR="00D65054" w:rsidRPr="001B5F0D" w:rsidRDefault="00D65054" w:rsidP="007D3734">
      <w:pPr>
        <w:widowControl/>
        <w:spacing w:before="11"/>
        <w:ind w:left="1440" w:right="1440"/>
        <w:contextualSpacing/>
        <w:textAlignment w:val="baseline"/>
        <w:rPr>
          <w:color w:val="000000"/>
          <w:sz w:val="26"/>
          <w:szCs w:val="26"/>
        </w:rPr>
      </w:pPr>
      <w:r>
        <w:rPr>
          <w:color w:val="000000"/>
          <w:sz w:val="26"/>
          <w:szCs w:val="26"/>
        </w:rPr>
        <w:tab/>
        <w:t>53.</w:t>
      </w:r>
      <w:r>
        <w:rPr>
          <w:color w:val="000000"/>
          <w:sz w:val="26"/>
          <w:szCs w:val="26"/>
        </w:rPr>
        <w:tab/>
      </w:r>
      <w:r w:rsidRPr="001B5F0D">
        <w:rPr>
          <w:color w:val="000000"/>
          <w:sz w:val="26"/>
          <w:szCs w:val="26"/>
        </w:rPr>
        <w:t>Duquesne Light intends to provide anonymized aggregate energy usage data for residential multifamily buildings that are 50,000 square feet or larger and will provide periodic updates to the Income Eligible Program Advisory Group regarding the status of implementation.  Duquesne Light further agrees to participate in any working group established by the City of Pittsburgh to address the issue of energy efficiency benchmarking for multifamily buildings.</w:t>
      </w:r>
    </w:p>
    <w:p w:rsidR="00D65054" w:rsidRDefault="00D65054" w:rsidP="007D3734">
      <w:pPr>
        <w:widowControl/>
        <w:ind w:left="1440" w:right="1440"/>
        <w:contextualSpacing/>
        <w:rPr>
          <w:sz w:val="26"/>
          <w:szCs w:val="26"/>
        </w:rPr>
      </w:pPr>
    </w:p>
    <w:p w:rsidR="00D65054" w:rsidRPr="001B5F0D" w:rsidRDefault="00D65054" w:rsidP="007D3734">
      <w:pPr>
        <w:widowControl/>
        <w:spacing w:before="7"/>
        <w:ind w:left="1440" w:right="1440"/>
        <w:contextualSpacing/>
        <w:textAlignment w:val="baseline"/>
        <w:rPr>
          <w:color w:val="000000"/>
          <w:spacing w:val="4"/>
          <w:sz w:val="26"/>
          <w:szCs w:val="26"/>
        </w:rPr>
      </w:pPr>
      <w:r>
        <w:rPr>
          <w:color w:val="000000"/>
          <w:spacing w:val="4"/>
          <w:sz w:val="26"/>
          <w:szCs w:val="26"/>
        </w:rPr>
        <w:tab/>
        <w:t>54.</w:t>
      </w:r>
      <w:r>
        <w:rPr>
          <w:color w:val="000000"/>
          <w:spacing w:val="4"/>
          <w:sz w:val="26"/>
          <w:szCs w:val="26"/>
        </w:rPr>
        <w:tab/>
      </w:r>
      <w:r w:rsidRPr="001B5F0D">
        <w:rPr>
          <w:color w:val="000000"/>
          <w:spacing w:val="4"/>
          <w:sz w:val="26"/>
          <w:szCs w:val="26"/>
        </w:rPr>
        <w:t>Starting with its 2019 program year, Duquesne Light will use its best efforts to ensure that 10% of its completed Low Income Usage Reduction Program (</w:t>
      </w:r>
      <w:r w:rsidR="001E73FA">
        <w:rPr>
          <w:color w:val="000000"/>
          <w:spacing w:val="4"/>
          <w:sz w:val="26"/>
          <w:szCs w:val="26"/>
        </w:rPr>
        <w:t>“</w:t>
      </w:r>
      <w:r w:rsidRPr="001B5F0D">
        <w:rPr>
          <w:color w:val="000000"/>
          <w:spacing w:val="4"/>
          <w:sz w:val="26"/>
          <w:szCs w:val="26"/>
        </w:rPr>
        <w:t>LIURP</w:t>
      </w:r>
      <w:r w:rsidR="001E73FA">
        <w:rPr>
          <w:color w:val="000000"/>
          <w:spacing w:val="4"/>
          <w:sz w:val="26"/>
          <w:szCs w:val="26"/>
        </w:rPr>
        <w:t>”</w:t>
      </w:r>
      <w:r w:rsidRPr="001B5F0D">
        <w:rPr>
          <w:color w:val="000000"/>
          <w:spacing w:val="4"/>
          <w:sz w:val="26"/>
          <w:szCs w:val="26"/>
        </w:rPr>
        <w:t xml:space="preserve">) jobs are for electric heating customers, and will </w:t>
      </w:r>
      <w:r w:rsidRPr="001B5F0D">
        <w:rPr>
          <w:color w:val="000000"/>
          <w:spacing w:val="4"/>
          <w:sz w:val="26"/>
          <w:szCs w:val="26"/>
        </w:rPr>
        <w:lastRenderedPageBreak/>
        <w:t>provide reports on its progress toward reaching that goal to members of its Income Eligible Advisory Group.  Duquesne Light will increase its LIURP budget by $140,740 annually to accommodate for the increased cost to remediate electric heating customer usage.  Duquesne Light agrees to review the list of customers with high Customer Assistance Program (</w:t>
      </w:r>
      <w:r w:rsidR="001E73FA">
        <w:rPr>
          <w:color w:val="000000"/>
          <w:spacing w:val="4"/>
          <w:sz w:val="26"/>
          <w:szCs w:val="26"/>
        </w:rPr>
        <w:t>“</w:t>
      </w:r>
      <w:r w:rsidRPr="001B5F0D">
        <w:rPr>
          <w:color w:val="000000"/>
          <w:spacing w:val="4"/>
          <w:sz w:val="26"/>
          <w:szCs w:val="26"/>
        </w:rPr>
        <w:t>CAP</w:t>
      </w:r>
      <w:r w:rsidR="001E73FA">
        <w:rPr>
          <w:color w:val="000000"/>
          <w:spacing w:val="4"/>
          <w:sz w:val="26"/>
          <w:szCs w:val="26"/>
        </w:rPr>
        <w:t>”</w:t>
      </w:r>
      <w:r w:rsidRPr="001B5F0D">
        <w:rPr>
          <w:color w:val="000000"/>
          <w:spacing w:val="4"/>
          <w:sz w:val="26"/>
          <w:szCs w:val="26"/>
        </w:rPr>
        <w:t>) credits (over $1,000) from the prior year and prioritize those customers for LIURP treatment when possible.  If the list has been exhausted, Duquesne Light will use the high usage CAP customer list as well as eligible customers requesting weatherization.  This prioritization will continue unless Duquesne Light evaluates the cost-effectiveness of the prioritization, and reviews that evaluation with stakeholders.</w:t>
      </w:r>
    </w:p>
    <w:p w:rsidR="00D65054" w:rsidRDefault="00D65054" w:rsidP="007D3734">
      <w:pPr>
        <w:widowControl/>
        <w:ind w:left="1440" w:right="1440"/>
        <w:contextualSpacing/>
        <w:rPr>
          <w:sz w:val="26"/>
          <w:szCs w:val="26"/>
        </w:rPr>
      </w:pPr>
    </w:p>
    <w:p w:rsidR="00D65054" w:rsidRPr="001B5F0D" w:rsidRDefault="00D65054" w:rsidP="007D3734">
      <w:pPr>
        <w:widowControl/>
        <w:spacing w:before="5"/>
        <w:ind w:left="1440" w:right="1440"/>
        <w:contextualSpacing/>
        <w:textAlignment w:val="baseline"/>
        <w:rPr>
          <w:color w:val="000000"/>
          <w:spacing w:val="3"/>
          <w:sz w:val="26"/>
          <w:szCs w:val="26"/>
        </w:rPr>
      </w:pPr>
      <w:r>
        <w:rPr>
          <w:color w:val="000000"/>
          <w:sz w:val="26"/>
          <w:szCs w:val="26"/>
        </w:rPr>
        <w:tab/>
        <w:t>55.</w:t>
      </w:r>
      <w:r>
        <w:rPr>
          <w:color w:val="000000"/>
          <w:sz w:val="26"/>
          <w:szCs w:val="26"/>
        </w:rPr>
        <w:tab/>
      </w:r>
      <w:r w:rsidRPr="001B5F0D">
        <w:rPr>
          <w:color w:val="000000"/>
          <w:sz w:val="26"/>
          <w:szCs w:val="26"/>
        </w:rPr>
        <w:t>Within 60 days of the effective date of rates, Duquesne Light will revise its medical certificate policy and accompanying procedures to accept medical certificate renewals if the customer</w:t>
      </w:r>
      <w:r w:rsidR="001E73FA">
        <w:rPr>
          <w:color w:val="000000"/>
          <w:sz w:val="26"/>
          <w:szCs w:val="26"/>
        </w:rPr>
        <w:t>’</w:t>
      </w:r>
      <w:r w:rsidRPr="001B5F0D">
        <w:rPr>
          <w:color w:val="000000"/>
          <w:sz w:val="26"/>
          <w:szCs w:val="26"/>
        </w:rPr>
        <w:t xml:space="preserve">s current bill or budget bill amount is paid in full by the due date while under the protection of a medical certificate.  Customers will not be limited to two medical certificate </w:t>
      </w:r>
      <w:r w:rsidRPr="001B5F0D">
        <w:rPr>
          <w:color w:val="000000"/>
          <w:spacing w:val="3"/>
          <w:sz w:val="26"/>
          <w:szCs w:val="26"/>
        </w:rPr>
        <w:t>renewals if the provisions of this paragraph are met.  Upon submission of an initial medical certificate, Duquesne Light will inform customers that they can continue to renew their medical certificate and continue to receive medical certificate protection if they continue to pay their current bill or budget bill amount in full by the due date for the duration of their medical condition or emergency, and that they remain responsible for any outstanding balance.  Duquesne Light will also refer customers to any available bill payment assistance programs, including CAP, Hardship Fund, Customer Assistance Referral Evaluation Services (</w:t>
      </w:r>
      <w:r w:rsidR="001E73FA">
        <w:rPr>
          <w:color w:val="000000"/>
          <w:spacing w:val="3"/>
          <w:sz w:val="26"/>
          <w:szCs w:val="26"/>
        </w:rPr>
        <w:t>“</w:t>
      </w:r>
      <w:r w:rsidRPr="001B5F0D">
        <w:rPr>
          <w:color w:val="000000"/>
          <w:spacing w:val="3"/>
          <w:sz w:val="26"/>
          <w:szCs w:val="26"/>
        </w:rPr>
        <w:t>CARES</w:t>
      </w:r>
      <w:r w:rsidR="001E73FA">
        <w:rPr>
          <w:color w:val="000000"/>
          <w:spacing w:val="3"/>
          <w:sz w:val="26"/>
          <w:szCs w:val="26"/>
        </w:rPr>
        <w:t>”</w:t>
      </w:r>
      <w:r w:rsidRPr="001B5F0D">
        <w:rPr>
          <w:color w:val="000000"/>
          <w:spacing w:val="3"/>
          <w:sz w:val="26"/>
          <w:szCs w:val="26"/>
        </w:rPr>
        <w:t>), and Low Income Home Energy Assistance Program (</w:t>
      </w:r>
      <w:r w:rsidR="001E73FA">
        <w:rPr>
          <w:color w:val="000000"/>
          <w:spacing w:val="3"/>
          <w:sz w:val="26"/>
          <w:szCs w:val="26"/>
        </w:rPr>
        <w:t>“</w:t>
      </w:r>
      <w:r w:rsidRPr="001B5F0D">
        <w:rPr>
          <w:color w:val="000000"/>
          <w:spacing w:val="3"/>
          <w:sz w:val="26"/>
          <w:szCs w:val="26"/>
        </w:rPr>
        <w:t>LIHEAP</w:t>
      </w:r>
      <w:r w:rsidR="001E73FA">
        <w:rPr>
          <w:color w:val="000000"/>
          <w:spacing w:val="3"/>
          <w:sz w:val="26"/>
          <w:szCs w:val="26"/>
        </w:rPr>
        <w:t>”</w:t>
      </w:r>
      <w:r w:rsidRPr="001B5F0D">
        <w:rPr>
          <w:color w:val="000000"/>
          <w:spacing w:val="3"/>
          <w:sz w:val="26"/>
          <w:szCs w:val="26"/>
        </w:rPr>
        <w:t xml:space="preserve">), and will work with customers protected by a medical certificate to establish an equitable payment arrangement for outstanding arrears pursuant to Commission rules.  Duquesne Light will share its revised policy with parties to this proceeding, and will provide an opportunity for feedback and suggestions.  Duquesne Light may amend this policy in response to future Commission rulemakings, orders or policy.  Duquesne Light will be </w:t>
      </w:r>
      <w:r w:rsidRPr="001B5F0D">
        <w:rPr>
          <w:color w:val="000000"/>
          <w:spacing w:val="3"/>
          <w:sz w:val="26"/>
          <w:szCs w:val="26"/>
        </w:rPr>
        <w:lastRenderedPageBreak/>
        <w:t>permitted to write off any outstanding balances overdue for more than one year for customers that have medical certificates for a period of one year or longer.</w:t>
      </w:r>
    </w:p>
    <w:p w:rsidR="00D65054" w:rsidRDefault="00D65054" w:rsidP="007D3734">
      <w:pPr>
        <w:widowControl/>
        <w:ind w:left="1440" w:right="1440"/>
        <w:contextualSpacing/>
        <w:rPr>
          <w:sz w:val="26"/>
          <w:szCs w:val="26"/>
        </w:rPr>
      </w:pPr>
    </w:p>
    <w:p w:rsidR="00D65054" w:rsidRPr="00E955D3" w:rsidRDefault="00D65054" w:rsidP="007D3734">
      <w:pPr>
        <w:widowControl/>
        <w:ind w:left="1440" w:right="1440"/>
        <w:contextualSpacing/>
        <w:textAlignment w:val="baseline"/>
        <w:rPr>
          <w:color w:val="000000"/>
          <w:spacing w:val="2"/>
          <w:sz w:val="26"/>
          <w:szCs w:val="26"/>
        </w:rPr>
      </w:pPr>
      <w:r>
        <w:rPr>
          <w:color w:val="000000"/>
          <w:spacing w:val="2"/>
          <w:sz w:val="26"/>
          <w:szCs w:val="26"/>
        </w:rPr>
        <w:tab/>
        <w:t>56.</w:t>
      </w:r>
      <w:r>
        <w:rPr>
          <w:color w:val="000000"/>
          <w:spacing w:val="2"/>
          <w:sz w:val="26"/>
          <w:szCs w:val="26"/>
        </w:rPr>
        <w:tab/>
      </w:r>
      <w:r w:rsidRPr="00E955D3">
        <w:rPr>
          <w:color w:val="000000"/>
          <w:spacing w:val="2"/>
          <w:sz w:val="26"/>
          <w:szCs w:val="26"/>
        </w:rPr>
        <w:t>Within 60 days of the effective date of rates, Duquesne Light will revise its Protection From Abuse Order (</w:t>
      </w:r>
      <w:r w:rsidR="001E73FA">
        <w:rPr>
          <w:color w:val="000000"/>
          <w:spacing w:val="2"/>
          <w:sz w:val="26"/>
          <w:szCs w:val="26"/>
        </w:rPr>
        <w:t>“</w:t>
      </w:r>
      <w:r w:rsidRPr="00E955D3">
        <w:rPr>
          <w:color w:val="000000"/>
          <w:spacing w:val="2"/>
          <w:sz w:val="26"/>
          <w:szCs w:val="26"/>
        </w:rPr>
        <w:t>PFA</w:t>
      </w:r>
      <w:r w:rsidR="001E73FA">
        <w:rPr>
          <w:color w:val="000000"/>
          <w:spacing w:val="2"/>
          <w:sz w:val="26"/>
          <w:szCs w:val="26"/>
        </w:rPr>
        <w:t>”</w:t>
      </w:r>
      <w:r w:rsidRPr="00E955D3">
        <w:rPr>
          <w:color w:val="000000"/>
          <w:spacing w:val="2"/>
          <w:sz w:val="26"/>
          <w:szCs w:val="26"/>
        </w:rPr>
        <w:t>) policy and accompanying procedures to accept PFAs or civil or criminal court orders with evidence of domestic violence toward an applicant for service, a current customer, or a member of the applicant or customer</w:t>
      </w:r>
      <w:r w:rsidR="001E73FA">
        <w:rPr>
          <w:color w:val="000000"/>
          <w:spacing w:val="2"/>
          <w:sz w:val="26"/>
          <w:szCs w:val="26"/>
        </w:rPr>
        <w:t>’</w:t>
      </w:r>
      <w:r w:rsidRPr="00E955D3">
        <w:rPr>
          <w:color w:val="000000"/>
          <w:spacing w:val="2"/>
          <w:sz w:val="26"/>
          <w:szCs w:val="26"/>
        </w:rPr>
        <w:t>s household, consistent with 66 Pa. C.S. § 1417 and 52 Pa. Code Ch. 56, subsections L-V. Duquesne Light will share its revised policy with the Income Eligible Program Advisory Group, and will provide an opportunity for feedback and suggestions.</w:t>
      </w:r>
    </w:p>
    <w:p w:rsidR="00D65054" w:rsidRDefault="00D65054" w:rsidP="007D3734">
      <w:pPr>
        <w:widowControl/>
        <w:ind w:left="1440" w:right="1440"/>
        <w:contextualSpacing/>
        <w:rPr>
          <w:sz w:val="26"/>
          <w:szCs w:val="26"/>
        </w:rPr>
      </w:pPr>
    </w:p>
    <w:p w:rsidR="00D65054" w:rsidRPr="00E955D3" w:rsidRDefault="00D65054" w:rsidP="007D3734">
      <w:pPr>
        <w:widowControl/>
        <w:spacing w:before="34"/>
        <w:ind w:left="1440" w:right="1440"/>
        <w:contextualSpacing/>
        <w:textAlignment w:val="baseline"/>
        <w:rPr>
          <w:color w:val="000000"/>
          <w:spacing w:val="3"/>
          <w:sz w:val="26"/>
          <w:szCs w:val="26"/>
        </w:rPr>
      </w:pPr>
      <w:r>
        <w:rPr>
          <w:color w:val="000000"/>
          <w:sz w:val="26"/>
          <w:szCs w:val="26"/>
        </w:rPr>
        <w:tab/>
        <w:t>57.</w:t>
      </w:r>
      <w:r>
        <w:rPr>
          <w:color w:val="000000"/>
          <w:sz w:val="26"/>
          <w:szCs w:val="26"/>
        </w:rPr>
        <w:tab/>
      </w:r>
      <w:r w:rsidRPr="00E955D3">
        <w:rPr>
          <w:color w:val="000000"/>
          <w:sz w:val="26"/>
          <w:szCs w:val="26"/>
        </w:rPr>
        <w:t xml:space="preserve">Duquesne Light will engage in discussions regarding budget billing issues with its Income Eligible Program Advisory Group and will consider proposals to address these issues in </w:t>
      </w:r>
      <w:r w:rsidRPr="00E955D3">
        <w:rPr>
          <w:color w:val="000000"/>
          <w:spacing w:val="3"/>
          <w:sz w:val="26"/>
          <w:szCs w:val="26"/>
        </w:rPr>
        <w:t>its next base rate proceeding.  If prior to the next base rate proceeding, consensus is reached among the Income Eligible Program Advisory Group and the Company on implementation of particular budget billing proposals and the Company determines that those proposals will have minimal or no revenue impact, Duquesne Light agrees that it will implement those proposals as soon as practicable.</w:t>
      </w:r>
    </w:p>
    <w:p w:rsidR="00D65054" w:rsidRDefault="00D65054" w:rsidP="007D3734">
      <w:pPr>
        <w:widowControl/>
        <w:ind w:left="1440" w:right="1440"/>
        <w:contextualSpacing/>
        <w:rPr>
          <w:sz w:val="26"/>
          <w:szCs w:val="26"/>
        </w:rPr>
      </w:pPr>
    </w:p>
    <w:p w:rsidR="00D65054" w:rsidRPr="00977274" w:rsidRDefault="00D65054" w:rsidP="007D3734">
      <w:pPr>
        <w:widowControl/>
        <w:spacing w:before="45"/>
        <w:ind w:left="1440" w:right="1440"/>
        <w:contextualSpacing/>
        <w:textAlignment w:val="baseline"/>
        <w:rPr>
          <w:color w:val="000000"/>
          <w:spacing w:val="4"/>
          <w:sz w:val="26"/>
          <w:szCs w:val="26"/>
        </w:rPr>
      </w:pPr>
      <w:r>
        <w:rPr>
          <w:color w:val="000000"/>
          <w:spacing w:val="4"/>
          <w:sz w:val="26"/>
          <w:szCs w:val="26"/>
        </w:rPr>
        <w:tab/>
        <w:t>58.</w:t>
      </w:r>
      <w:r>
        <w:rPr>
          <w:color w:val="000000"/>
          <w:spacing w:val="4"/>
          <w:sz w:val="26"/>
          <w:szCs w:val="26"/>
        </w:rPr>
        <w:tab/>
      </w:r>
      <w:r w:rsidRPr="00977274">
        <w:rPr>
          <w:color w:val="000000"/>
          <w:spacing w:val="4"/>
          <w:sz w:val="26"/>
          <w:szCs w:val="26"/>
        </w:rPr>
        <w:t>Duquesne Light will conduct a competitive selection process, such as a Request for Proposal, for the purpose of determining its universal service program provider(s). Duquesne Light will invite local community based organizations (</w:t>
      </w:r>
      <w:r w:rsidR="001E73FA">
        <w:rPr>
          <w:color w:val="000000"/>
          <w:spacing w:val="4"/>
          <w:sz w:val="26"/>
          <w:szCs w:val="26"/>
        </w:rPr>
        <w:t>“</w:t>
      </w:r>
      <w:r w:rsidRPr="00977274">
        <w:rPr>
          <w:color w:val="000000"/>
          <w:spacing w:val="4"/>
          <w:sz w:val="26"/>
          <w:szCs w:val="26"/>
        </w:rPr>
        <w:t>CBO</w:t>
      </w:r>
      <w:r w:rsidR="001E73FA">
        <w:rPr>
          <w:color w:val="000000"/>
          <w:spacing w:val="4"/>
          <w:sz w:val="26"/>
          <w:szCs w:val="26"/>
        </w:rPr>
        <w:t>”</w:t>
      </w:r>
      <w:r w:rsidRPr="00977274">
        <w:rPr>
          <w:color w:val="000000"/>
          <w:spacing w:val="4"/>
          <w:sz w:val="26"/>
          <w:szCs w:val="26"/>
        </w:rPr>
        <w:t>) to participate in the competitive selection process. Final selection of universal service program providers will be determined in accordance with Duquesne Light</w:t>
      </w:r>
      <w:r w:rsidR="001E73FA">
        <w:rPr>
          <w:color w:val="000000"/>
          <w:spacing w:val="4"/>
          <w:sz w:val="26"/>
          <w:szCs w:val="26"/>
        </w:rPr>
        <w:t>’</w:t>
      </w:r>
      <w:r w:rsidRPr="00977274">
        <w:rPr>
          <w:color w:val="000000"/>
          <w:spacing w:val="4"/>
          <w:sz w:val="26"/>
          <w:szCs w:val="26"/>
        </w:rPr>
        <w:t>s processes and procedures. A description of CBO participation in Duquesne Light</w:t>
      </w:r>
      <w:r w:rsidR="001E73FA">
        <w:rPr>
          <w:color w:val="000000"/>
          <w:spacing w:val="4"/>
          <w:sz w:val="26"/>
          <w:szCs w:val="26"/>
        </w:rPr>
        <w:t>’</w:t>
      </w:r>
      <w:r w:rsidRPr="00977274">
        <w:rPr>
          <w:color w:val="000000"/>
          <w:spacing w:val="4"/>
          <w:sz w:val="26"/>
          <w:szCs w:val="26"/>
        </w:rPr>
        <w:t>s universal services programs will be included in its Universal Services and Energy Conservation Plan that is filed with the Commission for review and approval.</w:t>
      </w:r>
    </w:p>
    <w:p w:rsidR="00D65054" w:rsidRDefault="00D65054" w:rsidP="007D3734">
      <w:pPr>
        <w:widowControl/>
        <w:ind w:left="1440" w:right="1440"/>
        <w:contextualSpacing/>
        <w:rPr>
          <w:sz w:val="26"/>
          <w:szCs w:val="26"/>
        </w:rPr>
      </w:pPr>
    </w:p>
    <w:p w:rsidR="00D65054" w:rsidRPr="00977274" w:rsidRDefault="00D65054" w:rsidP="007D3734">
      <w:pPr>
        <w:widowControl/>
        <w:spacing w:before="30"/>
        <w:ind w:left="1440" w:right="1440"/>
        <w:contextualSpacing/>
        <w:textAlignment w:val="baseline"/>
        <w:rPr>
          <w:color w:val="000000"/>
          <w:sz w:val="26"/>
          <w:szCs w:val="26"/>
        </w:rPr>
      </w:pPr>
      <w:r>
        <w:rPr>
          <w:color w:val="000000"/>
          <w:sz w:val="26"/>
          <w:szCs w:val="26"/>
        </w:rPr>
        <w:tab/>
        <w:t>59.</w:t>
      </w:r>
      <w:r>
        <w:rPr>
          <w:color w:val="000000"/>
          <w:sz w:val="26"/>
          <w:szCs w:val="26"/>
        </w:rPr>
        <w:tab/>
      </w:r>
      <w:r w:rsidRPr="00977274">
        <w:rPr>
          <w:color w:val="000000"/>
          <w:sz w:val="26"/>
          <w:szCs w:val="26"/>
        </w:rPr>
        <w:t xml:space="preserve">Within 180 days of the effective date of rates, Duquesne Light will convene a non-confidential collaborative </w:t>
      </w:r>
      <w:r w:rsidRPr="00977274">
        <w:rPr>
          <w:color w:val="000000"/>
          <w:sz w:val="26"/>
          <w:szCs w:val="26"/>
        </w:rPr>
        <w:lastRenderedPageBreak/>
        <w:t>with all parties to this proceeding, and all interested stakeholders who are developers of multifamily housing within its service territory, to discuss the feasibility of revising its retail tariff to permit master-metering of multifamily housing. Parties to the collaborative will specifically consider:</w:t>
      </w:r>
    </w:p>
    <w:p w:rsidR="00D65054" w:rsidRDefault="00D65054" w:rsidP="007D3734">
      <w:pPr>
        <w:widowControl/>
        <w:ind w:left="1440" w:right="1440"/>
        <w:contextualSpacing/>
        <w:rPr>
          <w:sz w:val="26"/>
          <w:szCs w:val="26"/>
        </w:rPr>
      </w:pPr>
    </w:p>
    <w:p w:rsidR="00D65054" w:rsidRPr="00977274" w:rsidRDefault="00D65054" w:rsidP="007D3734">
      <w:pPr>
        <w:widowControl/>
        <w:spacing w:before="287"/>
        <w:ind w:left="2880" w:hanging="720"/>
        <w:contextualSpacing/>
        <w:textAlignment w:val="baseline"/>
        <w:rPr>
          <w:color w:val="000000"/>
          <w:sz w:val="26"/>
          <w:szCs w:val="26"/>
        </w:rPr>
      </w:pPr>
      <w:r>
        <w:rPr>
          <w:color w:val="000000"/>
          <w:sz w:val="26"/>
          <w:szCs w:val="26"/>
        </w:rPr>
        <w:t>a.</w:t>
      </w:r>
      <w:r>
        <w:rPr>
          <w:color w:val="000000"/>
          <w:sz w:val="26"/>
          <w:szCs w:val="26"/>
        </w:rPr>
        <w:tab/>
      </w:r>
      <w:r w:rsidRPr="00977274">
        <w:rPr>
          <w:color w:val="000000"/>
          <w:sz w:val="26"/>
          <w:szCs w:val="26"/>
        </w:rPr>
        <w:t>Under what circumstances master-metering would be permitted, and the factors Duquesne Light would require a building owner to meet before approving a master-metering configuration;</w:t>
      </w:r>
    </w:p>
    <w:p w:rsidR="00D65054" w:rsidRDefault="00D65054" w:rsidP="007D3734">
      <w:pPr>
        <w:widowControl/>
        <w:ind w:left="1440" w:right="1440"/>
        <w:contextualSpacing/>
        <w:rPr>
          <w:sz w:val="26"/>
          <w:szCs w:val="26"/>
        </w:rPr>
      </w:pPr>
    </w:p>
    <w:p w:rsidR="00D65054" w:rsidRPr="00977274" w:rsidRDefault="00D65054" w:rsidP="007D3734">
      <w:pPr>
        <w:widowControl/>
        <w:spacing w:before="250"/>
        <w:ind w:left="2880" w:right="72" w:hanging="720"/>
        <w:contextualSpacing/>
        <w:textAlignment w:val="baseline"/>
        <w:rPr>
          <w:color w:val="000000"/>
          <w:sz w:val="26"/>
          <w:szCs w:val="26"/>
        </w:rPr>
      </w:pPr>
      <w:r>
        <w:rPr>
          <w:color w:val="000000"/>
          <w:sz w:val="26"/>
          <w:szCs w:val="26"/>
        </w:rPr>
        <w:t>b.</w:t>
      </w:r>
      <w:r>
        <w:rPr>
          <w:color w:val="000000"/>
          <w:sz w:val="26"/>
          <w:szCs w:val="26"/>
        </w:rPr>
        <w:tab/>
      </w:r>
      <w:r w:rsidRPr="00977274">
        <w:rPr>
          <w:color w:val="000000"/>
          <w:sz w:val="26"/>
          <w:szCs w:val="26"/>
        </w:rPr>
        <w:t>The impact that any such tariff change would have on low income tenants</w:t>
      </w:r>
      <w:r w:rsidR="001E73FA">
        <w:rPr>
          <w:color w:val="000000"/>
          <w:sz w:val="26"/>
          <w:szCs w:val="26"/>
        </w:rPr>
        <w:t>’</w:t>
      </w:r>
      <w:r w:rsidRPr="00977274">
        <w:rPr>
          <w:color w:val="000000"/>
          <w:sz w:val="26"/>
          <w:szCs w:val="26"/>
        </w:rPr>
        <w:t xml:space="preserve"> ability to continue to afford utility service;</w:t>
      </w:r>
    </w:p>
    <w:p w:rsidR="00D65054" w:rsidRDefault="00D65054" w:rsidP="007D3734">
      <w:pPr>
        <w:widowControl/>
        <w:ind w:left="1440" w:right="1440"/>
        <w:contextualSpacing/>
        <w:rPr>
          <w:sz w:val="26"/>
          <w:szCs w:val="26"/>
        </w:rPr>
      </w:pPr>
    </w:p>
    <w:p w:rsidR="00D65054" w:rsidRPr="00977274" w:rsidRDefault="00D65054" w:rsidP="007D3734">
      <w:pPr>
        <w:widowControl/>
        <w:spacing w:before="245"/>
        <w:ind w:left="2880" w:hanging="720"/>
        <w:contextualSpacing/>
        <w:textAlignment w:val="baseline"/>
        <w:rPr>
          <w:color w:val="000000"/>
          <w:sz w:val="26"/>
          <w:szCs w:val="26"/>
        </w:rPr>
      </w:pPr>
      <w:r>
        <w:rPr>
          <w:color w:val="000000"/>
          <w:sz w:val="26"/>
          <w:szCs w:val="26"/>
        </w:rPr>
        <w:t>c.</w:t>
      </w:r>
      <w:r>
        <w:rPr>
          <w:color w:val="000000"/>
          <w:sz w:val="26"/>
          <w:szCs w:val="26"/>
        </w:rPr>
        <w:tab/>
      </w:r>
      <w:r w:rsidRPr="00977274">
        <w:rPr>
          <w:color w:val="000000"/>
          <w:sz w:val="26"/>
          <w:szCs w:val="26"/>
        </w:rPr>
        <w:t>The impact of individual customers not utilizing Advanced Metering Infrastructure (</w:t>
      </w:r>
      <w:r w:rsidR="001E73FA">
        <w:rPr>
          <w:color w:val="000000"/>
          <w:sz w:val="26"/>
          <w:szCs w:val="26"/>
        </w:rPr>
        <w:t>“</w:t>
      </w:r>
      <w:r w:rsidRPr="00977274">
        <w:rPr>
          <w:color w:val="000000"/>
          <w:sz w:val="26"/>
          <w:szCs w:val="26"/>
        </w:rPr>
        <w:t>AMI</w:t>
      </w:r>
      <w:r w:rsidR="001E73FA">
        <w:rPr>
          <w:color w:val="000000"/>
          <w:sz w:val="26"/>
          <w:szCs w:val="26"/>
        </w:rPr>
        <w:t>”</w:t>
      </w:r>
      <w:r w:rsidRPr="00977274">
        <w:rPr>
          <w:color w:val="000000"/>
          <w:sz w:val="26"/>
          <w:szCs w:val="26"/>
        </w:rPr>
        <w:t>) meters; and</w:t>
      </w:r>
    </w:p>
    <w:p w:rsidR="00D65054" w:rsidRDefault="00D65054" w:rsidP="007D3734">
      <w:pPr>
        <w:widowControl/>
        <w:ind w:left="1440" w:right="1440"/>
        <w:contextualSpacing/>
        <w:rPr>
          <w:sz w:val="26"/>
          <w:szCs w:val="26"/>
        </w:rPr>
      </w:pPr>
    </w:p>
    <w:p w:rsidR="00D65054" w:rsidRDefault="00D65054" w:rsidP="007D3734">
      <w:pPr>
        <w:widowControl/>
        <w:ind w:left="2880" w:right="1440" w:hanging="720"/>
        <w:contextualSpacing/>
        <w:rPr>
          <w:sz w:val="26"/>
          <w:szCs w:val="26"/>
        </w:rPr>
      </w:pPr>
      <w:r>
        <w:rPr>
          <w:sz w:val="26"/>
          <w:szCs w:val="26"/>
        </w:rPr>
        <w:t>d.</w:t>
      </w:r>
      <w:r>
        <w:rPr>
          <w:sz w:val="26"/>
          <w:szCs w:val="26"/>
        </w:rPr>
        <w:tab/>
        <w:t>The impact that any such change would have on the Company</w:t>
      </w:r>
      <w:r w:rsidR="001E73FA">
        <w:rPr>
          <w:sz w:val="26"/>
          <w:szCs w:val="26"/>
        </w:rPr>
        <w:t>’</w:t>
      </w:r>
      <w:r>
        <w:rPr>
          <w:sz w:val="26"/>
          <w:szCs w:val="26"/>
        </w:rPr>
        <w:t>s revenue allocation and the ability to meet its projected revenue requirements.</w:t>
      </w:r>
    </w:p>
    <w:p w:rsidR="00D65054" w:rsidRDefault="00D65054" w:rsidP="007D3734">
      <w:pPr>
        <w:widowControl/>
        <w:ind w:left="1440" w:right="1440"/>
        <w:contextualSpacing/>
        <w:rPr>
          <w:sz w:val="26"/>
          <w:szCs w:val="26"/>
        </w:rPr>
      </w:pPr>
    </w:p>
    <w:p w:rsidR="00D65054" w:rsidRDefault="00D65054" w:rsidP="007D3734">
      <w:pPr>
        <w:widowControl/>
        <w:ind w:left="1440" w:right="1440"/>
        <w:contextualSpacing/>
        <w:rPr>
          <w:sz w:val="26"/>
          <w:szCs w:val="26"/>
        </w:rPr>
      </w:pPr>
      <w:r w:rsidRPr="00B30880">
        <w:rPr>
          <w:sz w:val="26"/>
          <w:szCs w:val="26"/>
        </w:rPr>
        <w:t>The parties to the collaborative will make a good faith effort, in coordination with the Company,</w:t>
      </w:r>
      <w:r>
        <w:rPr>
          <w:sz w:val="26"/>
          <w:szCs w:val="26"/>
        </w:rPr>
        <w:t xml:space="preserve"> </w:t>
      </w:r>
      <w:r w:rsidRPr="00B30880">
        <w:rPr>
          <w:sz w:val="26"/>
          <w:szCs w:val="26"/>
        </w:rPr>
        <w:t>to develop consensus on the scope of a tariff revision that permits master-metering, taking into</w:t>
      </w:r>
      <w:r>
        <w:rPr>
          <w:sz w:val="26"/>
          <w:szCs w:val="26"/>
        </w:rPr>
        <w:t xml:space="preserve"> </w:t>
      </w:r>
      <w:r w:rsidRPr="00B30880">
        <w:rPr>
          <w:sz w:val="26"/>
          <w:szCs w:val="26"/>
        </w:rPr>
        <w:t xml:space="preserve">consideration all of the foregoing factors. </w:t>
      </w:r>
      <w:r>
        <w:rPr>
          <w:sz w:val="26"/>
          <w:szCs w:val="26"/>
        </w:rPr>
        <w:t xml:space="preserve"> </w:t>
      </w:r>
      <w:r w:rsidRPr="00B30880">
        <w:rPr>
          <w:sz w:val="26"/>
          <w:szCs w:val="26"/>
        </w:rPr>
        <w:t>Additional collaborative meetings will be held</w:t>
      </w:r>
      <w:r>
        <w:rPr>
          <w:sz w:val="26"/>
          <w:szCs w:val="26"/>
        </w:rPr>
        <w:t xml:space="preserve"> </w:t>
      </w:r>
      <w:r w:rsidRPr="00B30880">
        <w:rPr>
          <w:sz w:val="26"/>
          <w:szCs w:val="26"/>
        </w:rPr>
        <w:t>thereafter, as necessary, but not less than on an annual basis, in an effort to reach consensus on</w:t>
      </w:r>
      <w:r>
        <w:rPr>
          <w:sz w:val="26"/>
          <w:szCs w:val="26"/>
        </w:rPr>
        <w:t xml:space="preserve"> </w:t>
      </w:r>
      <w:r w:rsidRPr="00B30880">
        <w:rPr>
          <w:sz w:val="26"/>
          <w:szCs w:val="26"/>
        </w:rPr>
        <w:t>any issues which remain unresolved after the first collaborative is held.</w:t>
      </w:r>
      <w:r>
        <w:rPr>
          <w:sz w:val="26"/>
          <w:szCs w:val="26"/>
        </w:rPr>
        <w:t xml:space="preserve"> </w:t>
      </w:r>
      <w:r w:rsidRPr="00B30880">
        <w:rPr>
          <w:sz w:val="26"/>
          <w:szCs w:val="26"/>
        </w:rPr>
        <w:t xml:space="preserve"> Based on feedback from</w:t>
      </w:r>
      <w:r>
        <w:rPr>
          <w:sz w:val="26"/>
          <w:szCs w:val="26"/>
        </w:rPr>
        <w:t xml:space="preserve"> </w:t>
      </w:r>
      <w:r w:rsidRPr="00B30880">
        <w:rPr>
          <w:sz w:val="26"/>
          <w:szCs w:val="26"/>
        </w:rPr>
        <w:t>the collaborative meetings, Duquesne Light will present a proposal regarding master-metering of</w:t>
      </w:r>
      <w:r>
        <w:rPr>
          <w:sz w:val="26"/>
          <w:szCs w:val="26"/>
        </w:rPr>
        <w:t xml:space="preserve"> </w:t>
      </w:r>
      <w:r w:rsidRPr="00B30880">
        <w:rPr>
          <w:sz w:val="26"/>
          <w:szCs w:val="26"/>
        </w:rPr>
        <w:t xml:space="preserve">multifamily housing buildings as a part of its next general base rate case. </w:t>
      </w:r>
      <w:r>
        <w:rPr>
          <w:sz w:val="26"/>
          <w:szCs w:val="26"/>
        </w:rPr>
        <w:t xml:space="preserve"> </w:t>
      </w:r>
      <w:r w:rsidRPr="00B30880">
        <w:rPr>
          <w:sz w:val="26"/>
          <w:szCs w:val="26"/>
        </w:rPr>
        <w:t>The treatment of any</w:t>
      </w:r>
      <w:r>
        <w:rPr>
          <w:sz w:val="26"/>
          <w:szCs w:val="26"/>
        </w:rPr>
        <w:t xml:space="preserve"> </w:t>
      </w:r>
      <w:r w:rsidRPr="00B30880">
        <w:rPr>
          <w:sz w:val="26"/>
          <w:szCs w:val="26"/>
        </w:rPr>
        <w:t>alleged confidential information during the collaborative will be subject of an agreement of the</w:t>
      </w:r>
      <w:r>
        <w:rPr>
          <w:sz w:val="26"/>
          <w:szCs w:val="26"/>
        </w:rPr>
        <w:t xml:space="preserve"> </w:t>
      </w:r>
      <w:r w:rsidRPr="00B30880">
        <w:rPr>
          <w:sz w:val="26"/>
          <w:szCs w:val="26"/>
        </w:rPr>
        <w:t>parties and stakeholders participating in the collaborative.</w:t>
      </w:r>
    </w:p>
    <w:p w:rsidR="00D65054" w:rsidRDefault="00D65054" w:rsidP="007D3734">
      <w:pPr>
        <w:widowControl/>
        <w:ind w:left="1440" w:right="1440"/>
        <w:contextualSpacing/>
        <w:rPr>
          <w:sz w:val="26"/>
          <w:szCs w:val="26"/>
        </w:rPr>
      </w:pPr>
    </w:p>
    <w:p w:rsidR="00D65054" w:rsidRPr="00422DAC" w:rsidRDefault="00D65054" w:rsidP="007D3734">
      <w:pPr>
        <w:widowControl/>
        <w:ind w:left="1440" w:right="1440"/>
        <w:contextualSpacing/>
        <w:rPr>
          <w:b/>
          <w:sz w:val="26"/>
          <w:szCs w:val="26"/>
        </w:rPr>
      </w:pPr>
      <w:r>
        <w:rPr>
          <w:b/>
          <w:sz w:val="26"/>
          <w:szCs w:val="26"/>
        </w:rPr>
        <w:t>E.</w:t>
      </w:r>
      <w:r>
        <w:rPr>
          <w:b/>
          <w:sz w:val="26"/>
          <w:szCs w:val="26"/>
        </w:rPr>
        <w:tab/>
        <w:t>OTHER ISSUES</w:t>
      </w:r>
    </w:p>
    <w:p w:rsidR="00D65054" w:rsidRDefault="00D65054" w:rsidP="007D3734">
      <w:pPr>
        <w:widowControl/>
        <w:ind w:left="1440" w:right="1440"/>
        <w:contextualSpacing/>
        <w:rPr>
          <w:sz w:val="26"/>
          <w:szCs w:val="26"/>
        </w:rPr>
      </w:pPr>
    </w:p>
    <w:p w:rsidR="00D65054" w:rsidRDefault="00D65054" w:rsidP="007D3734">
      <w:pPr>
        <w:widowControl/>
        <w:ind w:left="1440" w:right="1440"/>
        <w:contextualSpacing/>
        <w:rPr>
          <w:sz w:val="26"/>
          <w:szCs w:val="26"/>
        </w:rPr>
      </w:pPr>
      <w:r>
        <w:rPr>
          <w:sz w:val="26"/>
          <w:szCs w:val="26"/>
        </w:rPr>
        <w:tab/>
      </w:r>
      <w:r w:rsidRPr="00422DAC">
        <w:rPr>
          <w:sz w:val="26"/>
          <w:szCs w:val="26"/>
        </w:rPr>
        <w:t>60.</w:t>
      </w:r>
      <w:r>
        <w:rPr>
          <w:sz w:val="26"/>
          <w:szCs w:val="26"/>
        </w:rPr>
        <w:tab/>
      </w:r>
      <w:r w:rsidRPr="00422DAC">
        <w:rPr>
          <w:sz w:val="26"/>
          <w:szCs w:val="26"/>
        </w:rPr>
        <w:t xml:space="preserve">Duquesne Light, on behalf of itself and its affiliates, will not develop or fund (except such projects incented through Duquesne Light Act 129 programs) a </w:t>
      </w:r>
      <w:r w:rsidRPr="00422DAC">
        <w:rPr>
          <w:sz w:val="26"/>
          <w:szCs w:val="26"/>
        </w:rPr>
        <w:lastRenderedPageBreak/>
        <w:t xml:space="preserve">project for the generation or distribution of steam, hot water, or chilled water (except for self-service) within the then-certificated service territory of NRGP, without sending letter notification to NRGP at least forty-five (45) days prior to the commencement of any construction activities or funding disbursements related to any such project. </w:t>
      </w:r>
      <w:r>
        <w:rPr>
          <w:sz w:val="26"/>
          <w:szCs w:val="26"/>
        </w:rPr>
        <w:t xml:space="preserve"> </w:t>
      </w:r>
      <w:r w:rsidRPr="00422DAC">
        <w:rPr>
          <w:sz w:val="26"/>
          <w:szCs w:val="26"/>
        </w:rPr>
        <w:t>The letter notification will identify the customers that will be served, what service will be provided, and how service will be provided. Duquesne Light will cooperate in providing additional information to NRGP with respect to such project upon request from NRGP.</w:t>
      </w:r>
    </w:p>
    <w:p w:rsidR="00D65054" w:rsidRDefault="00D65054" w:rsidP="007D3734">
      <w:pPr>
        <w:widowControl/>
        <w:spacing w:line="360" w:lineRule="auto"/>
        <w:contextualSpacing/>
        <w:rPr>
          <w:sz w:val="26"/>
          <w:szCs w:val="26"/>
        </w:rPr>
      </w:pPr>
    </w:p>
    <w:p w:rsidR="00D65054" w:rsidRDefault="00D65054" w:rsidP="007D3734">
      <w:pPr>
        <w:widowControl/>
        <w:spacing w:line="360" w:lineRule="auto"/>
        <w:contextualSpacing/>
        <w:rPr>
          <w:sz w:val="26"/>
          <w:szCs w:val="26"/>
        </w:rPr>
      </w:pPr>
      <w:r>
        <w:rPr>
          <w:sz w:val="26"/>
          <w:szCs w:val="26"/>
        </w:rPr>
        <w:t>Partial Settlement at 8-19.</w:t>
      </w:r>
    </w:p>
    <w:p w:rsidR="00D65054" w:rsidRDefault="00D65054" w:rsidP="007D3734">
      <w:pPr>
        <w:widowControl/>
        <w:spacing w:line="360" w:lineRule="auto"/>
        <w:contextualSpacing/>
        <w:rPr>
          <w:sz w:val="26"/>
          <w:szCs w:val="26"/>
        </w:rPr>
      </w:pPr>
    </w:p>
    <w:p w:rsidR="00D65054" w:rsidRDefault="00D65054" w:rsidP="007D3734">
      <w:pPr>
        <w:widowControl/>
        <w:spacing w:line="360" w:lineRule="auto"/>
        <w:ind w:firstLine="1440"/>
        <w:contextualSpacing/>
        <w:rPr>
          <w:sz w:val="26"/>
          <w:szCs w:val="26"/>
        </w:rPr>
      </w:pPr>
      <w:r>
        <w:rPr>
          <w:sz w:val="26"/>
          <w:szCs w:val="26"/>
        </w:rPr>
        <w:t>The Joint Petitioners</w:t>
      </w:r>
      <w:r w:rsidR="005C7342">
        <w:rPr>
          <w:sz w:val="26"/>
          <w:szCs w:val="26"/>
        </w:rPr>
        <w:t xml:space="preserve"> included </w:t>
      </w:r>
      <w:r>
        <w:rPr>
          <w:sz w:val="26"/>
          <w:szCs w:val="26"/>
        </w:rPr>
        <w:t>a comparison of the distribution and total bills for a residential rate RS customer using 600 kWh at present, proposed, and settled rates</w:t>
      </w:r>
      <w:r w:rsidR="007B3FD3">
        <w:rPr>
          <w:sz w:val="26"/>
          <w:szCs w:val="26"/>
        </w:rPr>
        <w:t xml:space="preserve">.  </w:t>
      </w:r>
      <w:r w:rsidR="00E85694">
        <w:rPr>
          <w:sz w:val="26"/>
          <w:szCs w:val="26"/>
        </w:rPr>
        <w:t xml:space="preserve">As shown in the </w:t>
      </w:r>
      <w:r w:rsidR="00B63E6E">
        <w:rPr>
          <w:sz w:val="26"/>
          <w:szCs w:val="26"/>
        </w:rPr>
        <w:t xml:space="preserve">first column (Distribution Increase) in the </w:t>
      </w:r>
      <w:r w:rsidR="00E85694">
        <w:rPr>
          <w:sz w:val="26"/>
          <w:szCs w:val="26"/>
        </w:rPr>
        <w:t>table below, the</w:t>
      </w:r>
      <w:r w:rsidR="0072139E">
        <w:rPr>
          <w:sz w:val="26"/>
          <w:szCs w:val="26"/>
        </w:rPr>
        <w:t xml:space="preserve"> Joint Petitioners indicated that an RS customer who presently pays $44.28 </w:t>
      </w:r>
      <w:r w:rsidR="00063BFE">
        <w:rPr>
          <w:sz w:val="26"/>
          <w:szCs w:val="26"/>
        </w:rPr>
        <w:t>in</w:t>
      </w:r>
      <w:r w:rsidR="0059406F">
        <w:rPr>
          <w:sz w:val="26"/>
          <w:szCs w:val="26"/>
        </w:rPr>
        <w:t xml:space="preserve"> </w:t>
      </w:r>
      <w:r w:rsidR="00E85694">
        <w:rPr>
          <w:sz w:val="26"/>
          <w:szCs w:val="26"/>
        </w:rPr>
        <w:t xml:space="preserve">monthly </w:t>
      </w:r>
      <w:r w:rsidR="0059406F">
        <w:rPr>
          <w:sz w:val="26"/>
          <w:szCs w:val="26"/>
        </w:rPr>
        <w:t>distribution charges will pay $48.64</w:t>
      </w:r>
      <w:r w:rsidR="007F5BD8">
        <w:rPr>
          <w:sz w:val="26"/>
          <w:szCs w:val="26"/>
        </w:rPr>
        <w:t xml:space="preserve"> (9.85% increase</w:t>
      </w:r>
      <w:r w:rsidR="00466643">
        <w:rPr>
          <w:sz w:val="26"/>
          <w:szCs w:val="26"/>
        </w:rPr>
        <w:t xml:space="preserve"> over present rates</w:t>
      </w:r>
      <w:r w:rsidR="007F5BD8">
        <w:rPr>
          <w:sz w:val="26"/>
          <w:szCs w:val="26"/>
        </w:rPr>
        <w:t>) u</w:t>
      </w:r>
      <w:r w:rsidR="0059406F">
        <w:rPr>
          <w:sz w:val="26"/>
          <w:szCs w:val="26"/>
        </w:rPr>
        <w:t xml:space="preserve">nder the Settlement </w:t>
      </w:r>
      <w:r w:rsidR="006B32FD">
        <w:rPr>
          <w:sz w:val="26"/>
          <w:szCs w:val="26"/>
        </w:rPr>
        <w:t xml:space="preserve">compared to </w:t>
      </w:r>
      <w:r w:rsidR="00E85694">
        <w:rPr>
          <w:sz w:val="26"/>
          <w:szCs w:val="26"/>
        </w:rPr>
        <w:t xml:space="preserve">$52.94 </w:t>
      </w:r>
      <w:r w:rsidR="007F5BD8">
        <w:rPr>
          <w:sz w:val="26"/>
          <w:szCs w:val="26"/>
        </w:rPr>
        <w:t>(19.55% increase</w:t>
      </w:r>
      <w:r w:rsidR="00466643">
        <w:rPr>
          <w:sz w:val="26"/>
          <w:szCs w:val="26"/>
        </w:rPr>
        <w:t xml:space="preserve"> over present rates</w:t>
      </w:r>
      <w:r w:rsidR="007F5BD8">
        <w:rPr>
          <w:sz w:val="26"/>
          <w:szCs w:val="26"/>
        </w:rPr>
        <w:t>) as originally</w:t>
      </w:r>
      <w:r w:rsidR="00E85694">
        <w:rPr>
          <w:sz w:val="26"/>
          <w:szCs w:val="26"/>
        </w:rPr>
        <w:t xml:space="preserve"> proposed by the Company.</w:t>
      </w:r>
      <w:r w:rsidR="007F5BD8">
        <w:rPr>
          <w:sz w:val="26"/>
          <w:szCs w:val="26"/>
        </w:rPr>
        <w:t xml:space="preserve"> </w:t>
      </w:r>
      <w:r w:rsidR="00B63E6E">
        <w:rPr>
          <w:sz w:val="26"/>
          <w:szCs w:val="26"/>
        </w:rPr>
        <w:t xml:space="preserve"> The second column (Total Bill Increase), which include transmission, generation and additional surcharges</w:t>
      </w:r>
      <w:r w:rsidR="00466643">
        <w:rPr>
          <w:sz w:val="26"/>
          <w:szCs w:val="26"/>
        </w:rPr>
        <w:t>,</w:t>
      </w:r>
      <w:r w:rsidR="00B63E6E">
        <w:rPr>
          <w:sz w:val="26"/>
          <w:szCs w:val="26"/>
        </w:rPr>
        <w:t xml:space="preserve"> in addition to distribution</w:t>
      </w:r>
      <w:r w:rsidR="00466643">
        <w:rPr>
          <w:sz w:val="26"/>
          <w:szCs w:val="26"/>
        </w:rPr>
        <w:t xml:space="preserve"> charges, indicates that an RS customer who presently pays $98.15 in their total bill will pay $102.51 (4.44% increase over present rates) </w:t>
      </w:r>
      <w:r w:rsidR="00505E41">
        <w:rPr>
          <w:sz w:val="26"/>
          <w:szCs w:val="26"/>
        </w:rPr>
        <w:t>under the Settlement compared to $106.80 (8.82% increase over present rates) as originally proposed by the Company.</w:t>
      </w:r>
    </w:p>
    <w:p w:rsidR="00D65054" w:rsidRDefault="00D65054" w:rsidP="007D3734">
      <w:pPr>
        <w:widowControl/>
        <w:spacing w:line="360" w:lineRule="auto"/>
        <w:ind w:firstLine="1440"/>
        <w:contextualSpacing/>
        <w:rPr>
          <w:sz w:val="26"/>
          <w:szCs w:val="26"/>
        </w:rPr>
      </w:pPr>
    </w:p>
    <w:tbl>
      <w:tblPr>
        <w:tblW w:w="8692" w:type="dxa"/>
        <w:jc w:val="center"/>
        <w:tblLook w:val="04A0" w:firstRow="1" w:lastRow="0" w:firstColumn="1" w:lastColumn="0" w:noHBand="0" w:noVBand="1"/>
      </w:tblPr>
      <w:tblGrid>
        <w:gridCol w:w="3506"/>
        <w:gridCol w:w="1018"/>
        <w:gridCol w:w="3107"/>
        <w:gridCol w:w="1061"/>
      </w:tblGrid>
      <w:tr w:rsidR="00D65054" w:rsidRPr="009C62A1" w:rsidTr="0074217A">
        <w:trPr>
          <w:trHeight w:val="315"/>
          <w:jc w:val="center"/>
        </w:trPr>
        <w:tc>
          <w:tcPr>
            <w:tcW w:w="3506" w:type="dxa"/>
            <w:tcBorders>
              <w:top w:val="single" w:sz="8" w:space="0" w:color="auto"/>
              <w:left w:val="single" w:sz="8" w:space="0" w:color="auto"/>
              <w:bottom w:val="single" w:sz="8" w:space="0" w:color="auto"/>
              <w:right w:val="nil"/>
            </w:tcBorders>
            <w:shd w:val="clear" w:color="auto" w:fill="auto"/>
            <w:noWrap/>
            <w:vAlign w:val="bottom"/>
            <w:hideMark/>
          </w:tcPr>
          <w:p w:rsidR="00D65054" w:rsidRPr="009C62A1" w:rsidRDefault="00D65054" w:rsidP="007D3734">
            <w:pPr>
              <w:keepNext/>
              <w:keepLines/>
              <w:widowControl/>
              <w:contextualSpacing/>
              <w:jc w:val="center"/>
              <w:rPr>
                <w:b/>
                <w:bCs/>
                <w:color w:val="000000"/>
                <w:sz w:val="26"/>
                <w:szCs w:val="26"/>
              </w:rPr>
            </w:pPr>
            <w:r w:rsidRPr="009C62A1">
              <w:rPr>
                <w:b/>
                <w:bCs/>
                <w:color w:val="000000"/>
                <w:sz w:val="26"/>
                <w:szCs w:val="26"/>
              </w:rPr>
              <w:t>Distribution Increase</w:t>
            </w:r>
          </w:p>
        </w:tc>
        <w:tc>
          <w:tcPr>
            <w:tcW w:w="10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65054" w:rsidRPr="009C62A1" w:rsidRDefault="00D65054" w:rsidP="007D3734">
            <w:pPr>
              <w:keepNext/>
              <w:keepLines/>
              <w:widowControl/>
              <w:contextualSpacing/>
              <w:rPr>
                <w:color w:val="000000"/>
                <w:sz w:val="26"/>
                <w:szCs w:val="26"/>
              </w:rPr>
            </w:pPr>
            <w:r w:rsidRPr="009C62A1">
              <w:rPr>
                <w:color w:val="000000"/>
                <w:sz w:val="26"/>
                <w:szCs w:val="26"/>
              </w:rPr>
              <w:t> </w:t>
            </w:r>
          </w:p>
        </w:tc>
        <w:tc>
          <w:tcPr>
            <w:tcW w:w="3107" w:type="dxa"/>
            <w:tcBorders>
              <w:top w:val="single" w:sz="8" w:space="0" w:color="auto"/>
              <w:left w:val="nil"/>
              <w:bottom w:val="single" w:sz="8" w:space="0" w:color="auto"/>
              <w:right w:val="nil"/>
            </w:tcBorders>
            <w:shd w:val="clear" w:color="auto" w:fill="auto"/>
            <w:noWrap/>
            <w:vAlign w:val="bottom"/>
            <w:hideMark/>
          </w:tcPr>
          <w:p w:rsidR="00D65054" w:rsidRPr="009C62A1" w:rsidRDefault="00D65054" w:rsidP="007D3734">
            <w:pPr>
              <w:keepNext/>
              <w:keepLines/>
              <w:widowControl/>
              <w:contextualSpacing/>
              <w:jc w:val="center"/>
              <w:rPr>
                <w:b/>
                <w:bCs/>
                <w:color w:val="000000"/>
                <w:sz w:val="26"/>
                <w:szCs w:val="26"/>
              </w:rPr>
            </w:pPr>
            <w:r w:rsidRPr="009C62A1">
              <w:rPr>
                <w:b/>
                <w:bCs/>
                <w:color w:val="000000"/>
                <w:sz w:val="26"/>
                <w:szCs w:val="26"/>
              </w:rPr>
              <w:t>Total Bill Increase</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65054" w:rsidRPr="009C62A1" w:rsidRDefault="00D65054" w:rsidP="007D3734">
            <w:pPr>
              <w:keepNext/>
              <w:keepLines/>
              <w:widowControl/>
              <w:contextualSpacing/>
              <w:rPr>
                <w:color w:val="000000"/>
                <w:sz w:val="26"/>
                <w:szCs w:val="26"/>
              </w:rPr>
            </w:pPr>
            <w:r w:rsidRPr="009C62A1">
              <w:rPr>
                <w:color w:val="000000"/>
                <w:sz w:val="26"/>
                <w:szCs w:val="26"/>
              </w:rPr>
              <w:t> </w:t>
            </w:r>
          </w:p>
        </w:tc>
      </w:tr>
      <w:tr w:rsidR="00D65054" w:rsidRPr="009C62A1" w:rsidTr="0074217A">
        <w:trPr>
          <w:trHeight w:val="315"/>
          <w:jc w:val="center"/>
        </w:trPr>
        <w:tc>
          <w:tcPr>
            <w:tcW w:w="3506" w:type="dxa"/>
            <w:tcBorders>
              <w:top w:val="nil"/>
              <w:left w:val="single" w:sz="8" w:space="0" w:color="auto"/>
              <w:bottom w:val="nil"/>
              <w:right w:val="nil"/>
            </w:tcBorders>
            <w:shd w:val="clear" w:color="auto" w:fill="auto"/>
            <w:noWrap/>
            <w:vAlign w:val="bottom"/>
            <w:hideMark/>
          </w:tcPr>
          <w:p w:rsidR="00D65054" w:rsidRPr="009C62A1" w:rsidRDefault="00D65054" w:rsidP="007D3734">
            <w:pPr>
              <w:keepNext/>
              <w:keepLines/>
              <w:widowControl/>
              <w:contextualSpacing/>
              <w:rPr>
                <w:color w:val="000000"/>
                <w:sz w:val="26"/>
                <w:szCs w:val="26"/>
              </w:rPr>
            </w:pPr>
            <w:r w:rsidRPr="009C62A1">
              <w:rPr>
                <w:color w:val="000000"/>
                <w:sz w:val="26"/>
                <w:szCs w:val="26"/>
              </w:rPr>
              <w:t>Present Distribution Bill</w:t>
            </w:r>
          </w:p>
        </w:tc>
        <w:tc>
          <w:tcPr>
            <w:tcW w:w="1018" w:type="dxa"/>
            <w:tcBorders>
              <w:top w:val="nil"/>
              <w:left w:val="single" w:sz="8" w:space="0" w:color="auto"/>
              <w:bottom w:val="nil"/>
              <w:right w:val="single" w:sz="8" w:space="0" w:color="auto"/>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 xml:space="preserve">$44.28 </w:t>
            </w:r>
          </w:p>
        </w:tc>
        <w:tc>
          <w:tcPr>
            <w:tcW w:w="3107" w:type="dxa"/>
            <w:tcBorders>
              <w:top w:val="nil"/>
              <w:left w:val="nil"/>
              <w:bottom w:val="nil"/>
              <w:right w:val="nil"/>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Present Total Bill</w:t>
            </w:r>
          </w:p>
        </w:tc>
        <w:tc>
          <w:tcPr>
            <w:tcW w:w="1061" w:type="dxa"/>
            <w:tcBorders>
              <w:top w:val="nil"/>
              <w:left w:val="single" w:sz="8" w:space="0" w:color="auto"/>
              <w:bottom w:val="nil"/>
              <w:right w:val="single" w:sz="8" w:space="0" w:color="auto"/>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 xml:space="preserve">$98.15 </w:t>
            </w:r>
          </w:p>
        </w:tc>
      </w:tr>
      <w:tr w:rsidR="00D65054" w:rsidRPr="009C62A1" w:rsidTr="0074217A">
        <w:trPr>
          <w:trHeight w:val="315"/>
          <w:jc w:val="center"/>
        </w:trPr>
        <w:tc>
          <w:tcPr>
            <w:tcW w:w="3506" w:type="dxa"/>
            <w:tcBorders>
              <w:top w:val="single" w:sz="8" w:space="0" w:color="auto"/>
              <w:left w:val="single" w:sz="8" w:space="0" w:color="auto"/>
              <w:bottom w:val="single" w:sz="8" w:space="0" w:color="auto"/>
              <w:right w:val="nil"/>
            </w:tcBorders>
            <w:shd w:val="clear" w:color="auto" w:fill="auto"/>
            <w:noWrap/>
            <w:vAlign w:val="bottom"/>
            <w:hideMark/>
          </w:tcPr>
          <w:p w:rsidR="00D65054" w:rsidRPr="009C62A1" w:rsidRDefault="00D65054" w:rsidP="007D3734">
            <w:pPr>
              <w:keepNext/>
              <w:keepLines/>
              <w:widowControl/>
              <w:contextualSpacing/>
              <w:rPr>
                <w:color w:val="000000"/>
                <w:sz w:val="26"/>
                <w:szCs w:val="26"/>
              </w:rPr>
            </w:pPr>
            <w:r w:rsidRPr="009C62A1">
              <w:rPr>
                <w:color w:val="000000"/>
                <w:sz w:val="26"/>
                <w:szCs w:val="26"/>
              </w:rPr>
              <w:t>Proposed Distribution Bill</w:t>
            </w:r>
          </w:p>
        </w:tc>
        <w:tc>
          <w:tcPr>
            <w:tcW w:w="10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 xml:space="preserve">$52.94 </w:t>
            </w:r>
          </w:p>
        </w:tc>
        <w:tc>
          <w:tcPr>
            <w:tcW w:w="3107" w:type="dxa"/>
            <w:tcBorders>
              <w:top w:val="single" w:sz="8" w:space="0" w:color="auto"/>
              <w:left w:val="nil"/>
              <w:bottom w:val="single" w:sz="8" w:space="0" w:color="auto"/>
              <w:right w:val="nil"/>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Proposed Total Bill</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 xml:space="preserve">$106.80 </w:t>
            </w:r>
          </w:p>
        </w:tc>
      </w:tr>
      <w:tr w:rsidR="00D65054" w:rsidRPr="009C62A1" w:rsidTr="0074217A">
        <w:trPr>
          <w:trHeight w:val="585"/>
          <w:jc w:val="center"/>
        </w:trPr>
        <w:tc>
          <w:tcPr>
            <w:tcW w:w="3506" w:type="dxa"/>
            <w:tcBorders>
              <w:top w:val="nil"/>
              <w:left w:val="single" w:sz="8" w:space="0" w:color="auto"/>
              <w:bottom w:val="nil"/>
              <w:right w:val="nil"/>
            </w:tcBorders>
            <w:shd w:val="clear" w:color="auto" w:fill="auto"/>
            <w:vAlign w:val="bottom"/>
            <w:hideMark/>
          </w:tcPr>
          <w:p w:rsidR="00D65054" w:rsidRPr="009C62A1" w:rsidRDefault="00D65054" w:rsidP="007D3734">
            <w:pPr>
              <w:keepNext/>
              <w:keepLines/>
              <w:widowControl/>
              <w:contextualSpacing/>
              <w:rPr>
                <w:color w:val="000000"/>
                <w:sz w:val="26"/>
                <w:szCs w:val="26"/>
              </w:rPr>
            </w:pPr>
            <w:r w:rsidRPr="009C62A1">
              <w:rPr>
                <w:color w:val="000000"/>
                <w:sz w:val="26"/>
                <w:szCs w:val="26"/>
              </w:rPr>
              <w:t>Proposed Percentage Distribution Increase</w:t>
            </w:r>
          </w:p>
        </w:tc>
        <w:tc>
          <w:tcPr>
            <w:tcW w:w="1018" w:type="dxa"/>
            <w:tcBorders>
              <w:top w:val="nil"/>
              <w:left w:val="single" w:sz="8" w:space="0" w:color="auto"/>
              <w:bottom w:val="nil"/>
              <w:right w:val="single" w:sz="8" w:space="0" w:color="auto"/>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19.55%</w:t>
            </w:r>
          </w:p>
        </w:tc>
        <w:tc>
          <w:tcPr>
            <w:tcW w:w="3107" w:type="dxa"/>
            <w:tcBorders>
              <w:top w:val="nil"/>
              <w:left w:val="nil"/>
              <w:bottom w:val="nil"/>
              <w:right w:val="nil"/>
            </w:tcBorders>
            <w:shd w:val="clear" w:color="auto" w:fill="auto"/>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Proposed Percentage Total Increase</w:t>
            </w:r>
          </w:p>
        </w:tc>
        <w:tc>
          <w:tcPr>
            <w:tcW w:w="1061" w:type="dxa"/>
            <w:tcBorders>
              <w:top w:val="nil"/>
              <w:left w:val="single" w:sz="8" w:space="0" w:color="auto"/>
              <w:bottom w:val="nil"/>
              <w:right w:val="single" w:sz="8" w:space="0" w:color="auto"/>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8.82%</w:t>
            </w:r>
          </w:p>
        </w:tc>
      </w:tr>
      <w:tr w:rsidR="00D65054" w:rsidRPr="009C62A1" w:rsidTr="0074217A">
        <w:trPr>
          <w:trHeight w:val="315"/>
          <w:jc w:val="center"/>
        </w:trPr>
        <w:tc>
          <w:tcPr>
            <w:tcW w:w="3506" w:type="dxa"/>
            <w:tcBorders>
              <w:top w:val="single" w:sz="8" w:space="0" w:color="auto"/>
              <w:left w:val="single" w:sz="8" w:space="0" w:color="auto"/>
              <w:bottom w:val="single" w:sz="8" w:space="0" w:color="auto"/>
              <w:right w:val="nil"/>
            </w:tcBorders>
            <w:shd w:val="clear" w:color="auto" w:fill="auto"/>
            <w:noWrap/>
            <w:vAlign w:val="bottom"/>
            <w:hideMark/>
          </w:tcPr>
          <w:p w:rsidR="00D65054" w:rsidRPr="009C62A1" w:rsidRDefault="00D65054" w:rsidP="007D3734">
            <w:pPr>
              <w:keepNext/>
              <w:keepLines/>
              <w:widowControl/>
              <w:contextualSpacing/>
              <w:rPr>
                <w:color w:val="000000"/>
                <w:sz w:val="26"/>
                <w:szCs w:val="26"/>
              </w:rPr>
            </w:pPr>
            <w:r w:rsidRPr="009C62A1">
              <w:rPr>
                <w:color w:val="000000"/>
                <w:sz w:val="26"/>
                <w:szCs w:val="26"/>
              </w:rPr>
              <w:t>Settled Distribution Bill</w:t>
            </w:r>
          </w:p>
        </w:tc>
        <w:tc>
          <w:tcPr>
            <w:tcW w:w="10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 xml:space="preserve">$48.64 </w:t>
            </w:r>
          </w:p>
        </w:tc>
        <w:tc>
          <w:tcPr>
            <w:tcW w:w="3107" w:type="dxa"/>
            <w:tcBorders>
              <w:top w:val="single" w:sz="8" w:space="0" w:color="auto"/>
              <w:left w:val="nil"/>
              <w:bottom w:val="single" w:sz="8" w:space="0" w:color="auto"/>
              <w:right w:val="nil"/>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Settled Total Bill</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 xml:space="preserve">$102.51 </w:t>
            </w:r>
          </w:p>
        </w:tc>
      </w:tr>
      <w:tr w:rsidR="00D65054" w:rsidRPr="009C62A1" w:rsidTr="0074217A">
        <w:trPr>
          <w:trHeight w:val="615"/>
          <w:jc w:val="center"/>
        </w:trPr>
        <w:tc>
          <w:tcPr>
            <w:tcW w:w="3506" w:type="dxa"/>
            <w:tcBorders>
              <w:top w:val="nil"/>
              <w:left w:val="single" w:sz="8" w:space="0" w:color="auto"/>
              <w:bottom w:val="single" w:sz="8" w:space="0" w:color="auto"/>
              <w:right w:val="nil"/>
            </w:tcBorders>
            <w:shd w:val="clear" w:color="auto" w:fill="auto"/>
            <w:vAlign w:val="bottom"/>
            <w:hideMark/>
          </w:tcPr>
          <w:p w:rsidR="00D65054" w:rsidRPr="009C62A1" w:rsidRDefault="00D65054" w:rsidP="007D3734">
            <w:pPr>
              <w:keepNext/>
              <w:keepLines/>
              <w:widowControl/>
              <w:contextualSpacing/>
              <w:rPr>
                <w:color w:val="000000"/>
                <w:sz w:val="26"/>
                <w:szCs w:val="26"/>
              </w:rPr>
            </w:pPr>
            <w:r w:rsidRPr="009C62A1">
              <w:rPr>
                <w:color w:val="000000"/>
                <w:sz w:val="26"/>
                <w:szCs w:val="26"/>
              </w:rPr>
              <w:t>Settled Percentage Distribution Increase</w:t>
            </w:r>
          </w:p>
        </w:tc>
        <w:tc>
          <w:tcPr>
            <w:tcW w:w="1018" w:type="dxa"/>
            <w:tcBorders>
              <w:top w:val="nil"/>
              <w:left w:val="single" w:sz="8" w:space="0" w:color="auto"/>
              <w:bottom w:val="single" w:sz="8" w:space="0" w:color="auto"/>
              <w:right w:val="single" w:sz="8" w:space="0" w:color="auto"/>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9.85%</w:t>
            </w:r>
          </w:p>
        </w:tc>
        <w:tc>
          <w:tcPr>
            <w:tcW w:w="3107" w:type="dxa"/>
            <w:tcBorders>
              <w:top w:val="nil"/>
              <w:left w:val="nil"/>
              <w:bottom w:val="single" w:sz="8" w:space="0" w:color="auto"/>
              <w:right w:val="nil"/>
            </w:tcBorders>
            <w:shd w:val="clear" w:color="auto" w:fill="auto"/>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Settled Percentage Total Increase</w:t>
            </w:r>
          </w:p>
        </w:tc>
        <w:tc>
          <w:tcPr>
            <w:tcW w:w="1061" w:type="dxa"/>
            <w:tcBorders>
              <w:top w:val="nil"/>
              <w:left w:val="single" w:sz="8" w:space="0" w:color="auto"/>
              <w:bottom w:val="single" w:sz="8" w:space="0" w:color="auto"/>
              <w:right w:val="single" w:sz="8" w:space="0" w:color="auto"/>
            </w:tcBorders>
            <w:shd w:val="clear" w:color="auto" w:fill="auto"/>
            <w:noWrap/>
            <w:vAlign w:val="center"/>
            <w:hideMark/>
          </w:tcPr>
          <w:p w:rsidR="00D65054" w:rsidRPr="009C62A1" w:rsidRDefault="00D65054" w:rsidP="007D3734">
            <w:pPr>
              <w:keepNext/>
              <w:keepLines/>
              <w:widowControl/>
              <w:contextualSpacing/>
              <w:rPr>
                <w:color w:val="000000"/>
                <w:sz w:val="26"/>
                <w:szCs w:val="26"/>
              </w:rPr>
            </w:pPr>
            <w:r w:rsidRPr="009C62A1">
              <w:rPr>
                <w:color w:val="000000"/>
                <w:sz w:val="26"/>
                <w:szCs w:val="26"/>
              </w:rPr>
              <w:t>4.44%</w:t>
            </w:r>
          </w:p>
        </w:tc>
      </w:tr>
    </w:tbl>
    <w:p w:rsidR="00D65054" w:rsidRDefault="00D65054" w:rsidP="007D3734">
      <w:pPr>
        <w:widowControl/>
        <w:ind w:firstLine="1440"/>
        <w:contextualSpacing/>
        <w:rPr>
          <w:sz w:val="26"/>
          <w:szCs w:val="26"/>
        </w:rPr>
      </w:pPr>
    </w:p>
    <w:p w:rsidR="00B52803" w:rsidRDefault="00B52803" w:rsidP="007D3734">
      <w:pPr>
        <w:widowControl/>
        <w:ind w:firstLine="1440"/>
        <w:contextualSpacing/>
        <w:rPr>
          <w:sz w:val="26"/>
          <w:szCs w:val="26"/>
        </w:rPr>
      </w:pPr>
    </w:p>
    <w:p w:rsidR="00D65054" w:rsidRDefault="00D65054" w:rsidP="007D3734">
      <w:pPr>
        <w:widowControl/>
        <w:spacing w:line="360" w:lineRule="auto"/>
        <w:contextualSpacing/>
        <w:rPr>
          <w:sz w:val="26"/>
          <w:szCs w:val="26"/>
        </w:rPr>
      </w:pPr>
      <w:r>
        <w:rPr>
          <w:sz w:val="26"/>
          <w:szCs w:val="26"/>
        </w:rPr>
        <w:t>Partial Settlement at 3</w:t>
      </w:r>
      <w:r w:rsidR="00505E41">
        <w:rPr>
          <w:sz w:val="26"/>
          <w:szCs w:val="26"/>
        </w:rPr>
        <w:t>, Appendix C at 1</w:t>
      </w:r>
      <w:r>
        <w:rPr>
          <w:sz w:val="26"/>
          <w:szCs w:val="26"/>
        </w:rPr>
        <w:t>.</w:t>
      </w:r>
    </w:p>
    <w:p w:rsidR="00D65054" w:rsidRDefault="00D65054" w:rsidP="007D3734">
      <w:pPr>
        <w:widowControl/>
        <w:spacing w:line="360" w:lineRule="auto"/>
        <w:contextualSpacing/>
        <w:rPr>
          <w:sz w:val="26"/>
          <w:szCs w:val="26"/>
        </w:rPr>
      </w:pPr>
    </w:p>
    <w:p w:rsidR="00D65054" w:rsidRPr="00496081" w:rsidRDefault="00D65054" w:rsidP="007D3734">
      <w:pPr>
        <w:widowControl/>
        <w:spacing w:line="360" w:lineRule="auto"/>
        <w:ind w:firstLine="1440"/>
        <w:contextualSpacing/>
        <w:rPr>
          <w:sz w:val="26"/>
          <w:szCs w:val="26"/>
        </w:rPr>
      </w:pPr>
      <w:r w:rsidRPr="00496081">
        <w:rPr>
          <w:sz w:val="26"/>
          <w:szCs w:val="26"/>
        </w:rPr>
        <w:t xml:space="preserve">In addition to the specific terms to which the Joint Petitioners have agreed, the </w:t>
      </w:r>
      <w:r>
        <w:rPr>
          <w:sz w:val="26"/>
          <w:szCs w:val="26"/>
        </w:rPr>
        <w:t xml:space="preserve">Partial </w:t>
      </w:r>
      <w:r w:rsidRPr="00496081">
        <w:rPr>
          <w:sz w:val="26"/>
          <w:szCs w:val="26"/>
        </w:rPr>
        <w:t xml:space="preserve">Settlement contains other general terms and conditions typically found in settlements submitted to the Commission.  Specifically, the Joint Petitioners agreed that the </w:t>
      </w:r>
      <w:r>
        <w:rPr>
          <w:sz w:val="26"/>
          <w:szCs w:val="26"/>
        </w:rPr>
        <w:t xml:space="preserve">Partial </w:t>
      </w:r>
      <w:r w:rsidRPr="00496081">
        <w:rPr>
          <w:sz w:val="26"/>
          <w:szCs w:val="26"/>
        </w:rPr>
        <w:t>Settlement is conditioned upon the Commission</w:t>
      </w:r>
      <w:r w:rsidR="001E73FA">
        <w:rPr>
          <w:sz w:val="26"/>
          <w:szCs w:val="26"/>
        </w:rPr>
        <w:t>’</w:t>
      </w:r>
      <w:r w:rsidRPr="00496081">
        <w:rPr>
          <w:sz w:val="26"/>
          <w:szCs w:val="26"/>
        </w:rPr>
        <w:t xml:space="preserve">s approval of all the terms and conditions contained therein without modification.  The </w:t>
      </w:r>
      <w:r w:rsidR="00D32F46">
        <w:rPr>
          <w:sz w:val="26"/>
          <w:szCs w:val="26"/>
        </w:rPr>
        <w:t>Joint Settlement Petition</w:t>
      </w:r>
      <w:r w:rsidR="0047542A">
        <w:rPr>
          <w:sz w:val="26"/>
          <w:szCs w:val="26"/>
        </w:rPr>
        <w:t xml:space="preserve"> </w:t>
      </w:r>
      <w:r w:rsidRPr="00496081">
        <w:rPr>
          <w:sz w:val="26"/>
          <w:szCs w:val="26"/>
        </w:rPr>
        <w:t xml:space="preserve">establishes the procedure by which any of the Joint Petitioners may withdraw from the </w:t>
      </w:r>
      <w:r>
        <w:rPr>
          <w:sz w:val="26"/>
          <w:szCs w:val="26"/>
        </w:rPr>
        <w:t xml:space="preserve">Partial </w:t>
      </w:r>
      <w:r w:rsidRPr="00496081">
        <w:rPr>
          <w:sz w:val="26"/>
          <w:szCs w:val="26"/>
        </w:rPr>
        <w:t xml:space="preserve">Settlement and proceed to litigate this case, if the Commission should act to modify or reject the Settlement.  In addition, the Joint Petitioners asserted that although the </w:t>
      </w:r>
      <w:r>
        <w:rPr>
          <w:sz w:val="26"/>
          <w:szCs w:val="26"/>
        </w:rPr>
        <w:t xml:space="preserve">Partial </w:t>
      </w:r>
      <w:r w:rsidRPr="00496081">
        <w:rPr>
          <w:sz w:val="26"/>
          <w:szCs w:val="26"/>
        </w:rPr>
        <w:t xml:space="preserve">Settlement is proffered to settle the instant case, it may not be cited as precedent in any future proceeding, except to the extent required to implement any term specifically agreed to by the Joint Petitioners.  </w:t>
      </w:r>
      <w:r w:rsidR="004F6EF1">
        <w:rPr>
          <w:sz w:val="26"/>
          <w:szCs w:val="26"/>
        </w:rPr>
        <w:t>T</w:t>
      </w:r>
      <w:r w:rsidRPr="00496081">
        <w:rPr>
          <w:sz w:val="26"/>
          <w:szCs w:val="26"/>
        </w:rPr>
        <w:t xml:space="preserve">he Joint Petitioners </w:t>
      </w:r>
      <w:r w:rsidR="004F6EF1">
        <w:rPr>
          <w:sz w:val="26"/>
          <w:szCs w:val="26"/>
        </w:rPr>
        <w:t xml:space="preserve">further </w:t>
      </w:r>
      <w:r w:rsidRPr="00496081">
        <w:rPr>
          <w:sz w:val="26"/>
          <w:szCs w:val="26"/>
        </w:rPr>
        <w:t xml:space="preserve">submitted that the </w:t>
      </w:r>
      <w:r>
        <w:rPr>
          <w:sz w:val="26"/>
          <w:szCs w:val="26"/>
        </w:rPr>
        <w:t xml:space="preserve">Partial </w:t>
      </w:r>
      <w:r w:rsidRPr="00496081">
        <w:rPr>
          <w:sz w:val="26"/>
          <w:szCs w:val="26"/>
        </w:rPr>
        <w:t xml:space="preserve">Settlement is made without any admission against, or prejudice to, any position which any of the Joint Petitioners might adopt in future proceedings, except to the extent necessary to effectuate or enforce any term specifically agreed to in the </w:t>
      </w:r>
      <w:r w:rsidR="0047542A">
        <w:rPr>
          <w:sz w:val="26"/>
          <w:szCs w:val="26"/>
        </w:rPr>
        <w:t xml:space="preserve">Partial </w:t>
      </w:r>
      <w:r w:rsidRPr="00496081">
        <w:rPr>
          <w:sz w:val="26"/>
          <w:szCs w:val="26"/>
        </w:rPr>
        <w:t xml:space="preserve">Settlement before us.  </w:t>
      </w:r>
      <w:r>
        <w:rPr>
          <w:sz w:val="26"/>
          <w:szCs w:val="26"/>
        </w:rPr>
        <w:t xml:space="preserve">Partial </w:t>
      </w:r>
      <w:r w:rsidRPr="00496081">
        <w:rPr>
          <w:sz w:val="26"/>
          <w:szCs w:val="26"/>
        </w:rPr>
        <w:t>Settlement ¶¶ </w:t>
      </w:r>
      <w:r>
        <w:rPr>
          <w:sz w:val="26"/>
          <w:szCs w:val="26"/>
        </w:rPr>
        <w:t>65</w:t>
      </w:r>
      <w:r>
        <w:rPr>
          <w:sz w:val="26"/>
          <w:szCs w:val="26"/>
        </w:rPr>
        <w:noBreakHyphen/>
        <w:t>69</w:t>
      </w:r>
      <w:r w:rsidRPr="00496081">
        <w:rPr>
          <w:sz w:val="26"/>
          <w:szCs w:val="26"/>
        </w:rPr>
        <w:t xml:space="preserve"> at </w:t>
      </w:r>
      <w:r>
        <w:rPr>
          <w:sz w:val="26"/>
          <w:szCs w:val="26"/>
        </w:rPr>
        <w:t>20-21</w:t>
      </w:r>
      <w:r w:rsidRPr="00496081">
        <w:rPr>
          <w:sz w:val="26"/>
          <w:szCs w:val="26"/>
        </w:rPr>
        <w:t xml:space="preserve">.  Moreover, the Joint Petitioners waived their right to file Exceptions in this case if the ALJ, in </w:t>
      </w:r>
      <w:r>
        <w:rPr>
          <w:sz w:val="26"/>
          <w:szCs w:val="26"/>
        </w:rPr>
        <w:t>her</w:t>
      </w:r>
      <w:r w:rsidRPr="00496081">
        <w:rPr>
          <w:sz w:val="26"/>
          <w:szCs w:val="26"/>
        </w:rPr>
        <w:t xml:space="preserve"> Recommended Decision, recommended the Commission adopt the </w:t>
      </w:r>
      <w:r>
        <w:rPr>
          <w:sz w:val="26"/>
          <w:szCs w:val="26"/>
        </w:rPr>
        <w:t xml:space="preserve">Partial </w:t>
      </w:r>
      <w:r w:rsidRPr="00496081">
        <w:rPr>
          <w:sz w:val="26"/>
          <w:szCs w:val="26"/>
        </w:rPr>
        <w:t xml:space="preserve">Settlement in full.  However, the Joint Petitioners expressly submitted that they did not waive their rights to file Exceptions </w:t>
      </w:r>
      <w:r>
        <w:rPr>
          <w:sz w:val="26"/>
          <w:szCs w:val="26"/>
        </w:rPr>
        <w:t>in response to issues reserved for litigation</w:t>
      </w:r>
      <w:r w:rsidRPr="00496081">
        <w:rPr>
          <w:sz w:val="26"/>
          <w:szCs w:val="26"/>
        </w:rPr>
        <w:t xml:space="preserve">.  </w:t>
      </w:r>
      <w:r w:rsidRPr="00496081">
        <w:rPr>
          <w:i/>
          <w:sz w:val="26"/>
          <w:szCs w:val="26"/>
        </w:rPr>
        <w:t>Id.</w:t>
      </w:r>
      <w:r w:rsidRPr="00496081">
        <w:rPr>
          <w:sz w:val="26"/>
          <w:szCs w:val="26"/>
        </w:rPr>
        <w:t xml:space="preserve"> ¶ </w:t>
      </w:r>
      <w:r>
        <w:rPr>
          <w:sz w:val="26"/>
          <w:szCs w:val="26"/>
        </w:rPr>
        <w:t>71</w:t>
      </w:r>
      <w:r w:rsidRPr="00496081">
        <w:rPr>
          <w:sz w:val="26"/>
          <w:szCs w:val="26"/>
        </w:rPr>
        <w:t xml:space="preserve"> at </w:t>
      </w:r>
      <w:r>
        <w:rPr>
          <w:sz w:val="26"/>
          <w:szCs w:val="26"/>
        </w:rPr>
        <w:t>21</w:t>
      </w:r>
      <w:r w:rsidRPr="00496081">
        <w:rPr>
          <w:sz w:val="26"/>
          <w:szCs w:val="26"/>
        </w:rPr>
        <w:t>.</w:t>
      </w:r>
    </w:p>
    <w:p w:rsidR="00D65054" w:rsidRDefault="00D65054" w:rsidP="007D3734">
      <w:pPr>
        <w:widowControl/>
        <w:spacing w:line="360" w:lineRule="auto"/>
        <w:ind w:firstLine="1440"/>
        <w:contextualSpacing/>
        <w:rPr>
          <w:sz w:val="26"/>
          <w:szCs w:val="26"/>
        </w:rPr>
      </w:pPr>
    </w:p>
    <w:p w:rsidR="00D65054" w:rsidRPr="00283CE3" w:rsidRDefault="00D65054" w:rsidP="007D3734">
      <w:pPr>
        <w:widowControl/>
        <w:spacing w:line="360" w:lineRule="auto"/>
        <w:ind w:firstLine="1440"/>
        <w:contextualSpacing/>
        <w:rPr>
          <w:sz w:val="26"/>
          <w:szCs w:val="26"/>
        </w:rPr>
      </w:pPr>
      <w:r w:rsidRPr="00283CE3">
        <w:rPr>
          <w:sz w:val="26"/>
          <w:szCs w:val="26"/>
        </w:rPr>
        <w:t xml:space="preserve">The Joint Petitioners respectfully requested that the ALJ and the Commission approve the </w:t>
      </w:r>
      <w:r>
        <w:rPr>
          <w:sz w:val="26"/>
          <w:szCs w:val="26"/>
        </w:rPr>
        <w:t xml:space="preserve">Partial </w:t>
      </w:r>
      <w:r w:rsidRPr="00283CE3">
        <w:rPr>
          <w:sz w:val="26"/>
          <w:szCs w:val="26"/>
        </w:rPr>
        <w:t xml:space="preserve">Settlement, including all terms and conditions thereof, subject to the resolution of the issue reserved for </w:t>
      </w:r>
      <w:r>
        <w:rPr>
          <w:sz w:val="26"/>
          <w:szCs w:val="26"/>
        </w:rPr>
        <w:t>litigation</w:t>
      </w:r>
      <w:r w:rsidRPr="00283CE3">
        <w:rPr>
          <w:sz w:val="26"/>
          <w:szCs w:val="26"/>
        </w:rPr>
        <w:t xml:space="preserve">.  </w:t>
      </w:r>
      <w:r>
        <w:rPr>
          <w:sz w:val="26"/>
          <w:szCs w:val="26"/>
        </w:rPr>
        <w:t xml:space="preserve">Partial </w:t>
      </w:r>
      <w:r w:rsidRPr="00283CE3">
        <w:rPr>
          <w:sz w:val="26"/>
          <w:szCs w:val="26"/>
        </w:rPr>
        <w:t>Settlement at 21</w:t>
      </w:r>
      <w:r>
        <w:rPr>
          <w:sz w:val="26"/>
          <w:szCs w:val="26"/>
        </w:rPr>
        <w:noBreakHyphen/>
        <w:t>22</w:t>
      </w:r>
      <w:r w:rsidRPr="00283CE3">
        <w:rPr>
          <w:sz w:val="26"/>
          <w:szCs w:val="26"/>
        </w:rPr>
        <w:t>.</w:t>
      </w:r>
    </w:p>
    <w:p w:rsidR="00D65054" w:rsidRDefault="00D65054" w:rsidP="007D3734">
      <w:pPr>
        <w:widowControl/>
        <w:spacing w:line="360" w:lineRule="auto"/>
        <w:contextualSpacing/>
        <w:rPr>
          <w:sz w:val="26"/>
          <w:szCs w:val="26"/>
        </w:rPr>
      </w:pPr>
    </w:p>
    <w:p w:rsidR="00D65054" w:rsidRPr="00AF7C9B" w:rsidRDefault="00D65054" w:rsidP="00F15E40">
      <w:pPr>
        <w:pStyle w:val="Heading2"/>
        <w:keepNext/>
        <w:keepLines/>
        <w:ind w:left="720" w:hanging="720"/>
      </w:pPr>
      <w:bookmarkStart w:id="15" w:name="_Toc531091819"/>
      <w:bookmarkStart w:id="16" w:name="_Toc532905959"/>
      <w:r w:rsidRPr="00AF7C9B">
        <w:lastRenderedPageBreak/>
        <w:t>Highlighted Issues</w:t>
      </w:r>
      <w:bookmarkEnd w:id="15"/>
      <w:bookmarkEnd w:id="16"/>
    </w:p>
    <w:p w:rsidR="00D65054" w:rsidRDefault="00D65054" w:rsidP="007D3734">
      <w:pPr>
        <w:keepNext/>
        <w:keepLines/>
        <w:widowControl/>
        <w:spacing w:line="360" w:lineRule="auto"/>
        <w:contextualSpacing/>
        <w:rPr>
          <w:sz w:val="26"/>
          <w:szCs w:val="26"/>
        </w:rPr>
      </w:pPr>
    </w:p>
    <w:p w:rsidR="00D65054" w:rsidRDefault="00D65054" w:rsidP="007D3734">
      <w:pPr>
        <w:widowControl/>
        <w:spacing w:line="360" w:lineRule="auto"/>
        <w:ind w:firstLine="1440"/>
        <w:contextualSpacing/>
        <w:rPr>
          <w:sz w:val="26"/>
          <w:szCs w:val="26"/>
        </w:rPr>
      </w:pPr>
      <w:r>
        <w:rPr>
          <w:sz w:val="26"/>
          <w:szCs w:val="26"/>
        </w:rPr>
        <w:t xml:space="preserve">At the hearing in this proceeding, the ALJ informed the Joint Petitioners of her concerns regarding certain of the provisions of the </w:t>
      </w:r>
      <w:r w:rsidR="0047542A">
        <w:rPr>
          <w:sz w:val="26"/>
          <w:szCs w:val="26"/>
        </w:rPr>
        <w:t xml:space="preserve">Partial </w:t>
      </w:r>
      <w:r>
        <w:rPr>
          <w:sz w:val="26"/>
          <w:szCs w:val="26"/>
        </w:rPr>
        <w:t>Settlement and requested that the Joint Petitioners, particularly Duquesne, provide justification in their respective Statements in Support for why these elements should remain in the Settlement.  Tr.</w:t>
      </w:r>
      <w:r w:rsidR="008D62A5">
        <w:rPr>
          <w:sz w:val="26"/>
          <w:szCs w:val="26"/>
        </w:rPr>
        <w:t> </w:t>
      </w:r>
      <w:r>
        <w:rPr>
          <w:sz w:val="26"/>
          <w:szCs w:val="26"/>
        </w:rPr>
        <w:t>at</w:t>
      </w:r>
      <w:r w:rsidR="0025061B">
        <w:rPr>
          <w:sz w:val="26"/>
          <w:szCs w:val="26"/>
        </w:rPr>
        <w:t> </w:t>
      </w:r>
      <w:r>
        <w:rPr>
          <w:sz w:val="26"/>
          <w:szCs w:val="26"/>
        </w:rPr>
        <w:t>67</w:t>
      </w:r>
      <w:r w:rsidR="008D62A5">
        <w:rPr>
          <w:sz w:val="26"/>
          <w:szCs w:val="26"/>
        </w:rPr>
        <w:noBreakHyphen/>
      </w:r>
      <w:r>
        <w:rPr>
          <w:sz w:val="26"/>
          <w:szCs w:val="26"/>
        </w:rPr>
        <w:t>77.  These issues are discussed in more detail below.</w:t>
      </w:r>
    </w:p>
    <w:p w:rsidR="00D65054" w:rsidRDefault="00D65054" w:rsidP="007D3734">
      <w:pPr>
        <w:widowControl/>
        <w:spacing w:line="360" w:lineRule="auto"/>
        <w:contextualSpacing/>
        <w:rPr>
          <w:sz w:val="26"/>
          <w:szCs w:val="26"/>
        </w:rPr>
      </w:pPr>
    </w:p>
    <w:p w:rsidR="00D65054" w:rsidRPr="00E32B08" w:rsidRDefault="00D65054" w:rsidP="007D3734">
      <w:pPr>
        <w:pStyle w:val="Heading3"/>
        <w:widowControl/>
        <w:spacing w:before="0"/>
        <w:ind w:firstLine="1440"/>
        <w:rPr>
          <w:rStyle w:val="Heading3Char"/>
          <w:b/>
        </w:rPr>
      </w:pPr>
      <w:bookmarkStart w:id="17" w:name="_Toc531091820"/>
      <w:bookmarkStart w:id="18" w:name="_Toc532905960"/>
      <w:r w:rsidRPr="00E32B08">
        <w:t>1.</w:t>
      </w:r>
      <w:r w:rsidRPr="00E32B08">
        <w:tab/>
      </w:r>
      <w:r w:rsidRPr="00E32B08">
        <w:rPr>
          <w:rStyle w:val="Heading3Char"/>
          <w:b/>
        </w:rPr>
        <w:t xml:space="preserve">Proposed Changes to </w:t>
      </w:r>
      <w:r w:rsidR="00BF7139">
        <w:rPr>
          <w:rStyle w:val="Heading3Char"/>
          <w:b/>
        </w:rPr>
        <w:t>Rider</w:t>
      </w:r>
      <w:r w:rsidRPr="00E32B08">
        <w:rPr>
          <w:rStyle w:val="Heading3Char"/>
          <w:b/>
        </w:rPr>
        <w:t xml:space="preserve"> No. 21</w:t>
      </w:r>
      <w:bookmarkEnd w:id="17"/>
      <w:bookmarkEnd w:id="18"/>
    </w:p>
    <w:p w:rsidR="00D65054" w:rsidRDefault="00D65054" w:rsidP="007D3734">
      <w:pPr>
        <w:keepNext/>
        <w:keepLines/>
        <w:widowControl/>
        <w:spacing w:line="360" w:lineRule="auto"/>
        <w:ind w:firstLine="1440"/>
        <w:contextualSpacing/>
        <w:rPr>
          <w:sz w:val="26"/>
          <w:szCs w:val="26"/>
        </w:rPr>
      </w:pPr>
    </w:p>
    <w:p w:rsidR="00D65054" w:rsidRPr="002720E8" w:rsidRDefault="00D65054" w:rsidP="007D3734">
      <w:pPr>
        <w:widowControl/>
        <w:spacing w:line="360" w:lineRule="auto"/>
        <w:ind w:firstLine="1440"/>
        <w:contextualSpacing/>
        <w:rPr>
          <w:sz w:val="26"/>
          <w:szCs w:val="26"/>
        </w:rPr>
      </w:pPr>
      <w:r w:rsidRPr="002720E8">
        <w:rPr>
          <w:sz w:val="26"/>
          <w:szCs w:val="26"/>
        </w:rPr>
        <w:t xml:space="preserve">In its initial filing, Duquesne proposed to update its </w:t>
      </w:r>
      <w:r w:rsidR="00BF7139">
        <w:rPr>
          <w:sz w:val="26"/>
          <w:szCs w:val="26"/>
        </w:rPr>
        <w:t>Rider</w:t>
      </w:r>
      <w:r w:rsidRPr="002720E8">
        <w:rPr>
          <w:sz w:val="26"/>
          <w:szCs w:val="26"/>
        </w:rPr>
        <w:t xml:space="preserve"> No. 21 – Net Metering Service to reflect a requirement that rate payers who are customer generators must install a generation meter at all new net metered facilities after </w:t>
      </w:r>
      <w:r w:rsidR="0040225D" w:rsidRPr="002720E8">
        <w:rPr>
          <w:sz w:val="26"/>
          <w:szCs w:val="26"/>
        </w:rPr>
        <w:t>December</w:t>
      </w:r>
      <w:r w:rsidR="0040225D">
        <w:rPr>
          <w:sz w:val="26"/>
          <w:szCs w:val="26"/>
        </w:rPr>
        <w:t> </w:t>
      </w:r>
      <w:r w:rsidR="0040225D" w:rsidRPr="002720E8">
        <w:rPr>
          <w:sz w:val="26"/>
          <w:szCs w:val="26"/>
        </w:rPr>
        <w:t>29</w:t>
      </w:r>
      <w:r w:rsidRPr="002720E8">
        <w:rPr>
          <w:sz w:val="26"/>
          <w:szCs w:val="26"/>
        </w:rPr>
        <w:t xml:space="preserve">, 2018.  This </w:t>
      </w:r>
      <w:r>
        <w:rPr>
          <w:sz w:val="26"/>
          <w:szCs w:val="26"/>
        </w:rPr>
        <w:t xml:space="preserve">proposal </w:t>
      </w:r>
      <w:r w:rsidRPr="002720E8">
        <w:rPr>
          <w:sz w:val="26"/>
          <w:szCs w:val="26"/>
        </w:rPr>
        <w:t>was not opposed by any other Party</w:t>
      </w:r>
      <w:r>
        <w:rPr>
          <w:sz w:val="26"/>
          <w:szCs w:val="26"/>
        </w:rPr>
        <w:t xml:space="preserve"> and was preserved without modification in the Partial Settlement</w:t>
      </w:r>
      <w:r w:rsidRPr="002720E8">
        <w:rPr>
          <w:sz w:val="26"/>
          <w:szCs w:val="26"/>
        </w:rPr>
        <w:t>.  Duquesne Statement in Support at</w:t>
      </w:r>
      <w:r w:rsidR="008D62A5">
        <w:rPr>
          <w:sz w:val="26"/>
          <w:szCs w:val="26"/>
        </w:rPr>
        <w:t> </w:t>
      </w:r>
      <w:r w:rsidRPr="002720E8">
        <w:rPr>
          <w:sz w:val="26"/>
          <w:szCs w:val="26"/>
        </w:rPr>
        <w:t xml:space="preserve">29.  At the hearing, the ALJ </w:t>
      </w:r>
      <w:r>
        <w:rPr>
          <w:sz w:val="26"/>
          <w:szCs w:val="26"/>
        </w:rPr>
        <w:t>instructed</w:t>
      </w:r>
      <w:r w:rsidRPr="002720E8">
        <w:rPr>
          <w:sz w:val="26"/>
          <w:szCs w:val="26"/>
        </w:rPr>
        <w:t xml:space="preserve"> </w:t>
      </w:r>
      <w:r>
        <w:rPr>
          <w:sz w:val="26"/>
          <w:szCs w:val="26"/>
        </w:rPr>
        <w:t xml:space="preserve">the </w:t>
      </w:r>
      <w:r w:rsidRPr="002720E8">
        <w:rPr>
          <w:sz w:val="26"/>
          <w:szCs w:val="26"/>
        </w:rPr>
        <w:t xml:space="preserve">Joint Petitioners </w:t>
      </w:r>
      <w:r>
        <w:rPr>
          <w:sz w:val="26"/>
          <w:szCs w:val="26"/>
        </w:rPr>
        <w:t xml:space="preserve">to </w:t>
      </w:r>
      <w:r w:rsidRPr="002720E8">
        <w:rPr>
          <w:sz w:val="26"/>
          <w:szCs w:val="26"/>
        </w:rPr>
        <w:t xml:space="preserve">explain the specific proposed changes to </w:t>
      </w:r>
      <w:r w:rsidR="00BF7139">
        <w:rPr>
          <w:sz w:val="26"/>
          <w:szCs w:val="26"/>
        </w:rPr>
        <w:t>Rider</w:t>
      </w:r>
      <w:r w:rsidRPr="002720E8">
        <w:rPr>
          <w:sz w:val="26"/>
          <w:szCs w:val="26"/>
        </w:rPr>
        <w:t xml:space="preserve"> 21 and to also explain how these changes will remain in compliance </w:t>
      </w:r>
      <w:r>
        <w:rPr>
          <w:sz w:val="26"/>
          <w:szCs w:val="26"/>
        </w:rPr>
        <w:t xml:space="preserve">with </w:t>
      </w:r>
      <w:r w:rsidR="00FF275E">
        <w:rPr>
          <w:sz w:val="26"/>
          <w:szCs w:val="26"/>
        </w:rPr>
        <w:t>the Commission</w:t>
      </w:r>
      <w:r w:rsidR="001E73FA">
        <w:rPr>
          <w:sz w:val="26"/>
          <w:szCs w:val="26"/>
        </w:rPr>
        <w:t>’</w:t>
      </w:r>
      <w:r w:rsidR="00FF275E">
        <w:rPr>
          <w:sz w:val="26"/>
          <w:szCs w:val="26"/>
        </w:rPr>
        <w:t>s</w:t>
      </w:r>
      <w:r w:rsidRPr="002720E8">
        <w:rPr>
          <w:sz w:val="26"/>
          <w:szCs w:val="26"/>
        </w:rPr>
        <w:t xml:space="preserve"> regulations at 52 Pa., Code § 75.14, related to meters and metering.  Tr at 675-76.</w:t>
      </w:r>
    </w:p>
    <w:p w:rsidR="00D65054" w:rsidRDefault="00D65054" w:rsidP="007D3734">
      <w:pPr>
        <w:widowControl/>
        <w:spacing w:line="360" w:lineRule="auto"/>
        <w:ind w:firstLine="1440"/>
        <w:contextualSpacing/>
        <w:rPr>
          <w:sz w:val="26"/>
          <w:szCs w:val="26"/>
        </w:rPr>
      </w:pPr>
    </w:p>
    <w:p w:rsidR="00D65054" w:rsidRPr="00AF7C9B" w:rsidRDefault="00D65054" w:rsidP="007D3734">
      <w:pPr>
        <w:keepNext/>
        <w:keepLines/>
        <w:widowControl/>
        <w:spacing w:line="360" w:lineRule="auto"/>
        <w:ind w:firstLine="1440"/>
        <w:contextualSpacing/>
        <w:rPr>
          <w:b/>
          <w:sz w:val="26"/>
          <w:szCs w:val="26"/>
        </w:rPr>
      </w:pPr>
      <w:r w:rsidRPr="00AF7C9B">
        <w:rPr>
          <w:b/>
          <w:sz w:val="26"/>
          <w:szCs w:val="26"/>
        </w:rPr>
        <w:tab/>
        <w:t>a.</w:t>
      </w:r>
      <w:r w:rsidRPr="00AF7C9B">
        <w:rPr>
          <w:b/>
          <w:sz w:val="26"/>
          <w:szCs w:val="26"/>
        </w:rPr>
        <w:tab/>
      </w:r>
      <w:r w:rsidRPr="008166F3">
        <w:rPr>
          <w:rStyle w:val="Heading4Char"/>
        </w:rPr>
        <w:t>Positions of the Parties</w:t>
      </w:r>
    </w:p>
    <w:p w:rsidR="00D65054" w:rsidRDefault="00D65054" w:rsidP="007D3734">
      <w:pPr>
        <w:keepNext/>
        <w:keepLines/>
        <w:widowControl/>
        <w:spacing w:line="360" w:lineRule="auto"/>
        <w:ind w:firstLine="1440"/>
        <w:contextualSpacing/>
        <w:rPr>
          <w:sz w:val="26"/>
          <w:szCs w:val="26"/>
        </w:rPr>
      </w:pPr>
    </w:p>
    <w:p w:rsidR="00D65054" w:rsidRPr="002720E8" w:rsidRDefault="00D65054" w:rsidP="007D3734">
      <w:pPr>
        <w:widowControl/>
        <w:spacing w:line="360" w:lineRule="auto"/>
        <w:ind w:firstLine="1440"/>
        <w:contextualSpacing/>
        <w:rPr>
          <w:sz w:val="26"/>
          <w:szCs w:val="26"/>
        </w:rPr>
      </w:pPr>
      <w:r w:rsidRPr="002720E8">
        <w:rPr>
          <w:sz w:val="26"/>
          <w:szCs w:val="26"/>
        </w:rPr>
        <w:t>Duquesne explained that under this proposal, it would install an additional meter at new net metered facilities to measure the facility</w:t>
      </w:r>
      <w:r w:rsidR="001E73FA">
        <w:rPr>
          <w:sz w:val="26"/>
          <w:szCs w:val="26"/>
        </w:rPr>
        <w:t>’</w:t>
      </w:r>
      <w:r w:rsidRPr="002720E8">
        <w:rPr>
          <w:sz w:val="26"/>
          <w:szCs w:val="26"/>
        </w:rPr>
        <w:t xml:space="preserve">s total generation output and that the customer would be responsible for installing the meter socket for the generation meter.  Duquesne noted that although this would not be required for existing net metered facilities or those in the interconnection queue, it reserved the right to retrofit such facilities with a generation meter at its expense.  Duquesne reasoned that its proposal supports distributed generation implementation by enabling Duquesne to gather more </w:t>
      </w:r>
      <w:r w:rsidRPr="002720E8">
        <w:rPr>
          <w:sz w:val="26"/>
          <w:szCs w:val="26"/>
        </w:rPr>
        <w:lastRenderedPageBreak/>
        <w:t>granular data regarding net metered facility generation output, which could be useful for Duquesne in distribution planning and operations and could also be useful in the aggregate to the Commission and other interested parties.  Duquesne Statement in Support at 29.</w:t>
      </w:r>
    </w:p>
    <w:p w:rsidR="00D65054" w:rsidRPr="002720E8" w:rsidRDefault="00D65054" w:rsidP="007D3734">
      <w:pPr>
        <w:widowControl/>
        <w:spacing w:line="360" w:lineRule="auto"/>
        <w:ind w:firstLine="1440"/>
        <w:contextualSpacing/>
        <w:rPr>
          <w:sz w:val="26"/>
          <w:szCs w:val="26"/>
        </w:rPr>
      </w:pPr>
    </w:p>
    <w:p w:rsidR="00D65054" w:rsidRPr="002720E8" w:rsidRDefault="00D65054" w:rsidP="007D3734">
      <w:pPr>
        <w:widowControl/>
        <w:spacing w:line="360" w:lineRule="auto"/>
        <w:ind w:firstLine="1440"/>
        <w:contextualSpacing/>
        <w:rPr>
          <w:sz w:val="26"/>
          <w:szCs w:val="26"/>
        </w:rPr>
      </w:pPr>
      <w:r w:rsidRPr="002720E8">
        <w:rPr>
          <w:sz w:val="26"/>
          <w:szCs w:val="26"/>
        </w:rPr>
        <w:t>Duquesne claimed that this proposal is consistent with our regulations at 52 Pa. Code § 75.14 because it does not implicate the requirement under this section that a customer-generator facility must be equipped with a bidirectional meter.  Rather, Duquesne submitted that it would continue to equip net metered facilities with a bidirectional net meter for billing-related purposes, including the measurement of net consumption and/or excess generation credits.  Thus, according to Duquesne, net-metered customers wou</w:t>
      </w:r>
      <w:r>
        <w:rPr>
          <w:sz w:val="26"/>
          <w:szCs w:val="26"/>
        </w:rPr>
        <w:t>l</w:t>
      </w:r>
      <w:r w:rsidRPr="002720E8">
        <w:rPr>
          <w:sz w:val="26"/>
          <w:szCs w:val="26"/>
        </w:rPr>
        <w:t>d not experience any change in the manner, speed, or degree at which they realize the benefits of net metering because the generation meter would be used solely for data collection purposes.  Duquesne Statement in Support at 29-30.</w:t>
      </w:r>
    </w:p>
    <w:p w:rsidR="00D65054" w:rsidRPr="002720E8" w:rsidRDefault="00D65054" w:rsidP="007D3734">
      <w:pPr>
        <w:widowControl/>
        <w:spacing w:line="360" w:lineRule="auto"/>
        <w:ind w:firstLine="1440"/>
        <w:contextualSpacing/>
        <w:rPr>
          <w:sz w:val="26"/>
          <w:szCs w:val="26"/>
        </w:rPr>
      </w:pPr>
    </w:p>
    <w:p w:rsidR="00D65054" w:rsidRPr="002720E8" w:rsidRDefault="00D65054" w:rsidP="007D3734">
      <w:pPr>
        <w:widowControl/>
        <w:spacing w:line="360" w:lineRule="auto"/>
        <w:ind w:firstLine="1440"/>
        <w:contextualSpacing/>
        <w:rPr>
          <w:sz w:val="26"/>
          <w:szCs w:val="26"/>
        </w:rPr>
      </w:pPr>
      <w:r w:rsidRPr="002720E8">
        <w:rPr>
          <w:sz w:val="26"/>
          <w:szCs w:val="26"/>
        </w:rPr>
        <w:t xml:space="preserve">Duquesne also noted that the incremental costs associated with its proposal would be allocated consistent with its existing practice.  Namely, Duquesne would bear the costs of the generation meter and customers would bear the costs of </w:t>
      </w:r>
      <w:r>
        <w:rPr>
          <w:sz w:val="26"/>
          <w:szCs w:val="26"/>
        </w:rPr>
        <w:t>installing the new meter socket which would accommodate this meter</w:t>
      </w:r>
      <w:r w:rsidRPr="002720E8">
        <w:rPr>
          <w:sz w:val="26"/>
          <w:szCs w:val="26"/>
        </w:rPr>
        <w:t>.  Duquesne argued that procuring and installing an additional meter socket would result in incremental customer costs of about $75.  In Duquesne</w:t>
      </w:r>
      <w:r w:rsidR="001E73FA">
        <w:rPr>
          <w:sz w:val="26"/>
          <w:szCs w:val="26"/>
        </w:rPr>
        <w:t>’</w:t>
      </w:r>
      <w:r w:rsidRPr="002720E8">
        <w:rPr>
          <w:sz w:val="26"/>
          <w:szCs w:val="26"/>
        </w:rPr>
        <w:t>s view, this cost is reasonable in light of the benefits that it claims the generation meters will yield.  Further, Duquesne explained that the revenue impacts of these incremental costs are reflected in the negotiated black box revenue requirement.  Duquesne Statement in Support at 31.</w:t>
      </w:r>
    </w:p>
    <w:p w:rsidR="00D65054" w:rsidRDefault="00D65054" w:rsidP="007D3734">
      <w:pPr>
        <w:widowControl/>
        <w:spacing w:line="360" w:lineRule="auto"/>
        <w:ind w:firstLine="1440"/>
        <w:contextualSpacing/>
        <w:rPr>
          <w:sz w:val="26"/>
          <w:szCs w:val="26"/>
        </w:rPr>
      </w:pPr>
    </w:p>
    <w:p w:rsidR="00D65054" w:rsidRPr="008166F3" w:rsidRDefault="00D65054" w:rsidP="007D3734">
      <w:pPr>
        <w:keepNext/>
        <w:keepLines/>
        <w:widowControl/>
        <w:spacing w:line="360" w:lineRule="auto"/>
        <w:ind w:firstLine="1440"/>
        <w:contextualSpacing/>
        <w:rPr>
          <w:rStyle w:val="Heading4Char"/>
        </w:rPr>
      </w:pPr>
      <w:r w:rsidRPr="00AF7C9B">
        <w:rPr>
          <w:b/>
          <w:sz w:val="26"/>
          <w:szCs w:val="26"/>
        </w:rPr>
        <w:tab/>
        <w:t>b.</w:t>
      </w:r>
      <w:r w:rsidRPr="00AF7C9B">
        <w:rPr>
          <w:b/>
          <w:sz w:val="26"/>
          <w:szCs w:val="26"/>
        </w:rPr>
        <w:tab/>
      </w:r>
      <w:r w:rsidRPr="008166F3">
        <w:rPr>
          <w:rStyle w:val="Heading4Char"/>
        </w:rPr>
        <w:t>ALJ</w:t>
      </w:r>
      <w:r w:rsidR="001E73FA">
        <w:rPr>
          <w:rStyle w:val="Heading4Char"/>
        </w:rPr>
        <w:t>’</w:t>
      </w:r>
      <w:r w:rsidRPr="008166F3">
        <w:rPr>
          <w:rStyle w:val="Heading4Char"/>
        </w:rPr>
        <w:t>s Recommendation</w:t>
      </w:r>
    </w:p>
    <w:p w:rsidR="00D65054" w:rsidRDefault="00D65054" w:rsidP="007D3734">
      <w:pPr>
        <w:keepNext/>
        <w:keepLines/>
        <w:widowControl/>
        <w:spacing w:line="360" w:lineRule="auto"/>
        <w:ind w:firstLine="1440"/>
        <w:contextualSpacing/>
        <w:rPr>
          <w:sz w:val="26"/>
          <w:szCs w:val="26"/>
        </w:rPr>
      </w:pPr>
    </w:p>
    <w:p w:rsidR="00D65054" w:rsidRPr="00B505D5" w:rsidRDefault="00D65054" w:rsidP="007D3734">
      <w:pPr>
        <w:widowControl/>
        <w:spacing w:line="360" w:lineRule="auto"/>
        <w:ind w:firstLine="1440"/>
        <w:contextualSpacing/>
        <w:rPr>
          <w:sz w:val="26"/>
          <w:szCs w:val="26"/>
        </w:rPr>
      </w:pPr>
      <w:r w:rsidRPr="00B505D5">
        <w:rPr>
          <w:sz w:val="26"/>
          <w:szCs w:val="26"/>
        </w:rPr>
        <w:t>The ALJ recommended that Duquesne</w:t>
      </w:r>
      <w:r w:rsidR="001E73FA">
        <w:rPr>
          <w:sz w:val="26"/>
          <w:szCs w:val="26"/>
        </w:rPr>
        <w:t>’</w:t>
      </w:r>
      <w:r w:rsidRPr="00B505D5">
        <w:rPr>
          <w:sz w:val="26"/>
          <w:szCs w:val="26"/>
        </w:rPr>
        <w:t xml:space="preserve">s request to amend its </w:t>
      </w:r>
      <w:r w:rsidR="00BF7139">
        <w:rPr>
          <w:sz w:val="26"/>
          <w:szCs w:val="26"/>
        </w:rPr>
        <w:t>Rider</w:t>
      </w:r>
      <w:r w:rsidRPr="00B505D5">
        <w:rPr>
          <w:sz w:val="26"/>
          <w:szCs w:val="26"/>
        </w:rPr>
        <w:t xml:space="preserve"> No. 21, as outlined above, be denied.  The ALJ found Duquesne</w:t>
      </w:r>
      <w:r w:rsidR="001E73FA">
        <w:rPr>
          <w:sz w:val="26"/>
          <w:szCs w:val="26"/>
        </w:rPr>
        <w:t>’</w:t>
      </w:r>
      <w:r w:rsidRPr="00B505D5">
        <w:rPr>
          <w:sz w:val="26"/>
          <w:szCs w:val="26"/>
        </w:rPr>
        <w:t xml:space="preserve">s proposal to be contrary to the </w:t>
      </w:r>
      <w:r w:rsidRPr="00B505D5">
        <w:rPr>
          <w:sz w:val="26"/>
          <w:szCs w:val="26"/>
        </w:rPr>
        <w:lastRenderedPageBreak/>
        <w:t>language of 52 Pa. Code § 75.13(k), which prohibits an EDC from charging a fee or other type of charge to a net metered customer generator if that fee or charge is not applied to other customers of the EDC who are not customer-generators.  The ALJ pointed out that under this regulation, an EDC may not require additional equipment unless the Commission specifically authorizes the additional equipment.  The ALJ concluded that Duquesne failed to justify why it is just or reasonable to impose a new fee on new customer-generators that does not apply to other customers.  According to the ALJ, while collecting information to assist with future planning is a valid exercise, such data collection does not justify the cost associated with the installation of the generation meter socket.  In the ALJ</w:t>
      </w:r>
      <w:r w:rsidR="001E73FA">
        <w:rPr>
          <w:sz w:val="26"/>
          <w:szCs w:val="26"/>
        </w:rPr>
        <w:t>’</w:t>
      </w:r>
      <w:r w:rsidRPr="00B505D5">
        <w:rPr>
          <w:sz w:val="26"/>
          <w:szCs w:val="26"/>
        </w:rPr>
        <w:t>s view, Duquesne</w:t>
      </w:r>
      <w:r w:rsidR="001E73FA">
        <w:rPr>
          <w:sz w:val="26"/>
          <w:szCs w:val="26"/>
        </w:rPr>
        <w:t>’</w:t>
      </w:r>
      <w:r w:rsidRPr="00B505D5">
        <w:rPr>
          <w:sz w:val="26"/>
          <w:szCs w:val="26"/>
        </w:rPr>
        <w:t>s proposed revision would discourage the installation of new generating facilities, resulting in a reduction in energy conservation efforts, which is contrary to the goals of the Commission.  R.D. at 163-64.</w:t>
      </w:r>
    </w:p>
    <w:p w:rsidR="00D65054" w:rsidRDefault="00D65054" w:rsidP="007D3734">
      <w:pPr>
        <w:widowControl/>
        <w:spacing w:line="360" w:lineRule="auto"/>
        <w:ind w:firstLine="1440"/>
        <w:contextualSpacing/>
        <w:rPr>
          <w:sz w:val="26"/>
          <w:szCs w:val="26"/>
        </w:rPr>
      </w:pPr>
    </w:p>
    <w:p w:rsidR="00D65054" w:rsidRPr="00E32B08" w:rsidRDefault="00D65054" w:rsidP="007D3734">
      <w:pPr>
        <w:pStyle w:val="Heading3"/>
        <w:widowControl/>
        <w:ind w:left="1440"/>
        <w:rPr>
          <w:rStyle w:val="Heading3Char"/>
          <w:b/>
        </w:rPr>
      </w:pPr>
      <w:bookmarkStart w:id="19" w:name="_Toc531091821"/>
      <w:bookmarkStart w:id="20" w:name="_Toc532905961"/>
      <w:r w:rsidRPr="00E32B08">
        <w:t>2.</w:t>
      </w:r>
      <w:r w:rsidRPr="00E32B08">
        <w:tab/>
      </w:r>
      <w:r w:rsidRPr="0092280A">
        <w:rPr>
          <w:rStyle w:val="Heading3Char"/>
          <w:b/>
        </w:rPr>
        <w:t>Allowed Smart Meter Costs</w:t>
      </w:r>
      <w:bookmarkEnd w:id="19"/>
      <w:bookmarkEnd w:id="20"/>
    </w:p>
    <w:p w:rsidR="00D65054" w:rsidRDefault="00D65054" w:rsidP="007D3734">
      <w:pPr>
        <w:keepNext/>
        <w:keepLines/>
        <w:widowControl/>
        <w:spacing w:line="360" w:lineRule="auto"/>
        <w:ind w:firstLine="1440"/>
        <w:contextualSpacing/>
        <w:rPr>
          <w:sz w:val="26"/>
          <w:szCs w:val="26"/>
        </w:rPr>
      </w:pPr>
    </w:p>
    <w:p w:rsidR="00D65054" w:rsidRDefault="00D65054" w:rsidP="007D3734">
      <w:pPr>
        <w:widowControl/>
        <w:spacing w:line="360" w:lineRule="auto"/>
        <w:ind w:firstLine="1440"/>
        <w:contextualSpacing/>
        <w:rPr>
          <w:sz w:val="26"/>
          <w:szCs w:val="26"/>
        </w:rPr>
      </w:pPr>
      <w:r>
        <w:rPr>
          <w:sz w:val="26"/>
          <w:szCs w:val="26"/>
        </w:rPr>
        <w:t>In this proceeding, Duquesne requested permission to roll its SMC into base rates.  Additionally, Duquesne noted that its smart meter installations will be completed by the end of 2019, which corresponds to the FPFTY in this proceeding.  Duquesne Statement in Support at 6.  At the hearing, the ALJ inquired as to whether the inclusion of smart meter costs complies with prior Commission Orders and whether the Commission has already granted permission for this type of cost to be included.  Tr. at</w:t>
      </w:r>
      <w:r w:rsidR="00046C50">
        <w:rPr>
          <w:sz w:val="26"/>
          <w:szCs w:val="26"/>
        </w:rPr>
        <w:t> </w:t>
      </w:r>
      <w:r>
        <w:rPr>
          <w:sz w:val="26"/>
          <w:szCs w:val="26"/>
        </w:rPr>
        <w:t>676</w:t>
      </w:r>
    </w:p>
    <w:p w:rsidR="00D65054" w:rsidRDefault="00D65054" w:rsidP="007D3734">
      <w:pPr>
        <w:widowControl/>
        <w:spacing w:line="360" w:lineRule="auto"/>
        <w:ind w:firstLine="1440"/>
        <w:contextualSpacing/>
        <w:rPr>
          <w:sz w:val="26"/>
          <w:szCs w:val="26"/>
        </w:rPr>
      </w:pPr>
    </w:p>
    <w:p w:rsidR="00D65054" w:rsidRPr="00AF7C9B" w:rsidRDefault="00D65054" w:rsidP="004926C1">
      <w:pPr>
        <w:keepNext/>
        <w:keepLines/>
        <w:widowControl/>
        <w:spacing w:line="360" w:lineRule="auto"/>
        <w:ind w:firstLine="1440"/>
        <w:contextualSpacing/>
        <w:rPr>
          <w:b/>
          <w:sz w:val="26"/>
          <w:szCs w:val="26"/>
        </w:rPr>
      </w:pPr>
      <w:r w:rsidRPr="00AF7C9B">
        <w:rPr>
          <w:b/>
          <w:sz w:val="26"/>
          <w:szCs w:val="26"/>
        </w:rPr>
        <w:tab/>
        <w:t>a.</w:t>
      </w:r>
      <w:r w:rsidRPr="00AF7C9B">
        <w:rPr>
          <w:b/>
          <w:sz w:val="26"/>
          <w:szCs w:val="26"/>
        </w:rPr>
        <w:tab/>
      </w:r>
      <w:r w:rsidRPr="008166F3">
        <w:rPr>
          <w:rStyle w:val="Heading4Char"/>
        </w:rPr>
        <w:t>Positions of the Parties</w:t>
      </w:r>
    </w:p>
    <w:p w:rsidR="00D65054" w:rsidRDefault="00D65054" w:rsidP="00F15E40">
      <w:pPr>
        <w:keepNext/>
        <w:keepLines/>
        <w:widowControl/>
        <w:spacing w:line="360" w:lineRule="auto"/>
        <w:ind w:firstLine="1440"/>
        <w:contextualSpacing/>
        <w:rPr>
          <w:sz w:val="26"/>
          <w:szCs w:val="26"/>
        </w:rPr>
      </w:pPr>
    </w:p>
    <w:p w:rsidR="00D65054" w:rsidRDefault="00D65054" w:rsidP="007D3734">
      <w:pPr>
        <w:widowControl/>
        <w:spacing w:line="360" w:lineRule="auto"/>
        <w:ind w:firstLine="1440"/>
        <w:contextualSpacing/>
        <w:rPr>
          <w:sz w:val="26"/>
          <w:szCs w:val="26"/>
        </w:rPr>
      </w:pPr>
      <w:r>
        <w:rPr>
          <w:sz w:val="26"/>
          <w:szCs w:val="26"/>
        </w:rPr>
        <w:t>Duquesne asserted that all SMC costs have been subject to audit as part of the reconcilable surcharge and any costs that were previously included in the surcharge remain subject to audit pursuant to the Commission</w:t>
      </w:r>
      <w:r w:rsidR="001E73FA">
        <w:rPr>
          <w:sz w:val="26"/>
          <w:szCs w:val="26"/>
        </w:rPr>
        <w:t>’</w:t>
      </w:r>
      <w:r>
        <w:rPr>
          <w:sz w:val="26"/>
          <w:szCs w:val="26"/>
        </w:rPr>
        <w:t xml:space="preserve">s rules and regulations.  Duquesne represented that any smart meter costs that were not previously included in its SMC were </w:t>
      </w:r>
      <w:r>
        <w:rPr>
          <w:sz w:val="26"/>
          <w:szCs w:val="26"/>
        </w:rPr>
        <w:lastRenderedPageBreak/>
        <w:t>included in the test years in this proceeding and were subject to review by the Parties to this proceeding.  Citing to Section 2807(f)(7) of the Code, 66 Pa. C.S. § 2807(f)(7), Duquesne submitted that electric distribution companies are permitted to recover smart meter costs through an automatic adjustment clause or through base rates.  Therefore, Duquesne reasoned that its proposal to roll its SMC into base rates and to recover remaining smart meter costs in base rates is appropriate.  Duquesne Statement in Support at</w:t>
      </w:r>
      <w:r w:rsidR="00046C50">
        <w:rPr>
          <w:sz w:val="26"/>
          <w:szCs w:val="26"/>
        </w:rPr>
        <w:t> </w:t>
      </w:r>
      <w:r>
        <w:rPr>
          <w:sz w:val="26"/>
          <w:szCs w:val="26"/>
        </w:rPr>
        <w:t>6-7.</w:t>
      </w:r>
    </w:p>
    <w:p w:rsidR="00D65054" w:rsidRDefault="00D65054" w:rsidP="007D3734">
      <w:pPr>
        <w:widowControl/>
        <w:spacing w:line="360" w:lineRule="auto"/>
        <w:ind w:firstLine="1440"/>
        <w:contextualSpacing/>
        <w:rPr>
          <w:sz w:val="26"/>
          <w:szCs w:val="26"/>
        </w:rPr>
      </w:pPr>
    </w:p>
    <w:p w:rsidR="00D65054" w:rsidRPr="003015CF" w:rsidRDefault="00D65054" w:rsidP="007D3734">
      <w:pPr>
        <w:widowControl/>
        <w:spacing w:line="360" w:lineRule="auto"/>
        <w:ind w:firstLine="1440"/>
        <w:contextualSpacing/>
        <w:rPr>
          <w:sz w:val="26"/>
          <w:szCs w:val="26"/>
        </w:rPr>
      </w:pPr>
      <w:r>
        <w:rPr>
          <w:sz w:val="26"/>
          <w:szCs w:val="26"/>
        </w:rPr>
        <w:t>The OCA submitted that Duquesne</w:t>
      </w:r>
      <w:r w:rsidR="001E73FA">
        <w:rPr>
          <w:sz w:val="26"/>
          <w:szCs w:val="26"/>
        </w:rPr>
        <w:t>’</w:t>
      </w:r>
      <w:r>
        <w:rPr>
          <w:sz w:val="26"/>
          <w:szCs w:val="26"/>
        </w:rPr>
        <w:t xml:space="preserve">s proposal should be approved without modification because it is consistent with the Code and with prior Commission orders.  Specifically, the OCA cited to </w:t>
      </w:r>
      <w:r>
        <w:rPr>
          <w:i/>
          <w:sz w:val="26"/>
          <w:szCs w:val="26"/>
        </w:rPr>
        <w:t xml:space="preserve">Petition of West Penn Power Company for Approval of Smart Meter Deployment Plan, </w:t>
      </w:r>
      <w:r>
        <w:rPr>
          <w:sz w:val="26"/>
          <w:szCs w:val="26"/>
        </w:rPr>
        <w:t>Docket No. R-2014-2428742.  OCA Statement in Support at 22-23.</w:t>
      </w:r>
    </w:p>
    <w:p w:rsidR="00D65054" w:rsidRDefault="00D65054" w:rsidP="007D3734">
      <w:pPr>
        <w:widowControl/>
        <w:spacing w:line="360" w:lineRule="auto"/>
        <w:ind w:firstLine="1440"/>
        <w:contextualSpacing/>
        <w:rPr>
          <w:sz w:val="26"/>
          <w:szCs w:val="26"/>
        </w:rPr>
      </w:pPr>
    </w:p>
    <w:p w:rsidR="00D65054" w:rsidRPr="00AF7C9B" w:rsidRDefault="00D65054" w:rsidP="007D3734">
      <w:pPr>
        <w:keepLines/>
        <w:widowControl/>
        <w:spacing w:line="360" w:lineRule="auto"/>
        <w:ind w:firstLine="1440"/>
        <w:contextualSpacing/>
        <w:rPr>
          <w:b/>
          <w:sz w:val="26"/>
          <w:szCs w:val="26"/>
        </w:rPr>
      </w:pPr>
      <w:r w:rsidRPr="00AF7C9B">
        <w:rPr>
          <w:b/>
          <w:sz w:val="26"/>
          <w:szCs w:val="26"/>
        </w:rPr>
        <w:tab/>
        <w:t>b.</w:t>
      </w:r>
      <w:r w:rsidRPr="00AF7C9B">
        <w:rPr>
          <w:b/>
          <w:sz w:val="26"/>
          <w:szCs w:val="26"/>
        </w:rPr>
        <w:tab/>
      </w:r>
      <w:r w:rsidRPr="008166F3">
        <w:rPr>
          <w:rStyle w:val="Heading4Char"/>
        </w:rPr>
        <w:t>ALJ</w:t>
      </w:r>
      <w:r w:rsidR="001E73FA">
        <w:rPr>
          <w:rStyle w:val="Heading4Char"/>
        </w:rPr>
        <w:t>’</w:t>
      </w:r>
      <w:r w:rsidRPr="008166F3">
        <w:rPr>
          <w:rStyle w:val="Heading4Char"/>
        </w:rPr>
        <w:t>s Recommendation</w:t>
      </w:r>
    </w:p>
    <w:p w:rsidR="00D65054" w:rsidRDefault="00D65054" w:rsidP="007D3734">
      <w:pPr>
        <w:keepLines/>
        <w:widowControl/>
        <w:spacing w:line="360" w:lineRule="auto"/>
        <w:ind w:firstLine="1440"/>
        <w:contextualSpacing/>
        <w:rPr>
          <w:sz w:val="26"/>
          <w:szCs w:val="26"/>
        </w:rPr>
      </w:pPr>
    </w:p>
    <w:p w:rsidR="00D65054" w:rsidRDefault="00D65054" w:rsidP="007D3734">
      <w:pPr>
        <w:widowControl/>
        <w:spacing w:line="360" w:lineRule="auto"/>
        <w:ind w:firstLine="1440"/>
        <w:contextualSpacing/>
        <w:rPr>
          <w:sz w:val="26"/>
          <w:szCs w:val="26"/>
        </w:rPr>
      </w:pPr>
      <w:r>
        <w:rPr>
          <w:sz w:val="26"/>
          <w:szCs w:val="26"/>
        </w:rPr>
        <w:t xml:space="preserve">The ALJ recommended approval of this </w:t>
      </w:r>
      <w:r w:rsidR="0047542A">
        <w:rPr>
          <w:sz w:val="26"/>
          <w:szCs w:val="26"/>
        </w:rPr>
        <w:t xml:space="preserve">Partial </w:t>
      </w:r>
      <w:r>
        <w:rPr>
          <w:sz w:val="26"/>
          <w:szCs w:val="26"/>
        </w:rPr>
        <w:t>Settlement provision.  The ALJ highlighted the assertions of Duquesne and the OCA that the smart meter costs included in Duquesne</w:t>
      </w:r>
      <w:r w:rsidR="001E73FA">
        <w:rPr>
          <w:sz w:val="26"/>
          <w:szCs w:val="26"/>
        </w:rPr>
        <w:t>’</w:t>
      </w:r>
      <w:r>
        <w:rPr>
          <w:sz w:val="26"/>
          <w:szCs w:val="26"/>
        </w:rPr>
        <w:t>s rate base do not include any previously-denied smart meter costs.  The ALJ also highlighted Duquesne</w:t>
      </w:r>
      <w:r w:rsidR="001E73FA">
        <w:rPr>
          <w:sz w:val="26"/>
          <w:szCs w:val="26"/>
        </w:rPr>
        <w:t>’</w:t>
      </w:r>
      <w:r>
        <w:rPr>
          <w:sz w:val="26"/>
          <w:szCs w:val="26"/>
        </w:rPr>
        <w:t>s assertion that the smart meter costs that are included in base rates are subject to audit.  R.D. at 164-65.</w:t>
      </w:r>
    </w:p>
    <w:p w:rsidR="00D65054" w:rsidRDefault="00D65054" w:rsidP="007D3734">
      <w:pPr>
        <w:widowControl/>
        <w:spacing w:line="360" w:lineRule="auto"/>
        <w:ind w:firstLine="1440"/>
        <w:contextualSpacing/>
        <w:rPr>
          <w:sz w:val="26"/>
          <w:szCs w:val="26"/>
        </w:rPr>
      </w:pPr>
    </w:p>
    <w:p w:rsidR="00D65054" w:rsidRPr="0092280A" w:rsidRDefault="00D65054" w:rsidP="007D3734">
      <w:pPr>
        <w:pStyle w:val="Heading3"/>
        <w:widowControl/>
        <w:ind w:left="1440"/>
        <w:rPr>
          <w:b w:val="0"/>
        </w:rPr>
      </w:pPr>
      <w:bookmarkStart w:id="21" w:name="_Toc531091822"/>
      <w:bookmarkStart w:id="22" w:name="_Toc532905962"/>
      <w:r w:rsidRPr="00D32E33">
        <w:t>3.</w:t>
      </w:r>
      <w:r w:rsidRPr="0092280A">
        <w:rPr>
          <w:b w:val="0"/>
        </w:rPr>
        <w:tab/>
      </w:r>
      <w:r w:rsidRPr="0092280A">
        <w:rPr>
          <w:rStyle w:val="Heading3Char"/>
          <w:b/>
        </w:rPr>
        <w:t>Allocation of 2018 Tax Refund</w:t>
      </w:r>
      <w:bookmarkEnd w:id="21"/>
      <w:bookmarkEnd w:id="22"/>
    </w:p>
    <w:p w:rsidR="00D65054" w:rsidRDefault="00D65054" w:rsidP="007D3734">
      <w:pPr>
        <w:keepNext/>
        <w:keepLines/>
        <w:widowControl/>
        <w:spacing w:line="360" w:lineRule="auto"/>
        <w:ind w:firstLine="1440"/>
        <w:contextualSpacing/>
        <w:rPr>
          <w:sz w:val="26"/>
          <w:szCs w:val="26"/>
        </w:rPr>
      </w:pPr>
    </w:p>
    <w:p w:rsidR="00D65054" w:rsidRPr="00E43B14" w:rsidRDefault="00D65054" w:rsidP="007D3734">
      <w:pPr>
        <w:widowControl/>
        <w:spacing w:line="360" w:lineRule="auto"/>
        <w:ind w:firstLine="1440"/>
        <w:contextualSpacing/>
        <w:rPr>
          <w:sz w:val="26"/>
          <w:szCs w:val="26"/>
        </w:rPr>
      </w:pPr>
      <w:r w:rsidRPr="00E43B14">
        <w:rPr>
          <w:sz w:val="26"/>
          <w:szCs w:val="26"/>
        </w:rPr>
        <w:t>The ALJ requested that the Joint Petitioners provide an allocation, by rate class, of the 2018 tax refund that is outlined in Paragraph No. 31 of the Partial Settlement.  Tr. at 676.</w:t>
      </w:r>
    </w:p>
    <w:p w:rsidR="00D65054" w:rsidRDefault="00D65054" w:rsidP="007D3734">
      <w:pPr>
        <w:widowControl/>
        <w:spacing w:line="360" w:lineRule="auto"/>
        <w:ind w:firstLine="1440"/>
        <w:contextualSpacing/>
        <w:rPr>
          <w:sz w:val="26"/>
          <w:szCs w:val="26"/>
        </w:rPr>
      </w:pPr>
    </w:p>
    <w:p w:rsidR="00D65054" w:rsidRPr="00AF7C9B" w:rsidRDefault="00D65054" w:rsidP="007D3734">
      <w:pPr>
        <w:keepNext/>
        <w:keepLines/>
        <w:widowControl/>
        <w:spacing w:line="360" w:lineRule="auto"/>
        <w:ind w:firstLine="1440"/>
        <w:contextualSpacing/>
        <w:rPr>
          <w:b/>
          <w:sz w:val="26"/>
          <w:szCs w:val="26"/>
        </w:rPr>
      </w:pPr>
      <w:r w:rsidRPr="00AF7C9B">
        <w:rPr>
          <w:b/>
          <w:sz w:val="26"/>
          <w:szCs w:val="26"/>
        </w:rPr>
        <w:lastRenderedPageBreak/>
        <w:tab/>
        <w:t>a.</w:t>
      </w:r>
      <w:r w:rsidRPr="00AF7C9B">
        <w:rPr>
          <w:b/>
          <w:sz w:val="26"/>
          <w:szCs w:val="26"/>
        </w:rPr>
        <w:tab/>
      </w:r>
      <w:r w:rsidRPr="008166F3">
        <w:rPr>
          <w:rStyle w:val="Heading4Char"/>
        </w:rPr>
        <w:t>Positions of the Parties</w:t>
      </w:r>
    </w:p>
    <w:p w:rsidR="00D65054" w:rsidRDefault="00D65054" w:rsidP="007D3734">
      <w:pPr>
        <w:keepNext/>
        <w:keepLines/>
        <w:widowControl/>
        <w:spacing w:line="360" w:lineRule="auto"/>
        <w:ind w:firstLine="1440"/>
        <w:contextualSpacing/>
        <w:rPr>
          <w:sz w:val="26"/>
          <w:szCs w:val="26"/>
        </w:rPr>
      </w:pPr>
    </w:p>
    <w:p w:rsidR="00D65054" w:rsidRPr="00022B24" w:rsidRDefault="00D65054" w:rsidP="007D3734">
      <w:pPr>
        <w:widowControl/>
        <w:spacing w:line="360" w:lineRule="auto"/>
        <w:ind w:firstLine="1440"/>
        <w:contextualSpacing/>
        <w:rPr>
          <w:sz w:val="26"/>
          <w:szCs w:val="26"/>
        </w:rPr>
      </w:pPr>
      <w:r>
        <w:rPr>
          <w:sz w:val="26"/>
          <w:szCs w:val="26"/>
        </w:rPr>
        <w:t>As noted above, t</w:t>
      </w:r>
      <w:r w:rsidRPr="00022B24">
        <w:rPr>
          <w:sz w:val="26"/>
          <w:szCs w:val="26"/>
        </w:rPr>
        <w:t>he Joint Petitioners presented the proposed tax refunds by rate class in Appendix D to the Settlement.</w:t>
      </w:r>
    </w:p>
    <w:p w:rsidR="00D65054" w:rsidRDefault="00D65054" w:rsidP="007D3734">
      <w:pPr>
        <w:widowControl/>
        <w:spacing w:line="360" w:lineRule="auto"/>
        <w:ind w:firstLine="1440"/>
        <w:contextualSpacing/>
        <w:rPr>
          <w:sz w:val="26"/>
          <w:szCs w:val="26"/>
        </w:rPr>
      </w:pPr>
    </w:p>
    <w:p w:rsidR="00D65054" w:rsidRPr="00AF7C9B" w:rsidRDefault="00D65054" w:rsidP="007D3734">
      <w:pPr>
        <w:keepNext/>
        <w:keepLines/>
        <w:widowControl/>
        <w:spacing w:line="360" w:lineRule="auto"/>
        <w:ind w:firstLine="1440"/>
        <w:contextualSpacing/>
        <w:rPr>
          <w:b/>
          <w:sz w:val="26"/>
          <w:szCs w:val="26"/>
        </w:rPr>
      </w:pPr>
      <w:r w:rsidRPr="00AF7C9B">
        <w:rPr>
          <w:b/>
          <w:sz w:val="26"/>
          <w:szCs w:val="26"/>
        </w:rPr>
        <w:tab/>
        <w:t>b.</w:t>
      </w:r>
      <w:r w:rsidRPr="00AF7C9B">
        <w:rPr>
          <w:b/>
          <w:sz w:val="26"/>
          <w:szCs w:val="26"/>
        </w:rPr>
        <w:tab/>
      </w:r>
      <w:r w:rsidRPr="008166F3">
        <w:rPr>
          <w:rStyle w:val="Heading4Char"/>
        </w:rPr>
        <w:t>ALJ</w:t>
      </w:r>
      <w:r w:rsidR="001E73FA">
        <w:rPr>
          <w:rStyle w:val="Heading4Char"/>
        </w:rPr>
        <w:t>’</w:t>
      </w:r>
      <w:r w:rsidRPr="008166F3">
        <w:rPr>
          <w:rStyle w:val="Heading4Char"/>
        </w:rPr>
        <w:t>s Recommendation</w:t>
      </w:r>
    </w:p>
    <w:p w:rsidR="00D65054" w:rsidRDefault="00D65054" w:rsidP="007D3734">
      <w:pPr>
        <w:keepNext/>
        <w:keepLines/>
        <w:widowControl/>
        <w:spacing w:line="360" w:lineRule="auto"/>
        <w:ind w:firstLine="1440"/>
        <w:contextualSpacing/>
        <w:rPr>
          <w:sz w:val="26"/>
          <w:szCs w:val="26"/>
        </w:rPr>
      </w:pPr>
    </w:p>
    <w:p w:rsidR="00D65054" w:rsidRPr="00022B24" w:rsidRDefault="00D65054" w:rsidP="007D3734">
      <w:pPr>
        <w:widowControl/>
        <w:spacing w:line="360" w:lineRule="auto"/>
        <w:ind w:firstLine="1440"/>
        <w:contextualSpacing/>
        <w:rPr>
          <w:sz w:val="26"/>
          <w:szCs w:val="26"/>
        </w:rPr>
      </w:pPr>
      <w:r w:rsidRPr="00022B24">
        <w:rPr>
          <w:sz w:val="26"/>
          <w:szCs w:val="26"/>
        </w:rPr>
        <w:t>The ALJ found that in laying</w:t>
      </w:r>
      <w:r>
        <w:rPr>
          <w:sz w:val="26"/>
          <w:szCs w:val="26"/>
        </w:rPr>
        <w:t xml:space="preserve"> out</w:t>
      </w:r>
      <w:r w:rsidRPr="00022B24">
        <w:rPr>
          <w:sz w:val="26"/>
          <w:szCs w:val="26"/>
        </w:rPr>
        <w:t xml:space="preserve"> the proposed refunds by rate class, the Joint Petitioners did not provide an estimate</w:t>
      </w:r>
      <w:r>
        <w:rPr>
          <w:sz w:val="26"/>
          <w:szCs w:val="26"/>
        </w:rPr>
        <w:t xml:space="preserve"> of the refund amounts to be disbursed to</w:t>
      </w:r>
      <w:r w:rsidRPr="00022B24">
        <w:rPr>
          <w:sz w:val="26"/>
          <w:szCs w:val="26"/>
        </w:rPr>
        <w:t xml:space="preserve"> the medium and large commercial and industrial classes, or for Rate SM.</w:t>
      </w:r>
      <w:r w:rsidRPr="00022B24">
        <w:rPr>
          <w:sz w:val="26"/>
          <w:szCs w:val="26"/>
          <w:vertAlign w:val="superscript"/>
        </w:rPr>
        <w:footnoteReference w:id="8"/>
      </w:r>
      <w:r w:rsidRPr="00022B24">
        <w:rPr>
          <w:sz w:val="26"/>
          <w:szCs w:val="26"/>
        </w:rPr>
        <w:t xml:space="preserve">  Instead, the ALJ pointed out that the Joint Petitioners included a footnote indicating that each </w:t>
      </w:r>
      <w:r>
        <w:rPr>
          <w:sz w:val="26"/>
          <w:szCs w:val="26"/>
        </w:rPr>
        <w:t xml:space="preserve">such </w:t>
      </w:r>
      <w:r w:rsidRPr="00022B24">
        <w:rPr>
          <w:sz w:val="26"/>
          <w:szCs w:val="26"/>
        </w:rPr>
        <w:t xml:space="preserve">customer will have its refund calculated individually based on the percentage of actual base distribution revenue.  The ALJ determined that the Joint Petitioners failed to provide any detail or guidance as to how Duquesne will calculate the amounts to be refunded to the Commercial </w:t>
      </w:r>
      <w:r>
        <w:rPr>
          <w:sz w:val="26"/>
          <w:szCs w:val="26"/>
        </w:rPr>
        <w:t>and</w:t>
      </w:r>
      <w:r w:rsidRPr="00022B24">
        <w:rPr>
          <w:sz w:val="26"/>
          <w:szCs w:val="26"/>
        </w:rPr>
        <w:t xml:space="preserve"> Industrial classes and failed </w:t>
      </w:r>
      <w:r w:rsidR="00FF275E">
        <w:rPr>
          <w:sz w:val="26"/>
          <w:szCs w:val="26"/>
        </w:rPr>
        <w:t xml:space="preserve">to </w:t>
      </w:r>
      <w:r w:rsidRPr="00022B24">
        <w:rPr>
          <w:sz w:val="26"/>
          <w:szCs w:val="26"/>
        </w:rPr>
        <w:t>explain why an estimate cannot be provided for the customer classes with a single customer or a small number of customers.  Therefore, the ALJ recommended that Duquesne be directed to file with the Commission</w:t>
      </w:r>
      <w:r w:rsidR="001E73FA">
        <w:rPr>
          <w:sz w:val="26"/>
          <w:szCs w:val="26"/>
        </w:rPr>
        <w:t>’</w:t>
      </w:r>
      <w:r w:rsidRPr="00022B24">
        <w:rPr>
          <w:sz w:val="26"/>
          <w:szCs w:val="26"/>
        </w:rPr>
        <w:t>s Bureau of Technical Utility Services</w:t>
      </w:r>
      <w:r>
        <w:rPr>
          <w:sz w:val="26"/>
          <w:szCs w:val="26"/>
        </w:rPr>
        <w:t xml:space="preserve"> (TUS)</w:t>
      </w:r>
      <w:r w:rsidRPr="00022B24">
        <w:rPr>
          <w:sz w:val="26"/>
          <w:szCs w:val="26"/>
        </w:rPr>
        <w:t xml:space="preserve"> a list or calculation of how the $24 million tax refund will be allocated to the various rate classes.  R.D. at 166-168.</w:t>
      </w:r>
    </w:p>
    <w:p w:rsidR="00D65054" w:rsidRPr="00022B24" w:rsidRDefault="00D65054" w:rsidP="007D3734">
      <w:pPr>
        <w:widowControl/>
        <w:spacing w:line="360" w:lineRule="auto"/>
        <w:ind w:firstLine="1440"/>
        <w:contextualSpacing/>
        <w:rPr>
          <w:sz w:val="26"/>
          <w:szCs w:val="26"/>
        </w:rPr>
      </w:pPr>
    </w:p>
    <w:p w:rsidR="00D65054" w:rsidRPr="00022B24" w:rsidRDefault="00D65054" w:rsidP="007D3734">
      <w:pPr>
        <w:widowControl/>
        <w:spacing w:line="360" w:lineRule="auto"/>
        <w:ind w:firstLine="1440"/>
        <w:contextualSpacing/>
        <w:rPr>
          <w:sz w:val="26"/>
          <w:szCs w:val="26"/>
        </w:rPr>
      </w:pPr>
      <w:r w:rsidRPr="00022B24">
        <w:rPr>
          <w:sz w:val="26"/>
          <w:szCs w:val="26"/>
        </w:rPr>
        <w:t>Notwithstanding the above, the ALJ found the $24 million tax refund to be an appropriate amount.  The ALJ pointed out that this amount more than doubles the refund amount initially suggested by Duquesne.  The ALJ concluded that Duquesne</w:t>
      </w:r>
      <w:r w:rsidR="001E73FA">
        <w:rPr>
          <w:sz w:val="26"/>
          <w:szCs w:val="26"/>
        </w:rPr>
        <w:t>’</w:t>
      </w:r>
      <w:r w:rsidRPr="00022B24">
        <w:rPr>
          <w:sz w:val="26"/>
          <w:szCs w:val="26"/>
        </w:rPr>
        <w:t xml:space="preserve">s proposal to refund its customers in the first one or two pay periods of 2019 </w:t>
      </w:r>
      <w:r w:rsidR="006B2DAF">
        <w:rPr>
          <w:sz w:val="26"/>
          <w:szCs w:val="26"/>
        </w:rPr>
        <w:t xml:space="preserve">is </w:t>
      </w:r>
      <w:r w:rsidRPr="00022B24">
        <w:rPr>
          <w:sz w:val="26"/>
          <w:szCs w:val="26"/>
        </w:rPr>
        <w:t xml:space="preserve">in the public interest because </w:t>
      </w:r>
      <w:r w:rsidR="006B2DAF">
        <w:rPr>
          <w:sz w:val="26"/>
          <w:szCs w:val="26"/>
        </w:rPr>
        <w:t>refunds</w:t>
      </w:r>
      <w:r w:rsidR="00CA165B">
        <w:rPr>
          <w:sz w:val="26"/>
          <w:szCs w:val="26"/>
        </w:rPr>
        <w:t xml:space="preserve"> will be provided to </w:t>
      </w:r>
      <w:r w:rsidRPr="00022B24">
        <w:rPr>
          <w:sz w:val="26"/>
          <w:szCs w:val="26"/>
        </w:rPr>
        <w:t>these customers in a timely manner.  R.D. at 168.</w:t>
      </w:r>
    </w:p>
    <w:p w:rsidR="00D65054" w:rsidRDefault="00D65054" w:rsidP="007D3734">
      <w:pPr>
        <w:widowControl/>
        <w:spacing w:line="360" w:lineRule="auto"/>
        <w:ind w:firstLine="1440"/>
        <w:contextualSpacing/>
        <w:rPr>
          <w:sz w:val="26"/>
          <w:szCs w:val="26"/>
        </w:rPr>
      </w:pPr>
    </w:p>
    <w:p w:rsidR="00D65054" w:rsidRPr="005E6D81" w:rsidRDefault="00D65054" w:rsidP="007D3734">
      <w:pPr>
        <w:pStyle w:val="Heading3"/>
        <w:widowControl/>
        <w:ind w:left="1440"/>
        <w:rPr>
          <w:rStyle w:val="Heading3Char"/>
          <w:b/>
        </w:rPr>
      </w:pPr>
      <w:bookmarkStart w:id="23" w:name="_Toc531091823"/>
      <w:bookmarkStart w:id="24" w:name="_Toc532905963"/>
      <w:r w:rsidRPr="00D32E33">
        <w:lastRenderedPageBreak/>
        <w:t>4.</w:t>
      </w:r>
      <w:r w:rsidRPr="005E6D81">
        <w:rPr>
          <w:b w:val="0"/>
        </w:rPr>
        <w:tab/>
      </w:r>
      <w:r w:rsidRPr="005E6D81">
        <w:rPr>
          <w:rStyle w:val="Heading3Char"/>
          <w:b/>
        </w:rPr>
        <w:t>Electric Vehicle Program</w:t>
      </w:r>
      <w:bookmarkEnd w:id="23"/>
      <w:bookmarkEnd w:id="24"/>
      <w:r w:rsidRPr="005E6D81">
        <w:rPr>
          <w:rStyle w:val="Heading3Char"/>
          <w:b/>
        </w:rPr>
        <w:t xml:space="preserve"> </w:t>
      </w:r>
    </w:p>
    <w:p w:rsidR="00D65054" w:rsidRDefault="00D65054" w:rsidP="007D3734">
      <w:pPr>
        <w:keepNext/>
        <w:keepLines/>
        <w:widowControl/>
        <w:spacing w:line="360" w:lineRule="auto"/>
        <w:ind w:firstLine="1440"/>
        <w:contextualSpacing/>
        <w:rPr>
          <w:sz w:val="26"/>
          <w:szCs w:val="26"/>
        </w:rPr>
      </w:pPr>
    </w:p>
    <w:p w:rsidR="00D65054" w:rsidRPr="0000643F" w:rsidRDefault="00D65054" w:rsidP="007D3734">
      <w:pPr>
        <w:widowControl/>
        <w:spacing w:line="360" w:lineRule="auto"/>
        <w:ind w:firstLine="1440"/>
        <w:contextualSpacing/>
        <w:rPr>
          <w:sz w:val="26"/>
          <w:szCs w:val="26"/>
        </w:rPr>
      </w:pPr>
      <w:r w:rsidRPr="0000643F">
        <w:rPr>
          <w:sz w:val="26"/>
          <w:szCs w:val="26"/>
        </w:rPr>
        <w:t xml:space="preserve">With regard to the EV Pilot Program outlined in </w:t>
      </w:r>
      <w:r w:rsidR="00CA165B">
        <w:rPr>
          <w:sz w:val="26"/>
          <w:szCs w:val="26"/>
        </w:rPr>
        <w:t>P</w:t>
      </w:r>
      <w:r w:rsidRPr="0000643F">
        <w:rPr>
          <w:sz w:val="26"/>
          <w:szCs w:val="26"/>
        </w:rPr>
        <w:t xml:space="preserve">aragraph </w:t>
      </w:r>
      <w:r w:rsidR="003E2797">
        <w:rPr>
          <w:sz w:val="26"/>
          <w:szCs w:val="26"/>
        </w:rPr>
        <w:t xml:space="preserve">No. </w:t>
      </w:r>
      <w:r w:rsidRPr="0000643F">
        <w:rPr>
          <w:sz w:val="26"/>
          <w:szCs w:val="26"/>
        </w:rPr>
        <w:t>45 of the Partial Settlement, the ALJ instructed the Joint Petitioners to (1) explain who will receive the EV Pilot rebates, (2) explain the allocation of EV Pilot costs to the customer classes and (3) provide justification for why consumers should pay the costs to install the stations that will be owned by third parties.  Tr. at 676.</w:t>
      </w:r>
    </w:p>
    <w:p w:rsidR="00D65054" w:rsidRDefault="00D65054" w:rsidP="007D3734">
      <w:pPr>
        <w:widowControl/>
        <w:spacing w:line="360" w:lineRule="auto"/>
        <w:ind w:firstLine="1440"/>
        <w:contextualSpacing/>
        <w:rPr>
          <w:sz w:val="26"/>
          <w:szCs w:val="26"/>
        </w:rPr>
      </w:pPr>
    </w:p>
    <w:p w:rsidR="00D65054" w:rsidRPr="00AF7C9B" w:rsidRDefault="00D65054" w:rsidP="007D3734">
      <w:pPr>
        <w:keepNext/>
        <w:keepLines/>
        <w:widowControl/>
        <w:spacing w:line="360" w:lineRule="auto"/>
        <w:ind w:firstLine="1440"/>
        <w:contextualSpacing/>
        <w:rPr>
          <w:b/>
          <w:sz w:val="26"/>
          <w:szCs w:val="26"/>
        </w:rPr>
      </w:pPr>
      <w:r w:rsidRPr="00AF7C9B">
        <w:rPr>
          <w:b/>
          <w:sz w:val="26"/>
          <w:szCs w:val="26"/>
        </w:rPr>
        <w:tab/>
        <w:t>a.</w:t>
      </w:r>
      <w:r w:rsidRPr="00AF7C9B">
        <w:rPr>
          <w:b/>
          <w:sz w:val="26"/>
          <w:szCs w:val="26"/>
        </w:rPr>
        <w:tab/>
        <w:t>Positions of the Parties</w:t>
      </w:r>
    </w:p>
    <w:p w:rsidR="00D65054" w:rsidRDefault="00D65054" w:rsidP="007D3734">
      <w:pPr>
        <w:keepNext/>
        <w:keepLines/>
        <w:widowControl/>
        <w:spacing w:line="360" w:lineRule="auto"/>
        <w:ind w:firstLine="1440"/>
        <w:contextualSpacing/>
        <w:rPr>
          <w:sz w:val="26"/>
          <w:szCs w:val="26"/>
        </w:rPr>
      </w:pPr>
    </w:p>
    <w:p w:rsidR="00D65054" w:rsidRDefault="00D65054" w:rsidP="007D3734">
      <w:pPr>
        <w:widowControl/>
        <w:spacing w:line="360" w:lineRule="auto"/>
        <w:ind w:firstLine="1440"/>
        <w:contextualSpacing/>
        <w:rPr>
          <w:sz w:val="26"/>
          <w:szCs w:val="26"/>
        </w:rPr>
      </w:pPr>
      <w:bookmarkStart w:id="25" w:name="_Hlk530385338"/>
      <w:r>
        <w:rPr>
          <w:sz w:val="26"/>
          <w:szCs w:val="26"/>
        </w:rPr>
        <w:t>In its Statement in Support, Duquesne explained that the EV Pilot rebates will be available to customers that register their EV with Duquesne.  Duquesne submitted that this will permit the Company to enter the EV into the electrical model and evaluate the impacts on the system, which will assist in grid planning.  Additionally, Duquesne explained that the rebates are designed to encourage third parties to purchase and install public chargers to allow the EV pilot to succeed.  Duquesne pointed out that under the Partial Settlement, the rebates are not included in the rate increase, but will be recorded as a regulatory asset and claimed in a future rate case.  Duquesne Statement in Support at</w:t>
      </w:r>
      <w:r w:rsidR="00CA165B">
        <w:rPr>
          <w:sz w:val="26"/>
          <w:szCs w:val="26"/>
        </w:rPr>
        <w:t> </w:t>
      </w:r>
      <w:r>
        <w:rPr>
          <w:sz w:val="26"/>
          <w:szCs w:val="26"/>
        </w:rPr>
        <w:t>17-18.</w:t>
      </w:r>
    </w:p>
    <w:p w:rsidR="00D65054" w:rsidRDefault="00D65054" w:rsidP="007D3734">
      <w:pPr>
        <w:widowControl/>
        <w:spacing w:line="360" w:lineRule="auto"/>
        <w:ind w:firstLine="1440"/>
        <w:contextualSpacing/>
        <w:rPr>
          <w:sz w:val="26"/>
          <w:szCs w:val="26"/>
        </w:rPr>
      </w:pPr>
    </w:p>
    <w:p w:rsidR="00D65054" w:rsidRDefault="00D65054" w:rsidP="007D3734">
      <w:pPr>
        <w:widowControl/>
        <w:spacing w:line="360" w:lineRule="auto"/>
        <w:ind w:firstLine="1440"/>
        <w:contextualSpacing/>
        <w:rPr>
          <w:sz w:val="26"/>
          <w:szCs w:val="26"/>
        </w:rPr>
      </w:pPr>
      <w:r>
        <w:rPr>
          <w:sz w:val="26"/>
          <w:szCs w:val="26"/>
        </w:rPr>
        <w:t xml:space="preserve">Duquesne next explained that there is no specific allocation of EV Pilot costs to customer classes.  Instead, they are allocated across all classes.  Further, Duquesne clarified that it is not installing charging stations other than the DC Fast Charging stations for its own use and for the </w:t>
      </w:r>
      <w:r w:rsidRPr="00931F7A">
        <w:rPr>
          <w:sz w:val="26"/>
          <w:szCs w:val="26"/>
        </w:rPr>
        <w:t>Port Authority of Allegheny County (PAAC) electric bus evaluation</w:t>
      </w:r>
      <w:r>
        <w:rPr>
          <w:sz w:val="26"/>
          <w:szCs w:val="26"/>
        </w:rPr>
        <w:t xml:space="preserve"> pilot.  Duquesne stated it will provide make ready infrastructure and rebates for certain behind the meter equipment.  According to Duquesne, because these stations must be available to the general public and not for private use, this ensures that the stations will be available to all people in Duquesne</w:t>
      </w:r>
      <w:r w:rsidR="001E73FA">
        <w:rPr>
          <w:sz w:val="26"/>
          <w:szCs w:val="26"/>
        </w:rPr>
        <w:t>’</w:t>
      </w:r>
      <w:r>
        <w:rPr>
          <w:sz w:val="26"/>
          <w:szCs w:val="26"/>
        </w:rPr>
        <w:t xml:space="preserve">s service territory and not just to a limited subset.  Additionally, Duquesne argued that this </w:t>
      </w:r>
      <w:r>
        <w:rPr>
          <w:sz w:val="26"/>
          <w:szCs w:val="26"/>
        </w:rPr>
        <w:lastRenderedPageBreak/>
        <w:t>will allow it to evaluate the effect of adding the Level 2 chargers to its distribution grid for grid planning purposes and will increase the usage of its distribution system, which benefits all customers.  Duquesne Statement in Support at 18-19.</w:t>
      </w:r>
    </w:p>
    <w:p w:rsidR="00D65054" w:rsidRDefault="00D65054" w:rsidP="007D3734">
      <w:pPr>
        <w:widowControl/>
        <w:spacing w:line="360" w:lineRule="auto"/>
        <w:ind w:firstLine="1440"/>
        <w:contextualSpacing/>
        <w:rPr>
          <w:sz w:val="26"/>
          <w:szCs w:val="26"/>
        </w:rPr>
      </w:pPr>
    </w:p>
    <w:p w:rsidR="00D65054" w:rsidRPr="00931F7A" w:rsidRDefault="00D65054" w:rsidP="007D3734">
      <w:pPr>
        <w:widowControl/>
        <w:spacing w:line="360" w:lineRule="auto"/>
        <w:ind w:firstLine="1440"/>
        <w:contextualSpacing/>
        <w:rPr>
          <w:sz w:val="26"/>
          <w:szCs w:val="26"/>
        </w:rPr>
      </w:pPr>
      <w:r w:rsidRPr="00931F7A">
        <w:rPr>
          <w:sz w:val="26"/>
          <w:szCs w:val="26"/>
        </w:rPr>
        <w:t xml:space="preserve">In its Statement in Support, I&amp;E submitted that the Partial Settlement permits limited implementation of the EV Pilot in a manner that ensures that it benefits the public without imposing unwarranted costs.  I&amp;E highlighted, </w:t>
      </w:r>
      <w:r w:rsidRPr="00931F7A">
        <w:rPr>
          <w:i/>
          <w:sz w:val="26"/>
          <w:szCs w:val="26"/>
        </w:rPr>
        <w:t xml:space="preserve">inter alia, </w:t>
      </w:r>
      <w:r w:rsidRPr="00931F7A">
        <w:rPr>
          <w:sz w:val="26"/>
          <w:szCs w:val="26"/>
        </w:rPr>
        <w:t xml:space="preserve">that under the Partial Settlement, Duquesne has limited the scope of its proposed DC Fast Charging Evaluation </w:t>
      </w:r>
      <w:r w:rsidR="00FF275E">
        <w:rPr>
          <w:sz w:val="26"/>
          <w:szCs w:val="26"/>
        </w:rPr>
        <w:t>S</w:t>
      </w:r>
      <w:r w:rsidRPr="00931F7A">
        <w:rPr>
          <w:sz w:val="26"/>
          <w:szCs w:val="26"/>
        </w:rPr>
        <w:t xml:space="preserve">tation to stations owned by Duquesne to be used solely for Duquesne and the </w:t>
      </w:r>
      <w:bookmarkStart w:id="26" w:name="_Hlk530486773"/>
      <w:r w:rsidRPr="00931F7A">
        <w:rPr>
          <w:sz w:val="26"/>
          <w:szCs w:val="26"/>
        </w:rPr>
        <w:t>PAAC electric bus evaluation</w:t>
      </w:r>
      <w:bookmarkEnd w:id="26"/>
      <w:r>
        <w:rPr>
          <w:sz w:val="26"/>
          <w:szCs w:val="26"/>
        </w:rPr>
        <w:t xml:space="preserve"> pilot</w:t>
      </w:r>
      <w:r w:rsidRPr="00931F7A">
        <w:rPr>
          <w:sz w:val="26"/>
          <w:szCs w:val="26"/>
        </w:rPr>
        <w:t>.  I&amp;E argued that by limiting DC Fast Charging costs to Company use and costs for the PAAC electric bus evaluation, Duquesne has tailored its expenditures to costs reasonably associated with a broader public benefit for ratepayers instead of just costs incurred for the benefit of a very small consumer group.  I&amp;E explained that this satisfies the concern I&amp;E had that all ratepayers were being asked to pay for a program providing an insignificant portion of the rate base in which only 0.05% of vehicle registrations in Allegheny County were electric vehicles.  I&amp;E also noted that by agreeing that the costs for behind the meter Level 2 infrastructure rebates will be recorded as a regulatory asset, with such costs deferred to Duquesne</w:t>
      </w:r>
      <w:r w:rsidR="001E73FA">
        <w:rPr>
          <w:sz w:val="26"/>
          <w:szCs w:val="26"/>
        </w:rPr>
        <w:t>’</w:t>
      </w:r>
      <w:r w:rsidRPr="00931F7A">
        <w:rPr>
          <w:sz w:val="26"/>
          <w:szCs w:val="26"/>
        </w:rPr>
        <w:t>s next rate case, and only if there is adequate justification, this alleviates the concern of I&amp;E and other parties that rate base should not unreasonably subsidize individual customer projects unless they definitively benefit a broader rate base.  I&amp;E Statement in Support at</w:t>
      </w:r>
      <w:r w:rsidR="00380577">
        <w:rPr>
          <w:sz w:val="26"/>
          <w:szCs w:val="26"/>
        </w:rPr>
        <w:t> </w:t>
      </w:r>
      <w:r w:rsidRPr="00931F7A">
        <w:rPr>
          <w:sz w:val="26"/>
          <w:szCs w:val="26"/>
        </w:rPr>
        <w:t xml:space="preserve">24. </w:t>
      </w:r>
    </w:p>
    <w:p w:rsidR="00D65054" w:rsidRPr="00931F7A" w:rsidRDefault="00D65054" w:rsidP="007D3734">
      <w:pPr>
        <w:widowControl/>
        <w:spacing w:line="360" w:lineRule="auto"/>
        <w:ind w:firstLine="1440"/>
        <w:contextualSpacing/>
        <w:rPr>
          <w:sz w:val="26"/>
          <w:szCs w:val="26"/>
        </w:rPr>
      </w:pPr>
    </w:p>
    <w:p w:rsidR="00D65054" w:rsidRPr="00931F7A" w:rsidRDefault="00D65054" w:rsidP="007D3734">
      <w:pPr>
        <w:widowControl/>
        <w:spacing w:line="360" w:lineRule="auto"/>
        <w:ind w:firstLine="1440"/>
        <w:contextualSpacing/>
        <w:rPr>
          <w:sz w:val="26"/>
          <w:szCs w:val="26"/>
        </w:rPr>
      </w:pPr>
      <w:r w:rsidRPr="00931F7A">
        <w:rPr>
          <w:sz w:val="26"/>
          <w:szCs w:val="26"/>
        </w:rPr>
        <w:t>In its Statement in Support, the OCA contended that it would be improper to require residential ratepayers to subsidize the costs of a program that will only benefit the commercial classes.  Therefore, the OCA submitted that Duquesne</w:t>
      </w:r>
      <w:r w:rsidR="001E73FA">
        <w:rPr>
          <w:sz w:val="26"/>
          <w:szCs w:val="26"/>
        </w:rPr>
        <w:t>’</w:t>
      </w:r>
      <w:r w:rsidRPr="00931F7A">
        <w:rPr>
          <w:sz w:val="26"/>
          <w:szCs w:val="26"/>
        </w:rPr>
        <w:t>s agreement to defer the appropriate method of any recovery of rebates until Duquesne</w:t>
      </w:r>
      <w:r w:rsidR="001E73FA">
        <w:rPr>
          <w:sz w:val="26"/>
          <w:szCs w:val="26"/>
        </w:rPr>
        <w:t>’</w:t>
      </w:r>
      <w:r w:rsidRPr="00931F7A">
        <w:rPr>
          <w:sz w:val="26"/>
          <w:szCs w:val="26"/>
        </w:rPr>
        <w:t xml:space="preserve">s next base rate proceeding is in the public interest.  The OCA highlighted that Duquesne provides for specific reporting requirements to evaluate customer participation and feedback.  The </w:t>
      </w:r>
      <w:r w:rsidRPr="00931F7A">
        <w:rPr>
          <w:sz w:val="26"/>
          <w:szCs w:val="26"/>
        </w:rPr>
        <w:lastRenderedPageBreak/>
        <w:t>OCA noted that this will afford interested Parties the opportunity to assess how the funds were used, from whom the charging station revenues were received, and to ensure that Duquesne is compliant with the terms of the Partial Settlement.  Additionally, the OCA asserted that the provision of the Partial Settlement, wherein Duquesne will dedicate all o</w:t>
      </w:r>
      <w:r>
        <w:rPr>
          <w:sz w:val="26"/>
          <w:szCs w:val="26"/>
        </w:rPr>
        <w:t xml:space="preserve">f </w:t>
      </w:r>
      <w:r w:rsidRPr="00931F7A">
        <w:rPr>
          <w:sz w:val="26"/>
          <w:szCs w:val="26"/>
        </w:rPr>
        <w:t>the charging stations it owns to the use of the Company and the PAAC will prevent Duquesne from becoming a competitor in an unregulated market.  According to the OCA, were Duquesne to own EV chargers, as any other third party, this would have the effect of allowing a regulated utility to enter an unregulated competitive market with the risk being borne by captive ratepayers.  OCA Statement in Support at 15-16.</w:t>
      </w:r>
    </w:p>
    <w:p w:rsidR="00D65054" w:rsidRPr="00931F7A" w:rsidRDefault="00D65054" w:rsidP="007D3734">
      <w:pPr>
        <w:widowControl/>
        <w:spacing w:line="360" w:lineRule="auto"/>
        <w:ind w:firstLine="1440"/>
        <w:contextualSpacing/>
        <w:rPr>
          <w:sz w:val="26"/>
          <w:szCs w:val="26"/>
        </w:rPr>
      </w:pPr>
    </w:p>
    <w:p w:rsidR="00D65054" w:rsidRPr="00931F7A" w:rsidRDefault="00D65054" w:rsidP="007D3734">
      <w:pPr>
        <w:widowControl/>
        <w:spacing w:line="360" w:lineRule="auto"/>
        <w:ind w:firstLine="1440"/>
        <w:contextualSpacing/>
        <w:rPr>
          <w:sz w:val="26"/>
          <w:szCs w:val="26"/>
        </w:rPr>
      </w:pPr>
      <w:r w:rsidRPr="00931F7A">
        <w:rPr>
          <w:sz w:val="26"/>
          <w:szCs w:val="26"/>
        </w:rPr>
        <w:t>In its Statement in Support, the OSBA, likewise, trumpeted the provision of the Partial Settlement that contemplates that the cost of rebates will not be recovered in base rates, but instead recorded as a regulatory asset with the appropriate cost recovery deferred to Duquesne</w:t>
      </w:r>
      <w:r w:rsidR="001E73FA">
        <w:rPr>
          <w:sz w:val="26"/>
          <w:szCs w:val="26"/>
        </w:rPr>
        <w:t>’</w:t>
      </w:r>
      <w:r w:rsidRPr="00931F7A">
        <w:rPr>
          <w:sz w:val="26"/>
          <w:szCs w:val="26"/>
        </w:rPr>
        <w:t>s next base rate case.  The OSBA submitted that the Partial Settlement</w:t>
      </w:r>
      <w:r w:rsidR="001E73FA">
        <w:rPr>
          <w:sz w:val="26"/>
          <w:szCs w:val="26"/>
        </w:rPr>
        <w:t>’</w:t>
      </w:r>
      <w:r w:rsidRPr="00931F7A">
        <w:rPr>
          <w:sz w:val="26"/>
          <w:szCs w:val="26"/>
        </w:rPr>
        <w:t>s reduction in the scope of the EV Pilot, coupled with the reduced recovery of pilot costs in base rates will benefit Duquesne</w:t>
      </w:r>
      <w:r w:rsidR="001E73FA">
        <w:rPr>
          <w:sz w:val="26"/>
          <w:szCs w:val="26"/>
        </w:rPr>
        <w:t>’</w:t>
      </w:r>
      <w:r w:rsidRPr="00931F7A">
        <w:rPr>
          <w:sz w:val="26"/>
          <w:szCs w:val="26"/>
        </w:rPr>
        <w:t xml:space="preserve">s small business customers.  OSBA Statement in Support at 4-5. </w:t>
      </w:r>
    </w:p>
    <w:p w:rsidR="00D65054" w:rsidRPr="00931F7A" w:rsidRDefault="00D65054" w:rsidP="007D3734">
      <w:pPr>
        <w:widowControl/>
        <w:spacing w:line="360" w:lineRule="auto"/>
        <w:ind w:firstLine="1440"/>
        <w:contextualSpacing/>
        <w:rPr>
          <w:sz w:val="26"/>
          <w:szCs w:val="26"/>
        </w:rPr>
      </w:pPr>
    </w:p>
    <w:p w:rsidR="00D65054" w:rsidRPr="00931F7A" w:rsidRDefault="00D65054" w:rsidP="007D3734">
      <w:pPr>
        <w:widowControl/>
        <w:spacing w:line="360" w:lineRule="auto"/>
        <w:ind w:firstLine="1440"/>
        <w:contextualSpacing/>
        <w:rPr>
          <w:sz w:val="26"/>
          <w:szCs w:val="26"/>
        </w:rPr>
      </w:pPr>
      <w:r w:rsidRPr="00931F7A">
        <w:rPr>
          <w:sz w:val="26"/>
          <w:szCs w:val="26"/>
        </w:rPr>
        <w:t xml:space="preserve">In its Statement in Support, CAUSE-PA pointed out that under the Partial Settlement, the cost of the pilot has been reduced from $3.1 million to $2.07 million.  Like the other Joint Petitioners, </w:t>
      </w:r>
      <w:r w:rsidRPr="00931F7A">
        <w:rPr>
          <w:i/>
          <w:sz w:val="26"/>
          <w:szCs w:val="26"/>
        </w:rPr>
        <w:t>supra,</w:t>
      </w:r>
      <w:r w:rsidRPr="00931F7A">
        <w:rPr>
          <w:sz w:val="26"/>
          <w:szCs w:val="26"/>
        </w:rPr>
        <w:t xml:space="preserve"> CAUSE-PA noted that the Partial Settlement provides an opportunity</w:t>
      </w:r>
      <w:r>
        <w:rPr>
          <w:sz w:val="26"/>
          <w:szCs w:val="26"/>
        </w:rPr>
        <w:t xml:space="preserve"> to</w:t>
      </w:r>
      <w:r w:rsidRPr="00931F7A">
        <w:rPr>
          <w:sz w:val="26"/>
          <w:szCs w:val="26"/>
        </w:rPr>
        <w:t xml:space="preserve"> evaluate whether $650,000 of the $2.07 million (</w:t>
      </w:r>
      <w:r w:rsidRPr="00931F7A">
        <w:rPr>
          <w:i/>
          <w:sz w:val="26"/>
          <w:szCs w:val="26"/>
        </w:rPr>
        <w:t xml:space="preserve">i.e. </w:t>
      </w:r>
      <w:r w:rsidRPr="00931F7A">
        <w:rPr>
          <w:sz w:val="26"/>
          <w:szCs w:val="26"/>
        </w:rPr>
        <w:t>the amount allocated to rebates</w:t>
      </w:r>
      <w:r>
        <w:rPr>
          <w:sz w:val="26"/>
          <w:szCs w:val="26"/>
        </w:rPr>
        <w:t>)</w:t>
      </w:r>
      <w:r w:rsidRPr="00931F7A">
        <w:rPr>
          <w:sz w:val="26"/>
          <w:szCs w:val="26"/>
        </w:rPr>
        <w:t xml:space="preserve"> can </w:t>
      </w:r>
      <w:r>
        <w:rPr>
          <w:sz w:val="26"/>
          <w:szCs w:val="26"/>
        </w:rPr>
        <w:t xml:space="preserve">be </w:t>
      </w:r>
      <w:r w:rsidRPr="00931F7A">
        <w:rPr>
          <w:sz w:val="26"/>
          <w:szCs w:val="26"/>
        </w:rPr>
        <w:t>recovered from ratepayers in Duquesne</w:t>
      </w:r>
      <w:r w:rsidR="001E73FA">
        <w:rPr>
          <w:sz w:val="26"/>
          <w:szCs w:val="26"/>
        </w:rPr>
        <w:t>’</w:t>
      </w:r>
      <w:r w:rsidRPr="00931F7A">
        <w:rPr>
          <w:sz w:val="26"/>
          <w:szCs w:val="26"/>
        </w:rPr>
        <w:t xml:space="preserve">s next base rate proceeding.  CAUSE-PA argued that the EV pilot is in the public interest because </w:t>
      </w:r>
      <w:r>
        <w:rPr>
          <w:sz w:val="26"/>
          <w:szCs w:val="26"/>
        </w:rPr>
        <w:t xml:space="preserve">it </w:t>
      </w:r>
      <w:r w:rsidRPr="00931F7A">
        <w:rPr>
          <w:sz w:val="26"/>
          <w:szCs w:val="26"/>
        </w:rPr>
        <w:t xml:space="preserve">provides significant investment into the electrification of public transportation and has a tangible public benefit to low income customers who are more likely to use public transportation as compared to </w:t>
      </w:r>
      <w:r>
        <w:rPr>
          <w:sz w:val="26"/>
          <w:szCs w:val="26"/>
        </w:rPr>
        <w:t>higher income customers</w:t>
      </w:r>
      <w:r w:rsidRPr="00931F7A">
        <w:rPr>
          <w:sz w:val="26"/>
          <w:szCs w:val="26"/>
        </w:rPr>
        <w:t>.  CAUSE-PA Statement in Support at 5.</w:t>
      </w:r>
    </w:p>
    <w:p w:rsidR="00D65054" w:rsidRPr="00931F7A" w:rsidRDefault="00D65054" w:rsidP="007D3734">
      <w:pPr>
        <w:widowControl/>
        <w:spacing w:line="360" w:lineRule="auto"/>
        <w:ind w:firstLine="1440"/>
        <w:contextualSpacing/>
        <w:rPr>
          <w:sz w:val="26"/>
          <w:szCs w:val="26"/>
        </w:rPr>
      </w:pPr>
    </w:p>
    <w:p w:rsidR="00D65054" w:rsidRPr="00931F7A" w:rsidRDefault="00D65054" w:rsidP="007D3734">
      <w:pPr>
        <w:widowControl/>
        <w:spacing w:line="360" w:lineRule="auto"/>
        <w:ind w:firstLine="1440"/>
        <w:contextualSpacing/>
        <w:rPr>
          <w:sz w:val="26"/>
          <w:szCs w:val="26"/>
        </w:rPr>
      </w:pPr>
      <w:r w:rsidRPr="00931F7A">
        <w:rPr>
          <w:sz w:val="26"/>
          <w:szCs w:val="26"/>
        </w:rPr>
        <w:lastRenderedPageBreak/>
        <w:t xml:space="preserve">In its Statement in Support, ChargePoint submitted that the EV pilot balances customer needs and desires, Company objectives, and ratepayer benefits and costs, while ensuring that the Competitive EV charging market in Pennsylvania can continue to develop in a sustainable manner.  ChargePoint highlighted that the EV Pilot will provide a significant foundation for ensuring that new load is incorporated in a safe, reliable, and efficient manner.  ChargePoint also pointed out that the Pilot will generate substantial information regarding customer experience and EV charging data, which will be provided annually to the Commission for review and will be useful for future distribution planning and load management program development.  ChargePoint submitted that the EV Pilot Program incorporates a set of guiding principles which considers all major stakeholders impacted by the Pilot.  Thus, ChargePoint argued that the </w:t>
      </w:r>
      <w:r>
        <w:rPr>
          <w:sz w:val="26"/>
          <w:szCs w:val="26"/>
        </w:rPr>
        <w:t>EV Pilot program is</w:t>
      </w:r>
      <w:r w:rsidRPr="00931F7A">
        <w:rPr>
          <w:sz w:val="26"/>
          <w:szCs w:val="26"/>
        </w:rPr>
        <w:t xml:space="preserve"> in the public interest because it will ensure that investments appropriately reduce market barriers, minimize costs, and maximize benefits to ratepayers.  ChargePoint Statement in Support at 6.</w:t>
      </w:r>
    </w:p>
    <w:p w:rsidR="00D65054" w:rsidRPr="00931F7A" w:rsidRDefault="00D65054" w:rsidP="007D3734">
      <w:pPr>
        <w:widowControl/>
        <w:spacing w:line="360" w:lineRule="auto"/>
        <w:ind w:firstLine="1440"/>
        <w:contextualSpacing/>
        <w:rPr>
          <w:sz w:val="26"/>
          <w:szCs w:val="26"/>
        </w:rPr>
      </w:pPr>
    </w:p>
    <w:p w:rsidR="00D65054" w:rsidRPr="00931F7A" w:rsidRDefault="00D65054" w:rsidP="007D3734">
      <w:pPr>
        <w:widowControl/>
        <w:spacing w:line="360" w:lineRule="auto"/>
        <w:ind w:firstLine="1440"/>
        <w:contextualSpacing/>
        <w:rPr>
          <w:sz w:val="26"/>
          <w:szCs w:val="26"/>
        </w:rPr>
      </w:pPr>
      <w:r w:rsidRPr="00931F7A">
        <w:rPr>
          <w:sz w:val="26"/>
          <w:szCs w:val="26"/>
        </w:rPr>
        <w:t>In its Statement in Support, NRDC argued that the information gathered from the Pilot will support improved capacity utilization and other power objectives of the Commonwealth and that all ratepayers will benefit from the estimated reductions in utility customer bills that will result from increased EV charging in Pennsylvania.  NRDC Statement in Support at 4-5.</w:t>
      </w:r>
    </w:p>
    <w:bookmarkEnd w:id="25"/>
    <w:p w:rsidR="00D65054" w:rsidRDefault="00D65054" w:rsidP="007D3734">
      <w:pPr>
        <w:widowControl/>
        <w:spacing w:line="360" w:lineRule="auto"/>
        <w:ind w:firstLine="1440"/>
        <w:contextualSpacing/>
        <w:rPr>
          <w:sz w:val="26"/>
          <w:szCs w:val="26"/>
        </w:rPr>
      </w:pPr>
    </w:p>
    <w:p w:rsidR="00D65054" w:rsidRPr="00AF7C9B" w:rsidRDefault="00D65054" w:rsidP="007D3734">
      <w:pPr>
        <w:keepNext/>
        <w:keepLines/>
        <w:widowControl/>
        <w:spacing w:line="360" w:lineRule="auto"/>
        <w:ind w:firstLine="1440"/>
        <w:contextualSpacing/>
        <w:rPr>
          <w:b/>
          <w:sz w:val="26"/>
          <w:szCs w:val="26"/>
        </w:rPr>
      </w:pPr>
      <w:r w:rsidRPr="00AF7C9B">
        <w:rPr>
          <w:b/>
          <w:sz w:val="26"/>
          <w:szCs w:val="26"/>
        </w:rPr>
        <w:tab/>
        <w:t>b.</w:t>
      </w:r>
      <w:r w:rsidRPr="00AF7C9B">
        <w:rPr>
          <w:b/>
          <w:sz w:val="26"/>
          <w:szCs w:val="26"/>
        </w:rPr>
        <w:tab/>
        <w:t>ALJ</w:t>
      </w:r>
      <w:r w:rsidR="001E73FA">
        <w:rPr>
          <w:b/>
          <w:sz w:val="26"/>
          <w:szCs w:val="26"/>
        </w:rPr>
        <w:t>’</w:t>
      </w:r>
      <w:r w:rsidRPr="00AF7C9B">
        <w:rPr>
          <w:b/>
          <w:sz w:val="26"/>
          <w:szCs w:val="26"/>
        </w:rPr>
        <w:t>s Recommendation</w:t>
      </w:r>
    </w:p>
    <w:p w:rsidR="00D65054" w:rsidRDefault="00D65054" w:rsidP="007D3734">
      <w:pPr>
        <w:keepNext/>
        <w:keepLines/>
        <w:widowControl/>
        <w:spacing w:line="360" w:lineRule="auto"/>
        <w:ind w:firstLine="1440"/>
        <w:contextualSpacing/>
        <w:rPr>
          <w:sz w:val="26"/>
          <w:szCs w:val="26"/>
        </w:rPr>
      </w:pPr>
    </w:p>
    <w:p w:rsidR="00D65054" w:rsidRPr="00A80EEE" w:rsidRDefault="00D65054" w:rsidP="007D3734">
      <w:pPr>
        <w:widowControl/>
        <w:spacing w:line="360" w:lineRule="auto"/>
        <w:ind w:firstLine="1440"/>
        <w:contextualSpacing/>
        <w:rPr>
          <w:sz w:val="26"/>
          <w:szCs w:val="26"/>
        </w:rPr>
      </w:pPr>
      <w:r w:rsidRPr="00A80EEE">
        <w:rPr>
          <w:sz w:val="26"/>
          <w:szCs w:val="26"/>
        </w:rPr>
        <w:t xml:space="preserve">The ALJ determined that the costs of the EV Pilot Programs should be approved as just and reasonable without any definitive class allocation.  The ALJ reasoned that the impact will be relatively small and, because these costs relate to a pilot, some expenditures are needed before the Parties and the Commission can make a determination as to whether the EV incentives and provisions will create a larger public benefit.  The ALJ also found that the EV Pilot Program, as modified by the provisions in </w:t>
      </w:r>
      <w:r w:rsidRPr="00A80EEE">
        <w:rPr>
          <w:sz w:val="26"/>
          <w:szCs w:val="26"/>
        </w:rPr>
        <w:lastRenderedPageBreak/>
        <w:t>the Partial Settlement, will reduce the impact on the base rates substantially while providing incentives for third parties to pay to install Level 2 charging stations for public use.  The ALJ pointed out that while the use of EVs within Duquesne</w:t>
      </w:r>
      <w:r w:rsidR="001E73FA">
        <w:rPr>
          <w:sz w:val="26"/>
          <w:szCs w:val="26"/>
        </w:rPr>
        <w:t>’</w:t>
      </w:r>
      <w:r w:rsidRPr="00A80EEE">
        <w:rPr>
          <w:sz w:val="26"/>
          <w:szCs w:val="26"/>
        </w:rPr>
        <w:t>s service territory is statistically small, the benefits of a population that drives EVs cannot be realized if public charging stations are not easily available.  Therefore, the ALJ recommended that this portion of the Partial Settlement be adopted.  R.D. at 168-69.</w:t>
      </w:r>
    </w:p>
    <w:p w:rsidR="00D65054" w:rsidRDefault="00D65054" w:rsidP="007D3734">
      <w:pPr>
        <w:widowControl/>
        <w:spacing w:line="360" w:lineRule="auto"/>
        <w:ind w:firstLine="1440"/>
        <w:contextualSpacing/>
        <w:rPr>
          <w:sz w:val="26"/>
          <w:szCs w:val="26"/>
        </w:rPr>
      </w:pPr>
    </w:p>
    <w:p w:rsidR="00D65054" w:rsidRPr="0092280A" w:rsidRDefault="00D65054" w:rsidP="007D3734">
      <w:pPr>
        <w:pStyle w:val="Heading3"/>
        <w:widowControl/>
        <w:ind w:left="1440"/>
        <w:rPr>
          <w:rStyle w:val="Heading3Char"/>
          <w:b/>
        </w:rPr>
      </w:pPr>
      <w:bookmarkStart w:id="27" w:name="_Toc531091824"/>
      <w:bookmarkStart w:id="28" w:name="_Toc532905964"/>
      <w:r w:rsidRPr="00D32E33">
        <w:t>5.</w:t>
      </w:r>
      <w:r w:rsidRPr="0092280A">
        <w:rPr>
          <w:b w:val="0"/>
        </w:rPr>
        <w:tab/>
      </w:r>
      <w:r w:rsidRPr="0092280A">
        <w:rPr>
          <w:rStyle w:val="Heading3Char"/>
          <w:b/>
        </w:rPr>
        <w:t>Time of Use Rates</w:t>
      </w:r>
      <w:bookmarkEnd w:id="27"/>
      <w:bookmarkEnd w:id="28"/>
    </w:p>
    <w:p w:rsidR="00D65054" w:rsidRDefault="00D65054" w:rsidP="007D3734">
      <w:pPr>
        <w:keepNext/>
        <w:keepLines/>
        <w:widowControl/>
        <w:spacing w:line="360" w:lineRule="auto"/>
        <w:ind w:firstLine="1440"/>
        <w:contextualSpacing/>
        <w:rPr>
          <w:sz w:val="26"/>
          <w:szCs w:val="26"/>
        </w:rPr>
      </w:pPr>
    </w:p>
    <w:p w:rsidR="00D65054" w:rsidRPr="00F734FF" w:rsidRDefault="00D65054" w:rsidP="007D3734">
      <w:pPr>
        <w:widowControl/>
        <w:spacing w:line="360" w:lineRule="auto"/>
        <w:ind w:firstLine="1440"/>
        <w:contextualSpacing/>
        <w:rPr>
          <w:sz w:val="26"/>
          <w:szCs w:val="26"/>
        </w:rPr>
      </w:pPr>
      <w:r w:rsidRPr="00F734FF">
        <w:rPr>
          <w:sz w:val="26"/>
          <w:szCs w:val="26"/>
        </w:rPr>
        <w:t xml:space="preserve">As noted above, </w:t>
      </w:r>
      <w:r>
        <w:rPr>
          <w:sz w:val="26"/>
          <w:szCs w:val="26"/>
        </w:rPr>
        <w:t>P</w:t>
      </w:r>
      <w:r w:rsidRPr="00F734FF">
        <w:rPr>
          <w:sz w:val="26"/>
          <w:szCs w:val="26"/>
        </w:rPr>
        <w:t xml:space="preserve">aragraph </w:t>
      </w:r>
      <w:r w:rsidR="003E2797">
        <w:rPr>
          <w:sz w:val="26"/>
          <w:szCs w:val="26"/>
        </w:rPr>
        <w:t xml:space="preserve">No. </w:t>
      </w:r>
      <w:r w:rsidRPr="00F734FF">
        <w:rPr>
          <w:sz w:val="26"/>
          <w:szCs w:val="26"/>
        </w:rPr>
        <w:t xml:space="preserve">52 of the Partial Settlement provides that Duquesne will hold a collaborative to discuss residential TOU rates and will make a proposal regarding TOU rates in its next default service rate filing, unless it is ordered by the Commission to do so earlier.  At the hearing, the ALJ asked the Joint Petitioners to address whether Duquesne should </w:t>
      </w:r>
      <w:r>
        <w:rPr>
          <w:sz w:val="26"/>
          <w:szCs w:val="26"/>
        </w:rPr>
        <w:t xml:space="preserve">be required to make a </w:t>
      </w:r>
      <w:r w:rsidRPr="00F734FF">
        <w:rPr>
          <w:sz w:val="26"/>
          <w:szCs w:val="26"/>
        </w:rPr>
        <w:t>TOU filing prior to its next default service rate filing.  Tr. at 676.</w:t>
      </w:r>
    </w:p>
    <w:p w:rsidR="00D65054" w:rsidRDefault="00D65054" w:rsidP="007D3734">
      <w:pPr>
        <w:widowControl/>
        <w:spacing w:line="360" w:lineRule="auto"/>
        <w:ind w:firstLine="1440"/>
        <w:contextualSpacing/>
        <w:rPr>
          <w:sz w:val="26"/>
          <w:szCs w:val="26"/>
        </w:rPr>
      </w:pPr>
    </w:p>
    <w:p w:rsidR="00D65054" w:rsidRPr="00AF7C9B" w:rsidRDefault="00D65054" w:rsidP="007D3734">
      <w:pPr>
        <w:keepNext/>
        <w:keepLines/>
        <w:widowControl/>
        <w:spacing w:line="360" w:lineRule="auto"/>
        <w:ind w:firstLine="1440"/>
        <w:contextualSpacing/>
        <w:rPr>
          <w:b/>
          <w:sz w:val="26"/>
          <w:szCs w:val="26"/>
        </w:rPr>
      </w:pPr>
      <w:r w:rsidRPr="00AF7C9B">
        <w:rPr>
          <w:b/>
          <w:sz w:val="26"/>
          <w:szCs w:val="26"/>
        </w:rPr>
        <w:tab/>
        <w:t>a.</w:t>
      </w:r>
      <w:r w:rsidRPr="00AF7C9B">
        <w:rPr>
          <w:b/>
          <w:sz w:val="26"/>
          <w:szCs w:val="26"/>
        </w:rPr>
        <w:tab/>
        <w:t>Positions of the Parties</w:t>
      </w:r>
    </w:p>
    <w:p w:rsidR="00D65054" w:rsidRDefault="00D65054" w:rsidP="007D3734">
      <w:pPr>
        <w:keepNext/>
        <w:keepLines/>
        <w:widowControl/>
        <w:spacing w:line="360" w:lineRule="auto"/>
        <w:ind w:firstLine="1440"/>
        <w:contextualSpacing/>
        <w:rPr>
          <w:sz w:val="26"/>
          <w:szCs w:val="26"/>
        </w:rPr>
      </w:pPr>
    </w:p>
    <w:p w:rsidR="00D65054" w:rsidRPr="0042734A" w:rsidRDefault="00D65054" w:rsidP="007D3734">
      <w:pPr>
        <w:widowControl/>
        <w:spacing w:line="360" w:lineRule="auto"/>
        <w:ind w:firstLine="1440"/>
        <w:contextualSpacing/>
        <w:rPr>
          <w:sz w:val="26"/>
          <w:szCs w:val="26"/>
        </w:rPr>
      </w:pPr>
      <w:r w:rsidRPr="0042734A">
        <w:rPr>
          <w:sz w:val="26"/>
          <w:szCs w:val="26"/>
        </w:rPr>
        <w:t xml:space="preserve">Duquesne submitted that it should not be required to make a TOU filing outside of its default service filings.  Duquesne reasoned that TOU rates are appropriate for generation charges but not for distribution charges, and accordingly, issues regarding generation charges should be addressed in default service proceedings.  Duquesne also noted that the collaborative process contemplated in </w:t>
      </w:r>
      <w:r w:rsidR="003E2797">
        <w:rPr>
          <w:sz w:val="26"/>
          <w:szCs w:val="26"/>
        </w:rPr>
        <w:t>Paragraph No.</w:t>
      </w:r>
      <w:r w:rsidRPr="0042734A">
        <w:rPr>
          <w:sz w:val="26"/>
          <w:szCs w:val="26"/>
        </w:rPr>
        <w:t xml:space="preserve"> 52 of the Partial Settlement will occur in 2019 and that Duquesne will make its next default service filing in 2020.  In Duquesne</w:t>
      </w:r>
      <w:r w:rsidR="001E73FA">
        <w:rPr>
          <w:sz w:val="26"/>
          <w:szCs w:val="26"/>
        </w:rPr>
        <w:t>’</w:t>
      </w:r>
      <w:r w:rsidRPr="0042734A">
        <w:rPr>
          <w:sz w:val="26"/>
          <w:szCs w:val="26"/>
        </w:rPr>
        <w:t>s view, this is a reasonable timeframe for considering TOU proposals and developing a new TOU program.  Duquesne Statement in Support at</w:t>
      </w:r>
      <w:r w:rsidR="00941901">
        <w:rPr>
          <w:sz w:val="26"/>
          <w:szCs w:val="26"/>
        </w:rPr>
        <w:t> </w:t>
      </w:r>
      <w:r w:rsidRPr="0042734A">
        <w:rPr>
          <w:sz w:val="26"/>
          <w:szCs w:val="26"/>
        </w:rPr>
        <w:t>24</w:t>
      </w:r>
      <w:r>
        <w:rPr>
          <w:sz w:val="26"/>
          <w:szCs w:val="26"/>
        </w:rPr>
        <w:noBreakHyphen/>
      </w:r>
      <w:r w:rsidRPr="0042734A">
        <w:rPr>
          <w:sz w:val="26"/>
          <w:szCs w:val="26"/>
        </w:rPr>
        <w:t>25.</w:t>
      </w:r>
    </w:p>
    <w:p w:rsidR="00D65054" w:rsidRPr="0042734A" w:rsidRDefault="00D65054" w:rsidP="007D3734">
      <w:pPr>
        <w:widowControl/>
        <w:spacing w:line="360" w:lineRule="auto"/>
        <w:ind w:firstLine="1440"/>
        <w:contextualSpacing/>
        <w:rPr>
          <w:sz w:val="26"/>
          <w:szCs w:val="26"/>
        </w:rPr>
      </w:pPr>
    </w:p>
    <w:p w:rsidR="00D65054" w:rsidRPr="0042734A" w:rsidRDefault="00D65054" w:rsidP="007D3734">
      <w:pPr>
        <w:widowControl/>
        <w:spacing w:line="360" w:lineRule="auto"/>
        <w:ind w:firstLine="1440"/>
        <w:contextualSpacing/>
        <w:rPr>
          <w:sz w:val="26"/>
          <w:szCs w:val="26"/>
        </w:rPr>
      </w:pPr>
      <w:r w:rsidRPr="0042734A">
        <w:rPr>
          <w:sz w:val="26"/>
          <w:szCs w:val="26"/>
        </w:rPr>
        <w:lastRenderedPageBreak/>
        <w:t xml:space="preserve">The OCA noted that Duquesne has agreed to hold a collaborative between interested stakeholders to consider TOU rate issues and suggestions and that Duquesne has also agreed </w:t>
      </w:r>
      <w:r>
        <w:rPr>
          <w:sz w:val="26"/>
          <w:szCs w:val="26"/>
        </w:rPr>
        <w:t xml:space="preserve">to </w:t>
      </w:r>
      <w:r w:rsidRPr="0042734A">
        <w:rPr>
          <w:sz w:val="26"/>
          <w:szCs w:val="26"/>
        </w:rPr>
        <w:t xml:space="preserve">make a proposal regarding TOU rates in its next default service rate filing.  The OCA represented that it understands the importance and complexity of the issues surrounding residential TOU rates and that it will participate in the collaborative.  OCA Statement in Support at 23. </w:t>
      </w:r>
    </w:p>
    <w:p w:rsidR="00D65054" w:rsidRPr="0042734A" w:rsidRDefault="00D65054" w:rsidP="007D3734">
      <w:pPr>
        <w:widowControl/>
        <w:spacing w:line="360" w:lineRule="auto"/>
        <w:ind w:firstLine="1440"/>
        <w:contextualSpacing/>
        <w:rPr>
          <w:sz w:val="26"/>
          <w:szCs w:val="26"/>
        </w:rPr>
      </w:pPr>
    </w:p>
    <w:p w:rsidR="00D65054" w:rsidRPr="0042734A" w:rsidRDefault="00D65054" w:rsidP="007D3734">
      <w:pPr>
        <w:widowControl/>
        <w:spacing w:line="360" w:lineRule="auto"/>
        <w:ind w:firstLine="1440"/>
        <w:contextualSpacing/>
        <w:rPr>
          <w:sz w:val="26"/>
          <w:szCs w:val="26"/>
        </w:rPr>
      </w:pPr>
      <w:r w:rsidRPr="0042734A">
        <w:rPr>
          <w:sz w:val="26"/>
          <w:szCs w:val="26"/>
        </w:rPr>
        <w:t>KEEA, likewise, highlighted Duquesne</w:t>
      </w:r>
      <w:r w:rsidR="001E73FA">
        <w:rPr>
          <w:sz w:val="26"/>
          <w:szCs w:val="26"/>
        </w:rPr>
        <w:t>’</w:t>
      </w:r>
      <w:r w:rsidRPr="0042734A">
        <w:rPr>
          <w:sz w:val="26"/>
          <w:szCs w:val="26"/>
        </w:rPr>
        <w:t>s agreement to make a proposal regarding TOU rates in its next default service filing.  KEEA submitted that Duquesne</w:t>
      </w:r>
      <w:r w:rsidR="001E73FA">
        <w:rPr>
          <w:sz w:val="26"/>
          <w:szCs w:val="26"/>
        </w:rPr>
        <w:t>’</w:t>
      </w:r>
      <w:r w:rsidRPr="0042734A">
        <w:rPr>
          <w:sz w:val="26"/>
          <w:szCs w:val="26"/>
        </w:rPr>
        <w:t>s agreement to establish a collaborative process on TOU rates is significant.  KEEA asserted that the collaborative process is an important step to establishing a TOU program structure that encourages investments in energy efficiency and renewable energy, produces substantial peak demand reductions, and sends the proper price signal to customers to conserve electricity and engage in energy efficiency.  As Duquesne does not currently offer a TOU program, KEEA proffered that Duquesne should not be required to make a TOU proposal prior to its next default service filing.  Rather, KEEA contended that it is in the best interest of the public for stakeholders to have an opportunity to provide input, via the collaborative process, on how the program should be designed.  KEEA Statement in Support at 4-5.</w:t>
      </w:r>
    </w:p>
    <w:p w:rsidR="00D65054" w:rsidRPr="0042734A" w:rsidRDefault="00D65054" w:rsidP="007D3734">
      <w:pPr>
        <w:widowControl/>
        <w:spacing w:line="360" w:lineRule="auto"/>
        <w:ind w:firstLine="1440"/>
        <w:contextualSpacing/>
        <w:rPr>
          <w:sz w:val="26"/>
          <w:szCs w:val="26"/>
        </w:rPr>
      </w:pPr>
    </w:p>
    <w:p w:rsidR="00D65054" w:rsidRPr="0042734A" w:rsidRDefault="00D65054" w:rsidP="007D3734">
      <w:pPr>
        <w:widowControl/>
        <w:spacing w:line="360" w:lineRule="auto"/>
        <w:ind w:firstLine="1440"/>
        <w:contextualSpacing/>
        <w:rPr>
          <w:sz w:val="26"/>
          <w:szCs w:val="26"/>
        </w:rPr>
      </w:pPr>
      <w:r w:rsidRPr="0042734A">
        <w:rPr>
          <w:sz w:val="26"/>
          <w:szCs w:val="26"/>
        </w:rPr>
        <w:t>NRDC adopted the position of KEEA as to the provisions of the Partial Settlement that concern TOU rates.  NRDC concur</w:t>
      </w:r>
      <w:r>
        <w:rPr>
          <w:sz w:val="26"/>
          <w:szCs w:val="26"/>
        </w:rPr>
        <w:t>red</w:t>
      </w:r>
      <w:r w:rsidRPr="0042734A">
        <w:rPr>
          <w:sz w:val="26"/>
          <w:szCs w:val="26"/>
        </w:rPr>
        <w:t xml:space="preserve"> with the other Joint Petitioners that the collaborative process is an important first step towards establishing an appropriate TOU program.  NRDC Statement in Support at 3.</w:t>
      </w:r>
    </w:p>
    <w:p w:rsidR="00D65054" w:rsidRDefault="00D65054" w:rsidP="007D3734">
      <w:pPr>
        <w:widowControl/>
        <w:spacing w:line="360" w:lineRule="auto"/>
        <w:ind w:firstLine="1440"/>
        <w:contextualSpacing/>
        <w:rPr>
          <w:sz w:val="26"/>
          <w:szCs w:val="26"/>
        </w:rPr>
      </w:pPr>
    </w:p>
    <w:p w:rsidR="00D65054" w:rsidRPr="00AF7C9B" w:rsidRDefault="00D65054" w:rsidP="007D3734">
      <w:pPr>
        <w:keepNext/>
        <w:keepLines/>
        <w:widowControl/>
        <w:spacing w:line="360" w:lineRule="auto"/>
        <w:ind w:firstLine="1440"/>
        <w:contextualSpacing/>
        <w:rPr>
          <w:b/>
          <w:sz w:val="26"/>
          <w:szCs w:val="26"/>
        </w:rPr>
      </w:pPr>
      <w:r w:rsidRPr="00AF7C9B">
        <w:rPr>
          <w:b/>
          <w:sz w:val="26"/>
          <w:szCs w:val="26"/>
        </w:rPr>
        <w:tab/>
        <w:t>b.</w:t>
      </w:r>
      <w:r w:rsidRPr="00AF7C9B">
        <w:rPr>
          <w:b/>
          <w:sz w:val="26"/>
          <w:szCs w:val="26"/>
        </w:rPr>
        <w:tab/>
        <w:t>ALJ</w:t>
      </w:r>
      <w:r w:rsidR="001E73FA">
        <w:rPr>
          <w:b/>
          <w:sz w:val="26"/>
          <w:szCs w:val="26"/>
        </w:rPr>
        <w:t>’</w:t>
      </w:r>
      <w:r w:rsidRPr="00AF7C9B">
        <w:rPr>
          <w:b/>
          <w:sz w:val="26"/>
          <w:szCs w:val="26"/>
        </w:rPr>
        <w:t>s Recommendation</w:t>
      </w:r>
    </w:p>
    <w:p w:rsidR="00D65054" w:rsidRDefault="00D65054" w:rsidP="007D3734">
      <w:pPr>
        <w:keepNext/>
        <w:keepLines/>
        <w:widowControl/>
        <w:spacing w:line="360" w:lineRule="auto"/>
        <w:ind w:firstLine="1440"/>
        <w:contextualSpacing/>
        <w:rPr>
          <w:sz w:val="26"/>
          <w:szCs w:val="26"/>
        </w:rPr>
      </w:pPr>
    </w:p>
    <w:p w:rsidR="00D65054" w:rsidRPr="00142480" w:rsidRDefault="00D65054" w:rsidP="007D3734">
      <w:pPr>
        <w:widowControl/>
        <w:spacing w:line="360" w:lineRule="auto"/>
        <w:ind w:firstLine="1440"/>
        <w:contextualSpacing/>
        <w:rPr>
          <w:sz w:val="26"/>
          <w:szCs w:val="26"/>
        </w:rPr>
      </w:pPr>
      <w:r w:rsidRPr="00142480">
        <w:rPr>
          <w:sz w:val="26"/>
          <w:szCs w:val="26"/>
        </w:rPr>
        <w:t xml:space="preserve">The ALJ </w:t>
      </w:r>
      <w:r>
        <w:rPr>
          <w:sz w:val="26"/>
          <w:szCs w:val="26"/>
        </w:rPr>
        <w:t>agreed</w:t>
      </w:r>
      <w:r w:rsidRPr="00142480">
        <w:rPr>
          <w:sz w:val="26"/>
          <w:szCs w:val="26"/>
        </w:rPr>
        <w:t xml:space="preserve"> with Duquesne and the other Joint Petitioners who addressed this issue in their respective Statements in Support that there is no need to </w:t>
      </w:r>
      <w:r w:rsidRPr="00142480">
        <w:rPr>
          <w:sz w:val="26"/>
          <w:szCs w:val="26"/>
        </w:rPr>
        <w:lastRenderedPageBreak/>
        <w:t>mandate that Duquesne make a TOU proposal prior to its next default service rate filing.  The ALJ determined that Electric Generation Suppliers serving in Duquesne</w:t>
      </w:r>
      <w:r w:rsidR="001E73FA">
        <w:rPr>
          <w:sz w:val="26"/>
          <w:szCs w:val="26"/>
        </w:rPr>
        <w:t>’</w:t>
      </w:r>
      <w:r w:rsidRPr="00142480">
        <w:rPr>
          <w:sz w:val="26"/>
          <w:szCs w:val="26"/>
        </w:rPr>
        <w:t xml:space="preserve">s service territory are capable of supplying TOU rates and that, at this time, a TOU proposal is best handled as a supply or generation charge.  The ALJ also determined that because TOU rates could reduce customer charges and peak demands and thereby better reflect proper price signals which encourage energy efficiency and conservation, the collaborative process contemplated in </w:t>
      </w:r>
      <w:r w:rsidR="003E2797">
        <w:rPr>
          <w:sz w:val="26"/>
          <w:szCs w:val="26"/>
        </w:rPr>
        <w:t>Paragraph No.</w:t>
      </w:r>
      <w:r w:rsidRPr="00142480">
        <w:rPr>
          <w:sz w:val="26"/>
          <w:szCs w:val="26"/>
        </w:rPr>
        <w:t xml:space="preserve"> 52 of the Partial Settlement is the optimal method to develop a TOU proposal for which Duquesne can include in its next default service rate filing.  Therefore, the ALJ recommended that this portion of the Partial Settlement be adopted.  R.D. at 170.</w:t>
      </w:r>
    </w:p>
    <w:p w:rsidR="00D65054" w:rsidRDefault="00D65054" w:rsidP="007D3734">
      <w:pPr>
        <w:widowControl/>
        <w:spacing w:line="360" w:lineRule="auto"/>
        <w:ind w:firstLine="1440"/>
        <w:contextualSpacing/>
        <w:rPr>
          <w:sz w:val="26"/>
          <w:szCs w:val="26"/>
        </w:rPr>
      </w:pPr>
    </w:p>
    <w:p w:rsidR="00D65054" w:rsidRPr="0092280A" w:rsidRDefault="00D65054" w:rsidP="007D3734">
      <w:pPr>
        <w:pStyle w:val="Heading3"/>
        <w:widowControl/>
        <w:ind w:left="2160" w:hanging="720"/>
        <w:rPr>
          <w:rStyle w:val="Heading3Char"/>
          <w:b/>
        </w:rPr>
      </w:pPr>
      <w:bookmarkStart w:id="29" w:name="_Toc531091825"/>
      <w:bookmarkStart w:id="30" w:name="_Toc532905965"/>
      <w:r w:rsidRPr="00D32E33">
        <w:t>6.</w:t>
      </w:r>
      <w:r w:rsidRPr="0092280A">
        <w:rPr>
          <w:b w:val="0"/>
        </w:rPr>
        <w:tab/>
      </w:r>
      <w:r w:rsidRPr="0092280A">
        <w:rPr>
          <w:rStyle w:val="Heading3Char"/>
          <w:b/>
        </w:rPr>
        <w:t>Effect of Medical Certificate Program Changes for Ratepayers with Balances in Excess of $10,000</w:t>
      </w:r>
      <w:bookmarkEnd w:id="29"/>
      <w:bookmarkEnd w:id="30"/>
    </w:p>
    <w:p w:rsidR="00D65054" w:rsidRDefault="00D65054" w:rsidP="007D3734">
      <w:pPr>
        <w:keepNext/>
        <w:keepLines/>
        <w:widowControl/>
        <w:spacing w:line="360" w:lineRule="auto"/>
        <w:ind w:firstLine="1440"/>
        <w:contextualSpacing/>
        <w:rPr>
          <w:sz w:val="26"/>
          <w:szCs w:val="26"/>
        </w:rPr>
      </w:pPr>
    </w:p>
    <w:p w:rsidR="00D65054" w:rsidRPr="000361CD" w:rsidRDefault="00D65054" w:rsidP="007D3734">
      <w:pPr>
        <w:widowControl/>
        <w:spacing w:line="360" w:lineRule="auto"/>
        <w:ind w:firstLine="1440"/>
        <w:contextualSpacing/>
        <w:rPr>
          <w:sz w:val="26"/>
          <w:szCs w:val="26"/>
        </w:rPr>
      </w:pPr>
      <w:r w:rsidRPr="000361CD">
        <w:rPr>
          <w:sz w:val="26"/>
          <w:szCs w:val="26"/>
        </w:rPr>
        <w:t xml:space="preserve">At the hearing, the ALJ asked whether the provision outlined in </w:t>
      </w:r>
      <w:r>
        <w:rPr>
          <w:sz w:val="26"/>
          <w:szCs w:val="26"/>
        </w:rPr>
        <w:t>P</w:t>
      </w:r>
      <w:r w:rsidRPr="000361CD">
        <w:rPr>
          <w:sz w:val="26"/>
          <w:szCs w:val="26"/>
        </w:rPr>
        <w:t>aragraph</w:t>
      </w:r>
      <w:r w:rsidR="009C5EAE">
        <w:rPr>
          <w:sz w:val="26"/>
          <w:szCs w:val="26"/>
        </w:rPr>
        <w:t xml:space="preserve"> No. </w:t>
      </w:r>
      <w:r w:rsidRPr="000361CD">
        <w:rPr>
          <w:sz w:val="26"/>
          <w:szCs w:val="26"/>
        </w:rPr>
        <w:t xml:space="preserve">55 of the Partial Settlement applies to consumers with balances that are greater than $10,000, and if it does apply, how </w:t>
      </w:r>
      <w:r>
        <w:rPr>
          <w:sz w:val="26"/>
          <w:szCs w:val="26"/>
        </w:rPr>
        <w:t>such instances will</w:t>
      </w:r>
      <w:r w:rsidRPr="000361CD">
        <w:rPr>
          <w:sz w:val="26"/>
          <w:szCs w:val="26"/>
        </w:rPr>
        <w:t xml:space="preserve"> be handled.  Tr. at 677.</w:t>
      </w:r>
    </w:p>
    <w:p w:rsidR="00D65054" w:rsidRDefault="00D65054" w:rsidP="007D3734">
      <w:pPr>
        <w:widowControl/>
        <w:spacing w:line="360" w:lineRule="auto"/>
        <w:ind w:firstLine="1440"/>
        <w:contextualSpacing/>
        <w:rPr>
          <w:sz w:val="26"/>
          <w:szCs w:val="26"/>
        </w:rPr>
      </w:pPr>
    </w:p>
    <w:p w:rsidR="00D65054" w:rsidRPr="00AF7C9B" w:rsidRDefault="00D65054" w:rsidP="007D3734">
      <w:pPr>
        <w:keepNext/>
        <w:keepLines/>
        <w:widowControl/>
        <w:spacing w:line="360" w:lineRule="auto"/>
        <w:ind w:firstLine="1440"/>
        <w:contextualSpacing/>
        <w:rPr>
          <w:b/>
          <w:sz w:val="26"/>
          <w:szCs w:val="26"/>
        </w:rPr>
      </w:pPr>
      <w:r w:rsidRPr="00AF7C9B">
        <w:rPr>
          <w:b/>
          <w:sz w:val="26"/>
          <w:szCs w:val="26"/>
        </w:rPr>
        <w:tab/>
        <w:t>a.</w:t>
      </w:r>
      <w:r w:rsidRPr="00AF7C9B">
        <w:rPr>
          <w:b/>
          <w:sz w:val="26"/>
          <w:szCs w:val="26"/>
        </w:rPr>
        <w:tab/>
        <w:t>Positions of the Parties</w:t>
      </w:r>
    </w:p>
    <w:p w:rsidR="00D65054" w:rsidRDefault="00D65054" w:rsidP="007D3734">
      <w:pPr>
        <w:keepNext/>
        <w:keepLines/>
        <w:widowControl/>
        <w:spacing w:line="360" w:lineRule="auto"/>
        <w:ind w:firstLine="1440"/>
        <w:contextualSpacing/>
        <w:rPr>
          <w:sz w:val="26"/>
          <w:szCs w:val="26"/>
        </w:rPr>
      </w:pPr>
    </w:p>
    <w:p w:rsidR="00D65054" w:rsidRPr="0035079B" w:rsidRDefault="00D65054" w:rsidP="007D3734">
      <w:pPr>
        <w:widowControl/>
        <w:spacing w:line="360" w:lineRule="auto"/>
        <w:ind w:firstLine="1440"/>
        <w:contextualSpacing/>
        <w:rPr>
          <w:sz w:val="26"/>
          <w:szCs w:val="26"/>
        </w:rPr>
      </w:pPr>
      <w:r w:rsidRPr="0035079B">
        <w:rPr>
          <w:sz w:val="26"/>
          <w:szCs w:val="26"/>
        </w:rPr>
        <w:t>Duquesne explained that this provision was adopted as a result of CAUSE</w:t>
      </w:r>
      <w:r>
        <w:rPr>
          <w:sz w:val="26"/>
          <w:szCs w:val="26"/>
        </w:rPr>
        <w:noBreakHyphen/>
      </w:r>
      <w:r w:rsidRPr="0035079B">
        <w:rPr>
          <w:sz w:val="26"/>
          <w:szCs w:val="26"/>
        </w:rPr>
        <w:t>PA</w:t>
      </w:r>
      <w:r w:rsidR="001E73FA">
        <w:rPr>
          <w:sz w:val="26"/>
          <w:szCs w:val="26"/>
        </w:rPr>
        <w:t>’</w:t>
      </w:r>
      <w:r w:rsidRPr="0035079B">
        <w:rPr>
          <w:sz w:val="26"/>
          <w:szCs w:val="26"/>
        </w:rPr>
        <w:t>s concerns that Duquesne</w:t>
      </w:r>
      <w:r w:rsidR="001E73FA">
        <w:rPr>
          <w:sz w:val="26"/>
          <w:szCs w:val="26"/>
        </w:rPr>
        <w:t>’</w:t>
      </w:r>
      <w:r w:rsidRPr="0035079B">
        <w:rPr>
          <w:sz w:val="26"/>
          <w:szCs w:val="26"/>
        </w:rPr>
        <w:t xml:space="preserve">s current medical certificate policy is not consistent with </w:t>
      </w:r>
      <w:r>
        <w:rPr>
          <w:sz w:val="26"/>
          <w:szCs w:val="26"/>
        </w:rPr>
        <w:t>the</w:t>
      </w:r>
      <w:r w:rsidRPr="0035079B">
        <w:rPr>
          <w:sz w:val="26"/>
          <w:szCs w:val="26"/>
        </w:rPr>
        <w:t xml:space="preserve"> Commission</w:t>
      </w:r>
      <w:r w:rsidR="001E73FA">
        <w:rPr>
          <w:sz w:val="26"/>
          <w:szCs w:val="26"/>
        </w:rPr>
        <w:t>’</w:t>
      </w:r>
      <w:r w:rsidRPr="0035079B">
        <w:rPr>
          <w:sz w:val="26"/>
          <w:szCs w:val="26"/>
        </w:rPr>
        <w:t xml:space="preserve">s regulations which allow for unlimited medical certificates for customers with a medical condition who continue to pay their current charges or budgeted bill in full.  Duquesne noted its own concern that customers could have large unpaid balances if they continue to obtain medical certificates for an extended period but do not pay their past due balances.  Duquesne asserted that the provision outlined in Paragraph </w:t>
      </w:r>
      <w:r w:rsidR="009C5EAE">
        <w:rPr>
          <w:sz w:val="26"/>
          <w:szCs w:val="26"/>
        </w:rPr>
        <w:t xml:space="preserve">No. </w:t>
      </w:r>
      <w:r w:rsidRPr="0035079B">
        <w:rPr>
          <w:sz w:val="26"/>
          <w:szCs w:val="26"/>
        </w:rPr>
        <w:t>55 satisfies Duquesne Light</w:t>
      </w:r>
      <w:r w:rsidR="001E73FA">
        <w:rPr>
          <w:sz w:val="26"/>
          <w:szCs w:val="26"/>
        </w:rPr>
        <w:t>’</w:t>
      </w:r>
      <w:r w:rsidRPr="0035079B">
        <w:rPr>
          <w:sz w:val="26"/>
          <w:szCs w:val="26"/>
        </w:rPr>
        <w:t xml:space="preserve">s concerns by clarifying that Duquesne will write off outstanding balances that are overdue for more than one year for </w:t>
      </w:r>
      <w:r w:rsidRPr="0035079B">
        <w:rPr>
          <w:sz w:val="26"/>
          <w:szCs w:val="26"/>
        </w:rPr>
        <w:lastRenderedPageBreak/>
        <w:t>customers that have medical certificates for one year or longer.  Duquesne provided clarification that this provision of the Partial Settlement would apply to any outstanding balances that are $10,000 or greater.  Additionally, Duquesne Light averred that it will continue to follow all Commission regulations and orders with respect to balances that are greater than $10,000.  Duquesne Statement in Support at 26.</w:t>
      </w:r>
    </w:p>
    <w:p w:rsidR="00D65054" w:rsidRPr="0035079B" w:rsidRDefault="00D65054" w:rsidP="007D3734">
      <w:pPr>
        <w:widowControl/>
        <w:spacing w:line="360" w:lineRule="auto"/>
        <w:ind w:firstLine="1440"/>
        <w:contextualSpacing/>
        <w:rPr>
          <w:sz w:val="26"/>
          <w:szCs w:val="26"/>
        </w:rPr>
      </w:pPr>
    </w:p>
    <w:p w:rsidR="00D65054" w:rsidRPr="0035079B" w:rsidRDefault="00D65054" w:rsidP="007D3734">
      <w:pPr>
        <w:widowControl/>
        <w:spacing w:line="360" w:lineRule="auto"/>
        <w:ind w:firstLine="1440"/>
        <w:contextualSpacing/>
        <w:rPr>
          <w:sz w:val="26"/>
          <w:szCs w:val="26"/>
        </w:rPr>
      </w:pPr>
      <w:r w:rsidRPr="0035079B">
        <w:rPr>
          <w:sz w:val="26"/>
          <w:szCs w:val="26"/>
        </w:rPr>
        <w:t>Cause-PA expressed its support for the proposed changes to Duquesne</w:t>
      </w:r>
      <w:r w:rsidR="001E73FA">
        <w:rPr>
          <w:sz w:val="26"/>
          <w:szCs w:val="26"/>
        </w:rPr>
        <w:t>’</w:t>
      </w:r>
      <w:r w:rsidRPr="0035079B">
        <w:rPr>
          <w:sz w:val="26"/>
          <w:szCs w:val="26"/>
        </w:rPr>
        <w:t xml:space="preserve">s medical certificate policies, as set forth in </w:t>
      </w:r>
      <w:r>
        <w:rPr>
          <w:sz w:val="26"/>
          <w:szCs w:val="26"/>
        </w:rPr>
        <w:t>P</w:t>
      </w:r>
      <w:r w:rsidRPr="0035079B">
        <w:rPr>
          <w:sz w:val="26"/>
          <w:szCs w:val="26"/>
        </w:rPr>
        <w:t xml:space="preserve">aragraph </w:t>
      </w:r>
      <w:r w:rsidR="009C5EAE">
        <w:rPr>
          <w:sz w:val="26"/>
          <w:szCs w:val="26"/>
        </w:rPr>
        <w:t xml:space="preserve">No. </w:t>
      </w:r>
      <w:r w:rsidRPr="0035079B">
        <w:rPr>
          <w:sz w:val="26"/>
          <w:szCs w:val="26"/>
        </w:rPr>
        <w:t>55 of the Partial Settlement.  CAUSE-PA submitted that these changes are critical to ensuring that Duquesne</w:t>
      </w:r>
      <w:r w:rsidR="001E73FA">
        <w:rPr>
          <w:sz w:val="26"/>
          <w:szCs w:val="26"/>
        </w:rPr>
        <w:t>’</w:t>
      </w:r>
      <w:r w:rsidRPr="0035079B">
        <w:rPr>
          <w:sz w:val="26"/>
          <w:szCs w:val="26"/>
        </w:rPr>
        <w:t>s policies are in line with the Commission</w:t>
      </w:r>
      <w:r w:rsidR="001E73FA">
        <w:rPr>
          <w:sz w:val="26"/>
          <w:szCs w:val="26"/>
        </w:rPr>
        <w:t>’</w:t>
      </w:r>
      <w:r w:rsidRPr="0035079B">
        <w:rPr>
          <w:sz w:val="26"/>
          <w:szCs w:val="26"/>
        </w:rPr>
        <w:t>s guidance in relation to 52 Pa. Code § 56.116.  In response to the ALJ</w:t>
      </w:r>
      <w:r w:rsidR="001E73FA">
        <w:rPr>
          <w:sz w:val="26"/>
          <w:szCs w:val="26"/>
        </w:rPr>
        <w:t>’</w:t>
      </w:r>
      <w:r w:rsidRPr="0035079B">
        <w:rPr>
          <w:sz w:val="26"/>
          <w:szCs w:val="26"/>
        </w:rPr>
        <w:t xml:space="preserve">s question on this issue, CAUSE-PA stated that the provision, as proposed, would </w:t>
      </w:r>
      <w:r w:rsidR="00FF275E">
        <w:rPr>
          <w:sz w:val="26"/>
          <w:szCs w:val="26"/>
        </w:rPr>
        <w:t xml:space="preserve">be </w:t>
      </w:r>
      <w:r w:rsidRPr="0035079B">
        <w:rPr>
          <w:sz w:val="26"/>
          <w:szCs w:val="26"/>
        </w:rPr>
        <w:t>applied to all accounts where the household has been protected by a medical certificate for a year or longer regardless of the amount owed.  Additionally, CAUSE-PA posited that this is unlikely to be very many accounts because obtaining a medical certificate is not easy and it is expected that utilities will attempt to work with the household for a more permanent resolution of the de</w:t>
      </w:r>
      <w:r>
        <w:rPr>
          <w:sz w:val="26"/>
          <w:szCs w:val="26"/>
        </w:rPr>
        <w:t>bt</w:t>
      </w:r>
      <w:r w:rsidRPr="0035079B">
        <w:rPr>
          <w:sz w:val="26"/>
          <w:szCs w:val="26"/>
        </w:rPr>
        <w:t xml:space="preserve"> such as a payment agreement.  CAUSE-PA Statement in Support at 8-9.</w:t>
      </w:r>
    </w:p>
    <w:p w:rsidR="00D65054" w:rsidRDefault="00D65054" w:rsidP="007D3734">
      <w:pPr>
        <w:widowControl/>
        <w:spacing w:line="360" w:lineRule="auto"/>
        <w:ind w:firstLine="1440"/>
        <w:contextualSpacing/>
        <w:rPr>
          <w:sz w:val="26"/>
          <w:szCs w:val="26"/>
        </w:rPr>
      </w:pPr>
    </w:p>
    <w:p w:rsidR="00D65054" w:rsidRPr="00AF7C9B" w:rsidRDefault="00D65054" w:rsidP="007D3734">
      <w:pPr>
        <w:keepNext/>
        <w:keepLines/>
        <w:widowControl/>
        <w:spacing w:line="360" w:lineRule="auto"/>
        <w:ind w:firstLine="1440"/>
        <w:contextualSpacing/>
        <w:rPr>
          <w:b/>
          <w:sz w:val="26"/>
          <w:szCs w:val="26"/>
        </w:rPr>
      </w:pPr>
      <w:r w:rsidRPr="00AF7C9B">
        <w:rPr>
          <w:b/>
          <w:sz w:val="26"/>
          <w:szCs w:val="26"/>
        </w:rPr>
        <w:tab/>
        <w:t>b.</w:t>
      </w:r>
      <w:r w:rsidRPr="00AF7C9B">
        <w:rPr>
          <w:b/>
          <w:sz w:val="26"/>
          <w:szCs w:val="26"/>
        </w:rPr>
        <w:tab/>
        <w:t>ALJ</w:t>
      </w:r>
      <w:r w:rsidR="001E73FA">
        <w:rPr>
          <w:b/>
          <w:sz w:val="26"/>
          <w:szCs w:val="26"/>
        </w:rPr>
        <w:t>’</w:t>
      </w:r>
      <w:r w:rsidRPr="00AF7C9B">
        <w:rPr>
          <w:b/>
          <w:sz w:val="26"/>
          <w:szCs w:val="26"/>
        </w:rPr>
        <w:t>s Recommendation</w:t>
      </w:r>
    </w:p>
    <w:p w:rsidR="00D65054" w:rsidRDefault="00D65054" w:rsidP="007D3734">
      <w:pPr>
        <w:keepNext/>
        <w:keepLines/>
        <w:widowControl/>
        <w:spacing w:line="360" w:lineRule="auto"/>
        <w:ind w:firstLine="1440"/>
        <w:contextualSpacing/>
        <w:rPr>
          <w:sz w:val="26"/>
          <w:szCs w:val="26"/>
        </w:rPr>
      </w:pPr>
    </w:p>
    <w:p w:rsidR="00D65054" w:rsidRPr="0035079B" w:rsidRDefault="00D65054" w:rsidP="007D3734">
      <w:pPr>
        <w:widowControl/>
        <w:spacing w:line="360" w:lineRule="auto"/>
        <w:ind w:firstLine="1440"/>
        <w:contextualSpacing/>
        <w:rPr>
          <w:sz w:val="26"/>
          <w:szCs w:val="26"/>
        </w:rPr>
      </w:pPr>
      <w:r w:rsidRPr="0035079B">
        <w:rPr>
          <w:sz w:val="26"/>
          <w:szCs w:val="26"/>
        </w:rPr>
        <w:t>The ALJ highlighted Duquesne</w:t>
      </w:r>
      <w:r w:rsidR="001E73FA">
        <w:rPr>
          <w:sz w:val="26"/>
          <w:szCs w:val="26"/>
        </w:rPr>
        <w:t>’</w:t>
      </w:r>
      <w:r w:rsidRPr="0035079B">
        <w:rPr>
          <w:sz w:val="26"/>
          <w:szCs w:val="26"/>
        </w:rPr>
        <w:t xml:space="preserve">s assertion that despite the provision in the </w:t>
      </w:r>
      <w:r>
        <w:rPr>
          <w:sz w:val="26"/>
          <w:szCs w:val="26"/>
        </w:rPr>
        <w:t>Partial Settlement</w:t>
      </w:r>
      <w:r w:rsidRPr="0035079B">
        <w:rPr>
          <w:sz w:val="26"/>
          <w:szCs w:val="26"/>
        </w:rPr>
        <w:t xml:space="preserve"> that permits it to write off outstanding unpaid balances, Duquesne will continue to follow all Commission regulations and orders with respect to outstanding balances exceeding $10,000.  Based on this assurance, the ALJ recommended that the Commission adopt this provision of the Partial Settlement.  R.D. at 171.</w:t>
      </w:r>
    </w:p>
    <w:p w:rsidR="00D65054" w:rsidRPr="00F13572" w:rsidRDefault="00D65054" w:rsidP="007D3734">
      <w:pPr>
        <w:widowControl/>
        <w:spacing w:line="360" w:lineRule="auto"/>
        <w:ind w:firstLine="1440"/>
        <w:contextualSpacing/>
        <w:rPr>
          <w:b/>
          <w:sz w:val="26"/>
          <w:szCs w:val="26"/>
        </w:rPr>
      </w:pPr>
    </w:p>
    <w:p w:rsidR="00D65054" w:rsidRPr="00F13572" w:rsidRDefault="00D65054" w:rsidP="007D3734">
      <w:pPr>
        <w:pStyle w:val="Heading2"/>
        <w:keepNext/>
        <w:keepLines/>
        <w:ind w:left="720" w:hanging="720"/>
        <w:rPr>
          <w:b w:val="0"/>
        </w:rPr>
      </w:pPr>
      <w:bookmarkStart w:id="31" w:name="_Toc531091826"/>
      <w:bookmarkStart w:id="32" w:name="_Toc532905966"/>
      <w:r w:rsidRPr="00F13572">
        <w:rPr>
          <w:rStyle w:val="Heading2Char"/>
          <w:b/>
        </w:rPr>
        <w:lastRenderedPageBreak/>
        <w:t>ALJ</w:t>
      </w:r>
      <w:r w:rsidR="001E73FA">
        <w:rPr>
          <w:rStyle w:val="Heading2Char"/>
          <w:b/>
        </w:rPr>
        <w:t>’</w:t>
      </w:r>
      <w:r w:rsidRPr="00F13572">
        <w:rPr>
          <w:rStyle w:val="Heading2Char"/>
          <w:b/>
        </w:rPr>
        <w:t>s Overall Recommendation</w:t>
      </w:r>
      <w:bookmarkEnd w:id="31"/>
      <w:bookmarkEnd w:id="32"/>
    </w:p>
    <w:p w:rsidR="00D65054" w:rsidRDefault="00D65054" w:rsidP="007D3734">
      <w:pPr>
        <w:keepNext/>
        <w:keepLines/>
        <w:widowControl/>
        <w:spacing w:line="360" w:lineRule="auto"/>
        <w:ind w:firstLine="1440"/>
        <w:contextualSpacing/>
        <w:rPr>
          <w:sz w:val="26"/>
          <w:szCs w:val="26"/>
        </w:rPr>
      </w:pPr>
    </w:p>
    <w:p w:rsidR="00D65054" w:rsidRPr="00CF7680" w:rsidRDefault="00D65054" w:rsidP="007D3734">
      <w:pPr>
        <w:widowControl/>
        <w:spacing w:line="360" w:lineRule="auto"/>
        <w:ind w:firstLine="1440"/>
        <w:contextualSpacing/>
        <w:rPr>
          <w:sz w:val="26"/>
          <w:szCs w:val="26"/>
        </w:rPr>
      </w:pPr>
      <w:r w:rsidRPr="00CF7680">
        <w:rPr>
          <w:sz w:val="26"/>
          <w:szCs w:val="26"/>
        </w:rPr>
        <w:t>The ALJ found the Partial Settlement</w:t>
      </w:r>
      <w:r w:rsidR="001615E4">
        <w:rPr>
          <w:sz w:val="26"/>
          <w:szCs w:val="26"/>
        </w:rPr>
        <w:t>,</w:t>
      </w:r>
      <w:r w:rsidRPr="00CF7680">
        <w:rPr>
          <w:sz w:val="26"/>
          <w:szCs w:val="26"/>
        </w:rPr>
        <w:t xml:space="preserve"> </w:t>
      </w:r>
      <w:r w:rsidR="001615E4">
        <w:rPr>
          <w:sz w:val="26"/>
          <w:szCs w:val="26"/>
        </w:rPr>
        <w:t xml:space="preserve">generally </w:t>
      </w:r>
      <w:r w:rsidR="00ED2064">
        <w:rPr>
          <w:sz w:val="26"/>
          <w:szCs w:val="26"/>
        </w:rPr>
        <w:t>is</w:t>
      </w:r>
      <w:r w:rsidRPr="00CF7680">
        <w:rPr>
          <w:sz w:val="26"/>
          <w:szCs w:val="26"/>
        </w:rPr>
        <w:t xml:space="preserve"> an equitable, fair, and reasonable resolution of this proceeding</w:t>
      </w:r>
      <w:r>
        <w:rPr>
          <w:sz w:val="26"/>
          <w:szCs w:val="26"/>
        </w:rPr>
        <w:t xml:space="preserve"> and</w:t>
      </w:r>
      <w:r w:rsidR="001615E4">
        <w:rPr>
          <w:sz w:val="26"/>
          <w:szCs w:val="26"/>
        </w:rPr>
        <w:t>, therefore, it is</w:t>
      </w:r>
      <w:r>
        <w:rPr>
          <w:sz w:val="26"/>
          <w:szCs w:val="26"/>
        </w:rPr>
        <w:t xml:space="preserve"> in the public interest</w:t>
      </w:r>
      <w:r w:rsidRPr="00CF7680">
        <w:rPr>
          <w:sz w:val="26"/>
          <w:szCs w:val="26"/>
        </w:rPr>
        <w:t xml:space="preserve">.  </w:t>
      </w:r>
      <w:r w:rsidR="001615E4">
        <w:rPr>
          <w:sz w:val="26"/>
          <w:szCs w:val="26"/>
        </w:rPr>
        <w:t xml:space="preserve">For these reasons </w:t>
      </w:r>
      <w:r w:rsidRPr="00CF7680">
        <w:rPr>
          <w:sz w:val="26"/>
          <w:szCs w:val="26"/>
        </w:rPr>
        <w:t xml:space="preserve">the ALJ recommended that the Commission approve the Partial Settlement, </w:t>
      </w:r>
      <w:bookmarkStart w:id="33" w:name="_Hlk530562125"/>
      <w:r w:rsidRPr="00CF7680">
        <w:rPr>
          <w:sz w:val="26"/>
          <w:szCs w:val="26"/>
        </w:rPr>
        <w:t>except as discussed in the resolution of the highlighted issue</w:t>
      </w:r>
      <w:r>
        <w:rPr>
          <w:sz w:val="26"/>
          <w:szCs w:val="26"/>
        </w:rPr>
        <w:t>s</w:t>
      </w:r>
      <w:r w:rsidRPr="00CF7680">
        <w:rPr>
          <w:sz w:val="26"/>
          <w:szCs w:val="26"/>
        </w:rPr>
        <w:t xml:space="preserve">, </w:t>
      </w:r>
      <w:r>
        <w:rPr>
          <w:sz w:val="26"/>
          <w:szCs w:val="26"/>
        </w:rPr>
        <w:t xml:space="preserve">outlined, </w:t>
      </w:r>
      <w:r w:rsidRPr="00D01885">
        <w:rPr>
          <w:i/>
          <w:sz w:val="26"/>
          <w:szCs w:val="26"/>
        </w:rPr>
        <w:t>supra</w:t>
      </w:r>
      <w:r w:rsidRPr="00CF7680">
        <w:rPr>
          <w:sz w:val="26"/>
          <w:szCs w:val="26"/>
        </w:rPr>
        <w:t xml:space="preserve">, and </w:t>
      </w:r>
      <w:r w:rsidR="00ED2064">
        <w:rPr>
          <w:sz w:val="26"/>
          <w:szCs w:val="26"/>
        </w:rPr>
        <w:t>in</w:t>
      </w:r>
      <w:r w:rsidRPr="00CF7680">
        <w:rPr>
          <w:sz w:val="26"/>
          <w:szCs w:val="26"/>
        </w:rPr>
        <w:t xml:space="preserve"> the discussion on the </w:t>
      </w:r>
      <w:r w:rsidR="001615E4">
        <w:rPr>
          <w:sz w:val="26"/>
          <w:szCs w:val="26"/>
        </w:rPr>
        <w:t xml:space="preserve">sole outstanding </w:t>
      </w:r>
      <w:r w:rsidRPr="00CF7680">
        <w:rPr>
          <w:sz w:val="26"/>
          <w:szCs w:val="26"/>
        </w:rPr>
        <w:t xml:space="preserve">issue </w:t>
      </w:r>
      <w:r w:rsidR="00ED2064">
        <w:rPr>
          <w:sz w:val="26"/>
          <w:szCs w:val="26"/>
        </w:rPr>
        <w:t xml:space="preserve">that was </w:t>
      </w:r>
      <w:r w:rsidRPr="00CF7680">
        <w:rPr>
          <w:sz w:val="26"/>
          <w:szCs w:val="26"/>
        </w:rPr>
        <w:t>reserved for litigation</w:t>
      </w:r>
      <w:bookmarkEnd w:id="33"/>
      <w:r>
        <w:rPr>
          <w:sz w:val="26"/>
          <w:szCs w:val="26"/>
        </w:rPr>
        <w:t xml:space="preserve">, </w:t>
      </w:r>
      <w:r>
        <w:rPr>
          <w:i/>
          <w:sz w:val="26"/>
          <w:szCs w:val="26"/>
        </w:rPr>
        <w:t>infra</w:t>
      </w:r>
      <w:r w:rsidRPr="00CF7680">
        <w:rPr>
          <w:sz w:val="26"/>
          <w:szCs w:val="26"/>
        </w:rPr>
        <w:t>.  R.D. at</w:t>
      </w:r>
      <w:r w:rsidR="001615E4">
        <w:rPr>
          <w:sz w:val="26"/>
          <w:szCs w:val="26"/>
        </w:rPr>
        <w:t> </w:t>
      </w:r>
      <w:r w:rsidRPr="00CF7680">
        <w:rPr>
          <w:sz w:val="26"/>
          <w:szCs w:val="26"/>
        </w:rPr>
        <w:t>159.</w:t>
      </w:r>
    </w:p>
    <w:p w:rsidR="00D65054" w:rsidRDefault="00D65054" w:rsidP="007D3734">
      <w:pPr>
        <w:widowControl/>
        <w:spacing w:line="360" w:lineRule="auto"/>
        <w:ind w:firstLine="1440"/>
        <w:contextualSpacing/>
        <w:rPr>
          <w:sz w:val="26"/>
          <w:szCs w:val="26"/>
        </w:rPr>
      </w:pPr>
    </w:p>
    <w:p w:rsidR="00D65054" w:rsidRPr="00360904" w:rsidRDefault="00D65054" w:rsidP="007D3734">
      <w:pPr>
        <w:pStyle w:val="Heading2"/>
        <w:ind w:left="720" w:hanging="720"/>
        <w:rPr>
          <w:rStyle w:val="Heading2Char"/>
          <w:b/>
        </w:rPr>
      </w:pPr>
      <w:bookmarkStart w:id="34" w:name="_Toc531091827"/>
      <w:bookmarkStart w:id="35" w:name="_Toc532905967"/>
      <w:r w:rsidRPr="00360904">
        <w:rPr>
          <w:rStyle w:val="Heading2Char"/>
          <w:b/>
        </w:rPr>
        <w:t>Disposition</w:t>
      </w:r>
      <w:bookmarkEnd w:id="34"/>
      <w:bookmarkEnd w:id="35"/>
    </w:p>
    <w:p w:rsidR="00F13572" w:rsidRDefault="00F13572" w:rsidP="007D3734">
      <w:pPr>
        <w:widowControl/>
        <w:spacing w:line="360" w:lineRule="auto"/>
        <w:ind w:left="720"/>
        <w:contextualSpacing/>
        <w:rPr>
          <w:sz w:val="26"/>
          <w:szCs w:val="26"/>
        </w:rPr>
      </w:pPr>
    </w:p>
    <w:p w:rsidR="00D65054" w:rsidRPr="006A06A2" w:rsidRDefault="00F13572" w:rsidP="007D3734">
      <w:pPr>
        <w:widowControl/>
        <w:spacing w:line="360" w:lineRule="auto"/>
        <w:contextualSpacing/>
        <w:rPr>
          <w:sz w:val="26"/>
          <w:szCs w:val="24"/>
        </w:rPr>
      </w:pPr>
      <w:r>
        <w:rPr>
          <w:sz w:val="26"/>
          <w:szCs w:val="26"/>
        </w:rPr>
        <w:tab/>
      </w:r>
      <w:r>
        <w:rPr>
          <w:sz w:val="26"/>
          <w:szCs w:val="26"/>
        </w:rPr>
        <w:tab/>
      </w:r>
      <w:r w:rsidR="00DE5EFE">
        <w:rPr>
          <w:sz w:val="26"/>
          <w:szCs w:val="26"/>
        </w:rPr>
        <w:t>T</w:t>
      </w:r>
      <w:r w:rsidR="00D65054" w:rsidRPr="006A06A2">
        <w:rPr>
          <w:sz w:val="26"/>
          <w:szCs w:val="26"/>
        </w:rPr>
        <w:t>he Joint Petitioners advised the ALJ that the</w:t>
      </w:r>
      <w:r w:rsidR="00E75CB6">
        <w:rPr>
          <w:sz w:val="26"/>
          <w:szCs w:val="26"/>
        </w:rPr>
        <w:t>y</w:t>
      </w:r>
      <w:r w:rsidR="00D65054" w:rsidRPr="006A06A2">
        <w:rPr>
          <w:sz w:val="26"/>
          <w:szCs w:val="26"/>
        </w:rPr>
        <w:t xml:space="preserve"> did not oppose </w:t>
      </w:r>
      <w:r w:rsidR="003A1A03">
        <w:rPr>
          <w:sz w:val="26"/>
          <w:szCs w:val="26"/>
        </w:rPr>
        <w:t xml:space="preserve">the </w:t>
      </w:r>
      <w:r w:rsidR="00D65054" w:rsidRPr="006A06A2">
        <w:rPr>
          <w:sz w:val="26"/>
          <w:szCs w:val="26"/>
        </w:rPr>
        <w:t>Partial Settlement</w:t>
      </w:r>
      <w:r w:rsidR="00E75CB6">
        <w:rPr>
          <w:sz w:val="26"/>
          <w:szCs w:val="26"/>
        </w:rPr>
        <w:t xml:space="preserve">. </w:t>
      </w:r>
      <w:r w:rsidR="00D65054" w:rsidRPr="006A06A2">
        <w:rPr>
          <w:sz w:val="26"/>
          <w:szCs w:val="26"/>
        </w:rPr>
        <w:t xml:space="preserve"> The Settlement also was served on the </w:t>
      </w:r>
      <w:r w:rsidR="00D65054" w:rsidRPr="006A06A2">
        <w:rPr>
          <w:i/>
          <w:sz w:val="26"/>
          <w:szCs w:val="26"/>
        </w:rPr>
        <w:t>pro se</w:t>
      </w:r>
      <w:r w:rsidR="00D65054" w:rsidRPr="006A06A2">
        <w:rPr>
          <w:sz w:val="26"/>
          <w:szCs w:val="26"/>
        </w:rPr>
        <w:t xml:space="preserve"> Complainants who were non-signatories to the Settlement.  No</w:t>
      </w:r>
      <w:r w:rsidR="002B0591">
        <w:rPr>
          <w:sz w:val="26"/>
          <w:szCs w:val="26"/>
        </w:rPr>
        <w:t xml:space="preserve">ne of the </w:t>
      </w:r>
      <w:r w:rsidR="00D65054" w:rsidRPr="006A06A2">
        <w:rPr>
          <w:i/>
          <w:sz w:val="26"/>
          <w:szCs w:val="26"/>
        </w:rPr>
        <w:t xml:space="preserve">pro se </w:t>
      </w:r>
      <w:r w:rsidR="00D65054" w:rsidRPr="006A06A2">
        <w:rPr>
          <w:sz w:val="26"/>
          <w:szCs w:val="26"/>
        </w:rPr>
        <w:t>Complainant</w:t>
      </w:r>
      <w:r w:rsidR="002B0591">
        <w:rPr>
          <w:sz w:val="26"/>
          <w:szCs w:val="26"/>
        </w:rPr>
        <w:t>s</w:t>
      </w:r>
      <w:r w:rsidR="00D65054" w:rsidRPr="006A06A2">
        <w:rPr>
          <w:sz w:val="26"/>
          <w:szCs w:val="26"/>
        </w:rPr>
        <w:t xml:space="preserve"> filed a response or objection to the Partial Settlement.</w:t>
      </w:r>
    </w:p>
    <w:p w:rsidR="00D65054" w:rsidRPr="006A06A2" w:rsidRDefault="00D65054" w:rsidP="007D3734">
      <w:pPr>
        <w:widowControl/>
        <w:spacing w:line="360" w:lineRule="auto"/>
        <w:contextualSpacing/>
        <w:rPr>
          <w:rFonts w:eastAsia="Calibri"/>
          <w:sz w:val="26"/>
          <w:szCs w:val="26"/>
        </w:rPr>
      </w:pPr>
    </w:p>
    <w:p w:rsidR="00D65054" w:rsidRPr="006A06A2" w:rsidRDefault="00D65054" w:rsidP="007D3734">
      <w:pPr>
        <w:widowControl/>
        <w:spacing w:line="360" w:lineRule="auto"/>
        <w:ind w:firstLine="1440"/>
        <w:contextualSpacing/>
        <w:rPr>
          <w:rFonts w:eastAsia="Calibri"/>
          <w:sz w:val="26"/>
          <w:szCs w:val="26"/>
        </w:rPr>
      </w:pPr>
      <w:r w:rsidRPr="006A06A2">
        <w:rPr>
          <w:rFonts w:eastAsia="Calibri"/>
          <w:sz w:val="26"/>
          <w:szCs w:val="26"/>
        </w:rPr>
        <w:t>Based on our review</w:t>
      </w:r>
      <w:r w:rsidR="002B0591">
        <w:rPr>
          <w:rFonts w:eastAsia="Calibri"/>
          <w:sz w:val="26"/>
          <w:szCs w:val="26"/>
        </w:rPr>
        <w:t xml:space="preserve"> </w:t>
      </w:r>
      <w:r w:rsidRPr="006A06A2">
        <w:rPr>
          <w:rFonts w:eastAsia="Calibri"/>
          <w:sz w:val="26"/>
          <w:szCs w:val="26"/>
        </w:rPr>
        <w:t>of the Partial Settlement</w:t>
      </w:r>
      <w:r w:rsidR="002B0591">
        <w:rPr>
          <w:rFonts w:eastAsia="Calibri"/>
          <w:sz w:val="26"/>
          <w:szCs w:val="26"/>
        </w:rPr>
        <w:t>,</w:t>
      </w:r>
      <w:r w:rsidRPr="006A06A2">
        <w:rPr>
          <w:rFonts w:eastAsia="Calibri"/>
          <w:sz w:val="26"/>
          <w:szCs w:val="26"/>
        </w:rPr>
        <w:t xml:space="preserve"> we find that there are </w:t>
      </w:r>
      <w:r w:rsidR="002A6B16">
        <w:rPr>
          <w:rFonts w:eastAsia="Calibri"/>
          <w:sz w:val="26"/>
          <w:szCs w:val="26"/>
        </w:rPr>
        <w:t xml:space="preserve">numerous </w:t>
      </w:r>
      <w:r w:rsidRPr="006A06A2">
        <w:rPr>
          <w:rFonts w:eastAsia="Calibri"/>
          <w:sz w:val="26"/>
          <w:szCs w:val="26"/>
        </w:rPr>
        <w:t>settled issues therein that are beneficial to customers.  Among th</w:t>
      </w:r>
      <w:r w:rsidR="002A6B16">
        <w:rPr>
          <w:rFonts w:eastAsia="Calibri"/>
          <w:sz w:val="26"/>
          <w:szCs w:val="26"/>
        </w:rPr>
        <w:t>o</w:t>
      </w:r>
      <w:r w:rsidRPr="006A06A2">
        <w:rPr>
          <w:rFonts w:eastAsia="Calibri"/>
          <w:sz w:val="26"/>
          <w:szCs w:val="26"/>
        </w:rPr>
        <w:t xml:space="preserve">se provisions are:  (1) the reduced revenue increase compared to the </w:t>
      </w:r>
      <w:r w:rsidR="002A6B16">
        <w:rPr>
          <w:rFonts w:eastAsia="Calibri"/>
          <w:sz w:val="26"/>
          <w:szCs w:val="26"/>
        </w:rPr>
        <w:t xml:space="preserve">Company’s </w:t>
      </w:r>
      <w:r w:rsidRPr="006A06A2">
        <w:rPr>
          <w:rFonts w:eastAsia="Calibri"/>
          <w:sz w:val="26"/>
          <w:szCs w:val="26"/>
        </w:rPr>
        <w:t>originally requested revenue increase; (2) the tax refund related to collections from customers in 2018 and the return of EDIT; (3) the agreement that Duquesne must realize a base level of plant investment before any incremental expenditures can be recovered through a DSIC; (4)  the agreement that Duquesne will amortize the costs related to the Electrical Model over five years instead of relying on the higher expense levels the Company projected to occur in the FPFTY; (5) the inclusion of key provisions concerning the amount of Duquesne</w:t>
      </w:r>
      <w:r w:rsidR="001E73FA">
        <w:rPr>
          <w:rFonts w:eastAsia="Calibri"/>
          <w:sz w:val="26"/>
          <w:szCs w:val="26"/>
        </w:rPr>
        <w:t>’</w:t>
      </w:r>
      <w:r w:rsidRPr="006A06A2">
        <w:rPr>
          <w:rFonts w:eastAsia="Calibri"/>
          <w:sz w:val="26"/>
          <w:szCs w:val="26"/>
        </w:rPr>
        <w:t>s ongoing pension contributions and Duquesne</w:t>
      </w:r>
      <w:r w:rsidR="001E73FA">
        <w:rPr>
          <w:rFonts w:eastAsia="Calibri"/>
          <w:sz w:val="26"/>
          <w:szCs w:val="26"/>
        </w:rPr>
        <w:t>’</w:t>
      </w:r>
      <w:r w:rsidRPr="006A06A2">
        <w:rPr>
          <w:rFonts w:eastAsia="Calibri"/>
          <w:sz w:val="26"/>
          <w:szCs w:val="26"/>
        </w:rPr>
        <w:t>s agreement to provide a report and affidavit attesting to the actual contributions during each calendar year; (6) the inclusion of specific provisions for meeting the Company</w:t>
      </w:r>
      <w:r w:rsidR="001E73FA">
        <w:rPr>
          <w:rFonts w:eastAsia="Calibri"/>
          <w:sz w:val="26"/>
          <w:szCs w:val="26"/>
        </w:rPr>
        <w:t>’</w:t>
      </w:r>
      <w:r w:rsidRPr="006A06A2">
        <w:rPr>
          <w:rFonts w:eastAsia="Calibri"/>
          <w:sz w:val="26"/>
          <w:szCs w:val="26"/>
        </w:rPr>
        <w:t xml:space="preserve">s OPEB requirements; (7) the agreement that in each base rate case for which Duquesne seeks to recover cloud-based </w:t>
      </w:r>
      <w:r w:rsidRPr="006A06A2">
        <w:rPr>
          <w:rFonts w:eastAsia="Calibri"/>
          <w:sz w:val="26"/>
          <w:szCs w:val="26"/>
        </w:rPr>
        <w:lastRenderedPageBreak/>
        <w:t>information systems that were recorded in the regulatory asset as a capital cost for ratemaking purposes, it must provide a listing of cloud-based computing costs by year, along with the expected useful life of each item; (8) the agreement that Duquesne will modify its EV Pilot Program to narrowly tailor its expenditures to costs reasonably associated with a broader public benefit for ratepayers while also permitting the Company to incent EV usage in its service territory, which will increase usage of the distribution system and also allow the Company to evaluate the impacts of EV usage on the grid; (9) the agreement that Duquesne will revise its LED Street Lighting Program, by expanding the program for conversion of mercury vapor, high pressure sodium lights to LEDs; (10) the agreement that Duquesne</w:t>
      </w:r>
      <w:r w:rsidR="001E73FA">
        <w:rPr>
          <w:rFonts w:eastAsia="Calibri"/>
          <w:sz w:val="26"/>
          <w:szCs w:val="26"/>
        </w:rPr>
        <w:t>’</w:t>
      </w:r>
      <w:r w:rsidRPr="006A06A2">
        <w:rPr>
          <w:rFonts w:eastAsia="Calibri"/>
          <w:sz w:val="26"/>
          <w:szCs w:val="26"/>
        </w:rPr>
        <w:t>s fee free bank card program will be implemented; (11) the agreement that Duquesne will withdraw its Woods Run Microgrid Proposal, without prejudice; (12) the agreement that the fixed monthly customer charge for Rates RS, RA, RH, and GS will be increased from $10.00 per month to $12.50 per month and that the fixed smart meter charge will be rolled into volumetric rates, resulting in a reduction in the customer charge from $14.17 per month to $12.50 per month; (13)</w:t>
      </w:r>
      <w:r w:rsidR="003F2E32">
        <w:rPr>
          <w:rFonts w:eastAsia="Calibri"/>
          <w:sz w:val="26"/>
          <w:szCs w:val="26"/>
        </w:rPr>
        <w:t> </w:t>
      </w:r>
      <w:r w:rsidRPr="006A06A2">
        <w:rPr>
          <w:rFonts w:eastAsia="Calibri"/>
          <w:sz w:val="26"/>
          <w:szCs w:val="26"/>
        </w:rPr>
        <w:t xml:space="preserve">the agreement that Duquesne will convene a non-confidential collaborative with all interested stakeholders to obtain stakeholder input regarding TOU rates and that Duquesne will make a TOU proposal in its next default service rate filing; (14) the commitment of Duquesne to participate in any working group established by the City of Pittsburgh to address the issue of energy efficiency benchmarking for multifamily buildings; (15) the commitment of Duquesne to use its best efforts to ensure that 10% of its completed LIURP jobs are for electric heating customers and to review its list of customers with high CAP credits from the prior year and to prioritize those customers for LIURP treatments when possible; (16)  the agreement that Duquesne will withdraw certain proposed tariff changes, which will eliminate the potential for ambiguity regarding the balances Duquesne could assess on customers or applicants who reside in one property yet move to another property; (17) the commitment of Duquesne to revise its medical certificate policy but that Duquesne will continue to follow all Commission regulations and orders with respect to outstanding account balances that are greater than </w:t>
      </w:r>
      <w:r w:rsidRPr="006A06A2">
        <w:rPr>
          <w:rFonts w:eastAsia="Calibri"/>
          <w:sz w:val="26"/>
          <w:szCs w:val="26"/>
        </w:rPr>
        <w:lastRenderedPageBreak/>
        <w:t>$10,000; (18) the agreement that Duquesne will revise its PFA policy and accompanying procedures to accept PFAs or criminal court orders with evidence of domestic violence toward an applicant for service, a current customer, or a member of the applicant or customer</w:t>
      </w:r>
      <w:r w:rsidR="001E73FA">
        <w:rPr>
          <w:rFonts w:eastAsia="Calibri"/>
          <w:sz w:val="26"/>
          <w:szCs w:val="26"/>
        </w:rPr>
        <w:t>’</w:t>
      </w:r>
      <w:r w:rsidRPr="006A06A2">
        <w:rPr>
          <w:rFonts w:eastAsia="Calibri"/>
          <w:sz w:val="26"/>
          <w:szCs w:val="26"/>
        </w:rPr>
        <w:t>s household; (19) the commitment of Duquesne to engage in discussions regarding budget billing issues and to consider proposals to address budget billing concerns by the parties in its next base rate proceeding; (20) the commitment of Duquesne to conduct a competitive selection process to select its universal service program providers and to invite local community based organizations to participate in the process; (21) the Commitment of Duquesne to convene a collaborative to discuss ma</w:t>
      </w:r>
      <w:r w:rsidR="00FF275E">
        <w:rPr>
          <w:rFonts w:eastAsia="Calibri"/>
          <w:sz w:val="26"/>
          <w:szCs w:val="26"/>
        </w:rPr>
        <w:t>s</w:t>
      </w:r>
      <w:r w:rsidRPr="006A06A2">
        <w:rPr>
          <w:rFonts w:eastAsia="Calibri"/>
          <w:sz w:val="26"/>
          <w:szCs w:val="26"/>
        </w:rPr>
        <w:t>ter-metering issues related to multifamily housing, and to hold additional collaborative meetings, as necessary, to reach consensus on any issues that remain unresolved after the initial collaborative; and (22) the assertion of Duquesne that the smart meter costs included in its rate base do not include any previously-denied smart meter costs.</w:t>
      </w:r>
    </w:p>
    <w:p w:rsidR="00D65054" w:rsidRPr="006A06A2" w:rsidRDefault="00D65054" w:rsidP="007D3734">
      <w:pPr>
        <w:widowControl/>
        <w:spacing w:line="360" w:lineRule="auto"/>
        <w:ind w:firstLine="1440"/>
        <w:contextualSpacing/>
        <w:rPr>
          <w:rFonts w:eastAsia="Calibri"/>
          <w:sz w:val="26"/>
          <w:szCs w:val="26"/>
        </w:rPr>
      </w:pPr>
    </w:p>
    <w:p w:rsidR="00D65054" w:rsidRPr="006A06A2" w:rsidRDefault="00D65054" w:rsidP="007D3734">
      <w:pPr>
        <w:widowControl/>
        <w:spacing w:line="360" w:lineRule="auto"/>
        <w:ind w:firstLine="1440"/>
        <w:contextualSpacing/>
        <w:rPr>
          <w:rFonts w:eastAsia="Calibri"/>
          <w:sz w:val="26"/>
          <w:szCs w:val="26"/>
        </w:rPr>
      </w:pPr>
      <w:r w:rsidRPr="006A06A2">
        <w:rPr>
          <w:rFonts w:eastAsia="Calibri"/>
          <w:sz w:val="26"/>
          <w:szCs w:val="26"/>
        </w:rPr>
        <w:t>The Partial Settlement resolves the majority of the issues impacting residential consumers, business customers and the public interest at large and represents a fair balance of the interests of Duquesne and its customers.  The benefits of approving the Partial Settlement are numerous and will result in significant savings of time and expenses for all Parties involved by avoiding the necessity of further administrative proceedings, as well as possible appellate court proceedings, conserving precious administrative resources.  Moreover, the Partial Settlement provides regulatory certainty with respect to the disposition of issues which benefits all parties.  For the reasons stated herein and in the settling Parties</w:t>
      </w:r>
      <w:r w:rsidR="001E73FA">
        <w:rPr>
          <w:rFonts w:eastAsia="Calibri"/>
          <w:sz w:val="26"/>
          <w:szCs w:val="26"/>
        </w:rPr>
        <w:t>’</w:t>
      </w:r>
      <w:r w:rsidRPr="006A06A2">
        <w:rPr>
          <w:rFonts w:eastAsia="Calibri"/>
          <w:sz w:val="26"/>
          <w:szCs w:val="26"/>
        </w:rPr>
        <w:t xml:space="preserve"> Statements in Support, we agree with the ALJ</w:t>
      </w:r>
      <w:r w:rsidR="001E73FA">
        <w:rPr>
          <w:rFonts w:eastAsia="Calibri"/>
          <w:sz w:val="26"/>
          <w:szCs w:val="26"/>
        </w:rPr>
        <w:t>’</w:t>
      </w:r>
      <w:r w:rsidRPr="006A06A2">
        <w:rPr>
          <w:rFonts w:eastAsia="Calibri"/>
          <w:sz w:val="26"/>
          <w:szCs w:val="26"/>
        </w:rPr>
        <w:t xml:space="preserve">s conclusion that the Joint </w:t>
      </w:r>
      <w:r w:rsidR="00D32F46">
        <w:rPr>
          <w:rFonts w:eastAsia="Calibri"/>
          <w:sz w:val="26"/>
          <w:szCs w:val="26"/>
        </w:rPr>
        <w:t xml:space="preserve">Settlement </w:t>
      </w:r>
      <w:r w:rsidRPr="006A06A2">
        <w:rPr>
          <w:rFonts w:eastAsia="Calibri"/>
          <w:sz w:val="26"/>
          <w:szCs w:val="26"/>
        </w:rPr>
        <w:t>Petition is in the public interest.  Additionally, as no Party excepted to the ALJ</w:t>
      </w:r>
      <w:r w:rsidR="001E73FA">
        <w:rPr>
          <w:rFonts w:eastAsia="Calibri"/>
          <w:sz w:val="26"/>
          <w:szCs w:val="26"/>
        </w:rPr>
        <w:t>’</w:t>
      </w:r>
      <w:r w:rsidRPr="006A06A2">
        <w:rPr>
          <w:rFonts w:eastAsia="Calibri"/>
          <w:sz w:val="26"/>
          <w:szCs w:val="26"/>
        </w:rPr>
        <w:t>s recommendation that Duquesne</w:t>
      </w:r>
      <w:r w:rsidR="001E73FA">
        <w:rPr>
          <w:rFonts w:eastAsia="Calibri"/>
          <w:sz w:val="26"/>
          <w:szCs w:val="26"/>
        </w:rPr>
        <w:t>’</w:t>
      </w:r>
      <w:r w:rsidRPr="006A06A2">
        <w:rPr>
          <w:rFonts w:eastAsia="Calibri"/>
          <w:sz w:val="26"/>
          <w:szCs w:val="26"/>
        </w:rPr>
        <w:t xml:space="preserve">s request to amend its </w:t>
      </w:r>
      <w:r w:rsidR="00BF7139">
        <w:rPr>
          <w:rFonts w:eastAsia="Calibri"/>
          <w:sz w:val="26"/>
          <w:szCs w:val="26"/>
        </w:rPr>
        <w:t>Rider</w:t>
      </w:r>
      <w:r w:rsidRPr="006A06A2">
        <w:rPr>
          <w:rFonts w:eastAsia="Calibri"/>
          <w:sz w:val="26"/>
          <w:szCs w:val="26"/>
        </w:rPr>
        <w:t xml:space="preserve"> No. 21 be denied, we shall adopt this recommendation.</w:t>
      </w:r>
    </w:p>
    <w:p w:rsidR="00D65054" w:rsidRPr="006A06A2" w:rsidRDefault="00D65054" w:rsidP="007D3734">
      <w:pPr>
        <w:widowControl/>
        <w:spacing w:line="360" w:lineRule="auto"/>
        <w:ind w:firstLine="1440"/>
        <w:contextualSpacing/>
        <w:rPr>
          <w:rFonts w:eastAsia="Calibri"/>
          <w:sz w:val="26"/>
          <w:szCs w:val="26"/>
        </w:rPr>
      </w:pPr>
    </w:p>
    <w:p w:rsidR="00D65054" w:rsidRPr="006A06A2" w:rsidRDefault="00D65054" w:rsidP="007D3734">
      <w:pPr>
        <w:widowControl/>
        <w:spacing w:line="360" w:lineRule="auto"/>
        <w:ind w:firstLine="1440"/>
        <w:contextualSpacing/>
        <w:rPr>
          <w:rFonts w:eastAsia="Calibri"/>
          <w:sz w:val="26"/>
          <w:szCs w:val="26"/>
        </w:rPr>
      </w:pPr>
      <w:r w:rsidRPr="006A06A2">
        <w:rPr>
          <w:rFonts w:eastAsia="Calibri"/>
          <w:sz w:val="26"/>
          <w:szCs w:val="26"/>
        </w:rPr>
        <w:lastRenderedPageBreak/>
        <w:t>In light of the above, we shall adopt the ALJ</w:t>
      </w:r>
      <w:r w:rsidR="001E73FA">
        <w:rPr>
          <w:rFonts w:eastAsia="Calibri"/>
          <w:sz w:val="26"/>
          <w:szCs w:val="26"/>
        </w:rPr>
        <w:t>’</w:t>
      </w:r>
      <w:r w:rsidRPr="006A06A2">
        <w:rPr>
          <w:rFonts w:eastAsia="Calibri"/>
          <w:sz w:val="26"/>
          <w:szCs w:val="26"/>
        </w:rPr>
        <w:t xml:space="preserve">s recommendation to grant the </w:t>
      </w:r>
      <w:r w:rsidR="00D32F46">
        <w:rPr>
          <w:rFonts w:eastAsia="Calibri"/>
          <w:sz w:val="26"/>
          <w:szCs w:val="26"/>
        </w:rPr>
        <w:t>Joint Settlement Petition</w:t>
      </w:r>
      <w:r w:rsidR="003D048C">
        <w:rPr>
          <w:rFonts w:eastAsia="Calibri"/>
          <w:sz w:val="26"/>
          <w:szCs w:val="26"/>
        </w:rPr>
        <w:t xml:space="preserve"> </w:t>
      </w:r>
      <w:r w:rsidR="00056924">
        <w:rPr>
          <w:rFonts w:eastAsia="Calibri"/>
          <w:sz w:val="26"/>
          <w:szCs w:val="26"/>
        </w:rPr>
        <w:t xml:space="preserve">and adopt the Partial Settlement, </w:t>
      </w:r>
      <w:r w:rsidR="003D048C">
        <w:rPr>
          <w:rFonts w:eastAsia="Calibri"/>
          <w:sz w:val="26"/>
          <w:szCs w:val="26"/>
        </w:rPr>
        <w:t xml:space="preserve">as modified, consistent with </w:t>
      </w:r>
      <w:r w:rsidR="00056924">
        <w:rPr>
          <w:rFonts w:eastAsia="Calibri"/>
          <w:sz w:val="26"/>
          <w:szCs w:val="26"/>
        </w:rPr>
        <w:t xml:space="preserve">the ALJ’s recommended modifications in </w:t>
      </w:r>
      <w:r w:rsidR="003F15A6">
        <w:rPr>
          <w:rFonts w:eastAsia="Calibri"/>
          <w:sz w:val="26"/>
          <w:szCs w:val="26"/>
        </w:rPr>
        <w:t>Section III.</w:t>
      </w:r>
      <w:r w:rsidR="003D048C">
        <w:rPr>
          <w:rFonts w:eastAsia="Calibri"/>
          <w:sz w:val="26"/>
          <w:szCs w:val="26"/>
        </w:rPr>
        <w:t xml:space="preserve"> </w:t>
      </w:r>
      <w:r w:rsidR="003F15A6">
        <w:rPr>
          <w:rFonts w:eastAsia="Calibri"/>
          <w:sz w:val="26"/>
          <w:szCs w:val="26"/>
        </w:rPr>
        <w:t>B</w:t>
      </w:r>
      <w:r w:rsidR="003D048C">
        <w:rPr>
          <w:rFonts w:eastAsia="Calibri"/>
          <w:sz w:val="26"/>
          <w:szCs w:val="26"/>
        </w:rPr>
        <w:t>.</w:t>
      </w:r>
      <w:r w:rsidR="003F15A6">
        <w:rPr>
          <w:rFonts w:eastAsia="Calibri"/>
          <w:sz w:val="26"/>
          <w:szCs w:val="26"/>
        </w:rPr>
        <w:t xml:space="preserve"> </w:t>
      </w:r>
      <w:r w:rsidR="003F15A6" w:rsidRPr="003D048C">
        <w:rPr>
          <w:sz w:val="26"/>
          <w:szCs w:val="26"/>
        </w:rPr>
        <w:t>Highlighted Issues</w:t>
      </w:r>
      <w:r w:rsidR="003D048C">
        <w:rPr>
          <w:sz w:val="26"/>
          <w:szCs w:val="26"/>
        </w:rPr>
        <w:t xml:space="preserve">, </w:t>
      </w:r>
      <w:r w:rsidR="003D048C">
        <w:rPr>
          <w:i/>
          <w:sz w:val="26"/>
          <w:szCs w:val="26"/>
        </w:rPr>
        <w:t>supra</w:t>
      </w:r>
      <w:r w:rsidR="003D048C" w:rsidRPr="003D048C">
        <w:rPr>
          <w:rFonts w:eastAsia="Calibri"/>
          <w:i/>
          <w:sz w:val="26"/>
          <w:szCs w:val="26"/>
        </w:rPr>
        <w:t>,</w:t>
      </w:r>
    </w:p>
    <w:p w:rsidR="00664B65" w:rsidRDefault="00664B65" w:rsidP="007D3734">
      <w:pPr>
        <w:widowControl/>
        <w:spacing w:after="200" w:line="276" w:lineRule="auto"/>
        <w:contextualSpacing/>
        <w:rPr>
          <w:sz w:val="26"/>
        </w:rPr>
      </w:pPr>
    </w:p>
    <w:p w:rsidR="00F96D21" w:rsidRPr="00F96D21" w:rsidRDefault="00BF7139" w:rsidP="007D3734">
      <w:pPr>
        <w:pStyle w:val="Heading1"/>
        <w:keepLines/>
        <w:contextualSpacing/>
        <w:jc w:val="center"/>
      </w:pPr>
      <w:bookmarkStart w:id="36" w:name="_Toc532212787"/>
      <w:bookmarkStart w:id="37" w:name="_Toc531091828"/>
      <w:bookmarkStart w:id="38" w:name="_Toc532905968"/>
      <w:bookmarkEnd w:id="36"/>
      <w:r>
        <w:t>Rider</w:t>
      </w:r>
      <w:r w:rsidR="00C15E1E">
        <w:t xml:space="preserve"> No. 16</w:t>
      </w:r>
      <w:bookmarkEnd w:id="37"/>
      <w:bookmarkEnd w:id="38"/>
    </w:p>
    <w:p w:rsidR="00A1308A" w:rsidRDefault="00A1308A" w:rsidP="007D3734">
      <w:pPr>
        <w:keepNext/>
        <w:keepLines/>
        <w:widowControl/>
        <w:tabs>
          <w:tab w:val="left" w:pos="900"/>
        </w:tabs>
        <w:spacing w:line="360" w:lineRule="auto"/>
        <w:contextualSpacing/>
        <w:jc w:val="both"/>
        <w:rPr>
          <w:b/>
          <w:sz w:val="26"/>
        </w:rPr>
      </w:pPr>
    </w:p>
    <w:p w:rsidR="00C15E1E" w:rsidRDefault="00C15E1E" w:rsidP="00F62CF1">
      <w:pPr>
        <w:pStyle w:val="Heading2"/>
        <w:keepNext/>
        <w:keepLines/>
        <w:numPr>
          <w:ilvl w:val="0"/>
          <w:numId w:val="16"/>
        </w:numPr>
        <w:ind w:left="720" w:hanging="720"/>
      </w:pPr>
      <w:bookmarkStart w:id="39" w:name="_Toc531091829"/>
      <w:bookmarkStart w:id="40" w:name="_Toc532905969"/>
      <w:bookmarkStart w:id="41" w:name="_Hlk519666593"/>
      <w:r>
        <w:t>Burden of Proof</w:t>
      </w:r>
      <w:bookmarkEnd w:id="39"/>
      <w:bookmarkEnd w:id="40"/>
    </w:p>
    <w:p w:rsidR="00C15E1E" w:rsidRDefault="00C15E1E" w:rsidP="007D3734">
      <w:pPr>
        <w:keepNext/>
        <w:keepLines/>
        <w:widowControl/>
        <w:tabs>
          <w:tab w:val="left" w:pos="-720"/>
        </w:tabs>
        <w:suppressAutoHyphens/>
        <w:contextualSpacing/>
        <w:rPr>
          <w:sz w:val="26"/>
          <w:szCs w:val="26"/>
        </w:rPr>
      </w:pPr>
    </w:p>
    <w:p w:rsidR="00C15E1E" w:rsidRPr="00674F88" w:rsidRDefault="00C15E1E" w:rsidP="007D3734">
      <w:pPr>
        <w:widowControl/>
        <w:tabs>
          <w:tab w:val="left" w:pos="-720"/>
        </w:tabs>
        <w:suppressAutoHyphens/>
        <w:spacing w:line="360" w:lineRule="auto"/>
        <w:contextualSpacing/>
        <w:rPr>
          <w:sz w:val="26"/>
          <w:szCs w:val="26"/>
        </w:rPr>
      </w:pPr>
      <w:r>
        <w:rPr>
          <w:sz w:val="26"/>
          <w:szCs w:val="26"/>
        </w:rPr>
        <w:tab/>
      </w:r>
      <w:r>
        <w:rPr>
          <w:sz w:val="26"/>
          <w:szCs w:val="26"/>
        </w:rPr>
        <w:tab/>
      </w:r>
      <w:r w:rsidRPr="00674F88">
        <w:rPr>
          <w:sz w:val="26"/>
          <w:szCs w:val="26"/>
        </w:rPr>
        <w:t>Typically, in proceedings before the Commission, the public utility has the burden to establish the justness and reasonableness of every element of its rate increase in all proceedings conducted under Section 1308(d) of the Code, 66 Pa. C.S. § 1308(d).  The standard of proof which a public utility must meet is set forth in Section 315(a) of the Code, 66 Pa. C.S. §</w:t>
      </w:r>
      <w:r>
        <w:rPr>
          <w:sz w:val="26"/>
          <w:szCs w:val="26"/>
        </w:rPr>
        <w:t xml:space="preserve"> </w:t>
      </w:r>
      <w:r w:rsidRPr="00674F88">
        <w:rPr>
          <w:sz w:val="26"/>
          <w:szCs w:val="26"/>
        </w:rPr>
        <w:t xml:space="preserve">315(a), which specifies that, </w:t>
      </w:r>
      <w:r w:rsidR="001E73FA">
        <w:rPr>
          <w:sz w:val="26"/>
          <w:szCs w:val="26"/>
        </w:rPr>
        <w:t>“</w:t>
      </w:r>
      <w:r w:rsidRPr="00674F88">
        <w:rPr>
          <w:sz w:val="26"/>
          <w:szCs w:val="26"/>
        </w:rPr>
        <w:t>[i]n 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w:t>
      </w:r>
      <w:r w:rsidR="001E73FA">
        <w:rPr>
          <w:sz w:val="26"/>
          <w:szCs w:val="26"/>
        </w:rPr>
        <w:t>”</w:t>
      </w:r>
      <w:r w:rsidRPr="00674F88">
        <w:rPr>
          <w:sz w:val="26"/>
          <w:szCs w:val="26"/>
        </w:rPr>
        <w:t xml:space="preserve">  </w:t>
      </w:r>
      <w:r>
        <w:rPr>
          <w:sz w:val="26"/>
          <w:szCs w:val="26"/>
        </w:rPr>
        <w:t xml:space="preserve">The </w:t>
      </w:r>
      <w:r w:rsidRPr="00674F88">
        <w:rPr>
          <w:sz w:val="26"/>
          <w:szCs w:val="26"/>
        </w:rPr>
        <w:t>Commonwealth Court has upheld this standard of proof</w:t>
      </w:r>
      <w:r w:rsidRPr="00674F88">
        <w:rPr>
          <w:rStyle w:val="FootnoteReference"/>
          <w:sz w:val="26"/>
          <w:szCs w:val="26"/>
        </w:rPr>
        <w:footnoteReference w:id="9"/>
      </w:r>
      <w:r w:rsidRPr="00674F88">
        <w:rPr>
          <w:sz w:val="26"/>
          <w:szCs w:val="26"/>
        </w:rPr>
        <w:t xml:space="preserve"> and has applied it in base rate proceedings.</w:t>
      </w:r>
    </w:p>
    <w:p w:rsidR="00C15E1E" w:rsidRPr="00674F88" w:rsidRDefault="00C15E1E" w:rsidP="007D3734">
      <w:pPr>
        <w:widowControl/>
        <w:tabs>
          <w:tab w:val="left" w:pos="-720"/>
        </w:tabs>
        <w:suppressAutoHyphens/>
        <w:spacing w:line="360" w:lineRule="auto"/>
        <w:contextualSpacing/>
        <w:rPr>
          <w:sz w:val="26"/>
          <w:szCs w:val="26"/>
        </w:rPr>
      </w:pPr>
    </w:p>
    <w:p w:rsidR="00C15E1E" w:rsidRPr="00674F88" w:rsidRDefault="00C15E1E" w:rsidP="007D3734">
      <w:pPr>
        <w:widowControl/>
        <w:tabs>
          <w:tab w:val="left" w:pos="-720"/>
        </w:tabs>
        <w:suppressAutoHyphens/>
        <w:spacing w:line="360" w:lineRule="auto"/>
        <w:contextualSpacing/>
        <w:rPr>
          <w:sz w:val="26"/>
          <w:szCs w:val="26"/>
        </w:rPr>
      </w:pPr>
      <w:r w:rsidRPr="00674F88">
        <w:rPr>
          <w:sz w:val="26"/>
          <w:szCs w:val="26"/>
        </w:rPr>
        <w:tab/>
      </w:r>
      <w:r w:rsidRPr="00674F88">
        <w:rPr>
          <w:sz w:val="26"/>
          <w:szCs w:val="26"/>
        </w:rPr>
        <w:tab/>
        <w:t>In this proceeding, the burden of proof lies squarely with Duquesne.  Duquesne is the public utility seeking permission from the Commission to increase its base rates and to implement and/or alter programs.  The burden of proof does not shift to a statutory party or individual party (whether an entity or an individual) which challenged the requested rate increase.  Instead, the utility</w:t>
      </w:r>
      <w:r w:rsidR="001E73FA">
        <w:rPr>
          <w:sz w:val="26"/>
          <w:szCs w:val="26"/>
        </w:rPr>
        <w:t>’</w:t>
      </w:r>
      <w:r w:rsidRPr="00674F88">
        <w:rPr>
          <w:sz w:val="26"/>
          <w:szCs w:val="26"/>
        </w:rPr>
        <w:t xml:space="preserve">s burden, to establish the justness and </w:t>
      </w:r>
      <w:r w:rsidRPr="00674F88">
        <w:rPr>
          <w:sz w:val="26"/>
          <w:szCs w:val="26"/>
        </w:rPr>
        <w:lastRenderedPageBreak/>
        <w:t>reasonableness of every component of its rate request, is an affirmative one and remains with the public utility throughout the course of the rate proceeding.</w:t>
      </w:r>
      <w:r w:rsidRPr="00674F88">
        <w:rPr>
          <w:rStyle w:val="FootnoteReference"/>
          <w:sz w:val="26"/>
          <w:szCs w:val="26"/>
        </w:rPr>
        <w:footnoteReference w:id="10"/>
      </w:r>
      <w:r w:rsidRPr="00674F88">
        <w:rPr>
          <w:sz w:val="26"/>
          <w:szCs w:val="26"/>
        </w:rPr>
        <w:t xml:space="preserve">  </w:t>
      </w:r>
    </w:p>
    <w:p w:rsidR="00C15E1E" w:rsidRPr="00674F88" w:rsidRDefault="00C15E1E" w:rsidP="007D3734">
      <w:pPr>
        <w:widowControl/>
        <w:tabs>
          <w:tab w:val="left" w:pos="-720"/>
        </w:tabs>
        <w:suppressAutoHyphens/>
        <w:spacing w:line="360" w:lineRule="auto"/>
        <w:contextualSpacing/>
        <w:rPr>
          <w:sz w:val="26"/>
          <w:szCs w:val="26"/>
        </w:rPr>
      </w:pPr>
    </w:p>
    <w:p w:rsidR="00C15E1E" w:rsidRPr="00674F88" w:rsidRDefault="00C15E1E" w:rsidP="007D3734">
      <w:pPr>
        <w:pStyle w:val="BodyText2"/>
        <w:spacing w:after="0" w:line="360" w:lineRule="auto"/>
        <w:ind w:firstLine="1440"/>
        <w:contextualSpacing/>
        <w:rPr>
          <w:rFonts w:ascii="Times New Roman" w:hAnsi="Times New Roman"/>
          <w:sz w:val="26"/>
          <w:szCs w:val="26"/>
        </w:rPr>
      </w:pPr>
      <w:r w:rsidRPr="00674F88">
        <w:rPr>
          <w:rFonts w:ascii="Times New Roman" w:hAnsi="Times New Roman"/>
          <w:sz w:val="26"/>
          <w:szCs w:val="26"/>
        </w:rPr>
        <w:t xml:space="preserve">Under the Code, rates charged by public utilities must be just and reasonable and cannot result in unreasonable rate discrimination.  66 Pa. C.S. §§ 1301 and 1304.  </w:t>
      </w:r>
    </w:p>
    <w:p w:rsidR="00C15E1E" w:rsidRPr="00674F88" w:rsidRDefault="00C15E1E" w:rsidP="007D3734">
      <w:pPr>
        <w:pStyle w:val="BodyText2"/>
        <w:spacing w:after="0" w:line="360" w:lineRule="auto"/>
        <w:ind w:firstLine="1440"/>
        <w:contextualSpacing/>
        <w:rPr>
          <w:rFonts w:ascii="Times New Roman" w:hAnsi="Times New Roman"/>
          <w:sz w:val="26"/>
          <w:szCs w:val="26"/>
        </w:rPr>
      </w:pPr>
    </w:p>
    <w:p w:rsidR="00C15E1E" w:rsidRPr="00674F88" w:rsidRDefault="00C15E1E" w:rsidP="007D3734">
      <w:pPr>
        <w:pStyle w:val="BodyText2"/>
        <w:spacing w:after="0" w:line="360" w:lineRule="auto"/>
        <w:contextualSpacing/>
        <w:rPr>
          <w:rFonts w:ascii="Times New Roman" w:hAnsi="Times New Roman"/>
          <w:sz w:val="26"/>
          <w:szCs w:val="26"/>
        </w:rPr>
      </w:pPr>
      <w:r w:rsidRPr="00674F88">
        <w:rPr>
          <w:rFonts w:ascii="Times New Roman" w:hAnsi="Times New Roman"/>
          <w:sz w:val="26"/>
          <w:szCs w:val="26"/>
        </w:rPr>
        <w:tab/>
      </w:r>
      <w:r w:rsidRPr="00674F88">
        <w:rPr>
          <w:rFonts w:ascii="Times New Roman" w:hAnsi="Times New Roman"/>
          <w:sz w:val="26"/>
          <w:szCs w:val="26"/>
        </w:rPr>
        <w:tab/>
        <w:t xml:space="preserve">A public utility seeking a general rate increase has the burden of proof to establish the justness and reasonableness of every element of the rate increase request.  66 Pa. C.S. § 315(a); </w:t>
      </w:r>
      <w:r w:rsidRPr="00674F88">
        <w:rPr>
          <w:rFonts w:ascii="Times New Roman" w:hAnsi="Times New Roman"/>
          <w:i/>
          <w:sz w:val="26"/>
          <w:szCs w:val="26"/>
        </w:rPr>
        <w:t xml:space="preserve">Pa. PUC v. Aqua Pennsylvania, </w:t>
      </w:r>
      <w:r w:rsidRPr="00674F88">
        <w:rPr>
          <w:rFonts w:ascii="Times New Roman" w:hAnsi="Times New Roman"/>
          <w:sz w:val="26"/>
          <w:szCs w:val="26"/>
        </w:rPr>
        <w:t xml:space="preserve">Docket No. R-00038805, </w:t>
      </w:r>
    </w:p>
    <w:p w:rsidR="00C15E1E" w:rsidRPr="00674F88" w:rsidRDefault="00C15E1E" w:rsidP="007D3734">
      <w:pPr>
        <w:pStyle w:val="BodyText2"/>
        <w:spacing w:after="0" w:line="360" w:lineRule="auto"/>
        <w:contextualSpacing/>
        <w:rPr>
          <w:rFonts w:ascii="Times New Roman" w:hAnsi="Times New Roman"/>
          <w:sz w:val="26"/>
          <w:szCs w:val="26"/>
        </w:rPr>
      </w:pPr>
      <w:r w:rsidRPr="00674F88">
        <w:rPr>
          <w:rFonts w:ascii="Times New Roman" w:hAnsi="Times New Roman"/>
          <w:sz w:val="26"/>
          <w:szCs w:val="26"/>
        </w:rPr>
        <w:t>(Order entered August 5, 2004).</w:t>
      </w:r>
    </w:p>
    <w:p w:rsidR="00C15E1E" w:rsidRPr="00674F88" w:rsidRDefault="00C15E1E" w:rsidP="007D3734">
      <w:pPr>
        <w:pStyle w:val="BodyText2"/>
        <w:spacing w:after="0" w:line="360" w:lineRule="auto"/>
        <w:contextualSpacing/>
        <w:rPr>
          <w:rFonts w:ascii="Times New Roman" w:hAnsi="Times New Roman"/>
          <w:sz w:val="26"/>
          <w:szCs w:val="26"/>
        </w:rPr>
      </w:pPr>
    </w:p>
    <w:p w:rsidR="00C15E1E" w:rsidRPr="00674F88" w:rsidRDefault="00C15E1E" w:rsidP="007D3734">
      <w:pPr>
        <w:pStyle w:val="BodyText2"/>
        <w:spacing w:after="0" w:line="360" w:lineRule="auto"/>
        <w:ind w:firstLine="1440"/>
        <w:contextualSpacing/>
        <w:rPr>
          <w:rFonts w:ascii="Times New Roman" w:hAnsi="Times New Roman"/>
          <w:sz w:val="26"/>
          <w:szCs w:val="26"/>
        </w:rPr>
      </w:pPr>
      <w:r w:rsidRPr="00674F88">
        <w:rPr>
          <w:rFonts w:ascii="Times New Roman" w:hAnsi="Times New Roman"/>
          <w:sz w:val="26"/>
          <w:szCs w:val="26"/>
        </w:rPr>
        <w:t xml:space="preserve">As the Commonwealth Court explained:  </w:t>
      </w:r>
      <w:r w:rsidR="001E73FA">
        <w:rPr>
          <w:rFonts w:ascii="Times New Roman" w:hAnsi="Times New Roman"/>
          <w:sz w:val="26"/>
          <w:szCs w:val="26"/>
        </w:rPr>
        <w:t>“</w:t>
      </w:r>
      <w:r w:rsidRPr="00674F88">
        <w:rPr>
          <w:rFonts w:ascii="Times New Roman" w:hAnsi="Times New Roman"/>
          <w:sz w:val="26"/>
          <w:szCs w:val="26"/>
        </w:rPr>
        <w:t>While it is axiomatic that a utility has the burden of proving the justness and reasonableness of its proposed rates, it cannot be called upon to account for every action absent prior notice that such action is to be challenged.</w:t>
      </w:r>
      <w:r w:rsidR="001E73FA">
        <w:rPr>
          <w:rFonts w:ascii="Times New Roman" w:hAnsi="Times New Roman"/>
          <w:sz w:val="26"/>
          <w:szCs w:val="26"/>
        </w:rPr>
        <w:t>”</w:t>
      </w:r>
      <w:r w:rsidRPr="00674F88">
        <w:rPr>
          <w:rStyle w:val="FootnoteReference"/>
          <w:rFonts w:ascii="Times New Roman" w:hAnsi="Times New Roman"/>
          <w:sz w:val="26"/>
          <w:szCs w:val="26"/>
        </w:rPr>
        <w:footnoteReference w:id="11"/>
      </w:r>
      <w:r w:rsidRPr="00674F88">
        <w:rPr>
          <w:rFonts w:ascii="Times New Roman" w:hAnsi="Times New Roman"/>
          <w:sz w:val="26"/>
          <w:szCs w:val="26"/>
        </w:rPr>
        <w:t xml:space="preserve">  Therefore, while the ultimate burden of proof does not shift from the utility, a party proposing an adjustment to a ratemaking claim bears the burden of presenting some evidence or analysis tending to demonstrate the reasonableness of the adjustment.</w:t>
      </w:r>
      <w:r w:rsidRPr="00674F88">
        <w:rPr>
          <w:rStyle w:val="FootnoteReference"/>
          <w:rFonts w:ascii="Times New Roman" w:hAnsi="Times New Roman"/>
          <w:sz w:val="26"/>
          <w:szCs w:val="26"/>
        </w:rPr>
        <w:footnoteReference w:id="12"/>
      </w:r>
    </w:p>
    <w:p w:rsidR="00C15E1E" w:rsidRPr="00674F88" w:rsidRDefault="00C15E1E" w:rsidP="007D3734">
      <w:pPr>
        <w:pStyle w:val="BodyText2"/>
        <w:spacing w:after="0" w:line="360" w:lineRule="auto"/>
        <w:contextualSpacing/>
        <w:rPr>
          <w:rFonts w:ascii="Times New Roman" w:hAnsi="Times New Roman"/>
          <w:sz w:val="26"/>
          <w:szCs w:val="26"/>
        </w:rPr>
      </w:pPr>
    </w:p>
    <w:p w:rsidR="00C15E1E" w:rsidRPr="00123A5D" w:rsidRDefault="00C15E1E" w:rsidP="007D3734">
      <w:pPr>
        <w:pStyle w:val="BodyText2"/>
        <w:spacing w:after="0" w:line="360" w:lineRule="auto"/>
        <w:ind w:firstLine="1440"/>
        <w:contextualSpacing/>
        <w:rPr>
          <w:rFonts w:ascii="Times New Roman" w:hAnsi="Times New Roman"/>
          <w:sz w:val="26"/>
          <w:szCs w:val="26"/>
        </w:rPr>
      </w:pPr>
      <w:r>
        <w:rPr>
          <w:rFonts w:ascii="Times New Roman" w:hAnsi="Times New Roman"/>
          <w:sz w:val="26"/>
          <w:szCs w:val="26"/>
        </w:rPr>
        <w:t>However</w:t>
      </w:r>
      <w:r w:rsidRPr="00674F88">
        <w:rPr>
          <w:rFonts w:ascii="Times New Roman" w:hAnsi="Times New Roman"/>
          <w:sz w:val="26"/>
          <w:szCs w:val="26"/>
        </w:rPr>
        <w:t>, a party that raises an issue that is not included in a public utility</w:t>
      </w:r>
      <w:r w:rsidR="001E73FA">
        <w:rPr>
          <w:rFonts w:ascii="Times New Roman" w:hAnsi="Times New Roman"/>
          <w:sz w:val="26"/>
          <w:szCs w:val="26"/>
        </w:rPr>
        <w:t>’</w:t>
      </w:r>
      <w:r w:rsidRPr="00674F88">
        <w:rPr>
          <w:rFonts w:ascii="Times New Roman" w:hAnsi="Times New Roman"/>
          <w:sz w:val="26"/>
          <w:szCs w:val="26"/>
        </w:rPr>
        <w:t xml:space="preserve">s general rate case filing bears the burden of proof.  </w:t>
      </w:r>
      <w:r>
        <w:rPr>
          <w:rFonts w:ascii="Times New Roman" w:hAnsi="Times New Roman"/>
          <w:sz w:val="26"/>
          <w:szCs w:val="26"/>
        </w:rPr>
        <w:t xml:space="preserve">As the proponent of a Commission order with respect to its proposals, </w:t>
      </w:r>
      <w:r w:rsidR="000F1780">
        <w:rPr>
          <w:rFonts w:ascii="Times New Roman" w:hAnsi="Times New Roman"/>
          <w:sz w:val="26"/>
          <w:szCs w:val="26"/>
        </w:rPr>
        <w:t>DII</w:t>
      </w:r>
      <w:r>
        <w:rPr>
          <w:rFonts w:ascii="Times New Roman" w:hAnsi="Times New Roman"/>
          <w:sz w:val="26"/>
          <w:szCs w:val="26"/>
        </w:rPr>
        <w:t xml:space="preserve"> bear</w:t>
      </w:r>
      <w:r w:rsidR="000F1780">
        <w:rPr>
          <w:rFonts w:ascii="Times New Roman" w:hAnsi="Times New Roman"/>
          <w:sz w:val="26"/>
          <w:szCs w:val="26"/>
        </w:rPr>
        <w:t>s</w:t>
      </w:r>
      <w:r>
        <w:rPr>
          <w:rFonts w:ascii="Times New Roman" w:hAnsi="Times New Roman"/>
          <w:sz w:val="26"/>
          <w:szCs w:val="26"/>
        </w:rPr>
        <w:t xml:space="preserve"> the burden of proof as to proposals that </w:t>
      </w:r>
      <w:r>
        <w:rPr>
          <w:rFonts w:ascii="Times New Roman" w:hAnsi="Times New Roman"/>
          <w:sz w:val="26"/>
          <w:szCs w:val="26"/>
        </w:rPr>
        <w:lastRenderedPageBreak/>
        <w:t>Duquesne did not include in its filing.  Duquesne</w:t>
      </w:r>
      <w:r w:rsidR="001E73FA">
        <w:rPr>
          <w:rFonts w:ascii="Times New Roman" w:hAnsi="Times New Roman"/>
          <w:sz w:val="26"/>
          <w:szCs w:val="26"/>
        </w:rPr>
        <w:t>’</w:t>
      </w:r>
      <w:r>
        <w:rPr>
          <w:rFonts w:ascii="Times New Roman" w:hAnsi="Times New Roman"/>
          <w:sz w:val="26"/>
          <w:szCs w:val="26"/>
        </w:rPr>
        <w:t xml:space="preserve">s existing </w:t>
      </w:r>
      <w:r w:rsidR="00BF7139">
        <w:rPr>
          <w:rFonts w:ascii="Times New Roman" w:hAnsi="Times New Roman"/>
          <w:sz w:val="26"/>
          <w:szCs w:val="26"/>
        </w:rPr>
        <w:t>Rider</w:t>
      </w:r>
      <w:r w:rsidR="001F75B6">
        <w:rPr>
          <w:rFonts w:ascii="Times New Roman" w:hAnsi="Times New Roman"/>
          <w:sz w:val="26"/>
          <w:szCs w:val="26"/>
        </w:rPr>
        <w:t xml:space="preserve"> No. 16</w:t>
      </w:r>
      <w:r>
        <w:rPr>
          <w:rFonts w:ascii="Times New Roman" w:hAnsi="Times New Roman"/>
          <w:sz w:val="26"/>
          <w:szCs w:val="26"/>
        </w:rPr>
        <w:t xml:space="preserve"> provisions are deemed just and reasonable because those tariff provisions previously were approved by the Commission.  Therefore, </w:t>
      </w:r>
      <w:r w:rsidR="000F1780">
        <w:rPr>
          <w:rFonts w:ascii="Times New Roman" w:hAnsi="Times New Roman"/>
          <w:sz w:val="26"/>
          <w:szCs w:val="26"/>
        </w:rPr>
        <w:t>DII</w:t>
      </w:r>
      <w:r>
        <w:rPr>
          <w:rFonts w:ascii="Times New Roman" w:hAnsi="Times New Roman"/>
          <w:sz w:val="26"/>
          <w:szCs w:val="26"/>
        </w:rPr>
        <w:t>, as the party challenging a previously-approved tariff provision, bear the burden to demonstrate the Commission</w:t>
      </w:r>
      <w:r w:rsidR="001E73FA">
        <w:rPr>
          <w:rFonts w:ascii="Times New Roman" w:hAnsi="Times New Roman"/>
          <w:sz w:val="26"/>
          <w:szCs w:val="26"/>
        </w:rPr>
        <w:t>’</w:t>
      </w:r>
      <w:r>
        <w:rPr>
          <w:rFonts w:ascii="Times New Roman" w:hAnsi="Times New Roman"/>
          <w:sz w:val="26"/>
          <w:szCs w:val="26"/>
        </w:rPr>
        <w:t xml:space="preserve">s prior approval is no longer justified.  </w:t>
      </w:r>
      <w:r>
        <w:rPr>
          <w:rFonts w:ascii="Times New Roman" w:hAnsi="Times New Roman"/>
          <w:i/>
          <w:sz w:val="26"/>
          <w:szCs w:val="26"/>
        </w:rPr>
        <w:t>See</w:t>
      </w:r>
      <w:r>
        <w:rPr>
          <w:rFonts w:ascii="Times New Roman" w:hAnsi="Times New Roman"/>
          <w:sz w:val="26"/>
          <w:szCs w:val="26"/>
        </w:rPr>
        <w:t xml:space="preserve"> </w:t>
      </w:r>
      <w:r w:rsidRPr="00123A5D">
        <w:rPr>
          <w:rFonts w:ascii="Times New Roman" w:hAnsi="Times New Roman"/>
          <w:i/>
          <w:sz w:val="26"/>
          <w:szCs w:val="26"/>
        </w:rPr>
        <w:t>Pa. PUC v. Columbia Gas of Pennsylvania, Inc.</w:t>
      </w:r>
      <w:r>
        <w:rPr>
          <w:rFonts w:ascii="Times New Roman" w:hAnsi="Times New Roman"/>
          <w:sz w:val="26"/>
          <w:szCs w:val="26"/>
        </w:rPr>
        <w:t>, Docket No. R</w:t>
      </w:r>
      <w:r w:rsidR="00F02546">
        <w:rPr>
          <w:rFonts w:ascii="Times New Roman" w:hAnsi="Times New Roman"/>
          <w:sz w:val="26"/>
          <w:szCs w:val="26"/>
        </w:rPr>
        <w:noBreakHyphen/>
      </w:r>
      <w:r>
        <w:rPr>
          <w:rFonts w:ascii="Times New Roman" w:hAnsi="Times New Roman"/>
          <w:sz w:val="26"/>
          <w:szCs w:val="26"/>
        </w:rPr>
        <w:t xml:space="preserve">2010-2215623, </w:t>
      </w:r>
      <w:r>
        <w:rPr>
          <w:rFonts w:ascii="Times New Roman" w:hAnsi="Times New Roman"/>
          <w:i/>
          <w:sz w:val="26"/>
          <w:szCs w:val="26"/>
        </w:rPr>
        <w:t xml:space="preserve">et al. </w:t>
      </w:r>
      <w:r>
        <w:rPr>
          <w:rFonts w:ascii="Times New Roman" w:hAnsi="Times New Roman"/>
          <w:sz w:val="26"/>
          <w:szCs w:val="26"/>
        </w:rPr>
        <w:t xml:space="preserve"> (Order entered March 15, 2012).</w:t>
      </w:r>
    </w:p>
    <w:p w:rsidR="00C15E1E" w:rsidRPr="00674F88" w:rsidRDefault="00C15E1E" w:rsidP="007D3734">
      <w:pPr>
        <w:pStyle w:val="BodyText2"/>
        <w:spacing w:after="0" w:line="360" w:lineRule="auto"/>
        <w:ind w:firstLine="1440"/>
        <w:contextualSpacing/>
        <w:rPr>
          <w:rFonts w:ascii="Times New Roman" w:hAnsi="Times New Roman"/>
          <w:sz w:val="26"/>
          <w:szCs w:val="26"/>
        </w:rPr>
      </w:pPr>
    </w:p>
    <w:p w:rsidR="00C15E1E" w:rsidRPr="00674F88" w:rsidRDefault="00C15E1E" w:rsidP="007D3734">
      <w:pPr>
        <w:widowControl/>
        <w:spacing w:line="360" w:lineRule="auto"/>
        <w:ind w:firstLine="1440"/>
        <w:contextualSpacing/>
        <w:rPr>
          <w:sz w:val="26"/>
          <w:szCs w:val="26"/>
        </w:rPr>
      </w:pPr>
      <w:r w:rsidRPr="00674F88">
        <w:rPr>
          <w:sz w:val="26"/>
          <w:szCs w:val="26"/>
        </w:rPr>
        <w:t xml:space="preserve">As we proceed in our review of the various positions espoused in this proceeding, we are reminded that we are not required to consider expressly or at great length each and every contention raised by a party to our proceedings.  </w:t>
      </w:r>
      <w:r w:rsidRPr="00674F88">
        <w:rPr>
          <w:i/>
          <w:sz w:val="26"/>
          <w:szCs w:val="26"/>
        </w:rPr>
        <w:t>University of Pennsylvania</w:t>
      </w:r>
      <w:r w:rsidRPr="00674F88">
        <w:rPr>
          <w:sz w:val="26"/>
          <w:szCs w:val="26"/>
        </w:rPr>
        <w:t xml:space="preserve"> </w:t>
      </w:r>
      <w:r w:rsidRPr="00A51303">
        <w:rPr>
          <w:i/>
          <w:sz w:val="26"/>
          <w:szCs w:val="26"/>
        </w:rPr>
        <w:t>v. Pa. PUC</w:t>
      </w:r>
      <w:r w:rsidRPr="00674F88">
        <w:rPr>
          <w:sz w:val="26"/>
          <w:szCs w:val="26"/>
        </w:rPr>
        <w:t>, 485 A.2d 1217, 1222 (Pa. Cmwlth. 1984).  Moreover, any exception or argument that is not specifically addressed herein shall be deemed to have been duly considered and denied without further discussion.</w:t>
      </w:r>
    </w:p>
    <w:p w:rsidR="00C15E1E" w:rsidRPr="00D32E33" w:rsidRDefault="00C15E1E" w:rsidP="007D3734">
      <w:pPr>
        <w:widowControl/>
        <w:spacing w:line="360" w:lineRule="auto"/>
        <w:contextualSpacing/>
        <w:rPr>
          <w:sz w:val="26"/>
        </w:rPr>
      </w:pPr>
    </w:p>
    <w:p w:rsidR="003A3A12" w:rsidRDefault="00BF7139" w:rsidP="007D3734">
      <w:pPr>
        <w:pStyle w:val="Heading2"/>
        <w:keepNext/>
        <w:keepLines/>
        <w:numPr>
          <w:ilvl w:val="0"/>
          <w:numId w:val="16"/>
        </w:numPr>
        <w:ind w:hanging="720"/>
      </w:pPr>
      <w:bookmarkStart w:id="42" w:name="_Toc531091830"/>
      <w:bookmarkStart w:id="43" w:name="_Toc532905970"/>
      <w:r>
        <w:t>Rider</w:t>
      </w:r>
      <w:r w:rsidR="00967140">
        <w:t xml:space="preserve"> </w:t>
      </w:r>
      <w:r w:rsidR="00D94BE5">
        <w:t>No. 16 – Service to Non-Utility Generating Facilities</w:t>
      </w:r>
      <w:bookmarkEnd w:id="42"/>
      <w:bookmarkEnd w:id="43"/>
    </w:p>
    <w:p w:rsidR="00A1308A" w:rsidRPr="001017C2" w:rsidRDefault="00A1308A" w:rsidP="007D3734">
      <w:pPr>
        <w:pStyle w:val="ListParagraph"/>
        <w:keepNext/>
        <w:keepLines/>
        <w:widowControl/>
        <w:tabs>
          <w:tab w:val="left" w:pos="900"/>
        </w:tabs>
        <w:spacing w:line="360" w:lineRule="auto"/>
        <w:jc w:val="both"/>
        <w:rPr>
          <w:b/>
          <w:sz w:val="26"/>
        </w:rPr>
      </w:pPr>
    </w:p>
    <w:p w:rsidR="001017C2" w:rsidRDefault="001017C2" w:rsidP="007D3734">
      <w:pPr>
        <w:pStyle w:val="Heading3"/>
        <w:widowControl/>
        <w:numPr>
          <w:ilvl w:val="0"/>
          <w:numId w:val="8"/>
        </w:numPr>
        <w:spacing w:line="360" w:lineRule="auto"/>
        <w:contextualSpacing/>
      </w:pPr>
      <w:bookmarkStart w:id="44" w:name="_Toc531091831"/>
      <w:bookmarkStart w:id="45" w:name="_Toc532905971"/>
      <w:r>
        <w:t>Background</w:t>
      </w:r>
      <w:bookmarkEnd w:id="44"/>
      <w:bookmarkEnd w:id="45"/>
    </w:p>
    <w:p w:rsidR="00977C77" w:rsidRDefault="00977C77" w:rsidP="007D3734">
      <w:pPr>
        <w:keepNext/>
        <w:keepLines/>
        <w:widowControl/>
        <w:spacing w:line="360" w:lineRule="auto"/>
        <w:contextualSpacing/>
      </w:pPr>
    </w:p>
    <w:p w:rsidR="00977C77" w:rsidRPr="00977C77" w:rsidRDefault="00977C77" w:rsidP="007D3734">
      <w:pPr>
        <w:widowControl/>
        <w:spacing w:line="360" w:lineRule="auto"/>
        <w:contextualSpacing/>
        <w:rPr>
          <w:sz w:val="26"/>
          <w:szCs w:val="26"/>
        </w:rPr>
      </w:pPr>
      <w:r>
        <w:tab/>
      </w:r>
      <w:r>
        <w:tab/>
      </w:r>
      <w:r w:rsidRPr="00977C77">
        <w:rPr>
          <w:sz w:val="26"/>
          <w:szCs w:val="26"/>
        </w:rPr>
        <w:t>The Commission</w:t>
      </w:r>
      <w:r w:rsidR="001E73FA">
        <w:rPr>
          <w:sz w:val="26"/>
          <w:szCs w:val="26"/>
        </w:rPr>
        <w:t>’</w:t>
      </w:r>
      <w:r w:rsidRPr="00977C77">
        <w:rPr>
          <w:sz w:val="26"/>
          <w:szCs w:val="26"/>
        </w:rPr>
        <w:t xml:space="preserve">s </w:t>
      </w:r>
      <w:r w:rsidR="00D83187">
        <w:rPr>
          <w:sz w:val="26"/>
          <w:szCs w:val="26"/>
        </w:rPr>
        <w:t>Combined Heat and Power (</w:t>
      </w:r>
      <w:r w:rsidRPr="00977C77">
        <w:rPr>
          <w:sz w:val="26"/>
          <w:szCs w:val="26"/>
        </w:rPr>
        <w:t>CHP</w:t>
      </w:r>
      <w:r w:rsidR="00D83187">
        <w:rPr>
          <w:sz w:val="26"/>
          <w:szCs w:val="26"/>
        </w:rPr>
        <w:t>)</w:t>
      </w:r>
      <w:r w:rsidRPr="00977C77">
        <w:rPr>
          <w:sz w:val="26"/>
          <w:szCs w:val="26"/>
        </w:rPr>
        <w:t xml:space="preserve"> Policy Statement</w:t>
      </w:r>
      <w:r w:rsidR="00840048">
        <w:rPr>
          <w:rStyle w:val="FootnoteReference"/>
          <w:sz w:val="26"/>
          <w:szCs w:val="26"/>
        </w:rPr>
        <w:footnoteReference w:id="13"/>
      </w:r>
      <w:r w:rsidRPr="00977C77">
        <w:rPr>
          <w:sz w:val="26"/>
          <w:szCs w:val="26"/>
        </w:rPr>
        <w:t xml:space="preserve"> provides a helpful description of CHP as follows:</w:t>
      </w:r>
    </w:p>
    <w:p w:rsidR="00977C77" w:rsidRPr="00977C77" w:rsidRDefault="00977C77" w:rsidP="007D3734">
      <w:pPr>
        <w:widowControl/>
        <w:contextualSpacing/>
        <w:rPr>
          <w:sz w:val="26"/>
          <w:szCs w:val="26"/>
        </w:rPr>
      </w:pPr>
    </w:p>
    <w:p w:rsidR="00977C77" w:rsidRPr="00977C77" w:rsidRDefault="00977C77" w:rsidP="007D3734">
      <w:pPr>
        <w:widowControl/>
        <w:ind w:left="1440" w:right="1440"/>
        <w:contextualSpacing/>
        <w:rPr>
          <w:sz w:val="26"/>
          <w:szCs w:val="26"/>
        </w:rPr>
      </w:pPr>
      <w:r w:rsidRPr="00977C77">
        <w:rPr>
          <w:sz w:val="26"/>
          <w:szCs w:val="26"/>
        </w:rPr>
        <w:t xml:space="preserve">Combined Heat and Power (CHP) is the concurrent production of electricity or mechanical power and useful thermal energy (heating and cooling) from a single source of energy.  Unlike central station generation, it is a type of distributed generation which is located at or near the point of consumption.  It is a suite of technologies that can use a variety of fuels to generate electricity or power at the point of use, allowing the heat that would normally be lost in the </w:t>
      </w:r>
      <w:r w:rsidRPr="00977C77">
        <w:rPr>
          <w:sz w:val="26"/>
          <w:szCs w:val="26"/>
        </w:rPr>
        <w:lastRenderedPageBreak/>
        <w:t>power generation process to be recovered to provide needed heating and cooling.</w:t>
      </w:r>
    </w:p>
    <w:p w:rsidR="002D1F0F" w:rsidRDefault="002D1F0F" w:rsidP="007D3734">
      <w:pPr>
        <w:widowControl/>
        <w:ind w:left="1440" w:right="1440"/>
        <w:contextualSpacing/>
        <w:rPr>
          <w:sz w:val="26"/>
          <w:szCs w:val="26"/>
        </w:rPr>
      </w:pPr>
    </w:p>
    <w:p w:rsidR="00BB0147" w:rsidRPr="00D32E33" w:rsidRDefault="00BB0147" w:rsidP="007D3734">
      <w:pPr>
        <w:widowControl/>
        <w:ind w:left="1440" w:right="1440"/>
        <w:contextualSpacing/>
        <w:rPr>
          <w:sz w:val="26"/>
        </w:rPr>
      </w:pPr>
    </w:p>
    <w:p w:rsidR="001B50F9" w:rsidRDefault="00A30406" w:rsidP="007D3734">
      <w:pPr>
        <w:widowControl/>
        <w:autoSpaceDE w:val="0"/>
        <w:autoSpaceDN w:val="0"/>
        <w:adjustRightInd w:val="0"/>
        <w:spacing w:line="360" w:lineRule="auto"/>
        <w:contextualSpacing/>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r>
      <w:r w:rsidR="00197CFB">
        <w:rPr>
          <w:rFonts w:ascii="TimesNewRomanPSMT" w:eastAsiaTheme="minorHAnsi" w:hAnsi="TimesNewRomanPSMT" w:cs="TimesNewRomanPSMT"/>
          <w:sz w:val="26"/>
          <w:szCs w:val="26"/>
        </w:rPr>
        <w:t xml:space="preserve">Customers that receive all of their electricity from the utility or via the grid are known as </w:t>
      </w:r>
      <w:r w:rsidR="001E73FA">
        <w:rPr>
          <w:rFonts w:ascii="TimesNewRomanPSMT" w:eastAsiaTheme="minorHAnsi" w:hAnsi="TimesNewRomanPSMT" w:cs="TimesNewRomanPSMT"/>
          <w:sz w:val="26"/>
          <w:szCs w:val="26"/>
        </w:rPr>
        <w:t>“</w:t>
      </w:r>
      <w:r w:rsidR="00197CFB">
        <w:rPr>
          <w:rFonts w:ascii="TimesNewRomanPSMT" w:eastAsiaTheme="minorHAnsi" w:hAnsi="TimesNewRomanPSMT" w:cs="TimesNewRomanPSMT"/>
          <w:sz w:val="26"/>
          <w:szCs w:val="26"/>
        </w:rPr>
        <w:t>full requirements</w:t>
      </w:r>
      <w:r w:rsidR="001E73FA">
        <w:rPr>
          <w:rFonts w:ascii="TimesNewRomanPSMT" w:eastAsiaTheme="minorHAnsi" w:hAnsi="TimesNewRomanPSMT" w:cs="TimesNewRomanPSMT"/>
          <w:sz w:val="26"/>
          <w:szCs w:val="26"/>
        </w:rPr>
        <w:t>”</w:t>
      </w:r>
      <w:r w:rsidR="00197CFB">
        <w:rPr>
          <w:rFonts w:ascii="TimesNewRomanPSMT" w:eastAsiaTheme="minorHAnsi" w:hAnsi="TimesNewRomanPSMT" w:cs="TimesNewRomanPSMT"/>
          <w:sz w:val="26"/>
          <w:szCs w:val="26"/>
        </w:rPr>
        <w:t xml:space="preserve"> customers.  Customers with onsite generation such as CHP</w:t>
      </w:r>
      <w:r w:rsidR="00994B3F">
        <w:rPr>
          <w:rFonts w:ascii="TimesNewRomanPSMT" w:eastAsiaTheme="minorHAnsi" w:hAnsi="TimesNewRomanPSMT" w:cs="TimesNewRomanPSMT"/>
          <w:sz w:val="26"/>
          <w:szCs w:val="26"/>
        </w:rPr>
        <w:t xml:space="preserve"> are </w:t>
      </w:r>
      <w:r w:rsidR="001E73FA">
        <w:rPr>
          <w:rFonts w:ascii="TimesNewRomanPSMT" w:eastAsiaTheme="minorHAnsi" w:hAnsi="TimesNewRomanPSMT" w:cs="TimesNewRomanPSMT"/>
          <w:sz w:val="26"/>
          <w:szCs w:val="26"/>
        </w:rPr>
        <w:t>“</w:t>
      </w:r>
      <w:r w:rsidR="00994B3F">
        <w:rPr>
          <w:rFonts w:ascii="TimesNewRomanPSMT" w:eastAsiaTheme="minorHAnsi" w:hAnsi="TimesNewRomanPSMT" w:cs="TimesNewRomanPSMT"/>
          <w:sz w:val="26"/>
          <w:szCs w:val="26"/>
        </w:rPr>
        <w:t>partial requirements</w:t>
      </w:r>
      <w:r w:rsidR="001E73FA">
        <w:rPr>
          <w:rFonts w:ascii="TimesNewRomanPSMT" w:eastAsiaTheme="minorHAnsi" w:hAnsi="TimesNewRomanPSMT" w:cs="TimesNewRomanPSMT"/>
          <w:sz w:val="26"/>
          <w:szCs w:val="26"/>
        </w:rPr>
        <w:t>”</w:t>
      </w:r>
      <w:r w:rsidR="00994B3F">
        <w:rPr>
          <w:rFonts w:ascii="TimesNewRomanPSMT" w:eastAsiaTheme="minorHAnsi" w:hAnsi="TimesNewRomanPSMT" w:cs="TimesNewRomanPSMT"/>
          <w:sz w:val="26"/>
          <w:szCs w:val="26"/>
        </w:rPr>
        <w:t xml:space="preserve"> customers and </w:t>
      </w:r>
      <w:r w:rsidR="00197CFB">
        <w:rPr>
          <w:rFonts w:ascii="TimesNewRomanPSMT" w:eastAsiaTheme="minorHAnsi" w:hAnsi="TimesNewRomanPSMT" w:cs="TimesNewRomanPSMT"/>
          <w:sz w:val="26"/>
          <w:szCs w:val="26"/>
        </w:rPr>
        <w:t>typically require a different set of services which includes continu</w:t>
      </w:r>
      <w:r w:rsidR="00840048">
        <w:rPr>
          <w:rFonts w:ascii="TimesNewRomanPSMT" w:eastAsiaTheme="minorHAnsi" w:hAnsi="TimesNewRomanPSMT" w:cs="TimesNewRomanPSMT"/>
          <w:sz w:val="26"/>
          <w:szCs w:val="26"/>
        </w:rPr>
        <w:t>ous</w:t>
      </w:r>
      <w:r w:rsidR="00197CFB">
        <w:rPr>
          <w:rFonts w:ascii="TimesNewRomanPSMT" w:eastAsiaTheme="minorHAnsi" w:hAnsi="TimesNewRomanPSMT" w:cs="TimesNewRomanPSMT"/>
          <w:sz w:val="26"/>
          <w:szCs w:val="26"/>
        </w:rPr>
        <w:t xml:space="preserve"> electricity service for the portion of usage that is not pr</w:t>
      </w:r>
      <w:r w:rsidR="001B50F9">
        <w:rPr>
          <w:rFonts w:ascii="TimesNewRomanPSMT" w:eastAsiaTheme="minorHAnsi" w:hAnsi="TimesNewRomanPSMT" w:cs="TimesNewRomanPSMT"/>
          <w:sz w:val="26"/>
          <w:szCs w:val="26"/>
        </w:rPr>
        <w:t>o</w:t>
      </w:r>
      <w:r w:rsidR="00197CFB">
        <w:rPr>
          <w:rFonts w:ascii="TimesNewRomanPSMT" w:eastAsiaTheme="minorHAnsi" w:hAnsi="TimesNewRomanPSMT" w:cs="TimesNewRomanPSMT"/>
          <w:sz w:val="26"/>
          <w:szCs w:val="26"/>
        </w:rPr>
        <w:t>v</w:t>
      </w:r>
      <w:r w:rsidR="001B50F9">
        <w:rPr>
          <w:rFonts w:ascii="TimesNewRomanPSMT" w:eastAsiaTheme="minorHAnsi" w:hAnsi="TimesNewRomanPSMT" w:cs="TimesNewRomanPSMT"/>
          <w:sz w:val="26"/>
          <w:szCs w:val="26"/>
        </w:rPr>
        <w:t>id</w:t>
      </w:r>
      <w:r w:rsidR="00197CFB">
        <w:rPr>
          <w:rFonts w:ascii="TimesNewRomanPSMT" w:eastAsiaTheme="minorHAnsi" w:hAnsi="TimesNewRomanPSMT" w:cs="TimesNewRomanPSMT"/>
          <w:sz w:val="26"/>
          <w:szCs w:val="26"/>
        </w:rPr>
        <w:t xml:space="preserve">ed by the onsite generator, as well as service for periods of scheduled </w:t>
      </w:r>
      <w:r w:rsidR="00994B3F">
        <w:rPr>
          <w:rFonts w:ascii="TimesNewRomanPSMT" w:eastAsiaTheme="minorHAnsi" w:hAnsi="TimesNewRomanPSMT" w:cs="TimesNewRomanPSMT"/>
          <w:sz w:val="26"/>
          <w:szCs w:val="26"/>
        </w:rPr>
        <w:t xml:space="preserve">outages </w:t>
      </w:r>
      <w:r w:rsidR="00197CFB">
        <w:rPr>
          <w:rFonts w:ascii="TimesNewRomanPSMT" w:eastAsiaTheme="minorHAnsi" w:hAnsi="TimesNewRomanPSMT" w:cs="TimesNewRomanPSMT"/>
          <w:sz w:val="26"/>
          <w:szCs w:val="26"/>
        </w:rPr>
        <w:t xml:space="preserve">or unscheduled </w:t>
      </w:r>
      <w:r w:rsidR="001B50F9">
        <w:rPr>
          <w:rFonts w:ascii="TimesNewRomanPSMT" w:eastAsiaTheme="minorHAnsi" w:hAnsi="TimesNewRomanPSMT" w:cs="TimesNewRomanPSMT"/>
          <w:sz w:val="26"/>
          <w:szCs w:val="26"/>
        </w:rPr>
        <w:t xml:space="preserve">(also known as forced) </w:t>
      </w:r>
      <w:r w:rsidR="00197CFB">
        <w:rPr>
          <w:rFonts w:ascii="TimesNewRomanPSMT" w:eastAsiaTheme="minorHAnsi" w:hAnsi="TimesNewRomanPSMT" w:cs="TimesNewRomanPSMT"/>
          <w:sz w:val="26"/>
          <w:szCs w:val="26"/>
        </w:rPr>
        <w:t xml:space="preserve">outages. </w:t>
      </w:r>
      <w:r w:rsidR="001B50F9">
        <w:rPr>
          <w:rFonts w:ascii="TimesNewRomanPSMT" w:eastAsiaTheme="minorHAnsi" w:hAnsi="TimesNewRomanPSMT" w:cs="TimesNewRomanPSMT"/>
          <w:sz w:val="26"/>
          <w:szCs w:val="26"/>
        </w:rPr>
        <w:t xml:space="preserve"> EPA </w:t>
      </w:r>
      <w:r w:rsidR="00994B3F">
        <w:rPr>
          <w:rFonts w:ascii="TimesNewRomanPSMT" w:eastAsiaTheme="minorHAnsi" w:hAnsi="TimesNewRomanPSMT" w:cs="TimesNewRomanPSMT"/>
          <w:sz w:val="26"/>
          <w:szCs w:val="26"/>
        </w:rPr>
        <w:t xml:space="preserve">Standby Rate </w:t>
      </w:r>
      <w:r w:rsidR="001B50F9">
        <w:rPr>
          <w:rFonts w:ascii="TimesNewRomanPSMT" w:eastAsiaTheme="minorHAnsi" w:hAnsi="TimesNewRomanPSMT" w:cs="TimesNewRomanPSMT"/>
          <w:sz w:val="26"/>
          <w:szCs w:val="26"/>
        </w:rPr>
        <w:t>Study</w:t>
      </w:r>
      <w:r w:rsidR="00994B3F">
        <w:rPr>
          <w:rStyle w:val="FootnoteReference"/>
          <w:rFonts w:ascii="TimesNewRomanPSMT" w:eastAsiaTheme="minorHAnsi" w:hAnsi="TimesNewRomanPSMT" w:cs="TimesNewRomanPSMT"/>
          <w:sz w:val="26"/>
          <w:szCs w:val="26"/>
        </w:rPr>
        <w:footnoteReference w:id="14"/>
      </w:r>
      <w:r w:rsidR="001B50F9">
        <w:rPr>
          <w:rFonts w:ascii="TimesNewRomanPSMT" w:eastAsiaTheme="minorHAnsi" w:hAnsi="TimesNewRomanPSMT" w:cs="TimesNewRomanPSMT"/>
          <w:sz w:val="26"/>
          <w:szCs w:val="26"/>
        </w:rPr>
        <w:t xml:space="preserve"> at 4.</w:t>
      </w:r>
    </w:p>
    <w:p w:rsidR="001B50F9" w:rsidRDefault="001B50F9" w:rsidP="007D3734">
      <w:pPr>
        <w:widowControl/>
        <w:autoSpaceDE w:val="0"/>
        <w:autoSpaceDN w:val="0"/>
        <w:adjustRightInd w:val="0"/>
        <w:spacing w:line="360" w:lineRule="auto"/>
        <w:contextualSpacing/>
        <w:rPr>
          <w:rFonts w:ascii="TimesNewRomanPSMT" w:eastAsiaTheme="minorHAnsi" w:hAnsi="TimesNewRomanPSMT" w:cs="TimesNewRomanPSMT"/>
          <w:sz w:val="26"/>
          <w:szCs w:val="26"/>
        </w:rPr>
      </w:pPr>
    </w:p>
    <w:p w:rsidR="00A30406" w:rsidRPr="00D32E33" w:rsidRDefault="00977C77" w:rsidP="007D3734">
      <w:pPr>
        <w:widowControl/>
        <w:autoSpaceDE w:val="0"/>
        <w:autoSpaceDN w:val="0"/>
        <w:adjustRightInd w:val="0"/>
        <w:spacing w:line="360" w:lineRule="auto"/>
        <w:contextualSpacing/>
        <w:rPr>
          <w:rFonts w:eastAsiaTheme="minorHAnsi"/>
          <w:sz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r>
      <w:r w:rsidR="00BF7139">
        <w:rPr>
          <w:rFonts w:ascii="TimesNewRomanPSMT" w:eastAsiaTheme="minorHAnsi" w:hAnsi="TimesNewRomanPSMT" w:cs="TimesNewRomanPSMT"/>
          <w:sz w:val="26"/>
          <w:szCs w:val="26"/>
        </w:rPr>
        <w:t>Rider</w:t>
      </w:r>
      <w:r w:rsidR="001F75B6">
        <w:rPr>
          <w:rFonts w:ascii="TimesNewRomanPSMT" w:eastAsiaTheme="minorHAnsi" w:hAnsi="TimesNewRomanPSMT" w:cs="TimesNewRomanPSMT"/>
          <w:sz w:val="26"/>
          <w:szCs w:val="26"/>
        </w:rPr>
        <w:t xml:space="preserve"> No. 16</w:t>
      </w:r>
      <w:r w:rsidR="00A30406">
        <w:rPr>
          <w:rFonts w:ascii="TimesNewRomanPSMT" w:eastAsiaTheme="minorHAnsi" w:hAnsi="TimesNewRomanPSMT" w:cs="TimesNewRomanPSMT"/>
          <w:sz w:val="26"/>
          <w:szCs w:val="26"/>
        </w:rPr>
        <w:t xml:space="preserve"> addresses both Supplementary Power and Back-up Power</w:t>
      </w:r>
      <w:r w:rsidR="00994B3F">
        <w:rPr>
          <w:rFonts w:ascii="TimesNewRomanPSMT" w:eastAsiaTheme="minorHAnsi" w:hAnsi="TimesNewRomanPSMT" w:cs="TimesNewRomanPSMT"/>
          <w:sz w:val="26"/>
          <w:szCs w:val="26"/>
        </w:rPr>
        <w:t>.</w:t>
      </w:r>
      <w:r w:rsidR="00A30406">
        <w:rPr>
          <w:rStyle w:val="FootnoteReference"/>
          <w:rFonts w:ascii="TimesNewRomanPSMT" w:eastAsiaTheme="minorHAnsi" w:hAnsi="TimesNewRomanPSMT" w:cs="TimesNewRomanPSMT"/>
          <w:sz w:val="26"/>
          <w:szCs w:val="26"/>
        </w:rPr>
        <w:footnoteReference w:id="15"/>
      </w:r>
      <w:r w:rsidR="00A30406">
        <w:rPr>
          <w:rFonts w:ascii="TimesNewRomanPSMT" w:eastAsiaTheme="minorHAnsi" w:hAnsi="TimesNewRomanPSMT" w:cs="TimesNewRomanPSMT"/>
          <w:sz w:val="26"/>
          <w:szCs w:val="26"/>
        </w:rPr>
        <w:t xml:space="preserve">  Duquesne</w:t>
      </w:r>
      <w:r w:rsidR="001E73FA">
        <w:rPr>
          <w:rFonts w:ascii="TimesNewRomanPSMT" w:eastAsiaTheme="minorHAnsi" w:hAnsi="TimesNewRomanPSMT" w:cs="TimesNewRomanPSMT"/>
          <w:sz w:val="26"/>
          <w:szCs w:val="26"/>
        </w:rPr>
        <w:t>’</w:t>
      </w:r>
      <w:r w:rsidR="00A30406">
        <w:rPr>
          <w:rFonts w:ascii="TimesNewRomanPSMT" w:eastAsiaTheme="minorHAnsi" w:hAnsi="TimesNewRomanPSMT" w:cs="TimesNewRomanPSMT"/>
          <w:sz w:val="26"/>
          <w:szCs w:val="26"/>
        </w:rPr>
        <w:t xml:space="preserve">s current </w:t>
      </w:r>
      <w:r w:rsidR="00BF7139">
        <w:rPr>
          <w:rFonts w:ascii="TimesNewRomanPSMT" w:eastAsiaTheme="minorHAnsi" w:hAnsi="TimesNewRomanPSMT" w:cs="TimesNewRomanPSMT"/>
          <w:sz w:val="26"/>
          <w:szCs w:val="26"/>
        </w:rPr>
        <w:t>Rider</w:t>
      </w:r>
      <w:r w:rsidR="001F75B6">
        <w:rPr>
          <w:rFonts w:ascii="TimesNewRomanPSMT" w:eastAsiaTheme="minorHAnsi" w:hAnsi="TimesNewRomanPSMT" w:cs="TimesNewRomanPSMT"/>
          <w:sz w:val="26"/>
          <w:szCs w:val="26"/>
        </w:rPr>
        <w:t xml:space="preserve"> No. 16</w:t>
      </w:r>
      <w:r w:rsidR="00A30406">
        <w:rPr>
          <w:rFonts w:ascii="TimesNewRomanPSMT" w:eastAsiaTheme="minorHAnsi" w:hAnsi="TimesNewRomanPSMT" w:cs="TimesNewRomanPSMT"/>
          <w:sz w:val="26"/>
          <w:szCs w:val="26"/>
        </w:rPr>
        <w:t xml:space="preserve"> defines Supplementary Power as </w:t>
      </w:r>
      <w:r w:rsidR="001E73FA">
        <w:rPr>
          <w:rFonts w:ascii="TimesNewRomanPSMT" w:eastAsiaTheme="minorHAnsi" w:hAnsi="TimesNewRomanPSMT" w:cs="TimesNewRomanPSMT"/>
          <w:sz w:val="26"/>
          <w:szCs w:val="26"/>
        </w:rPr>
        <w:t>“</w:t>
      </w:r>
      <w:r w:rsidR="00A30406">
        <w:rPr>
          <w:rFonts w:ascii="TimesNewRomanPSMT" w:eastAsiaTheme="minorHAnsi" w:hAnsi="TimesNewRomanPSMT" w:cs="TimesNewRomanPSMT"/>
          <w:sz w:val="26"/>
          <w:szCs w:val="26"/>
        </w:rPr>
        <w:t xml:space="preserve">electric energy and capacity supplied by the Company or by an </w:t>
      </w:r>
      <w:r w:rsidR="00A2364F">
        <w:rPr>
          <w:rFonts w:ascii="TimesNewRomanPSMT" w:eastAsiaTheme="minorHAnsi" w:hAnsi="TimesNewRomanPSMT" w:cs="TimesNewRomanPSMT"/>
          <w:sz w:val="26"/>
          <w:szCs w:val="26"/>
        </w:rPr>
        <w:t>electric generation supplier (</w:t>
      </w:r>
      <w:r w:rsidR="00A30406">
        <w:rPr>
          <w:rFonts w:ascii="TimesNewRomanPSMT" w:eastAsiaTheme="minorHAnsi" w:hAnsi="TimesNewRomanPSMT" w:cs="TimesNewRomanPSMT"/>
          <w:sz w:val="26"/>
          <w:szCs w:val="26"/>
        </w:rPr>
        <w:t>EGS</w:t>
      </w:r>
      <w:r w:rsidR="00A2364F">
        <w:rPr>
          <w:rFonts w:ascii="TimesNewRomanPSMT" w:eastAsiaTheme="minorHAnsi" w:hAnsi="TimesNewRomanPSMT" w:cs="TimesNewRomanPSMT"/>
          <w:sz w:val="26"/>
          <w:szCs w:val="26"/>
        </w:rPr>
        <w:t>)</w:t>
      </w:r>
      <w:r w:rsidR="00A30406">
        <w:rPr>
          <w:rFonts w:ascii="TimesNewRomanPSMT" w:eastAsiaTheme="minorHAnsi" w:hAnsi="TimesNewRomanPSMT" w:cs="TimesNewRomanPSMT"/>
          <w:sz w:val="26"/>
          <w:szCs w:val="26"/>
        </w:rPr>
        <w:t xml:space="preserve"> to a non</w:t>
      </w:r>
      <w:r w:rsidR="00A2364F">
        <w:rPr>
          <w:rFonts w:ascii="TimesNewRomanPSMT" w:eastAsiaTheme="minorHAnsi" w:hAnsi="TimesNewRomanPSMT" w:cs="TimesNewRomanPSMT"/>
          <w:sz w:val="26"/>
          <w:szCs w:val="26"/>
        </w:rPr>
        <w:noBreakHyphen/>
      </w:r>
      <w:r w:rsidR="00A30406">
        <w:rPr>
          <w:rFonts w:ascii="TimesNewRomanPSMT" w:eastAsiaTheme="minorHAnsi" w:hAnsi="TimesNewRomanPSMT" w:cs="TimesNewRomanPSMT"/>
          <w:sz w:val="26"/>
          <w:szCs w:val="26"/>
        </w:rPr>
        <w:t>utility generating facility and regularly used in addition to that electric energy which the non-utility generating facility generates itself.</w:t>
      </w:r>
      <w:r w:rsidR="001E73FA">
        <w:rPr>
          <w:rFonts w:ascii="TimesNewRomanPSMT" w:eastAsiaTheme="minorHAnsi" w:hAnsi="TimesNewRomanPSMT" w:cs="TimesNewRomanPSMT"/>
          <w:sz w:val="26"/>
          <w:szCs w:val="26"/>
        </w:rPr>
        <w:t>”</w:t>
      </w:r>
      <w:r w:rsidR="00A30406">
        <w:rPr>
          <w:rFonts w:ascii="TimesNewRomanPSMT" w:eastAsiaTheme="minorHAnsi" w:hAnsi="TimesNewRomanPSMT" w:cs="TimesNewRomanPSMT"/>
          <w:sz w:val="26"/>
          <w:szCs w:val="26"/>
        </w:rPr>
        <w:t xml:space="preserve">  Back-up Power is defined as </w:t>
      </w:r>
      <w:r w:rsidR="001E73FA">
        <w:rPr>
          <w:rFonts w:ascii="TimesNewRomanPSMT" w:eastAsiaTheme="minorHAnsi" w:hAnsi="TimesNewRomanPSMT" w:cs="TimesNewRomanPSMT"/>
          <w:sz w:val="26"/>
          <w:szCs w:val="26"/>
        </w:rPr>
        <w:t>“</w:t>
      </w:r>
      <w:r w:rsidR="00A30406">
        <w:rPr>
          <w:rFonts w:ascii="TimesNewRomanPSMT" w:eastAsiaTheme="minorHAnsi" w:hAnsi="TimesNewRomanPSMT" w:cs="TimesNewRomanPSMT"/>
          <w:sz w:val="26"/>
          <w:szCs w:val="26"/>
        </w:rPr>
        <w:t xml:space="preserve">electric energy and capacity supplied by </w:t>
      </w:r>
      <w:r w:rsidR="00A30406" w:rsidRPr="00D32E33">
        <w:rPr>
          <w:rFonts w:eastAsiaTheme="minorHAnsi"/>
          <w:sz w:val="26"/>
        </w:rPr>
        <w:t>the Company to a non-utility generating facility during any outage of the non-utility generating facility</w:t>
      </w:r>
      <w:r w:rsidR="001E73FA" w:rsidRPr="00D32E33">
        <w:rPr>
          <w:rFonts w:eastAsiaTheme="minorHAnsi"/>
          <w:sz w:val="26"/>
        </w:rPr>
        <w:t>’</w:t>
      </w:r>
      <w:r w:rsidR="00A30406" w:rsidRPr="00D32E33">
        <w:rPr>
          <w:rFonts w:eastAsiaTheme="minorHAnsi"/>
          <w:sz w:val="26"/>
        </w:rPr>
        <w:t>s electric generating equipment</w:t>
      </w:r>
      <w:r w:rsidR="00623D7F">
        <w:rPr>
          <w:rFonts w:eastAsiaTheme="minorHAnsi"/>
          <w:sz w:val="26"/>
          <w:szCs w:val="26"/>
        </w:rPr>
        <w:t xml:space="preserve"> . . . </w:t>
      </w:r>
      <w:r w:rsidR="001E73FA" w:rsidRPr="00623D7F">
        <w:rPr>
          <w:rFonts w:eastAsiaTheme="minorHAnsi"/>
          <w:sz w:val="26"/>
          <w:szCs w:val="26"/>
        </w:rPr>
        <w:t>”</w:t>
      </w:r>
      <w:r w:rsidR="00A30406" w:rsidRPr="00623D7F">
        <w:rPr>
          <w:rFonts w:eastAsiaTheme="minorHAnsi"/>
          <w:sz w:val="26"/>
          <w:szCs w:val="26"/>
        </w:rPr>
        <w:t xml:space="preserve"> </w:t>
      </w:r>
      <w:r w:rsidR="00BF7139">
        <w:rPr>
          <w:rFonts w:eastAsiaTheme="minorHAnsi"/>
          <w:sz w:val="26"/>
          <w:szCs w:val="26"/>
        </w:rPr>
        <w:t>Rider</w:t>
      </w:r>
      <w:r w:rsidR="001F75B6" w:rsidRPr="00D32E33">
        <w:rPr>
          <w:rFonts w:eastAsiaTheme="minorHAnsi"/>
          <w:sz w:val="26"/>
        </w:rPr>
        <w:t xml:space="preserve"> No. 16</w:t>
      </w:r>
      <w:r w:rsidR="00A30406" w:rsidRPr="00D32E33">
        <w:rPr>
          <w:rFonts w:eastAsiaTheme="minorHAnsi"/>
          <w:sz w:val="26"/>
        </w:rPr>
        <w:t>, Supplement No. 91 to Electric Tariff Pa. P.U.C. No. 24.</w:t>
      </w:r>
    </w:p>
    <w:p w:rsidR="00623D7F" w:rsidRPr="00D32E33" w:rsidRDefault="00623D7F" w:rsidP="007D3734">
      <w:pPr>
        <w:widowControl/>
        <w:autoSpaceDE w:val="0"/>
        <w:autoSpaceDN w:val="0"/>
        <w:adjustRightInd w:val="0"/>
        <w:spacing w:line="360" w:lineRule="auto"/>
        <w:contextualSpacing/>
        <w:rPr>
          <w:rFonts w:eastAsiaTheme="minorHAnsi"/>
          <w:sz w:val="26"/>
        </w:rPr>
      </w:pPr>
    </w:p>
    <w:p w:rsidR="00CE7A73" w:rsidRDefault="002D1F0F" w:rsidP="007D3734">
      <w:pPr>
        <w:widowControl/>
        <w:spacing w:line="360" w:lineRule="auto"/>
        <w:contextualSpacing/>
        <w:rPr>
          <w:sz w:val="26"/>
          <w:szCs w:val="26"/>
        </w:rPr>
      </w:pPr>
      <w:r w:rsidRPr="00623D7F">
        <w:rPr>
          <w:sz w:val="26"/>
          <w:szCs w:val="26"/>
        </w:rPr>
        <w:tab/>
      </w:r>
      <w:r w:rsidRPr="00623D7F">
        <w:rPr>
          <w:sz w:val="26"/>
          <w:szCs w:val="26"/>
        </w:rPr>
        <w:tab/>
      </w:r>
      <w:r w:rsidR="00CE7A73" w:rsidRPr="00623D7F">
        <w:rPr>
          <w:sz w:val="26"/>
          <w:szCs w:val="26"/>
        </w:rPr>
        <w:t xml:space="preserve">As part of Supplement No. 174, Duquesne </w:t>
      </w:r>
      <w:r w:rsidR="001F75B6">
        <w:rPr>
          <w:sz w:val="26"/>
          <w:szCs w:val="26"/>
        </w:rPr>
        <w:t xml:space="preserve">originally </w:t>
      </w:r>
      <w:r w:rsidR="00CE7A73" w:rsidRPr="00623D7F">
        <w:rPr>
          <w:sz w:val="26"/>
          <w:szCs w:val="26"/>
        </w:rPr>
        <w:t xml:space="preserve">proposed to increase the rate charged for </w:t>
      </w:r>
      <w:r w:rsidR="001E73FA" w:rsidRPr="00623D7F">
        <w:rPr>
          <w:sz w:val="26"/>
          <w:szCs w:val="26"/>
        </w:rPr>
        <w:t>“</w:t>
      </w:r>
      <w:r w:rsidR="00CE7A73" w:rsidRPr="00623D7F">
        <w:rPr>
          <w:sz w:val="26"/>
          <w:szCs w:val="26"/>
        </w:rPr>
        <w:t>back-up service</w:t>
      </w:r>
      <w:r w:rsidR="001E73FA" w:rsidRPr="00623D7F">
        <w:rPr>
          <w:sz w:val="26"/>
          <w:szCs w:val="26"/>
        </w:rPr>
        <w:t>”</w:t>
      </w:r>
      <w:r w:rsidR="00CE7A73" w:rsidRPr="00623D7F">
        <w:rPr>
          <w:sz w:val="26"/>
          <w:szCs w:val="26"/>
        </w:rPr>
        <w:t xml:space="preserve"> under </w:t>
      </w:r>
      <w:r w:rsidR="00BF7139">
        <w:rPr>
          <w:sz w:val="26"/>
          <w:szCs w:val="26"/>
        </w:rPr>
        <w:t>Rider</w:t>
      </w:r>
      <w:r w:rsidR="00CE7A73" w:rsidRPr="00623D7F">
        <w:rPr>
          <w:sz w:val="26"/>
          <w:szCs w:val="26"/>
        </w:rPr>
        <w:t xml:space="preserve"> No. 16 for eligible customers</w:t>
      </w:r>
      <w:r w:rsidR="00CE7A73">
        <w:rPr>
          <w:sz w:val="26"/>
          <w:szCs w:val="26"/>
        </w:rPr>
        <w:t xml:space="preserve"> that meet a portion of their load with their own generating facilities.  Duquesne proposed to increase the rate for </w:t>
      </w:r>
      <w:r w:rsidR="00BF7139">
        <w:rPr>
          <w:sz w:val="26"/>
          <w:szCs w:val="26"/>
        </w:rPr>
        <w:t>Rider</w:t>
      </w:r>
      <w:r w:rsidR="00CE7A73">
        <w:rPr>
          <w:sz w:val="26"/>
          <w:szCs w:val="26"/>
        </w:rPr>
        <w:t xml:space="preserve"> No. 16 service from $2.50 </w:t>
      </w:r>
      <w:r w:rsidR="00494995">
        <w:rPr>
          <w:sz w:val="26"/>
          <w:szCs w:val="26"/>
        </w:rPr>
        <w:t xml:space="preserve">per kW </w:t>
      </w:r>
      <w:r w:rsidR="00CE7A73">
        <w:rPr>
          <w:sz w:val="26"/>
          <w:szCs w:val="26"/>
        </w:rPr>
        <w:t xml:space="preserve">to $8.00 per kW for the </w:t>
      </w:r>
      <w:r w:rsidR="00CE7A73">
        <w:rPr>
          <w:sz w:val="26"/>
          <w:szCs w:val="26"/>
        </w:rPr>
        <w:lastRenderedPageBreak/>
        <w:t xml:space="preserve">level of demand specified by the customer in its contract for back-up service.  </w:t>
      </w:r>
      <w:r w:rsidR="003D4D9E">
        <w:rPr>
          <w:sz w:val="26"/>
          <w:szCs w:val="26"/>
        </w:rPr>
        <w:t>According to Duquesne,</w:t>
      </w:r>
      <w:r w:rsidR="00247760">
        <w:rPr>
          <w:sz w:val="26"/>
          <w:szCs w:val="26"/>
        </w:rPr>
        <w:t xml:space="preserve"> </w:t>
      </w:r>
      <w:r w:rsidR="00BF7139">
        <w:rPr>
          <w:sz w:val="26"/>
          <w:szCs w:val="26"/>
        </w:rPr>
        <w:t>Rider</w:t>
      </w:r>
      <w:r w:rsidR="003D4D9E">
        <w:rPr>
          <w:sz w:val="26"/>
          <w:szCs w:val="26"/>
        </w:rPr>
        <w:t xml:space="preserve"> No. 16 proposed increase was designed to provide better price signals to potential customers considering construction of distributed generation with back-up charges that better reflect the actual cost to provide back-up distribution service.  Duquesne I</w:t>
      </w:r>
      <w:r w:rsidR="00D94BE5">
        <w:rPr>
          <w:sz w:val="26"/>
          <w:szCs w:val="26"/>
        </w:rPr>
        <w:t xml:space="preserve">nitial </w:t>
      </w:r>
      <w:r w:rsidR="003D4D9E">
        <w:rPr>
          <w:sz w:val="26"/>
          <w:szCs w:val="26"/>
        </w:rPr>
        <w:t>B</w:t>
      </w:r>
      <w:r w:rsidR="00D94BE5">
        <w:rPr>
          <w:sz w:val="26"/>
          <w:szCs w:val="26"/>
        </w:rPr>
        <w:t>rief (I.B.)</w:t>
      </w:r>
      <w:r w:rsidR="003D4D9E">
        <w:rPr>
          <w:sz w:val="26"/>
          <w:szCs w:val="26"/>
        </w:rPr>
        <w:t xml:space="preserve"> at 1-2.</w:t>
      </w:r>
    </w:p>
    <w:p w:rsidR="00CE7A73" w:rsidRDefault="00CE7A73" w:rsidP="007D3734">
      <w:pPr>
        <w:widowControl/>
        <w:spacing w:line="360" w:lineRule="auto"/>
        <w:contextualSpacing/>
        <w:rPr>
          <w:sz w:val="26"/>
          <w:szCs w:val="26"/>
        </w:rPr>
      </w:pPr>
    </w:p>
    <w:p w:rsidR="002D1F0F" w:rsidRDefault="00CE7A73" w:rsidP="007D3734">
      <w:pPr>
        <w:widowControl/>
        <w:spacing w:line="360" w:lineRule="auto"/>
        <w:contextualSpacing/>
        <w:rPr>
          <w:sz w:val="26"/>
          <w:szCs w:val="26"/>
        </w:rPr>
      </w:pPr>
      <w:r>
        <w:rPr>
          <w:sz w:val="26"/>
          <w:szCs w:val="26"/>
        </w:rPr>
        <w:tab/>
      </w:r>
      <w:r>
        <w:rPr>
          <w:sz w:val="26"/>
          <w:szCs w:val="26"/>
        </w:rPr>
        <w:tab/>
      </w:r>
      <w:r w:rsidR="00C46BC4">
        <w:rPr>
          <w:sz w:val="26"/>
          <w:szCs w:val="26"/>
        </w:rPr>
        <w:t xml:space="preserve">Three intervening parties addressed the proposed changes to </w:t>
      </w:r>
      <w:r w:rsidR="00BF7139">
        <w:rPr>
          <w:sz w:val="26"/>
          <w:szCs w:val="26"/>
        </w:rPr>
        <w:t>Rider</w:t>
      </w:r>
      <w:r w:rsidR="00C46BC4">
        <w:rPr>
          <w:sz w:val="26"/>
          <w:szCs w:val="26"/>
        </w:rPr>
        <w:t xml:space="preserve"> No. 16 – the OSBA, Peoples, and </w:t>
      </w:r>
      <w:r w:rsidR="000F1780">
        <w:rPr>
          <w:sz w:val="26"/>
          <w:szCs w:val="26"/>
        </w:rPr>
        <w:t>DII</w:t>
      </w:r>
      <w:r w:rsidR="00994B3F">
        <w:rPr>
          <w:sz w:val="26"/>
          <w:szCs w:val="26"/>
        </w:rPr>
        <w:t>.</w:t>
      </w:r>
      <w:r w:rsidR="00C46BC4">
        <w:rPr>
          <w:rStyle w:val="FootnoteReference"/>
          <w:sz w:val="26"/>
          <w:szCs w:val="26"/>
        </w:rPr>
        <w:footnoteReference w:id="16"/>
      </w:r>
      <w:r w:rsidR="00C46BC4">
        <w:rPr>
          <w:sz w:val="26"/>
          <w:szCs w:val="26"/>
        </w:rPr>
        <w:t xml:space="preserve">  Other parties to the case neither opposed nor supported the proposed changes to </w:t>
      </w:r>
      <w:r w:rsidR="00BF7139">
        <w:rPr>
          <w:sz w:val="26"/>
          <w:szCs w:val="26"/>
        </w:rPr>
        <w:t>Rider</w:t>
      </w:r>
      <w:r w:rsidR="00C46BC4">
        <w:rPr>
          <w:sz w:val="26"/>
          <w:szCs w:val="26"/>
        </w:rPr>
        <w:t xml:space="preserve"> No. 16.  </w:t>
      </w:r>
      <w:r w:rsidR="00C46BC4" w:rsidRPr="00C46BC4">
        <w:rPr>
          <w:i/>
          <w:sz w:val="26"/>
          <w:szCs w:val="26"/>
        </w:rPr>
        <w:t>Id</w:t>
      </w:r>
      <w:r w:rsidR="00C46BC4">
        <w:rPr>
          <w:i/>
          <w:sz w:val="26"/>
          <w:szCs w:val="26"/>
        </w:rPr>
        <w:t>.</w:t>
      </w:r>
      <w:r w:rsidR="00C46BC4" w:rsidRPr="00C46BC4">
        <w:rPr>
          <w:i/>
          <w:sz w:val="26"/>
          <w:szCs w:val="26"/>
        </w:rPr>
        <w:t xml:space="preserve"> </w:t>
      </w:r>
      <w:r w:rsidR="00C46BC4">
        <w:rPr>
          <w:sz w:val="26"/>
          <w:szCs w:val="26"/>
        </w:rPr>
        <w:t>at 4.</w:t>
      </w:r>
    </w:p>
    <w:p w:rsidR="00C46BC4" w:rsidRDefault="00C46BC4" w:rsidP="007D3734">
      <w:pPr>
        <w:widowControl/>
        <w:spacing w:line="360" w:lineRule="auto"/>
        <w:contextualSpacing/>
        <w:rPr>
          <w:sz w:val="26"/>
          <w:szCs w:val="26"/>
        </w:rPr>
      </w:pPr>
    </w:p>
    <w:p w:rsidR="004F33D5" w:rsidRDefault="00C46BC4" w:rsidP="007D3734">
      <w:pPr>
        <w:widowControl/>
        <w:spacing w:line="360" w:lineRule="auto"/>
        <w:contextualSpacing/>
        <w:rPr>
          <w:sz w:val="26"/>
          <w:szCs w:val="26"/>
        </w:rPr>
      </w:pPr>
      <w:r>
        <w:rPr>
          <w:sz w:val="26"/>
          <w:szCs w:val="26"/>
        </w:rPr>
        <w:tab/>
      </w:r>
      <w:r w:rsidR="002130C8">
        <w:rPr>
          <w:sz w:val="26"/>
          <w:szCs w:val="26"/>
        </w:rPr>
        <w:tab/>
      </w:r>
      <w:r w:rsidR="004F33D5">
        <w:rPr>
          <w:sz w:val="26"/>
          <w:szCs w:val="26"/>
        </w:rPr>
        <w:t xml:space="preserve">At the August 17, 2018 evidentiary hearing, Duquesne notified the ALJ that the Company was withdrawing its proposed changes to </w:t>
      </w:r>
      <w:r w:rsidR="00BF7139">
        <w:rPr>
          <w:sz w:val="26"/>
          <w:szCs w:val="26"/>
        </w:rPr>
        <w:t>Rider</w:t>
      </w:r>
      <w:r w:rsidR="004F33D5">
        <w:rPr>
          <w:sz w:val="26"/>
          <w:szCs w:val="26"/>
        </w:rPr>
        <w:t xml:space="preserve"> No. 16 and would leave in place the existing </w:t>
      </w:r>
      <w:r w:rsidR="00BF7139">
        <w:rPr>
          <w:sz w:val="26"/>
          <w:szCs w:val="26"/>
        </w:rPr>
        <w:t>Rider</w:t>
      </w:r>
      <w:r w:rsidR="004F33D5">
        <w:rPr>
          <w:sz w:val="26"/>
          <w:szCs w:val="26"/>
        </w:rPr>
        <w:t xml:space="preserve"> No. 16 terms.  </w:t>
      </w:r>
      <w:r w:rsidR="004F33D5" w:rsidRPr="00B3217A">
        <w:rPr>
          <w:i/>
          <w:sz w:val="26"/>
          <w:szCs w:val="26"/>
        </w:rPr>
        <w:t>Id.</w:t>
      </w:r>
      <w:r w:rsidR="004F33D5">
        <w:rPr>
          <w:sz w:val="26"/>
          <w:szCs w:val="26"/>
        </w:rPr>
        <w:t xml:space="preserve"> at 10.  Upon the Company</w:t>
      </w:r>
      <w:r w:rsidR="001E73FA">
        <w:rPr>
          <w:sz w:val="26"/>
          <w:szCs w:val="26"/>
        </w:rPr>
        <w:t>’</w:t>
      </w:r>
      <w:r w:rsidR="004F33D5">
        <w:rPr>
          <w:sz w:val="26"/>
          <w:szCs w:val="26"/>
        </w:rPr>
        <w:t xml:space="preserve">s withdrawal of the proposed changes to </w:t>
      </w:r>
      <w:r w:rsidR="00BF7139">
        <w:rPr>
          <w:sz w:val="26"/>
          <w:szCs w:val="26"/>
        </w:rPr>
        <w:t>Rider</w:t>
      </w:r>
      <w:r w:rsidR="004F33D5">
        <w:rPr>
          <w:sz w:val="26"/>
          <w:szCs w:val="26"/>
        </w:rPr>
        <w:t xml:space="preserve"> No. 16, Peoples withdrew its opposition to the settlement of all issues in the case.  </w:t>
      </w:r>
      <w:r w:rsidR="000F1780">
        <w:rPr>
          <w:sz w:val="26"/>
          <w:szCs w:val="26"/>
        </w:rPr>
        <w:t>DII</w:t>
      </w:r>
      <w:r w:rsidR="004F33D5">
        <w:rPr>
          <w:sz w:val="26"/>
          <w:szCs w:val="26"/>
        </w:rPr>
        <w:t>, on behalf of its members excluding Duquesne University, continue</w:t>
      </w:r>
      <w:r w:rsidR="001E5A04">
        <w:rPr>
          <w:sz w:val="26"/>
          <w:szCs w:val="26"/>
        </w:rPr>
        <w:t>d</w:t>
      </w:r>
      <w:r w:rsidR="004F33D5">
        <w:rPr>
          <w:sz w:val="26"/>
          <w:szCs w:val="26"/>
        </w:rPr>
        <w:t xml:space="preserve"> to litigate the issue.  </w:t>
      </w:r>
      <w:r w:rsidR="000F1780">
        <w:rPr>
          <w:sz w:val="26"/>
          <w:szCs w:val="26"/>
        </w:rPr>
        <w:t>DII</w:t>
      </w:r>
      <w:r w:rsidR="004F33D5">
        <w:rPr>
          <w:sz w:val="26"/>
          <w:szCs w:val="26"/>
        </w:rPr>
        <w:t xml:space="preserve"> </w:t>
      </w:r>
      <w:r w:rsidR="001E5A04">
        <w:rPr>
          <w:sz w:val="26"/>
          <w:szCs w:val="26"/>
        </w:rPr>
        <w:t xml:space="preserve">argued </w:t>
      </w:r>
      <w:r w:rsidR="004F33D5">
        <w:rPr>
          <w:sz w:val="26"/>
          <w:szCs w:val="26"/>
        </w:rPr>
        <w:t xml:space="preserve">that the </w:t>
      </w:r>
      <w:r w:rsidR="001E5A04">
        <w:rPr>
          <w:sz w:val="26"/>
          <w:szCs w:val="26"/>
        </w:rPr>
        <w:t xml:space="preserve">existing </w:t>
      </w:r>
      <w:r w:rsidR="00BF7139">
        <w:rPr>
          <w:sz w:val="26"/>
          <w:szCs w:val="26"/>
        </w:rPr>
        <w:t>Rider</w:t>
      </w:r>
      <w:r w:rsidR="004F33D5">
        <w:rPr>
          <w:sz w:val="26"/>
          <w:szCs w:val="26"/>
        </w:rPr>
        <w:t xml:space="preserve"> No. 16 rate should be further discounted.  </w:t>
      </w:r>
      <w:r w:rsidR="004F33D5" w:rsidRPr="004F33D5">
        <w:rPr>
          <w:i/>
          <w:sz w:val="26"/>
          <w:szCs w:val="26"/>
        </w:rPr>
        <w:t>Id.</w:t>
      </w:r>
      <w:r w:rsidR="004F33D5">
        <w:rPr>
          <w:sz w:val="26"/>
          <w:szCs w:val="26"/>
        </w:rPr>
        <w:t xml:space="preserve"> at 11. </w:t>
      </w:r>
    </w:p>
    <w:p w:rsidR="00D61E80" w:rsidRDefault="00D61E80" w:rsidP="007D3734">
      <w:pPr>
        <w:widowControl/>
        <w:spacing w:line="360" w:lineRule="auto"/>
        <w:contextualSpacing/>
        <w:rPr>
          <w:sz w:val="26"/>
          <w:szCs w:val="26"/>
        </w:rPr>
      </w:pPr>
    </w:p>
    <w:p w:rsidR="00D61E80" w:rsidRDefault="00D61E80" w:rsidP="007D3734">
      <w:pPr>
        <w:pStyle w:val="Heading3"/>
        <w:widowControl/>
        <w:numPr>
          <w:ilvl w:val="0"/>
          <w:numId w:val="8"/>
        </w:numPr>
        <w:contextualSpacing/>
      </w:pPr>
      <w:bookmarkStart w:id="46" w:name="_Toc531091832"/>
      <w:bookmarkStart w:id="47" w:name="_Toc532905972"/>
      <w:r>
        <w:t>Memorandum of Understanding Between Duquesne Light Company and Duquesne University</w:t>
      </w:r>
      <w:bookmarkEnd w:id="46"/>
      <w:bookmarkEnd w:id="47"/>
      <w:r>
        <w:t xml:space="preserve"> </w:t>
      </w:r>
    </w:p>
    <w:p w:rsidR="00D61E80" w:rsidRDefault="00D61E80" w:rsidP="007D3734">
      <w:pPr>
        <w:keepNext/>
        <w:keepLines/>
        <w:widowControl/>
        <w:spacing w:line="360" w:lineRule="auto"/>
        <w:contextualSpacing/>
        <w:rPr>
          <w:sz w:val="26"/>
          <w:szCs w:val="26"/>
        </w:rPr>
      </w:pPr>
    </w:p>
    <w:p w:rsidR="00AA69C8" w:rsidRDefault="0074217A" w:rsidP="007D3734">
      <w:pPr>
        <w:widowControl/>
        <w:spacing w:line="360" w:lineRule="auto"/>
        <w:contextualSpacing/>
        <w:rPr>
          <w:sz w:val="26"/>
          <w:szCs w:val="26"/>
        </w:rPr>
      </w:pPr>
      <w:r>
        <w:rPr>
          <w:sz w:val="26"/>
          <w:szCs w:val="26"/>
        </w:rPr>
        <w:tab/>
      </w:r>
      <w:r>
        <w:rPr>
          <w:sz w:val="26"/>
          <w:szCs w:val="26"/>
        </w:rPr>
        <w:tab/>
      </w:r>
      <w:r w:rsidR="00994B3F">
        <w:rPr>
          <w:sz w:val="26"/>
          <w:szCs w:val="26"/>
        </w:rPr>
        <w:t xml:space="preserve">On June 25, 2018, </w:t>
      </w:r>
      <w:r w:rsidR="00373058">
        <w:rPr>
          <w:sz w:val="26"/>
          <w:szCs w:val="26"/>
        </w:rPr>
        <w:t xml:space="preserve">after Duquesne filed its general rate case with the Commission, </w:t>
      </w:r>
      <w:r w:rsidR="00994B3F">
        <w:rPr>
          <w:sz w:val="26"/>
          <w:szCs w:val="26"/>
        </w:rPr>
        <w:t>Duquesne entered into a Memorandum of Understanding (MOU)</w:t>
      </w:r>
      <w:r>
        <w:rPr>
          <w:rStyle w:val="FootnoteReference"/>
          <w:sz w:val="26"/>
          <w:szCs w:val="26"/>
        </w:rPr>
        <w:footnoteReference w:id="17"/>
      </w:r>
      <w:r w:rsidR="00994B3F">
        <w:rPr>
          <w:sz w:val="26"/>
          <w:szCs w:val="26"/>
        </w:rPr>
        <w:t xml:space="preserve"> with Duquesne University, the only customer currently electing to receive service under </w:t>
      </w:r>
      <w:r w:rsidR="00BF7139">
        <w:rPr>
          <w:sz w:val="26"/>
          <w:szCs w:val="26"/>
        </w:rPr>
        <w:t>Rider</w:t>
      </w:r>
      <w:r w:rsidR="00994B3F">
        <w:rPr>
          <w:sz w:val="26"/>
          <w:szCs w:val="26"/>
        </w:rPr>
        <w:t xml:space="preserve"> No. 16.  Under the terms of the MOU, the Company and Duquesne University agreed, </w:t>
      </w:r>
      <w:r w:rsidR="00994B3F">
        <w:rPr>
          <w:sz w:val="26"/>
          <w:szCs w:val="26"/>
        </w:rPr>
        <w:lastRenderedPageBreak/>
        <w:t>subject to the Commission</w:t>
      </w:r>
      <w:r w:rsidR="001E73FA">
        <w:rPr>
          <w:sz w:val="26"/>
          <w:szCs w:val="26"/>
        </w:rPr>
        <w:t>’</w:t>
      </w:r>
      <w:r w:rsidR="00994B3F">
        <w:rPr>
          <w:sz w:val="26"/>
          <w:szCs w:val="26"/>
        </w:rPr>
        <w:t xml:space="preserve">s approval, that the University could continue to receive back-up service under the current rate of $2.50 per kW for a period of five years </w:t>
      </w:r>
      <w:r>
        <w:rPr>
          <w:sz w:val="26"/>
          <w:szCs w:val="26"/>
        </w:rPr>
        <w:t>effective</w:t>
      </w:r>
      <w:r w:rsidR="00994B3F">
        <w:rPr>
          <w:sz w:val="26"/>
          <w:szCs w:val="26"/>
        </w:rPr>
        <w:t xml:space="preserve"> January 1, 2019.  </w:t>
      </w:r>
      <w:r w:rsidR="00994B3F" w:rsidRPr="00994B3F">
        <w:rPr>
          <w:sz w:val="26"/>
          <w:szCs w:val="26"/>
        </w:rPr>
        <w:t>Duquesne I.B.</w:t>
      </w:r>
      <w:r w:rsidR="00994B3F">
        <w:rPr>
          <w:i/>
          <w:sz w:val="26"/>
          <w:szCs w:val="26"/>
        </w:rPr>
        <w:t xml:space="preserve"> </w:t>
      </w:r>
      <w:r w:rsidR="00994B3F">
        <w:rPr>
          <w:sz w:val="26"/>
          <w:szCs w:val="26"/>
        </w:rPr>
        <w:t>at 8-9.</w:t>
      </w:r>
      <w:r>
        <w:rPr>
          <w:sz w:val="26"/>
          <w:szCs w:val="26"/>
        </w:rPr>
        <w:t xml:space="preserve">  </w:t>
      </w:r>
      <w:r w:rsidR="00AA69C8">
        <w:rPr>
          <w:sz w:val="26"/>
          <w:szCs w:val="26"/>
        </w:rPr>
        <w:t xml:space="preserve">Any increases in the Back-up Service rate during that period would only apply to new </w:t>
      </w:r>
      <w:r w:rsidR="00BF7139">
        <w:rPr>
          <w:sz w:val="26"/>
          <w:szCs w:val="26"/>
        </w:rPr>
        <w:t>Rider</w:t>
      </w:r>
      <w:r w:rsidR="001F75B6">
        <w:rPr>
          <w:sz w:val="26"/>
          <w:szCs w:val="26"/>
        </w:rPr>
        <w:t xml:space="preserve"> No. 16</w:t>
      </w:r>
      <w:r w:rsidR="00AA69C8">
        <w:rPr>
          <w:sz w:val="26"/>
          <w:szCs w:val="26"/>
        </w:rPr>
        <w:t xml:space="preserve"> customers.  Duquesne St. 1-R.</w:t>
      </w:r>
    </w:p>
    <w:p w:rsidR="00AA69C8" w:rsidRDefault="00AA69C8" w:rsidP="007D3734">
      <w:pPr>
        <w:widowControl/>
        <w:spacing w:line="360" w:lineRule="auto"/>
        <w:contextualSpacing/>
        <w:rPr>
          <w:sz w:val="26"/>
          <w:szCs w:val="26"/>
        </w:rPr>
      </w:pPr>
    </w:p>
    <w:p w:rsidR="00994B3F" w:rsidRDefault="00AA69C8" w:rsidP="007D3734">
      <w:pPr>
        <w:widowControl/>
        <w:spacing w:line="360" w:lineRule="auto"/>
        <w:contextualSpacing/>
        <w:rPr>
          <w:sz w:val="26"/>
          <w:szCs w:val="26"/>
        </w:rPr>
      </w:pPr>
      <w:r>
        <w:rPr>
          <w:sz w:val="26"/>
          <w:szCs w:val="26"/>
        </w:rPr>
        <w:tab/>
      </w:r>
      <w:r>
        <w:rPr>
          <w:sz w:val="26"/>
          <w:szCs w:val="26"/>
        </w:rPr>
        <w:tab/>
        <w:t>Duquesne provide</w:t>
      </w:r>
      <w:r w:rsidR="00B10627">
        <w:rPr>
          <w:sz w:val="26"/>
          <w:szCs w:val="26"/>
        </w:rPr>
        <w:t>d</w:t>
      </w:r>
      <w:r>
        <w:rPr>
          <w:sz w:val="26"/>
          <w:szCs w:val="26"/>
        </w:rPr>
        <w:t xml:space="preserve"> that the Commission previously approved excluding existing customers with on-site generation from changes in back-up rates and charges when new, increased back-up rates and charges were proposed a</w:t>
      </w:r>
      <w:r w:rsidR="008A32AF">
        <w:rPr>
          <w:sz w:val="26"/>
          <w:szCs w:val="26"/>
        </w:rPr>
        <w:t>n</w:t>
      </w:r>
      <w:r>
        <w:rPr>
          <w:sz w:val="26"/>
          <w:szCs w:val="26"/>
        </w:rPr>
        <w:t xml:space="preserve">d approved for prospective application.  Duquesne I.B. at 9 (citing PECO Tariff Electric – Pa. P.U.C. No. 5, Original Page No. 68; Joint </w:t>
      </w:r>
      <w:r w:rsidR="00D32F46">
        <w:rPr>
          <w:sz w:val="26"/>
          <w:szCs w:val="26"/>
        </w:rPr>
        <w:t xml:space="preserve">Settlement </w:t>
      </w:r>
      <w:r>
        <w:rPr>
          <w:sz w:val="26"/>
          <w:szCs w:val="26"/>
        </w:rPr>
        <w:t>Petition, Appendix D, p. 4 at Docket No. R-2015-2468981).</w:t>
      </w:r>
    </w:p>
    <w:p w:rsidR="00524B23" w:rsidRPr="00875B70" w:rsidRDefault="00524B23" w:rsidP="007D3734">
      <w:pPr>
        <w:widowControl/>
        <w:spacing w:line="360" w:lineRule="auto"/>
        <w:contextualSpacing/>
      </w:pPr>
    </w:p>
    <w:p w:rsidR="0053205C" w:rsidRPr="00BB4C05" w:rsidRDefault="00D61E80" w:rsidP="007D3734">
      <w:pPr>
        <w:pStyle w:val="Heading3"/>
        <w:widowControl/>
        <w:ind w:left="1440" w:hanging="720"/>
        <w:contextualSpacing/>
      </w:pPr>
      <w:bookmarkStart w:id="48" w:name="_Toc531091833"/>
      <w:bookmarkStart w:id="49" w:name="_Toc532905973"/>
      <w:r>
        <w:t>3</w:t>
      </w:r>
      <w:r w:rsidR="002D1F0F">
        <w:t>.</w:t>
      </w:r>
      <w:r w:rsidR="002D1F0F">
        <w:tab/>
      </w:r>
      <w:r w:rsidR="0053205C" w:rsidRPr="00BB4C05">
        <w:t>Positions of the Parties</w:t>
      </w:r>
      <w:bookmarkEnd w:id="48"/>
      <w:bookmarkEnd w:id="49"/>
    </w:p>
    <w:p w:rsidR="0053205C" w:rsidRDefault="0053205C" w:rsidP="007D3734">
      <w:pPr>
        <w:keepNext/>
        <w:widowControl/>
        <w:spacing w:line="360" w:lineRule="auto"/>
        <w:contextualSpacing/>
        <w:rPr>
          <w:sz w:val="26"/>
          <w:szCs w:val="26"/>
        </w:rPr>
      </w:pPr>
    </w:p>
    <w:p w:rsidR="0053205C" w:rsidRPr="00BB4C05" w:rsidRDefault="0053205C" w:rsidP="007D3734">
      <w:pPr>
        <w:pStyle w:val="Heading4"/>
        <w:contextualSpacing/>
      </w:pPr>
      <w:r>
        <w:tab/>
      </w:r>
      <w:r>
        <w:tab/>
      </w:r>
      <w:r w:rsidRPr="00BB4C05">
        <w:t>a.</w:t>
      </w:r>
      <w:r w:rsidRPr="00BB4C05">
        <w:tab/>
      </w:r>
      <w:r w:rsidR="00967140">
        <w:t>Duquesne</w:t>
      </w:r>
      <w:r w:rsidR="001E73FA">
        <w:t>’</w:t>
      </w:r>
      <w:r w:rsidR="00967140">
        <w:t>s</w:t>
      </w:r>
      <w:r w:rsidRPr="00BB4C05">
        <w:t xml:space="preserve"> Position</w:t>
      </w:r>
    </w:p>
    <w:p w:rsidR="002D73B3" w:rsidRDefault="002D73B3" w:rsidP="007D3734">
      <w:pPr>
        <w:keepNext/>
        <w:widowControl/>
        <w:spacing w:line="360" w:lineRule="auto"/>
        <w:ind w:left="720" w:firstLine="720"/>
        <w:contextualSpacing/>
        <w:rPr>
          <w:sz w:val="26"/>
          <w:szCs w:val="26"/>
        </w:rPr>
      </w:pPr>
    </w:p>
    <w:p w:rsidR="00552832" w:rsidRDefault="000918C1" w:rsidP="007D3734">
      <w:pPr>
        <w:widowControl/>
        <w:spacing w:line="360" w:lineRule="auto"/>
        <w:ind w:firstLine="1440"/>
        <w:contextualSpacing/>
        <w:rPr>
          <w:rFonts w:ascii="Times New (W1)" w:hAnsi="Times New (W1)"/>
          <w:sz w:val="26"/>
        </w:rPr>
      </w:pPr>
      <w:r>
        <w:rPr>
          <w:rFonts w:ascii="Times New (W1)" w:hAnsi="Times New (W1)"/>
          <w:sz w:val="26"/>
        </w:rPr>
        <w:t>Duquesne</w:t>
      </w:r>
      <w:r w:rsidR="00552832">
        <w:rPr>
          <w:rFonts w:ascii="Times New (W1)" w:hAnsi="Times New (W1)"/>
          <w:sz w:val="26"/>
        </w:rPr>
        <w:t xml:space="preserve"> agreed to withdraw its proposed changes to </w:t>
      </w:r>
      <w:r w:rsidR="00BF7139">
        <w:rPr>
          <w:rFonts w:ascii="Times New (W1)" w:hAnsi="Times New (W1)"/>
          <w:sz w:val="26"/>
        </w:rPr>
        <w:t>Rider</w:t>
      </w:r>
      <w:r w:rsidR="001F75B6">
        <w:rPr>
          <w:rFonts w:ascii="Times New (W1)" w:hAnsi="Times New (W1)"/>
          <w:sz w:val="26"/>
        </w:rPr>
        <w:t xml:space="preserve"> No.</w:t>
      </w:r>
      <w:r w:rsidR="00214B6A">
        <w:rPr>
          <w:rFonts w:ascii="Times New (W1)" w:hAnsi="Times New (W1)"/>
          <w:sz w:val="26"/>
        </w:rPr>
        <w:t> </w:t>
      </w:r>
      <w:r w:rsidR="001F75B6">
        <w:rPr>
          <w:rFonts w:ascii="Times New (W1)" w:hAnsi="Times New (W1)"/>
          <w:sz w:val="26"/>
        </w:rPr>
        <w:t>16</w:t>
      </w:r>
      <w:r w:rsidR="00552832">
        <w:rPr>
          <w:rFonts w:ascii="Times New (W1)" w:hAnsi="Times New (W1)"/>
          <w:sz w:val="26"/>
        </w:rPr>
        <w:t xml:space="preserve"> and retain the existing rate of $2.50 per kW.  </w:t>
      </w:r>
      <w:r w:rsidR="006B555B">
        <w:rPr>
          <w:rFonts w:ascii="Times New (W1)" w:hAnsi="Times New (W1)"/>
          <w:sz w:val="26"/>
        </w:rPr>
        <w:t>Duquesne</w:t>
      </w:r>
      <w:r w:rsidR="00552832">
        <w:rPr>
          <w:rFonts w:ascii="Times New (W1)" w:hAnsi="Times New (W1)"/>
          <w:sz w:val="26"/>
        </w:rPr>
        <w:t xml:space="preserve"> note</w:t>
      </w:r>
      <w:r w:rsidR="00214B6A">
        <w:rPr>
          <w:rFonts w:ascii="Times New (W1)" w:hAnsi="Times New (W1)"/>
          <w:sz w:val="26"/>
        </w:rPr>
        <w:t>d</w:t>
      </w:r>
      <w:r w:rsidR="00552832">
        <w:rPr>
          <w:rFonts w:ascii="Times New (W1)" w:hAnsi="Times New (W1)"/>
          <w:sz w:val="26"/>
        </w:rPr>
        <w:t xml:space="preserve"> that except for certain members of DII, all parties – including the only two customers that actually elected</w:t>
      </w:r>
      <w:r w:rsidR="00214B6A">
        <w:rPr>
          <w:rFonts w:ascii="Times New (W1)" w:hAnsi="Times New (W1)"/>
          <w:sz w:val="26"/>
        </w:rPr>
        <w:t>,</w:t>
      </w:r>
      <w:r w:rsidR="00552832">
        <w:rPr>
          <w:rFonts w:ascii="Times New (W1)" w:hAnsi="Times New (W1)"/>
          <w:sz w:val="26"/>
        </w:rPr>
        <w:t xml:space="preserve"> or may elect</w:t>
      </w:r>
      <w:r w:rsidR="00214B6A">
        <w:rPr>
          <w:rFonts w:ascii="Times New (W1)" w:hAnsi="Times New (W1)"/>
          <w:sz w:val="26"/>
        </w:rPr>
        <w:t>,</w:t>
      </w:r>
      <w:r w:rsidR="00552832">
        <w:rPr>
          <w:rFonts w:ascii="Times New (W1)" w:hAnsi="Times New (W1)"/>
          <w:sz w:val="26"/>
        </w:rPr>
        <w:t xml:space="preserve"> service under </w:t>
      </w:r>
      <w:r w:rsidR="00BF7139">
        <w:rPr>
          <w:rFonts w:ascii="Times New (W1)" w:hAnsi="Times New (W1)"/>
          <w:sz w:val="26"/>
        </w:rPr>
        <w:t>Rider</w:t>
      </w:r>
      <w:r w:rsidR="001F75B6">
        <w:rPr>
          <w:rFonts w:ascii="Times New (W1)" w:hAnsi="Times New (W1)"/>
          <w:sz w:val="26"/>
        </w:rPr>
        <w:t xml:space="preserve"> No. 16</w:t>
      </w:r>
      <w:r w:rsidR="008A32AF">
        <w:rPr>
          <w:rFonts w:ascii="Times New (W1)" w:hAnsi="Times New (W1)"/>
          <w:sz w:val="26"/>
        </w:rPr>
        <w:t xml:space="preserve"> </w:t>
      </w:r>
      <w:r w:rsidR="00552832">
        <w:rPr>
          <w:rFonts w:ascii="Times New (W1)" w:hAnsi="Times New (W1)"/>
          <w:sz w:val="26"/>
        </w:rPr>
        <w:t>in the future – either support or do not oppose the Company</w:t>
      </w:r>
      <w:r w:rsidR="001E73FA">
        <w:rPr>
          <w:rFonts w:ascii="Times New (W1)" w:hAnsi="Times New (W1)"/>
          <w:sz w:val="26"/>
        </w:rPr>
        <w:t>’</w:t>
      </w:r>
      <w:r w:rsidR="00552832">
        <w:rPr>
          <w:rFonts w:ascii="Times New (W1)" w:hAnsi="Times New (W1)"/>
          <w:sz w:val="26"/>
        </w:rPr>
        <w:t xml:space="preserve">s decision to maintain the existing </w:t>
      </w:r>
      <w:r w:rsidR="00BF7139">
        <w:rPr>
          <w:rFonts w:ascii="Times New (W1)" w:hAnsi="Times New (W1)"/>
          <w:sz w:val="26"/>
        </w:rPr>
        <w:t>Rider</w:t>
      </w:r>
      <w:r w:rsidR="001F75B6">
        <w:rPr>
          <w:rFonts w:ascii="Times New (W1)" w:hAnsi="Times New (W1)"/>
          <w:sz w:val="26"/>
        </w:rPr>
        <w:t xml:space="preserve"> No. 16</w:t>
      </w:r>
      <w:r w:rsidR="00552832">
        <w:rPr>
          <w:rFonts w:ascii="Times New (W1)" w:hAnsi="Times New (W1)"/>
          <w:sz w:val="26"/>
        </w:rPr>
        <w:t xml:space="preserve"> r</w:t>
      </w:r>
      <w:r w:rsidR="006B555B">
        <w:rPr>
          <w:rFonts w:ascii="Times New (W1)" w:hAnsi="Times New (W1)"/>
          <w:sz w:val="26"/>
        </w:rPr>
        <w:t>a</w:t>
      </w:r>
      <w:r w:rsidR="00552832">
        <w:rPr>
          <w:rFonts w:ascii="Times New (W1)" w:hAnsi="Times New (W1)"/>
          <w:sz w:val="26"/>
        </w:rPr>
        <w:t xml:space="preserve">te at $2.50 per kW as applied to back-up contract demand.  </w:t>
      </w:r>
      <w:r w:rsidR="006B555B">
        <w:rPr>
          <w:rFonts w:ascii="Times New (W1)" w:hAnsi="Times New (W1)"/>
          <w:sz w:val="26"/>
        </w:rPr>
        <w:t xml:space="preserve">Duquesne </w:t>
      </w:r>
      <w:r w:rsidR="00214B6A">
        <w:rPr>
          <w:rFonts w:ascii="Times New (W1)" w:hAnsi="Times New (W1)"/>
          <w:sz w:val="26"/>
        </w:rPr>
        <w:t>averred</w:t>
      </w:r>
      <w:r w:rsidR="006B555B">
        <w:rPr>
          <w:rFonts w:ascii="Times New (W1)" w:hAnsi="Times New (W1)"/>
          <w:sz w:val="26"/>
        </w:rPr>
        <w:t xml:space="preserve"> that the existing </w:t>
      </w:r>
      <w:r w:rsidR="00BF7139">
        <w:rPr>
          <w:rFonts w:ascii="Times New (W1)" w:hAnsi="Times New (W1)"/>
          <w:sz w:val="26"/>
        </w:rPr>
        <w:t>Rider</w:t>
      </w:r>
      <w:r w:rsidR="001F75B6">
        <w:rPr>
          <w:rFonts w:ascii="Times New (W1)" w:hAnsi="Times New (W1)"/>
          <w:sz w:val="26"/>
        </w:rPr>
        <w:t xml:space="preserve"> No. 16</w:t>
      </w:r>
      <w:r w:rsidR="000B716C">
        <w:rPr>
          <w:rFonts w:ascii="Times New (W1)" w:hAnsi="Times New (W1)"/>
          <w:sz w:val="26"/>
        </w:rPr>
        <w:t>,</w:t>
      </w:r>
      <w:r w:rsidR="006B555B">
        <w:rPr>
          <w:rFonts w:ascii="Times New (W1)" w:hAnsi="Times New (W1)"/>
          <w:sz w:val="26"/>
        </w:rPr>
        <w:t xml:space="preserve"> together with the valuable option customer-generators retain to take general service without </w:t>
      </w:r>
      <w:r w:rsidR="00BF7139">
        <w:rPr>
          <w:rFonts w:ascii="Times New (W1)" w:hAnsi="Times New (W1)"/>
          <w:sz w:val="26"/>
        </w:rPr>
        <w:t>Rider</w:t>
      </w:r>
      <w:r w:rsidR="001F75B6">
        <w:rPr>
          <w:rFonts w:ascii="Times New (W1)" w:hAnsi="Times New (W1)"/>
          <w:sz w:val="26"/>
        </w:rPr>
        <w:t xml:space="preserve"> No. 16</w:t>
      </w:r>
      <w:r w:rsidR="006B555B">
        <w:rPr>
          <w:rFonts w:ascii="Times New (W1)" w:hAnsi="Times New (W1)"/>
          <w:sz w:val="26"/>
        </w:rPr>
        <w:t>, allow such customers to avoid significant transmission and distribution charges.  Duquesne note</w:t>
      </w:r>
      <w:r w:rsidR="00C279F4">
        <w:rPr>
          <w:rFonts w:ascii="Times New (W1)" w:hAnsi="Times New (W1)"/>
          <w:sz w:val="26"/>
        </w:rPr>
        <w:t>d</w:t>
      </w:r>
      <w:r w:rsidR="006B555B">
        <w:rPr>
          <w:rFonts w:ascii="Times New (W1)" w:hAnsi="Times New (W1)"/>
          <w:sz w:val="26"/>
        </w:rPr>
        <w:t xml:space="preserve"> that unlike other Pennsylvania electric distribution companies, </w:t>
      </w:r>
      <w:r w:rsidR="000B716C">
        <w:rPr>
          <w:rFonts w:ascii="Times New (W1)" w:hAnsi="Times New (W1)"/>
          <w:sz w:val="26"/>
        </w:rPr>
        <w:t>it a</w:t>
      </w:r>
      <w:r w:rsidR="006B555B">
        <w:rPr>
          <w:rFonts w:ascii="Times New (W1)" w:hAnsi="Times New (W1)"/>
          <w:sz w:val="26"/>
        </w:rPr>
        <w:t xml:space="preserve">llows customers the flexibility to choose whichever option a customer might prefer.  According to Duquesne, </w:t>
      </w:r>
      <w:r w:rsidR="00BF7139">
        <w:rPr>
          <w:rFonts w:ascii="Times New (W1)" w:hAnsi="Times New (W1)"/>
          <w:sz w:val="26"/>
        </w:rPr>
        <w:t>Rider</w:t>
      </w:r>
      <w:r w:rsidR="001F75B6">
        <w:rPr>
          <w:rFonts w:ascii="Times New (W1)" w:hAnsi="Times New (W1)"/>
          <w:sz w:val="26"/>
        </w:rPr>
        <w:t xml:space="preserve"> No. 16</w:t>
      </w:r>
      <w:r w:rsidR="006B555B">
        <w:rPr>
          <w:rFonts w:ascii="Times New (W1)" w:hAnsi="Times New (W1)"/>
          <w:sz w:val="26"/>
        </w:rPr>
        <w:t xml:space="preserve"> is an option that may be very attractive to </w:t>
      </w:r>
      <w:r w:rsidR="002A049C">
        <w:rPr>
          <w:rFonts w:ascii="Times New (W1)" w:hAnsi="Times New (W1)"/>
          <w:sz w:val="26"/>
        </w:rPr>
        <w:t xml:space="preserve">an </w:t>
      </w:r>
      <w:r w:rsidR="006B555B">
        <w:rPr>
          <w:rFonts w:ascii="Times New (W1)" w:hAnsi="Times New (W1)"/>
          <w:sz w:val="26"/>
        </w:rPr>
        <w:t xml:space="preserve">eligible customer depending on the characteristics of </w:t>
      </w:r>
      <w:r w:rsidR="002A049C">
        <w:rPr>
          <w:rFonts w:ascii="Times New (W1)" w:hAnsi="Times New (W1)"/>
          <w:sz w:val="26"/>
        </w:rPr>
        <w:t>its</w:t>
      </w:r>
      <w:r w:rsidR="006B555B">
        <w:rPr>
          <w:rFonts w:ascii="Times New (W1)" w:hAnsi="Times New (W1)"/>
          <w:sz w:val="26"/>
        </w:rPr>
        <w:t xml:space="preserve"> on-site generation, how the</w:t>
      </w:r>
      <w:r w:rsidR="002A049C">
        <w:rPr>
          <w:rFonts w:ascii="Times New (W1)" w:hAnsi="Times New (W1)"/>
          <w:sz w:val="26"/>
        </w:rPr>
        <w:t xml:space="preserve"> customer</w:t>
      </w:r>
      <w:r w:rsidR="006B555B">
        <w:rPr>
          <w:rFonts w:ascii="Times New (W1)" w:hAnsi="Times New (W1)"/>
          <w:sz w:val="26"/>
        </w:rPr>
        <w:t xml:space="preserve"> choose</w:t>
      </w:r>
      <w:r w:rsidR="002A049C">
        <w:rPr>
          <w:rFonts w:ascii="Times New (W1)" w:hAnsi="Times New (W1)"/>
          <w:sz w:val="26"/>
        </w:rPr>
        <w:t>s</w:t>
      </w:r>
      <w:r w:rsidR="006B555B">
        <w:rPr>
          <w:rFonts w:ascii="Times New (W1)" w:hAnsi="Times New (W1)"/>
          <w:sz w:val="26"/>
        </w:rPr>
        <w:t xml:space="preserve"> to operate </w:t>
      </w:r>
      <w:r w:rsidR="002A049C">
        <w:rPr>
          <w:rFonts w:ascii="Times New (W1)" w:hAnsi="Times New (W1)"/>
          <w:sz w:val="26"/>
        </w:rPr>
        <w:t>its</w:t>
      </w:r>
      <w:r w:rsidR="006B555B">
        <w:rPr>
          <w:rFonts w:ascii="Times New (W1)" w:hAnsi="Times New (W1)"/>
          <w:sz w:val="26"/>
        </w:rPr>
        <w:t xml:space="preserve"> on-site generation, differences in charges under </w:t>
      </w:r>
      <w:r w:rsidR="00BF7139">
        <w:rPr>
          <w:rFonts w:ascii="Times New (W1)" w:hAnsi="Times New (W1)"/>
          <w:sz w:val="26"/>
        </w:rPr>
        <w:t>Rider</w:t>
      </w:r>
      <w:r w:rsidR="001F75B6">
        <w:rPr>
          <w:rFonts w:ascii="Times New (W1)" w:hAnsi="Times New (W1)"/>
          <w:sz w:val="26"/>
        </w:rPr>
        <w:t xml:space="preserve"> No. 16</w:t>
      </w:r>
      <w:r w:rsidR="006B555B">
        <w:rPr>
          <w:rFonts w:ascii="Times New (W1)" w:hAnsi="Times New (W1)"/>
          <w:sz w:val="26"/>
        </w:rPr>
        <w:t xml:space="preserve"> versus charges in </w:t>
      </w:r>
      <w:r w:rsidR="006B555B">
        <w:rPr>
          <w:rFonts w:ascii="Times New (W1)" w:hAnsi="Times New (W1)"/>
          <w:sz w:val="26"/>
        </w:rPr>
        <w:lastRenderedPageBreak/>
        <w:t>the customer</w:t>
      </w:r>
      <w:r w:rsidR="001E73FA">
        <w:rPr>
          <w:rFonts w:ascii="Times New (W1)" w:hAnsi="Times New (W1)"/>
          <w:sz w:val="26"/>
        </w:rPr>
        <w:t>’</w:t>
      </w:r>
      <w:r w:rsidR="006B555B">
        <w:rPr>
          <w:rFonts w:ascii="Times New (W1)" w:hAnsi="Times New (W1)"/>
          <w:sz w:val="26"/>
        </w:rPr>
        <w:t>s applicable rate schedules, and the customer</w:t>
      </w:r>
      <w:r w:rsidR="001E73FA">
        <w:rPr>
          <w:rFonts w:ascii="Times New (W1)" w:hAnsi="Times New (W1)"/>
          <w:sz w:val="26"/>
        </w:rPr>
        <w:t>’</w:t>
      </w:r>
      <w:r w:rsidR="006B555B">
        <w:rPr>
          <w:rFonts w:ascii="Times New (W1)" w:hAnsi="Times New (W1)"/>
          <w:sz w:val="26"/>
        </w:rPr>
        <w:t>s load characteristics.  D</w:t>
      </w:r>
      <w:r w:rsidR="008E6371">
        <w:rPr>
          <w:rFonts w:ascii="Times New (W1)" w:hAnsi="Times New (W1)"/>
          <w:sz w:val="26"/>
        </w:rPr>
        <w:t>uquesne</w:t>
      </w:r>
      <w:r w:rsidR="006B555B">
        <w:rPr>
          <w:rFonts w:ascii="Times New (W1)" w:hAnsi="Times New (W1)"/>
          <w:sz w:val="26"/>
        </w:rPr>
        <w:t xml:space="preserve"> I.B. at</w:t>
      </w:r>
      <w:r w:rsidR="002A049C">
        <w:rPr>
          <w:rFonts w:ascii="Times New (W1)" w:hAnsi="Times New (W1)"/>
          <w:sz w:val="26"/>
        </w:rPr>
        <w:t> </w:t>
      </w:r>
      <w:r w:rsidR="006B555B">
        <w:rPr>
          <w:rFonts w:ascii="Times New (W1)" w:hAnsi="Times New (W1)"/>
          <w:sz w:val="26"/>
        </w:rPr>
        <w:t>13</w:t>
      </w:r>
      <w:r w:rsidR="002A049C">
        <w:rPr>
          <w:rFonts w:ascii="Times New (W1)" w:hAnsi="Times New (W1)"/>
          <w:sz w:val="26"/>
        </w:rPr>
        <w:noBreakHyphen/>
      </w:r>
      <w:r w:rsidR="006B555B">
        <w:rPr>
          <w:rFonts w:ascii="Times New (W1)" w:hAnsi="Times New (W1)"/>
          <w:sz w:val="26"/>
        </w:rPr>
        <w:t>14 (citing D</w:t>
      </w:r>
      <w:r w:rsidR="008E6371">
        <w:rPr>
          <w:rFonts w:ascii="Times New (W1)" w:hAnsi="Times New (W1)"/>
          <w:sz w:val="26"/>
        </w:rPr>
        <w:t>uquesne</w:t>
      </w:r>
      <w:r w:rsidR="006B555B">
        <w:rPr>
          <w:rFonts w:ascii="Times New (W1)" w:hAnsi="Times New (W1)"/>
          <w:sz w:val="26"/>
        </w:rPr>
        <w:t xml:space="preserve"> St. 16-R at 19-24, Duquesne St. 16-RJ at 11-12, 17; OSBA St. 1-R at 6).</w:t>
      </w:r>
    </w:p>
    <w:p w:rsidR="00552832" w:rsidRDefault="00552832" w:rsidP="007D3734">
      <w:pPr>
        <w:widowControl/>
        <w:spacing w:line="360" w:lineRule="auto"/>
        <w:ind w:firstLine="1440"/>
        <w:contextualSpacing/>
        <w:rPr>
          <w:rFonts w:ascii="Times New (W1)" w:hAnsi="Times New (W1)"/>
          <w:sz w:val="26"/>
        </w:rPr>
      </w:pPr>
    </w:p>
    <w:p w:rsidR="0053205C" w:rsidRPr="00372A35" w:rsidRDefault="0053205C" w:rsidP="007D3734">
      <w:pPr>
        <w:pStyle w:val="Heading4"/>
        <w:keepLines/>
        <w:contextualSpacing/>
      </w:pPr>
      <w:r>
        <w:tab/>
      </w:r>
      <w:r>
        <w:tab/>
        <w:t>b</w:t>
      </w:r>
      <w:r w:rsidRPr="00372A35">
        <w:t>.</w:t>
      </w:r>
      <w:r w:rsidRPr="00372A35">
        <w:tab/>
      </w:r>
      <w:r w:rsidR="000F1780">
        <w:t>DII</w:t>
      </w:r>
      <w:r w:rsidR="001E73FA">
        <w:t>’</w:t>
      </w:r>
      <w:r>
        <w:t>s</w:t>
      </w:r>
      <w:r w:rsidRPr="00372A35">
        <w:t xml:space="preserve"> Position</w:t>
      </w:r>
    </w:p>
    <w:p w:rsidR="00BB05CE" w:rsidRDefault="00BB05CE" w:rsidP="007D3734">
      <w:pPr>
        <w:keepNext/>
        <w:keepLines/>
        <w:widowControl/>
        <w:autoSpaceDE w:val="0"/>
        <w:autoSpaceDN w:val="0"/>
        <w:adjustRightInd w:val="0"/>
        <w:spacing w:line="360" w:lineRule="auto"/>
        <w:ind w:left="720" w:firstLine="720"/>
        <w:contextualSpacing/>
        <w:rPr>
          <w:sz w:val="26"/>
          <w:szCs w:val="26"/>
        </w:rPr>
      </w:pPr>
    </w:p>
    <w:p w:rsidR="00D94BE5" w:rsidRDefault="00BB05CE" w:rsidP="007D3734">
      <w:pPr>
        <w:widowControl/>
        <w:autoSpaceDE w:val="0"/>
        <w:autoSpaceDN w:val="0"/>
        <w:adjustRightInd w:val="0"/>
        <w:spacing w:line="360" w:lineRule="auto"/>
        <w:contextualSpacing/>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r>
      <w:r w:rsidR="000F1780">
        <w:rPr>
          <w:rFonts w:ascii="TimesNewRomanPSMT" w:eastAsiaTheme="minorHAnsi" w:hAnsi="TimesNewRomanPSMT" w:cs="TimesNewRomanPSMT"/>
          <w:sz w:val="26"/>
          <w:szCs w:val="26"/>
        </w:rPr>
        <w:t>DII</w:t>
      </w:r>
      <w:r w:rsidR="001D51AA">
        <w:rPr>
          <w:rFonts w:ascii="TimesNewRomanPSMT" w:eastAsiaTheme="minorHAnsi" w:hAnsi="TimesNewRomanPSMT" w:cs="TimesNewRomanPSMT"/>
          <w:sz w:val="26"/>
          <w:szCs w:val="26"/>
        </w:rPr>
        <w:t xml:space="preserve"> state</w:t>
      </w:r>
      <w:r w:rsidR="00C279F4">
        <w:rPr>
          <w:rFonts w:ascii="TimesNewRomanPSMT" w:eastAsiaTheme="minorHAnsi" w:hAnsi="TimesNewRomanPSMT" w:cs="TimesNewRomanPSMT"/>
          <w:sz w:val="26"/>
          <w:szCs w:val="26"/>
        </w:rPr>
        <w:t>d</w:t>
      </w:r>
      <w:r w:rsidR="001D51AA">
        <w:rPr>
          <w:rFonts w:ascii="TimesNewRomanPSMT" w:eastAsiaTheme="minorHAnsi" w:hAnsi="TimesNewRomanPSMT" w:cs="TimesNewRomanPSMT"/>
          <w:sz w:val="26"/>
          <w:szCs w:val="26"/>
        </w:rPr>
        <w:t xml:space="preserve"> that CHP generation projects are often sized based on the account</w:t>
      </w:r>
      <w:r w:rsidR="001E73FA">
        <w:rPr>
          <w:rFonts w:ascii="TimesNewRomanPSMT" w:eastAsiaTheme="minorHAnsi" w:hAnsi="TimesNewRomanPSMT" w:cs="TimesNewRomanPSMT"/>
          <w:sz w:val="26"/>
          <w:szCs w:val="26"/>
        </w:rPr>
        <w:t>’</w:t>
      </w:r>
      <w:r w:rsidR="001D51AA">
        <w:rPr>
          <w:rFonts w:ascii="TimesNewRomanPSMT" w:eastAsiaTheme="minorHAnsi" w:hAnsi="TimesNewRomanPSMT" w:cs="TimesNewRomanPSMT"/>
          <w:sz w:val="26"/>
          <w:szCs w:val="26"/>
        </w:rPr>
        <w:t xml:space="preserve">s thermal load requirements, not the electrical load requirements.  According to </w:t>
      </w:r>
      <w:r w:rsidR="000F1780">
        <w:rPr>
          <w:rFonts w:ascii="TimesNewRomanPSMT" w:eastAsiaTheme="minorHAnsi" w:hAnsi="TimesNewRomanPSMT" w:cs="TimesNewRomanPSMT"/>
          <w:sz w:val="26"/>
          <w:szCs w:val="26"/>
        </w:rPr>
        <w:t>DII</w:t>
      </w:r>
      <w:r w:rsidR="001D51AA">
        <w:rPr>
          <w:rFonts w:ascii="TimesNewRomanPSMT" w:eastAsiaTheme="minorHAnsi" w:hAnsi="TimesNewRomanPSMT" w:cs="TimesNewRomanPSMT"/>
          <w:sz w:val="26"/>
          <w:szCs w:val="26"/>
        </w:rPr>
        <w:t>, this factor makes the rates</w:t>
      </w:r>
      <w:r w:rsidR="00B3217A">
        <w:rPr>
          <w:rFonts w:ascii="TimesNewRomanPSMT" w:eastAsiaTheme="minorHAnsi" w:hAnsi="TimesNewRomanPSMT" w:cs="TimesNewRomanPSMT"/>
          <w:sz w:val="26"/>
          <w:szCs w:val="26"/>
        </w:rPr>
        <w:t>,</w:t>
      </w:r>
      <w:r w:rsidR="001D51AA">
        <w:rPr>
          <w:rFonts w:ascii="TimesNewRomanPSMT" w:eastAsiaTheme="minorHAnsi" w:hAnsi="TimesNewRomanPSMT" w:cs="TimesNewRomanPSMT"/>
          <w:sz w:val="26"/>
          <w:szCs w:val="26"/>
        </w:rPr>
        <w:t xml:space="preserve"> terms and conditions for services provided by the utility a critical aspect of the customer</w:t>
      </w:r>
      <w:r w:rsidR="001E73FA">
        <w:rPr>
          <w:rFonts w:ascii="TimesNewRomanPSMT" w:eastAsiaTheme="minorHAnsi" w:hAnsi="TimesNewRomanPSMT" w:cs="TimesNewRomanPSMT"/>
          <w:sz w:val="26"/>
          <w:szCs w:val="26"/>
        </w:rPr>
        <w:t>’</w:t>
      </w:r>
      <w:r w:rsidR="001D51AA">
        <w:rPr>
          <w:rFonts w:ascii="TimesNewRomanPSMT" w:eastAsiaTheme="minorHAnsi" w:hAnsi="TimesNewRomanPSMT" w:cs="TimesNewRomanPSMT"/>
          <w:sz w:val="26"/>
          <w:szCs w:val="26"/>
        </w:rPr>
        <w:t xml:space="preserve">s economic decision when evaluating a potential CHP project. </w:t>
      </w:r>
      <w:r w:rsidR="00A2364F">
        <w:rPr>
          <w:rFonts w:ascii="TimesNewRomanPSMT" w:eastAsiaTheme="minorHAnsi" w:hAnsi="TimesNewRomanPSMT" w:cs="TimesNewRomanPSMT"/>
          <w:sz w:val="26"/>
          <w:szCs w:val="26"/>
        </w:rPr>
        <w:t xml:space="preserve"> </w:t>
      </w:r>
      <w:r w:rsidR="000F1780">
        <w:rPr>
          <w:rFonts w:ascii="TimesNewRomanPSMT" w:eastAsiaTheme="minorHAnsi" w:hAnsi="TimesNewRomanPSMT" w:cs="TimesNewRomanPSMT"/>
          <w:sz w:val="26"/>
          <w:szCs w:val="26"/>
        </w:rPr>
        <w:t>DII</w:t>
      </w:r>
      <w:r w:rsidR="00AE69CF">
        <w:rPr>
          <w:rFonts w:ascii="TimesNewRomanPSMT" w:eastAsiaTheme="minorHAnsi" w:hAnsi="TimesNewRomanPSMT" w:cs="TimesNewRomanPSMT"/>
          <w:sz w:val="26"/>
          <w:szCs w:val="26"/>
        </w:rPr>
        <w:t xml:space="preserve"> </w:t>
      </w:r>
      <w:r w:rsidR="00884D95">
        <w:rPr>
          <w:rFonts w:ascii="TimesNewRomanPSMT" w:eastAsiaTheme="minorHAnsi" w:hAnsi="TimesNewRomanPSMT" w:cs="TimesNewRomanPSMT"/>
          <w:sz w:val="26"/>
          <w:szCs w:val="26"/>
        </w:rPr>
        <w:t>aver</w:t>
      </w:r>
      <w:r w:rsidR="00C279F4">
        <w:rPr>
          <w:rFonts w:ascii="TimesNewRomanPSMT" w:eastAsiaTheme="minorHAnsi" w:hAnsi="TimesNewRomanPSMT" w:cs="TimesNewRomanPSMT"/>
          <w:sz w:val="26"/>
          <w:szCs w:val="26"/>
        </w:rPr>
        <w:t>red</w:t>
      </w:r>
      <w:r w:rsidR="00AE69CF">
        <w:rPr>
          <w:rFonts w:ascii="TimesNewRomanPSMT" w:eastAsiaTheme="minorHAnsi" w:hAnsi="TimesNewRomanPSMT" w:cs="TimesNewRomanPSMT"/>
          <w:sz w:val="26"/>
          <w:szCs w:val="26"/>
        </w:rPr>
        <w:t xml:space="preserve"> that CHP systems typically </w:t>
      </w:r>
      <w:r w:rsidR="00234C6D">
        <w:rPr>
          <w:rFonts w:ascii="TimesNewRomanPSMT" w:eastAsiaTheme="minorHAnsi" w:hAnsi="TimesNewRomanPSMT" w:cs="TimesNewRomanPSMT"/>
          <w:sz w:val="26"/>
          <w:szCs w:val="26"/>
        </w:rPr>
        <w:t>operate</w:t>
      </w:r>
      <w:r w:rsidR="00AE69CF">
        <w:rPr>
          <w:rFonts w:ascii="TimesNewRomanPSMT" w:eastAsiaTheme="minorHAnsi" w:hAnsi="TimesNewRomanPSMT" w:cs="TimesNewRomanPSMT"/>
          <w:sz w:val="26"/>
          <w:szCs w:val="26"/>
        </w:rPr>
        <w:t xml:space="preserve"> in </w:t>
      </w:r>
      <w:r w:rsidR="00234C6D">
        <w:rPr>
          <w:rFonts w:ascii="TimesNewRomanPSMT" w:eastAsiaTheme="minorHAnsi" w:hAnsi="TimesNewRomanPSMT" w:cs="TimesNewRomanPSMT"/>
          <w:sz w:val="26"/>
          <w:szCs w:val="26"/>
        </w:rPr>
        <w:t>parallel</w:t>
      </w:r>
      <w:r w:rsidR="00AE69CF">
        <w:rPr>
          <w:rFonts w:ascii="TimesNewRomanPSMT" w:eastAsiaTheme="minorHAnsi" w:hAnsi="TimesNewRomanPSMT" w:cs="TimesNewRomanPSMT"/>
          <w:sz w:val="26"/>
          <w:szCs w:val="26"/>
        </w:rPr>
        <w:t xml:space="preserve"> with the local electric utility, and the CHP system power output is often supplemented by energy purchased from an </w:t>
      </w:r>
      <w:r w:rsidR="00234C6D">
        <w:rPr>
          <w:rFonts w:ascii="TimesNewRomanPSMT" w:eastAsiaTheme="minorHAnsi" w:hAnsi="TimesNewRomanPSMT" w:cs="TimesNewRomanPSMT"/>
          <w:sz w:val="26"/>
          <w:szCs w:val="26"/>
        </w:rPr>
        <w:t xml:space="preserve">EGS </w:t>
      </w:r>
      <w:r w:rsidR="00AE69CF">
        <w:rPr>
          <w:rFonts w:ascii="TimesNewRomanPSMT" w:eastAsiaTheme="minorHAnsi" w:hAnsi="TimesNewRomanPSMT" w:cs="TimesNewRomanPSMT"/>
          <w:sz w:val="26"/>
          <w:szCs w:val="26"/>
        </w:rPr>
        <w:t xml:space="preserve">or default service provider.  </w:t>
      </w:r>
      <w:r w:rsidR="0031180F">
        <w:rPr>
          <w:rFonts w:ascii="TimesNewRomanPSMT" w:eastAsiaTheme="minorHAnsi" w:hAnsi="TimesNewRomanPSMT" w:cs="TimesNewRomanPSMT"/>
          <w:sz w:val="26"/>
          <w:szCs w:val="26"/>
        </w:rPr>
        <w:t>DII I.B. at 5-6 (citing Peoples St. 4 at 4; DII St. 1 at 10, 12, 13, 15-16; DII St. 1-S at 24</w:t>
      </w:r>
      <w:r w:rsidR="00B3217A">
        <w:rPr>
          <w:rFonts w:ascii="TimesNewRomanPSMT" w:eastAsiaTheme="minorHAnsi" w:hAnsi="TimesNewRomanPSMT" w:cs="TimesNewRomanPSMT"/>
          <w:sz w:val="26"/>
          <w:szCs w:val="26"/>
        </w:rPr>
        <w:t>)</w:t>
      </w:r>
      <w:r w:rsidR="0031180F">
        <w:rPr>
          <w:rFonts w:ascii="TimesNewRomanPSMT" w:eastAsiaTheme="minorHAnsi" w:hAnsi="TimesNewRomanPSMT" w:cs="TimesNewRomanPSMT"/>
          <w:sz w:val="26"/>
          <w:szCs w:val="26"/>
        </w:rPr>
        <w:t xml:space="preserve">.  </w:t>
      </w:r>
    </w:p>
    <w:p w:rsidR="00EF5849" w:rsidRDefault="00EF5849" w:rsidP="007D3734">
      <w:pPr>
        <w:widowControl/>
        <w:autoSpaceDE w:val="0"/>
        <w:autoSpaceDN w:val="0"/>
        <w:adjustRightInd w:val="0"/>
        <w:spacing w:line="360" w:lineRule="auto"/>
        <w:contextualSpacing/>
        <w:rPr>
          <w:rFonts w:ascii="TimesNewRomanPSMT" w:eastAsiaTheme="minorHAnsi" w:hAnsi="TimesNewRomanPSMT" w:cs="TimesNewRomanPSMT"/>
          <w:sz w:val="26"/>
          <w:szCs w:val="26"/>
        </w:rPr>
      </w:pPr>
    </w:p>
    <w:p w:rsidR="00EF5849" w:rsidRDefault="00EF5849" w:rsidP="007D3734">
      <w:pPr>
        <w:widowControl/>
        <w:autoSpaceDE w:val="0"/>
        <w:autoSpaceDN w:val="0"/>
        <w:adjustRightInd w:val="0"/>
        <w:spacing w:line="360" w:lineRule="auto"/>
        <w:contextualSpacing/>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ab/>
      </w:r>
      <w:r>
        <w:rPr>
          <w:rFonts w:ascii="TimesNewRomanPSMT" w:eastAsiaTheme="minorHAnsi" w:hAnsi="TimesNewRomanPSMT" w:cs="TimesNewRomanPSMT"/>
          <w:sz w:val="26"/>
          <w:szCs w:val="26"/>
        </w:rPr>
        <w:tab/>
      </w:r>
      <w:r w:rsidR="000F1780">
        <w:rPr>
          <w:rFonts w:ascii="TimesNewRomanPSMT" w:eastAsiaTheme="minorHAnsi" w:hAnsi="TimesNewRomanPSMT" w:cs="TimesNewRomanPSMT"/>
          <w:sz w:val="26"/>
          <w:szCs w:val="26"/>
        </w:rPr>
        <w:t>DII</w:t>
      </w:r>
      <w:r>
        <w:rPr>
          <w:rFonts w:ascii="TimesNewRomanPSMT" w:eastAsiaTheme="minorHAnsi" w:hAnsi="TimesNewRomanPSMT" w:cs="TimesNewRomanPSMT"/>
          <w:sz w:val="26"/>
          <w:szCs w:val="26"/>
        </w:rPr>
        <w:t xml:space="preserve"> </w:t>
      </w:r>
      <w:r w:rsidR="003719EF">
        <w:rPr>
          <w:rFonts w:ascii="TimesNewRomanPSMT" w:eastAsiaTheme="minorHAnsi" w:hAnsi="TimesNewRomanPSMT" w:cs="TimesNewRomanPSMT"/>
          <w:sz w:val="26"/>
          <w:szCs w:val="26"/>
        </w:rPr>
        <w:t xml:space="preserve">stated that the back-up power rate must be calculated using a load factor or diversity adjustment, but the current 30% load factor used by Duquesne is excessive in light of the </w:t>
      </w:r>
      <w:r w:rsidR="00B3217A">
        <w:rPr>
          <w:rFonts w:ascii="TimesNewRomanPSMT" w:eastAsiaTheme="minorHAnsi" w:hAnsi="TimesNewRomanPSMT" w:cs="TimesNewRomanPSMT"/>
          <w:sz w:val="26"/>
          <w:szCs w:val="26"/>
        </w:rPr>
        <w:t>single</w:t>
      </w:r>
      <w:r w:rsidR="003719EF">
        <w:rPr>
          <w:rFonts w:ascii="TimesNewRomanPSMT" w:eastAsiaTheme="minorHAnsi" w:hAnsi="TimesNewRomanPSMT" w:cs="TimesNewRomanPSMT"/>
          <w:sz w:val="26"/>
          <w:szCs w:val="26"/>
        </w:rPr>
        <w:t xml:space="preserve"> </w:t>
      </w:r>
      <w:r w:rsidR="00BF7139">
        <w:rPr>
          <w:rFonts w:ascii="TimesNewRomanPSMT" w:eastAsiaTheme="minorHAnsi" w:hAnsi="TimesNewRomanPSMT" w:cs="TimesNewRomanPSMT"/>
          <w:sz w:val="26"/>
          <w:szCs w:val="26"/>
        </w:rPr>
        <w:t>Rider</w:t>
      </w:r>
      <w:r w:rsidR="003719EF">
        <w:rPr>
          <w:rFonts w:ascii="TimesNewRomanPSMT" w:eastAsiaTheme="minorHAnsi" w:hAnsi="TimesNewRomanPSMT" w:cs="TimesNewRomanPSMT"/>
          <w:sz w:val="26"/>
          <w:szCs w:val="26"/>
        </w:rPr>
        <w:t xml:space="preserve"> </w:t>
      </w:r>
      <w:r w:rsidR="00884D95">
        <w:rPr>
          <w:rFonts w:ascii="TimesNewRomanPSMT" w:eastAsiaTheme="minorHAnsi" w:hAnsi="TimesNewRomanPSMT" w:cs="TimesNewRomanPSMT"/>
          <w:sz w:val="26"/>
          <w:szCs w:val="26"/>
        </w:rPr>
        <w:t xml:space="preserve">No. </w:t>
      </w:r>
      <w:r w:rsidR="003719EF">
        <w:rPr>
          <w:rFonts w:ascii="TimesNewRomanPSMT" w:eastAsiaTheme="minorHAnsi" w:hAnsi="TimesNewRomanPSMT" w:cs="TimesNewRomanPSMT"/>
          <w:sz w:val="26"/>
          <w:szCs w:val="26"/>
        </w:rPr>
        <w:t>16 customer</w:t>
      </w:r>
      <w:r w:rsidR="001E73FA">
        <w:rPr>
          <w:rFonts w:ascii="TimesNewRomanPSMT" w:eastAsiaTheme="minorHAnsi" w:hAnsi="TimesNewRomanPSMT" w:cs="TimesNewRomanPSMT"/>
          <w:sz w:val="26"/>
          <w:szCs w:val="26"/>
        </w:rPr>
        <w:t>’</w:t>
      </w:r>
      <w:r w:rsidR="003719EF">
        <w:rPr>
          <w:rFonts w:ascii="TimesNewRomanPSMT" w:eastAsiaTheme="minorHAnsi" w:hAnsi="TimesNewRomanPSMT" w:cs="TimesNewRomanPSMT"/>
          <w:sz w:val="26"/>
          <w:szCs w:val="26"/>
        </w:rPr>
        <w:t xml:space="preserve">s actual unplanned outage rate of 2.5% (and other factors such as general availability statistics for CHP and other distributed generation systems).  </w:t>
      </w:r>
      <w:r w:rsidR="000F1780">
        <w:rPr>
          <w:rFonts w:ascii="TimesNewRomanPSMT" w:eastAsiaTheme="minorHAnsi" w:hAnsi="TimesNewRomanPSMT" w:cs="TimesNewRomanPSMT"/>
          <w:sz w:val="26"/>
          <w:szCs w:val="26"/>
        </w:rPr>
        <w:t>DII</w:t>
      </w:r>
      <w:r w:rsidR="003719EF">
        <w:rPr>
          <w:rFonts w:ascii="TimesNewRomanPSMT" w:eastAsiaTheme="minorHAnsi" w:hAnsi="TimesNewRomanPSMT" w:cs="TimesNewRomanPSMT"/>
          <w:sz w:val="26"/>
          <w:szCs w:val="26"/>
        </w:rPr>
        <w:t xml:space="preserve"> proposed a 5% load factor yielding a Back-up rate of $0.352 per kW and </w:t>
      </w:r>
      <w:r w:rsidR="00AF348A">
        <w:rPr>
          <w:rFonts w:ascii="TimesNewRomanPSMT" w:eastAsiaTheme="minorHAnsi" w:hAnsi="TimesNewRomanPSMT" w:cs="TimesNewRomanPSMT"/>
          <w:sz w:val="26"/>
          <w:szCs w:val="26"/>
        </w:rPr>
        <w:t>pro</w:t>
      </w:r>
      <w:r w:rsidR="00445025">
        <w:rPr>
          <w:rFonts w:ascii="TimesNewRomanPSMT" w:eastAsiaTheme="minorHAnsi" w:hAnsi="TimesNewRomanPSMT" w:cs="TimesNewRomanPSMT"/>
          <w:sz w:val="26"/>
          <w:szCs w:val="26"/>
        </w:rPr>
        <w:t>po</w:t>
      </w:r>
      <w:r w:rsidR="00AF348A">
        <w:rPr>
          <w:rFonts w:ascii="TimesNewRomanPSMT" w:eastAsiaTheme="minorHAnsi" w:hAnsi="TimesNewRomanPSMT" w:cs="TimesNewRomanPSMT"/>
          <w:sz w:val="26"/>
          <w:szCs w:val="26"/>
        </w:rPr>
        <w:t xml:space="preserve">sed </w:t>
      </w:r>
      <w:r w:rsidR="003719EF">
        <w:rPr>
          <w:rFonts w:ascii="TimesNewRomanPSMT" w:eastAsiaTheme="minorHAnsi" w:hAnsi="TimesNewRomanPSMT" w:cs="TimesNewRomanPSMT"/>
          <w:sz w:val="26"/>
          <w:szCs w:val="26"/>
        </w:rPr>
        <w:t xml:space="preserve">a </w:t>
      </w:r>
      <w:r w:rsidR="00F82437">
        <w:rPr>
          <w:rFonts w:ascii="TimesNewRomanPSMT" w:eastAsiaTheme="minorHAnsi" w:hAnsi="TimesNewRomanPSMT" w:cs="TimesNewRomanPSMT"/>
          <w:sz w:val="26"/>
          <w:szCs w:val="26"/>
        </w:rPr>
        <w:t xml:space="preserve">new </w:t>
      </w:r>
      <w:r w:rsidR="003719EF">
        <w:rPr>
          <w:rFonts w:ascii="TimesNewRomanPSMT" w:eastAsiaTheme="minorHAnsi" w:hAnsi="TimesNewRomanPSMT" w:cs="TimesNewRomanPSMT"/>
          <w:sz w:val="26"/>
          <w:szCs w:val="26"/>
        </w:rPr>
        <w:t>Maintenance rate (for planned maintenance) of $0.235 per kW.  DII I.B. at 8-9.</w:t>
      </w:r>
    </w:p>
    <w:p w:rsidR="00EF5849" w:rsidRDefault="00EF5849" w:rsidP="007D3734">
      <w:pPr>
        <w:widowControl/>
        <w:autoSpaceDE w:val="0"/>
        <w:autoSpaceDN w:val="0"/>
        <w:adjustRightInd w:val="0"/>
        <w:spacing w:line="360" w:lineRule="auto"/>
        <w:contextualSpacing/>
        <w:rPr>
          <w:rFonts w:ascii="TimesNewRomanPSMT" w:eastAsiaTheme="minorHAnsi" w:hAnsi="TimesNewRomanPSMT" w:cs="TimesNewRomanPSMT"/>
          <w:sz w:val="26"/>
          <w:szCs w:val="26"/>
        </w:rPr>
      </w:pPr>
    </w:p>
    <w:p w:rsidR="0053205C" w:rsidRPr="008229CF" w:rsidRDefault="0053205C" w:rsidP="007D3734">
      <w:pPr>
        <w:pStyle w:val="Heading3"/>
        <w:widowControl/>
        <w:ind w:left="1440" w:hanging="720"/>
        <w:contextualSpacing/>
      </w:pPr>
      <w:r>
        <w:tab/>
      </w:r>
      <w:bookmarkStart w:id="50" w:name="_Toc531091834"/>
      <w:bookmarkStart w:id="51" w:name="_Toc532905974"/>
      <w:r w:rsidR="00D61E80">
        <w:t>4</w:t>
      </w:r>
      <w:r>
        <w:t>.</w:t>
      </w:r>
      <w:r>
        <w:tab/>
        <w:t>ALJ</w:t>
      </w:r>
      <w:r w:rsidR="001E73FA">
        <w:t>’</w:t>
      </w:r>
      <w:r w:rsidRPr="008229CF">
        <w:t>s</w:t>
      </w:r>
      <w:r>
        <w:t xml:space="preserve"> Recommendation</w:t>
      </w:r>
      <w:bookmarkEnd w:id="50"/>
      <w:bookmarkEnd w:id="51"/>
    </w:p>
    <w:p w:rsidR="0053205C" w:rsidRDefault="0053205C" w:rsidP="007D3734">
      <w:pPr>
        <w:keepNext/>
        <w:keepLines/>
        <w:widowControl/>
        <w:spacing w:line="360" w:lineRule="auto"/>
        <w:contextualSpacing/>
        <w:rPr>
          <w:sz w:val="26"/>
          <w:szCs w:val="26"/>
        </w:rPr>
      </w:pPr>
    </w:p>
    <w:p w:rsidR="007F2EE2" w:rsidRDefault="0053205C" w:rsidP="007D3734">
      <w:pPr>
        <w:widowControl/>
        <w:spacing w:line="360" w:lineRule="auto"/>
        <w:contextualSpacing/>
        <w:rPr>
          <w:sz w:val="26"/>
          <w:szCs w:val="26"/>
        </w:rPr>
      </w:pPr>
      <w:r>
        <w:rPr>
          <w:sz w:val="26"/>
          <w:szCs w:val="26"/>
        </w:rPr>
        <w:tab/>
      </w:r>
      <w:r>
        <w:rPr>
          <w:sz w:val="26"/>
          <w:szCs w:val="26"/>
        </w:rPr>
        <w:tab/>
        <w:t xml:space="preserve">The ALJ </w:t>
      </w:r>
      <w:r w:rsidR="007F2EE2">
        <w:rPr>
          <w:sz w:val="26"/>
          <w:szCs w:val="26"/>
        </w:rPr>
        <w:t xml:space="preserve">found that </w:t>
      </w:r>
      <w:r w:rsidR="00F82437">
        <w:rPr>
          <w:sz w:val="26"/>
          <w:szCs w:val="26"/>
        </w:rPr>
        <w:t xml:space="preserve">Duquesne failed to meet its burden to prove that the </w:t>
      </w:r>
      <w:r w:rsidR="00166372">
        <w:rPr>
          <w:sz w:val="26"/>
          <w:szCs w:val="26"/>
        </w:rPr>
        <w:t xml:space="preserve">present </w:t>
      </w:r>
      <w:r w:rsidR="00F82437">
        <w:rPr>
          <w:sz w:val="26"/>
          <w:szCs w:val="26"/>
        </w:rPr>
        <w:t xml:space="preserve">rate charged to customers under </w:t>
      </w:r>
      <w:r w:rsidR="00BF7139">
        <w:rPr>
          <w:sz w:val="26"/>
          <w:szCs w:val="26"/>
        </w:rPr>
        <w:t>Rider</w:t>
      </w:r>
      <w:r w:rsidR="00F82437">
        <w:rPr>
          <w:sz w:val="26"/>
          <w:szCs w:val="26"/>
        </w:rPr>
        <w:t xml:space="preserve"> No. 16 is based on facts and is just and reasonable.  The ALJ recommended that Duquesne </w:t>
      </w:r>
      <w:r w:rsidR="00166372">
        <w:rPr>
          <w:sz w:val="26"/>
          <w:szCs w:val="26"/>
        </w:rPr>
        <w:t>f</w:t>
      </w:r>
      <w:r w:rsidR="00F82437">
        <w:rPr>
          <w:sz w:val="26"/>
          <w:szCs w:val="26"/>
        </w:rPr>
        <w:t xml:space="preserve">ile a tariff </w:t>
      </w:r>
      <w:r w:rsidR="00630840">
        <w:rPr>
          <w:sz w:val="26"/>
          <w:szCs w:val="26"/>
        </w:rPr>
        <w:t xml:space="preserve">to </w:t>
      </w:r>
      <w:r w:rsidR="007F32AD">
        <w:rPr>
          <w:sz w:val="26"/>
          <w:szCs w:val="26"/>
        </w:rPr>
        <w:t xml:space="preserve">reduce the existing distribution charge </w:t>
      </w:r>
      <w:r w:rsidR="00343174">
        <w:rPr>
          <w:sz w:val="26"/>
          <w:szCs w:val="26"/>
        </w:rPr>
        <w:t xml:space="preserve">in Tariff Rider No. 16 from $2.50 to </w:t>
      </w:r>
      <w:r w:rsidR="007F32AD">
        <w:rPr>
          <w:sz w:val="26"/>
          <w:szCs w:val="26"/>
        </w:rPr>
        <w:t>$0.352</w:t>
      </w:r>
      <w:r w:rsidR="00343174">
        <w:rPr>
          <w:sz w:val="26"/>
          <w:szCs w:val="26"/>
        </w:rPr>
        <w:t>.</w:t>
      </w:r>
      <w:r w:rsidR="00F82437">
        <w:rPr>
          <w:sz w:val="26"/>
          <w:szCs w:val="26"/>
        </w:rPr>
        <w:t xml:space="preserve">  </w:t>
      </w:r>
      <w:r w:rsidR="00343174">
        <w:rPr>
          <w:sz w:val="26"/>
          <w:szCs w:val="26"/>
        </w:rPr>
        <w:t>However, t</w:t>
      </w:r>
      <w:r w:rsidR="00F82437">
        <w:rPr>
          <w:sz w:val="26"/>
          <w:szCs w:val="26"/>
        </w:rPr>
        <w:t xml:space="preserve">he ALJ was </w:t>
      </w:r>
      <w:r w:rsidR="00F82437">
        <w:rPr>
          <w:sz w:val="26"/>
          <w:szCs w:val="26"/>
        </w:rPr>
        <w:lastRenderedPageBreak/>
        <w:t xml:space="preserve">not persuaded by </w:t>
      </w:r>
      <w:r w:rsidR="000F1780">
        <w:rPr>
          <w:sz w:val="26"/>
          <w:szCs w:val="26"/>
        </w:rPr>
        <w:t>DII</w:t>
      </w:r>
      <w:r w:rsidR="001E73FA">
        <w:rPr>
          <w:sz w:val="26"/>
          <w:szCs w:val="26"/>
        </w:rPr>
        <w:t>’</w:t>
      </w:r>
      <w:r w:rsidR="00F82437">
        <w:rPr>
          <w:sz w:val="26"/>
          <w:szCs w:val="26"/>
        </w:rPr>
        <w:t xml:space="preserve">s argument that </w:t>
      </w:r>
      <w:r w:rsidR="00BF7139">
        <w:rPr>
          <w:sz w:val="26"/>
          <w:szCs w:val="26"/>
        </w:rPr>
        <w:t>Rider</w:t>
      </w:r>
      <w:r w:rsidR="00F82437">
        <w:rPr>
          <w:sz w:val="26"/>
          <w:szCs w:val="26"/>
        </w:rPr>
        <w:t xml:space="preserve"> No. 16 should be split into two rates to reflect Stand-by and Maintenance and recommended that the request by DII for the two separate rate</w:t>
      </w:r>
      <w:r w:rsidR="00B3217A">
        <w:rPr>
          <w:sz w:val="26"/>
          <w:szCs w:val="26"/>
        </w:rPr>
        <w:t>s</w:t>
      </w:r>
      <w:r w:rsidR="00F82437">
        <w:rPr>
          <w:sz w:val="26"/>
          <w:szCs w:val="26"/>
        </w:rPr>
        <w:t xml:space="preserve"> based on when in time a CHP relies on distribution service from the EDC</w:t>
      </w:r>
      <w:r w:rsidR="00630840">
        <w:rPr>
          <w:sz w:val="26"/>
          <w:szCs w:val="26"/>
        </w:rPr>
        <w:t xml:space="preserve"> be denied.</w:t>
      </w:r>
      <w:r w:rsidR="00F82437">
        <w:rPr>
          <w:sz w:val="26"/>
          <w:szCs w:val="26"/>
        </w:rPr>
        <w:t xml:space="preserve">  The ALJ found that DII should have an opportunity to put forward this argument in the next base rate </w:t>
      </w:r>
      <w:r w:rsidR="00AE172C">
        <w:rPr>
          <w:sz w:val="26"/>
          <w:szCs w:val="26"/>
        </w:rPr>
        <w:t xml:space="preserve">case </w:t>
      </w:r>
      <w:r w:rsidR="00F82437">
        <w:rPr>
          <w:sz w:val="26"/>
          <w:szCs w:val="26"/>
        </w:rPr>
        <w:t xml:space="preserve">at which time it can more fully develop </w:t>
      </w:r>
      <w:r w:rsidR="00630840">
        <w:rPr>
          <w:sz w:val="26"/>
          <w:szCs w:val="26"/>
        </w:rPr>
        <w:t xml:space="preserve">its </w:t>
      </w:r>
      <w:r w:rsidR="00F82437">
        <w:rPr>
          <w:sz w:val="26"/>
          <w:szCs w:val="26"/>
        </w:rPr>
        <w:t xml:space="preserve">contention that a separate </w:t>
      </w:r>
      <w:r w:rsidR="00B3217A">
        <w:rPr>
          <w:sz w:val="26"/>
          <w:szCs w:val="26"/>
        </w:rPr>
        <w:t xml:space="preserve">maintenance </w:t>
      </w:r>
      <w:r w:rsidR="00F82437">
        <w:rPr>
          <w:sz w:val="26"/>
          <w:szCs w:val="26"/>
        </w:rPr>
        <w:t xml:space="preserve">rate </w:t>
      </w:r>
      <w:r w:rsidR="00630840">
        <w:rPr>
          <w:sz w:val="26"/>
          <w:szCs w:val="26"/>
        </w:rPr>
        <w:t xml:space="preserve">is </w:t>
      </w:r>
      <w:r w:rsidR="00F82437">
        <w:rPr>
          <w:sz w:val="26"/>
          <w:szCs w:val="26"/>
        </w:rPr>
        <w:t xml:space="preserve">needed for distributed generation and/or CHP customers.  </w:t>
      </w:r>
      <w:r w:rsidR="007F2EE2">
        <w:rPr>
          <w:sz w:val="26"/>
          <w:szCs w:val="26"/>
        </w:rPr>
        <w:t xml:space="preserve">R.D. at </w:t>
      </w:r>
      <w:r w:rsidR="00F82437">
        <w:rPr>
          <w:sz w:val="26"/>
          <w:szCs w:val="26"/>
        </w:rPr>
        <w:t>178</w:t>
      </w:r>
      <w:r w:rsidR="007F2EE2">
        <w:rPr>
          <w:sz w:val="26"/>
          <w:szCs w:val="26"/>
        </w:rPr>
        <w:t>.</w:t>
      </w:r>
    </w:p>
    <w:p w:rsidR="007F2EE2" w:rsidRDefault="007F2EE2" w:rsidP="007D3734">
      <w:pPr>
        <w:widowControl/>
        <w:spacing w:line="360" w:lineRule="auto"/>
        <w:contextualSpacing/>
        <w:rPr>
          <w:sz w:val="26"/>
          <w:szCs w:val="26"/>
        </w:rPr>
      </w:pPr>
    </w:p>
    <w:p w:rsidR="0053205C" w:rsidRDefault="003D07BC" w:rsidP="007D3734">
      <w:pPr>
        <w:pStyle w:val="Heading3"/>
        <w:widowControl/>
        <w:ind w:left="1440" w:hanging="720"/>
        <w:contextualSpacing/>
      </w:pPr>
      <w:r>
        <w:tab/>
      </w:r>
      <w:bookmarkStart w:id="52" w:name="_Toc531091835"/>
      <w:bookmarkStart w:id="53" w:name="_Toc532905975"/>
      <w:r w:rsidR="00D61E80">
        <w:t>5</w:t>
      </w:r>
      <w:r>
        <w:t>.</w:t>
      </w:r>
      <w:r>
        <w:tab/>
      </w:r>
      <w:r w:rsidR="00D60309">
        <w:t>Duquesne</w:t>
      </w:r>
      <w:r w:rsidR="001E73FA">
        <w:t>’</w:t>
      </w:r>
      <w:r w:rsidR="00D60309">
        <w:t>s Exception No. 1 Regarding the Burden of Proof</w:t>
      </w:r>
      <w:bookmarkEnd w:id="52"/>
      <w:bookmarkEnd w:id="53"/>
    </w:p>
    <w:p w:rsidR="0053205C" w:rsidRPr="00222F6B" w:rsidRDefault="0053205C" w:rsidP="007D3734">
      <w:pPr>
        <w:keepNext/>
        <w:keepLines/>
        <w:widowControl/>
        <w:spacing w:line="360" w:lineRule="auto"/>
        <w:contextualSpacing/>
        <w:rPr>
          <w:sz w:val="26"/>
          <w:szCs w:val="26"/>
        </w:rPr>
      </w:pPr>
    </w:p>
    <w:p w:rsidR="003C113D" w:rsidRPr="003C113D" w:rsidRDefault="00F11785" w:rsidP="007D3734">
      <w:pPr>
        <w:pStyle w:val="Heading4"/>
        <w:numPr>
          <w:ilvl w:val="2"/>
          <w:numId w:val="16"/>
        </w:numPr>
        <w:ind w:left="2434"/>
      </w:pPr>
      <w:r w:rsidRPr="003C113D">
        <w:t>Duquesne</w:t>
      </w:r>
      <w:r w:rsidR="001E73FA">
        <w:t>’</w:t>
      </w:r>
      <w:r w:rsidRPr="003C113D">
        <w:t>s Exception No. 1</w:t>
      </w:r>
    </w:p>
    <w:p w:rsidR="00ED2BB3" w:rsidRPr="00F11785" w:rsidRDefault="00684784" w:rsidP="007D3734">
      <w:pPr>
        <w:pStyle w:val="ListParagraph"/>
        <w:keepNext/>
        <w:keepLines/>
        <w:widowControl/>
        <w:ind w:left="2434"/>
        <w:rPr>
          <w:sz w:val="26"/>
          <w:szCs w:val="26"/>
        </w:rPr>
      </w:pPr>
      <w:r w:rsidRPr="00F11785">
        <w:rPr>
          <w:sz w:val="26"/>
          <w:szCs w:val="26"/>
        </w:rPr>
        <w:tab/>
      </w:r>
    </w:p>
    <w:p w:rsidR="00E04A11" w:rsidRDefault="00A77E29" w:rsidP="007D3734">
      <w:pPr>
        <w:widowControl/>
        <w:spacing w:line="360" w:lineRule="auto"/>
        <w:ind w:firstLine="1440"/>
        <w:contextualSpacing/>
        <w:rPr>
          <w:sz w:val="26"/>
          <w:szCs w:val="26"/>
        </w:rPr>
      </w:pPr>
      <w:r>
        <w:rPr>
          <w:sz w:val="26"/>
          <w:szCs w:val="26"/>
        </w:rPr>
        <w:t>Duquesne</w:t>
      </w:r>
      <w:r w:rsidR="00DA56D5">
        <w:rPr>
          <w:sz w:val="26"/>
          <w:szCs w:val="26"/>
        </w:rPr>
        <w:t xml:space="preserve"> contends that </w:t>
      </w:r>
      <w:r w:rsidR="00F11785">
        <w:rPr>
          <w:sz w:val="26"/>
          <w:szCs w:val="26"/>
        </w:rPr>
        <w:t xml:space="preserve">the ALJ erred in assigning to Duquesne the burden of proof with regard to </w:t>
      </w:r>
      <w:r w:rsidR="000F1780">
        <w:rPr>
          <w:sz w:val="26"/>
          <w:szCs w:val="26"/>
        </w:rPr>
        <w:t>DII</w:t>
      </w:r>
      <w:r w:rsidR="001E73FA">
        <w:rPr>
          <w:sz w:val="26"/>
          <w:szCs w:val="26"/>
        </w:rPr>
        <w:t>’</w:t>
      </w:r>
      <w:r w:rsidR="00F11785">
        <w:rPr>
          <w:sz w:val="26"/>
          <w:szCs w:val="26"/>
        </w:rPr>
        <w:t xml:space="preserve">s proposal to reduce the existing approved </w:t>
      </w:r>
      <w:r w:rsidR="00BF7139">
        <w:rPr>
          <w:sz w:val="26"/>
          <w:szCs w:val="26"/>
        </w:rPr>
        <w:t>Rider</w:t>
      </w:r>
      <w:r w:rsidR="001F75B6">
        <w:rPr>
          <w:sz w:val="26"/>
          <w:szCs w:val="26"/>
        </w:rPr>
        <w:t xml:space="preserve"> No. 16</w:t>
      </w:r>
      <w:r w:rsidR="00F11785">
        <w:rPr>
          <w:sz w:val="26"/>
          <w:szCs w:val="26"/>
        </w:rPr>
        <w:t xml:space="preserve"> rate </w:t>
      </w:r>
      <w:r w:rsidR="00630840">
        <w:rPr>
          <w:sz w:val="26"/>
          <w:szCs w:val="26"/>
        </w:rPr>
        <w:t xml:space="preserve">from the presently tariffed rate of $2.50 </w:t>
      </w:r>
      <w:r w:rsidR="00F11785">
        <w:rPr>
          <w:sz w:val="26"/>
          <w:szCs w:val="26"/>
        </w:rPr>
        <w:t xml:space="preserve">to $0.35 per kW.  </w:t>
      </w:r>
      <w:r w:rsidR="00E643CB">
        <w:rPr>
          <w:sz w:val="26"/>
          <w:szCs w:val="26"/>
        </w:rPr>
        <w:t xml:space="preserve">Duquesne </w:t>
      </w:r>
      <w:r w:rsidR="00585838">
        <w:rPr>
          <w:sz w:val="26"/>
          <w:szCs w:val="26"/>
        </w:rPr>
        <w:t xml:space="preserve">avers that the ALJ accepted </w:t>
      </w:r>
      <w:r w:rsidR="000F1780">
        <w:rPr>
          <w:sz w:val="26"/>
          <w:szCs w:val="26"/>
        </w:rPr>
        <w:t>DII</w:t>
      </w:r>
      <w:r w:rsidR="001E73FA">
        <w:rPr>
          <w:sz w:val="26"/>
          <w:szCs w:val="26"/>
        </w:rPr>
        <w:t>’</w:t>
      </w:r>
      <w:r w:rsidR="00585838">
        <w:rPr>
          <w:sz w:val="26"/>
          <w:szCs w:val="26"/>
        </w:rPr>
        <w:t xml:space="preserve">s position because she believed that the Company did not </w:t>
      </w:r>
      <w:r w:rsidR="001E73FA">
        <w:rPr>
          <w:sz w:val="26"/>
          <w:szCs w:val="26"/>
        </w:rPr>
        <w:t>“</w:t>
      </w:r>
      <w:r w:rsidR="00585838">
        <w:rPr>
          <w:sz w:val="26"/>
          <w:szCs w:val="26"/>
        </w:rPr>
        <w:t xml:space="preserve">meet its burden of proof that the rate charged to customers under </w:t>
      </w:r>
      <w:r w:rsidR="00BF7139">
        <w:rPr>
          <w:sz w:val="26"/>
          <w:szCs w:val="26"/>
        </w:rPr>
        <w:t>Rider</w:t>
      </w:r>
      <w:r w:rsidR="00585838">
        <w:rPr>
          <w:sz w:val="26"/>
          <w:szCs w:val="26"/>
        </w:rPr>
        <w:t xml:space="preserve"> No. 16 is based on facts and is just and reasonable.</w:t>
      </w:r>
      <w:r w:rsidR="001E73FA">
        <w:rPr>
          <w:sz w:val="26"/>
          <w:szCs w:val="26"/>
        </w:rPr>
        <w:t>”</w:t>
      </w:r>
      <w:r w:rsidR="00585838">
        <w:rPr>
          <w:sz w:val="26"/>
          <w:szCs w:val="26"/>
        </w:rPr>
        <w:t xml:space="preserve">  Duquesne notes that the ALJ made this finding notwithstanding the extensive evidence </w:t>
      </w:r>
      <w:r w:rsidR="00E46E4A">
        <w:rPr>
          <w:sz w:val="26"/>
          <w:szCs w:val="26"/>
        </w:rPr>
        <w:t>it p</w:t>
      </w:r>
      <w:r w:rsidR="00585838">
        <w:rPr>
          <w:sz w:val="26"/>
          <w:szCs w:val="26"/>
        </w:rPr>
        <w:t>resented</w:t>
      </w:r>
      <w:r w:rsidR="00E46E4A">
        <w:rPr>
          <w:sz w:val="26"/>
          <w:szCs w:val="26"/>
        </w:rPr>
        <w:t xml:space="preserve"> including </w:t>
      </w:r>
      <w:r w:rsidR="00585838">
        <w:rPr>
          <w:sz w:val="26"/>
          <w:szCs w:val="26"/>
        </w:rPr>
        <w:t>the testimony of OSBA witness Kalcic (not mentioned in the R.D.)</w:t>
      </w:r>
      <w:r w:rsidR="00E46E4A">
        <w:rPr>
          <w:sz w:val="26"/>
          <w:szCs w:val="26"/>
        </w:rPr>
        <w:t xml:space="preserve">, the </w:t>
      </w:r>
      <w:r w:rsidR="00585838">
        <w:rPr>
          <w:sz w:val="26"/>
          <w:szCs w:val="26"/>
        </w:rPr>
        <w:t>Commission</w:t>
      </w:r>
      <w:r w:rsidR="001E73FA">
        <w:rPr>
          <w:sz w:val="26"/>
          <w:szCs w:val="26"/>
        </w:rPr>
        <w:t>’</w:t>
      </w:r>
      <w:r w:rsidR="00585838">
        <w:rPr>
          <w:sz w:val="26"/>
          <w:szCs w:val="26"/>
        </w:rPr>
        <w:t xml:space="preserve">s approval of the existing </w:t>
      </w:r>
      <w:r w:rsidR="00BF7139">
        <w:rPr>
          <w:sz w:val="26"/>
          <w:szCs w:val="26"/>
        </w:rPr>
        <w:t>Rider</w:t>
      </w:r>
      <w:r w:rsidR="001F75B6">
        <w:rPr>
          <w:sz w:val="26"/>
          <w:szCs w:val="26"/>
        </w:rPr>
        <w:t xml:space="preserve"> No. 16</w:t>
      </w:r>
      <w:r w:rsidR="00585838">
        <w:rPr>
          <w:sz w:val="26"/>
          <w:szCs w:val="26"/>
        </w:rPr>
        <w:t xml:space="preserve"> rate in Duquesne</w:t>
      </w:r>
      <w:r w:rsidR="001E73FA">
        <w:rPr>
          <w:sz w:val="26"/>
          <w:szCs w:val="26"/>
        </w:rPr>
        <w:t>’</w:t>
      </w:r>
      <w:r w:rsidR="00585838">
        <w:rPr>
          <w:sz w:val="26"/>
          <w:szCs w:val="26"/>
        </w:rPr>
        <w:t>s last base rate case</w:t>
      </w:r>
      <w:r w:rsidR="00E46E4A">
        <w:rPr>
          <w:sz w:val="26"/>
          <w:szCs w:val="26"/>
        </w:rPr>
        <w:t xml:space="preserve">, and </w:t>
      </w:r>
      <w:r w:rsidR="00585838">
        <w:rPr>
          <w:sz w:val="26"/>
          <w:szCs w:val="26"/>
        </w:rPr>
        <w:t xml:space="preserve">the fact that the existing rate is </w:t>
      </w:r>
      <w:r w:rsidR="00E46E4A">
        <w:rPr>
          <w:sz w:val="26"/>
          <w:szCs w:val="26"/>
        </w:rPr>
        <w:t xml:space="preserve">unopposed </w:t>
      </w:r>
      <w:r w:rsidR="00585838">
        <w:rPr>
          <w:sz w:val="26"/>
          <w:szCs w:val="26"/>
        </w:rPr>
        <w:t xml:space="preserve">by the only current </w:t>
      </w:r>
      <w:r w:rsidR="00BF7139">
        <w:rPr>
          <w:sz w:val="26"/>
          <w:szCs w:val="26"/>
        </w:rPr>
        <w:t>Rider</w:t>
      </w:r>
      <w:r w:rsidR="001F75B6">
        <w:rPr>
          <w:sz w:val="26"/>
          <w:szCs w:val="26"/>
        </w:rPr>
        <w:t xml:space="preserve"> No. 16</w:t>
      </w:r>
      <w:r w:rsidR="00585838">
        <w:rPr>
          <w:sz w:val="26"/>
          <w:szCs w:val="26"/>
        </w:rPr>
        <w:t xml:space="preserve"> customer</w:t>
      </w:r>
      <w:r w:rsidR="0089595C">
        <w:rPr>
          <w:sz w:val="26"/>
          <w:szCs w:val="26"/>
        </w:rPr>
        <w:t xml:space="preserve"> (</w:t>
      </w:r>
      <w:r w:rsidR="000D1F47">
        <w:rPr>
          <w:i/>
          <w:sz w:val="26"/>
          <w:szCs w:val="26"/>
        </w:rPr>
        <w:t>i.e.</w:t>
      </w:r>
      <w:r w:rsidR="00E46E4A">
        <w:rPr>
          <w:sz w:val="26"/>
          <w:szCs w:val="26"/>
        </w:rPr>
        <w:t>,</w:t>
      </w:r>
      <w:r w:rsidR="000D1F47">
        <w:rPr>
          <w:i/>
          <w:sz w:val="26"/>
          <w:szCs w:val="26"/>
        </w:rPr>
        <w:t xml:space="preserve"> </w:t>
      </w:r>
      <w:r w:rsidR="00585838">
        <w:rPr>
          <w:sz w:val="26"/>
          <w:szCs w:val="26"/>
        </w:rPr>
        <w:t>Duquesne University), a</w:t>
      </w:r>
      <w:r w:rsidR="0089595C">
        <w:rPr>
          <w:sz w:val="26"/>
          <w:szCs w:val="26"/>
        </w:rPr>
        <w:t xml:space="preserve">s well as </w:t>
      </w:r>
      <w:r w:rsidR="00585838">
        <w:rPr>
          <w:sz w:val="26"/>
          <w:szCs w:val="26"/>
        </w:rPr>
        <w:t xml:space="preserve">the only customer with a CHP project that intends to apply for service under </w:t>
      </w:r>
      <w:r w:rsidR="00BF7139">
        <w:rPr>
          <w:sz w:val="26"/>
          <w:szCs w:val="26"/>
        </w:rPr>
        <w:t>Rider</w:t>
      </w:r>
      <w:r w:rsidR="001F75B6">
        <w:rPr>
          <w:sz w:val="26"/>
          <w:szCs w:val="26"/>
        </w:rPr>
        <w:t xml:space="preserve"> No. 16</w:t>
      </w:r>
      <w:r w:rsidR="00585838">
        <w:rPr>
          <w:sz w:val="26"/>
          <w:szCs w:val="26"/>
        </w:rPr>
        <w:t xml:space="preserve"> (</w:t>
      </w:r>
      <w:r w:rsidR="000D1F47">
        <w:rPr>
          <w:i/>
          <w:sz w:val="26"/>
          <w:szCs w:val="26"/>
        </w:rPr>
        <w:t xml:space="preserve">i.e. </w:t>
      </w:r>
      <w:r w:rsidR="00585838">
        <w:rPr>
          <w:sz w:val="26"/>
          <w:szCs w:val="26"/>
        </w:rPr>
        <w:t>Peoples).  Duquesne Exc. at 5-6 (citing R.D. at 178).</w:t>
      </w:r>
    </w:p>
    <w:p w:rsidR="00585838" w:rsidRDefault="00585838" w:rsidP="007D3734">
      <w:pPr>
        <w:widowControl/>
        <w:spacing w:line="360" w:lineRule="auto"/>
        <w:contextualSpacing/>
        <w:rPr>
          <w:sz w:val="26"/>
          <w:szCs w:val="26"/>
        </w:rPr>
      </w:pPr>
    </w:p>
    <w:p w:rsidR="003C261C" w:rsidRDefault="00585838" w:rsidP="007D3734">
      <w:pPr>
        <w:widowControl/>
        <w:spacing w:line="360" w:lineRule="auto"/>
        <w:contextualSpacing/>
        <w:rPr>
          <w:sz w:val="26"/>
          <w:szCs w:val="26"/>
        </w:rPr>
      </w:pPr>
      <w:r>
        <w:rPr>
          <w:sz w:val="26"/>
          <w:szCs w:val="26"/>
        </w:rPr>
        <w:tab/>
      </w:r>
      <w:r>
        <w:rPr>
          <w:sz w:val="26"/>
          <w:szCs w:val="26"/>
        </w:rPr>
        <w:tab/>
        <w:t>According to Duquesne, the ALJ i</w:t>
      </w:r>
      <w:r w:rsidR="0089595C">
        <w:rPr>
          <w:sz w:val="26"/>
          <w:szCs w:val="26"/>
        </w:rPr>
        <w:t>nappropriately</w:t>
      </w:r>
      <w:r>
        <w:rPr>
          <w:sz w:val="26"/>
          <w:szCs w:val="26"/>
        </w:rPr>
        <w:t xml:space="preserve"> assigned the burden of proof with regard to DII</w:t>
      </w:r>
      <w:r w:rsidR="001E73FA">
        <w:rPr>
          <w:sz w:val="26"/>
          <w:szCs w:val="26"/>
        </w:rPr>
        <w:t>’</w:t>
      </w:r>
      <w:r>
        <w:rPr>
          <w:sz w:val="26"/>
          <w:szCs w:val="26"/>
        </w:rPr>
        <w:t xml:space="preserve">s entirely new proposal for back-up </w:t>
      </w:r>
      <w:r w:rsidR="003C261C">
        <w:rPr>
          <w:sz w:val="26"/>
          <w:szCs w:val="26"/>
        </w:rPr>
        <w:t>service</w:t>
      </w:r>
      <w:r>
        <w:rPr>
          <w:sz w:val="26"/>
          <w:szCs w:val="26"/>
        </w:rPr>
        <w:t xml:space="preserve"> rate design</w:t>
      </w:r>
      <w:r w:rsidR="00A2472B">
        <w:rPr>
          <w:sz w:val="26"/>
          <w:szCs w:val="26"/>
        </w:rPr>
        <w:t xml:space="preserve"> to the Company</w:t>
      </w:r>
      <w:r>
        <w:rPr>
          <w:sz w:val="26"/>
          <w:szCs w:val="26"/>
        </w:rPr>
        <w:t xml:space="preserve">.  Duquesne </w:t>
      </w:r>
      <w:r w:rsidR="000561C7">
        <w:rPr>
          <w:sz w:val="26"/>
          <w:szCs w:val="26"/>
        </w:rPr>
        <w:t xml:space="preserve">asserts </w:t>
      </w:r>
      <w:r>
        <w:rPr>
          <w:sz w:val="26"/>
          <w:szCs w:val="26"/>
        </w:rPr>
        <w:t>that a new, alternative proposal ma</w:t>
      </w:r>
      <w:r w:rsidR="003C261C">
        <w:rPr>
          <w:sz w:val="26"/>
          <w:szCs w:val="26"/>
        </w:rPr>
        <w:t>d</w:t>
      </w:r>
      <w:r>
        <w:rPr>
          <w:sz w:val="26"/>
          <w:szCs w:val="26"/>
        </w:rPr>
        <w:t xml:space="preserve">e by another party cannot be adopted without requiring the </w:t>
      </w:r>
      <w:r w:rsidR="003C261C">
        <w:rPr>
          <w:sz w:val="26"/>
          <w:szCs w:val="26"/>
        </w:rPr>
        <w:t>proponent</w:t>
      </w:r>
      <w:r>
        <w:rPr>
          <w:sz w:val="26"/>
          <w:szCs w:val="26"/>
        </w:rPr>
        <w:t xml:space="preserve"> to meet the burden of showing by a </w:t>
      </w:r>
      <w:r>
        <w:rPr>
          <w:sz w:val="26"/>
          <w:szCs w:val="26"/>
        </w:rPr>
        <w:lastRenderedPageBreak/>
        <w:t>preponderance of substantial evidence that its propos</w:t>
      </w:r>
      <w:r w:rsidR="003C261C">
        <w:rPr>
          <w:sz w:val="26"/>
          <w:szCs w:val="26"/>
        </w:rPr>
        <w:t>al</w:t>
      </w:r>
      <w:r>
        <w:rPr>
          <w:sz w:val="26"/>
          <w:szCs w:val="26"/>
        </w:rPr>
        <w:t xml:space="preserve"> is </w:t>
      </w:r>
      <w:r w:rsidR="001E73FA">
        <w:rPr>
          <w:sz w:val="26"/>
          <w:szCs w:val="26"/>
        </w:rPr>
        <w:t>“</w:t>
      </w:r>
      <w:r>
        <w:rPr>
          <w:sz w:val="26"/>
          <w:szCs w:val="26"/>
        </w:rPr>
        <w:t>just and reasonable</w:t>
      </w:r>
      <w:r w:rsidR="0047612F">
        <w:rPr>
          <w:sz w:val="26"/>
          <w:szCs w:val="26"/>
        </w:rPr>
        <w:t>.</w:t>
      </w:r>
      <w:r w:rsidR="001E73FA">
        <w:rPr>
          <w:sz w:val="26"/>
          <w:szCs w:val="26"/>
        </w:rPr>
        <w:t>”</w:t>
      </w:r>
      <w:r w:rsidR="0099610E">
        <w:rPr>
          <w:rStyle w:val="FootnoteReference"/>
          <w:sz w:val="26"/>
          <w:szCs w:val="26"/>
        </w:rPr>
        <w:footnoteReference w:id="18"/>
      </w:r>
      <w:r>
        <w:rPr>
          <w:sz w:val="26"/>
          <w:szCs w:val="26"/>
        </w:rPr>
        <w:t xml:space="preserve"> </w:t>
      </w:r>
      <w:r w:rsidR="003C261C">
        <w:rPr>
          <w:sz w:val="26"/>
          <w:szCs w:val="26"/>
        </w:rPr>
        <w:t>Duquesne Exc. at 6.</w:t>
      </w:r>
    </w:p>
    <w:p w:rsidR="003C261C" w:rsidRDefault="003C261C" w:rsidP="007D3734">
      <w:pPr>
        <w:widowControl/>
        <w:spacing w:line="360" w:lineRule="auto"/>
        <w:contextualSpacing/>
        <w:rPr>
          <w:sz w:val="26"/>
          <w:szCs w:val="26"/>
        </w:rPr>
      </w:pPr>
    </w:p>
    <w:p w:rsidR="00AB0866" w:rsidRDefault="003C261C" w:rsidP="007D3734">
      <w:pPr>
        <w:widowControl/>
        <w:spacing w:line="360" w:lineRule="auto"/>
        <w:contextualSpacing/>
        <w:rPr>
          <w:sz w:val="26"/>
          <w:szCs w:val="26"/>
        </w:rPr>
      </w:pPr>
      <w:r>
        <w:rPr>
          <w:sz w:val="26"/>
          <w:szCs w:val="26"/>
        </w:rPr>
        <w:tab/>
      </w:r>
      <w:r w:rsidR="0074217A">
        <w:rPr>
          <w:sz w:val="26"/>
          <w:szCs w:val="26"/>
        </w:rPr>
        <w:tab/>
      </w:r>
      <w:r>
        <w:rPr>
          <w:sz w:val="26"/>
          <w:szCs w:val="26"/>
        </w:rPr>
        <w:t xml:space="preserve">Duquesne </w:t>
      </w:r>
      <w:r w:rsidR="00837D20">
        <w:rPr>
          <w:sz w:val="26"/>
          <w:szCs w:val="26"/>
        </w:rPr>
        <w:t xml:space="preserve">contends </w:t>
      </w:r>
      <w:r>
        <w:rPr>
          <w:sz w:val="26"/>
          <w:szCs w:val="26"/>
        </w:rPr>
        <w:t>that the Commission has repeatedly held that, while a utility has the bu</w:t>
      </w:r>
      <w:r w:rsidR="00CF4FC1">
        <w:rPr>
          <w:sz w:val="26"/>
          <w:szCs w:val="26"/>
        </w:rPr>
        <w:t>r</w:t>
      </w:r>
      <w:r>
        <w:rPr>
          <w:sz w:val="26"/>
          <w:szCs w:val="26"/>
        </w:rPr>
        <w:t>den to prove that a proposed rate (or an existing rate that is the subject of a Commission investigation) is just and reasonable, a party that advances a proposal that the utility did not include in its filing carries the burden of proof as t</w:t>
      </w:r>
      <w:r w:rsidR="00E27ABA">
        <w:rPr>
          <w:sz w:val="26"/>
          <w:szCs w:val="26"/>
        </w:rPr>
        <w:t>o</w:t>
      </w:r>
      <w:r>
        <w:rPr>
          <w:sz w:val="26"/>
          <w:szCs w:val="26"/>
        </w:rPr>
        <w:t xml:space="preserve"> that </w:t>
      </w:r>
      <w:r w:rsidR="00E27ABA">
        <w:rPr>
          <w:sz w:val="26"/>
          <w:szCs w:val="26"/>
        </w:rPr>
        <w:t>contrary</w:t>
      </w:r>
      <w:r>
        <w:rPr>
          <w:sz w:val="26"/>
          <w:szCs w:val="26"/>
        </w:rPr>
        <w:t xml:space="preserve"> proposal. </w:t>
      </w:r>
      <w:r w:rsidR="00E27ABA">
        <w:rPr>
          <w:sz w:val="26"/>
          <w:szCs w:val="26"/>
        </w:rPr>
        <w:t xml:space="preserve"> </w:t>
      </w:r>
      <w:r w:rsidR="0099610E">
        <w:rPr>
          <w:sz w:val="26"/>
          <w:szCs w:val="26"/>
        </w:rPr>
        <w:t xml:space="preserve">Duquesne </w:t>
      </w:r>
      <w:r w:rsidR="00837D20">
        <w:rPr>
          <w:sz w:val="26"/>
          <w:szCs w:val="26"/>
        </w:rPr>
        <w:t xml:space="preserve">argues </w:t>
      </w:r>
      <w:r w:rsidR="0099610E">
        <w:rPr>
          <w:sz w:val="26"/>
          <w:szCs w:val="26"/>
        </w:rPr>
        <w:t xml:space="preserve">that the authority furnished by those precedents </w:t>
      </w:r>
      <w:r w:rsidR="000671A6">
        <w:rPr>
          <w:sz w:val="26"/>
          <w:szCs w:val="26"/>
        </w:rPr>
        <w:t xml:space="preserve">and the Commission’s reaffirmation and summary of the extensive precedent on this issue in </w:t>
      </w:r>
      <w:r w:rsidR="000671A6" w:rsidRPr="0099610E">
        <w:rPr>
          <w:i/>
          <w:sz w:val="26"/>
          <w:szCs w:val="26"/>
        </w:rPr>
        <w:t>Petition of Metropolitan Edison Co.</w:t>
      </w:r>
      <w:r w:rsidR="000671A6">
        <w:rPr>
          <w:sz w:val="26"/>
          <w:szCs w:val="26"/>
        </w:rPr>
        <w:t xml:space="preserve">, </w:t>
      </w:r>
      <w:r w:rsidR="0099610E">
        <w:rPr>
          <w:sz w:val="26"/>
          <w:szCs w:val="26"/>
        </w:rPr>
        <w:t>conforms to the reasonable principle that</w:t>
      </w:r>
      <w:r w:rsidR="00837D20">
        <w:rPr>
          <w:sz w:val="26"/>
          <w:szCs w:val="26"/>
        </w:rPr>
        <w:t xml:space="preserve"> </w:t>
      </w:r>
      <w:r w:rsidR="0099610E">
        <w:rPr>
          <w:sz w:val="26"/>
          <w:szCs w:val="26"/>
        </w:rPr>
        <w:t xml:space="preserve">a party should not have to </w:t>
      </w:r>
      <w:r w:rsidR="001E73FA">
        <w:rPr>
          <w:sz w:val="26"/>
          <w:szCs w:val="26"/>
        </w:rPr>
        <w:t>“</w:t>
      </w:r>
      <w:r w:rsidR="0099610E">
        <w:rPr>
          <w:sz w:val="26"/>
          <w:szCs w:val="26"/>
        </w:rPr>
        <w:t>prove the negative.</w:t>
      </w:r>
      <w:r w:rsidR="001E73FA">
        <w:rPr>
          <w:sz w:val="26"/>
          <w:szCs w:val="26"/>
        </w:rPr>
        <w:t>”</w:t>
      </w:r>
      <w:r w:rsidR="0099610E">
        <w:rPr>
          <w:sz w:val="26"/>
          <w:szCs w:val="26"/>
        </w:rPr>
        <w:t xml:space="preserve">  Duquesne Exc. at</w:t>
      </w:r>
      <w:r w:rsidR="000671A6">
        <w:rPr>
          <w:sz w:val="26"/>
          <w:szCs w:val="26"/>
        </w:rPr>
        <w:t> </w:t>
      </w:r>
      <w:r w:rsidR="0099610E">
        <w:rPr>
          <w:sz w:val="26"/>
          <w:szCs w:val="26"/>
        </w:rPr>
        <w:t>9-10.</w:t>
      </w:r>
    </w:p>
    <w:p w:rsidR="00AB0866" w:rsidRDefault="00AB0866" w:rsidP="007D3734">
      <w:pPr>
        <w:widowControl/>
        <w:spacing w:line="360" w:lineRule="auto"/>
        <w:contextualSpacing/>
        <w:rPr>
          <w:sz w:val="26"/>
          <w:szCs w:val="26"/>
        </w:rPr>
      </w:pPr>
    </w:p>
    <w:p w:rsidR="003C113D" w:rsidRPr="003C113D" w:rsidRDefault="003C113D" w:rsidP="007D3734">
      <w:pPr>
        <w:pStyle w:val="Heading4"/>
        <w:numPr>
          <w:ilvl w:val="2"/>
          <w:numId w:val="16"/>
        </w:numPr>
        <w:ind w:left="2434"/>
      </w:pPr>
      <w:r w:rsidRPr="003C113D">
        <w:t>DII</w:t>
      </w:r>
      <w:r w:rsidR="001E73FA">
        <w:t>’</w:t>
      </w:r>
      <w:r w:rsidRPr="003C113D">
        <w:t>s Reply</w:t>
      </w:r>
    </w:p>
    <w:p w:rsidR="003C113D" w:rsidRPr="003C113D" w:rsidRDefault="003C113D" w:rsidP="007D3734">
      <w:pPr>
        <w:pStyle w:val="ListParagraph"/>
        <w:widowControl/>
        <w:spacing w:line="360" w:lineRule="auto"/>
        <w:ind w:left="2430"/>
        <w:rPr>
          <w:sz w:val="26"/>
          <w:szCs w:val="26"/>
        </w:rPr>
      </w:pPr>
    </w:p>
    <w:p w:rsidR="009E379A" w:rsidRDefault="00AB0866" w:rsidP="007D3734">
      <w:pPr>
        <w:widowControl/>
        <w:spacing w:line="360" w:lineRule="auto"/>
        <w:contextualSpacing/>
        <w:rPr>
          <w:sz w:val="26"/>
          <w:szCs w:val="26"/>
        </w:rPr>
      </w:pPr>
      <w:r>
        <w:rPr>
          <w:sz w:val="26"/>
          <w:szCs w:val="26"/>
        </w:rPr>
        <w:tab/>
      </w:r>
      <w:r>
        <w:rPr>
          <w:sz w:val="26"/>
          <w:szCs w:val="26"/>
        </w:rPr>
        <w:tab/>
      </w:r>
      <w:r w:rsidR="004C5D8B">
        <w:rPr>
          <w:sz w:val="26"/>
          <w:szCs w:val="26"/>
        </w:rPr>
        <w:t xml:space="preserve">In Reply, </w:t>
      </w:r>
      <w:r w:rsidR="000F1780">
        <w:rPr>
          <w:sz w:val="26"/>
          <w:szCs w:val="26"/>
        </w:rPr>
        <w:t>DII</w:t>
      </w:r>
      <w:r w:rsidR="004C5D8B">
        <w:rPr>
          <w:sz w:val="26"/>
          <w:szCs w:val="26"/>
        </w:rPr>
        <w:t xml:space="preserve"> contends that </w:t>
      </w:r>
      <w:r w:rsidR="009E379A">
        <w:rPr>
          <w:sz w:val="26"/>
          <w:szCs w:val="26"/>
        </w:rPr>
        <w:t xml:space="preserve">the ALJ appropriately assigned the burden of proof to Duquesne.  </w:t>
      </w:r>
      <w:r w:rsidR="000F1780">
        <w:rPr>
          <w:sz w:val="26"/>
          <w:szCs w:val="26"/>
        </w:rPr>
        <w:t>DII</w:t>
      </w:r>
      <w:r w:rsidR="009E379A">
        <w:rPr>
          <w:sz w:val="26"/>
          <w:szCs w:val="26"/>
        </w:rPr>
        <w:t xml:space="preserve"> provide</w:t>
      </w:r>
      <w:r w:rsidR="00B3217A">
        <w:rPr>
          <w:sz w:val="26"/>
          <w:szCs w:val="26"/>
        </w:rPr>
        <w:t>s</w:t>
      </w:r>
      <w:r w:rsidR="009E379A">
        <w:rPr>
          <w:sz w:val="26"/>
          <w:szCs w:val="26"/>
        </w:rPr>
        <w:t xml:space="preserve"> that it is inequitable to shift the burden of proof onto a party that is forced to defend against a utility</w:t>
      </w:r>
      <w:r w:rsidR="001E73FA">
        <w:rPr>
          <w:sz w:val="26"/>
          <w:szCs w:val="26"/>
        </w:rPr>
        <w:t>’</w:t>
      </w:r>
      <w:r w:rsidR="009E379A">
        <w:rPr>
          <w:sz w:val="26"/>
          <w:szCs w:val="26"/>
        </w:rPr>
        <w:t xml:space="preserve">s dramatic cost increases and eleventh-hour shift in litigation position.  According to </w:t>
      </w:r>
      <w:r w:rsidR="000F1780">
        <w:rPr>
          <w:sz w:val="26"/>
          <w:szCs w:val="26"/>
        </w:rPr>
        <w:t>DII</w:t>
      </w:r>
      <w:r w:rsidR="009E379A">
        <w:rPr>
          <w:sz w:val="26"/>
          <w:szCs w:val="26"/>
        </w:rPr>
        <w:t>, Commission precedent demonstrates that Duquesne possesses the burden of proof for its entire rate case, especially issues it raised in its filing.  DII R. Exc. at 5.</w:t>
      </w:r>
    </w:p>
    <w:p w:rsidR="00B07BC5" w:rsidRDefault="00B07BC5" w:rsidP="007D3734">
      <w:pPr>
        <w:widowControl/>
        <w:spacing w:line="360" w:lineRule="auto"/>
        <w:contextualSpacing/>
        <w:rPr>
          <w:sz w:val="26"/>
          <w:szCs w:val="26"/>
        </w:rPr>
      </w:pPr>
    </w:p>
    <w:p w:rsidR="00B07BC5" w:rsidRDefault="0074217A" w:rsidP="007D3734">
      <w:pPr>
        <w:widowControl/>
        <w:spacing w:line="360" w:lineRule="auto"/>
        <w:contextualSpacing/>
        <w:rPr>
          <w:sz w:val="26"/>
          <w:szCs w:val="26"/>
        </w:rPr>
      </w:pPr>
      <w:r>
        <w:rPr>
          <w:sz w:val="26"/>
          <w:szCs w:val="26"/>
        </w:rPr>
        <w:tab/>
      </w:r>
      <w:r>
        <w:rPr>
          <w:sz w:val="26"/>
          <w:szCs w:val="26"/>
        </w:rPr>
        <w:tab/>
      </w:r>
      <w:r w:rsidR="00B07BC5" w:rsidRPr="0068288D">
        <w:rPr>
          <w:sz w:val="26"/>
          <w:szCs w:val="26"/>
        </w:rPr>
        <w:t xml:space="preserve">The current </w:t>
      </w:r>
      <w:r w:rsidR="00BF7139">
        <w:rPr>
          <w:sz w:val="26"/>
          <w:szCs w:val="26"/>
        </w:rPr>
        <w:t>Rider</w:t>
      </w:r>
      <w:r w:rsidR="001F75B6">
        <w:rPr>
          <w:sz w:val="26"/>
          <w:szCs w:val="26"/>
        </w:rPr>
        <w:t xml:space="preserve"> No. 16</w:t>
      </w:r>
      <w:r w:rsidR="00B07BC5" w:rsidRPr="0068288D">
        <w:rPr>
          <w:sz w:val="26"/>
          <w:szCs w:val="26"/>
        </w:rPr>
        <w:t xml:space="preserve"> rate of $2.5</w:t>
      </w:r>
      <w:r w:rsidR="00352DA8">
        <w:rPr>
          <w:sz w:val="26"/>
          <w:szCs w:val="26"/>
        </w:rPr>
        <w:t>0</w:t>
      </w:r>
      <w:r w:rsidR="00B07BC5" w:rsidRPr="0068288D">
        <w:rPr>
          <w:sz w:val="26"/>
          <w:szCs w:val="26"/>
        </w:rPr>
        <w:t>/kW was proposed in Duquesne</w:t>
      </w:r>
      <w:r w:rsidR="001E73FA">
        <w:rPr>
          <w:sz w:val="26"/>
          <w:szCs w:val="26"/>
        </w:rPr>
        <w:t>’</w:t>
      </w:r>
      <w:r w:rsidR="00B07BC5" w:rsidRPr="0068288D">
        <w:rPr>
          <w:sz w:val="26"/>
          <w:szCs w:val="26"/>
        </w:rPr>
        <w:t xml:space="preserve">s previous rate case at Docket No. R-2013-2372129.  </w:t>
      </w:r>
      <w:r w:rsidR="00206E27">
        <w:rPr>
          <w:sz w:val="26"/>
          <w:szCs w:val="26"/>
        </w:rPr>
        <w:t xml:space="preserve">At that time, </w:t>
      </w:r>
      <w:r w:rsidR="00B07BC5" w:rsidRPr="0068288D">
        <w:rPr>
          <w:sz w:val="26"/>
          <w:szCs w:val="26"/>
        </w:rPr>
        <w:t>Duquesne witness William Pfrommer, the Senior Manager of Rates and Tariff Services, explained the methodology for calculating the rate as follows</w:t>
      </w:r>
      <w:r w:rsidR="00206E27">
        <w:rPr>
          <w:sz w:val="26"/>
          <w:szCs w:val="26"/>
        </w:rPr>
        <w:t>:</w:t>
      </w:r>
    </w:p>
    <w:p w:rsidR="00E6779D" w:rsidRPr="00D32E33" w:rsidRDefault="00E6779D" w:rsidP="007D3734">
      <w:pPr>
        <w:widowControl/>
        <w:spacing w:line="360" w:lineRule="auto"/>
        <w:contextualSpacing/>
        <w:rPr>
          <w:sz w:val="26"/>
        </w:rPr>
      </w:pPr>
    </w:p>
    <w:p w:rsidR="00B07BC5" w:rsidRDefault="00B07BC5" w:rsidP="007D3734">
      <w:pPr>
        <w:widowControl/>
        <w:ind w:left="1440" w:right="1440"/>
        <w:contextualSpacing/>
        <w:rPr>
          <w:sz w:val="26"/>
          <w:szCs w:val="26"/>
        </w:rPr>
      </w:pPr>
      <w:r w:rsidRPr="0068288D">
        <w:rPr>
          <w:sz w:val="26"/>
          <w:szCs w:val="26"/>
        </w:rPr>
        <w:lastRenderedPageBreak/>
        <w:t>The Company is proposing a distribution rate of $2.50 per kW.  This is based on an average of the primary demand costs per kW in Mr. Gorman</w:t>
      </w:r>
      <w:r w:rsidR="001E73FA">
        <w:rPr>
          <w:sz w:val="26"/>
          <w:szCs w:val="26"/>
        </w:rPr>
        <w:t>’</w:t>
      </w:r>
      <w:r w:rsidRPr="0068288D">
        <w:rPr>
          <w:sz w:val="26"/>
          <w:szCs w:val="26"/>
        </w:rPr>
        <w:t>s Exhibit 6-2B and a load factor of 30%.  The load factor is an estimate based on the availability of the current customer, a review of other utility tariffs, and the expectation of the need for the Company to provide back-up power.</w:t>
      </w:r>
    </w:p>
    <w:p w:rsidR="00206E27" w:rsidRDefault="00206E27" w:rsidP="007D3734">
      <w:pPr>
        <w:widowControl/>
        <w:ind w:left="1440" w:right="1440"/>
        <w:contextualSpacing/>
        <w:rPr>
          <w:sz w:val="26"/>
          <w:szCs w:val="26"/>
        </w:rPr>
      </w:pPr>
    </w:p>
    <w:p w:rsidR="00206E27" w:rsidRPr="0068288D" w:rsidRDefault="00206E27" w:rsidP="007D3734">
      <w:pPr>
        <w:widowControl/>
        <w:ind w:left="1440" w:right="1440"/>
        <w:contextualSpacing/>
        <w:rPr>
          <w:sz w:val="26"/>
          <w:szCs w:val="26"/>
        </w:rPr>
      </w:pPr>
    </w:p>
    <w:p w:rsidR="00B07BC5" w:rsidRDefault="00B07BC5" w:rsidP="007D3734">
      <w:pPr>
        <w:widowControl/>
        <w:spacing w:line="360" w:lineRule="auto"/>
        <w:contextualSpacing/>
        <w:rPr>
          <w:sz w:val="26"/>
          <w:szCs w:val="26"/>
        </w:rPr>
      </w:pPr>
      <w:r>
        <w:rPr>
          <w:sz w:val="26"/>
          <w:szCs w:val="26"/>
        </w:rPr>
        <w:t>Peoples St. 2 at 9 (citing Docket No. R-2013-2372129 - Duquesne St. 12 at 19 and Exh.</w:t>
      </w:r>
      <w:r w:rsidR="00206E27">
        <w:rPr>
          <w:sz w:val="26"/>
          <w:szCs w:val="26"/>
        </w:rPr>
        <w:t> </w:t>
      </w:r>
      <w:r>
        <w:rPr>
          <w:sz w:val="26"/>
          <w:szCs w:val="26"/>
        </w:rPr>
        <w:t>6-2B).</w:t>
      </w:r>
    </w:p>
    <w:p w:rsidR="00206E27" w:rsidRDefault="00206E27" w:rsidP="007D3734">
      <w:pPr>
        <w:widowControl/>
        <w:spacing w:line="360" w:lineRule="auto"/>
        <w:contextualSpacing/>
        <w:rPr>
          <w:sz w:val="26"/>
          <w:szCs w:val="26"/>
        </w:rPr>
      </w:pPr>
    </w:p>
    <w:p w:rsidR="00B07BC5" w:rsidRDefault="00B07BC5" w:rsidP="007D3734">
      <w:pPr>
        <w:widowControl/>
        <w:spacing w:line="360" w:lineRule="auto"/>
        <w:contextualSpacing/>
        <w:rPr>
          <w:sz w:val="26"/>
          <w:szCs w:val="26"/>
        </w:rPr>
      </w:pPr>
      <w:r>
        <w:rPr>
          <w:sz w:val="26"/>
          <w:szCs w:val="26"/>
        </w:rPr>
        <w:tab/>
      </w:r>
      <w:r>
        <w:rPr>
          <w:sz w:val="26"/>
          <w:szCs w:val="26"/>
        </w:rPr>
        <w:tab/>
      </w:r>
      <w:r w:rsidR="00264E24">
        <w:rPr>
          <w:sz w:val="26"/>
          <w:szCs w:val="26"/>
        </w:rPr>
        <w:t xml:space="preserve">In this proceeding, </w:t>
      </w:r>
      <w:r w:rsidR="000F1780">
        <w:rPr>
          <w:sz w:val="26"/>
          <w:szCs w:val="26"/>
        </w:rPr>
        <w:t>DII</w:t>
      </w:r>
      <w:r>
        <w:rPr>
          <w:sz w:val="26"/>
          <w:szCs w:val="26"/>
        </w:rPr>
        <w:t xml:space="preserve"> considered the 30% load factor as excessive and proposed a new factor of 5% in light of the single </w:t>
      </w:r>
      <w:r w:rsidR="00BF7139">
        <w:rPr>
          <w:sz w:val="26"/>
          <w:szCs w:val="26"/>
        </w:rPr>
        <w:t>Rider</w:t>
      </w:r>
      <w:r w:rsidR="001F75B6">
        <w:rPr>
          <w:sz w:val="26"/>
          <w:szCs w:val="26"/>
        </w:rPr>
        <w:t xml:space="preserve"> No. 16</w:t>
      </w:r>
      <w:r>
        <w:rPr>
          <w:sz w:val="26"/>
          <w:szCs w:val="26"/>
        </w:rPr>
        <w:t xml:space="preserve"> customer</w:t>
      </w:r>
      <w:r w:rsidR="001E73FA">
        <w:rPr>
          <w:sz w:val="26"/>
          <w:szCs w:val="26"/>
        </w:rPr>
        <w:t>’</w:t>
      </w:r>
      <w:r>
        <w:rPr>
          <w:sz w:val="26"/>
          <w:szCs w:val="26"/>
        </w:rPr>
        <w:t xml:space="preserve">s actual unplanned outage rate of 2.5% (and other factors such as general availability statistics for CHP and other distributed generation systems).  </w:t>
      </w:r>
      <w:r w:rsidR="000F1780">
        <w:rPr>
          <w:sz w:val="26"/>
          <w:szCs w:val="26"/>
        </w:rPr>
        <w:t>DII</w:t>
      </w:r>
      <w:r>
        <w:rPr>
          <w:sz w:val="26"/>
          <w:szCs w:val="26"/>
        </w:rPr>
        <w:t xml:space="preserve"> witness Crist accepted Duquesne</w:t>
      </w:r>
      <w:r w:rsidR="001E73FA">
        <w:rPr>
          <w:sz w:val="26"/>
          <w:szCs w:val="26"/>
        </w:rPr>
        <w:t>’</w:t>
      </w:r>
      <w:r>
        <w:rPr>
          <w:sz w:val="26"/>
          <w:szCs w:val="26"/>
        </w:rPr>
        <w:t xml:space="preserve">s cost analysis in Duquesne Exhibit No. 6-4H but applied an allocation factor of 5%.  </w:t>
      </w:r>
      <w:r w:rsidR="000F1780">
        <w:rPr>
          <w:sz w:val="26"/>
          <w:szCs w:val="26"/>
        </w:rPr>
        <w:t>DII</w:t>
      </w:r>
      <w:r>
        <w:rPr>
          <w:sz w:val="26"/>
          <w:szCs w:val="26"/>
        </w:rPr>
        <w:t xml:space="preserve"> </w:t>
      </w:r>
      <w:r w:rsidR="00264E24">
        <w:rPr>
          <w:sz w:val="26"/>
          <w:szCs w:val="26"/>
        </w:rPr>
        <w:t xml:space="preserve">recommended that Duquesne modify its tariff </w:t>
      </w:r>
      <w:r w:rsidR="00D57A14">
        <w:rPr>
          <w:sz w:val="26"/>
          <w:szCs w:val="26"/>
        </w:rPr>
        <w:t xml:space="preserve">by decreasing the </w:t>
      </w:r>
      <w:r>
        <w:rPr>
          <w:sz w:val="26"/>
          <w:szCs w:val="26"/>
        </w:rPr>
        <w:t xml:space="preserve">back-up rate </w:t>
      </w:r>
      <w:r w:rsidR="00D57A14">
        <w:rPr>
          <w:sz w:val="26"/>
          <w:szCs w:val="26"/>
        </w:rPr>
        <w:t xml:space="preserve">from $2.50 to </w:t>
      </w:r>
      <w:r>
        <w:rPr>
          <w:sz w:val="26"/>
          <w:szCs w:val="26"/>
        </w:rPr>
        <w:t>$0.352 per kW and a</w:t>
      </w:r>
      <w:r w:rsidR="00D57A14">
        <w:rPr>
          <w:sz w:val="26"/>
          <w:szCs w:val="26"/>
        </w:rPr>
        <w:t xml:space="preserve">dding a new </w:t>
      </w:r>
      <w:r>
        <w:rPr>
          <w:sz w:val="26"/>
          <w:szCs w:val="26"/>
        </w:rPr>
        <w:t>Maintenance Rate of $0.235 per KW.  DII Brief at 8-9 (citing DII St. 1 at 25-26).</w:t>
      </w:r>
    </w:p>
    <w:p w:rsidR="003C113D" w:rsidRDefault="003C113D" w:rsidP="007D3734">
      <w:pPr>
        <w:widowControl/>
        <w:spacing w:line="360" w:lineRule="auto"/>
        <w:contextualSpacing/>
        <w:rPr>
          <w:sz w:val="26"/>
          <w:szCs w:val="26"/>
        </w:rPr>
      </w:pPr>
    </w:p>
    <w:p w:rsidR="003C113D" w:rsidRPr="003C113D" w:rsidRDefault="003C113D" w:rsidP="007D3734">
      <w:pPr>
        <w:pStyle w:val="Heading4"/>
        <w:keepLines/>
        <w:numPr>
          <w:ilvl w:val="2"/>
          <w:numId w:val="16"/>
        </w:numPr>
        <w:ind w:left="2434"/>
      </w:pPr>
      <w:r>
        <w:t>Disposition</w:t>
      </w:r>
    </w:p>
    <w:p w:rsidR="00B07BC5" w:rsidRDefault="00B07BC5" w:rsidP="007D3734">
      <w:pPr>
        <w:keepNext/>
        <w:keepLines/>
        <w:widowControl/>
        <w:spacing w:line="360" w:lineRule="auto"/>
        <w:contextualSpacing/>
        <w:rPr>
          <w:sz w:val="26"/>
          <w:szCs w:val="26"/>
        </w:rPr>
      </w:pPr>
    </w:p>
    <w:p w:rsidR="00101109" w:rsidRDefault="00B07BC5" w:rsidP="007D3734">
      <w:pPr>
        <w:widowControl/>
        <w:spacing w:line="360" w:lineRule="auto"/>
        <w:contextualSpacing/>
        <w:rPr>
          <w:sz w:val="26"/>
          <w:szCs w:val="26"/>
        </w:rPr>
      </w:pPr>
      <w:r>
        <w:rPr>
          <w:sz w:val="26"/>
          <w:szCs w:val="26"/>
        </w:rPr>
        <w:tab/>
      </w:r>
      <w:r>
        <w:rPr>
          <w:sz w:val="26"/>
          <w:szCs w:val="26"/>
        </w:rPr>
        <w:tab/>
      </w:r>
      <w:r w:rsidR="000C1EE3">
        <w:rPr>
          <w:sz w:val="26"/>
          <w:szCs w:val="26"/>
        </w:rPr>
        <w:t xml:space="preserve">As noted, </w:t>
      </w:r>
      <w:r>
        <w:rPr>
          <w:sz w:val="26"/>
          <w:szCs w:val="26"/>
        </w:rPr>
        <w:t>Duquesne disagree</w:t>
      </w:r>
      <w:r w:rsidR="00D57A14">
        <w:rPr>
          <w:sz w:val="26"/>
          <w:szCs w:val="26"/>
        </w:rPr>
        <w:t>s</w:t>
      </w:r>
      <w:r>
        <w:rPr>
          <w:sz w:val="26"/>
          <w:szCs w:val="26"/>
        </w:rPr>
        <w:t xml:space="preserve"> with the ALJ</w:t>
      </w:r>
      <w:r w:rsidR="001E73FA">
        <w:rPr>
          <w:sz w:val="26"/>
          <w:szCs w:val="26"/>
        </w:rPr>
        <w:t>’</w:t>
      </w:r>
      <w:r>
        <w:rPr>
          <w:sz w:val="26"/>
          <w:szCs w:val="26"/>
        </w:rPr>
        <w:t xml:space="preserve">s assignment to the Company of the burden of disproving the reasonableness and legality of </w:t>
      </w:r>
      <w:r w:rsidR="000F1780">
        <w:rPr>
          <w:sz w:val="26"/>
          <w:szCs w:val="26"/>
        </w:rPr>
        <w:t>DII</w:t>
      </w:r>
      <w:r w:rsidR="001E73FA">
        <w:rPr>
          <w:sz w:val="26"/>
          <w:szCs w:val="26"/>
        </w:rPr>
        <w:t>’</w:t>
      </w:r>
      <w:r>
        <w:rPr>
          <w:sz w:val="26"/>
          <w:szCs w:val="26"/>
        </w:rPr>
        <w:t xml:space="preserve">s proposal to reduce the existing, approved </w:t>
      </w:r>
      <w:r w:rsidR="00BF7139">
        <w:rPr>
          <w:sz w:val="26"/>
          <w:szCs w:val="26"/>
        </w:rPr>
        <w:t>Rider</w:t>
      </w:r>
      <w:r w:rsidR="001F75B6">
        <w:rPr>
          <w:sz w:val="26"/>
          <w:szCs w:val="26"/>
        </w:rPr>
        <w:t xml:space="preserve"> No. 16</w:t>
      </w:r>
      <w:r>
        <w:rPr>
          <w:sz w:val="26"/>
          <w:szCs w:val="26"/>
        </w:rPr>
        <w:t xml:space="preserve"> rate.  </w:t>
      </w:r>
      <w:r w:rsidR="007B3DE9">
        <w:rPr>
          <w:sz w:val="26"/>
          <w:szCs w:val="26"/>
        </w:rPr>
        <w:t xml:space="preserve">We agree with Duquesne.  </w:t>
      </w:r>
      <w:r>
        <w:rPr>
          <w:sz w:val="26"/>
          <w:szCs w:val="26"/>
        </w:rPr>
        <w:t>In Duquesne</w:t>
      </w:r>
      <w:r w:rsidR="001E73FA">
        <w:rPr>
          <w:sz w:val="26"/>
          <w:szCs w:val="26"/>
        </w:rPr>
        <w:t>’</w:t>
      </w:r>
      <w:r>
        <w:rPr>
          <w:sz w:val="26"/>
          <w:szCs w:val="26"/>
        </w:rPr>
        <w:t xml:space="preserve">s prior rate case, </w:t>
      </w:r>
      <w:r w:rsidR="00240935">
        <w:rPr>
          <w:sz w:val="26"/>
          <w:szCs w:val="26"/>
        </w:rPr>
        <w:t>we</w:t>
      </w:r>
      <w:r>
        <w:rPr>
          <w:sz w:val="26"/>
          <w:szCs w:val="26"/>
        </w:rPr>
        <w:t xml:space="preserve"> </w:t>
      </w:r>
      <w:r w:rsidR="00240935">
        <w:rPr>
          <w:sz w:val="26"/>
          <w:szCs w:val="26"/>
        </w:rPr>
        <w:t xml:space="preserve">determined </w:t>
      </w:r>
      <w:r w:rsidR="00C069AA">
        <w:rPr>
          <w:sz w:val="26"/>
          <w:szCs w:val="26"/>
        </w:rPr>
        <w:t xml:space="preserve">that the </w:t>
      </w:r>
      <w:r>
        <w:rPr>
          <w:sz w:val="26"/>
          <w:szCs w:val="26"/>
        </w:rPr>
        <w:t xml:space="preserve">existing </w:t>
      </w:r>
      <w:r w:rsidR="00BF7139">
        <w:rPr>
          <w:sz w:val="26"/>
          <w:szCs w:val="26"/>
        </w:rPr>
        <w:t>Rider</w:t>
      </w:r>
      <w:r w:rsidR="00140B1F">
        <w:rPr>
          <w:sz w:val="26"/>
          <w:szCs w:val="26"/>
        </w:rPr>
        <w:t xml:space="preserve"> No. 16</w:t>
      </w:r>
      <w:r w:rsidR="001E73FA">
        <w:rPr>
          <w:sz w:val="26"/>
          <w:szCs w:val="26"/>
        </w:rPr>
        <w:t>’</w:t>
      </w:r>
      <w:r>
        <w:rPr>
          <w:sz w:val="26"/>
          <w:szCs w:val="26"/>
        </w:rPr>
        <w:t>s provisions were deemed just and reasonable because those tariff provisions previously were approved by the Commission and the party challenging a previously-approved tariff provision bears the burden to demonstrate the Commission</w:t>
      </w:r>
      <w:r w:rsidR="001E73FA">
        <w:rPr>
          <w:sz w:val="26"/>
          <w:szCs w:val="26"/>
        </w:rPr>
        <w:t>’</w:t>
      </w:r>
      <w:r>
        <w:rPr>
          <w:sz w:val="26"/>
          <w:szCs w:val="26"/>
        </w:rPr>
        <w:t xml:space="preserve">s prior approval is no longer justified.  </w:t>
      </w:r>
      <w:r w:rsidRPr="0074217A">
        <w:rPr>
          <w:i/>
          <w:sz w:val="26"/>
          <w:szCs w:val="26"/>
        </w:rPr>
        <w:t>See</w:t>
      </w:r>
      <w:r>
        <w:rPr>
          <w:sz w:val="26"/>
          <w:szCs w:val="26"/>
        </w:rPr>
        <w:t xml:space="preserve"> </w:t>
      </w:r>
      <w:r w:rsidR="0074217A" w:rsidRPr="0074217A">
        <w:rPr>
          <w:i/>
          <w:sz w:val="26"/>
          <w:szCs w:val="26"/>
        </w:rPr>
        <w:t>Pa. P.U.C. v</w:t>
      </w:r>
      <w:r w:rsidR="00F87EAA">
        <w:rPr>
          <w:i/>
          <w:sz w:val="26"/>
          <w:szCs w:val="26"/>
        </w:rPr>
        <w:t>.</w:t>
      </w:r>
      <w:r w:rsidR="0074217A" w:rsidRPr="0074217A">
        <w:rPr>
          <w:i/>
          <w:sz w:val="26"/>
          <w:szCs w:val="26"/>
        </w:rPr>
        <w:t xml:space="preserve"> Duquesne Light Co.</w:t>
      </w:r>
      <w:r w:rsidR="0074217A">
        <w:rPr>
          <w:sz w:val="26"/>
          <w:szCs w:val="26"/>
        </w:rPr>
        <w:t xml:space="preserve">, Docket No. R-2013-2372129 (Order entered April 23, 2014) </w:t>
      </w:r>
      <w:r w:rsidRPr="0074217A">
        <w:rPr>
          <w:sz w:val="26"/>
          <w:szCs w:val="26"/>
        </w:rPr>
        <w:t>at</w:t>
      </w:r>
      <w:r>
        <w:rPr>
          <w:sz w:val="26"/>
          <w:szCs w:val="26"/>
        </w:rPr>
        <w:t xml:space="preserve"> 20-21 citing </w:t>
      </w:r>
      <w:r w:rsidRPr="00F87EAA">
        <w:rPr>
          <w:i/>
          <w:sz w:val="26"/>
          <w:szCs w:val="26"/>
        </w:rPr>
        <w:t>Pa. P</w:t>
      </w:r>
      <w:r w:rsidR="00F87EAA">
        <w:rPr>
          <w:i/>
          <w:sz w:val="26"/>
          <w:szCs w:val="26"/>
        </w:rPr>
        <w:t>.</w:t>
      </w:r>
      <w:r w:rsidRPr="00F87EAA">
        <w:rPr>
          <w:i/>
          <w:sz w:val="26"/>
          <w:szCs w:val="26"/>
        </w:rPr>
        <w:t>U</w:t>
      </w:r>
      <w:r w:rsidR="00F87EAA">
        <w:rPr>
          <w:i/>
          <w:sz w:val="26"/>
          <w:szCs w:val="26"/>
        </w:rPr>
        <w:t>.</w:t>
      </w:r>
      <w:r w:rsidRPr="00F87EAA">
        <w:rPr>
          <w:i/>
          <w:sz w:val="26"/>
          <w:szCs w:val="26"/>
        </w:rPr>
        <w:t>C</w:t>
      </w:r>
      <w:r w:rsidR="00F87EAA">
        <w:rPr>
          <w:i/>
          <w:sz w:val="26"/>
          <w:szCs w:val="26"/>
        </w:rPr>
        <w:t>.</w:t>
      </w:r>
      <w:r w:rsidRPr="00F87EAA">
        <w:rPr>
          <w:i/>
          <w:sz w:val="26"/>
          <w:szCs w:val="26"/>
        </w:rPr>
        <w:t xml:space="preserve"> v. Columbia Gas of Pennsylvania, Inc.</w:t>
      </w:r>
      <w:r>
        <w:rPr>
          <w:sz w:val="26"/>
          <w:szCs w:val="26"/>
        </w:rPr>
        <w:t xml:space="preserve">, Docket No. </w:t>
      </w:r>
      <w:r>
        <w:rPr>
          <w:sz w:val="26"/>
          <w:szCs w:val="26"/>
        </w:rPr>
        <w:lastRenderedPageBreak/>
        <w:t>R</w:t>
      </w:r>
      <w:r w:rsidR="009625A6">
        <w:rPr>
          <w:sz w:val="26"/>
          <w:szCs w:val="26"/>
        </w:rPr>
        <w:noBreakHyphen/>
      </w:r>
      <w:r>
        <w:rPr>
          <w:sz w:val="26"/>
          <w:szCs w:val="26"/>
        </w:rPr>
        <w:t xml:space="preserve">2010-2215623, </w:t>
      </w:r>
      <w:r w:rsidRPr="00D32E33">
        <w:rPr>
          <w:i/>
          <w:sz w:val="26"/>
        </w:rPr>
        <w:t>et al.</w:t>
      </w:r>
      <w:r>
        <w:rPr>
          <w:sz w:val="26"/>
          <w:szCs w:val="26"/>
        </w:rPr>
        <w:t xml:space="preserve">  (Order entered March 15, 2012). </w:t>
      </w:r>
      <w:r w:rsidR="00F87EAA">
        <w:rPr>
          <w:sz w:val="26"/>
          <w:szCs w:val="26"/>
        </w:rPr>
        <w:t xml:space="preserve"> </w:t>
      </w:r>
      <w:r w:rsidR="00101109">
        <w:rPr>
          <w:sz w:val="26"/>
          <w:szCs w:val="26"/>
        </w:rPr>
        <w:t xml:space="preserve">In this proceeding, </w:t>
      </w:r>
      <w:r w:rsidR="008F1B79">
        <w:rPr>
          <w:sz w:val="26"/>
          <w:szCs w:val="26"/>
        </w:rPr>
        <w:t>we remain of the same mindset</w:t>
      </w:r>
      <w:r w:rsidR="00101109">
        <w:rPr>
          <w:sz w:val="26"/>
          <w:szCs w:val="26"/>
        </w:rPr>
        <w:t xml:space="preserve">.  Therefore, </w:t>
      </w:r>
      <w:r w:rsidR="0044262C">
        <w:rPr>
          <w:sz w:val="26"/>
          <w:szCs w:val="26"/>
        </w:rPr>
        <w:t xml:space="preserve">consistent with well-established precedent, </w:t>
      </w:r>
      <w:r w:rsidR="00101109">
        <w:rPr>
          <w:sz w:val="26"/>
          <w:szCs w:val="26"/>
        </w:rPr>
        <w:t xml:space="preserve">we conclude that </w:t>
      </w:r>
      <w:r w:rsidR="007B3DE9">
        <w:rPr>
          <w:sz w:val="26"/>
          <w:szCs w:val="26"/>
        </w:rPr>
        <w:t>the DII</w:t>
      </w:r>
      <w:r w:rsidR="008B5BE3">
        <w:rPr>
          <w:sz w:val="26"/>
          <w:szCs w:val="26"/>
        </w:rPr>
        <w:t>,</w:t>
      </w:r>
      <w:r w:rsidR="007B3DE9">
        <w:rPr>
          <w:sz w:val="26"/>
          <w:szCs w:val="26"/>
        </w:rPr>
        <w:t xml:space="preserve"> as the proponent of a change </w:t>
      </w:r>
      <w:r w:rsidR="00C54B80">
        <w:rPr>
          <w:sz w:val="26"/>
          <w:szCs w:val="26"/>
        </w:rPr>
        <w:t xml:space="preserve">to </w:t>
      </w:r>
      <w:r w:rsidR="007B3DE9">
        <w:rPr>
          <w:sz w:val="26"/>
          <w:szCs w:val="26"/>
        </w:rPr>
        <w:t>an existing tariffed rate that has been approved by the Commission</w:t>
      </w:r>
      <w:r w:rsidR="008B5BE3">
        <w:rPr>
          <w:sz w:val="26"/>
          <w:szCs w:val="26"/>
        </w:rPr>
        <w:t>,</w:t>
      </w:r>
      <w:r w:rsidR="00101109">
        <w:rPr>
          <w:sz w:val="26"/>
          <w:szCs w:val="26"/>
        </w:rPr>
        <w:t xml:space="preserve"> is responsible for bearing the burden of proof </w:t>
      </w:r>
      <w:r w:rsidR="003C48C9">
        <w:rPr>
          <w:sz w:val="26"/>
          <w:szCs w:val="26"/>
        </w:rPr>
        <w:t xml:space="preserve">as to whether </w:t>
      </w:r>
      <w:r w:rsidR="00C54B80">
        <w:rPr>
          <w:sz w:val="26"/>
          <w:szCs w:val="26"/>
        </w:rPr>
        <w:t>the present tariff rate</w:t>
      </w:r>
      <w:r w:rsidR="002B5C31">
        <w:rPr>
          <w:sz w:val="26"/>
          <w:szCs w:val="26"/>
        </w:rPr>
        <w:t xml:space="preserve"> in </w:t>
      </w:r>
      <w:r w:rsidR="00BF7139">
        <w:rPr>
          <w:sz w:val="26"/>
          <w:szCs w:val="26"/>
        </w:rPr>
        <w:t>Rider</w:t>
      </w:r>
      <w:r w:rsidR="002B5C31">
        <w:rPr>
          <w:sz w:val="26"/>
          <w:szCs w:val="26"/>
        </w:rPr>
        <w:t xml:space="preserve"> No. 16</w:t>
      </w:r>
      <w:r w:rsidR="00C54B80">
        <w:rPr>
          <w:sz w:val="26"/>
          <w:szCs w:val="26"/>
        </w:rPr>
        <w:t xml:space="preserve"> </w:t>
      </w:r>
      <w:r w:rsidR="002B5C31">
        <w:rPr>
          <w:sz w:val="26"/>
          <w:szCs w:val="26"/>
        </w:rPr>
        <w:t xml:space="preserve">is unreasonable and should be replaced with </w:t>
      </w:r>
      <w:r w:rsidR="00C54B80">
        <w:rPr>
          <w:sz w:val="26"/>
          <w:szCs w:val="26"/>
        </w:rPr>
        <w:t xml:space="preserve">its </w:t>
      </w:r>
      <w:r w:rsidR="00101109">
        <w:rPr>
          <w:sz w:val="26"/>
          <w:szCs w:val="26"/>
        </w:rPr>
        <w:t xml:space="preserve">proposed </w:t>
      </w:r>
      <w:r w:rsidR="002B5C31">
        <w:rPr>
          <w:sz w:val="26"/>
          <w:szCs w:val="26"/>
        </w:rPr>
        <w:t>rates</w:t>
      </w:r>
      <w:r w:rsidR="00574C6B">
        <w:rPr>
          <w:sz w:val="26"/>
          <w:szCs w:val="26"/>
        </w:rPr>
        <w:t>.</w:t>
      </w:r>
      <w:r w:rsidR="00101109">
        <w:rPr>
          <w:sz w:val="26"/>
          <w:szCs w:val="26"/>
        </w:rPr>
        <w:t xml:space="preserve">  Accordingly, </w:t>
      </w:r>
      <w:r w:rsidR="00A87173">
        <w:rPr>
          <w:sz w:val="26"/>
          <w:szCs w:val="26"/>
        </w:rPr>
        <w:t xml:space="preserve">we shall grant </w:t>
      </w:r>
      <w:r w:rsidR="00101109">
        <w:rPr>
          <w:sz w:val="26"/>
          <w:szCs w:val="26"/>
        </w:rPr>
        <w:t>Duquesne’s Exception No. 1</w:t>
      </w:r>
      <w:r w:rsidR="00A87173">
        <w:rPr>
          <w:sz w:val="26"/>
          <w:szCs w:val="26"/>
        </w:rPr>
        <w:t>.</w:t>
      </w:r>
    </w:p>
    <w:p w:rsidR="00101109" w:rsidRDefault="00101109" w:rsidP="007D3734">
      <w:pPr>
        <w:widowControl/>
        <w:spacing w:line="360" w:lineRule="auto"/>
        <w:contextualSpacing/>
        <w:rPr>
          <w:sz w:val="26"/>
          <w:szCs w:val="26"/>
        </w:rPr>
      </w:pPr>
    </w:p>
    <w:p w:rsidR="00F11785" w:rsidRDefault="00EB7C53" w:rsidP="007D3734">
      <w:pPr>
        <w:pStyle w:val="Heading3"/>
        <w:widowControl/>
        <w:ind w:left="1440" w:hanging="720"/>
      </w:pPr>
      <w:r>
        <w:tab/>
      </w:r>
      <w:bookmarkStart w:id="54" w:name="_Toc531091836"/>
      <w:bookmarkStart w:id="55" w:name="_Toc532905976"/>
      <w:r w:rsidR="003C113D" w:rsidRPr="00B10402">
        <w:t xml:space="preserve">6. </w:t>
      </w:r>
      <w:r>
        <w:tab/>
      </w:r>
      <w:r w:rsidR="003C113D" w:rsidRPr="00B10402">
        <w:t>Duquesne</w:t>
      </w:r>
      <w:r w:rsidR="001E73FA">
        <w:t>’</w:t>
      </w:r>
      <w:r w:rsidR="003C113D" w:rsidRPr="00B10402">
        <w:t xml:space="preserve">s Exception No. 2 Regarding the </w:t>
      </w:r>
      <w:r w:rsidR="001E73FA">
        <w:t>“</w:t>
      </w:r>
      <w:r w:rsidR="003C113D" w:rsidRPr="00B10402">
        <w:t>As Used</w:t>
      </w:r>
      <w:r w:rsidR="001E73FA">
        <w:t>”</w:t>
      </w:r>
      <w:r w:rsidR="003C113D" w:rsidRPr="00B10402">
        <w:t xml:space="preserve"> Basis for </w:t>
      </w:r>
      <w:r>
        <w:tab/>
      </w:r>
      <w:r w:rsidR="00BF7139">
        <w:t>Rider</w:t>
      </w:r>
      <w:r w:rsidR="003C113D" w:rsidRPr="00B10402">
        <w:t xml:space="preserve"> No. 16</w:t>
      </w:r>
      <w:bookmarkEnd w:id="54"/>
      <w:bookmarkEnd w:id="55"/>
      <w:r w:rsidR="009E379A" w:rsidRPr="00B10402">
        <w:tab/>
      </w:r>
    </w:p>
    <w:p w:rsidR="00EB7C53" w:rsidRPr="00D32E33" w:rsidRDefault="00EB7C53" w:rsidP="007D3734">
      <w:pPr>
        <w:keepNext/>
        <w:keepLines/>
        <w:widowControl/>
        <w:spacing w:line="360" w:lineRule="auto"/>
        <w:rPr>
          <w:sz w:val="26"/>
        </w:rPr>
      </w:pPr>
    </w:p>
    <w:p w:rsidR="00F11785" w:rsidRDefault="003C113D" w:rsidP="007D3734">
      <w:pPr>
        <w:pStyle w:val="Heading4"/>
        <w:keepLines/>
        <w:ind w:left="2434" w:hanging="360"/>
      </w:pPr>
      <w:r w:rsidRPr="00B10402">
        <w:t>a.</w:t>
      </w:r>
      <w:r w:rsidR="0079682A">
        <w:tab/>
      </w:r>
      <w:r w:rsidR="00F11785" w:rsidRPr="00B10402">
        <w:t>Duquesne</w:t>
      </w:r>
      <w:r w:rsidR="001E73FA">
        <w:t>’</w:t>
      </w:r>
      <w:r w:rsidR="00F11785" w:rsidRPr="00B10402">
        <w:t xml:space="preserve">s Exception No. 2 </w:t>
      </w:r>
    </w:p>
    <w:p w:rsidR="00EF21A6" w:rsidRPr="00D32E33" w:rsidRDefault="00EF21A6" w:rsidP="007D3734">
      <w:pPr>
        <w:keepNext/>
        <w:keepLines/>
        <w:widowControl/>
        <w:spacing w:line="360" w:lineRule="auto"/>
        <w:rPr>
          <w:sz w:val="26"/>
        </w:rPr>
      </w:pPr>
    </w:p>
    <w:p w:rsidR="000918C1" w:rsidRDefault="00F11785" w:rsidP="007D3734">
      <w:pPr>
        <w:widowControl/>
        <w:spacing w:line="360" w:lineRule="auto"/>
        <w:contextualSpacing/>
        <w:rPr>
          <w:sz w:val="26"/>
          <w:szCs w:val="26"/>
        </w:rPr>
      </w:pPr>
      <w:r>
        <w:tab/>
      </w:r>
      <w:r>
        <w:tab/>
      </w:r>
      <w:r w:rsidRPr="00F11785">
        <w:rPr>
          <w:sz w:val="26"/>
          <w:szCs w:val="26"/>
        </w:rPr>
        <w:t xml:space="preserve">In its second Exception, Duquesne avers that the ALJ erred </w:t>
      </w:r>
      <w:r w:rsidR="00591FCA">
        <w:rPr>
          <w:sz w:val="26"/>
          <w:szCs w:val="26"/>
        </w:rPr>
        <w:t xml:space="preserve">because she did not </w:t>
      </w:r>
      <w:r w:rsidRPr="00F11785">
        <w:rPr>
          <w:sz w:val="26"/>
          <w:szCs w:val="26"/>
        </w:rPr>
        <w:t xml:space="preserve">expressly recommend that </w:t>
      </w:r>
      <w:bookmarkStart w:id="56" w:name="_Hlk531967393"/>
      <w:r w:rsidR="000F1780">
        <w:rPr>
          <w:sz w:val="26"/>
          <w:szCs w:val="26"/>
        </w:rPr>
        <w:t>DII</w:t>
      </w:r>
      <w:r w:rsidR="001E73FA">
        <w:rPr>
          <w:sz w:val="26"/>
          <w:szCs w:val="26"/>
        </w:rPr>
        <w:t>’</w:t>
      </w:r>
      <w:r w:rsidRPr="00F11785">
        <w:rPr>
          <w:sz w:val="26"/>
          <w:szCs w:val="26"/>
        </w:rPr>
        <w:t xml:space="preserve">s proposal to </w:t>
      </w:r>
      <w:r w:rsidR="00591FCA">
        <w:rPr>
          <w:sz w:val="26"/>
          <w:szCs w:val="26"/>
        </w:rPr>
        <w:t xml:space="preserve">modify the application of </w:t>
      </w:r>
      <w:r w:rsidRPr="00F11785">
        <w:rPr>
          <w:sz w:val="26"/>
          <w:szCs w:val="26"/>
        </w:rPr>
        <w:t xml:space="preserve">the </w:t>
      </w:r>
      <w:r w:rsidR="00BF7139">
        <w:rPr>
          <w:sz w:val="26"/>
          <w:szCs w:val="26"/>
        </w:rPr>
        <w:t>Rider</w:t>
      </w:r>
      <w:r w:rsidR="001F75B6">
        <w:rPr>
          <w:sz w:val="26"/>
          <w:szCs w:val="26"/>
        </w:rPr>
        <w:t xml:space="preserve"> No.</w:t>
      </w:r>
      <w:r w:rsidR="00BF7139">
        <w:rPr>
          <w:sz w:val="26"/>
          <w:szCs w:val="26"/>
        </w:rPr>
        <w:t> </w:t>
      </w:r>
      <w:r w:rsidR="001F75B6">
        <w:rPr>
          <w:sz w:val="26"/>
          <w:szCs w:val="26"/>
        </w:rPr>
        <w:t>16</w:t>
      </w:r>
      <w:r w:rsidRPr="00F11785">
        <w:rPr>
          <w:sz w:val="26"/>
          <w:szCs w:val="26"/>
        </w:rPr>
        <w:t xml:space="preserve"> on an </w:t>
      </w:r>
      <w:r w:rsidR="001E73FA">
        <w:rPr>
          <w:sz w:val="26"/>
          <w:szCs w:val="26"/>
        </w:rPr>
        <w:t>“</w:t>
      </w:r>
      <w:r w:rsidRPr="00F11785">
        <w:rPr>
          <w:sz w:val="26"/>
          <w:szCs w:val="26"/>
        </w:rPr>
        <w:t>as used</w:t>
      </w:r>
      <w:r w:rsidR="001E73FA">
        <w:rPr>
          <w:sz w:val="26"/>
          <w:szCs w:val="26"/>
        </w:rPr>
        <w:t>”</w:t>
      </w:r>
      <w:r w:rsidRPr="00F11785">
        <w:rPr>
          <w:sz w:val="26"/>
          <w:szCs w:val="26"/>
        </w:rPr>
        <w:t xml:space="preserve"> basis should be rejected</w:t>
      </w:r>
      <w:bookmarkEnd w:id="56"/>
      <w:r w:rsidR="0044262C">
        <w:rPr>
          <w:sz w:val="26"/>
          <w:szCs w:val="26"/>
        </w:rPr>
        <w:t>.</w:t>
      </w:r>
    </w:p>
    <w:p w:rsidR="00492FF3" w:rsidRDefault="00492FF3" w:rsidP="007D3734">
      <w:pPr>
        <w:widowControl/>
        <w:spacing w:line="360" w:lineRule="auto"/>
        <w:contextualSpacing/>
        <w:rPr>
          <w:sz w:val="26"/>
          <w:szCs w:val="26"/>
        </w:rPr>
      </w:pPr>
    </w:p>
    <w:p w:rsidR="00492FF3" w:rsidRDefault="00492FF3" w:rsidP="007D3734">
      <w:pPr>
        <w:widowControl/>
        <w:spacing w:line="360" w:lineRule="auto"/>
        <w:contextualSpacing/>
        <w:rPr>
          <w:sz w:val="26"/>
          <w:szCs w:val="26"/>
        </w:rPr>
      </w:pPr>
      <w:r>
        <w:rPr>
          <w:sz w:val="26"/>
          <w:szCs w:val="26"/>
        </w:rPr>
        <w:tab/>
      </w:r>
      <w:r>
        <w:rPr>
          <w:sz w:val="26"/>
          <w:szCs w:val="26"/>
        </w:rPr>
        <w:tab/>
      </w:r>
      <w:r w:rsidR="003328E9">
        <w:rPr>
          <w:sz w:val="26"/>
          <w:szCs w:val="26"/>
        </w:rPr>
        <w:t xml:space="preserve">In support of </w:t>
      </w:r>
      <w:r w:rsidR="00446DC2">
        <w:rPr>
          <w:sz w:val="26"/>
          <w:szCs w:val="26"/>
        </w:rPr>
        <w:t xml:space="preserve">its request that </w:t>
      </w:r>
      <w:r w:rsidR="000F1780">
        <w:rPr>
          <w:sz w:val="26"/>
          <w:szCs w:val="26"/>
        </w:rPr>
        <w:t>DII</w:t>
      </w:r>
      <w:r w:rsidR="00446DC2">
        <w:rPr>
          <w:sz w:val="26"/>
          <w:szCs w:val="26"/>
        </w:rPr>
        <w:t xml:space="preserve">’s proposal should be explicitly rejected </w:t>
      </w:r>
      <w:r>
        <w:rPr>
          <w:sz w:val="26"/>
          <w:szCs w:val="26"/>
        </w:rPr>
        <w:t xml:space="preserve">Duquesne </w:t>
      </w:r>
      <w:r w:rsidR="007D24CE">
        <w:rPr>
          <w:sz w:val="26"/>
          <w:szCs w:val="26"/>
        </w:rPr>
        <w:t>references</w:t>
      </w:r>
      <w:r w:rsidR="003A573E">
        <w:rPr>
          <w:sz w:val="26"/>
          <w:szCs w:val="26"/>
        </w:rPr>
        <w:t xml:space="preserve"> </w:t>
      </w:r>
      <w:r w:rsidR="001074A1">
        <w:rPr>
          <w:sz w:val="26"/>
          <w:szCs w:val="26"/>
        </w:rPr>
        <w:t xml:space="preserve">the </w:t>
      </w:r>
      <w:r w:rsidR="00B822C2">
        <w:rPr>
          <w:sz w:val="26"/>
          <w:szCs w:val="26"/>
        </w:rPr>
        <w:t xml:space="preserve">three purported reasons put forth by DII as to why </w:t>
      </w:r>
      <w:r w:rsidR="000F1780">
        <w:rPr>
          <w:sz w:val="26"/>
          <w:szCs w:val="26"/>
        </w:rPr>
        <w:t>DII</w:t>
      </w:r>
      <w:r w:rsidR="001074A1">
        <w:rPr>
          <w:sz w:val="26"/>
          <w:szCs w:val="26"/>
        </w:rPr>
        <w:t xml:space="preserve"> believes </w:t>
      </w:r>
      <w:r w:rsidR="00814891">
        <w:rPr>
          <w:sz w:val="26"/>
          <w:szCs w:val="26"/>
        </w:rPr>
        <w:t xml:space="preserve">the demand charge in </w:t>
      </w:r>
      <w:r w:rsidR="00BF7139">
        <w:rPr>
          <w:sz w:val="26"/>
          <w:szCs w:val="26"/>
        </w:rPr>
        <w:t>Rider</w:t>
      </w:r>
      <w:r w:rsidR="001F75B6">
        <w:rPr>
          <w:sz w:val="26"/>
          <w:szCs w:val="26"/>
        </w:rPr>
        <w:t xml:space="preserve"> No.</w:t>
      </w:r>
      <w:r w:rsidR="005D4E46">
        <w:rPr>
          <w:sz w:val="26"/>
          <w:szCs w:val="26"/>
        </w:rPr>
        <w:t> </w:t>
      </w:r>
      <w:r w:rsidR="001F75B6">
        <w:rPr>
          <w:sz w:val="26"/>
          <w:szCs w:val="26"/>
        </w:rPr>
        <w:t>16</w:t>
      </w:r>
      <w:r>
        <w:rPr>
          <w:sz w:val="26"/>
          <w:szCs w:val="26"/>
        </w:rPr>
        <w:t xml:space="preserve"> </w:t>
      </w:r>
      <w:r w:rsidR="00792368">
        <w:rPr>
          <w:sz w:val="26"/>
          <w:szCs w:val="26"/>
        </w:rPr>
        <w:t xml:space="preserve">should </w:t>
      </w:r>
      <w:r w:rsidR="00E6502C">
        <w:rPr>
          <w:sz w:val="26"/>
          <w:szCs w:val="26"/>
        </w:rPr>
        <w:t>b</w:t>
      </w:r>
      <w:r w:rsidR="005D4E46">
        <w:rPr>
          <w:sz w:val="26"/>
          <w:szCs w:val="26"/>
        </w:rPr>
        <w:t xml:space="preserve">e </w:t>
      </w:r>
      <w:r w:rsidR="00792368">
        <w:rPr>
          <w:sz w:val="26"/>
          <w:szCs w:val="26"/>
        </w:rPr>
        <w:t xml:space="preserve">applied </w:t>
      </w:r>
      <w:r>
        <w:rPr>
          <w:sz w:val="26"/>
          <w:szCs w:val="26"/>
        </w:rPr>
        <w:t>on</w:t>
      </w:r>
      <w:r w:rsidR="00792368">
        <w:rPr>
          <w:sz w:val="26"/>
          <w:szCs w:val="26"/>
        </w:rPr>
        <w:t xml:space="preserve">ly on </w:t>
      </w:r>
      <w:r>
        <w:rPr>
          <w:sz w:val="26"/>
          <w:szCs w:val="26"/>
        </w:rPr>
        <w:t>a</w:t>
      </w:r>
      <w:r w:rsidR="009C4E71">
        <w:rPr>
          <w:sz w:val="26"/>
          <w:szCs w:val="26"/>
        </w:rPr>
        <w:t>n</w:t>
      </w:r>
      <w:r>
        <w:rPr>
          <w:sz w:val="26"/>
          <w:szCs w:val="26"/>
        </w:rPr>
        <w:t xml:space="preserve"> </w:t>
      </w:r>
      <w:r w:rsidR="001E73FA">
        <w:rPr>
          <w:sz w:val="26"/>
          <w:szCs w:val="26"/>
        </w:rPr>
        <w:t>“</w:t>
      </w:r>
      <w:r>
        <w:rPr>
          <w:sz w:val="26"/>
          <w:szCs w:val="26"/>
        </w:rPr>
        <w:t>as used</w:t>
      </w:r>
      <w:r w:rsidR="001E73FA">
        <w:rPr>
          <w:sz w:val="26"/>
          <w:szCs w:val="26"/>
        </w:rPr>
        <w:t>”</w:t>
      </w:r>
      <w:r>
        <w:rPr>
          <w:sz w:val="26"/>
          <w:szCs w:val="26"/>
        </w:rPr>
        <w:t xml:space="preserve"> basis</w:t>
      </w:r>
      <w:r w:rsidR="00E6502C">
        <w:rPr>
          <w:sz w:val="26"/>
          <w:szCs w:val="26"/>
        </w:rPr>
        <w:t>.</w:t>
      </w:r>
      <w:r w:rsidR="005D4E46">
        <w:rPr>
          <w:sz w:val="26"/>
          <w:szCs w:val="26"/>
        </w:rPr>
        <w:t xml:space="preserve"> </w:t>
      </w:r>
      <w:r>
        <w:rPr>
          <w:sz w:val="26"/>
          <w:szCs w:val="26"/>
        </w:rPr>
        <w:t xml:space="preserve"> </w:t>
      </w:r>
      <w:r w:rsidR="00C24792">
        <w:rPr>
          <w:sz w:val="26"/>
          <w:szCs w:val="26"/>
        </w:rPr>
        <w:t xml:space="preserve">In response to </w:t>
      </w:r>
      <w:r w:rsidR="000F1780">
        <w:rPr>
          <w:sz w:val="26"/>
          <w:szCs w:val="26"/>
        </w:rPr>
        <w:t>DII</w:t>
      </w:r>
      <w:r w:rsidR="00C24792">
        <w:rPr>
          <w:sz w:val="26"/>
          <w:szCs w:val="26"/>
        </w:rPr>
        <w:t xml:space="preserve">’s argument that the </w:t>
      </w:r>
      <w:r w:rsidR="001074A1">
        <w:rPr>
          <w:sz w:val="26"/>
          <w:szCs w:val="26"/>
        </w:rPr>
        <w:t>“</w:t>
      </w:r>
      <w:r w:rsidR="00C24792">
        <w:rPr>
          <w:sz w:val="26"/>
          <w:szCs w:val="26"/>
        </w:rPr>
        <w:t>as</w:t>
      </w:r>
      <w:r w:rsidR="001074A1">
        <w:rPr>
          <w:sz w:val="26"/>
          <w:szCs w:val="26"/>
        </w:rPr>
        <w:t xml:space="preserve"> </w:t>
      </w:r>
      <w:r w:rsidR="00C24792">
        <w:rPr>
          <w:sz w:val="26"/>
          <w:szCs w:val="26"/>
        </w:rPr>
        <w:t>used</w:t>
      </w:r>
      <w:r w:rsidR="001074A1">
        <w:rPr>
          <w:sz w:val="26"/>
          <w:szCs w:val="26"/>
        </w:rPr>
        <w:t>”</w:t>
      </w:r>
      <w:r w:rsidR="00C24792">
        <w:rPr>
          <w:sz w:val="26"/>
          <w:szCs w:val="26"/>
        </w:rPr>
        <w:t xml:space="preserve"> application encourages efficient operation of the CHP system by incenting customer-generators to avoi</w:t>
      </w:r>
      <w:r w:rsidR="009A169D">
        <w:rPr>
          <w:sz w:val="26"/>
          <w:szCs w:val="26"/>
        </w:rPr>
        <w:t>d</w:t>
      </w:r>
      <w:r w:rsidR="00C24792">
        <w:rPr>
          <w:sz w:val="26"/>
          <w:szCs w:val="26"/>
        </w:rPr>
        <w:t xml:space="preserve"> outages, </w:t>
      </w:r>
      <w:r>
        <w:rPr>
          <w:sz w:val="26"/>
          <w:szCs w:val="26"/>
        </w:rPr>
        <w:t xml:space="preserve">Duquesne </w:t>
      </w:r>
      <w:r w:rsidR="00E6502C">
        <w:rPr>
          <w:sz w:val="26"/>
          <w:szCs w:val="26"/>
        </w:rPr>
        <w:t xml:space="preserve">argued that </w:t>
      </w:r>
      <w:r w:rsidR="009A169D">
        <w:rPr>
          <w:sz w:val="26"/>
          <w:szCs w:val="26"/>
        </w:rPr>
        <w:t xml:space="preserve">it is unreasonable for </w:t>
      </w:r>
      <w:r w:rsidR="00E6502C">
        <w:rPr>
          <w:sz w:val="26"/>
          <w:szCs w:val="26"/>
        </w:rPr>
        <w:t xml:space="preserve">the demand charge </w:t>
      </w:r>
      <w:r w:rsidR="009A169D">
        <w:rPr>
          <w:sz w:val="26"/>
          <w:szCs w:val="26"/>
        </w:rPr>
        <w:t xml:space="preserve">to be </w:t>
      </w:r>
      <w:r w:rsidR="00E6502C">
        <w:rPr>
          <w:sz w:val="26"/>
          <w:szCs w:val="26"/>
        </w:rPr>
        <w:t xml:space="preserve">applied on an “as used” basis because </w:t>
      </w:r>
      <w:r>
        <w:rPr>
          <w:sz w:val="26"/>
          <w:szCs w:val="26"/>
        </w:rPr>
        <w:t xml:space="preserve">CHP customers </w:t>
      </w:r>
      <w:r w:rsidR="007861D7">
        <w:rPr>
          <w:sz w:val="26"/>
          <w:szCs w:val="26"/>
        </w:rPr>
        <w:t xml:space="preserve">must </w:t>
      </w:r>
      <w:r>
        <w:rPr>
          <w:sz w:val="26"/>
          <w:szCs w:val="26"/>
        </w:rPr>
        <w:t>replace the generation their units do not provide during an outage</w:t>
      </w:r>
      <w:r w:rsidR="00F218DB">
        <w:rPr>
          <w:sz w:val="26"/>
          <w:szCs w:val="26"/>
        </w:rPr>
        <w:t>.  Duquesne maintains that generation replacement costs are substantial</w:t>
      </w:r>
      <w:r w:rsidR="00303B7D">
        <w:rPr>
          <w:sz w:val="26"/>
          <w:szCs w:val="26"/>
        </w:rPr>
        <w:t xml:space="preserve"> and that its w</w:t>
      </w:r>
      <w:r w:rsidR="007C7972">
        <w:rPr>
          <w:sz w:val="26"/>
          <w:szCs w:val="26"/>
        </w:rPr>
        <w:t>itness</w:t>
      </w:r>
      <w:r w:rsidR="00303B7D">
        <w:rPr>
          <w:sz w:val="26"/>
          <w:szCs w:val="26"/>
        </w:rPr>
        <w:t>, Neil S.</w:t>
      </w:r>
      <w:r w:rsidR="007C7972">
        <w:rPr>
          <w:sz w:val="26"/>
          <w:szCs w:val="26"/>
        </w:rPr>
        <w:t xml:space="preserve"> Fisher calculated this cost to be over </w:t>
      </w:r>
      <w:r>
        <w:rPr>
          <w:sz w:val="26"/>
          <w:szCs w:val="26"/>
        </w:rPr>
        <w:t>$4</w:t>
      </w:r>
      <w:r w:rsidR="00303B7D">
        <w:rPr>
          <w:sz w:val="26"/>
          <w:szCs w:val="26"/>
        </w:rPr>
        <w:t>9</w:t>
      </w:r>
      <w:r>
        <w:rPr>
          <w:sz w:val="26"/>
          <w:szCs w:val="26"/>
        </w:rPr>
        <w:t xml:space="preserve"> per MWH</w:t>
      </w:r>
      <w:r w:rsidR="007C7972">
        <w:rPr>
          <w:sz w:val="26"/>
          <w:szCs w:val="26"/>
        </w:rPr>
        <w:t xml:space="preserve">. </w:t>
      </w:r>
      <w:r>
        <w:rPr>
          <w:sz w:val="26"/>
          <w:szCs w:val="26"/>
        </w:rPr>
        <w:t xml:space="preserve"> Duquesne </w:t>
      </w:r>
      <w:r w:rsidR="00303B7D">
        <w:rPr>
          <w:sz w:val="26"/>
          <w:szCs w:val="26"/>
        </w:rPr>
        <w:t xml:space="preserve">also </w:t>
      </w:r>
      <w:r>
        <w:rPr>
          <w:sz w:val="26"/>
          <w:szCs w:val="26"/>
        </w:rPr>
        <w:t>notes that back-up distribution charges are only a small fraction (less than 3</w:t>
      </w:r>
      <w:r w:rsidR="00FC5B12">
        <w:rPr>
          <w:sz w:val="26"/>
          <w:szCs w:val="26"/>
        </w:rPr>
        <w:noBreakHyphen/>
      </w:r>
      <w:r>
        <w:rPr>
          <w:sz w:val="26"/>
          <w:szCs w:val="26"/>
        </w:rPr>
        <w:t>4%) of a CHP customer</w:t>
      </w:r>
      <w:r w:rsidR="001E73FA">
        <w:rPr>
          <w:sz w:val="26"/>
          <w:szCs w:val="26"/>
        </w:rPr>
        <w:t>’</w:t>
      </w:r>
      <w:r>
        <w:rPr>
          <w:sz w:val="26"/>
          <w:szCs w:val="26"/>
        </w:rPr>
        <w:t xml:space="preserve">s total bill and these customers will be sufficiently motivated to avoid unplanned outages by the generation </w:t>
      </w:r>
      <w:r w:rsidR="007861D7">
        <w:rPr>
          <w:sz w:val="26"/>
          <w:szCs w:val="26"/>
        </w:rPr>
        <w:t xml:space="preserve">replacement </w:t>
      </w:r>
      <w:r>
        <w:rPr>
          <w:sz w:val="26"/>
          <w:szCs w:val="26"/>
        </w:rPr>
        <w:t xml:space="preserve">costs rather than </w:t>
      </w:r>
      <w:r w:rsidR="007861D7">
        <w:rPr>
          <w:sz w:val="26"/>
          <w:szCs w:val="26"/>
        </w:rPr>
        <w:t xml:space="preserve">any back-up </w:t>
      </w:r>
      <w:r>
        <w:rPr>
          <w:sz w:val="26"/>
          <w:szCs w:val="26"/>
        </w:rPr>
        <w:lastRenderedPageBreak/>
        <w:t xml:space="preserve">distribution costs incurred.  </w:t>
      </w:r>
      <w:r w:rsidR="007861D7">
        <w:rPr>
          <w:sz w:val="26"/>
          <w:szCs w:val="26"/>
        </w:rPr>
        <w:t>Duquesne Exc. at 12-13 (citing D</w:t>
      </w:r>
      <w:r w:rsidR="008E6371">
        <w:rPr>
          <w:sz w:val="26"/>
          <w:szCs w:val="26"/>
        </w:rPr>
        <w:t>uquesne</w:t>
      </w:r>
      <w:r w:rsidR="007861D7">
        <w:rPr>
          <w:sz w:val="26"/>
          <w:szCs w:val="26"/>
        </w:rPr>
        <w:t xml:space="preserve"> St. 16-R at 30, Revised Fig. 4; D</w:t>
      </w:r>
      <w:r w:rsidR="008E6371">
        <w:rPr>
          <w:sz w:val="26"/>
          <w:szCs w:val="26"/>
        </w:rPr>
        <w:t>uquesne</w:t>
      </w:r>
      <w:r w:rsidR="007861D7">
        <w:rPr>
          <w:sz w:val="26"/>
          <w:szCs w:val="26"/>
        </w:rPr>
        <w:t xml:space="preserve"> St. 16-R at 28, Fig. 3).</w:t>
      </w:r>
    </w:p>
    <w:p w:rsidR="00492FF3" w:rsidRDefault="00492FF3" w:rsidP="007D3734">
      <w:pPr>
        <w:widowControl/>
        <w:spacing w:line="360" w:lineRule="auto"/>
        <w:contextualSpacing/>
        <w:rPr>
          <w:sz w:val="26"/>
          <w:szCs w:val="26"/>
        </w:rPr>
      </w:pPr>
    </w:p>
    <w:p w:rsidR="00492FF3" w:rsidRDefault="00492FF3" w:rsidP="007D3734">
      <w:pPr>
        <w:widowControl/>
        <w:spacing w:line="360" w:lineRule="auto"/>
        <w:contextualSpacing/>
        <w:rPr>
          <w:sz w:val="26"/>
          <w:szCs w:val="26"/>
        </w:rPr>
      </w:pPr>
      <w:r>
        <w:rPr>
          <w:sz w:val="26"/>
          <w:szCs w:val="26"/>
        </w:rPr>
        <w:tab/>
      </w:r>
      <w:r w:rsidR="0011592B">
        <w:rPr>
          <w:sz w:val="26"/>
          <w:szCs w:val="26"/>
        </w:rPr>
        <w:tab/>
      </w:r>
      <w:r w:rsidR="00A831FA">
        <w:rPr>
          <w:sz w:val="26"/>
          <w:szCs w:val="26"/>
        </w:rPr>
        <w:t>Second</w:t>
      </w:r>
      <w:r w:rsidR="00B02C84">
        <w:rPr>
          <w:sz w:val="26"/>
          <w:szCs w:val="26"/>
        </w:rPr>
        <w:t>ly</w:t>
      </w:r>
      <w:r w:rsidR="00A831FA">
        <w:rPr>
          <w:sz w:val="26"/>
          <w:szCs w:val="26"/>
        </w:rPr>
        <w:t>, Duquesne</w:t>
      </w:r>
      <w:r w:rsidR="007861D7">
        <w:rPr>
          <w:sz w:val="26"/>
          <w:szCs w:val="26"/>
        </w:rPr>
        <w:t xml:space="preserve"> disagrees with DII</w:t>
      </w:r>
      <w:r w:rsidR="001E73FA">
        <w:rPr>
          <w:sz w:val="26"/>
          <w:szCs w:val="26"/>
        </w:rPr>
        <w:t>’</w:t>
      </w:r>
      <w:r w:rsidR="007861D7">
        <w:rPr>
          <w:sz w:val="26"/>
          <w:szCs w:val="26"/>
        </w:rPr>
        <w:t xml:space="preserve">s contention that </w:t>
      </w:r>
      <w:r w:rsidR="007C61EB">
        <w:rPr>
          <w:sz w:val="26"/>
          <w:szCs w:val="26"/>
        </w:rPr>
        <w:t xml:space="preserve">back-up demand charges should be applied on an “as-used” basis </w:t>
      </w:r>
      <w:r w:rsidR="00DF4394">
        <w:rPr>
          <w:sz w:val="26"/>
          <w:szCs w:val="26"/>
        </w:rPr>
        <w:t>because th</w:t>
      </w:r>
      <w:r w:rsidR="007C61EB">
        <w:rPr>
          <w:sz w:val="26"/>
          <w:szCs w:val="26"/>
        </w:rPr>
        <w:t>at is the wa</w:t>
      </w:r>
      <w:r w:rsidR="00DF4394">
        <w:rPr>
          <w:sz w:val="26"/>
          <w:szCs w:val="26"/>
        </w:rPr>
        <w:t xml:space="preserve">y </w:t>
      </w:r>
      <w:r w:rsidR="007C61EB">
        <w:rPr>
          <w:sz w:val="26"/>
          <w:szCs w:val="26"/>
        </w:rPr>
        <w:t xml:space="preserve">demand charges </w:t>
      </w:r>
      <w:r w:rsidR="00DF4394">
        <w:rPr>
          <w:sz w:val="26"/>
          <w:szCs w:val="26"/>
        </w:rPr>
        <w:t>are applied for general service rates</w:t>
      </w:r>
      <w:r w:rsidR="004A1FD5">
        <w:rPr>
          <w:sz w:val="26"/>
          <w:szCs w:val="26"/>
        </w:rPr>
        <w:t>.</w:t>
      </w:r>
      <w:r w:rsidR="007861D7">
        <w:rPr>
          <w:sz w:val="26"/>
          <w:szCs w:val="26"/>
        </w:rPr>
        <w:t xml:space="preserve"> </w:t>
      </w:r>
      <w:r w:rsidR="004A1FD5">
        <w:rPr>
          <w:sz w:val="26"/>
          <w:szCs w:val="26"/>
        </w:rPr>
        <w:t xml:space="preserve"> </w:t>
      </w:r>
      <w:r w:rsidR="00A831FA">
        <w:rPr>
          <w:sz w:val="26"/>
          <w:szCs w:val="26"/>
        </w:rPr>
        <w:t>Duquesne</w:t>
      </w:r>
      <w:r w:rsidR="007861D7">
        <w:rPr>
          <w:sz w:val="26"/>
          <w:szCs w:val="26"/>
        </w:rPr>
        <w:t xml:space="preserve"> notes that because </w:t>
      </w:r>
      <w:r w:rsidR="0010424C">
        <w:rPr>
          <w:sz w:val="26"/>
          <w:szCs w:val="26"/>
        </w:rPr>
        <w:t xml:space="preserve">demand charges </w:t>
      </w:r>
      <w:r w:rsidR="007861D7">
        <w:rPr>
          <w:sz w:val="26"/>
          <w:szCs w:val="26"/>
        </w:rPr>
        <w:t xml:space="preserve">are applied on an </w:t>
      </w:r>
      <w:r w:rsidR="001E73FA">
        <w:rPr>
          <w:sz w:val="26"/>
          <w:szCs w:val="26"/>
        </w:rPr>
        <w:t>“</w:t>
      </w:r>
      <w:r w:rsidR="007861D7">
        <w:rPr>
          <w:sz w:val="26"/>
          <w:szCs w:val="26"/>
        </w:rPr>
        <w:t>as used</w:t>
      </w:r>
      <w:r w:rsidR="001E73FA">
        <w:rPr>
          <w:sz w:val="26"/>
          <w:szCs w:val="26"/>
        </w:rPr>
        <w:t>”</w:t>
      </w:r>
      <w:r w:rsidR="007861D7">
        <w:rPr>
          <w:sz w:val="26"/>
          <w:szCs w:val="26"/>
        </w:rPr>
        <w:t xml:space="preserve"> basis for general ser</w:t>
      </w:r>
      <w:r w:rsidR="00A831FA">
        <w:rPr>
          <w:sz w:val="26"/>
          <w:szCs w:val="26"/>
        </w:rPr>
        <w:t>vice</w:t>
      </w:r>
      <w:r w:rsidR="007861D7">
        <w:rPr>
          <w:sz w:val="26"/>
          <w:szCs w:val="26"/>
        </w:rPr>
        <w:t>, the</w:t>
      </w:r>
      <w:r w:rsidR="0010424C">
        <w:rPr>
          <w:sz w:val="26"/>
          <w:szCs w:val="26"/>
        </w:rPr>
        <w:t>y</w:t>
      </w:r>
      <w:r w:rsidR="007861D7">
        <w:rPr>
          <w:sz w:val="26"/>
          <w:szCs w:val="26"/>
        </w:rPr>
        <w:t xml:space="preserve"> </w:t>
      </w:r>
      <w:r w:rsidR="00A831FA">
        <w:rPr>
          <w:sz w:val="26"/>
          <w:szCs w:val="26"/>
        </w:rPr>
        <w:t>are</w:t>
      </w:r>
      <w:r w:rsidR="007861D7">
        <w:rPr>
          <w:sz w:val="26"/>
          <w:szCs w:val="26"/>
        </w:rPr>
        <w:t xml:space="preserve"> much higher than the $2.50 per kW rate of </w:t>
      </w:r>
      <w:r w:rsidR="00BF7139">
        <w:rPr>
          <w:sz w:val="26"/>
          <w:szCs w:val="26"/>
        </w:rPr>
        <w:t>Rider</w:t>
      </w:r>
      <w:r w:rsidR="001F75B6">
        <w:rPr>
          <w:sz w:val="26"/>
          <w:szCs w:val="26"/>
        </w:rPr>
        <w:t xml:space="preserve"> No. 16</w:t>
      </w:r>
      <w:r w:rsidR="007861D7">
        <w:rPr>
          <w:sz w:val="26"/>
          <w:szCs w:val="26"/>
        </w:rPr>
        <w:t xml:space="preserve">.  </w:t>
      </w:r>
      <w:r w:rsidR="00A831FA">
        <w:rPr>
          <w:sz w:val="26"/>
          <w:szCs w:val="26"/>
        </w:rPr>
        <w:t>Duquesne</w:t>
      </w:r>
      <w:r w:rsidR="007861D7">
        <w:rPr>
          <w:sz w:val="26"/>
          <w:szCs w:val="26"/>
        </w:rPr>
        <w:t xml:space="preserve"> </w:t>
      </w:r>
      <w:r w:rsidR="00DF4394">
        <w:rPr>
          <w:sz w:val="26"/>
          <w:szCs w:val="26"/>
        </w:rPr>
        <w:t xml:space="preserve">avers that </w:t>
      </w:r>
      <w:r w:rsidR="00A831FA">
        <w:rPr>
          <w:sz w:val="26"/>
          <w:szCs w:val="26"/>
        </w:rPr>
        <w:t xml:space="preserve">a </w:t>
      </w:r>
      <w:r w:rsidR="007861D7">
        <w:rPr>
          <w:sz w:val="26"/>
          <w:szCs w:val="26"/>
        </w:rPr>
        <w:t>CHP customer</w:t>
      </w:r>
      <w:r w:rsidR="00A831FA">
        <w:rPr>
          <w:sz w:val="26"/>
          <w:szCs w:val="26"/>
        </w:rPr>
        <w:t xml:space="preserve"> who</w:t>
      </w:r>
      <w:r w:rsidR="007861D7">
        <w:rPr>
          <w:sz w:val="26"/>
          <w:szCs w:val="26"/>
        </w:rPr>
        <w:t xml:space="preserve"> believes it can </w:t>
      </w:r>
      <w:r w:rsidR="00A831FA">
        <w:rPr>
          <w:sz w:val="26"/>
          <w:szCs w:val="26"/>
        </w:rPr>
        <w:t>operate</w:t>
      </w:r>
      <w:r w:rsidR="007861D7">
        <w:rPr>
          <w:sz w:val="26"/>
          <w:szCs w:val="26"/>
        </w:rPr>
        <w:t xml:space="preserve"> its generator efficiently and avoid outages during on-peak perio</w:t>
      </w:r>
      <w:r w:rsidR="00A831FA">
        <w:rPr>
          <w:sz w:val="26"/>
          <w:szCs w:val="26"/>
        </w:rPr>
        <w:t>d</w:t>
      </w:r>
      <w:r w:rsidR="007861D7">
        <w:rPr>
          <w:sz w:val="26"/>
          <w:szCs w:val="26"/>
        </w:rPr>
        <w:t>s</w:t>
      </w:r>
      <w:r w:rsidR="00A831FA">
        <w:rPr>
          <w:sz w:val="26"/>
          <w:szCs w:val="26"/>
        </w:rPr>
        <w:t xml:space="preserve"> </w:t>
      </w:r>
      <w:r w:rsidR="007861D7">
        <w:rPr>
          <w:sz w:val="26"/>
          <w:szCs w:val="26"/>
        </w:rPr>
        <w:t xml:space="preserve">has the flexibility to remain on its general service rate without electing </w:t>
      </w:r>
      <w:r w:rsidR="00BF7139">
        <w:rPr>
          <w:sz w:val="26"/>
          <w:szCs w:val="26"/>
        </w:rPr>
        <w:t>Rider</w:t>
      </w:r>
      <w:r w:rsidR="001F75B6">
        <w:rPr>
          <w:sz w:val="26"/>
          <w:szCs w:val="26"/>
        </w:rPr>
        <w:t xml:space="preserve"> No.</w:t>
      </w:r>
      <w:r w:rsidR="004A1FD5">
        <w:rPr>
          <w:sz w:val="26"/>
          <w:szCs w:val="26"/>
        </w:rPr>
        <w:t> </w:t>
      </w:r>
      <w:r w:rsidR="001F75B6">
        <w:rPr>
          <w:sz w:val="26"/>
          <w:szCs w:val="26"/>
        </w:rPr>
        <w:t>16</w:t>
      </w:r>
      <w:r w:rsidR="007861D7">
        <w:rPr>
          <w:sz w:val="26"/>
          <w:szCs w:val="26"/>
        </w:rPr>
        <w:t xml:space="preserve">.  </w:t>
      </w:r>
      <w:r w:rsidR="00A831FA">
        <w:rPr>
          <w:sz w:val="26"/>
          <w:szCs w:val="26"/>
        </w:rPr>
        <w:t>Duquesne</w:t>
      </w:r>
      <w:r w:rsidR="007861D7">
        <w:rPr>
          <w:sz w:val="26"/>
          <w:szCs w:val="26"/>
        </w:rPr>
        <w:t xml:space="preserve"> </w:t>
      </w:r>
      <w:r w:rsidR="00BE5D36">
        <w:rPr>
          <w:sz w:val="26"/>
          <w:szCs w:val="26"/>
        </w:rPr>
        <w:t xml:space="preserve">also </w:t>
      </w:r>
      <w:r w:rsidR="001D29AF">
        <w:rPr>
          <w:sz w:val="26"/>
          <w:szCs w:val="26"/>
        </w:rPr>
        <w:t xml:space="preserve">contends that the </w:t>
      </w:r>
      <w:r w:rsidR="001E73FA">
        <w:rPr>
          <w:sz w:val="26"/>
          <w:szCs w:val="26"/>
        </w:rPr>
        <w:t>“</w:t>
      </w:r>
      <w:r w:rsidR="007861D7">
        <w:rPr>
          <w:sz w:val="26"/>
          <w:szCs w:val="26"/>
        </w:rPr>
        <w:t>spikes and dips</w:t>
      </w:r>
      <w:r w:rsidR="001E73FA">
        <w:rPr>
          <w:sz w:val="26"/>
          <w:szCs w:val="26"/>
        </w:rPr>
        <w:t>”</w:t>
      </w:r>
      <w:r w:rsidR="007861D7">
        <w:rPr>
          <w:sz w:val="26"/>
          <w:szCs w:val="26"/>
        </w:rPr>
        <w:t xml:space="preserve"> i</w:t>
      </w:r>
      <w:r w:rsidR="00A831FA">
        <w:rPr>
          <w:sz w:val="26"/>
          <w:szCs w:val="26"/>
        </w:rPr>
        <w:t>n</w:t>
      </w:r>
      <w:r w:rsidR="007861D7">
        <w:rPr>
          <w:sz w:val="26"/>
          <w:szCs w:val="26"/>
        </w:rPr>
        <w:t xml:space="preserve"> usage </w:t>
      </w:r>
      <w:r w:rsidR="001D29AF">
        <w:rPr>
          <w:sz w:val="26"/>
          <w:szCs w:val="26"/>
        </w:rPr>
        <w:t xml:space="preserve">that general service customers exhibit and which </w:t>
      </w:r>
      <w:r w:rsidR="000F1780">
        <w:rPr>
          <w:sz w:val="26"/>
          <w:szCs w:val="26"/>
        </w:rPr>
        <w:t>DII</w:t>
      </w:r>
      <w:r w:rsidR="001D29AF">
        <w:rPr>
          <w:sz w:val="26"/>
          <w:szCs w:val="26"/>
        </w:rPr>
        <w:t xml:space="preserve"> alluded to as a reason to apply a back-up rate on an “as used” </w:t>
      </w:r>
      <w:r w:rsidR="007861D7">
        <w:rPr>
          <w:sz w:val="26"/>
          <w:szCs w:val="26"/>
        </w:rPr>
        <w:t>are not a measure of the peak demand that the system must be designed to meet.</w:t>
      </w:r>
      <w:r w:rsidR="00A831FA">
        <w:rPr>
          <w:sz w:val="26"/>
          <w:szCs w:val="26"/>
        </w:rPr>
        <w:t xml:space="preserve">  Duquesne Exc. at 13 (citing Duquesne St. 16-RJ at 6-7; Duquesne I.B. at 27, Duquesne R.B at 27-29; Duquesne St. 14-R at 30).</w:t>
      </w:r>
    </w:p>
    <w:p w:rsidR="007861D7" w:rsidRDefault="007861D7" w:rsidP="007D3734">
      <w:pPr>
        <w:widowControl/>
        <w:spacing w:line="360" w:lineRule="auto"/>
        <w:contextualSpacing/>
        <w:rPr>
          <w:sz w:val="26"/>
          <w:szCs w:val="26"/>
        </w:rPr>
      </w:pPr>
    </w:p>
    <w:p w:rsidR="00A831FA" w:rsidRDefault="007861D7" w:rsidP="007D3734">
      <w:pPr>
        <w:widowControl/>
        <w:spacing w:line="360" w:lineRule="auto"/>
        <w:ind w:firstLine="1440"/>
        <w:contextualSpacing/>
        <w:rPr>
          <w:sz w:val="26"/>
          <w:szCs w:val="26"/>
        </w:rPr>
      </w:pPr>
      <w:r>
        <w:rPr>
          <w:sz w:val="26"/>
          <w:szCs w:val="26"/>
        </w:rPr>
        <w:t xml:space="preserve">Finally, </w:t>
      </w:r>
      <w:r w:rsidR="00A831FA">
        <w:rPr>
          <w:sz w:val="26"/>
          <w:szCs w:val="26"/>
        </w:rPr>
        <w:t>Duquesne disagrees with DII</w:t>
      </w:r>
      <w:r w:rsidR="001E73FA">
        <w:rPr>
          <w:sz w:val="26"/>
          <w:szCs w:val="26"/>
        </w:rPr>
        <w:t>’</w:t>
      </w:r>
      <w:r w:rsidR="00A831FA">
        <w:rPr>
          <w:sz w:val="26"/>
          <w:szCs w:val="26"/>
        </w:rPr>
        <w:t xml:space="preserve">s argument that applying the demand charge to </w:t>
      </w:r>
      <w:r w:rsidR="001E73FA">
        <w:rPr>
          <w:sz w:val="26"/>
          <w:szCs w:val="26"/>
        </w:rPr>
        <w:t>“</w:t>
      </w:r>
      <w:r w:rsidR="00A831FA">
        <w:rPr>
          <w:sz w:val="26"/>
          <w:szCs w:val="26"/>
        </w:rPr>
        <w:t>as used</w:t>
      </w:r>
      <w:r w:rsidR="001E73FA">
        <w:rPr>
          <w:sz w:val="26"/>
          <w:szCs w:val="26"/>
        </w:rPr>
        <w:t>”</w:t>
      </w:r>
      <w:r w:rsidR="00A831FA">
        <w:rPr>
          <w:sz w:val="26"/>
          <w:szCs w:val="26"/>
        </w:rPr>
        <w:t xml:space="preserve"> demand is necessary to conform </w:t>
      </w:r>
      <w:r w:rsidR="00BF7139">
        <w:rPr>
          <w:sz w:val="26"/>
          <w:szCs w:val="26"/>
        </w:rPr>
        <w:t>Rider</w:t>
      </w:r>
      <w:r w:rsidR="001F75B6">
        <w:rPr>
          <w:sz w:val="26"/>
          <w:szCs w:val="26"/>
        </w:rPr>
        <w:t xml:space="preserve"> No. 16</w:t>
      </w:r>
      <w:r w:rsidR="00A831FA">
        <w:rPr>
          <w:sz w:val="26"/>
          <w:szCs w:val="26"/>
        </w:rPr>
        <w:t xml:space="preserve"> to the billing practice for the existing </w:t>
      </w:r>
      <w:r w:rsidR="00BF7139">
        <w:rPr>
          <w:sz w:val="26"/>
          <w:szCs w:val="26"/>
        </w:rPr>
        <w:t>Rider</w:t>
      </w:r>
      <w:r w:rsidR="001F75B6">
        <w:rPr>
          <w:sz w:val="26"/>
          <w:szCs w:val="26"/>
        </w:rPr>
        <w:t xml:space="preserve"> No. 16</w:t>
      </w:r>
      <w:r w:rsidR="00A831FA">
        <w:rPr>
          <w:sz w:val="26"/>
          <w:szCs w:val="26"/>
        </w:rPr>
        <w:t xml:space="preserve"> customer.  Duquesne </w:t>
      </w:r>
      <w:r w:rsidR="005B5E53">
        <w:rPr>
          <w:sz w:val="26"/>
          <w:szCs w:val="26"/>
        </w:rPr>
        <w:t xml:space="preserve">submits </w:t>
      </w:r>
      <w:r w:rsidR="00A831FA">
        <w:rPr>
          <w:sz w:val="26"/>
          <w:szCs w:val="26"/>
        </w:rPr>
        <w:t xml:space="preserve">that </w:t>
      </w:r>
      <w:r w:rsidR="005B5E53">
        <w:rPr>
          <w:sz w:val="26"/>
          <w:szCs w:val="26"/>
        </w:rPr>
        <w:t xml:space="preserve">it </w:t>
      </w:r>
      <w:r w:rsidR="00A831FA">
        <w:rPr>
          <w:sz w:val="26"/>
          <w:szCs w:val="26"/>
        </w:rPr>
        <w:t>has signed a</w:t>
      </w:r>
      <w:r w:rsidR="005B5E53">
        <w:rPr>
          <w:sz w:val="26"/>
          <w:szCs w:val="26"/>
        </w:rPr>
        <w:t>n</w:t>
      </w:r>
      <w:r w:rsidR="00A831FA">
        <w:rPr>
          <w:sz w:val="26"/>
          <w:szCs w:val="26"/>
        </w:rPr>
        <w:t xml:space="preserve"> MOU with Duquesne University </w:t>
      </w:r>
      <w:r w:rsidR="005B5E53">
        <w:rPr>
          <w:sz w:val="26"/>
          <w:szCs w:val="26"/>
        </w:rPr>
        <w:t xml:space="preserve">under which </w:t>
      </w:r>
      <w:r w:rsidR="00A831FA">
        <w:rPr>
          <w:sz w:val="26"/>
          <w:szCs w:val="26"/>
        </w:rPr>
        <w:t>the demand charge will apply to the university</w:t>
      </w:r>
      <w:r w:rsidR="001E73FA">
        <w:rPr>
          <w:sz w:val="26"/>
          <w:szCs w:val="26"/>
        </w:rPr>
        <w:t>’</w:t>
      </w:r>
      <w:r w:rsidR="00A831FA">
        <w:rPr>
          <w:sz w:val="26"/>
          <w:szCs w:val="26"/>
        </w:rPr>
        <w:t>s contracted demand charge</w:t>
      </w:r>
      <w:r w:rsidR="00576769">
        <w:rPr>
          <w:sz w:val="26"/>
          <w:szCs w:val="26"/>
        </w:rPr>
        <w:t>, and thus makes</w:t>
      </w:r>
      <w:r w:rsidR="00A831FA">
        <w:rPr>
          <w:sz w:val="26"/>
          <w:szCs w:val="26"/>
        </w:rPr>
        <w:t xml:space="preserve"> the terms of </w:t>
      </w:r>
      <w:r w:rsidR="00BF7139">
        <w:rPr>
          <w:sz w:val="26"/>
          <w:szCs w:val="26"/>
        </w:rPr>
        <w:t>Rider</w:t>
      </w:r>
      <w:r w:rsidR="001F75B6">
        <w:rPr>
          <w:sz w:val="26"/>
          <w:szCs w:val="26"/>
        </w:rPr>
        <w:t xml:space="preserve"> No.</w:t>
      </w:r>
      <w:r w:rsidR="00576769">
        <w:rPr>
          <w:sz w:val="26"/>
          <w:szCs w:val="26"/>
        </w:rPr>
        <w:t> </w:t>
      </w:r>
      <w:r w:rsidR="001F75B6">
        <w:rPr>
          <w:sz w:val="26"/>
          <w:szCs w:val="26"/>
        </w:rPr>
        <w:t>16</w:t>
      </w:r>
      <w:r w:rsidR="00A831FA">
        <w:rPr>
          <w:sz w:val="26"/>
          <w:szCs w:val="26"/>
        </w:rPr>
        <w:t xml:space="preserve"> and the MOU consistent.  Duquesne Exc. at 13-14 (citing Duquesne I.B. at 8-9, Duquesne Exh. CJD-1-R; Duquesne St. 1-R at 11).</w:t>
      </w:r>
    </w:p>
    <w:p w:rsidR="005D407A" w:rsidRDefault="005D407A" w:rsidP="007D3734">
      <w:pPr>
        <w:widowControl/>
        <w:spacing w:line="360" w:lineRule="auto"/>
        <w:contextualSpacing/>
        <w:rPr>
          <w:sz w:val="26"/>
          <w:szCs w:val="26"/>
        </w:rPr>
      </w:pPr>
    </w:p>
    <w:p w:rsidR="003C113D" w:rsidRDefault="003C113D" w:rsidP="007D3734">
      <w:pPr>
        <w:pStyle w:val="Heading4"/>
        <w:keepLines/>
        <w:numPr>
          <w:ilvl w:val="0"/>
          <w:numId w:val="21"/>
        </w:numPr>
        <w:ind w:left="2434" w:hanging="360"/>
      </w:pPr>
      <w:r>
        <w:t>DII</w:t>
      </w:r>
      <w:r w:rsidR="001E73FA">
        <w:t>’</w:t>
      </w:r>
      <w:r>
        <w:t>s Replies</w:t>
      </w:r>
    </w:p>
    <w:p w:rsidR="003C113D" w:rsidRPr="003C113D" w:rsidRDefault="003C113D" w:rsidP="007D3734">
      <w:pPr>
        <w:pStyle w:val="ListParagraph"/>
        <w:keepNext/>
        <w:keepLines/>
        <w:widowControl/>
        <w:spacing w:line="360" w:lineRule="auto"/>
        <w:ind w:left="1440"/>
        <w:rPr>
          <w:sz w:val="26"/>
          <w:szCs w:val="26"/>
        </w:rPr>
      </w:pPr>
    </w:p>
    <w:p w:rsidR="005D407A" w:rsidRDefault="00A831FA" w:rsidP="007D3734">
      <w:pPr>
        <w:widowControl/>
        <w:spacing w:line="360" w:lineRule="auto"/>
        <w:contextualSpacing/>
        <w:rPr>
          <w:sz w:val="26"/>
          <w:szCs w:val="26"/>
        </w:rPr>
      </w:pPr>
      <w:r>
        <w:rPr>
          <w:sz w:val="26"/>
          <w:szCs w:val="26"/>
        </w:rPr>
        <w:tab/>
      </w:r>
      <w:r>
        <w:rPr>
          <w:sz w:val="26"/>
          <w:szCs w:val="26"/>
        </w:rPr>
        <w:tab/>
        <w:t xml:space="preserve">In Reply, </w:t>
      </w:r>
      <w:r w:rsidR="000F1780">
        <w:rPr>
          <w:sz w:val="26"/>
          <w:szCs w:val="26"/>
        </w:rPr>
        <w:t>DII</w:t>
      </w:r>
      <w:r w:rsidR="009C6AE5">
        <w:rPr>
          <w:sz w:val="26"/>
          <w:szCs w:val="26"/>
        </w:rPr>
        <w:t xml:space="preserve"> avers that the Company</w:t>
      </w:r>
      <w:r w:rsidR="001E73FA">
        <w:rPr>
          <w:sz w:val="26"/>
          <w:szCs w:val="26"/>
        </w:rPr>
        <w:t>’</w:t>
      </w:r>
      <w:r w:rsidR="009C6AE5">
        <w:rPr>
          <w:sz w:val="26"/>
          <w:szCs w:val="26"/>
        </w:rPr>
        <w:t xml:space="preserve">s MOU with Duquesne University refers to contract peak demand and this language mirrors the </w:t>
      </w:r>
      <w:r w:rsidR="005D407A">
        <w:rPr>
          <w:sz w:val="26"/>
          <w:szCs w:val="26"/>
        </w:rPr>
        <w:t>Tariff</w:t>
      </w:r>
      <w:r w:rsidR="009C6AE5">
        <w:rPr>
          <w:sz w:val="26"/>
          <w:szCs w:val="26"/>
        </w:rPr>
        <w:t xml:space="preserve">, which was being applied as basing charges on actual demand.  </w:t>
      </w:r>
      <w:r w:rsidR="000F1780">
        <w:rPr>
          <w:sz w:val="26"/>
          <w:szCs w:val="26"/>
        </w:rPr>
        <w:t>DII</w:t>
      </w:r>
      <w:r w:rsidR="009C6AE5">
        <w:rPr>
          <w:sz w:val="26"/>
          <w:szCs w:val="26"/>
        </w:rPr>
        <w:t xml:space="preserve"> also notes that the EPA Standby Rates </w:t>
      </w:r>
      <w:r w:rsidR="009C6AE5">
        <w:rPr>
          <w:sz w:val="26"/>
          <w:szCs w:val="26"/>
        </w:rPr>
        <w:lastRenderedPageBreak/>
        <w:t>Study states that utilities may appl</w:t>
      </w:r>
      <w:r w:rsidR="0011592B">
        <w:rPr>
          <w:sz w:val="26"/>
          <w:szCs w:val="26"/>
        </w:rPr>
        <w:t>y</w:t>
      </w:r>
      <w:r w:rsidR="009C6AE5">
        <w:rPr>
          <w:sz w:val="26"/>
          <w:szCs w:val="26"/>
        </w:rPr>
        <w:t xml:space="preserve"> </w:t>
      </w:r>
      <w:r w:rsidR="001E73FA">
        <w:rPr>
          <w:sz w:val="26"/>
          <w:szCs w:val="26"/>
        </w:rPr>
        <w:t>“</w:t>
      </w:r>
      <w:r w:rsidR="009C6AE5">
        <w:rPr>
          <w:sz w:val="26"/>
          <w:szCs w:val="26"/>
        </w:rPr>
        <w:t>an agreed-upon contract demand</w:t>
      </w:r>
      <w:r w:rsidR="001E73FA">
        <w:rPr>
          <w:sz w:val="26"/>
          <w:szCs w:val="26"/>
        </w:rPr>
        <w:t>”</w:t>
      </w:r>
      <w:r w:rsidR="009C6AE5">
        <w:rPr>
          <w:sz w:val="26"/>
          <w:szCs w:val="26"/>
        </w:rPr>
        <w:t xml:space="preserve"> but suggests non</w:t>
      </w:r>
      <w:r w:rsidR="0046602B">
        <w:rPr>
          <w:sz w:val="26"/>
          <w:szCs w:val="26"/>
        </w:rPr>
        <w:noBreakHyphen/>
      </w:r>
      <w:r w:rsidR="009C6AE5">
        <w:rPr>
          <w:sz w:val="26"/>
          <w:szCs w:val="26"/>
        </w:rPr>
        <w:t xml:space="preserve">contract options as well, including actual monthly demand.  </w:t>
      </w:r>
      <w:r w:rsidR="005D407A">
        <w:rPr>
          <w:sz w:val="26"/>
          <w:szCs w:val="26"/>
        </w:rPr>
        <w:t>DII R.Exc. at</w:t>
      </w:r>
      <w:r w:rsidR="00111338">
        <w:rPr>
          <w:sz w:val="26"/>
          <w:szCs w:val="26"/>
        </w:rPr>
        <w:t> </w:t>
      </w:r>
      <w:r w:rsidR="005D407A">
        <w:rPr>
          <w:sz w:val="26"/>
          <w:szCs w:val="26"/>
        </w:rPr>
        <w:t xml:space="preserve">9-10 (EPA Standby Rates Study at B-5,6).  </w:t>
      </w:r>
      <w:r w:rsidR="000F1780">
        <w:rPr>
          <w:sz w:val="26"/>
          <w:szCs w:val="26"/>
        </w:rPr>
        <w:t>DII</w:t>
      </w:r>
      <w:r w:rsidR="005D407A">
        <w:rPr>
          <w:sz w:val="26"/>
          <w:szCs w:val="26"/>
        </w:rPr>
        <w:t xml:space="preserve"> also notes that with actual demand charges, the operators of onsite generation systems are motivated to avoid outages, because even a brief outage can increase the customer</w:t>
      </w:r>
      <w:r w:rsidR="001E73FA">
        <w:rPr>
          <w:sz w:val="26"/>
          <w:szCs w:val="26"/>
        </w:rPr>
        <w:t>’</w:t>
      </w:r>
      <w:r w:rsidR="005D407A">
        <w:rPr>
          <w:sz w:val="26"/>
          <w:szCs w:val="26"/>
        </w:rPr>
        <w:t>s demand charges for the month.  DII R. Exc. at 10.</w:t>
      </w:r>
    </w:p>
    <w:p w:rsidR="00C0573B" w:rsidRDefault="00C0573B" w:rsidP="007D3734">
      <w:pPr>
        <w:widowControl/>
        <w:spacing w:line="360" w:lineRule="auto"/>
        <w:contextualSpacing/>
        <w:rPr>
          <w:sz w:val="26"/>
          <w:szCs w:val="26"/>
        </w:rPr>
      </w:pPr>
    </w:p>
    <w:p w:rsidR="003C113D" w:rsidRDefault="00B10402" w:rsidP="007D3734">
      <w:pPr>
        <w:pStyle w:val="Heading4"/>
        <w:keepLines/>
        <w:ind w:left="2434" w:hanging="360"/>
      </w:pPr>
      <w:r>
        <w:t>c.</w:t>
      </w:r>
      <w:r w:rsidR="0079682A">
        <w:tab/>
      </w:r>
      <w:r w:rsidR="003C113D">
        <w:t>Disposition</w:t>
      </w:r>
    </w:p>
    <w:p w:rsidR="003C113D" w:rsidRPr="003C113D" w:rsidRDefault="003C113D" w:rsidP="007D3734">
      <w:pPr>
        <w:pStyle w:val="ListParagraph"/>
        <w:keepNext/>
        <w:keepLines/>
        <w:widowControl/>
        <w:spacing w:line="360" w:lineRule="auto"/>
        <w:ind w:left="1440"/>
        <w:rPr>
          <w:sz w:val="26"/>
          <w:szCs w:val="26"/>
        </w:rPr>
      </w:pPr>
    </w:p>
    <w:p w:rsidR="00C721DE" w:rsidRDefault="00B5784C" w:rsidP="007D3734">
      <w:pPr>
        <w:widowControl/>
        <w:spacing w:line="360" w:lineRule="auto"/>
        <w:contextualSpacing/>
        <w:rPr>
          <w:sz w:val="26"/>
          <w:szCs w:val="26"/>
        </w:rPr>
      </w:pPr>
      <w:r>
        <w:rPr>
          <w:sz w:val="26"/>
          <w:szCs w:val="26"/>
        </w:rPr>
        <w:tab/>
      </w:r>
      <w:r>
        <w:rPr>
          <w:sz w:val="26"/>
          <w:szCs w:val="26"/>
        </w:rPr>
        <w:tab/>
        <w:t>Although the R</w:t>
      </w:r>
      <w:r w:rsidR="0031437A">
        <w:rPr>
          <w:sz w:val="26"/>
          <w:szCs w:val="26"/>
        </w:rPr>
        <w:t>ecommended Decision</w:t>
      </w:r>
      <w:r>
        <w:rPr>
          <w:sz w:val="26"/>
          <w:szCs w:val="26"/>
        </w:rPr>
        <w:t xml:space="preserve"> does not address this issue, </w:t>
      </w:r>
      <w:r w:rsidR="000F1780">
        <w:rPr>
          <w:sz w:val="26"/>
          <w:szCs w:val="26"/>
        </w:rPr>
        <w:t>DII</w:t>
      </w:r>
      <w:r>
        <w:rPr>
          <w:sz w:val="26"/>
          <w:szCs w:val="26"/>
        </w:rPr>
        <w:t xml:space="preserve"> proposed </w:t>
      </w:r>
      <w:r w:rsidR="0031437A">
        <w:rPr>
          <w:sz w:val="26"/>
          <w:szCs w:val="26"/>
        </w:rPr>
        <w:t>that</w:t>
      </w:r>
      <w:r>
        <w:rPr>
          <w:sz w:val="26"/>
          <w:szCs w:val="26"/>
        </w:rPr>
        <w:t xml:space="preserve"> </w:t>
      </w:r>
      <w:r w:rsidR="00BF7139">
        <w:rPr>
          <w:sz w:val="26"/>
          <w:szCs w:val="26"/>
        </w:rPr>
        <w:t>Rider</w:t>
      </w:r>
      <w:r w:rsidR="001F75B6">
        <w:rPr>
          <w:sz w:val="26"/>
          <w:szCs w:val="26"/>
        </w:rPr>
        <w:t xml:space="preserve"> No. 16</w:t>
      </w:r>
      <w:r>
        <w:rPr>
          <w:sz w:val="26"/>
          <w:szCs w:val="26"/>
        </w:rPr>
        <w:t xml:space="preserve"> rate </w:t>
      </w:r>
      <w:r w:rsidR="0031437A">
        <w:rPr>
          <w:sz w:val="26"/>
          <w:szCs w:val="26"/>
        </w:rPr>
        <w:t xml:space="preserve">should </w:t>
      </w:r>
      <w:r>
        <w:rPr>
          <w:sz w:val="26"/>
          <w:szCs w:val="26"/>
        </w:rPr>
        <w:t xml:space="preserve">apply on </w:t>
      </w:r>
      <w:r w:rsidR="0046602B">
        <w:rPr>
          <w:sz w:val="26"/>
          <w:szCs w:val="26"/>
        </w:rPr>
        <w:t xml:space="preserve">an </w:t>
      </w:r>
      <w:r w:rsidR="001E73FA">
        <w:rPr>
          <w:sz w:val="26"/>
          <w:szCs w:val="26"/>
        </w:rPr>
        <w:t>“</w:t>
      </w:r>
      <w:r>
        <w:rPr>
          <w:sz w:val="26"/>
          <w:szCs w:val="26"/>
        </w:rPr>
        <w:t>as used</w:t>
      </w:r>
      <w:r w:rsidR="001E73FA">
        <w:rPr>
          <w:sz w:val="26"/>
          <w:szCs w:val="26"/>
        </w:rPr>
        <w:t>”</w:t>
      </w:r>
      <w:r>
        <w:rPr>
          <w:sz w:val="26"/>
          <w:szCs w:val="26"/>
        </w:rPr>
        <w:t xml:space="preserve"> basis.  We note that </w:t>
      </w:r>
      <w:r w:rsidR="00BF7139">
        <w:rPr>
          <w:sz w:val="26"/>
          <w:szCs w:val="26"/>
        </w:rPr>
        <w:t>Rider</w:t>
      </w:r>
      <w:r w:rsidR="001F75B6">
        <w:rPr>
          <w:sz w:val="26"/>
          <w:szCs w:val="26"/>
        </w:rPr>
        <w:t xml:space="preserve"> No. 16</w:t>
      </w:r>
      <w:r>
        <w:rPr>
          <w:sz w:val="26"/>
          <w:szCs w:val="26"/>
        </w:rPr>
        <w:t xml:space="preserve"> rate is voluntary, and the customer has the option to choose whether to remain on the full requirements rate or operate within its contracted level of back-up demand.  Because the rate is voluntary and applies to the negotiated contracted level of back-up demand, we are persuaded that the </w:t>
      </w:r>
      <w:r w:rsidR="00BF7139">
        <w:rPr>
          <w:sz w:val="26"/>
          <w:szCs w:val="26"/>
        </w:rPr>
        <w:t>Rider</w:t>
      </w:r>
      <w:r w:rsidR="001F75B6">
        <w:rPr>
          <w:sz w:val="26"/>
          <w:szCs w:val="26"/>
        </w:rPr>
        <w:t xml:space="preserve"> No. 16</w:t>
      </w:r>
      <w:r>
        <w:rPr>
          <w:sz w:val="26"/>
          <w:szCs w:val="26"/>
        </w:rPr>
        <w:t xml:space="preserve"> rate </w:t>
      </w:r>
      <w:r w:rsidR="0031437A">
        <w:rPr>
          <w:sz w:val="26"/>
          <w:szCs w:val="26"/>
        </w:rPr>
        <w:t xml:space="preserve">should </w:t>
      </w:r>
      <w:r>
        <w:rPr>
          <w:sz w:val="26"/>
          <w:szCs w:val="26"/>
        </w:rPr>
        <w:t xml:space="preserve">not </w:t>
      </w:r>
      <w:r w:rsidR="00F949B8">
        <w:rPr>
          <w:sz w:val="26"/>
          <w:szCs w:val="26"/>
        </w:rPr>
        <w:t xml:space="preserve">be </w:t>
      </w:r>
      <w:r>
        <w:rPr>
          <w:sz w:val="26"/>
          <w:szCs w:val="26"/>
        </w:rPr>
        <w:t>appl</w:t>
      </w:r>
      <w:r w:rsidR="00F949B8">
        <w:rPr>
          <w:sz w:val="26"/>
          <w:szCs w:val="26"/>
        </w:rPr>
        <w:t xml:space="preserve">ied </w:t>
      </w:r>
      <w:r>
        <w:rPr>
          <w:sz w:val="26"/>
          <w:szCs w:val="26"/>
        </w:rPr>
        <w:t xml:space="preserve">on an </w:t>
      </w:r>
      <w:r w:rsidR="001E73FA">
        <w:rPr>
          <w:sz w:val="26"/>
          <w:szCs w:val="26"/>
        </w:rPr>
        <w:t>“</w:t>
      </w:r>
      <w:r>
        <w:rPr>
          <w:sz w:val="26"/>
          <w:szCs w:val="26"/>
        </w:rPr>
        <w:t>as used</w:t>
      </w:r>
      <w:r w:rsidR="001E73FA">
        <w:rPr>
          <w:sz w:val="26"/>
          <w:szCs w:val="26"/>
        </w:rPr>
        <w:t>”</w:t>
      </w:r>
      <w:r>
        <w:rPr>
          <w:sz w:val="26"/>
          <w:szCs w:val="26"/>
        </w:rPr>
        <w:t xml:space="preserve"> basis.  </w:t>
      </w:r>
      <w:r w:rsidR="004824F2">
        <w:rPr>
          <w:sz w:val="26"/>
          <w:szCs w:val="26"/>
        </w:rPr>
        <w:t xml:space="preserve">We are further persuaded by </w:t>
      </w:r>
      <w:r>
        <w:rPr>
          <w:sz w:val="26"/>
          <w:szCs w:val="26"/>
        </w:rPr>
        <w:t>People</w:t>
      </w:r>
      <w:r w:rsidR="001E73FA">
        <w:rPr>
          <w:sz w:val="26"/>
          <w:szCs w:val="26"/>
        </w:rPr>
        <w:t>’</w:t>
      </w:r>
      <w:r>
        <w:rPr>
          <w:sz w:val="26"/>
          <w:szCs w:val="26"/>
        </w:rPr>
        <w:t xml:space="preserve">s witness Jamie Scripps </w:t>
      </w:r>
      <w:r w:rsidR="004824F2">
        <w:rPr>
          <w:sz w:val="26"/>
          <w:szCs w:val="26"/>
        </w:rPr>
        <w:t xml:space="preserve">who </w:t>
      </w:r>
      <w:r w:rsidR="0079682A">
        <w:rPr>
          <w:sz w:val="26"/>
          <w:szCs w:val="26"/>
        </w:rPr>
        <w:t xml:space="preserve">explained that the </w:t>
      </w:r>
      <w:r w:rsidR="001E73FA">
        <w:rPr>
          <w:sz w:val="26"/>
          <w:szCs w:val="26"/>
        </w:rPr>
        <w:t>“</w:t>
      </w:r>
      <w:r>
        <w:rPr>
          <w:sz w:val="26"/>
          <w:szCs w:val="26"/>
        </w:rPr>
        <w:t>best practices</w:t>
      </w:r>
      <w:r w:rsidR="001E73FA">
        <w:rPr>
          <w:sz w:val="26"/>
          <w:szCs w:val="26"/>
        </w:rPr>
        <w:t>”</w:t>
      </w:r>
      <w:r>
        <w:rPr>
          <w:sz w:val="26"/>
          <w:szCs w:val="26"/>
        </w:rPr>
        <w:t xml:space="preserve"> </w:t>
      </w:r>
      <w:r w:rsidR="0079682A">
        <w:rPr>
          <w:sz w:val="26"/>
          <w:szCs w:val="26"/>
        </w:rPr>
        <w:t xml:space="preserve">included in the </w:t>
      </w:r>
      <w:r>
        <w:rPr>
          <w:sz w:val="26"/>
          <w:szCs w:val="26"/>
        </w:rPr>
        <w:t xml:space="preserve">EPA Standby Rates Study specifically noted that back-up rates may be applied to an agreed-on contract demand rather than on an </w:t>
      </w:r>
      <w:r w:rsidR="001E73FA">
        <w:rPr>
          <w:sz w:val="26"/>
          <w:szCs w:val="26"/>
        </w:rPr>
        <w:t>“</w:t>
      </w:r>
      <w:r>
        <w:rPr>
          <w:sz w:val="26"/>
          <w:szCs w:val="26"/>
        </w:rPr>
        <w:t>as used</w:t>
      </w:r>
      <w:r w:rsidR="001E73FA">
        <w:rPr>
          <w:sz w:val="26"/>
          <w:szCs w:val="26"/>
        </w:rPr>
        <w:t>”</w:t>
      </w:r>
      <w:r>
        <w:rPr>
          <w:sz w:val="26"/>
          <w:szCs w:val="26"/>
        </w:rPr>
        <w:t xml:space="preserve"> basis.  Peoples St. 3 and 3-R, </w:t>
      </w:r>
      <w:r w:rsidRPr="000918C1">
        <w:rPr>
          <w:sz w:val="26"/>
          <w:szCs w:val="26"/>
        </w:rPr>
        <w:t>EPA Standby Rates Study</w:t>
      </w:r>
      <w:r>
        <w:rPr>
          <w:sz w:val="26"/>
          <w:szCs w:val="26"/>
        </w:rPr>
        <w:t xml:space="preserve">.  </w:t>
      </w:r>
      <w:r w:rsidR="00B31C8E">
        <w:rPr>
          <w:sz w:val="26"/>
          <w:szCs w:val="26"/>
        </w:rPr>
        <w:t>Therefore</w:t>
      </w:r>
      <w:r w:rsidR="00004E78">
        <w:rPr>
          <w:sz w:val="26"/>
          <w:szCs w:val="26"/>
        </w:rPr>
        <w:t xml:space="preserve">, we hereby grant Duquesne’s Exception No. 2.  Accordingly, </w:t>
      </w:r>
      <w:r w:rsidR="000F1780">
        <w:rPr>
          <w:sz w:val="26"/>
          <w:szCs w:val="26"/>
        </w:rPr>
        <w:t>DII</w:t>
      </w:r>
      <w:r w:rsidR="00B31C8E">
        <w:rPr>
          <w:sz w:val="26"/>
          <w:szCs w:val="26"/>
        </w:rPr>
        <w:t>’</w:t>
      </w:r>
      <w:r w:rsidR="00B31C8E" w:rsidRPr="00F11785">
        <w:rPr>
          <w:sz w:val="26"/>
          <w:szCs w:val="26"/>
        </w:rPr>
        <w:t xml:space="preserve">s proposal to </w:t>
      </w:r>
      <w:r w:rsidR="00B31C8E">
        <w:rPr>
          <w:sz w:val="26"/>
          <w:szCs w:val="26"/>
        </w:rPr>
        <w:t xml:space="preserve">modify the applications of </w:t>
      </w:r>
      <w:r w:rsidR="00B31C8E" w:rsidRPr="00F11785">
        <w:rPr>
          <w:sz w:val="26"/>
          <w:szCs w:val="26"/>
        </w:rPr>
        <w:t xml:space="preserve">the </w:t>
      </w:r>
      <w:r w:rsidR="00BF7139">
        <w:rPr>
          <w:sz w:val="26"/>
          <w:szCs w:val="26"/>
        </w:rPr>
        <w:t>Rider</w:t>
      </w:r>
      <w:r w:rsidR="00B31C8E">
        <w:rPr>
          <w:sz w:val="26"/>
          <w:szCs w:val="26"/>
        </w:rPr>
        <w:t xml:space="preserve"> No. 16</w:t>
      </w:r>
      <w:r w:rsidR="00B31C8E" w:rsidRPr="00F11785">
        <w:rPr>
          <w:sz w:val="26"/>
          <w:szCs w:val="26"/>
        </w:rPr>
        <w:t xml:space="preserve"> on an </w:t>
      </w:r>
      <w:r w:rsidR="00B31C8E">
        <w:rPr>
          <w:sz w:val="26"/>
          <w:szCs w:val="26"/>
        </w:rPr>
        <w:t>“</w:t>
      </w:r>
      <w:r w:rsidR="00B31C8E" w:rsidRPr="00F11785">
        <w:rPr>
          <w:sz w:val="26"/>
          <w:szCs w:val="26"/>
        </w:rPr>
        <w:t>as used</w:t>
      </w:r>
      <w:r w:rsidR="00B31C8E">
        <w:rPr>
          <w:sz w:val="26"/>
          <w:szCs w:val="26"/>
        </w:rPr>
        <w:t>”</w:t>
      </w:r>
      <w:r w:rsidR="00B31C8E" w:rsidRPr="00F11785">
        <w:rPr>
          <w:sz w:val="26"/>
          <w:szCs w:val="26"/>
        </w:rPr>
        <w:t xml:space="preserve"> basis </w:t>
      </w:r>
      <w:r w:rsidR="00004E78">
        <w:rPr>
          <w:sz w:val="26"/>
          <w:szCs w:val="26"/>
        </w:rPr>
        <w:t>is hereby rejected.</w:t>
      </w:r>
    </w:p>
    <w:p w:rsidR="00F11785" w:rsidRDefault="00A831FA" w:rsidP="007D3734">
      <w:pPr>
        <w:widowControl/>
        <w:spacing w:line="360" w:lineRule="auto"/>
        <w:contextualSpacing/>
        <w:rPr>
          <w:sz w:val="26"/>
          <w:szCs w:val="26"/>
        </w:rPr>
      </w:pPr>
      <w:r>
        <w:rPr>
          <w:sz w:val="26"/>
          <w:szCs w:val="26"/>
        </w:rPr>
        <w:t xml:space="preserve"> </w:t>
      </w:r>
    </w:p>
    <w:p w:rsidR="00F11785" w:rsidRPr="00B10402" w:rsidRDefault="003C113D" w:rsidP="00F15E40">
      <w:pPr>
        <w:pStyle w:val="Heading3"/>
        <w:widowControl/>
        <w:ind w:left="1440" w:hanging="720"/>
      </w:pPr>
      <w:bookmarkStart w:id="57" w:name="_Toc531091837"/>
      <w:bookmarkStart w:id="58" w:name="_Toc532905977"/>
      <w:r w:rsidRPr="00B10402">
        <w:t xml:space="preserve">7. </w:t>
      </w:r>
      <w:r w:rsidR="00EB7C53">
        <w:tab/>
      </w:r>
      <w:r w:rsidR="00F11785" w:rsidRPr="00B10402">
        <w:t>Duquesne</w:t>
      </w:r>
      <w:r w:rsidR="001E73FA">
        <w:t>’</w:t>
      </w:r>
      <w:r w:rsidR="00F11785" w:rsidRPr="00B10402">
        <w:t xml:space="preserve">s Exception No. 3 </w:t>
      </w:r>
      <w:r w:rsidR="00C402CE" w:rsidRPr="00B10402">
        <w:t xml:space="preserve">Regarding </w:t>
      </w:r>
      <w:r w:rsidR="000F1780">
        <w:t>DII</w:t>
      </w:r>
      <w:r w:rsidR="001E73FA">
        <w:t>’</w:t>
      </w:r>
      <w:r w:rsidR="00F84D95" w:rsidRPr="00B10402">
        <w:t xml:space="preserve">s </w:t>
      </w:r>
      <w:r w:rsidR="00C402CE" w:rsidRPr="00B10402">
        <w:t xml:space="preserve">Proposed </w:t>
      </w:r>
      <w:r w:rsidR="00BF7139">
        <w:t>Rider</w:t>
      </w:r>
      <w:r w:rsidR="00C402CE" w:rsidRPr="00B10402">
        <w:t xml:space="preserve"> No. 16 Rate</w:t>
      </w:r>
      <w:bookmarkEnd w:id="57"/>
      <w:bookmarkEnd w:id="58"/>
    </w:p>
    <w:p w:rsidR="003C113D" w:rsidRPr="003C113D" w:rsidRDefault="003C113D" w:rsidP="00F15E40">
      <w:pPr>
        <w:pStyle w:val="ListNumber"/>
        <w:keepNext/>
        <w:keepLines/>
        <w:numPr>
          <w:ilvl w:val="0"/>
          <w:numId w:val="0"/>
        </w:numPr>
        <w:ind w:left="1440"/>
        <w:rPr>
          <w:b/>
          <w:sz w:val="26"/>
          <w:szCs w:val="26"/>
        </w:rPr>
      </w:pPr>
    </w:p>
    <w:p w:rsidR="00F11785" w:rsidRDefault="003C113D" w:rsidP="00F15E40">
      <w:pPr>
        <w:pStyle w:val="Heading4"/>
        <w:keepLines/>
        <w:numPr>
          <w:ilvl w:val="7"/>
          <w:numId w:val="22"/>
        </w:numPr>
        <w:ind w:left="2434" w:hanging="360"/>
      </w:pPr>
      <w:r>
        <w:t>Duquesne</w:t>
      </w:r>
      <w:r w:rsidR="001E73FA">
        <w:t>’</w:t>
      </w:r>
      <w:r>
        <w:t>s Exception No. 3</w:t>
      </w:r>
    </w:p>
    <w:p w:rsidR="00F15E40" w:rsidRPr="00F15E40" w:rsidRDefault="00F15E40" w:rsidP="00F15E40">
      <w:pPr>
        <w:keepNext/>
        <w:keepLines/>
        <w:widowControl/>
        <w:spacing w:line="360" w:lineRule="auto"/>
        <w:contextualSpacing/>
        <w:rPr>
          <w:sz w:val="26"/>
          <w:szCs w:val="26"/>
        </w:rPr>
      </w:pPr>
    </w:p>
    <w:p w:rsidR="00F11785" w:rsidRDefault="00354E67" w:rsidP="007D3734">
      <w:pPr>
        <w:widowControl/>
        <w:spacing w:line="360" w:lineRule="auto"/>
        <w:contextualSpacing/>
        <w:rPr>
          <w:sz w:val="26"/>
          <w:szCs w:val="26"/>
        </w:rPr>
      </w:pPr>
      <w:r>
        <w:tab/>
      </w:r>
      <w:r>
        <w:tab/>
      </w:r>
      <w:r w:rsidRPr="00354E67">
        <w:rPr>
          <w:sz w:val="26"/>
          <w:szCs w:val="26"/>
        </w:rPr>
        <w:t xml:space="preserve">Duquesne states that the ALJ erred in recommending adoption of </w:t>
      </w:r>
      <w:r w:rsidR="000F1780">
        <w:rPr>
          <w:sz w:val="26"/>
          <w:szCs w:val="26"/>
        </w:rPr>
        <w:t>DII</w:t>
      </w:r>
      <w:r w:rsidR="001E73FA">
        <w:rPr>
          <w:sz w:val="26"/>
          <w:szCs w:val="26"/>
        </w:rPr>
        <w:t>’</w:t>
      </w:r>
      <w:r w:rsidRPr="00354E67">
        <w:rPr>
          <w:sz w:val="26"/>
          <w:szCs w:val="26"/>
        </w:rPr>
        <w:t xml:space="preserve">s proposed </w:t>
      </w:r>
      <w:r w:rsidR="00BF7139">
        <w:rPr>
          <w:sz w:val="26"/>
          <w:szCs w:val="26"/>
        </w:rPr>
        <w:t>Rider</w:t>
      </w:r>
      <w:r w:rsidR="001F75B6">
        <w:rPr>
          <w:sz w:val="26"/>
          <w:szCs w:val="26"/>
        </w:rPr>
        <w:t xml:space="preserve"> No. 16</w:t>
      </w:r>
      <w:r w:rsidRPr="00354E67">
        <w:rPr>
          <w:sz w:val="26"/>
          <w:szCs w:val="26"/>
        </w:rPr>
        <w:t xml:space="preserve"> rate of $0.35</w:t>
      </w:r>
      <w:r w:rsidR="0019510F">
        <w:rPr>
          <w:sz w:val="26"/>
          <w:szCs w:val="26"/>
        </w:rPr>
        <w:t xml:space="preserve"> per kwh</w:t>
      </w:r>
      <w:r w:rsidR="00681EF4">
        <w:rPr>
          <w:sz w:val="26"/>
          <w:szCs w:val="26"/>
        </w:rPr>
        <w:t>.  Duquesne claims th</w:t>
      </w:r>
      <w:r w:rsidR="00E06BB9">
        <w:rPr>
          <w:sz w:val="26"/>
          <w:szCs w:val="26"/>
        </w:rPr>
        <w:t xml:space="preserve">e $0.35 rate is </w:t>
      </w:r>
      <w:r w:rsidRPr="00354E67">
        <w:rPr>
          <w:sz w:val="26"/>
          <w:szCs w:val="26"/>
        </w:rPr>
        <w:t xml:space="preserve">contrary </w:t>
      </w:r>
      <w:r w:rsidRPr="00354E67">
        <w:rPr>
          <w:sz w:val="26"/>
          <w:szCs w:val="26"/>
        </w:rPr>
        <w:lastRenderedPageBreak/>
        <w:t xml:space="preserve">to the record evidence and </w:t>
      </w:r>
      <w:r>
        <w:rPr>
          <w:sz w:val="26"/>
          <w:szCs w:val="26"/>
        </w:rPr>
        <w:t>C</w:t>
      </w:r>
      <w:r w:rsidRPr="00354E67">
        <w:rPr>
          <w:sz w:val="26"/>
          <w:szCs w:val="26"/>
        </w:rPr>
        <w:t>ommission</w:t>
      </w:r>
      <w:r w:rsidR="00E06BB9">
        <w:rPr>
          <w:sz w:val="26"/>
          <w:szCs w:val="26"/>
        </w:rPr>
        <w:t>-</w:t>
      </w:r>
      <w:r w:rsidRPr="00354E67">
        <w:rPr>
          <w:sz w:val="26"/>
          <w:szCs w:val="26"/>
        </w:rPr>
        <w:t xml:space="preserve">approved principles of distribution rate design. </w:t>
      </w:r>
      <w:r w:rsidR="00E06BB9">
        <w:rPr>
          <w:sz w:val="26"/>
          <w:szCs w:val="26"/>
        </w:rPr>
        <w:t xml:space="preserve"> In noting that its </w:t>
      </w:r>
      <w:r w:rsidR="00BF7139">
        <w:rPr>
          <w:sz w:val="26"/>
          <w:szCs w:val="26"/>
        </w:rPr>
        <w:t>Rider</w:t>
      </w:r>
      <w:r w:rsidR="001F75B6">
        <w:rPr>
          <w:sz w:val="26"/>
          <w:szCs w:val="26"/>
        </w:rPr>
        <w:t xml:space="preserve"> No. 16</w:t>
      </w:r>
      <w:r w:rsidR="00007C43">
        <w:rPr>
          <w:sz w:val="26"/>
          <w:szCs w:val="26"/>
        </w:rPr>
        <w:t xml:space="preserve"> involves distribution service</w:t>
      </w:r>
      <w:r w:rsidR="00DD6807">
        <w:rPr>
          <w:sz w:val="26"/>
          <w:szCs w:val="26"/>
        </w:rPr>
        <w:t xml:space="preserve"> and </w:t>
      </w:r>
      <w:r w:rsidR="00007C43">
        <w:rPr>
          <w:sz w:val="26"/>
          <w:szCs w:val="26"/>
        </w:rPr>
        <w:t>not generating capacity</w:t>
      </w:r>
      <w:r w:rsidR="00E06BB9">
        <w:rPr>
          <w:sz w:val="26"/>
          <w:szCs w:val="26"/>
        </w:rPr>
        <w:t xml:space="preserve">, </w:t>
      </w:r>
      <w:r w:rsidR="00EC0425">
        <w:rPr>
          <w:sz w:val="26"/>
          <w:szCs w:val="26"/>
        </w:rPr>
        <w:t xml:space="preserve">Duquesne </w:t>
      </w:r>
      <w:r w:rsidR="00E06BB9">
        <w:rPr>
          <w:sz w:val="26"/>
          <w:szCs w:val="26"/>
        </w:rPr>
        <w:t xml:space="preserve">submits that </w:t>
      </w:r>
      <w:r w:rsidR="00EC0425">
        <w:rPr>
          <w:sz w:val="26"/>
          <w:szCs w:val="26"/>
        </w:rPr>
        <w:t xml:space="preserve">throughout this case, </w:t>
      </w:r>
      <w:r w:rsidR="000F1780">
        <w:rPr>
          <w:sz w:val="26"/>
          <w:szCs w:val="26"/>
        </w:rPr>
        <w:t>DII</w:t>
      </w:r>
      <w:r w:rsidR="00EC0425">
        <w:rPr>
          <w:sz w:val="26"/>
          <w:szCs w:val="26"/>
        </w:rPr>
        <w:t xml:space="preserve"> tried to impose criteria </w:t>
      </w:r>
      <w:r w:rsidR="00B436BE">
        <w:rPr>
          <w:sz w:val="26"/>
          <w:szCs w:val="26"/>
        </w:rPr>
        <w:t xml:space="preserve">that is </w:t>
      </w:r>
      <w:r w:rsidR="00EC0425">
        <w:rPr>
          <w:sz w:val="26"/>
          <w:szCs w:val="26"/>
        </w:rPr>
        <w:t xml:space="preserve">appropriate only for designing standby </w:t>
      </w:r>
      <w:r w:rsidR="00EC0425" w:rsidRPr="00EC0425">
        <w:rPr>
          <w:i/>
          <w:sz w:val="26"/>
          <w:szCs w:val="26"/>
        </w:rPr>
        <w:t>generation</w:t>
      </w:r>
      <w:r w:rsidR="00EC0425">
        <w:rPr>
          <w:sz w:val="26"/>
          <w:szCs w:val="26"/>
        </w:rPr>
        <w:t xml:space="preserve"> rates to the </w:t>
      </w:r>
      <w:r w:rsidR="00B436BE">
        <w:rPr>
          <w:sz w:val="26"/>
          <w:szCs w:val="26"/>
        </w:rPr>
        <w:t xml:space="preserve">back-up rate for </w:t>
      </w:r>
      <w:r w:rsidR="00EC0425">
        <w:rPr>
          <w:sz w:val="26"/>
          <w:szCs w:val="26"/>
        </w:rPr>
        <w:t xml:space="preserve">distribution service.  </w:t>
      </w:r>
      <w:r w:rsidR="00B5784C">
        <w:rPr>
          <w:sz w:val="26"/>
          <w:szCs w:val="26"/>
        </w:rPr>
        <w:t>Duquesne Exc. at 14.</w:t>
      </w:r>
    </w:p>
    <w:p w:rsidR="00EC0425" w:rsidRDefault="00EC0425" w:rsidP="007D3734">
      <w:pPr>
        <w:widowControl/>
        <w:spacing w:line="360" w:lineRule="auto"/>
        <w:contextualSpacing/>
        <w:rPr>
          <w:sz w:val="26"/>
          <w:szCs w:val="26"/>
        </w:rPr>
      </w:pPr>
    </w:p>
    <w:p w:rsidR="00EC0425" w:rsidRDefault="00EC0425" w:rsidP="007D3734">
      <w:pPr>
        <w:widowControl/>
        <w:spacing w:line="360" w:lineRule="auto"/>
        <w:contextualSpacing/>
        <w:rPr>
          <w:sz w:val="26"/>
          <w:szCs w:val="26"/>
        </w:rPr>
      </w:pPr>
      <w:r>
        <w:rPr>
          <w:sz w:val="26"/>
          <w:szCs w:val="26"/>
        </w:rPr>
        <w:tab/>
      </w:r>
      <w:r>
        <w:rPr>
          <w:sz w:val="26"/>
          <w:szCs w:val="26"/>
        </w:rPr>
        <w:tab/>
        <w:t xml:space="preserve">Duquesne </w:t>
      </w:r>
      <w:r w:rsidR="00FA3B1A">
        <w:rPr>
          <w:sz w:val="26"/>
          <w:szCs w:val="26"/>
        </w:rPr>
        <w:t>avers</w:t>
      </w:r>
      <w:r>
        <w:rPr>
          <w:sz w:val="26"/>
          <w:szCs w:val="26"/>
        </w:rPr>
        <w:t xml:space="preserve"> that the service it provides to eligible customers electing </w:t>
      </w:r>
      <w:r w:rsidR="00BF7139">
        <w:rPr>
          <w:sz w:val="26"/>
          <w:szCs w:val="26"/>
        </w:rPr>
        <w:t>Rider</w:t>
      </w:r>
      <w:r w:rsidR="001F75B6">
        <w:rPr>
          <w:sz w:val="26"/>
          <w:szCs w:val="26"/>
        </w:rPr>
        <w:t xml:space="preserve"> No. 16</w:t>
      </w:r>
      <w:r>
        <w:rPr>
          <w:sz w:val="26"/>
          <w:szCs w:val="26"/>
        </w:rPr>
        <w:t xml:space="preserve"> ensures that capacity is available on the distribution system up to the level of kW demand for which those customers contract with the Company.  </w:t>
      </w:r>
      <w:r w:rsidR="006415E9">
        <w:rPr>
          <w:sz w:val="26"/>
          <w:szCs w:val="26"/>
        </w:rPr>
        <w:t xml:space="preserve">Furthermore, </w:t>
      </w:r>
      <w:r w:rsidR="00052C1A">
        <w:rPr>
          <w:sz w:val="26"/>
          <w:szCs w:val="26"/>
        </w:rPr>
        <w:t xml:space="preserve">Duquesne </w:t>
      </w:r>
      <w:r w:rsidR="00FA3B1A">
        <w:rPr>
          <w:sz w:val="26"/>
          <w:szCs w:val="26"/>
        </w:rPr>
        <w:t>submits</w:t>
      </w:r>
      <w:r w:rsidR="00052C1A">
        <w:rPr>
          <w:sz w:val="26"/>
          <w:szCs w:val="26"/>
        </w:rPr>
        <w:t xml:space="preserve"> that </w:t>
      </w:r>
      <w:r w:rsidR="00603AA7">
        <w:rPr>
          <w:sz w:val="26"/>
          <w:szCs w:val="26"/>
        </w:rPr>
        <w:t xml:space="preserve">if a customer-generator expects </w:t>
      </w:r>
      <w:r w:rsidR="006415E9">
        <w:rPr>
          <w:sz w:val="26"/>
          <w:szCs w:val="26"/>
        </w:rPr>
        <w:t xml:space="preserve">Duquesne </w:t>
      </w:r>
      <w:r w:rsidR="00603AA7">
        <w:rPr>
          <w:sz w:val="26"/>
          <w:szCs w:val="26"/>
        </w:rPr>
        <w:t xml:space="preserve">to provide back-up distribution service whenever its generator is not operating, </w:t>
      </w:r>
      <w:r w:rsidR="006415E9">
        <w:rPr>
          <w:sz w:val="26"/>
          <w:szCs w:val="26"/>
        </w:rPr>
        <w:t>t</w:t>
      </w:r>
      <w:r w:rsidR="00603AA7">
        <w:rPr>
          <w:sz w:val="26"/>
          <w:szCs w:val="26"/>
        </w:rPr>
        <w:t>he contracted level of capacity must be available 24 hours per day, 365 days per year</w:t>
      </w:r>
      <w:r w:rsidR="00FE2107">
        <w:rPr>
          <w:sz w:val="26"/>
          <w:szCs w:val="26"/>
        </w:rPr>
        <w:t xml:space="preserve"> (24-7-365)</w:t>
      </w:r>
      <w:r w:rsidR="00603AA7">
        <w:rPr>
          <w:sz w:val="26"/>
          <w:szCs w:val="26"/>
        </w:rPr>
        <w:t>, because, as DII witness Crist acknowledged</w:t>
      </w:r>
      <w:r w:rsidR="00052C1A">
        <w:rPr>
          <w:sz w:val="26"/>
          <w:szCs w:val="26"/>
        </w:rPr>
        <w:t>,</w:t>
      </w:r>
      <w:r w:rsidR="00603AA7">
        <w:rPr>
          <w:sz w:val="26"/>
          <w:szCs w:val="26"/>
        </w:rPr>
        <w:t xml:space="preserve"> and as operating data for the existing </w:t>
      </w:r>
      <w:r w:rsidR="00BF7139">
        <w:rPr>
          <w:sz w:val="26"/>
          <w:szCs w:val="26"/>
        </w:rPr>
        <w:t>Rider</w:t>
      </w:r>
      <w:r w:rsidR="001F75B6">
        <w:rPr>
          <w:sz w:val="26"/>
          <w:szCs w:val="26"/>
        </w:rPr>
        <w:t xml:space="preserve"> No. 16</w:t>
      </w:r>
      <w:r w:rsidR="00603AA7">
        <w:rPr>
          <w:sz w:val="26"/>
          <w:szCs w:val="26"/>
        </w:rPr>
        <w:t xml:space="preserve"> customer confirm</w:t>
      </w:r>
      <w:r w:rsidR="001F37B7">
        <w:rPr>
          <w:sz w:val="26"/>
          <w:szCs w:val="26"/>
        </w:rPr>
        <w:t>s</w:t>
      </w:r>
      <w:r w:rsidR="00603AA7">
        <w:rPr>
          <w:sz w:val="26"/>
          <w:szCs w:val="26"/>
        </w:rPr>
        <w:t>, outages of customers</w:t>
      </w:r>
      <w:r w:rsidR="001E73FA">
        <w:rPr>
          <w:sz w:val="26"/>
          <w:szCs w:val="26"/>
        </w:rPr>
        <w:t>’</w:t>
      </w:r>
      <w:r w:rsidR="00603AA7">
        <w:rPr>
          <w:sz w:val="26"/>
          <w:szCs w:val="26"/>
        </w:rPr>
        <w:t xml:space="preserve"> generators occur at any time, including during class and system peak periods.  Duquesne Exc. at 14 (citing Duquesne St. 16-R at 12-13; Duquesne I.B. at 19-30; Duquesne R.B. at 13-27; Tr. at 612; Duquesne St. 14-R at</w:t>
      </w:r>
      <w:r w:rsidR="00052C1A">
        <w:rPr>
          <w:sz w:val="26"/>
          <w:szCs w:val="26"/>
        </w:rPr>
        <w:t> </w:t>
      </w:r>
      <w:r w:rsidR="00603AA7">
        <w:rPr>
          <w:sz w:val="26"/>
          <w:szCs w:val="26"/>
        </w:rPr>
        <w:t>29</w:t>
      </w:r>
      <w:r w:rsidR="00052C1A">
        <w:rPr>
          <w:sz w:val="26"/>
          <w:szCs w:val="26"/>
        </w:rPr>
        <w:noBreakHyphen/>
      </w:r>
      <w:r w:rsidR="00603AA7">
        <w:rPr>
          <w:sz w:val="26"/>
          <w:szCs w:val="26"/>
        </w:rPr>
        <w:t>30).</w:t>
      </w:r>
    </w:p>
    <w:p w:rsidR="00603AA7" w:rsidRDefault="00603AA7" w:rsidP="007D3734">
      <w:pPr>
        <w:widowControl/>
        <w:spacing w:line="360" w:lineRule="auto"/>
        <w:contextualSpacing/>
        <w:rPr>
          <w:sz w:val="26"/>
          <w:szCs w:val="26"/>
        </w:rPr>
      </w:pPr>
    </w:p>
    <w:p w:rsidR="00603AA7" w:rsidRDefault="00603AA7" w:rsidP="007D3734">
      <w:pPr>
        <w:widowControl/>
        <w:spacing w:line="360" w:lineRule="auto"/>
        <w:contextualSpacing/>
        <w:rPr>
          <w:sz w:val="26"/>
          <w:szCs w:val="26"/>
        </w:rPr>
      </w:pPr>
      <w:r>
        <w:rPr>
          <w:sz w:val="26"/>
          <w:szCs w:val="26"/>
        </w:rPr>
        <w:tab/>
      </w:r>
      <w:r>
        <w:rPr>
          <w:sz w:val="26"/>
          <w:szCs w:val="26"/>
        </w:rPr>
        <w:tab/>
        <w:t xml:space="preserve">Duquesne </w:t>
      </w:r>
      <w:r w:rsidR="00EA74AD">
        <w:rPr>
          <w:sz w:val="26"/>
          <w:szCs w:val="26"/>
        </w:rPr>
        <w:t>notes</w:t>
      </w:r>
      <w:r>
        <w:rPr>
          <w:sz w:val="26"/>
          <w:szCs w:val="26"/>
        </w:rPr>
        <w:t xml:space="preserve"> that the Commission found that unlike the supply costs of energy</w:t>
      </w:r>
      <w:r w:rsidR="00052C1A">
        <w:rPr>
          <w:sz w:val="26"/>
          <w:szCs w:val="26"/>
        </w:rPr>
        <w:t xml:space="preserve"> </w:t>
      </w:r>
      <w:r>
        <w:rPr>
          <w:sz w:val="26"/>
          <w:szCs w:val="26"/>
        </w:rPr>
        <w:t>that vary as customers</w:t>
      </w:r>
      <w:r w:rsidR="001E73FA">
        <w:rPr>
          <w:sz w:val="26"/>
          <w:szCs w:val="26"/>
        </w:rPr>
        <w:t>’</w:t>
      </w:r>
      <w:r>
        <w:rPr>
          <w:sz w:val="26"/>
          <w:szCs w:val="26"/>
        </w:rPr>
        <w:t xml:space="preserve"> consumption varies, distribution service costs do not vary in the short run</w:t>
      </w:r>
      <w:r w:rsidR="00787687">
        <w:rPr>
          <w:sz w:val="26"/>
          <w:szCs w:val="26"/>
        </w:rPr>
        <w:t xml:space="preserve"> i</w:t>
      </w:r>
      <w:r>
        <w:rPr>
          <w:sz w:val="26"/>
          <w:szCs w:val="26"/>
        </w:rPr>
        <w:t>n proportion to a customer</w:t>
      </w:r>
      <w:r w:rsidR="001E73FA">
        <w:rPr>
          <w:sz w:val="26"/>
          <w:szCs w:val="26"/>
        </w:rPr>
        <w:t>’</w:t>
      </w:r>
      <w:r>
        <w:rPr>
          <w:sz w:val="26"/>
          <w:szCs w:val="26"/>
        </w:rPr>
        <w:t xml:space="preserve">s daily or monthly levels of consumption.  Duquesne Exc. at 15 (citing </w:t>
      </w:r>
      <w:r w:rsidR="00EA53ED">
        <w:rPr>
          <w:sz w:val="26"/>
          <w:szCs w:val="26"/>
        </w:rPr>
        <w:t xml:space="preserve">the </w:t>
      </w:r>
      <w:r>
        <w:rPr>
          <w:sz w:val="26"/>
          <w:szCs w:val="26"/>
        </w:rPr>
        <w:t>Alternative Ratemaking Policy Statement at 16).</w:t>
      </w:r>
      <w:r w:rsidR="00787687" w:rsidRPr="00787687">
        <w:rPr>
          <w:rStyle w:val="FootnoteReference"/>
          <w:sz w:val="26"/>
          <w:szCs w:val="26"/>
        </w:rPr>
        <w:t xml:space="preserve"> </w:t>
      </w:r>
      <w:r w:rsidR="00787687">
        <w:rPr>
          <w:rStyle w:val="FootnoteReference"/>
          <w:sz w:val="26"/>
          <w:szCs w:val="26"/>
        </w:rPr>
        <w:footnoteReference w:id="19"/>
      </w:r>
      <w:r w:rsidR="000D3D23">
        <w:rPr>
          <w:sz w:val="26"/>
          <w:szCs w:val="26"/>
        </w:rPr>
        <w:t xml:space="preserve">  </w:t>
      </w:r>
      <w:r w:rsidR="000D3D23" w:rsidRPr="000D3D23">
        <w:rPr>
          <w:sz w:val="26"/>
          <w:szCs w:val="26"/>
        </w:rPr>
        <w:t>Despite those</w:t>
      </w:r>
      <w:r w:rsidR="000D3D23">
        <w:rPr>
          <w:sz w:val="26"/>
          <w:szCs w:val="26"/>
        </w:rPr>
        <w:t xml:space="preserve"> </w:t>
      </w:r>
      <w:r w:rsidR="000D3D23" w:rsidRPr="000D3D23">
        <w:rPr>
          <w:sz w:val="26"/>
          <w:szCs w:val="26"/>
        </w:rPr>
        <w:t xml:space="preserve">Commission decisions, </w:t>
      </w:r>
      <w:r w:rsidR="005030F1">
        <w:rPr>
          <w:sz w:val="26"/>
          <w:szCs w:val="26"/>
        </w:rPr>
        <w:t xml:space="preserve">Duquesne asserts that </w:t>
      </w:r>
      <w:r w:rsidR="000F1780">
        <w:rPr>
          <w:sz w:val="26"/>
          <w:szCs w:val="26"/>
        </w:rPr>
        <w:t>DII</w:t>
      </w:r>
      <w:r w:rsidR="000D3D23" w:rsidRPr="000D3D23">
        <w:rPr>
          <w:sz w:val="26"/>
          <w:szCs w:val="26"/>
        </w:rPr>
        <w:t xml:space="preserve"> contends that the fully-allocated cost of providing distribution</w:t>
      </w:r>
      <w:r w:rsidR="000D3D23">
        <w:rPr>
          <w:sz w:val="26"/>
          <w:szCs w:val="26"/>
        </w:rPr>
        <w:t xml:space="preserve"> </w:t>
      </w:r>
      <w:r w:rsidR="000D3D23" w:rsidRPr="000D3D23">
        <w:rPr>
          <w:sz w:val="26"/>
          <w:szCs w:val="26"/>
        </w:rPr>
        <w:t xml:space="preserve">service to </w:t>
      </w:r>
      <w:r w:rsidR="00315620">
        <w:rPr>
          <w:sz w:val="26"/>
          <w:szCs w:val="26"/>
        </w:rPr>
        <w:t xml:space="preserve">eligible customers under </w:t>
      </w:r>
      <w:r w:rsidR="00BF7139">
        <w:rPr>
          <w:sz w:val="26"/>
          <w:szCs w:val="26"/>
        </w:rPr>
        <w:t>Rider</w:t>
      </w:r>
      <w:r w:rsidR="000D3D23" w:rsidRPr="000D3D23">
        <w:rPr>
          <w:sz w:val="26"/>
          <w:szCs w:val="26"/>
        </w:rPr>
        <w:t xml:space="preserve"> No. 16</w:t>
      </w:r>
      <w:r w:rsidR="00315620">
        <w:rPr>
          <w:sz w:val="26"/>
          <w:szCs w:val="26"/>
        </w:rPr>
        <w:t xml:space="preserve">, as </w:t>
      </w:r>
      <w:r w:rsidR="000D3D23" w:rsidRPr="000D3D23">
        <w:rPr>
          <w:sz w:val="26"/>
          <w:szCs w:val="26"/>
        </w:rPr>
        <w:t>calculated by D</w:t>
      </w:r>
      <w:r w:rsidR="00315620">
        <w:rPr>
          <w:sz w:val="26"/>
          <w:szCs w:val="26"/>
        </w:rPr>
        <w:t xml:space="preserve">uquesne </w:t>
      </w:r>
      <w:r w:rsidR="000D3D23" w:rsidRPr="000D3D23">
        <w:rPr>
          <w:sz w:val="26"/>
          <w:szCs w:val="26"/>
        </w:rPr>
        <w:t>witness Howard S. Gorman’s cost</w:t>
      </w:r>
      <w:r w:rsidR="000D3D23">
        <w:rPr>
          <w:sz w:val="26"/>
          <w:szCs w:val="26"/>
        </w:rPr>
        <w:t xml:space="preserve"> </w:t>
      </w:r>
      <w:r w:rsidR="000D3D23" w:rsidRPr="000D3D23">
        <w:rPr>
          <w:sz w:val="26"/>
          <w:szCs w:val="26"/>
        </w:rPr>
        <w:t>of service study</w:t>
      </w:r>
      <w:r w:rsidR="00315620">
        <w:rPr>
          <w:sz w:val="26"/>
          <w:szCs w:val="26"/>
        </w:rPr>
        <w:t>,</w:t>
      </w:r>
      <w:r w:rsidR="00981BB0">
        <w:rPr>
          <w:rStyle w:val="FootnoteReference"/>
          <w:sz w:val="26"/>
          <w:szCs w:val="26"/>
        </w:rPr>
        <w:footnoteReference w:id="20"/>
      </w:r>
      <w:r w:rsidR="000D3D23" w:rsidRPr="000D3D23">
        <w:rPr>
          <w:sz w:val="26"/>
          <w:szCs w:val="26"/>
        </w:rPr>
        <w:t xml:space="preserve"> should </w:t>
      </w:r>
      <w:r w:rsidR="000D3D23" w:rsidRPr="000D3D23">
        <w:rPr>
          <w:sz w:val="26"/>
          <w:szCs w:val="26"/>
        </w:rPr>
        <w:lastRenderedPageBreak/>
        <w:t>be discounted by multiplying that cost by 5% (</w:t>
      </w:r>
      <w:r w:rsidR="000D3D23" w:rsidRPr="003D758A">
        <w:rPr>
          <w:i/>
          <w:sz w:val="26"/>
          <w:szCs w:val="26"/>
        </w:rPr>
        <w:t>i.e.</w:t>
      </w:r>
      <w:r w:rsidR="000D3D23" w:rsidRPr="000D3D23">
        <w:rPr>
          <w:sz w:val="26"/>
          <w:szCs w:val="26"/>
        </w:rPr>
        <w:t>, a 95% discount) to</w:t>
      </w:r>
      <w:r w:rsidR="000D3D23">
        <w:rPr>
          <w:sz w:val="26"/>
          <w:szCs w:val="26"/>
        </w:rPr>
        <w:t xml:space="preserve"> </w:t>
      </w:r>
      <w:r w:rsidR="000D3D23" w:rsidRPr="000D3D23">
        <w:rPr>
          <w:sz w:val="26"/>
          <w:szCs w:val="26"/>
        </w:rPr>
        <w:t xml:space="preserve">reflect how often Mr. Crist estimates a back-up customer may use the distribution system. </w:t>
      </w:r>
      <w:r w:rsidR="003D758A">
        <w:rPr>
          <w:sz w:val="26"/>
          <w:szCs w:val="26"/>
        </w:rPr>
        <w:t xml:space="preserve"> Duquesne alleges that </w:t>
      </w:r>
      <w:r w:rsidR="002F1996">
        <w:rPr>
          <w:sz w:val="26"/>
          <w:szCs w:val="26"/>
        </w:rPr>
        <w:t xml:space="preserve">although </w:t>
      </w:r>
      <w:r w:rsidR="000D3D23" w:rsidRPr="000D3D23">
        <w:rPr>
          <w:sz w:val="26"/>
          <w:szCs w:val="26"/>
        </w:rPr>
        <w:t>Mr. Crist tried to call his proposed multiplier a “load factor” and persuaded the ALJ to do the</w:t>
      </w:r>
      <w:r w:rsidR="000D3D23">
        <w:rPr>
          <w:sz w:val="26"/>
          <w:szCs w:val="26"/>
        </w:rPr>
        <w:t xml:space="preserve"> </w:t>
      </w:r>
      <w:r w:rsidR="000D3D23" w:rsidRPr="000D3D23">
        <w:rPr>
          <w:sz w:val="26"/>
          <w:szCs w:val="26"/>
        </w:rPr>
        <w:t>same</w:t>
      </w:r>
      <w:r w:rsidR="002F1996">
        <w:rPr>
          <w:sz w:val="26"/>
          <w:szCs w:val="26"/>
        </w:rPr>
        <w:t>, h</w:t>
      </w:r>
      <w:r w:rsidR="000D3D23" w:rsidRPr="000D3D23">
        <w:rPr>
          <w:sz w:val="26"/>
          <w:szCs w:val="26"/>
        </w:rPr>
        <w:t>is description (</w:t>
      </w:r>
      <w:r w:rsidR="000D3D23" w:rsidRPr="002F1996">
        <w:rPr>
          <w:i/>
          <w:sz w:val="26"/>
          <w:szCs w:val="26"/>
        </w:rPr>
        <w:t>e.g.</w:t>
      </w:r>
      <w:r w:rsidR="000D3D23" w:rsidRPr="000D3D23">
        <w:rPr>
          <w:sz w:val="26"/>
          <w:szCs w:val="26"/>
        </w:rPr>
        <w:t>, “unplanned outage hours”)</w:t>
      </w:r>
      <w:r w:rsidR="004F157F">
        <w:rPr>
          <w:rStyle w:val="FootnoteReference"/>
          <w:sz w:val="26"/>
          <w:szCs w:val="26"/>
        </w:rPr>
        <w:footnoteReference w:id="21"/>
      </w:r>
      <w:r w:rsidR="000D3D23" w:rsidRPr="000D3D23">
        <w:rPr>
          <w:sz w:val="26"/>
          <w:szCs w:val="26"/>
        </w:rPr>
        <w:t xml:space="preserve"> confirms that 5% is an estimate of the</w:t>
      </w:r>
      <w:r w:rsidR="000D3D23">
        <w:rPr>
          <w:sz w:val="26"/>
          <w:szCs w:val="26"/>
        </w:rPr>
        <w:t xml:space="preserve"> </w:t>
      </w:r>
      <w:r w:rsidR="000D3D23" w:rsidRPr="000D3D23">
        <w:rPr>
          <w:sz w:val="26"/>
          <w:szCs w:val="26"/>
        </w:rPr>
        <w:t>“forced outage rate” of customers’ on-site generation.</w:t>
      </w:r>
      <w:r w:rsidR="004F157F">
        <w:rPr>
          <w:sz w:val="26"/>
          <w:szCs w:val="26"/>
        </w:rPr>
        <w:t xml:space="preserve">  </w:t>
      </w:r>
      <w:r w:rsidR="00404D13">
        <w:rPr>
          <w:sz w:val="26"/>
          <w:szCs w:val="26"/>
        </w:rPr>
        <w:t xml:space="preserve">Duquesne claims that </w:t>
      </w:r>
      <w:r w:rsidR="000D3D23" w:rsidRPr="000D3D23">
        <w:rPr>
          <w:sz w:val="26"/>
          <w:szCs w:val="26"/>
        </w:rPr>
        <w:t>Mr. Crist mislabeled his multiplier a</w:t>
      </w:r>
      <w:r w:rsidR="000D3D23">
        <w:rPr>
          <w:sz w:val="26"/>
          <w:szCs w:val="26"/>
        </w:rPr>
        <w:t xml:space="preserve"> </w:t>
      </w:r>
      <w:r w:rsidR="000D3D23" w:rsidRPr="000D3D23">
        <w:rPr>
          <w:sz w:val="26"/>
          <w:szCs w:val="26"/>
        </w:rPr>
        <w:t>“load factor” to create the mis</w:t>
      </w:r>
      <w:r w:rsidR="000B16C1">
        <w:rPr>
          <w:sz w:val="26"/>
          <w:szCs w:val="26"/>
        </w:rPr>
        <w:t xml:space="preserve">conception </w:t>
      </w:r>
      <w:r w:rsidR="000D3D23" w:rsidRPr="000D3D23">
        <w:rPr>
          <w:sz w:val="26"/>
          <w:szCs w:val="26"/>
        </w:rPr>
        <w:t xml:space="preserve">that he was replicating the approach </w:t>
      </w:r>
      <w:r w:rsidR="00404D13">
        <w:rPr>
          <w:sz w:val="26"/>
          <w:szCs w:val="26"/>
        </w:rPr>
        <w:t xml:space="preserve">that Duquesne’s </w:t>
      </w:r>
      <w:r w:rsidR="000D3D23" w:rsidRPr="000D3D23">
        <w:rPr>
          <w:sz w:val="26"/>
          <w:szCs w:val="26"/>
        </w:rPr>
        <w:t xml:space="preserve">witness used in </w:t>
      </w:r>
      <w:r w:rsidR="00404D13">
        <w:rPr>
          <w:sz w:val="26"/>
          <w:szCs w:val="26"/>
        </w:rPr>
        <w:t xml:space="preserve">its </w:t>
      </w:r>
      <w:r w:rsidR="000D3D23" w:rsidRPr="000D3D23">
        <w:rPr>
          <w:sz w:val="26"/>
          <w:szCs w:val="26"/>
        </w:rPr>
        <w:t>2013 base rate case to judgmentally reduce the over $6.00 per kW rate</w:t>
      </w:r>
      <w:r w:rsidR="000D3D23">
        <w:rPr>
          <w:sz w:val="26"/>
          <w:szCs w:val="26"/>
        </w:rPr>
        <w:t xml:space="preserve"> </w:t>
      </w:r>
      <w:r w:rsidR="000D3D23" w:rsidRPr="000D3D23">
        <w:rPr>
          <w:sz w:val="26"/>
          <w:szCs w:val="26"/>
        </w:rPr>
        <w:t>to $2.50 per kW.</w:t>
      </w:r>
      <w:r w:rsidR="005030F1">
        <w:rPr>
          <w:sz w:val="26"/>
          <w:szCs w:val="26"/>
        </w:rPr>
        <w:t xml:space="preserve">  </w:t>
      </w:r>
      <w:r w:rsidR="008C33AF">
        <w:rPr>
          <w:sz w:val="26"/>
          <w:szCs w:val="26"/>
        </w:rPr>
        <w:t xml:space="preserve">Duquesne Exc. at 15 (citing </w:t>
      </w:r>
      <w:r w:rsidR="005030F1">
        <w:rPr>
          <w:sz w:val="26"/>
          <w:szCs w:val="26"/>
        </w:rPr>
        <w:t>Tr. at 323-324</w:t>
      </w:r>
      <w:r w:rsidR="008C33AF">
        <w:rPr>
          <w:sz w:val="26"/>
          <w:szCs w:val="26"/>
        </w:rPr>
        <w:t>)</w:t>
      </w:r>
      <w:r w:rsidR="005030F1">
        <w:rPr>
          <w:sz w:val="26"/>
          <w:szCs w:val="26"/>
        </w:rPr>
        <w:t>.</w:t>
      </w:r>
    </w:p>
    <w:p w:rsidR="00603AA7" w:rsidRDefault="00603AA7" w:rsidP="007D3734">
      <w:pPr>
        <w:widowControl/>
        <w:spacing w:line="360" w:lineRule="auto"/>
        <w:contextualSpacing/>
        <w:rPr>
          <w:sz w:val="26"/>
          <w:szCs w:val="26"/>
        </w:rPr>
      </w:pPr>
    </w:p>
    <w:p w:rsidR="00603AA7" w:rsidRDefault="00603AA7" w:rsidP="007D3734">
      <w:pPr>
        <w:widowControl/>
        <w:spacing w:line="360" w:lineRule="auto"/>
        <w:contextualSpacing/>
        <w:rPr>
          <w:sz w:val="26"/>
          <w:szCs w:val="26"/>
        </w:rPr>
      </w:pPr>
      <w:r>
        <w:rPr>
          <w:sz w:val="26"/>
          <w:szCs w:val="26"/>
        </w:rPr>
        <w:tab/>
      </w:r>
      <w:r>
        <w:rPr>
          <w:sz w:val="26"/>
          <w:szCs w:val="26"/>
        </w:rPr>
        <w:tab/>
      </w:r>
      <w:r w:rsidR="004F734F">
        <w:rPr>
          <w:sz w:val="26"/>
          <w:szCs w:val="26"/>
        </w:rPr>
        <w:t xml:space="preserve">According to </w:t>
      </w:r>
      <w:r>
        <w:rPr>
          <w:sz w:val="26"/>
          <w:szCs w:val="26"/>
        </w:rPr>
        <w:t>Duquesne</w:t>
      </w:r>
      <w:r w:rsidR="004F734F">
        <w:rPr>
          <w:sz w:val="26"/>
          <w:szCs w:val="26"/>
        </w:rPr>
        <w:t>,</w:t>
      </w:r>
      <w:r>
        <w:rPr>
          <w:sz w:val="26"/>
          <w:szCs w:val="26"/>
        </w:rPr>
        <w:t xml:space="preserve"> </w:t>
      </w:r>
      <w:r w:rsidR="000F1780">
        <w:rPr>
          <w:sz w:val="26"/>
          <w:szCs w:val="26"/>
        </w:rPr>
        <w:t>DII</w:t>
      </w:r>
      <w:r w:rsidR="004F734F">
        <w:rPr>
          <w:sz w:val="26"/>
          <w:szCs w:val="26"/>
        </w:rPr>
        <w:t xml:space="preserve"> is of the view that </w:t>
      </w:r>
      <w:r>
        <w:rPr>
          <w:sz w:val="26"/>
          <w:szCs w:val="26"/>
        </w:rPr>
        <w:t xml:space="preserve">customer-generators should receive back-up service at a rate that absolves them from paying all but a small fraction (5%) of the costs to have distribution </w:t>
      </w:r>
      <w:r w:rsidR="006465F0">
        <w:rPr>
          <w:sz w:val="26"/>
          <w:szCs w:val="26"/>
        </w:rPr>
        <w:t xml:space="preserve">capacity available 24-7-365 to meet their needs.  </w:t>
      </w:r>
      <w:r w:rsidR="00AA5BA7">
        <w:rPr>
          <w:sz w:val="26"/>
          <w:szCs w:val="26"/>
        </w:rPr>
        <w:t>In Duquesne</w:t>
      </w:r>
      <w:r w:rsidR="001E73FA">
        <w:rPr>
          <w:sz w:val="26"/>
          <w:szCs w:val="26"/>
        </w:rPr>
        <w:t>’</w:t>
      </w:r>
      <w:r w:rsidR="00AA5BA7">
        <w:rPr>
          <w:sz w:val="26"/>
          <w:szCs w:val="26"/>
        </w:rPr>
        <w:t xml:space="preserve">s view, </w:t>
      </w:r>
      <w:r w:rsidR="006465F0">
        <w:rPr>
          <w:sz w:val="26"/>
          <w:szCs w:val="26"/>
        </w:rPr>
        <w:t>DII witness Crist</w:t>
      </w:r>
      <w:r w:rsidR="001E73FA">
        <w:rPr>
          <w:sz w:val="26"/>
          <w:szCs w:val="26"/>
        </w:rPr>
        <w:t>’</w:t>
      </w:r>
      <w:r w:rsidR="006465F0">
        <w:rPr>
          <w:sz w:val="26"/>
          <w:szCs w:val="26"/>
        </w:rPr>
        <w:t>s recommendations would exempt back-up customers from costs that all other Duquesne distribution customer</w:t>
      </w:r>
      <w:r w:rsidR="00E56171">
        <w:rPr>
          <w:sz w:val="26"/>
          <w:szCs w:val="26"/>
        </w:rPr>
        <w:t>s</w:t>
      </w:r>
      <w:r w:rsidR="006465F0">
        <w:rPr>
          <w:sz w:val="26"/>
          <w:szCs w:val="26"/>
        </w:rPr>
        <w:t xml:space="preserve"> pay, even though customers with generation could (and did) impose the same peak demands that they would have if they had not installed on-site generation.  Duquesne Exc. at 17-18 (citing Tr. at 619-20).</w:t>
      </w:r>
    </w:p>
    <w:p w:rsidR="00603AA7" w:rsidRDefault="00603AA7" w:rsidP="007D3734">
      <w:pPr>
        <w:widowControl/>
        <w:spacing w:line="360" w:lineRule="auto"/>
        <w:contextualSpacing/>
        <w:rPr>
          <w:sz w:val="26"/>
          <w:szCs w:val="26"/>
        </w:rPr>
      </w:pPr>
    </w:p>
    <w:p w:rsidR="00511EB1" w:rsidRDefault="00FD66D8" w:rsidP="007D3734">
      <w:pPr>
        <w:widowControl/>
        <w:spacing w:line="360" w:lineRule="auto"/>
        <w:contextualSpacing/>
        <w:rPr>
          <w:sz w:val="26"/>
          <w:szCs w:val="26"/>
        </w:rPr>
      </w:pPr>
      <w:r>
        <w:rPr>
          <w:sz w:val="26"/>
          <w:szCs w:val="26"/>
        </w:rPr>
        <w:tab/>
      </w:r>
      <w:r>
        <w:rPr>
          <w:sz w:val="26"/>
          <w:szCs w:val="26"/>
        </w:rPr>
        <w:tab/>
        <w:t xml:space="preserve">Duquesne alleges that </w:t>
      </w:r>
      <w:r w:rsidR="000F1780">
        <w:rPr>
          <w:sz w:val="26"/>
          <w:szCs w:val="26"/>
        </w:rPr>
        <w:t>DII</w:t>
      </w:r>
      <w:r w:rsidR="001E73FA">
        <w:rPr>
          <w:sz w:val="26"/>
          <w:szCs w:val="26"/>
        </w:rPr>
        <w:t>’</w:t>
      </w:r>
      <w:r>
        <w:rPr>
          <w:sz w:val="26"/>
          <w:szCs w:val="26"/>
        </w:rPr>
        <w:t>s proposed 5% multiplier measures the frequency with which a customer-generator imposes its demands, which is a measure of usage or consumption</w:t>
      </w:r>
      <w:r w:rsidR="00253C21">
        <w:rPr>
          <w:sz w:val="26"/>
          <w:szCs w:val="26"/>
        </w:rPr>
        <w:t xml:space="preserve"> but not demand</w:t>
      </w:r>
      <w:r>
        <w:rPr>
          <w:sz w:val="26"/>
          <w:szCs w:val="26"/>
        </w:rPr>
        <w:t xml:space="preserve">. </w:t>
      </w:r>
      <w:r w:rsidR="00C17B9F">
        <w:rPr>
          <w:sz w:val="26"/>
          <w:szCs w:val="26"/>
        </w:rPr>
        <w:t xml:space="preserve"> </w:t>
      </w:r>
      <w:r w:rsidR="0069440F">
        <w:rPr>
          <w:sz w:val="26"/>
          <w:szCs w:val="26"/>
        </w:rPr>
        <w:t xml:space="preserve">Therefore, </w:t>
      </w:r>
      <w:r>
        <w:rPr>
          <w:sz w:val="26"/>
          <w:szCs w:val="26"/>
        </w:rPr>
        <w:t xml:space="preserve">Duquesne </w:t>
      </w:r>
      <w:r w:rsidR="00034E50">
        <w:rPr>
          <w:sz w:val="26"/>
          <w:szCs w:val="26"/>
        </w:rPr>
        <w:t xml:space="preserve">avers that </w:t>
      </w:r>
      <w:r>
        <w:rPr>
          <w:sz w:val="26"/>
          <w:szCs w:val="26"/>
        </w:rPr>
        <w:t>applying a 5% multiplier to the fully</w:t>
      </w:r>
      <w:r w:rsidR="00C1121F">
        <w:rPr>
          <w:sz w:val="26"/>
          <w:szCs w:val="26"/>
        </w:rPr>
        <w:noBreakHyphen/>
      </w:r>
      <w:r>
        <w:rPr>
          <w:sz w:val="26"/>
          <w:szCs w:val="26"/>
        </w:rPr>
        <w:t>allocated cost of distribution service calculates charges that are proportional to a b</w:t>
      </w:r>
      <w:r w:rsidR="005F5BFE">
        <w:rPr>
          <w:sz w:val="26"/>
          <w:szCs w:val="26"/>
        </w:rPr>
        <w:t>a</w:t>
      </w:r>
      <w:r>
        <w:rPr>
          <w:sz w:val="26"/>
          <w:szCs w:val="26"/>
        </w:rPr>
        <w:t>ck-up customer</w:t>
      </w:r>
      <w:r w:rsidR="001E73FA">
        <w:rPr>
          <w:sz w:val="26"/>
          <w:szCs w:val="26"/>
        </w:rPr>
        <w:t>’</w:t>
      </w:r>
      <w:r>
        <w:rPr>
          <w:sz w:val="26"/>
          <w:szCs w:val="26"/>
        </w:rPr>
        <w:t>s energy usage</w:t>
      </w:r>
      <w:r w:rsidR="00DB2D71">
        <w:rPr>
          <w:sz w:val="26"/>
          <w:szCs w:val="26"/>
        </w:rPr>
        <w:t xml:space="preserve"> rather than </w:t>
      </w:r>
      <w:r w:rsidR="00B5784C">
        <w:rPr>
          <w:sz w:val="26"/>
          <w:szCs w:val="26"/>
        </w:rPr>
        <w:t>distribution costs</w:t>
      </w:r>
      <w:r>
        <w:rPr>
          <w:sz w:val="26"/>
          <w:szCs w:val="26"/>
        </w:rPr>
        <w:t xml:space="preserve">.  Duquesne </w:t>
      </w:r>
      <w:r w:rsidR="0069440F">
        <w:rPr>
          <w:sz w:val="26"/>
          <w:szCs w:val="26"/>
        </w:rPr>
        <w:t xml:space="preserve">submits that the ALJ’s Recommended Decision </w:t>
      </w:r>
      <w:r w:rsidR="0029144F">
        <w:rPr>
          <w:sz w:val="26"/>
          <w:szCs w:val="26"/>
        </w:rPr>
        <w:t>on p</w:t>
      </w:r>
      <w:r w:rsidR="006D626A">
        <w:rPr>
          <w:sz w:val="26"/>
          <w:szCs w:val="26"/>
        </w:rPr>
        <w:t>ages</w:t>
      </w:r>
      <w:r w:rsidR="0029144F">
        <w:rPr>
          <w:sz w:val="26"/>
          <w:szCs w:val="26"/>
        </w:rPr>
        <w:t xml:space="preserve"> 174-175 </w:t>
      </w:r>
      <w:r w:rsidR="0069440F">
        <w:rPr>
          <w:sz w:val="26"/>
          <w:szCs w:val="26"/>
        </w:rPr>
        <w:t xml:space="preserve">accepts this proposition as evidenced by </w:t>
      </w:r>
      <w:r w:rsidR="0029144F">
        <w:rPr>
          <w:sz w:val="26"/>
          <w:szCs w:val="26"/>
        </w:rPr>
        <w:t xml:space="preserve">the mistaken belief that the Company is providing distribution “service” only when electricity from external sources is actually being </w:t>
      </w:r>
      <w:r w:rsidR="0029144F">
        <w:rPr>
          <w:sz w:val="26"/>
          <w:szCs w:val="26"/>
        </w:rPr>
        <w:lastRenderedPageBreak/>
        <w:t>delivered</w:t>
      </w:r>
      <w:r>
        <w:rPr>
          <w:sz w:val="26"/>
          <w:szCs w:val="26"/>
        </w:rPr>
        <w:t xml:space="preserve"> by the Company to a customer</w:t>
      </w:r>
      <w:r w:rsidR="001E73FA">
        <w:rPr>
          <w:sz w:val="26"/>
          <w:szCs w:val="26"/>
        </w:rPr>
        <w:t>’</w:t>
      </w:r>
      <w:r>
        <w:rPr>
          <w:sz w:val="26"/>
          <w:szCs w:val="26"/>
        </w:rPr>
        <w:t>s meter during its generator outages.  Duquesne Exc. at 18.</w:t>
      </w:r>
    </w:p>
    <w:p w:rsidR="00FD66D8" w:rsidRDefault="00FD66D8" w:rsidP="007D3734">
      <w:pPr>
        <w:widowControl/>
        <w:spacing w:line="360" w:lineRule="auto"/>
        <w:contextualSpacing/>
        <w:rPr>
          <w:sz w:val="26"/>
          <w:szCs w:val="26"/>
        </w:rPr>
      </w:pPr>
    </w:p>
    <w:p w:rsidR="00FD66D8" w:rsidRDefault="00FD66D8" w:rsidP="007D3734">
      <w:pPr>
        <w:widowControl/>
        <w:spacing w:line="360" w:lineRule="auto"/>
        <w:contextualSpacing/>
        <w:rPr>
          <w:sz w:val="26"/>
          <w:szCs w:val="26"/>
        </w:rPr>
      </w:pPr>
      <w:r>
        <w:rPr>
          <w:sz w:val="26"/>
          <w:szCs w:val="26"/>
        </w:rPr>
        <w:tab/>
      </w:r>
      <w:r>
        <w:rPr>
          <w:sz w:val="26"/>
          <w:szCs w:val="26"/>
        </w:rPr>
        <w:tab/>
      </w:r>
      <w:r w:rsidR="0028302E">
        <w:rPr>
          <w:sz w:val="26"/>
          <w:szCs w:val="26"/>
        </w:rPr>
        <w:t xml:space="preserve">According to Duquesne, </w:t>
      </w:r>
      <w:r w:rsidR="000F1780">
        <w:rPr>
          <w:sz w:val="26"/>
          <w:szCs w:val="26"/>
        </w:rPr>
        <w:t>DII</w:t>
      </w:r>
      <w:r w:rsidR="0028302E">
        <w:rPr>
          <w:sz w:val="26"/>
          <w:szCs w:val="26"/>
        </w:rPr>
        <w:t xml:space="preserve"> was incorrect in relying on the RAP Study</w:t>
      </w:r>
      <w:r w:rsidR="0028302E">
        <w:rPr>
          <w:rStyle w:val="FootnoteReference"/>
          <w:sz w:val="26"/>
          <w:szCs w:val="26"/>
        </w:rPr>
        <w:footnoteReference w:id="22"/>
      </w:r>
      <w:r w:rsidR="0028302E">
        <w:rPr>
          <w:sz w:val="26"/>
          <w:szCs w:val="26"/>
        </w:rPr>
        <w:t xml:space="preserve"> to support its position that the fully-allocated costs of furnishing distribution service should be multiplied by a </w:t>
      </w:r>
      <w:r w:rsidR="001E73FA">
        <w:rPr>
          <w:sz w:val="26"/>
          <w:szCs w:val="26"/>
        </w:rPr>
        <w:t>“</w:t>
      </w:r>
      <w:r w:rsidR="0028302E">
        <w:rPr>
          <w:sz w:val="26"/>
          <w:szCs w:val="26"/>
        </w:rPr>
        <w:t>forced outage rate</w:t>
      </w:r>
      <w:r w:rsidR="001E73FA">
        <w:rPr>
          <w:sz w:val="26"/>
          <w:szCs w:val="26"/>
        </w:rPr>
        <w:t>”</w:t>
      </w:r>
      <w:r w:rsidR="0028302E">
        <w:rPr>
          <w:sz w:val="26"/>
          <w:szCs w:val="26"/>
        </w:rPr>
        <w:t xml:space="preserve"> to determine an appropriate back-up distribution rate.  Duquesne notes that the portions of the RAP </w:t>
      </w:r>
      <w:r w:rsidR="005F5BFE">
        <w:rPr>
          <w:sz w:val="26"/>
          <w:szCs w:val="26"/>
        </w:rPr>
        <w:t>S</w:t>
      </w:r>
      <w:r w:rsidR="0028302E">
        <w:rPr>
          <w:sz w:val="26"/>
          <w:szCs w:val="26"/>
        </w:rPr>
        <w:t xml:space="preserve">tudy </w:t>
      </w:r>
      <w:r w:rsidR="000F1780">
        <w:rPr>
          <w:sz w:val="26"/>
          <w:szCs w:val="26"/>
        </w:rPr>
        <w:t>DII</w:t>
      </w:r>
      <w:r w:rsidR="0028302E">
        <w:rPr>
          <w:sz w:val="26"/>
          <w:szCs w:val="26"/>
        </w:rPr>
        <w:t xml:space="preserve"> tried to rely upon have nothing to do with rates for distribution service.  Rather, the RAP study clearly states that forced outage rates should be used only to calculate </w:t>
      </w:r>
      <w:r w:rsidR="001E73FA">
        <w:rPr>
          <w:sz w:val="26"/>
          <w:szCs w:val="26"/>
        </w:rPr>
        <w:t>“</w:t>
      </w:r>
      <w:r w:rsidR="0028302E">
        <w:rPr>
          <w:sz w:val="26"/>
          <w:szCs w:val="26"/>
        </w:rPr>
        <w:t>generation reservation charges.</w:t>
      </w:r>
      <w:r w:rsidR="001E73FA">
        <w:rPr>
          <w:sz w:val="26"/>
          <w:szCs w:val="26"/>
        </w:rPr>
        <w:t>”</w:t>
      </w:r>
      <w:r w:rsidR="0028302E">
        <w:rPr>
          <w:sz w:val="26"/>
          <w:szCs w:val="26"/>
        </w:rPr>
        <w:t xml:space="preserve">  Duquesne Exc. at 19 (citing DII I.B. at 36-38, RAP Study at 13).</w:t>
      </w:r>
    </w:p>
    <w:p w:rsidR="00511EB1" w:rsidRDefault="00511EB1" w:rsidP="007D3734">
      <w:pPr>
        <w:widowControl/>
        <w:spacing w:line="360" w:lineRule="auto"/>
        <w:contextualSpacing/>
        <w:rPr>
          <w:sz w:val="26"/>
          <w:szCs w:val="26"/>
        </w:rPr>
      </w:pPr>
    </w:p>
    <w:p w:rsidR="003C113D" w:rsidRDefault="003C113D" w:rsidP="007D3734">
      <w:pPr>
        <w:pStyle w:val="Heading4"/>
        <w:keepLines/>
        <w:numPr>
          <w:ilvl w:val="7"/>
          <w:numId w:val="22"/>
        </w:numPr>
        <w:ind w:left="2434" w:hanging="360"/>
      </w:pPr>
      <w:r>
        <w:t>DII</w:t>
      </w:r>
      <w:r w:rsidR="001E73FA">
        <w:t>’</w:t>
      </w:r>
      <w:r>
        <w:t>s Replies</w:t>
      </w:r>
    </w:p>
    <w:p w:rsidR="003C113D" w:rsidRPr="003C113D" w:rsidRDefault="003C113D" w:rsidP="007D3734">
      <w:pPr>
        <w:pStyle w:val="ListParagraph"/>
        <w:keepNext/>
        <w:keepLines/>
        <w:widowControl/>
        <w:spacing w:line="360" w:lineRule="auto"/>
        <w:ind w:left="1440"/>
        <w:rPr>
          <w:sz w:val="26"/>
          <w:szCs w:val="26"/>
        </w:rPr>
      </w:pPr>
    </w:p>
    <w:p w:rsidR="00B14563" w:rsidRDefault="00B14563" w:rsidP="007D3734">
      <w:pPr>
        <w:widowControl/>
        <w:spacing w:line="360" w:lineRule="auto"/>
        <w:contextualSpacing/>
        <w:rPr>
          <w:sz w:val="26"/>
          <w:szCs w:val="26"/>
        </w:rPr>
      </w:pPr>
      <w:r>
        <w:rPr>
          <w:sz w:val="26"/>
          <w:szCs w:val="26"/>
        </w:rPr>
        <w:tab/>
      </w:r>
      <w:r>
        <w:rPr>
          <w:sz w:val="26"/>
          <w:szCs w:val="26"/>
        </w:rPr>
        <w:tab/>
        <w:t xml:space="preserve">In Reply, </w:t>
      </w:r>
      <w:r w:rsidR="000F1780">
        <w:rPr>
          <w:sz w:val="26"/>
          <w:szCs w:val="26"/>
        </w:rPr>
        <w:t>DII</w:t>
      </w:r>
      <w:r>
        <w:rPr>
          <w:sz w:val="26"/>
          <w:szCs w:val="26"/>
        </w:rPr>
        <w:t xml:space="preserve"> contend</w:t>
      </w:r>
      <w:r w:rsidR="000F1780">
        <w:rPr>
          <w:sz w:val="26"/>
          <w:szCs w:val="26"/>
        </w:rPr>
        <w:t>s</w:t>
      </w:r>
      <w:r>
        <w:rPr>
          <w:sz w:val="26"/>
          <w:szCs w:val="26"/>
        </w:rPr>
        <w:t xml:space="preserve"> that </w:t>
      </w:r>
      <w:r w:rsidR="0007374C">
        <w:rPr>
          <w:sz w:val="26"/>
          <w:szCs w:val="26"/>
        </w:rPr>
        <w:t>they</w:t>
      </w:r>
      <w:r w:rsidR="00556044">
        <w:rPr>
          <w:sz w:val="26"/>
          <w:szCs w:val="26"/>
        </w:rPr>
        <w:t xml:space="preserve"> ha</w:t>
      </w:r>
      <w:r w:rsidR="0007374C">
        <w:rPr>
          <w:sz w:val="26"/>
          <w:szCs w:val="26"/>
        </w:rPr>
        <w:t xml:space="preserve">ve </w:t>
      </w:r>
      <w:r w:rsidR="00556044">
        <w:rPr>
          <w:sz w:val="26"/>
          <w:szCs w:val="26"/>
        </w:rPr>
        <w:t>consistently argued that a load factor should be maintained and based on historical dat</w:t>
      </w:r>
      <w:r w:rsidR="00687983">
        <w:rPr>
          <w:sz w:val="26"/>
          <w:szCs w:val="26"/>
        </w:rPr>
        <w:t>a</w:t>
      </w:r>
      <w:r w:rsidR="00556044">
        <w:rPr>
          <w:sz w:val="26"/>
          <w:szCs w:val="26"/>
        </w:rPr>
        <w:t xml:space="preserve"> and industry norms (</w:t>
      </w:r>
      <w:r w:rsidR="00556044" w:rsidRPr="00451D48">
        <w:rPr>
          <w:i/>
          <w:sz w:val="26"/>
          <w:szCs w:val="26"/>
        </w:rPr>
        <w:t>i.e.</w:t>
      </w:r>
      <w:r w:rsidR="00556044">
        <w:rPr>
          <w:sz w:val="26"/>
          <w:szCs w:val="26"/>
        </w:rPr>
        <w:t xml:space="preserve"> 5% based on the record evidence in this proceeding</w:t>
      </w:r>
      <w:r w:rsidR="005F5BFE">
        <w:rPr>
          <w:sz w:val="26"/>
          <w:szCs w:val="26"/>
        </w:rPr>
        <w:t>)</w:t>
      </w:r>
      <w:r w:rsidR="00556044">
        <w:rPr>
          <w:sz w:val="26"/>
          <w:szCs w:val="26"/>
        </w:rPr>
        <w:t xml:space="preserve">.  </w:t>
      </w:r>
      <w:r w:rsidR="000F1780">
        <w:rPr>
          <w:sz w:val="26"/>
          <w:szCs w:val="26"/>
        </w:rPr>
        <w:t>DII</w:t>
      </w:r>
      <w:r w:rsidR="00556044">
        <w:rPr>
          <w:sz w:val="26"/>
          <w:szCs w:val="26"/>
        </w:rPr>
        <w:t xml:space="preserve"> </w:t>
      </w:r>
      <w:r w:rsidR="00D40835">
        <w:rPr>
          <w:sz w:val="26"/>
          <w:szCs w:val="26"/>
        </w:rPr>
        <w:t xml:space="preserve">also </w:t>
      </w:r>
      <w:r w:rsidR="008F34E0">
        <w:rPr>
          <w:sz w:val="26"/>
          <w:szCs w:val="26"/>
        </w:rPr>
        <w:t>contend</w:t>
      </w:r>
      <w:r w:rsidR="000F1780">
        <w:rPr>
          <w:sz w:val="26"/>
          <w:szCs w:val="26"/>
        </w:rPr>
        <w:t>s</w:t>
      </w:r>
      <w:r w:rsidR="00556044">
        <w:rPr>
          <w:sz w:val="26"/>
          <w:szCs w:val="26"/>
        </w:rPr>
        <w:t xml:space="preserve"> that </w:t>
      </w:r>
      <w:r w:rsidR="0007374C">
        <w:rPr>
          <w:sz w:val="26"/>
          <w:szCs w:val="26"/>
        </w:rPr>
        <w:t>their</w:t>
      </w:r>
      <w:r w:rsidR="00556044">
        <w:rPr>
          <w:sz w:val="26"/>
          <w:szCs w:val="26"/>
        </w:rPr>
        <w:t xml:space="preserve"> approach is consistent with </w:t>
      </w:r>
      <w:r w:rsidR="00DF2B38">
        <w:rPr>
          <w:sz w:val="26"/>
          <w:szCs w:val="26"/>
        </w:rPr>
        <w:t xml:space="preserve">Duquesne’s position in the </w:t>
      </w:r>
      <w:r w:rsidR="00556044">
        <w:rPr>
          <w:sz w:val="26"/>
          <w:szCs w:val="26"/>
        </w:rPr>
        <w:t>Company</w:t>
      </w:r>
      <w:r w:rsidR="001E73FA">
        <w:rPr>
          <w:sz w:val="26"/>
          <w:szCs w:val="26"/>
        </w:rPr>
        <w:t>’</w:t>
      </w:r>
      <w:r w:rsidR="00556044">
        <w:rPr>
          <w:sz w:val="26"/>
          <w:szCs w:val="26"/>
        </w:rPr>
        <w:t xml:space="preserve">s last rate case, but with additional and improved data.  DII R. Exc. at 11.  </w:t>
      </w:r>
      <w:r w:rsidR="000F1780">
        <w:rPr>
          <w:sz w:val="26"/>
          <w:szCs w:val="26"/>
        </w:rPr>
        <w:t>DII</w:t>
      </w:r>
      <w:r w:rsidR="00F54197">
        <w:rPr>
          <w:sz w:val="26"/>
          <w:szCs w:val="26"/>
        </w:rPr>
        <w:t xml:space="preserve"> provide</w:t>
      </w:r>
      <w:r w:rsidR="000F1780">
        <w:rPr>
          <w:sz w:val="26"/>
          <w:szCs w:val="26"/>
        </w:rPr>
        <w:t>s</w:t>
      </w:r>
      <w:r w:rsidR="00F54197">
        <w:rPr>
          <w:sz w:val="26"/>
          <w:szCs w:val="26"/>
        </w:rPr>
        <w:t xml:space="preserve"> that Duquesne</w:t>
      </w:r>
      <w:r w:rsidR="001E73FA">
        <w:rPr>
          <w:sz w:val="26"/>
          <w:szCs w:val="26"/>
        </w:rPr>
        <w:t>’</w:t>
      </w:r>
      <w:r w:rsidR="00F54197">
        <w:rPr>
          <w:sz w:val="26"/>
          <w:szCs w:val="26"/>
        </w:rPr>
        <w:t xml:space="preserve">s witness Pfrommer used the term </w:t>
      </w:r>
      <w:r w:rsidR="001E73FA">
        <w:rPr>
          <w:sz w:val="26"/>
          <w:szCs w:val="26"/>
        </w:rPr>
        <w:t>“</w:t>
      </w:r>
      <w:r w:rsidR="00F54197">
        <w:rPr>
          <w:sz w:val="26"/>
          <w:szCs w:val="26"/>
        </w:rPr>
        <w:t>load factor</w:t>
      </w:r>
      <w:r w:rsidR="001E73FA">
        <w:rPr>
          <w:sz w:val="26"/>
          <w:szCs w:val="26"/>
        </w:rPr>
        <w:t>”</w:t>
      </w:r>
      <w:r w:rsidR="00F54197">
        <w:rPr>
          <w:sz w:val="26"/>
          <w:szCs w:val="26"/>
        </w:rPr>
        <w:t xml:space="preserve"> in Duquesne</w:t>
      </w:r>
      <w:r w:rsidR="001E73FA">
        <w:rPr>
          <w:sz w:val="26"/>
          <w:szCs w:val="26"/>
        </w:rPr>
        <w:t>’</w:t>
      </w:r>
      <w:r w:rsidR="00F54197">
        <w:rPr>
          <w:sz w:val="26"/>
          <w:szCs w:val="26"/>
        </w:rPr>
        <w:t>s 2013 rate case proceeding to describe the assumption that was being applied in determining the current back-up service rate.  DII R. Exc. at 11 (citing Exh. JC-6 (Pfrommer 2013 Testimony)).</w:t>
      </w:r>
    </w:p>
    <w:p w:rsidR="00F54197" w:rsidRDefault="00F54197" w:rsidP="007D3734">
      <w:pPr>
        <w:widowControl/>
        <w:spacing w:line="360" w:lineRule="auto"/>
        <w:contextualSpacing/>
        <w:rPr>
          <w:sz w:val="26"/>
          <w:szCs w:val="26"/>
        </w:rPr>
      </w:pPr>
    </w:p>
    <w:p w:rsidR="00F54197" w:rsidRDefault="00F54197" w:rsidP="007D3734">
      <w:pPr>
        <w:widowControl/>
        <w:spacing w:line="360" w:lineRule="auto"/>
        <w:contextualSpacing/>
        <w:rPr>
          <w:sz w:val="26"/>
          <w:szCs w:val="26"/>
        </w:rPr>
      </w:pPr>
      <w:r>
        <w:rPr>
          <w:sz w:val="26"/>
          <w:szCs w:val="26"/>
        </w:rPr>
        <w:tab/>
      </w:r>
      <w:r>
        <w:rPr>
          <w:sz w:val="26"/>
          <w:szCs w:val="26"/>
        </w:rPr>
        <w:tab/>
      </w:r>
      <w:r w:rsidR="000F1780">
        <w:rPr>
          <w:sz w:val="26"/>
          <w:szCs w:val="26"/>
        </w:rPr>
        <w:t>DII</w:t>
      </w:r>
      <w:r>
        <w:rPr>
          <w:sz w:val="26"/>
          <w:szCs w:val="26"/>
        </w:rPr>
        <w:t xml:space="preserve"> argue</w:t>
      </w:r>
      <w:r w:rsidR="000F1780">
        <w:rPr>
          <w:sz w:val="26"/>
          <w:szCs w:val="26"/>
        </w:rPr>
        <w:t>s</w:t>
      </w:r>
      <w:r>
        <w:rPr>
          <w:sz w:val="26"/>
          <w:szCs w:val="26"/>
        </w:rPr>
        <w:t xml:space="preserve"> that distributed generation customers do not </w:t>
      </w:r>
      <w:r w:rsidR="00F808D2">
        <w:rPr>
          <w:sz w:val="26"/>
          <w:szCs w:val="26"/>
        </w:rPr>
        <w:t xml:space="preserve">impose the same cost on the distribution system as full-requirements customers.  </w:t>
      </w:r>
      <w:r w:rsidR="009F36B2">
        <w:rPr>
          <w:sz w:val="26"/>
          <w:szCs w:val="26"/>
        </w:rPr>
        <w:t>DII</w:t>
      </w:r>
      <w:r w:rsidR="00F808D2">
        <w:rPr>
          <w:sz w:val="26"/>
          <w:szCs w:val="26"/>
        </w:rPr>
        <w:t xml:space="preserve"> state</w:t>
      </w:r>
      <w:r w:rsidR="000F1780">
        <w:rPr>
          <w:sz w:val="26"/>
          <w:szCs w:val="26"/>
        </w:rPr>
        <w:t>s</w:t>
      </w:r>
      <w:r w:rsidR="00F808D2">
        <w:rPr>
          <w:sz w:val="26"/>
          <w:szCs w:val="26"/>
        </w:rPr>
        <w:t xml:space="preserve"> that </w:t>
      </w:r>
      <w:r>
        <w:rPr>
          <w:sz w:val="26"/>
          <w:szCs w:val="26"/>
        </w:rPr>
        <w:t xml:space="preserve">onsite generation customers have dramatically </w:t>
      </w:r>
      <w:r w:rsidR="00F808D2">
        <w:rPr>
          <w:sz w:val="26"/>
          <w:szCs w:val="26"/>
        </w:rPr>
        <w:t>different</w:t>
      </w:r>
      <w:r>
        <w:rPr>
          <w:sz w:val="26"/>
          <w:szCs w:val="26"/>
        </w:rPr>
        <w:t xml:space="preserve"> usage </w:t>
      </w:r>
      <w:r w:rsidR="00F808D2">
        <w:rPr>
          <w:sz w:val="26"/>
          <w:szCs w:val="26"/>
        </w:rPr>
        <w:t>patterns</w:t>
      </w:r>
      <w:r>
        <w:rPr>
          <w:sz w:val="26"/>
          <w:szCs w:val="26"/>
        </w:rPr>
        <w:t xml:space="preserve"> and should not be charged for back-up service as if they are using the distribution system 100% of the hours </w:t>
      </w:r>
      <w:r>
        <w:rPr>
          <w:sz w:val="26"/>
          <w:szCs w:val="26"/>
        </w:rPr>
        <w:lastRenderedPageBreak/>
        <w:t xml:space="preserve">of the year.  </w:t>
      </w:r>
      <w:r w:rsidR="00D40835">
        <w:rPr>
          <w:sz w:val="26"/>
          <w:szCs w:val="26"/>
        </w:rPr>
        <w:t>The</w:t>
      </w:r>
      <w:r w:rsidR="0007374C">
        <w:rPr>
          <w:sz w:val="26"/>
          <w:szCs w:val="26"/>
        </w:rPr>
        <w:t>y</w:t>
      </w:r>
      <w:r>
        <w:rPr>
          <w:sz w:val="26"/>
          <w:szCs w:val="26"/>
        </w:rPr>
        <w:t xml:space="preserve"> contend that in the absence of a proper cost of service study analyzing </w:t>
      </w:r>
      <w:r w:rsidR="00BF7139">
        <w:rPr>
          <w:sz w:val="26"/>
          <w:szCs w:val="26"/>
        </w:rPr>
        <w:t>Rider</w:t>
      </w:r>
      <w:r w:rsidR="001F75B6">
        <w:rPr>
          <w:sz w:val="26"/>
          <w:szCs w:val="26"/>
        </w:rPr>
        <w:t xml:space="preserve"> No. 16</w:t>
      </w:r>
      <w:r>
        <w:rPr>
          <w:sz w:val="26"/>
          <w:szCs w:val="26"/>
        </w:rPr>
        <w:t xml:space="preserve"> as a separate class, a load factor ensures that onsite generation customers get the appropriate diversity recognition in back-up rates.  </w:t>
      </w:r>
      <w:r w:rsidR="00F808D2">
        <w:rPr>
          <w:sz w:val="26"/>
          <w:szCs w:val="26"/>
        </w:rPr>
        <w:t xml:space="preserve">DII R.Exc. at 11-12 (citing DII Brief at 32-34, DII St. 1-S at 11, Peoples St. 4-SR at 3).  </w:t>
      </w:r>
    </w:p>
    <w:p w:rsidR="008C25CD" w:rsidRDefault="008C25CD" w:rsidP="007D3734">
      <w:pPr>
        <w:widowControl/>
        <w:spacing w:line="360" w:lineRule="auto"/>
        <w:contextualSpacing/>
        <w:rPr>
          <w:sz w:val="26"/>
          <w:szCs w:val="26"/>
        </w:rPr>
      </w:pPr>
    </w:p>
    <w:p w:rsidR="003C113D" w:rsidRDefault="003C113D" w:rsidP="007D3734">
      <w:pPr>
        <w:pStyle w:val="Heading4"/>
        <w:numPr>
          <w:ilvl w:val="7"/>
          <w:numId w:val="22"/>
        </w:numPr>
        <w:ind w:left="2434" w:hanging="360"/>
      </w:pPr>
      <w:r w:rsidRPr="00295A20">
        <w:t>Disposition</w:t>
      </w:r>
    </w:p>
    <w:p w:rsidR="00614D0F" w:rsidRDefault="00614D0F" w:rsidP="007D3734">
      <w:pPr>
        <w:widowControl/>
        <w:spacing w:line="360" w:lineRule="auto"/>
        <w:contextualSpacing/>
        <w:rPr>
          <w:sz w:val="26"/>
          <w:szCs w:val="26"/>
        </w:rPr>
      </w:pPr>
    </w:p>
    <w:p w:rsidR="0019702F" w:rsidRDefault="0019702F" w:rsidP="007D3734">
      <w:pPr>
        <w:widowControl/>
        <w:spacing w:line="360" w:lineRule="auto"/>
        <w:contextualSpacing/>
        <w:rPr>
          <w:sz w:val="26"/>
          <w:szCs w:val="26"/>
        </w:rPr>
      </w:pPr>
      <w:r>
        <w:rPr>
          <w:sz w:val="26"/>
          <w:szCs w:val="26"/>
        </w:rPr>
        <w:tab/>
      </w:r>
      <w:r>
        <w:rPr>
          <w:sz w:val="26"/>
          <w:szCs w:val="26"/>
        </w:rPr>
        <w:tab/>
      </w:r>
      <w:r w:rsidR="008C25CD">
        <w:rPr>
          <w:sz w:val="26"/>
          <w:szCs w:val="26"/>
        </w:rPr>
        <w:t xml:space="preserve">We </w:t>
      </w:r>
      <w:r w:rsidR="00614D0F">
        <w:rPr>
          <w:sz w:val="26"/>
          <w:szCs w:val="26"/>
        </w:rPr>
        <w:t xml:space="preserve">agree with Peoples witness Daniel that the </w:t>
      </w:r>
      <w:r w:rsidR="001E73FA">
        <w:rPr>
          <w:sz w:val="26"/>
          <w:szCs w:val="26"/>
        </w:rPr>
        <w:t>“</w:t>
      </w:r>
      <w:r w:rsidR="00614D0F">
        <w:rPr>
          <w:sz w:val="26"/>
          <w:szCs w:val="26"/>
        </w:rPr>
        <w:t xml:space="preserve">continued use of a 30% load factor can be viewed as a reasonable compromise that maintains the </w:t>
      </w:r>
      <w:r w:rsidR="00614D0F" w:rsidRPr="00D32E33">
        <w:rPr>
          <w:i/>
          <w:sz w:val="26"/>
          <w:szCs w:val="26"/>
        </w:rPr>
        <w:t>status quo</w:t>
      </w:r>
      <w:r w:rsidR="00614D0F">
        <w:rPr>
          <w:sz w:val="26"/>
          <w:szCs w:val="26"/>
        </w:rPr>
        <w:t xml:space="preserve"> from Duquesne</w:t>
      </w:r>
      <w:r w:rsidR="001E73FA">
        <w:rPr>
          <w:sz w:val="26"/>
          <w:szCs w:val="26"/>
        </w:rPr>
        <w:t>’</w:t>
      </w:r>
      <w:r w:rsidR="00614D0F">
        <w:rPr>
          <w:sz w:val="26"/>
          <w:szCs w:val="26"/>
        </w:rPr>
        <w:t xml:space="preserve">s prior base rate case – in which </w:t>
      </w:r>
      <w:r w:rsidR="00F65728">
        <w:rPr>
          <w:sz w:val="26"/>
          <w:szCs w:val="26"/>
        </w:rPr>
        <w:t>we</w:t>
      </w:r>
      <w:r w:rsidR="00614D0F">
        <w:rPr>
          <w:sz w:val="26"/>
          <w:szCs w:val="26"/>
        </w:rPr>
        <w:t xml:space="preserve"> found Duquesne</w:t>
      </w:r>
      <w:r w:rsidR="001E73FA">
        <w:rPr>
          <w:sz w:val="26"/>
          <w:szCs w:val="26"/>
        </w:rPr>
        <w:t>’</w:t>
      </w:r>
      <w:r w:rsidR="00614D0F">
        <w:rPr>
          <w:sz w:val="26"/>
          <w:szCs w:val="26"/>
        </w:rPr>
        <w:t>s rates to be just and reasonable.</w:t>
      </w:r>
      <w:r w:rsidR="001E73FA">
        <w:rPr>
          <w:sz w:val="26"/>
          <w:szCs w:val="26"/>
        </w:rPr>
        <w:t>”</w:t>
      </w:r>
      <w:r w:rsidR="00614D0F">
        <w:rPr>
          <w:sz w:val="26"/>
          <w:szCs w:val="26"/>
        </w:rPr>
        <w:t xml:space="preserve"> </w:t>
      </w:r>
      <w:r w:rsidR="00F65728">
        <w:rPr>
          <w:sz w:val="26"/>
          <w:szCs w:val="26"/>
        </w:rPr>
        <w:t xml:space="preserve"> </w:t>
      </w:r>
      <w:r w:rsidR="00614D0F">
        <w:rPr>
          <w:sz w:val="26"/>
          <w:szCs w:val="26"/>
        </w:rPr>
        <w:t xml:space="preserve">Peoples St. 2-R at 15.  </w:t>
      </w:r>
      <w:r w:rsidR="0047612F">
        <w:rPr>
          <w:sz w:val="26"/>
          <w:szCs w:val="26"/>
        </w:rPr>
        <w:t>The development of recommendations regarding standby rates and maintenance rates may be part of the Commission</w:t>
      </w:r>
      <w:r w:rsidR="001E73FA">
        <w:rPr>
          <w:sz w:val="26"/>
          <w:szCs w:val="26"/>
        </w:rPr>
        <w:t>’</w:t>
      </w:r>
      <w:r w:rsidR="0047612F">
        <w:rPr>
          <w:sz w:val="26"/>
          <w:szCs w:val="26"/>
        </w:rPr>
        <w:t>s CHP Working Group</w:t>
      </w:r>
      <w:r w:rsidR="001E73FA">
        <w:rPr>
          <w:sz w:val="26"/>
          <w:szCs w:val="26"/>
        </w:rPr>
        <w:t>’</w:t>
      </w:r>
      <w:r w:rsidR="0047612F">
        <w:rPr>
          <w:sz w:val="26"/>
          <w:szCs w:val="26"/>
        </w:rPr>
        <w:t xml:space="preserve">s future activities.  </w:t>
      </w:r>
      <w:r w:rsidR="009F36B2">
        <w:rPr>
          <w:sz w:val="26"/>
          <w:szCs w:val="26"/>
        </w:rPr>
        <w:t>DII</w:t>
      </w:r>
      <w:r w:rsidR="0047612F">
        <w:rPr>
          <w:sz w:val="26"/>
          <w:szCs w:val="26"/>
        </w:rPr>
        <w:t xml:space="preserve"> and other distributed generation customers can participate in the CHP Working Group process regarding these rates. </w:t>
      </w:r>
      <w:r w:rsidR="00550D5E">
        <w:rPr>
          <w:sz w:val="26"/>
          <w:szCs w:val="26"/>
        </w:rPr>
        <w:t xml:space="preserve"> </w:t>
      </w:r>
      <w:r w:rsidR="00C73F26">
        <w:rPr>
          <w:sz w:val="26"/>
          <w:szCs w:val="26"/>
        </w:rPr>
        <w:t>Thus, w</w:t>
      </w:r>
      <w:r w:rsidR="00614D0F">
        <w:rPr>
          <w:sz w:val="26"/>
          <w:szCs w:val="26"/>
        </w:rPr>
        <w:t xml:space="preserve">e </w:t>
      </w:r>
      <w:r w:rsidR="008C25CD">
        <w:rPr>
          <w:sz w:val="26"/>
          <w:szCs w:val="26"/>
        </w:rPr>
        <w:t xml:space="preserve">find that </w:t>
      </w:r>
      <w:r w:rsidR="0008358F">
        <w:rPr>
          <w:sz w:val="26"/>
          <w:szCs w:val="26"/>
        </w:rPr>
        <w:t xml:space="preserve">the present </w:t>
      </w:r>
      <w:r w:rsidR="00BF7139">
        <w:rPr>
          <w:sz w:val="26"/>
          <w:szCs w:val="26"/>
        </w:rPr>
        <w:t>Rider</w:t>
      </w:r>
      <w:r w:rsidR="001F75B6">
        <w:rPr>
          <w:sz w:val="26"/>
          <w:szCs w:val="26"/>
        </w:rPr>
        <w:t xml:space="preserve"> No. 16</w:t>
      </w:r>
      <w:r w:rsidR="008C25CD">
        <w:rPr>
          <w:sz w:val="26"/>
          <w:szCs w:val="26"/>
        </w:rPr>
        <w:t xml:space="preserve"> </w:t>
      </w:r>
      <w:r w:rsidR="0008358F">
        <w:rPr>
          <w:sz w:val="26"/>
          <w:szCs w:val="26"/>
        </w:rPr>
        <w:t xml:space="preserve">design </w:t>
      </w:r>
      <w:r w:rsidR="008C25CD">
        <w:rPr>
          <w:sz w:val="26"/>
          <w:szCs w:val="26"/>
        </w:rPr>
        <w:t xml:space="preserve">provides a reasonable estimate of </w:t>
      </w:r>
      <w:r w:rsidR="00614D0F">
        <w:rPr>
          <w:sz w:val="26"/>
          <w:szCs w:val="26"/>
        </w:rPr>
        <w:t xml:space="preserve">distribution costs for CHP customers and should not be reduced to </w:t>
      </w:r>
      <w:r>
        <w:rPr>
          <w:sz w:val="26"/>
          <w:szCs w:val="26"/>
        </w:rPr>
        <w:t>DII</w:t>
      </w:r>
      <w:r w:rsidR="001E73FA">
        <w:rPr>
          <w:sz w:val="26"/>
          <w:szCs w:val="26"/>
        </w:rPr>
        <w:t>’</w:t>
      </w:r>
      <w:r>
        <w:rPr>
          <w:sz w:val="26"/>
          <w:szCs w:val="26"/>
        </w:rPr>
        <w:t>s recommended levels</w:t>
      </w:r>
      <w:r w:rsidR="002E23F4">
        <w:rPr>
          <w:sz w:val="26"/>
          <w:szCs w:val="26"/>
        </w:rPr>
        <w:t>, at this time</w:t>
      </w:r>
      <w:r w:rsidR="008C25CD">
        <w:rPr>
          <w:sz w:val="26"/>
          <w:szCs w:val="26"/>
        </w:rPr>
        <w:t xml:space="preserve">.  </w:t>
      </w:r>
      <w:r w:rsidR="00C73F26">
        <w:rPr>
          <w:sz w:val="26"/>
          <w:szCs w:val="26"/>
        </w:rPr>
        <w:t xml:space="preserve">For these reasons, </w:t>
      </w:r>
      <w:r w:rsidR="004B75B8">
        <w:rPr>
          <w:sz w:val="26"/>
          <w:szCs w:val="26"/>
        </w:rPr>
        <w:t xml:space="preserve">we shall grant </w:t>
      </w:r>
      <w:r>
        <w:rPr>
          <w:sz w:val="26"/>
          <w:szCs w:val="26"/>
        </w:rPr>
        <w:t>Duquesne</w:t>
      </w:r>
      <w:r w:rsidR="001E73FA">
        <w:rPr>
          <w:sz w:val="26"/>
          <w:szCs w:val="26"/>
        </w:rPr>
        <w:t>’</w:t>
      </w:r>
      <w:r>
        <w:rPr>
          <w:sz w:val="26"/>
          <w:szCs w:val="26"/>
        </w:rPr>
        <w:t>s Exception No. 3</w:t>
      </w:r>
      <w:r w:rsidR="00072A6A">
        <w:rPr>
          <w:sz w:val="26"/>
          <w:szCs w:val="26"/>
        </w:rPr>
        <w:t xml:space="preserve"> and reverse the ALJ’s recommendation on this matter</w:t>
      </w:r>
      <w:r w:rsidR="004B75B8">
        <w:rPr>
          <w:sz w:val="26"/>
          <w:szCs w:val="26"/>
        </w:rPr>
        <w:t>.</w:t>
      </w:r>
    </w:p>
    <w:p w:rsidR="008E504D" w:rsidRDefault="008E504D" w:rsidP="007D3734">
      <w:pPr>
        <w:widowControl/>
        <w:spacing w:line="360" w:lineRule="auto"/>
        <w:contextualSpacing/>
        <w:rPr>
          <w:sz w:val="26"/>
          <w:szCs w:val="26"/>
        </w:rPr>
      </w:pPr>
    </w:p>
    <w:p w:rsidR="00354E67" w:rsidRDefault="00B10402" w:rsidP="00F65728">
      <w:pPr>
        <w:pStyle w:val="Heading3"/>
        <w:widowControl/>
        <w:ind w:left="1440" w:hanging="720"/>
      </w:pPr>
      <w:bookmarkStart w:id="59" w:name="_Toc531091838"/>
      <w:bookmarkStart w:id="60" w:name="_Toc532905978"/>
      <w:r>
        <w:t xml:space="preserve">8. </w:t>
      </w:r>
      <w:r w:rsidR="00EB7C53">
        <w:tab/>
      </w:r>
      <w:r w:rsidR="00354E67" w:rsidRPr="00B10402">
        <w:t>Duquesne</w:t>
      </w:r>
      <w:r w:rsidR="001E73FA">
        <w:t>’</w:t>
      </w:r>
      <w:r w:rsidR="00354E67" w:rsidRPr="00B10402">
        <w:t xml:space="preserve">s Exception No. 4 </w:t>
      </w:r>
      <w:r w:rsidR="00C402CE" w:rsidRPr="00B10402">
        <w:t xml:space="preserve">Regarding the Record Evidence for the </w:t>
      </w:r>
      <w:r w:rsidR="00BF7139">
        <w:t>Rider</w:t>
      </w:r>
      <w:r w:rsidR="00C402CE" w:rsidRPr="00B10402">
        <w:t xml:space="preserve"> No. 16 Rate</w:t>
      </w:r>
      <w:bookmarkEnd w:id="59"/>
      <w:bookmarkEnd w:id="60"/>
    </w:p>
    <w:p w:rsidR="00B10402" w:rsidRPr="00F65728" w:rsidRDefault="00B10402" w:rsidP="00F65728">
      <w:pPr>
        <w:keepNext/>
        <w:keepLines/>
        <w:widowControl/>
        <w:rPr>
          <w:sz w:val="26"/>
          <w:szCs w:val="26"/>
        </w:rPr>
      </w:pPr>
    </w:p>
    <w:p w:rsidR="003C113D" w:rsidRDefault="003C113D" w:rsidP="00F65728">
      <w:pPr>
        <w:pStyle w:val="Heading4"/>
        <w:keepLines/>
        <w:numPr>
          <w:ilvl w:val="0"/>
          <w:numId w:val="26"/>
        </w:numPr>
        <w:ind w:left="2434"/>
      </w:pPr>
      <w:r>
        <w:t>Duquesne</w:t>
      </w:r>
      <w:r w:rsidR="001E73FA">
        <w:t>’</w:t>
      </w:r>
      <w:r>
        <w:t>s Exception No. 4</w:t>
      </w:r>
    </w:p>
    <w:p w:rsidR="00B10402" w:rsidRPr="00F65728" w:rsidRDefault="00B10402" w:rsidP="00F65728">
      <w:pPr>
        <w:keepNext/>
        <w:keepLines/>
        <w:widowControl/>
        <w:rPr>
          <w:sz w:val="26"/>
          <w:szCs w:val="26"/>
        </w:rPr>
      </w:pPr>
    </w:p>
    <w:p w:rsidR="008E504D" w:rsidRDefault="008E504D" w:rsidP="007D3734">
      <w:pPr>
        <w:widowControl/>
        <w:spacing w:line="360" w:lineRule="auto"/>
        <w:contextualSpacing/>
        <w:rPr>
          <w:sz w:val="26"/>
          <w:szCs w:val="26"/>
        </w:rPr>
      </w:pPr>
      <w:r>
        <w:tab/>
      </w:r>
      <w:r>
        <w:tab/>
      </w:r>
      <w:r w:rsidRPr="008E504D">
        <w:rPr>
          <w:sz w:val="26"/>
          <w:szCs w:val="26"/>
        </w:rPr>
        <w:t xml:space="preserve">Duquesne contends that the ALJ erred in </w:t>
      </w:r>
      <w:r w:rsidR="006D5A4C">
        <w:rPr>
          <w:sz w:val="26"/>
          <w:szCs w:val="26"/>
        </w:rPr>
        <w:t xml:space="preserve">finding </w:t>
      </w:r>
      <w:r w:rsidRPr="008E504D">
        <w:rPr>
          <w:sz w:val="26"/>
          <w:szCs w:val="26"/>
        </w:rPr>
        <w:t>that Duquesne</w:t>
      </w:r>
      <w:r w:rsidR="001E73FA">
        <w:rPr>
          <w:sz w:val="26"/>
          <w:szCs w:val="26"/>
        </w:rPr>
        <w:t>’</w:t>
      </w:r>
      <w:r w:rsidRPr="008E504D">
        <w:rPr>
          <w:sz w:val="26"/>
          <w:szCs w:val="26"/>
        </w:rPr>
        <w:t>s existing</w:t>
      </w:r>
      <w:r w:rsidR="003F7EB4">
        <w:rPr>
          <w:sz w:val="26"/>
          <w:szCs w:val="26"/>
        </w:rPr>
        <w:t xml:space="preserve"> rate in its </w:t>
      </w:r>
      <w:r w:rsidR="00BF7139">
        <w:rPr>
          <w:sz w:val="26"/>
          <w:szCs w:val="26"/>
        </w:rPr>
        <w:t>Rider</w:t>
      </w:r>
      <w:r w:rsidR="001F75B6">
        <w:rPr>
          <w:sz w:val="26"/>
          <w:szCs w:val="26"/>
        </w:rPr>
        <w:t xml:space="preserve"> No. 16</w:t>
      </w:r>
      <w:r w:rsidRPr="008E504D">
        <w:rPr>
          <w:sz w:val="26"/>
          <w:szCs w:val="26"/>
        </w:rPr>
        <w:t xml:space="preserve"> is not supported by substantial evidence.</w:t>
      </w:r>
      <w:r w:rsidR="003F6A3E">
        <w:rPr>
          <w:sz w:val="26"/>
          <w:szCs w:val="26"/>
        </w:rPr>
        <w:t xml:space="preserve">  </w:t>
      </w:r>
      <w:r w:rsidR="00273905">
        <w:rPr>
          <w:sz w:val="26"/>
          <w:szCs w:val="26"/>
        </w:rPr>
        <w:t xml:space="preserve">Duquesne </w:t>
      </w:r>
      <w:r w:rsidR="003F7EB4">
        <w:rPr>
          <w:sz w:val="26"/>
          <w:szCs w:val="26"/>
        </w:rPr>
        <w:t xml:space="preserve">argues </w:t>
      </w:r>
      <w:r w:rsidR="00273905">
        <w:rPr>
          <w:sz w:val="26"/>
          <w:szCs w:val="26"/>
        </w:rPr>
        <w:t xml:space="preserve">that </w:t>
      </w:r>
      <w:r w:rsidR="00D86333">
        <w:rPr>
          <w:sz w:val="26"/>
          <w:szCs w:val="26"/>
        </w:rPr>
        <w:t xml:space="preserve">it has the obligation under </w:t>
      </w:r>
      <w:r w:rsidR="00BF7139">
        <w:rPr>
          <w:sz w:val="26"/>
          <w:szCs w:val="26"/>
        </w:rPr>
        <w:t>Rider</w:t>
      </w:r>
      <w:r w:rsidR="00D86333">
        <w:rPr>
          <w:sz w:val="26"/>
          <w:szCs w:val="26"/>
        </w:rPr>
        <w:t xml:space="preserve"> No. 16 to serve the customer’s peak demand any time it may occur</w:t>
      </w:r>
      <w:r w:rsidR="003F7EB4">
        <w:rPr>
          <w:sz w:val="26"/>
          <w:szCs w:val="26"/>
        </w:rPr>
        <w:t>,</w:t>
      </w:r>
      <w:r w:rsidR="00D86333">
        <w:rPr>
          <w:sz w:val="26"/>
          <w:szCs w:val="26"/>
        </w:rPr>
        <w:t xml:space="preserve"> and th</w:t>
      </w:r>
      <w:r w:rsidR="00715409">
        <w:rPr>
          <w:sz w:val="26"/>
          <w:szCs w:val="26"/>
        </w:rPr>
        <w:t>erefore</w:t>
      </w:r>
      <w:r w:rsidR="000D2483">
        <w:rPr>
          <w:sz w:val="26"/>
          <w:szCs w:val="26"/>
        </w:rPr>
        <w:t xml:space="preserve">, </w:t>
      </w:r>
      <w:r w:rsidR="00273905">
        <w:rPr>
          <w:sz w:val="26"/>
          <w:szCs w:val="26"/>
        </w:rPr>
        <w:t>it</w:t>
      </w:r>
      <w:r w:rsidR="008E4796">
        <w:rPr>
          <w:sz w:val="26"/>
          <w:szCs w:val="26"/>
        </w:rPr>
        <w:t xml:space="preserve">s costs to </w:t>
      </w:r>
      <w:r w:rsidR="00273905">
        <w:rPr>
          <w:sz w:val="26"/>
          <w:szCs w:val="26"/>
        </w:rPr>
        <w:t>build</w:t>
      </w:r>
      <w:r w:rsidR="006E5C11">
        <w:rPr>
          <w:sz w:val="26"/>
          <w:szCs w:val="26"/>
        </w:rPr>
        <w:t xml:space="preserve">, own and operate its distribution system </w:t>
      </w:r>
      <w:r w:rsidR="008E4796">
        <w:rPr>
          <w:sz w:val="26"/>
          <w:szCs w:val="26"/>
        </w:rPr>
        <w:t xml:space="preserve">to </w:t>
      </w:r>
      <w:r w:rsidR="00F804AA">
        <w:rPr>
          <w:sz w:val="26"/>
          <w:szCs w:val="26"/>
        </w:rPr>
        <w:t xml:space="preserve">serve </w:t>
      </w:r>
      <w:r w:rsidR="00715409">
        <w:rPr>
          <w:sz w:val="26"/>
          <w:szCs w:val="26"/>
        </w:rPr>
        <w:t xml:space="preserve">a customer under </w:t>
      </w:r>
      <w:r w:rsidR="003F7EB4">
        <w:rPr>
          <w:sz w:val="26"/>
          <w:szCs w:val="26"/>
        </w:rPr>
        <w:t xml:space="preserve">its </w:t>
      </w:r>
      <w:r w:rsidR="00BF7139">
        <w:rPr>
          <w:sz w:val="26"/>
          <w:szCs w:val="26"/>
        </w:rPr>
        <w:t>Rider</w:t>
      </w:r>
      <w:r w:rsidR="00F804AA">
        <w:rPr>
          <w:sz w:val="26"/>
          <w:szCs w:val="26"/>
        </w:rPr>
        <w:t xml:space="preserve"> No. 16</w:t>
      </w:r>
      <w:r w:rsidR="00715409">
        <w:rPr>
          <w:sz w:val="26"/>
          <w:szCs w:val="26"/>
        </w:rPr>
        <w:t xml:space="preserve"> are not reduced </w:t>
      </w:r>
      <w:r w:rsidR="006E5C11">
        <w:rPr>
          <w:sz w:val="26"/>
          <w:szCs w:val="26"/>
        </w:rPr>
        <w:t>simply because a customer may use back-up distribution service only intermittently</w:t>
      </w:r>
      <w:r w:rsidR="00963CF9">
        <w:rPr>
          <w:sz w:val="26"/>
          <w:szCs w:val="26"/>
        </w:rPr>
        <w:t xml:space="preserve">, as substantial record evidence </w:t>
      </w:r>
      <w:r w:rsidR="00963CF9">
        <w:rPr>
          <w:sz w:val="26"/>
          <w:szCs w:val="26"/>
        </w:rPr>
        <w:lastRenderedPageBreak/>
        <w:t>demonstrates</w:t>
      </w:r>
      <w:r w:rsidR="00EC1B87">
        <w:rPr>
          <w:sz w:val="26"/>
          <w:szCs w:val="26"/>
        </w:rPr>
        <w:t xml:space="preserve">.  In other words, </w:t>
      </w:r>
      <w:r w:rsidR="0099697F">
        <w:rPr>
          <w:sz w:val="26"/>
          <w:szCs w:val="26"/>
        </w:rPr>
        <w:t>Duquesne emphasizes</w:t>
      </w:r>
      <w:r w:rsidR="00963CF9">
        <w:rPr>
          <w:sz w:val="26"/>
          <w:szCs w:val="26"/>
        </w:rPr>
        <w:t xml:space="preserve"> that as an EDC, it </w:t>
      </w:r>
      <w:r w:rsidR="0099697F">
        <w:rPr>
          <w:sz w:val="26"/>
          <w:szCs w:val="26"/>
        </w:rPr>
        <w:t>bears the fixed costs of building and maintaining its distribution system without regard to how frequently the syste</w:t>
      </w:r>
      <w:r w:rsidR="006A29DA">
        <w:rPr>
          <w:sz w:val="26"/>
          <w:szCs w:val="26"/>
        </w:rPr>
        <w:t>m</w:t>
      </w:r>
      <w:r w:rsidR="0099697F">
        <w:rPr>
          <w:sz w:val="26"/>
          <w:szCs w:val="26"/>
        </w:rPr>
        <w:t xml:space="preserve"> may be used by </w:t>
      </w:r>
      <w:r w:rsidR="0040225D">
        <w:rPr>
          <w:sz w:val="26"/>
          <w:szCs w:val="26"/>
        </w:rPr>
        <w:t>customers, Duquesne</w:t>
      </w:r>
      <w:r w:rsidR="006E5C11">
        <w:rPr>
          <w:sz w:val="26"/>
          <w:szCs w:val="26"/>
        </w:rPr>
        <w:t xml:space="preserve"> Exc. at </w:t>
      </w:r>
      <w:r w:rsidR="0099697F">
        <w:rPr>
          <w:sz w:val="26"/>
          <w:szCs w:val="26"/>
        </w:rPr>
        <w:t xml:space="preserve">24- </w:t>
      </w:r>
      <w:r w:rsidR="006E5C11">
        <w:rPr>
          <w:sz w:val="26"/>
          <w:szCs w:val="26"/>
        </w:rPr>
        <w:t xml:space="preserve">25 (citing </w:t>
      </w:r>
      <w:r w:rsidR="0099697F">
        <w:rPr>
          <w:sz w:val="26"/>
          <w:szCs w:val="26"/>
        </w:rPr>
        <w:t>Duquesne</w:t>
      </w:r>
      <w:r w:rsidR="00EA737F">
        <w:rPr>
          <w:sz w:val="26"/>
          <w:szCs w:val="26"/>
        </w:rPr>
        <w:t xml:space="preserve"> St. 16 at</w:t>
      </w:r>
      <w:r w:rsidR="00F65728">
        <w:rPr>
          <w:sz w:val="26"/>
          <w:szCs w:val="26"/>
        </w:rPr>
        <w:t> </w:t>
      </w:r>
      <w:r w:rsidR="00EA737F">
        <w:rPr>
          <w:sz w:val="26"/>
          <w:szCs w:val="26"/>
        </w:rPr>
        <w:t xml:space="preserve">17-18, </w:t>
      </w:r>
      <w:r w:rsidR="006E5C11">
        <w:rPr>
          <w:sz w:val="26"/>
          <w:szCs w:val="26"/>
        </w:rPr>
        <w:t>Duquesne St. 14</w:t>
      </w:r>
      <w:r w:rsidR="00715409">
        <w:rPr>
          <w:sz w:val="26"/>
          <w:szCs w:val="26"/>
        </w:rPr>
        <w:noBreakHyphen/>
      </w:r>
      <w:r w:rsidR="006E5C11">
        <w:rPr>
          <w:sz w:val="26"/>
          <w:szCs w:val="26"/>
        </w:rPr>
        <w:t>R at 27).</w:t>
      </w:r>
    </w:p>
    <w:p w:rsidR="006E5C11" w:rsidRDefault="006E5C11" w:rsidP="007D3734">
      <w:pPr>
        <w:widowControl/>
        <w:spacing w:line="360" w:lineRule="auto"/>
        <w:contextualSpacing/>
        <w:rPr>
          <w:sz w:val="26"/>
          <w:szCs w:val="26"/>
        </w:rPr>
      </w:pPr>
    </w:p>
    <w:p w:rsidR="00031F68" w:rsidRDefault="006E5C11" w:rsidP="007D3734">
      <w:pPr>
        <w:widowControl/>
        <w:spacing w:line="360" w:lineRule="auto"/>
        <w:contextualSpacing/>
        <w:rPr>
          <w:sz w:val="26"/>
          <w:szCs w:val="26"/>
        </w:rPr>
      </w:pPr>
      <w:r>
        <w:rPr>
          <w:sz w:val="26"/>
          <w:szCs w:val="26"/>
        </w:rPr>
        <w:tab/>
      </w:r>
      <w:r>
        <w:rPr>
          <w:sz w:val="26"/>
          <w:szCs w:val="26"/>
        </w:rPr>
        <w:tab/>
        <w:t xml:space="preserve">Duquesne </w:t>
      </w:r>
      <w:r w:rsidR="00231A17">
        <w:rPr>
          <w:sz w:val="26"/>
          <w:szCs w:val="26"/>
        </w:rPr>
        <w:t xml:space="preserve">opines </w:t>
      </w:r>
      <w:r>
        <w:rPr>
          <w:sz w:val="26"/>
          <w:szCs w:val="26"/>
        </w:rPr>
        <w:t>that</w:t>
      </w:r>
      <w:r w:rsidR="009A19D4">
        <w:rPr>
          <w:sz w:val="26"/>
          <w:szCs w:val="26"/>
        </w:rPr>
        <w:t xml:space="preserve"> in light of the testimony presented by its witnesses and the data it provided </w:t>
      </w:r>
      <w:r w:rsidR="007443AD">
        <w:rPr>
          <w:sz w:val="26"/>
          <w:szCs w:val="26"/>
        </w:rPr>
        <w:t xml:space="preserve">in support of its costs to provide service under Rider No. 16, </w:t>
      </w:r>
      <w:r>
        <w:rPr>
          <w:sz w:val="26"/>
          <w:szCs w:val="26"/>
        </w:rPr>
        <w:t>the ALJ</w:t>
      </w:r>
      <w:r w:rsidR="007443AD">
        <w:rPr>
          <w:sz w:val="26"/>
          <w:szCs w:val="26"/>
        </w:rPr>
        <w:t xml:space="preserve">’s Recommended Decision was wrong to </w:t>
      </w:r>
      <w:r w:rsidR="00BB697F">
        <w:rPr>
          <w:sz w:val="26"/>
          <w:szCs w:val="26"/>
        </w:rPr>
        <w:t xml:space="preserve">question whether </w:t>
      </w:r>
      <w:r>
        <w:rPr>
          <w:sz w:val="26"/>
          <w:szCs w:val="26"/>
        </w:rPr>
        <w:t xml:space="preserve">Duquesne </w:t>
      </w:r>
      <w:r w:rsidR="001E73FA">
        <w:rPr>
          <w:sz w:val="26"/>
          <w:szCs w:val="26"/>
        </w:rPr>
        <w:t>“</w:t>
      </w:r>
      <w:r>
        <w:rPr>
          <w:sz w:val="26"/>
          <w:szCs w:val="26"/>
        </w:rPr>
        <w:t>used any historical data</w:t>
      </w:r>
      <w:r w:rsidR="001E73FA">
        <w:rPr>
          <w:sz w:val="26"/>
          <w:szCs w:val="26"/>
        </w:rPr>
        <w:t>”</w:t>
      </w:r>
      <w:r>
        <w:rPr>
          <w:sz w:val="26"/>
          <w:szCs w:val="26"/>
        </w:rPr>
        <w:t xml:space="preserve"> to substantiate the costs underlying </w:t>
      </w:r>
      <w:r w:rsidR="00BF7139">
        <w:rPr>
          <w:sz w:val="26"/>
          <w:szCs w:val="26"/>
        </w:rPr>
        <w:t>Rider</w:t>
      </w:r>
      <w:r w:rsidR="001F75B6">
        <w:rPr>
          <w:sz w:val="26"/>
          <w:szCs w:val="26"/>
        </w:rPr>
        <w:t xml:space="preserve"> No.</w:t>
      </w:r>
      <w:r w:rsidR="007A3BC1">
        <w:rPr>
          <w:sz w:val="26"/>
          <w:szCs w:val="26"/>
        </w:rPr>
        <w:t> </w:t>
      </w:r>
      <w:r w:rsidR="001F75B6">
        <w:rPr>
          <w:sz w:val="26"/>
          <w:szCs w:val="26"/>
        </w:rPr>
        <w:t>16</w:t>
      </w:r>
      <w:r>
        <w:rPr>
          <w:sz w:val="26"/>
          <w:szCs w:val="26"/>
        </w:rPr>
        <w:t>.</w:t>
      </w:r>
      <w:r w:rsidR="007A3C41">
        <w:rPr>
          <w:sz w:val="26"/>
          <w:szCs w:val="26"/>
        </w:rPr>
        <w:t xml:space="preserve">  In this regard, </w:t>
      </w:r>
      <w:r>
        <w:rPr>
          <w:sz w:val="26"/>
          <w:szCs w:val="26"/>
        </w:rPr>
        <w:t xml:space="preserve">Duquesne </w:t>
      </w:r>
      <w:r w:rsidR="007A3C41">
        <w:rPr>
          <w:sz w:val="26"/>
          <w:szCs w:val="26"/>
        </w:rPr>
        <w:t xml:space="preserve">acknowledged that its </w:t>
      </w:r>
      <w:r>
        <w:rPr>
          <w:sz w:val="26"/>
          <w:szCs w:val="26"/>
        </w:rPr>
        <w:t xml:space="preserve">witness Gorman provided an analysis of the existing </w:t>
      </w:r>
      <w:r w:rsidR="00BF7139">
        <w:rPr>
          <w:sz w:val="26"/>
          <w:szCs w:val="26"/>
        </w:rPr>
        <w:t>Rider</w:t>
      </w:r>
      <w:r w:rsidR="001F75B6">
        <w:rPr>
          <w:sz w:val="26"/>
          <w:szCs w:val="26"/>
        </w:rPr>
        <w:t xml:space="preserve"> No. 16</w:t>
      </w:r>
      <w:r>
        <w:rPr>
          <w:sz w:val="26"/>
          <w:szCs w:val="26"/>
        </w:rPr>
        <w:t xml:space="preserve"> customer</w:t>
      </w:r>
      <w:r w:rsidR="001E73FA">
        <w:rPr>
          <w:sz w:val="26"/>
          <w:szCs w:val="26"/>
        </w:rPr>
        <w:t>’</w:t>
      </w:r>
      <w:r>
        <w:rPr>
          <w:sz w:val="26"/>
          <w:szCs w:val="26"/>
        </w:rPr>
        <w:t>s performance data that showed in June 2016, the customer</w:t>
      </w:r>
      <w:r w:rsidR="001E73FA">
        <w:rPr>
          <w:sz w:val="26"/>
          <w:szCs w:val="26"/>
        </w:rPr>
        <w:t>’</w:t>
      </w:r>
      <w:r>
        <w:rPr>
          <w:sz w:val="26"/>
          <w:szCs w:val="26"/>
        </w:rPr>
        <w:t>s peak demand was coincident with the peak demand of the Rate GL class (Duquesne University receives general service on Rate GL); in two other months the customer</w:t>
      </w:r>
      <w:r w:rsidR="001E73FA">
        <w:rPr>
          <w:sz w:val="26"/>
          <w:szCs w:val="26"/>
        </w:rPr>
        <w:t>’</w:t>
      </w:r>
      <w:r>
        <w:rPr>
          <w:sz w:val="26"/>
          <w:szCs w:val="26"/>
        </w:rPr>
        <w:t>s demand was at least 90% of its monthly peak when the Rate GL class peak occurred, contributing to the class monthly peaks</w:t>
      </w:r>
      <w:r w:rsidR="00031F68">
        <w:rPr>
          <w:sz w:val="26"/>
          <w:szCs w:val="26"/>
        </w:rPr>
        <w:t>;</w:t>
      </w:r>
      <w:r>
        <w:rPr>
          <w:sz w:val="26"/>
          <w:szCs w:val="26"/>
        </w:rPr>
        <w:t xml:space="preserve"> and when the customer reached its annual peak demand, the Rate GL class </w:t>
      </w:r>
      <w:r w:rsidR="00031F68">
        <w:rPr>
          <w:sz w:val="26"/>
          <w:szCs w:val="26"/>
        </w:rPr>
        <w:t>demand</w:t>
      </w:r>
      <w:r>
        <w:rPr>
          <w:sz w:val="26"/>
          <w:szCs w:val="26"/>
        </w:rPr>
        <w:t xml:space="preserve"> was at 98% and the Company</w:t>
      </w:r>
      <w:r w:rsidR="001E73FA">
        <w:rPr>
          <w:sz w:val="26"/>
          <w:szCs w:val="26"/>
        </w:rPr>
        <w:t>’</w:t>
      </w:r>
      <w:r>
        <w:rPr>
          <w:sz w:val="26"/>
          <w:szCs w:val="26"/>
        </w:rPr>
        <w:t xml:space="preserve">s peak was at 97% of its annual peak demand.  </w:t>
      </w:r>
      <w:r w:rsidR="00031F68">
        <w:rPr>
          <w:sz w:val="26"/>
          <w:szCs w:val="26"/>
        </w:rPr>
        <w:t>Duquesne Exc. at 26 (citing Duquesne St. 14-R at 29-30, Duquesne I.B. at 21, R.D. at 177).</w:t>
      </w:r>
    </w:p>
    <w:p w:rsidR="00087E2A" w:rsidRDefault="00087E2A" w:rsidP="007D3734">
      <w:pPr>
        <w:widowControl/>
        <w:spacing w:line="360" w:lineRule="auto"/>
        <w:contextualSpacing/>
        <w:rPr>
          <w:sz w:val="26"/>
          <w:szCs w:val="26"/>
        </w:rPr>
      </w:pPr>
    </w:p>
    <w:p w:rsidR="00087E2A" w:rsidRDefault="00087E2A" w:rsidP="007D3734">
      <w:pPr>
        <w:widowControl/>
        <w:spacing w:line="360" w:lineRule="auto"/>
        <w:contextualSpacing/>
        <w:rPr>
          <w:sz w:val="26"/>
          <w:szCs w:val="26"/>
        </w:rPr>
      </w:pPr>
      <w:r>
        <w:rPr>
          <w:sz w:val="26"/>
          <w:szCs w:val="26"/>
        </w:rPr>
        <w:tab/>
      </w:r>
      <w:r>
        <w:rPr>
          <w:sz w:val="26"/>
          <w:szCs w:val="26"/>
        </w:rPr>
        <w:tab/>
        <w:t xml:space="preserve">Duquesne contends that it provided additional evidence </w:t>
      </w:r>
      <w:r w:rsidR="005B2135">
        <w:rPr>
          <w:sz w:val="26"/>
          <w:szCs w:val="26"/>
        </w:rPr>
        <w:t xml:space="preserve">that </w:t>
      </w:r>
      <w:r w:rsidR="001F75B6">
        <w:rPr>
          <w:sz w:val="26"/>
          <w:szCs w:val="26"/>
        </w:rPr>
        <w:t>Rider No. 16</w:t>
      </w:r>
      <w:r>
        <w:rPr>
          <w:sz w:val="26"/>
          <w:szCs w:val="26"/>
        </w:rPr>
        <w:t xml:space="preserve"> is not excessive or unreasonable and this evidence was not considered by the ALJ in her R</w:t>
      </w:r>
      <w:r w:rsidR="0048114A">
        <w:rPr>
          <w:sz w:val="26"/>
          <w:szCs w:val="26"/>
        </w:rPr>
        <w:t>ecommended Decision.</w:t>
      </w:r>
      <w:r>
        <w:rPr>
          <w:sz w:val="26"/>
          <w:szCs w:val="26"/>
        </w:rPr>
        <w:t xml:space="preserve">  </w:t>
      </w:r>
      <w:r w:rsidR="00275BAD">
        <w:rPr>
          <w:sz w:val="26"/>
          <w:szCs w:val="26"/>
        </w:rPr>
        <w:t>Duqu</w:t>
      </w:r>
      <w:r w:rsidR="00802036">
        <w:rPr>
          <w:sz w:val="26"/>
          <w:szCs w:val="26"/>
        </w:rPr>
        <w:t>e</w:t>
      </w:r>
      <w:r w:rsidR="00275BAD">
        <w:rPr>
          <w:sz w:val="26"/>
          <w:szCs w:val="26"/>
        </w:rPr>
        <w:t xml:space="preserve">sne claims that </w:t>
      </w:r>
      <w:r w:rsidR="00BF7139">
        <w:rPr>
          <w:sz w:val="26"/>
          <w:szCs w:val="26"/>
        </w:rPr>
        <w:t>Rider</w:t>
      </w:r>
      <w:r w:rsidR="00275BAD">
        <w:rPr>
          <w:sz w:val="26"/>
          <w:szCs w:val="26"/>
        </w:rPr>
        <w:t xml:space="preserve"> No. 16 is both reasonable and non-excessive b</w:t>
      </w:r>
      <w:r w:rsidR="0048114A">
        <w:rPr>
          <w:sz w:val="26"/>
          <w:szCs w:val="26"/>
        </w:rPr>
        <w:t>ecause</w:t>
      </w:r>
      <w:r w:rsidR="00275BAD">
        <w:rPr>
          <w:sz w:val="26"/>
          <w:szCs w:val="26"/>
        </w:rPr>
        <w:t xml:space="preserve">: </w:t>
      </w:r>
      <w:r w:rsidR="00F92438">
        <w:rPr>
          <w:sz w:val="26"/>
          <w:szCs w:val="26"/>
        </w:rPr>
        <w:t xml:space="preserve">it is not </w:t>
      </w:r>
      <w:r>
        <w:rPr>
          <w:sz w:val="26"/>
          <w:szCs w:val="26"/>
        </w:rPr>
        <w:t>mandatory</w:t>
      </w:r>
      <w:r w:rsidR="00275BAD">
        <w:rPr>
          <w:sz w:val="26"/>
          <w:szCs w:val="26"/>
        </w:rPr>
        <w:t xml:space="preserve">; </w:t>
      </w:r>
      <w:r w:rsidR="00F92438">
        <w:rPr>
          <w:sz w:val="26"/>
          <w:szCs w:val="26"/>
        </w:rPr>
        <w:t xml:space="preserve">it meets or exceeds the benchmark for best practices; and </w:t>
      </w:r>
      <w:r>
        <w:rPr>
          <w:sz w:val="26"/>
          <w:szCs w:val="26"/>
        </w:rPr>
        <w:t>customers can achieve substantial savings</w:t>
      </w:r>
      <w:r w:rsidR="00F92438">
        <w:rPr>
          <w:sz w:val="26"/>
          <w:szCs w:val="26"/>
        </w:rPr>
        <w:t xml:space="preserve"> </w:t>
      </w:r>
      <w:r>
        <w:rPr>
          <w:sz w:val="26"/>
          <w:szCs w:val="26"/>
        </w:rPr>
        <w:t>on transmission and distribution charges</w:t>
      </w:r>
      <w:r w:rsidR="00F92438">
        <w:rPr>
          <w:sz w:val="26"/>
          <w:szCs w:val="26"/>
        </w:rPr>
        <w:t>.</w:t>
      </w:r>
      <w:r>
        <w:rPr>
          <w:sz w:val="26"/>
          <w:szCs w:val="26"/>
        </w:rPr>
        <w:t xml:space="preserve">  Duquesne Exc. at 30-33.</w:t>
      </w:r>
    </w:p>
    <w:p w:rsidR="00F92438" w:rsidRDefault="00F92438" w:rsidP="007D3734">
      <w:pPr>
        <w:widowControl/>
        <w:spacing w:line="360" w:lineRule="auto"/>
        <w:contextualSpacing/>
        <w:rPr>
          <w:sz w:val="26"/>
          <w:szCs w:val="26"/>
        </w:rPr>
      </w:pPr>
    </w:p>
    <w:p w:rsidR="00087E2A" w:rsidRPr="00B10402" w:rsidRDefault="003C113D" w:rsidP="00F65728">
      <w:pPr>
        <w:pStyle w:val="Heading4"/>
        <w:keepLines/>
        <w:numPr>
          <w:ilvl w:val="0"/>
          <w:numId w:val="26"/>
        </w:numPr>
        <w:ind w:left="2434"/>
      </w:pPr>
      <w:r w:rsidRPr="00B10402">
        <w:lastRenderedPageBreak/>
        <w:t>DII</w:t>
      </w:r>
      <w:r w:rsidR="001E73FA">
        <w:t>’</w:t>
      </w:r>
      <w:r w:rsidRPr="00B10402">
        <w:t>s Replies</w:t>
      </w:r>
    </w:p>
    <w:p w:rsidR="003C113D" w:rsidRPr="003C113D" w:rsidRDefault="003C113D" w:rsidP="00F65728">
      <w:pPr>
        <w:pStyle w:val="ListParagraph"/>
        <w:keepNext/>
        <w:keepLines/>
        <w:widowControl/>
        <w:spacing w:line="360" w:lineRule="auto"/>
        <w:ind w:left="1440"/>
        <w:rPr>
          <w:sz w:val="26"/>
          <w:szCs w:val="26"/>
        </w:rPr>
      </w:pPr>
    </w:p>
    <w:p w:rsidR="00087E2A" w:rsidRDefault="00087E2A" w:rsidP="007D3734">
      <w:pPr>
        <w:widowControl/>
        <w:spacing w:line="360" w:lineRule="auto"/>
        <w:contextualSpacing/>
        <w:rPr>
          <w:sz w:val="26"/>
          <w:szCs w:val="26"/>
        </w:rPr>
      </w:pPr>
      <w:r>
        <w:rPr>
          <w:sz w:val="26"/>
          <w:szCs w:val="26"/>
        </w:rPr>
        <w:tab/>
      </w:r>
      <w:r>
        <w:rPr>
          <w:sz w:val="26"/>
          <w:szCs w:val="26"/>
        </w:rPr>
        <w:tab/>
      </w:r>
      <w:r w:rsidR="00295588">
        <w:rPr>
          <w:sz w:val="26"/>
          <w:szCs w:val="26"/>
        </w:rPr>
        <w:t xml:space="preserve">DII rejoins that </w:t>
      </w:r>
      <w:r w:rsidR="00C8539D">
        <w:rPr>
          <w:sz w:val="26"/>
          <w:szCs w:val="26"/>
        </w:rPr>
        <w:t xml:space="preserve">Duquesne has provided no evidence for a $2.50 back-up rate.  </w:t>
      </w:r>
      <w:r w:rsidR="00282B06">
        <w:rPr>
          <w:sz w:val="26"/>
          <w:szCs w:val="26"/>
        </w:rPr>
        <w:t>DII contends that no witness testified to support a $2.50/kW rate and Duquesne witness Gorman indicated that he did not know why a 30% availability figure was used.  DII R. Exc. at 18-19 (citing Tr. at 323-26).</w:t>
      </w:r>
    </w:p>
    <w:p w:rsidR="00EC63D9" w:rsidRDefault="00EC63D9" w:rsidP="007D3734">
      <w:pPr>
        <w:widowControl/>
        <w:spacing w:line="360" w:lineRule="auto"/>
        <w:contextualSpacing/>
        <w:rPr>
          <w:sz w:val="26"/>
          <w:szCs w:val="26"/>
        </w:rPr>
      </w:pPr>
    </w:p>
    <w:p w:rsidR="00EC63D9" w:rsidRDefault="00EC63D9" w:rsidP="007D3734">
      <w:pPr>
        <w:widowControl/>
        <w:spacing w:line="360" w:lineRule="auto"/>
        <w:contextualSpacing/>
        <w:rPr>
          <w:sz w:val="26"/>
          <w:szCs w:val="26"/>
        </w:rPr>
      </w:pPr>
      <w:r>
        <w:rPr>
          <w:sz w:val="26"/>
          <w:szCs w:val="26"/>
        </w:rPr>
        <w:tab/>
      </w:r>
      <w:r>
        <w:rPr>
          <w:sz w:val="26"/>
          <w:szCs w:val="26"/>
        </w:rPr>
        <w:tab/>
      </w:r>
      <w:r w:rsidR="009F36B2">
        <w:rPr>
          <w:sz w:val="26"/>
          <w:szCs w:val="26"/>
        </w:rPr>
        <w:t>DII</w:t>
      </w:r>
      <w:r>
        <w:rPr>
          <w:sz w:val="26"/>
          <w:szCs w:val="26"/>
        </w:rPr>
        <w:t xml:space="preserve"> </w:t>
      </w:r>
      <w:r w:rsidR="004B382F">
        <w:rPr>
          <w:sz w:val="26"/>
          <w:szCs w:val="26"/>
        </w:rPr>
        <w:t>provide</w:t>
      </w:r>
      <w:r w:rsidR="009F36B2">
        <w:rPr>
          <w:sz w:val="26"/>
          <w:szCs w:val="26"/>
        </w:rPr>
        <w:t>s</w:t>
      </w:r>
      <w:r w:rsidR="004B382F">
        <w:rPr>
          <w:sz w:val="26"/>
          <w:szCs w:val="26"/>
        </w:rPr>
        <w:t xml:space="preserve"> that Duquesne University</w:t>
      </w:r>
      <w:r w:rsidR="001E73FA">
        <w:rPr>
          <w:sz w:val="26"/>
          <w:szCs w:val="26"/>
        </w:rPr>
        <w:t>’</w:t>
      </w:r>
      <w:r w:rsidR="004B382F">
        <w:rPr>
          <w:sz w:val="26"/>
          <w:szCs w:val="26"/>
        </w:rPr>
        <w:t xml:space="preserve">s performance data under </w:t>
      </w:r>
      <w:r w:rsidR="00BF7139">
        <w:rPr>
          <w:sz w:val="26"/>
          <w:szCs w:val="26"/>
        </w:rPr>
        <w:t>Rider</w:t>
      </w:r>
      <w:r w:rsidR="001F75B6">
        <w:rPr>
          <w:sz w:val="26"/>
          <w:szCs w:val="26"/>
        </w:rPr>
        <w:t xml:space="preserve"> No. 16</w:t>
      </w:r>
      <w:r w:rsidR="004B382F">
        <w:rPr>
          <w:sz w:val="26"/>
          <w:szCs w:val="26"/>
        </w:rPr>
        <w:t xml:space="preserve"> did not differentiate between forced </w:t>
      </w:r>
      <w:r w:rsidR="00310AAC">
        <w:rPr>
          <w:sz w:val="26"/>
          <w:szCs w:val="26"/>
        </w:rPr>
        <w:t>outages</w:t>
      </w:r>
      <w:r w:rsidR="004B382F">
        <w:rPr>
          <w:sz w:val="26"/>
          <w:szCs w:val="26"/>
        </w:rPr>
        <w:t xml:space="preserve"> or planned maintenance and therefore</w:t>
      </w:r>
      <w:r w:rsidR="004806F8">
        <w:rPr>
          <w:sz w:val="26"/>
          <w:szCs w:val="26"/>
        </w:rPr>
        <w:t>,</w:t>
      </w:r>
      <w:r w:rsidR="004B382F">
        <w:rPr>
          <w:sz w:val="26"/>
          <w:szCs w:val="26"/>
        </w:rPr>
        <w:t xml:space="preserve"> it was unknown why the generator was unavailable.  </w:t>
      </w:r>
      <w:r w:rsidR="009F36B2">
        <w:rPr>
          <w:sz w:val="26"/>
          <w:szCs w:val="26"/>
        </w:rPr>
        <w:t>DII</w:t>
      </w:r>
      <w:r w:rsidR="004B382F">
        <w:rPr>
          <w:sz w:val="26"/>
          <w:szCs w:val="26"/>
        </w:rPr>
        <w:t xml:space="preserve"> contend</w:t>
      </w:r>
      <w:r w:rsidR="009F36B2">
        <w:rPr>
          <w:sz w:val="26"/>
          <w:szCs w:val="26"/>
        </w:rPr>
        <w:t>s</w:t>
      </w:r>
      <w:r w:rsidR="004B382F">
        <w:rPr>
          <w:sz w:val="26"/>
          <w:szCs w:val="26"/>
        </w:rPr>
        <w:t xml:space="preserve"> that if the </w:t>
      </w:r>
      <w:r w:rsidR="00BF7139">
        <w:rPr>
          <w:sz w:val="26"/>
          <w:szCs w:val="26"/>
        </w:rPr>
        <w:t>Rider</w:t>
      </w:r>
      <w:r w:rsidR="001F75B6">
        <w:rPr>
          <w:sz w:val="26"/>
          <w:szCs w:val="26"/>
        </w:rPr>
        <w:t xml:space="preserve"> No. 16</w:t>
      </w:r>
      <w:r w:rsidR="004B382F">
        <w:rPr>
          <w:sz w:val="26"/>
          <w:szCs w:val="26"/>
        </w:rPr>
        <w:t xml:space="preserve"> rate differentiated between Back-up Service and Maintenance Service, a customer like Duquesne University would negotiate its downtimes or maintenance to ensure they were not</w:t>
      </w:r>
      <w:r w:rsidR="00571425">
        <w:rPr>
          <w:sz w:val="26"/>
          <w:szCs w:val="26"/>
        </w:rPr>
        <w:t xml:space="preserve"> down </w:t>
      </w:r>
      <w:r w:rsidR="004B382F">
        <w:rPr>
          <w:sz w:val="26"/>
          <w:szCs w:val="26"/>
        </w:rPr>
        <w:t>during anticipated peaks.  DII R.Exc. at 20 (citing DII R.B. at 12-13, DII St. 1</w:t>
      </w:r>
      <w:r w:rsidR="00D32E33">
        <w:rPr>
          <w:sz w:val="26"/>
          <w:szCs w:val="26"/>
        </w:rPr>
        <w:noBreakHyphen/>
      </w:r>
      <w:r w:rsidR="004B382F">
        <w:rPr>
          <w:sz w:val="26"/>
          <w:szCs w:val="26"/>
        </w:rPr>
        <w:t xml:space="preserve">S at 12-13).  </w:t>
      </w:r>
    </w:p>
    <w:p w:rsidR="004B382F" w:rsidRDefault="004B382F" w:rsidP="007D3734">
      <w:pPr>
        <w:widowControl/>
        <w:spacing w:line="360" w:lineRule="auto"/>
        <w:contextualSpacing/>
        <w:rPr>
          <w:sz w:val="26"/>
          <w:szCs w:val="26"/>
        </w:rPr>
      </w:pPr>
    </w:p>
    <w:p w:rsidR="004B382F" w:rsidRDefault="004B382F" w:rsidP="007D3734">
      <w:pPr>
        <w:widowControl/>
        <w:spacing w:line="360" w:lineRule="auto"/>
        <w:contextualSpacing/>
        <w:rPr>
          <w:sz w:val="26"/>
          <w:szCs w:val="26"/>
        </w:rPr>
      </w:pPr>
      <w:r>
        <w:rPr>
          <w:sz w:val="26"/>
          <w:szCs w:val="26"/>
        </w:rPr>
        <w:tab/>
      </w:r>
      <w:r>
        <w:rPr>
          <w:sz w:val="26"/>
          <w:szCs w:val="26"/>
        </w:rPr>
        <w:tab/>
      </w:r>
      <w:r w:rsidR="009F36B2">
        <w:rPr>
          <w:sz w:val="26"/>
          <w:szCs w:val="26"/>
        </w:rPr>
        <w:t>DII</w:t>
      </w:r>
      <w:r>
        <w:rPr>
          <w:sz w:val="26"/>
          <w:szCs w:val="26"/>
        </w:rPr>
        <w:t xml:space="preserve"> </w:t>
      </w:r>
      <w:r w:rsidR="00571425">
        <w:rPr>
          <w:sz w:val="26"/>
          <w:szCs w:val="26"/>
        </w:rPr>
        <w:t xml:space="preserve">further </w:t>
      </w:r>
      <w:r>
        <w:rPr>
          <w:sz w:val="26"/>
          <w:szCs w:val="26"/>
        </w:rPr>
        <w:t>submits that the testimony of Peoples witness Daniel and Duquesne witness Fisher fails to support Duquesne</w:t>
      </w:r>
      <w:r w:rsidR="001E73FA">
        <w:rPr>
          <w:sz w:val="26"/>
          <w:szCs w:val="26"/>
        </w:rPr>
        <w:t>’</w:t>
      </w:r>
      <w:r>
        <w:rPr>
          <w:sz w:val="26"/>
          <w:szCs w:val="26"/>
        </w:rPr>
        <w:t>s current position.  DII notes that Mr.</w:t>
      </w:r>
      <w:r w:rsidR="00571425">
        <w:rPr>
          <w:sz w:val="26"/>
          <w:szCs w:val="26"/>
        </w:rPr>
        <w:t> </w:t>
      </w:r>
      <w:r>
        <w:rPr>
          <w:sz w:val="26"/>
          <w:szCs w:val="26"/>
        </w:rPr>
        <w:t xml:space="preserve">Daniel </w:t>
      </w:r>
      <w:r w:rsidR="0040225D">
        <w:rPr>
          <w:sz w:val="26"/>
          <w:szCs w:val="26"/>
        </w:rPr>
        <w:t>stated,</w:t>
      </w:r>
      <w:r>
        <w:rPr>
          <w:sz w:val="26"/>
          <w:szCs w:val="26"/>
        </w:rPr>
        <w:t xml:space="preserve"> </w:t>
      </w:r>
      <w:r w:rsidR="001E73FA">
        <w:rPr>
          <w:sz w:val="26"/>
          <w:szCs w:val="26"/>
        </w:rPr>
        <w:t>“</w:t>
      </w:r>
      <w:r>
        <w:rPr>
          <w:sz w:val="26"/>
          <w:szCs w:val="26"/>
        </w:rPr>
        <w:t>continued use of a 30% load factor can be viewed as a compromise.</w:t>
      </w:r>
      <w:r w:rsidR="001E73FA">
        <w:rPr>
          <w:sz w:val="26"/>
          <w:szCs w:val="26"/>
        </w:rPr>
        <w:t>”</w:t>
      </w:r>
      <w:r>
        <w:rPr>
          <w:sz w:val="26"/>
          <w:szCs w:val="26"/>
        </w:rPr>
        <w:t xml:space="preserve">  DII argues that Mr. Fisher</w:t>
      </w:r>
      <w:r w:rsidR="001E73FA">
        <w:rPr>
          <w:sz w:val="26"/>
          <w:szCs w:val="26"/>
        </w:rPr>
        <w:t>’</w:t>
      </w:r>
      <w:r>
        <w:rPr>
          <w:sz w:val="26"/>
          <w:szCs w:val="26"/>
        </w:rPr>
        <w:t>s comparison of Duquesne</w:t>
      </w:r>
      <w:r w:rsidR="001E73FA">
        <w:rPr>
          <w:sz w:val="26"/>
          <w:szCs w:val="26"/>
        </w:rPr>
        <w:t>’</w:t>
      </w:r>
      <w:r>
        <w:rPr>
          <w:sz w:val="26"/>
          <w:szCs w:val="26"/>
        </w:rPr>
        <w:t xml:space="preserve">s rates with other </w:t>
      </w:r>
      <w:r w:rsidR="00892CC1">
        <w:rPr>
          <w:sz w:val="26"/>
          <w:szCs w:val="26"/>
        </w:rPr>
        <w:t>Pennsylvania</w:t>
      </w:r>
      <w:r>
        <w:rPr>
          <w:sz w:val="26"/>
          <w:szCs w:val="26"/>
        </w:rPr>
        <w:t xml:space="preserve"> utilities is insufficient to justify the </w:t>
      </w:r>
      <w:r w:rsidR="00BF7139">
        <w:rPr>
          <w:sz w:val="26"/>
          <w:szCs w:val="26"/>
        </w:rPr>
        <w:t>Rider</w:t>
      </w:r>
      <w:r w:rsidR="001F75B6">
        <w:rPr>
          <w:sz w:val="26"/>
          <w:szCs w:val="26"/>
        </w:rPr>
        <w:t xml:space="preserve"> No. 16</w:t>
      </w:r>
      <w:r>
        <w:rPr>
          <w:sz w:val="26"/>
          <w:szCs w:val="26"/>
        </w:rPr>
        <w:t xml:space="preserve"> rates, as the</w:t>
      </w:r>
      <w:r w:rsidR="00892CC1">
        <w:rPr>
          <w:sz w:val="26"/>
          <w:szCs w:val="26"/>
        </w:rPr>
        <w:t>se rates may also be unnecessarily inflated.  DII R. Exc. at 21-22 (citing Peoples St. 2-SR at 15 and Tr.</w:t>
      </w:r>
      <w:r w:rsidR="00571425">
        <w:rPr>
          <w:sz w:val="26"/>
          <w:szCs w:val="26"/>
        </w:rPr>
        <w:t xml:space="preserve"> </w:t>
      </w:r>
      <w:r w:rsidR="00892CC1">
        <w:rPr>
          <w:sz w:val="26"/>
          <w:szCs w:val="26"/>
        </w:rPr>
        <w:t>at</w:t>
      </w:r>
      <w:r w:rsidR="00571425">
        <w:rPr>
          <w:sz w:val="26"/>
          <w:szCs w:val="26"/>
        </w:rPr>
        <w:t> </w:t>
      </w:r>
      <w:r w:rsidR="00892CC1">
        <w:rPr>
          <w:sz w:val="26"/>
          <w:szCs w:val="26"/>
        </w:rPr>
        <w:t>663).</w:t>
      </w:r>
    </w:p>
    <w:p w:rsidR="00B10402" w:rsidRDefault="00B10402" w:rsidP="001635D0">
      <w:pPr>
        <w:widowControl/>
        <w:spacing w:line="360" w:lineRule="auto"/>
        <w:contextualSpacing/>
        <w:rPr>
          <w:sz w:val="26"/>
          <w:szCs w:val="26"/>
        </w:rPr>
      </w:pPr>
    </w:p>
    <w:p w:rsidR="003C113D" w:rsidRDefault="003C113D" w:rsidP="00AB6758">
      <w:pPr>
        <w:pStyle w:val="Heading4"/>
        <w:keepLines/>
        <w:numPr>
          <w:ilvl w:val="0"/>
          <w:numId w:val="26"/>
        </w:numPr>
        <w:ind w:left="2434"/>
      </w:pPr>
      <w:r>
        <w:t>Disposition</w:t>
      </w:r>
    </w:p>
    <w:p w:rsidR="003C113D" w:rsidRPr="003C113D" w:rsidRDefault="003C113D" w:rsidP="001635D0">
      <w:pPr>
        <w:widowControl/>
        <w:spacing w:line="360" w:lineRule="auto"/>
        <w:contextualSpacing/>
        <w:rPr>
          <w:sz w:val="26"/>
          <w:szCs w:val="26"/>
        </w:rPr>
      </w:pPr>
    </w:p>
    <w:p w:rsidR="00B656C4" w:rsidRPr="00B656C4" w:rsidRDefault="00AC7E1D" w:rsidP="007D3734">
      <w:pPr>
        <w:widowControl/>
        <w:spacing w:line="360" w:lineRule="auto"/>
        <w:contextualSpacing/>
        <w:rPr>
          <w:sz w:val="26"/>
          <w:szCs w:val="26"/>
        </w:rPr>
      </w:pPr>
      <w:r>
        <w:rPr>
          <w:sz w:val="26"/>
          <w:szCs w:val="26"/>
        </w:rPr>
        <w:tab/>
      </w:r>
      <w:r w:rsidR="002C0A8A">
        <w:rPr>
          <w:sz w:val="26"/>
          <w:szCs w:val="26"/>
        </w:rPr>
        <w:tab/>
        <w:t xml:space="preserve">We agree with Duquesne that the ALJ erred in </w:t>
      </w:r>
      <w:r w:rsidR="00BF432C">
        <w:rPr>
          <w:sz w:val="26"/>
          <w:szCs w:val="26"/>
        </w:rPr>
        <w:t xml:space="preserve">adopting DII’s position that </w:t>
      </w:r>
      <w:r w:rsidR="002C0A8A">
        <w:rPr>
          <w:sz w:val="26"/>
          <w:szCs w:val="26"/>
        </w:rPr>
        <w:t xml:space="preserve">the </w:t>
      </w:r>
      <w:r w:rsidR="00BF7139">
        <w:rPr>
          <w:sz w:val="26"/>
          <w:szCs w:val="26"/>
        </w:rPr>
        <w:t>Rider</w:t>
      </w:r>
      <w:r w:rsidR="001F75B6">
        <w:rPr>
          <w:sz w:val="26"/>
          <w:szCs w:val="26"/>
        </w:rPr>
        <w:t xml:space="preserve"> No. 16</w:t>
      </w:r>
      <w:r w:rsidR="002C0A8A">
        <w:rPr>
          <w:sz w:val="26"/>
          <w:szCs w:val="26"/>
        </w:rPr>
        <w:t xml:space="preserve"> rate should be reduced </w:t>
      </w:r>
      <w:r w:rsidR="002A62E9">
        <w:rPr>
          <w:sz w:val="26"/>
          <w:szCs w:val="26"/>
        </w:rPr>
        <w:t xml:space="preserve">from </w:t>
      </w:r>
      <w:r w:rsidR="00BF432C">
        <w:rPr>
          <w:sz w:val="26"/>
          <w:szCs w:val="26"/>
        </w:rPr>
        <w:t>$2.50 to $0.3</w:t>
      </w:r>
      <w:r w:rsidR="00072096">
        <w:rPr>
          <w:sz w:val="26"/>
          <w:szCs w:val="26"/>
        </w:rPr>
        <w:t>52</w:t>
      </w:r>
      <w:r w:rsidR="002C0A8A">
        <w:rPr>
          <w:sz w:val="26"/>
          <w:szCs w:val="26"/>
        </w:rPr>
        <w:t xml:space="preserve"> by using a load factor of 5%.  </w:t>
      </w:r>
      <w:r w:rsidR="00BF432C">
        <w:rPr>
          <w:sz w:val="26"/>
          <w:szCs w:val="26"/>
        </w:rPr>
        <w:t xml:space="preserve">In reaching this determination, we believe that the </w:t>
      </w:r>
      <w:r w:rsidR="002C0A8A">
        <w:rPr>
          <w:sz w:val="26"/>
          <w:szCs w:val="26"/>
        </w:rPr>
        <w:t xml:space="preserve">ALJ </w:t>
      </w:r>
      <w:r w:rsidR="00B37891">
        <w:rPr>
          <w:sz w:val="26"/>
          <w:szCs w:val="26"/>
        </w:rPr>
        <w:t xml:space="preserve">incorrectly </w:t>
      </w:r>
      <w:r w:rsidR="002C0A8A">
        <w:rPr>
          <w:sz w:val="26"/>
          <w:szCs w:val="26"/>
        </w:rPr>
        <w:t>equat</w:t>
      </w:r>
      <w:r w:rsidR="00FE121C">
        <w:rPr>
          <w:sz w:val="26"/>
          <w:szCs w:val="26"/>
        </w:rPr>
        <w:t>e</w:t>
      </w:r>
      <w:r w:rsidR="00BF432C">
        <w:rPr>
          <w:sz w:val="26"/>
          <w:szCs w:val="26"/>
        </w:rPr>
        <w:t>d</w:t>
      </w:r>
      <w:r w:rsidR="002C0A8A">
        <w:rPr>
          <w:sz w:val="26"/>
          <w:szCs w:val="26"/>
        </w:rPr>
        <w:t xml:space="preserve"> the 30% load factor used by Duquesne in its previous rate case with a usage factor.  Duquesne</w:t>
      </w:r>
      <w:r w:rsidR="001E73FA">
        <w:rPr>
          <w:sz w:val="26"/>
          <w:szCs w:val="26"/>
        </w:rPr>
        <w:t>’</w:t>
      </w:r>
      <w:r w:rsidR="002C0A8A">
        <w:rPr>
          <w:sz w:val="26"/>
          <w:szCs w:val="26"/>
        </w:rPr>
        <w:t xml:space="preserve">s </w:t>
      </w:r>
      <w:r w:rsidR="002C0A8A">
        <w:rPr>
          <w:sz w:val="26"/>
          <w:szCs w:val="26"/>
        </w:rPr>
        <w:lastRenderedPageBreak/>
        <w:t xml:space="preserve">30% factor </w:t>
      </w:r>
      <w:r w:rsidR="00F846CC">
        <w:rPr>
          <w:sz w:val="26"/>
          <w:szCs w:val="26"/>
        </w:rPr>
        <w:t xml:space="preserve">was not based on how often a CHP generator fails </w:t>
      </w:r>
      <w:r w:rsidR="004815C6">
        <w:rPr>
          <w:sz w:val="26"/>
          <w:szCs w:val="26"/>
        </w:rPr>
        <w:t>to run</w:t>
      </w:r>
      <w:r w:rsidR="004A2D5F">
        <w:rPr>
          <w:sz w:val="26"/>
          <w:szCs w:val="26"/>
        </w:rPr>
        <w:t>; rather,</w:t>
      </w:r>
      <w:r w:rsidR="00FE121C">
        <w:rPr>
          <w:sz w:val="26"/>
          <w:szCs w:val="26"/>
        </w:rPr>
        <w:t xml:space="preserve"> it </w:t>
      </w:r>
      <w:r w:rsidR="00B37891">
        <w:rPr>
          <w:sz w:val="26"/>
          <w:szCs w:val="26"/>
        </w:rPr>
        <w:t>approximates 30% of the fully</w:t>
      </w:r>
      <w:r w:rsidR="00F43BA8">
        <w:rPr>
          <w:sz w:val="26"/>
          <w:szCs w:val="26"/>
        </w:rPr>
        <w:noBreakHyphen/>
      </w:r>
      <w:r w:rsidR="00B37891">
        <w:rPr>
          <w:sz w:val="26"/>
          <w:szCs w:val="26"/>
        </w:rPr>
        <w:t xml:space="preserve">allocated cost of service </w:t>
      </w:r>
      <w:r w:rsidR="004A2D5F">
        <w:rPr>
          <w:sz w:val="26"/>
          <w:szCs w:val="26"/>
        </w:rPr>
        <w:t xml:space="preserve">as </w:t>
      </w:r>
      <w:r w:rsidR="00B37891">
        <w:rPr>
          <w:sz w:val="26"/>
          <w:szCs w:val="26"/>
        </w:rPr>
        <w:t xml:space="preserve">calculated by Duquesne witness Gorman in the 2013 rate case.  The </w:t>
      </w:r>
      <w:r w:rsidR="004A2D5F">
        <w:rPr>
          <w:sz w:val="26"/>
          <w:szCs w:val="26"/>
        </w:rPr>
        <w:t xml:space="preserve">30% </w:t>
      </w:r>
      <w:r w:rsidR="00B37891">
        <w:rPr>
          <w:sz w:val="26"/>
          <w:szCs w:val="26"/>
        </w:rPr>
        <w:t xml:space="preserve">factor </w:t>
      </w:r>
      <w:r w:rsidR="009D5EC5">
        <w:rPr>
          <w:sz w:val="26"/>
          <w:szCs w:val="26"/>
        </w:rPr>
        <w:t>considers</w:t>
      </w:r>
      <w:r w:rsidR="002C0A8A">
        <w:rPr>
          <w:sz w:val="26"/>
          <w:szCs w:val="26"/>
        </w:rPr>
        <w:t xml:space="preserve"> more than the availability of the CHP customer</w:t>
      </w:r>
      <w:r w:rsidR="001E73FA">
        <w:rPr>
          <w:sz w:val="26"/>
          <w:szCs w:val="26"/>
        </w:rPr>
        <w:t>’</w:t>
      </w:r>
      <w:r w:rsidR="002C0A8A">
        <w:rPr>
          <w:sz w:val="26"/>
          <w:szCs w:val="26"/>
        </w:rPr>
        <w:t xml:space="preserve">s generator. </w:t>
      </w:r>
      <w:r w:rsidR="00B37891">
        <w:rPr>
          <w:sz w:val="26"/>
          <w:szCs w:val="26"/>
        </w:rPr>
        <w:t xml:space="preserve"> </w:t>
      </w:r>
      <w:r w:rsidR="00110056">
        <w:rPr>
          <w:sz w:val="26"/>
          <w:szCs w:val="26"/>
        </w:rPr>
        <w:t xml:space="preserve">It </w:t>
      </w:r>
      <w:r w:rsidR="00316895">
        <w:rPr>
          <w:sz w:val="26"/>
          <w:szCs w:val="26"/>
        </w:rPr>
        <w:t xml:space="preserve">was not an analytically-derived, cost-of-service based factor – nor was it intended to be. </w:t>
      </w:r>
      <w:r w:rsidR="00B37891">
        <w:rPr>
          <w:sz w:val="26"/>
          <w:szCs w:val="26"/>
        </w:rPr>
        <w:t xml:space="preserve"> It was proposed and accepted in a settlement in the 2013 case.  Duquesne R.Exc. at 29. </w:t>
      </w:r>
      <w:r w:rsidR="00B656C4">
        <w:rPr>
          <w:sz w:val="26"/>
          <w:szCs w:val="26"/>
        </w:rPr>
        <w:t xml:space="preserve"> During the prior rate case, </w:t>
      </w:r>
      <w:r w:rsidR="00B656C4" w:rsidRPr="00B656C4">
        <w:rPr>
          <w:sz w:val="26"/>
          <w:szCs w:val="26"/>
        </w:rPr>
        <w:t>William Pfrommer, the Senior Manager of Rates and Tariff Services, explained the methodology for calculating the rate as follows:</w:t>
      </w:r>
    </w:p>
    <w:p w:rsidR="00B656C4" w:rsidRPr="00B656C4" w:rsidRDefault="00B656C4" w:rsidP="007D3734">
      <w:pPr>
        <w:widowControl/>
        <w:spacing w:line="360" w:lineRule="auto"/>
        <w:contextualSpacing/>
        <w:rPr>
          <w:sz w:val="26"/>
          <w:szCs w:val="26"/>
        </w:rPr>
      </w:pPr>
    </w:p>
    <w:p w:rsidR="00B656C4" w:rsidRDefault="00B656C4" w:rsidP="007D3734">
      <w:pPr>
        <w:widowControl/>
        <w:ind w:left="1440" w:right="1440"/>
        <w:contextualSpacing/>
        <w:rPr>
          <w:sz w:val="26"/>
          <w:szCs w:val="26"/>
        </w:rPr>
      </w:pPr>
      <w:r w:rsidRPr="00B656C4">
        <w:rPr>
          <w:sz w:val="26"/>
          <w:szCs w:val="26"/>
        </w:rPr>
        <w:t>The Company is proposing a distribution rate of $2.50 per kW.  This is based on an average of the primary demand costs per kW in Mr. Gorman’s Exhibit 6-2B and a load factor of 30%.  The load factor is an estimate based on the availability of the current customer, a review of other utility tariffs, and the expectation of the need for the Company to provide back-up power.</w:t>
      </w:r>
    </w:p>
    <w:p w:rsidR="00335B04" w:rsidRDefault="00335B04" w:rsidP="007D3734">
      <w:pPr>
        <w:widowControl/>
        <w:ind w:left="1440" w:right="1440"/>
        <w:contextualSpacing/>
        <w:rPr>
          <w:sz w:val="26"/>
          <w:szCs w:val="26"/>
        </w:rPr>
      </w:pPr>
    </w:p>
    <w:p w:rsidR="00335B04" w:rsidRPr="00B656C4" w:rsidRDefault="00335B04" w:rsidP="007D3734">
      <w:pPr>
        <w:widowControl/>
        <w:ind w:left="1440" w:right="1440"/>
        <w:contextualSpacing/>
        <w:rPr>
          <w:sz w:val="26"/>
          <w:szCs w:val="26"/>
        </w:rPr>
      </w:pPr>
    </w:p>
    <w:p w:rsidR="00B656C4" w:rsidRPr="00B656C4" w:rsidRDefault="00B656C4" w:rsidP="007D3734">
      <w:pPr>
        <w:widowControl/>
        <w:spacing w:line="360" w:lineRule="auto"/>
        <w:contextualSpacing/>
        <w:rPr>
          <w:sz w:val="26"/>
          <w:szCs w:val="26"/>
        </w:rPr>
      </w:pPr>
      <w:r w:rsidRPr="00B656C4">
        <w:rPr>
          <w:sz w:val="26"/>
          <w:szCs w:val="26"/>
        </w:rPr>
        <w:t>Peoples St. 2 at 9 (citing Docket No. R-2013-2372129 - Duquesne St. 12 at 19 and Exh. 6-2B).</w:t>
      </w:r>
    </w:p>
    <w:p w:rsidR="00205251" w:rsidRDefault="00205251" w:rsidP="007D3734">
      <w:pPr>
        <w:widowControl/>
        <w:spacing w:line="360" w:lineRule="auto"/>
        <w:contextualSpacing/>
        <w:rPr>
          <w:sz w:val="26"/>
          <w:szCs w:val="26"/>
        </w:rPr>
      </w:pPr>
    </w:p>
    <w:p w:rsidR="00FE093F" w:rsidRDefault="00205251" w:rsidP="007D3734">
      <w:pPr>
        <w:widowControl/>
        <w:spacing w:line="360" w:lineRule="auto"/>
        <w:contextualSpacing/>
        <w:rPr>
          <w:sz w:val="26"/>
          <w:szCs w:val="26"/>
        </w:rPr>
      </w:pPr>
      <w:r>
        <w:rPr>
          <w:sz w:val="26"/>
          <w:szCs w:val="26"/>
        </w:rPr>
        <w:tab/>
      </w:r>
      <w:r>
        <w:rPr>
          <w:sz w:val="26"/>
          <w:szCs w:val="26"/>
        </w:rPr>
        <w:tab/>
        <w:t xml:space="preserve">We </w:t>
      </w:r>
      <w:r w:rsidR="0053385C">
        <w:rPr>
          <w:sz w:val="26"/>
          <w:szCs w:val="26"/>
        </w:rPr>
        <w:t xml:space="preserve">further </w:t>
      </w:r>
      <w:r>
        <w:rPr>
          <w:sz w:val="26"/>
          <w:szCs w:val="26"/>
        </w:rPr>
        <w:t xml:space="preserve">find that there is substantial evidence in the record supporting the current </w:t>
      </w:r>
      <w:r w:rsidR="00BF7139">
        <w:rPr>
          <w:sz w:val="26"/>
          <w:szCs w:val="26"/>
        </w:rPr>
        <w:t>Rider</w:t>
      </w:r>
      <w:r w:rsidR="001F75B6">
        <w:rPr>
          <w:sz w:val="26"/>
          <w:szCs w:val="26"/>
        </w:rPr>
        <w:t xml:space="preserve"> No. 16</w:t>
      </w:r>
      <w:r>
        <w:rPr>
          <w:sz w:val="26"/>
          <w:szCs w:val="26"/>
        </w:rPr>
        <w:t xml:space="preserve"> rate. </w:t>
      </w:r>
      <w:r w:rsidR="0053385C">
        <w:rPr>
          <w:sz w:val="26"/>
          <w:szCs w:val="26"/>
        </w:rPr>
        <w:t xml:space="preserve"> In this regard. </w:t>
      </w:r>
      <w:r w:rsidR="00C64AE3">
        <w:rPr>
          <w:sz w:val="26"/>
          <w:szCs w:val="26"/>
        </w:rPr>
        <w:t>w</w:t>
      </w:r>
      <w:r w:rsidR="0053385C">
        <w:rPr>
          <w:sz w:val="26"/>
          <w:szCs w:val="26"/>
        </w:rPr>
        <w:t xml:space="preserve">e agree with </w:t>
      </w:r>
      <w:r>
        <w:rPr>
          <w:sz w:val="26"/>
          <w:szCs w:val="26"/>
        </w:rPr>
        <w:t>Peoples witness Daniel</w:t>
      </w:r>
      <w:r w:rsidR="00C64AE3">
        <w:rPr>
          <w:sz w:val="26"/>
          <w:szCs w:val="26"/>
        </w:rPr>
        <w:t xml:space="preserve"> who</w:t>
      </w:r>
      <w:r>
        <w:rPr>
          <w:sz w:val="26"/>
          <w:szCs w:val="26"/>
        </w:rPr>
        <w:t xml:space="preserve"> calculated the cost of service and used the same 30% multiplier to arrive at a rate very similar to the existing </w:t>
      </w:r>
      <w:r w:rsidR="00BF7139">
        <w:rPr>
          <w:sz w:val="26"/>
          <w:szCs w:val="26"/>
        </w:rPr>
        <w:t>Rider</w:t>
      </w:r>
      <w:r w:rsidR="001F75B6">
        <w:rPr>
          <w:sz w:val="26"/>
          <w:szCs w:val="26"/>
        </w:rPr>
        <w:t xml:space="preserve"> No. 16</w:t>
      </w:r>
      <w:r>
        <w:rPr>
          <w:sz w:val="26"/>
          <w:szCs w:val="26"/>
        </w:rPr>
        <w:t xml:space="preserve"> rate. </w:t>
      </w:r>
      <w:r w:rsidR="00B37891">
        <w:rPr>
          <w:sz w:val="26"/>
          <w:szCs w:val="26"/>
        </w:rPr>
        <w:t xml:space="preserve"> </w:t>
      </w:r>
      <w:r w:rsidR="00FE093F">
        <w:rPr>
          <w:sz w:val="26"/>
          <w:szCs w:val="26"/>
        </w:rPr>
        <w:t xml:space="preserve">In support of the use of the 30% multiplier, </w:t>
      </w:r>
      <w:r>
        <w:rPr>
          <w:sz w:val="26"/>
          <w:szCs w:val="26"/>
        </w:rPr>
        <w:t xml:space="preserve">Mr. Daniel </w:t>
      </w:r>
      <w:r w:rsidR="00C64AE3">
        <w:rPr>
          <w:sz w:val="26"/>
          <w:szCs w:val="26"/>
        </w:rPr>
        <w:t>stated</w:t>
      </w:r>
      <w:r w:rsidR="00FE093F">
        <w:rPr>
          <w:sz w:val="26"/>
          <w:szCs w:val="26"/>
        </w:rPr>
        <w:t>:</w:t>
      </w:r>
    </w:p>
    <w:p w:rsidR="00FE093F" w:rsidRDefault="00FE093F" w:rsidP="007D3734">
      <w:pPr>
        <w:widowControl/>
        <w:spacing w:line="360" w:lineRule="auto"/>
        <w:contextualSpacing/>
        <w:rPr>
          <w:sz w:val="26"/>
          <w:szCs w:val="26"/>
        </w:rPr>
      </w:pPr>
    </w:p>
    <w:p w:rsidR="00FE093F" w:rsidRDefault="00FE093F" w:rsidP="007D3734">
      <w:pPr>
        <w:widowControl/>
        <w:ind w:left="1440" w:right="1440"/>
        <w:contextualSpacing/>
        <w:rPr>
          <w:sz w:val="26"/>
          <w:szCs w:val="26"/>
        </w:rPr>
      </w:pPr>
      <w:r>
        <w:rPr>
          <w:sz w:val="26"/>
          <w:szCs w:val="26"/>
        </w:rPr>
        <w:t>I</w:t>
      </w:r>
      <w:r w:rsidR="00205251">
        <w:rPr>
          <w:sz w:val="26"/>
          <w:szCs w:val="26"/>
        </w:rPr>
        <w:t>t is my understanding that no party opposed the Company</w:t>
      </w:r>
      <w:r w:rsidR="001E73FA">
        <w:rPr>
          <w:sz w:val="26"/>
          <w:szCs w:val="26"/>
        </w:rPr>
        <w:t>’</w:t>
      </w:r>
      <w:r w:rsidR="00205251">
        <w:rPr>
          <w:sz w:val="26"/>
          <w:szCs w:val="26"/>
        </w:rPr>
        <w:t xml:space="preserve">s </w:t>
      </w:r>
      <w:r w:rsidR="001F75B6">
        <w:rPr>
          <w:sz w:val="26"/>
          <w:szCs w:val="26"/>
        </w:rPr>
        <w:t>Rider No. 16</w:t>
      </w:r>
      <w:r w:rsidR="00205251">
        <w:rPr>
          <w:sz w:val="26"/>
          <w:szCs w:val="26"/>
        </w:rPr>
        <w:t xml:space="preserve"> rate calculation methodology in its prior rate case.  The Company witness in the last case explained that the back-up rate was based on estimated availability of the </w:t>
      </w:r>
      <w:r w:rsidR="001F75B6">
        <w:rPr>
          <w:sz w:val="26"/>
          <w:szCs w:val="26"/>
        </w:rPr>
        <w:t>Rider No. 16</w:t>
      </w:r>
      <w:r w:rsidR="00205251">
        <w:rPr>
          <w:sz w:val="26"/>
          <w:szCs w:val="26"/>
        </w:rPr>
        <w:t xml:space="preserve"> customer, a review of other utility tariffs, and the expectation of the need for the Company to provide back-up power.  Accordingly, the Commission should require that the </w:t>
      </w:r>
      <w:r w:rsidR="00205251">
        <w:rPr>
          <w:sz w:val="26"/>
          <w:szCs w:val="26"/>
        </w:rPr>
        <w:lastRenderedPageBreak/>
        <w:t>Rider 16 distribution charge be calculated using the same rate calculation methodology supported by Duquesne and approved by the Commission in the Company</w:t>
      </w:r>
      <w:r w:rsidR="001E73FA">
        <w:rPr>
          <w:sz w:val="26"/>
          <w:szCs w:val="26"/>
        </w:rPr>
        <w:t>’</w:t>
      </w:r>
      <w:r w:rsidR="00205251">
        <w:rPr>
          <w:sz w:val="26"/>
          <w:szCs w:val="26"/>
        </w:rPr>
        <w:t>s previous rate case.</w:t>
      </w:r>
    </w:p>
    <w:p w:rsidR="00FE093F" w:rsidRDefault="00FE093F" w:rsidP="007D3734">
      <w:pPr>
        <w:widowControl/>
        <w:ind w:left="1440" w:right="1440"/>
        <w:contextualSpacing/>
        <w:rPr>
          <w:sz w:val="26"/>
          <w:szCs w:val="26"/>
        </w:rPr>
      </w:pPr>
    </w:p>
    <w:p w:rsidR="00FE093F" w:rsidRDefault="00FE093F" w:rsidP="007D3734">
      <w:pPr>
        <w:widowControl/>
        <w:ind w:left="1440" w:right="1440"/>
        <w:contextualSpacing/>
        <w:rPr>
          <w:sz w:val="26"/>
          <w:szCs w:val="26"/>
        </w:rPr>
      </w:pPr>
    </w:p>
    <w:p w:rsidR="00205251" w:rsidRDefault="00205251" w:rsidP="007D3734">
      <w:pPr>
        <w:widowControl/>
        <w:spacing w:line="360" w:lineRule="auto"/>
        <w:contextualSpacing/>
        <w:rPr>
          <w:sz w:val="26"/>
          <w:szCs w:val="26"/>
        </w:rPr>
      </w:pPr>
      <w:r>
        <w:rPr>
          <w:sz w:val="26"/>
          <w:szCs w:val="26"/>
        </w:rPr>
        <w:t>Peoples St. 2 at 10-11.</w:t>
      </w:r>
    </w:p>
    <w:p w:rsidR="00DE1D4C" w:rsidRDefault="00DE1D4C" w:rsidP="007D3734">
      <w:pPr>
        <w:widowControl/>
        <w:spacing w:line="360" w:lineRule="auto"/>
        <w:contextualSpacing/>
        <w:rPr>
          <w:sz w:val="26"/>
          <w:szCs w:val="26"/>
        </w:rPr>
      </w:pPr>
    </w:p>
    <w:p w:rsidR="00BC71EC" w:rsidRDefault="00C1495E" w:rsidP="007D3734">
      <w:pPr>
        <w:widowControl/>
        <w:spacing w:line="360" w:lineRule="auto"/>
        <w:contextualSpacing/>
        <w:rPr>
          <w:sz w:val="26"/>
          <w:szCs w:val="26"/>
        </w:rPr>
      </w:pPr>
      <w:r>
        <w:rPr>
          <w:sz w:val="26"/>
          <w:szCs w:val="26"/>
        </w:rPr>
        <w:tab/>
      </w:r>
      <w:r w:rsidR="00713FA2">
        <w:rPr>
          <w:sz w:val="26"/>
          <w:szCs w:val="26"/>
        </w:rPr>
        <w:tab/>
        <w:t xml:space="preserve">We also conclude that the </w:t>
      </w:r>
      <w:r w:rsidR="005D17BE">
        <w:rPr>
          <w:sz w:val="26"/>
          <w:szCs w:val="26"/>
        </w:rPr>
        <w:t xml:space="preserve">$2.50 </w:t>
      </w:r>
      <w:r w:rsidR="001F75B6">
        <w:rPr>
          <w:sz w:val="26"/>
          <w:szCs w:val="26"/>
        </w:rPr>
        <w:t>Rider No. 16</w:t>
      </w:r>
      <w:r w:rsidR="00F63C37">
        <w:rPr>
          <w:sz w:val="26"/>
          <w:szCs w:val="26"/>
        </w:rPr>
        <w:t xml:space="preserve"> </w:t>
      </w:r>
      <w:r w:rsidR="005D17BE">
        <w:rPr>
          <w:sz w:val="26"/>
          <w:szCs w:val="26"/>
        </w:rPr>
        <w:t xml:space="preserve">rate is reasonable because it is </w:t>
      </w:r>
      <w:r w:rsidR="0040225D">
        <w:rPr>
          <w:sz w:val="26"/>
          <w:szCs w:val="26"/>
        </w:rPr>
        <w:t>voluntary,</w:t>
      </w:r>
      <w:r w:rsidR="005D17BE">
        <w:rPr>
          <w:sz w:val="26"/>
          <w:szCs w:val="26"/>
        </w:rPr>
        <w:t xml:space="preserve"> and the customers can achieve savings </w:t>
      </w:r>
      <w:r w:rsidR="00DD23B3">
        <w:rPr>
          <w:sz w:val="26"/>
          <w:szCs w:val="26"/>
        </w:rPr>
        <w:t xml:space="preserve">through Rider No. 16 because it </w:t>
      </w:r>
      <w:r w:rsidR="002E79B5">
        <w:rPr>
          <w:sz w:val="26"/>
          <w:szCs w:val="26"/>
        </w:rPr>
        <w:t xml:space="preserve">is less than the </w:t>
      </w:r>
      <w:r w:rsidR="00DD23B3">
        <w:rPr>
          <w:sz w:val="26"/>
          <w:szCs w:val="26"/>
        </w:rPr>
        <w:t xml:space="preserve">applicable </w:t>
      </w:r>
      <w:r w:rsidR="002E79B5">
        <w:rPr>
          <w:sz w:val="26"/>
          <w:szCs w:val="26"/>
        </w:rPr>
        <w:t>full requirements rate</w:t>
      </w:r>
      <w:r w:rsidR="00F63C37">
        <w:rPr>
          <w:sz w:val="26"/>
          <w:szCs w:val="26"/>
        </w:rPr>
        <w:t xml:space="preserve">.  If </w:t>
      </w:r>
      <w:r w:rsidR="001D1648">
        <w:rPr>
          <w:sz w:val="26"/>
          <w:szCs w:val="26"/>
        </w:rPr>
        <w:t>Rider</w:t>
      </w:r>
      <w:r w:rsidR="001F75B6">
        <w:rPr>
          <w:sz w:val="26"/>
          <w:szCs w:val="26"/>
        </w:rPr>
        <w:t xml:space="preserve"> No. 16</w:t>
      </w:r>
      <w:r w:rsidR="00F63C37">
        <w:rPr>
          <w:sz w:val="26"/>
          <w:szCs w:val="26"/>
        </w:rPr>
        <w:t xml:space="preserve"> is not the best fit for a particular CHP customer, </w:t>
      </w:r>
      <w:r w:rsidR="00F563BB">
        <w:rPr>
          <w:sz w:val="26"/>
          <w:szCs w:val="26"/>
        </w:rPr>
        <w:t xml:space="preserve">it </w:t>
      </w:r>
      <w:r w:rsidR="00F63C37">
        <w:rPr>
          <w:sz w:val="26"/>
          <w:szCs w:val="26"/>
        </w:rPr>
        <w:t xml:space="preserve">can </w:t>
      </w:r>
      <w:r w:rsidR="00DD23B3">
        <w:rPr>
          <w:sz w:val="26"/>
          <w:szCs w:val="26"/>
        </w:rPr>
        <w:t xml:space="preserve">remain </w:t>
      </w:r>
      <w:r w:rsidR="00F63C37">
        <w:rPr>
          <w:sz w:val="26"/>
          <w:szCs w:val="26"/>
        </w:rPr>
        <w:t xml:space="preserve">on full requirements service.  Duquesne witness Fisher analyzed the savings options for a CHP customer under </w:t>
      </w:r>
      <w:r w:rsidR="00CA44FD">
        <w:rPr>
          <w:sz w:val="26"/>
          <w:szCs w:val="26"/>
        </w:rPr>
        <w:t xml:space="preserve">Rider No. 16 and the full requirements rates and determined </w:t>
      </w:r>
      <w:r w:rsidR="00F63C37">
        <w:rPr>
          <w:sz w:val="26"/>
          <w:szCs w:val="26"/>
        </w:rPr>
        <w:t>that customers with on-site generation can achieve substantial savings using the Company</w:t>
      </w:r>
      <w:r w:rsidR="001E73FA">
        <w:rPr>
          <w:sz w:val="26"/>
          <w:szCs w:val="26"/>
        </w:rPr>
        <w:t>’</w:t>
      </w:r>
      <w:r w:rsidR="00F63C37">
        <w:rPr>
          <w:sz w:val="26"/>
          <w:szCs w:val="26"/>
        </w:rPr>
        <w:t>s back-up rates</w:t>
      </w:r>
      <w:r w:rsidR="00CA44FD">
        <w:rPr>
          <w:sz w:val="26"/>
          <w:szCs w:val="26"/>
        </w:rPr>
        <w:t xml:space="preserve"> in Rider No. 16.</w:t>
      </w:r>
      <w:r w:rsidR="00F63C37">
        <w:rPr>
          <w:sz w:val="26"/>
          <w:szCs w:val="26"/>
        </w:rPr>
        <w:t xml:space="preserve">  Mr. Fisher </w:t>
      </w:r>
      <w:r w:rsidR="00A46F6A">
        <w:rPr>
          <w:sz w:val="26"/>
          <w:szCs w:val="26"/>
        </w:rPr>
        <w:t xml:space="preserve">calculated the savings for a typical CHP customer with </w:t>
      </w:r>
      <w:r w:rsidR="00F63C37">
        <w:rPr>
          <w:sz w:val="26"/>
          <w:szCs w:val="26"/>
        </w:rPr>
        <w:t xml:space="preserve">a 5 MW total connected load with a 2 MW on-site generator.  </w:t>
      </w:r>
      <w:r w:rsidR="00A46F6A">
        <w:rPr>
          <w:sz w:val="26"/>
          <w:szCs w:val="26"/>
        </w:rPr>
        <w:t xml:space="preserve">His calculations showed that if this customer had elected </w:t>
      </w:r>
      <w:r w:rsidR="001F75B6">
        <w:rPr>
          <w:sz w:val="26"/>
          <w:szCs w:val="26"/>
        </w:rPr>
        <w:t>Rider No. 16</w:t>
      </w:r>
      <w:r w:rsidR="00F63C37">
        <w:rPr>
          <w:sz w:val="26"/>
          <w:szCs w:val="26"/>
        </w:rPr>
        <w:t xml:space="preserve"> </w:t>
      </w:r>
      <w:r w:rsidR="00A46F6A">
        <w:rPr>
          <w:sz w:val="26"/>
          <w:szCs w:val="26"/>
        </w:rPr>
        <w:t xml:space="preserve">and </w:t>
      </w:r>
      <w:r w:rsidR="00F63C37">
        <w:rPr>
          <w:sz w:val="26"/>
          <w:szCs w:val="26"/>
        </w:rPr>
        <w:t>experienced a 32-hour monthly outage, the cus</w:t>
      </w:r>
      <w:r w:rsidR="005B32E6">
        <w:rPr>
          <w:sz w:val="26"/>
          <w:szCs w:val="26"/>
        </w:rPr>
        <w:t>tomer w</w:t>
      </w:r>
      <w:r w:rsidR="00F63C37">
        <w:rPr>
          <w:sz w:val="26"/>
          <w:szCs w:val="26"/>
        </w:rPr>
        <w:t xml:space="preserve">ould save at least $258,000 per year in transmission and distribution </w:t>
      </w:r>
      <w:r w:rsidR="005B32E6">
        <w:rPr>
          <w:sz w:val="26"/>
          <w:szCs w:val="26"/>
        </w:rPr>
        <w:t xml:space="preserve">(T&amp;D) </w:t>
      </w:r>
      <w:r w:rsidR="00F63C37">
        <w:rPr>
          <w:sz w:val="26"/>
          <w:szCs w:val="26"/>
        </w:rPr>
        <w:t>charges</w:t>
      </w:r>
      <w:r w:rsidR="00A46F6A">
        <w:rPr>
          <w:sz w:val="26"/>
          <w:szCs w:val="26"/>
        </w:rPr>
        <w:t>,</w:t>
      </w:r>
      <w:r w:rsidR="005B32E6">
        <w:rPr>
          <w:sz w:val="26"/>
          <w:szCs w:val="26"/>
        </w:rPr>
        <w:t xml:space="preserve"> or 37% of the customer</w:t>
      </w:r>
      <w:r w:rsidR="001E73FA">
        <w:rPr>
          <w:sz w:val="26"/>
          <w:szCs w:val="26"/>
        </w:rPr>
        <w:t>’</w:t>
      </w:r>
      <w:r w:rsidR="005B32E6">
        <w:rPr>
          <w:sz w:val="26"/>
          <w:szCs w:val="26"/>
        </w:rPr>
        <w:t xml:space="preserve">s total T&amp;D charges.  Duquesne Exc. at 32 (citing Duquesne St. 16-R at 20, 22). </w:t>
      </w:r>
      <w:r w:rsidR="00F63C37">
        <w:rPr>
          <w:sz w:val="26"/>
          <w:szCs w:val="26"/>
        </w:rPr>
        <w:t xml:space="preserve"> </w:t>
      </w:r>
      <w:r>
        <w:rPr>
          <w:sz w:val="26"/>
          <w:szCs w:val="26"/>
        </w:rPr>
        <w:t xml:space="preserve">The record </w:t>
      </w:r>
      <w:r w:rsidR="00033286">
        <w:rPr>
          <w:sz w:val="26"/>
          <w:szCs w:val="26"/>
        </w:rPr>
        <w:t xml:space="preserve">further </w:t>
      </w:r>
      <w:r>
        <w:rPr>
          <w:sz w:val="26"/>
          <w:szCs w:val="26"/>
        </w:rPr>
        <w:t>provides evidence that c</w:t>
      </w:r>
      <w:r w:rsidR="00205251">
        <w:rPr>
          <w:sz w:val="26"/>
          <w:szCs w:val="26"/>
        </w:rPr>
        <w:t>ustomers that install CHP in Duquesne</w:t>
      </w:r>
      <w:r w:rsidR="001E73FA">
        <w:rPr>
          <w:sz w:val="26"/>
          <w:szCs w:val="26"/>
        </w:rPr>
        <w:t>’</w:t>
      </w:r>
      <w:r w:rsidR="00606725">
        <w:rPr>
          <w:sz w:val="26"/>
          <w:szCs w:val="26"/>
        </w:rPr>
        <w:t>s</w:t>
      </w:r>
      <w:r w:rsidR="00205251">
        <w:rPr>
          <w:sz w:val="26"/>
          <w:szCs w:val="26"/>
        </w:rPr>
        <w:t xml:space="preserve"> service area can </w:t>
      </w:r>
      <w:r w:rsidR="00F63C37">
        <w:rPr>
          <w:sz w:val="26"/>
          <w:szCs w:val="26"/>
        </w:rPr>
        <w:t xml:space="preserve">also </w:t>
      </w:r>
      <w:r w:rsidR="00205251">
        <w:rPr>
          <w:sz w:val="26"/>
          <w:szCs w:val="26"/>
        </w:rPr>
        <w:t xml:space="preserve">avoid a higher percentage of T&amp;D charges than </w:t>
      </w:r>
      <w:r w:rsidR="00033286">
        <w:rPr>
          <w:sz w:val="26"/>
          <w:szCs w:val="26"/>
        </w:rPr>
        <w:t xml:space="preserve">those </w:t>
      </w:r>
      <w:r w:rsidR="00205251">
        <w:rPr>
          <w:sz w:val="26"/>
          <w:szCs w:val="26"/>
        </w:rPr>
        <w:t xml:space="preserve">customers </w:t>
      </w:r>
      <w:r w:rsidR="00033286">
        <w:rPr>
          <w:sz w:val="26"/>
          <w:szCs w:val="26"/>
        </w:rPr>
        <w:t xml:space="preserve">located </w:t>
      </w:r>
      <w:r w:rsidR="00205251">
        <w:rPr>
          <w:sz w:val="26"/>
          <w:szCs w:val="26"/>
        </w:rPr>
        <w:t>in PECO</w:t>
      </w:r>
      <w:r w:rsidR="001E73FA">
        <w:rPr>
          <w:sz w:val="26"/>
          <w:szCs w:val="26"/>
        </w:rPr>
        <w:t>’</w:t>
      </w:r>
      <w:r w:rsidR="00205251">
        <w:rPr>
          <w:sz w:val="26"/>
          <w:szCs w:val="26"/>
        </w:rPr>
        <w:t>s and PPL</w:t>
      </w:r>
      <w:r w:rsidR="001E73FA">
        <w:rPr>
          <w:sz w:val="26"/>
          <w:szCs w:val="26"/>
        </w:rPr>
        <w:t>’</w:t>
      </w:r>
      <w:r w:rsidR="00205251">
        <w:rPr>
          <w:sz w:val="26"/>
          <w:szCs w:val="26"/>
        </w:rPr>
        <w:t xml:space="preserve">s service areas.  Duquesne St. 16-R at 43-44.  </w:t>
      </w:r>
    </w:p>
    <w:p w:rsidR="00BC71EC" w:rsidRDefault="00BC71EC" w:rsidP="007D3734">
      <w:pPr>
        <w:widowControl/>
        <w:spacing w:line="360" w:lineRule="auto"/>
        <w:contextualSpacing/>
        <w:rPr>
          <w:sz w:val="26"/>
          <w:szCs w:val="26"/>
        </w:rPr>
      </w:pPr>
    </w:p>
    <w:p w:rsidR="00205251" w:rsidRDefault="00BC71EC" w:rsidP="007D3734">
      <w:pPr>
        <w:widowControl/>
        <w:spacing w:line="360" w:lineRule="auto"/>
        <w:contextualSpacing/>
        <w:rPr>
          <w:sz w:val="26"/>
          <w:szCs w:val="26"/>
        </w:rPr>
      </w:pPr>
      <w:r>
        <w:rPr>
          <w:sz w:val="26"/>
          <w:szCs w:val="26"/>
        </w:rPr>
        <w:tab/>
      </w:r>
      <w:r>
        <w:rPr>
          <w:sz w:val="26"/>
          <w:szCs w:val="26"/>
        </w:rPr>
        <w:tab/>
        <w:t>A</w:t>
      </w:r>
      <w:r w:rsidR="005B32E6">
        <w:rPr>
          <w:sz w:val="26"/>
          <w:szCs w:val="26"/>
        </w:rPr>
        <w:t xml:space="preserve">ccordingly, </w:t>
      </w:r>
      <w:r>
        <w:rPr>
          <w:sz w:val="26"/>
          <w:szCs w:val="26"/>
        </w:rPr>
        <w:t xml:space="preserve">we shall grant </w:t>
      </w:r>
      <w:r w:rsidR="005B32E6">
        <w:rPr>
          <w:sz w:val="26"/>
          <w:szCs w:val="26"/>
        </w:rPr>
        <w:t>Duquesne</w:t>
      </w:r>
      <w:r w:rsidR="001E73FA">
        <w:rPr>
          <w:sz w:val="26"/>
          <w:szCs w:val="26"/>
        </w:rPr>
        <w:t>’</w:t>
      </w:r>
      <w:r w:rsidR="005B32E6">
        <w:rPr>
          <w:sz w:val="26"/>
          <w:szCs w:val="26"/>
        </w:rPr>
        <w:t>s Exception No. 4.</w:t>
      </w:r>
    </w:p>
    <w:p w:rsidR="00205251" w:rsidRDefault="00205251" w:rsidP="007D3734">
      <w:pPr>
        <w:widowControl/>
        <w:spacing w:line="360" w:lineRule="auto"/>
        <w:contextualSpacing/>
        <w:rPr>
          <w:sz w:val="26"/>
          <w:szCs w:val="26"/>
        </w:rPr>
      </w:pPr>
    </w:p>
    <w:p w:rsidR="00354E67" w:rsidRPr="00B10402" w:rsidRDefault="00B10402" w:rsidP="007D3734">
      <w:pPr>
        <w:pStyle w:val="Heading3"/>
        <w:widowControl/>
        <w:ind w:left="1440" w:hanging="720"/>
      </w:pPr>
      <w:bookmarkStart w:id="61" w:name="_Toc531091839"/>
      <w:bookmarkStart w:id="62" w:name="_Toc532905979"/>
      <w:r>
        <w:lastRenderedPageBreak/>
        <w:t>9.</w:t>
      </w:r>
      <w:r w:rsidR="00EB7C53">
        <w:tab/>
      </w:r>
      <w:r w:rsidR="00354E67" w:rsidRPr="00B10402">
        <w:t>Duquesne</w:t>
      </w:r>
      <w:r w:rsidR="001E73FA">
        <w:t>’</w:t>
      </w:r>
      <w:r w:rsidR="00354E67" w:rsidRPr="00B10402">
        <w:t xml:space="preserve">s Exception No. 5 </w:t>
      </w:r>
      <w:r w:rsidR="00C402CE" w:rsidRPr="00B10402">
        <w:t>Regarding a Separate Class for Rider No.</w:t>
      </w:r>
      <w:r w:rsidR="00033286">
        <w:t> </w:t>
      </w:r>
      <w:r w:rsidR="00C402CE" w:rsidRPr="00B10402">
        <w:t>16 Customers</w:t>
      </w:r>
      <w:bookmarkEnd w:id="61"/>
      <w:bookmarkEnd w:id="62"/>
    </w:p>
    <w:p w:rsidR="00B10402" w:rsidRPr="001635D0" w:rsidRDefault="00B10402" w:rsidP="001635D0">
      <w:pPr>
        <w:pStyle w:val="ListNumber"/>
        <w:keepNext/>
        <w:keepLines/>
        <w:numPr>
          <w:ilvl w:val="0"/>
          <w:numId w:val="0"/>
        </w:numPr>
        <w:jc w:val="left"/>
        <w:rPr>
          <w:sz w:val="26"/>
          <w:szCs w:val="26"/>
        </w:rPr>
      </w:pPr>
    </w:p>
    <w:p w:rsidR="003C113D" w:rsidRPr="003C113D" w:rsidRDefault="003C113D" w:rsidP="007D3734">
      <w:pPr>
        <w:pStyle w:val="Heading4"/>
        <w:numPr>
          <w:ilvl w:val="0"/>
          <w:numId w:val="29"/>
        </w:numPr>
        <w:ind w:left="2434"/>
      </w:pPr>
      <w:r>
        <w:t>Duquesne</w:t>
      </w:r>
      <w:r w:rsidR="001E73FA">
        <w:t>’</w:t>
      </w:r>
      <w:r>
        <w:t>s Exception No. 5</w:t>
      </w:r>
    </w:p>
    <w:p w:rsidR="00354E67" w:rsidRPr="001635D0" w:rsidRDefault="00354E67" w:rsidP="001635D0">
      <w:pPr>
        <w:pStyle w:val="ListNumber"/>
        <w:keepNext/>
        <w:keepLines/>
        <w:numPr>
          <w:ilvl w:val="0"/>
          <w:numId w:val="0"/>
        </w:numPr>
        <w:jc w:val="left"/>
        <w:rPr>
          <w:sz w:val="26"/>
          <w:szCs w:val="26"/>
        </w:rPr>
      </w:pPr>
    </w:p>
    <w:p w:rsidR="00D77AB4" w:rsidRDefault="008E504D" w:rsidP="007D3734">
      <w:pPr>
        <w:widowControl/>
        <w:spacing w:line="360" w:lineRule="auto"/>
        <w:contextualSpacing/>
        <w:rPr>
          <w:sz w:val="26"/>
          <w:szCs w:val="26"/>
        </w:rPr>
      </w:pPr>
      <w:r>
        <w:tab/>
      </w:r>
      <w:r w:rsidR="00606725">
        <w:tab/>
      </w:r>
      <w:r w:rsidRPr="00354E67">
        <w:rPr>
          <w:sz w:val="26"/>
          <w:szCs w:val="26"/>
        </w:rPr>
        <w:t xml:space="preserve">Duquesne avers that the ALJ erred in finding that </w:t>
      </w:r>
      <w:r w:rsidR="00B80845">
        <w:rPr>
          <w:sz w:val="26"/>
          <w:szCs w:val="26"/>
        </w:rPr>
        <w:t>Rider No. 16 customers</w:t>
      </w:r>
      <w:r w:rsidRPr="00354E67">
        <w:rPr>
          <w:sz w:val="26"/>
          <w:szCs w:val="26"/>
        </w:rPr>
        <w:t xml:space="preserve"> should have been treated as a separate class in D</w:t>
      </w:r>
      <w:r w:rsidR="008E6371">
        <w:rPr>
          <w:sz w:val="26"/>
          <w:szCs w:val="26"/>
        </w:rPr>
        <w:t>uquesne</w:t>
      </w:r>
      <w:r w:rsidR="001E73FA">
        <w:rPr>
          <w:sz w:val="26"/>
          <w:szCs w:val="26"/>
        </w:rPr>
        <w:t>’</w:t>
      </w:r>
      <w:r w:rsidRPr="00354E67">
        <w:rPr>
          <w:sz w:val="26"/>
          <w:szCs w:val="26"/>
        </w:rPr>
        <w:t>s Cost of Service Study</w:t>
      </w:r>
      <w:r w:rsidR="0008253E">
        <w:rPr>
          <w:sz w:val="26"/>
          <w:szCs w:val="26"/>
        </w:rPr>
        <w:t xml:space="preserve"> in the last rate case</w:t>
      </w:r>
      <w:r w:rsidRPr="00354E67">
        <w:rPr>
          <w:sz w:val="26"/>
          <w:szCs w:val="26"/>
        </w:rPr>
        <w:t>.</w:t>
      </w:r>
      <w:r w:rsidR="00B11C91">
        <w:rPr>
          <w:sz w:val="26"/>
          <w:szCs w:val="26"/>
        </w:rPr>
        <w:t xml:space="preserve"> </w:t>
      </w:r>
      <w:r w:rsidRPr="00354E67">
        <w:rPr>
          <w:sz w:val="26"/>
          <w:szCs w:val="26"/>
        </w:rPr>
        <w:t xml:space="preserve"> </w:t>
      </w:r>
      <w:r w:rsidR="00490092">
        <w:rPr>
          <w:sz w:val="26"/>
          <w:szCs w:val="26"/>
        </w:rPr>
        <w:t xml:space="preserve">In this proceeding, </w:t>
      </w:r>
      <w:r w:rsidR="00BC0825">
        <w:rPr>
          <w:sz w:val="26"/>
          <w:szCs w:val="26"/>
        </w:rPr>
        <w:t xml:space="preserve">the ALJ adopted the position of </w:t>
      </w:r>
      <w:r w:rsidR="00490092">
        <w:rPr>
          <w:sz w:val="26"/>
          <w:szCs w:val="26"/>
        </w:rPr>
        <w:t xml:space="preserve">DII witness Crist </w:t>
      </w:r>
      <w:r w:rsidR="00BC0825">
        <w:rPr>
          <w:sz w:val="26"/>
          <w:szCs w:val="26"/>
        </w:rPr>
        <w:t xml:space="preserve">who </w:t>
      </w:r>
      <w:r w:rsidR="00B70E7A">
        <w:rPr>
          <w:sz w:val="26"/>
          <w:szCs w:val="26"/>
        </w:rPr>
        <w:t xml:space="preserve">characterized the Rider No. 16 customers as a </w:t>
      </w:r>
      <w:r w:rsidR="00490092">
        <w:rPr>
          <w:sz w:val="26"/>
          <w:szCs w:val="26"/>
        </w:rPr>
        <w:t>class of customer</w:t>
      </w:r>
      <w:r w:rsidR="00BC0825">
        <w:rPr>
          <w:sz w:val="26"/>
          <w:szCs w:val="26"/>
        </w:rPr>
        <w:t>s</w:t>
      </w:r>
      <w:r w:rsidR="00490092">
        <w:rPr>
          <w:sz w:val="26"/>
          <w:szCs w:val="26"/>
        </w:rPr>
        <w:t xml:space="preserve"> with a 95% operational availability</w:t>
      </w:r>
      <w:r w:rsidR="00B70E7A">
        <w:rPr>
          <w:sz w:val="26"/>
          <w:szCs w:val="26"/>
        </w:rPr>
        <w:t xml:space="preserve"> with 5% downtime</w:t>
      </w:r>
      <w:r w:rsidR="00490092">
        <w:rPr>
          <w:sz w:val="26"/>
          <w:szCs w:val="26"/>
        </w:rPr>
        <w:t xml:space="preserve">.  </w:t>
      </w:r>
      <w:r w:rsidR="00D77AB4">
        <w:rPr>
          <w:sz w:val="26"/>
          <w:szCs w:val="26"/>
        </w:rPr>
        <w:t xml:space="preserve">Duquesne </w:t>
      </w:r>
      <w:r w:rsidR="00490092">
        <w:rPr>
          <w:sz w:val="26"/>
          <w:szCs w:val="26"/>
        </w:rPr>
        <w:t xml:space="preserve">disagreed with </w:t>
      </w:r>
      <w:r w:rsidR="00BC0825">
        <w:rPr>
          <w:sz w:val="26"/>
          <w:szCs w:val="26"/>
        </w:rPr>
        <w:t xml:space="preserve">Mr. Crist’s </w:t>
      </w:r>
      <w:r w:rsidR="00490092">
        <w:rPr>
          <w:sz w:val="26"/>
          <w:szCs w:val="26"/>
        </w:rPr>
        <w:t>analysis</w:t>
      </w:r>
      <w:r w:rsidR="00BC0825">
        <w:rPr>
          <w:sz w:val="26"/>
          <w:szCs w:val="26"/>
        </w:rPr>
        <w:t xml:space="preserve">.  </w:t>
      </w:r>
      <w:r w:rsidR="00D77AB4">
        <w:rPr>
          <w:sz w:val="26"/>
          <w:szCs w:val="26"/>
        </w:rPr>
        <w:t>Duquesne Exc. at 34 (citing R.D. at 175).</w:t>
      </w:r>
    </w:p>
    <w:p w:rsidR="00D77AB4" w:rsidRDefault="00D77AB4" w:rsidP="007D3734">
      <w:pPr>
        <w:widowControl/>
        <w:spacing w:line="360" w:lineRule="auto"/>
        <w:contextualSpacing/>
        <w:rPr>
          <w:sz w:val="26"/>
          <w:szCs w:val="26"/>
        </w:rPr>
      </w:pPr>
    </w:p>
    <w:p w:rsidR="00B10402" w:rsidRDefault="00D77AB4" w:rsidP="007D3734">
      <w:pPr>
        <w:widowControl/>
        <w:spacing w:line="360" w:lineRule="auto"/>
        <w:contextualSpacing/>
        <w:rPr>
          <w:sz w:val="26"/>
          <w:szCs w:val="26"/>
        </w:rPr>
      </w:pPr>
      <w:r>
        <w:rPr>
          <w:sz w:val="26"/>
          <w:szCs w:val="26"/>
        </w:rPr>
        <w:tab/>
      </w:r>
      <w:r>
        <w:rPr>
          <w:sz w:val="26"/>
          <w:szCs w:val="26"/>
        </w:rPr>
        <w:tab/>
        <w:t>Duquesne points out that Mr. Crist did not perform a fully-allocated cost of service</w:t>
      </w:r>
      <w:r w:rsidR="001569FB">
        <w:rPr>
          <w:sz w:val="26"/>
          <w:szCs w:val="26"/>
        </w:rPr>
        <w:t xml:space="preserve"> study</w:t>
      </w:r>
      <w:r>
        <w:rPr>
          <w:sz w:val="26"/>
          <w:szCs w:val="26"/>
        </w:rPr>
        <w:t xml:space="preserve">.  Rather, Mr. Crist </w:t>
      </w:r>
      <w:r w:rsidR="00357DCE">
        <w:rPr>
          <w:sz w:val="26"/>
          <w:szCs w:val="26"/>
        </w:rPr>
        <w:t>used Duquesne witness Gorman’s cost of service study</w:t>
      </w:r>
      <w:r w:rsidR="004C6AA9">
        <w:rPr>
          <w:rStyle w:val="FootnoteReference"/>
          <w:sz w:val="26"/>
          <w:szCs w:val="26"/>
        </w:rPr>
        <w:footnoteReference w:id="23"/>
      </w:r>
      <w:r w:rsidR="00357DCE">
        <w:rPr>
          <w:sz w:val="26"/>
          <w:szCs w:val="26"/>
        </w:rPr>
        <w:t xml:space="preserve"> </w:t>
      </w:r>
      <w:r>
        <w:rPr>
          <w:sz w:val="26"/>
          <w:szCs w:val="26"/>
        </w:rPr>
        <w:t xml:space="preserve">for </w:t>
      </w:r>
      <w:r w:rsidR="001F75B6">
        <w:rPr>
          <w:sz w:val="26"/>
          <w:szCs w:val="26"/>
        </w:rPr>
        <w:t>Rider No. 16</w:t>
      </w:r>
      <w:r>
        <w:rPr>
          <w:sz w:val="26"/>
          <w:szCs w:val="26"/>
        </w:rPr>
        <w:t xml:space="preserve"> eligible customer classes and discounted that cost by applying a 5% multiplier.  </w:t>
      </w:r>
      <w:r w:rsidR="008B6E44">
        <w:rPr>
          <w:sz w:val="26"/>
          <w:szCs w:val="26"/>
        </w:rPr>
        <w:t xml:space="preserve">Duquesne notes further that Mr. Crist did not treat the current single </w:t>
      </w:r>
      <w:r w:rsidR="001D1648">
        <w:rPr>
          <w:sz w:val="26"/>
          <w:szCs w:val="26"/>
        </w:rPr>
        <w:t>Rider</w:t>
      </w:r>
      <w:r w:rsidR="001F75B6">
        <w:rPr>
          <w:sz w:val="26"/>
          <w:szCs w:val="26"/>
        </w:rPr>
        <w:t xml:space="preserve"> No. 16</w:t>
      </w:r>
      <w:r w:rsidR="008B6E44">
        <w:rPr>
          <w:sz w:val="26"/>
          <w:szCs w:val="26"/>
        </w:rPr>
        <w:t xml:space="preserve"> customer as a class but recommended that in the future, </w:t>
      </w:r>
      <w:r w:rsidR="008910D6">
        <w:rPr>
          <w:sz w:val="26"/>
          <w:szCs w:val="26"/>
        </w:rPr>
        <w:t>whe</w:t>
      </w:r>
      <w:r w:rsidR="008B6E44">
        <w:rPr>
          <w:sz w:val="26"/>
          <w:szCs w:val="26"/>
        </w:rPr>
        <w:t xml:space="preserve">n there are more </w:t>
      </w:r>
      <w:r w:rsidR="001F75B6">
        <w:rPr>
          <w:sz w:val="26"/>
          <w:szCs w:val="26"/>
        </w:rPr>
        <w:t>Rider No. 16</w:t>
      </w:r>
      <w:r w:rsidR="008B6E44">
        <w:rPr>
          <w:sz w:val="26"/>
          <w:szCs w:val="26"/>
        </w:rPr>
        <w:t xml:space="preserve"> customers, those customers could be treated as a separate class. </w:t>
      </w:r>
      <w:r w:rsidR="008E504D" w:rsidRPr="00354E67">
        <w:rPr>
          <w:sz w:val="26"/>
          <w:szCs w:val="26"/>
        </w:rPr>
        <w:t xml:space="preserve"> </w:t>
      </w:r>
      <w:r w:rsidR="008B6E44">
        <w:rPr>
          <w:sz w:val="26"/>
          <w:szCs w:val="26"/>
        </w:rPr>
        <w:t>Duquesne Exc. at 34-35 (citing Tr. at 588, DII St. 1-S at 11).</w:t>
      </w:r>
    </w:p>
    <w:p w:rsidR="00B10402" w:rsidRDefault="00B10402" w:rsidP="007D3734">
      <w:pPr>
        <w:widowControl/>
        <w:spacing w:line="360" w:lineRule="auto"/>
        <w:contextualSpacing/>
        <w:rPr>
          <w:sz w:val="26"/>
          <w:szCs w:val="26"/>
        </w:rPr>
      </w:pPr>
    </w:p>
    <w:p w:rsidR="003C113D" w:rsidRPr="00B10402" w:rsidRDefault="003C113D" w:rsidP="001635D0">
      <w:pPr>
        <w:pStyle w:val="Heading4"/>
        <w:keepLines/>
        <w:numPr>
          <w:ilvl w:val="0"/>
          <w:numId w:val="29"/>
        </w:numPr>
        <w:ind w:left="2434"/>
      </w:pPr>
      <w:r w:rsidRPr="00B10402">
        <w:t>DII</w:t>
      </w:r>
      <w:r w:rsidR="001E73FA">
        <w:t>’</w:t>
      </w:r>
      <w:r w:rsidRPr="00B10402">
        <w:t>s Replies</w:t>
      </w:r>
    </w:p>
    <w:p w:rsidR="003C113D" w:rsidRPr="003C113D" w:rsidRDefault="003C113D" w:rsidP="001635D0">
      <w:pPr>
        <w:pStyle w:val="ListParagraph"/>
        <w:keepNext/>
        <w:keepLines/>
        <w:widowControl/>
        <w:spacing w:line="360" w:lineRule="auto"/>
        <w:ind w:left="1440"/>
        <w:rPr>
          <w:sz w:val="26"/>
          <w:szCs w:val="26"/>
        </w:rPr>
      </w:pPr>
    </w:p>
    <w:p w:rsidR="00FE2748" w:rsidRDefault="008B6E44" w:rsidP="007D3734">
      <w:pPr>
        <w:widowControl/>
        <w:spacing w:line="360" w:lineRule="auto"/>
        <w:contextualSpacing/>
        <w:rPr>
          <w:sz w:val="26"/>
          <w:szCs w:val="26"/>
        </w:rPr>
      </w:pPr>
      <w:r>
        <w:rPr>
          <w:sz w:val="26"/>
          <w:szCs w:val="26"/>
        </w:rPr>
        <w:tab/>
      </w:r>
      <w:r>
        <w:rPr>
          <w:sz w:val="26"/>
          <w:szCs w:val="26"/>
        </w:rPr>
        <w:tab/>
        <w:t xml:space="preserve">In Reply, DII </w:t>
      </w:r>
      <w:r w:rsidR="00A91F60">
        <w:rPr>
          <w:sz w:val="26"/>
          <w:szCs w:val="26"/>
        </w:rPr>
        <w:t xml:space="preserve">agrees with the ALJ that </w:t>
      </w:r>
      <w:r w:rsidR="00FE2748">
        <w:rPr>
          <w:sz w:val="26"/>
          <w:szCs w:val="26"/>
        </w:rPr>
        <w:t xml:space="preserve">Rider 16 Service customers should be treated as a distinct class.  Regarding cost of service, DII states that it agrees with Duquesne’s stated goal of reaching cost of service.  DII contends that this is why it recommends studying </w:t>
      </w:r>
      <w:r w:rsidR="001D1648">
        <w:rPr>
          <w:sz w:val="26"/>
          <w:szCs w:val="26"/>
        </w:rPr>
        <w:t>Rider</w:t>
      </w:r>
      <w:r w:rsidR="00FE2748">
        <w:rPr>
          <w:sz w:val="26"/>
          <w:szCs w:val="26"/>
        </w:rPr>
        <w:t xml:space="preserve"> No. 16 customers as a class.  DII avers that the class of Rider No 16 customers should bear the appropriate costs of the distribution system, determined </w:t>
      </w:r>
      <w:r w:rsidR="00FE2748">
        <w:rPr>
          <w:sz w:val="26"/>
          <w:szCs w:val="26"/>
        </w:rPr>
        <w:lastRenderedPageBreak/>
        <w:t>by studies that appropriately reflect the non-coincident nature of the individual customer’s reliance on back-up service.  DII R.Exc. at 24.</w:t>
      </w:r>
    </w:p>
    <w:p w:rsidR="00FE2748" w:rsidRDefault="00FE2748" w:rsidP="007D3734">
      <w:pPr>
        <w:widowControl/>
        <w:spacing w:line="360" w:lineRule="auto"/>
        <w:contextualSpacing/>
        <w:rPr>
          <w:sz w:val="26"/>
          <w:szCs w:val="26"/>
        </w:rPr>
      </w:pPr>
    </w:p>
    <w:p w:rsidR="00B10402" w:rsidRDefault="00B10402" w:rsidP="007D3734">
      <w:pPr>
        <w:pStyle w:val="Heading4"/>
        <w:numPr>
          <w:ilvl w:val="0"/>
          <w:numId w:val="29"/>
        </w:numPr>
        <w:ind w:left="2434"/>
      </w:pPr>
      <w:r>
        <w:t xml:space="preserve">Disposition </w:t>
      </w:r>
    </w:p>
    <w:p w:rsidR="008166F3" w:rsidRPr="00A22769" w:rsidRDefault="008166F3" w:rsidP="007D3734">
      <w:pPr>
        <w:widowControl/>
        <w:rPr>
          <w:sz w:val="26"/>
          <w:szCs w:val="26"/>
        </w:rPr>
      </w:pPr>
    </w:p>
    <w:p w:rsidR="008166F3" w:rsidRPr="008166F3" w:rsidRDefault="008166F3" w:rsidP="007D3734">
      <w:pPr>
        <w:widowControl/>
        <w:spacing w:line="360" w:lineRule="auto"/>
        <w:rPr>
          <w:sz w:val="26"/>
          <w:szCs w:val="26"/>
        </w:rPr>
      </w:pPr>
      <w:r>
        <w:rPr>
          <w:sz w:val="26"/>
          <w:szCs w:val="26"/>
        </w:rPr>
        <w:tab/>
      </w:r>
      <w:r>
        <w:rPr>
          <w:sz w:val="26"/>
          <w:szCs w:val="26"/>
        </w:rPr>
        <w:tab/>
      </w:r>
      <w:r w:rsidR="00D9085A">
        <w:rPr>
          <w:sz w:val="26"/>
          <w:szCs w:val="26"/>
        </w:rPr>
        <w:t xml:space="preserve">As noted, Duquesne only has one Rider No. 16 customer.  </w:t>
      </w:r>
      <w:r w:rsidR="00912B32">
        <w:rPr>
          <w:sz w:val="26"/>
          <w:szCs w:val="26"/>
        </w:rPr>
        <w:t xml:space="preserve">As such, we are of the opinion that </w:t>
      </w:r>
      <w:r w:rsidRPr="008166F3">
        <w:rPr>
          <w:sz w:val="26"/>
          <w:szCs w:val="26"/>
        </w:rPr>
        <w:t>one customer does not make a class</w:t>
      </w:r>
      <w:r w:rsidR="00D9085A">
        <w:rPr>
          <w:sz w:val="26"/>
          <w:szCs w:val="26"/>
        </w:rPr>
        <w:t xml:space="preserve"> and that it would be premature to establish a </w:t>
      </w:r>
      <w:r w:rsidR="00074E8F">
        <w:rPr>
          <w:sz w:val="26"/>
          <w:szCs w:val="26"/>
        </w:rPr>
        <w:t xml:space="preserve">separate customer </w:t>
      </w:r>
      <w:r w:rsidR="00D9085A">
        <w:rPr>
          <w:sz w:val="26"/>
          <w:szCs w:val="26"/>
        </w:rPr>
        <w:t>class until such time as additional projects come on line and sufficient operational data is collected</w:t>
      </w:r>
      <w:r w:rsidRPr="008166F3">
        <w:rPr>
          <w:sz w:val="26"/>
          <w:szCs w:val="26"/>
        </w:rPr>
        <w:t xml:space="preserve">.  </w:t>
      </w:r>
      <w:r w:rsidR="000A3222">
        <w:rPr>
          <w:sz w:val="26"/>
          <w:szCs w:val="26"/>
        </w:rPr>
        <w:t xml:space="preserve">Additionally, </w:t>
      </w:r>
      <w:r w:rsidR="00B822EF">
        <w:rPr>
          <w:sz w:val="26"/>
          <w:szCs w:val="26"/>
        </w:rPr>
        <w:t>o</w:t>
      </w:r>
      <w:r w:rsidR="0049684D">
        <w:rPr>
          <w:sz w:val="26"/>
          <w:szCs w:val="26"/>
        </w:rPr>
        <w:t>ther</w:t>
      </w:r>
      <w:r w:rsidR="0060208D">
        <w:rPr>
          <w:sz w:val="26"/>
          <w:szCs w:val="26"/>
        </w:rPr>
        <w:t xml:space="preserve"> </w:t>
      </w:r>
      <w:r w:rsidRPr="008166F3">
        <w:rPr>
          <w:sz w:val="26"/>
          <w:szCs w:val="26"/>
        </w:rPr>
        <w:t xml:space="preserve">proposed </w:t>
      </w:r>
      <w:r w:rsidR="0049684D">
        <w:rPr>
          <w:sz w:val="26"/>
          <w:szCs w:val="26"/>
        </w:rPr>
        <w:t xml:space="preserve">CHP </w:t>
      </w:r>
      <w:r w:rsidRPr="008166F3">
        <w:rPr>
          <w:sz w:val="26"/>
          <w:szCs w:val="26"/>
        </w:rPr>
        <w:t xml:space="preserve">projects have not </w:t>
      </w:r>
      <w:r w:rsidR="0060208D">
        <w:rPr>
          <w:sz w:val="26"/>
          <w:szCs w:val="26"/>
        </w:rPr>
        <w:t xml:space="preserve">yet </w:t>
      </w:r>
      <w:r w:rsidRPr="008166F3">
        <w:rPr>
          <w:sz w:val="26"/>
          <w:szCs w:val="26"/>
        </w:rPr>
        <w:t>been built</w:t>
      </w:r>
      <w:r w:rsidR="0060208D">
        <w:rPr>
          <w:sz w:val="26"/>
          <w:szCs w:val="26"/>
        </w:rPr>
        <w:t xml:space="preserve"> in Duquesne’s territory</w:t>
      </w:r>
      <w:r w:rsidRPr="008166F3">
        <w:rPr>
          <w:sz w:val="26"/>
          <w:szCs w:val="26"/>
        </w:rPr>
        <w:t>, and when they are built</w:t>
      </w:r>
      <w:r w:rsidR="0060208D">
        <w:rPr>
          <w:sz w:val="26"/>
          <w:szCs w:val="26"/>
        </w:rPr>
        <w:t xml:space="preserve">, </w:t>
      </w:r>
      <w:r w:rsidR="00B822EF">
        <w:rPr>
          <w:sz w:val="26"/>
          <w:szCs w:val="26"/>
        </w:rPr>
        <w:t>it is li</w:t>
      </w:r>
      <w:r w:rsidR="00A22FA4">
        <w:rPr>
          <w:sz w:val="26"/>
          <w:szCs w:val="26"/>
        </w:rPr>
        <w:t>kely that actual performance may vary.</w:t>
      </w:r>
      <w:r w:rsidRPr="008166F3">
        <w:rPr>
          <w:sz w:val="26"/>
          <w:szCs w:val="26"/>
        </w:rPr>
        <w:t xml:space="preserve">  </w:t>
      </w:r>
      <w:r w:rsidR="00A22FA4">
        <w:rPr>
          <w:sz w:val="26"/>
          <w:szCs w:val="26"/>
        </w:rPr>
        <w:t>Thus, a</w:t>
      </w:r>
      <w:r w:rsidRPr="008166F3">
        <w:rPr>
          <w:sz w:val="26"/>
          <w:szCs w:val="26"/>
        </w:rPr>
        <w:t>ny new</w:t>
      </w:r>
      <w:r w:rsidR="0060208D">
        <w:rPr>
          <w:sz w:val="26"/>
          <w:szCs w:val="26"/>
        </w:rPr>
        <w:t xml:space="preserve"> Rider No. 16</w:t>
      </w:r>
      <w:r w:rsidRPr="008166F3">
        <w:rPr>
          <w:sz w:val="26"/>
          <w:szCs w:val="26"/>
        </w:rPr>
        <w:t xml:space="preserve"> customers may not have the same </w:t>
      </w:r>
      <w:r w:rsidR="0060208D">
        <w:rPr>
          <w:sz w:val="26"/>
          <w:szCs w:val="26"/>
        </w:rPr>
        <w:t xml:space="preserve">operating </w:t>
      </w:r>
      <w:r w:rsidRPr="008166F3">
        <w:rPr>
          <w:sz w:val="26"/>
          <w:szCs w:val="26"/>
        </w:rPr>
        <w:t xml:space="preserve">profile as </w:t>
      </w:r>
      <w:r w:rsidR="0060208D">
        <w:rPr>
          <w:sz w:val="26"/>
          <w:szCs w:val="26"/>
        </w:rPr>
        <w:t xml:space="preserve">does </w:t>
      </w:r>
      <w:r w:rsidRPr="008166F3">
        <w:rPr>
          <w:sz w:val="26"/>
          <w:szCs w:val="26"/>
        </w:rPr>
        <w:t xml:space="preserve">the existing </w:t>
      </w:r>
      <w:r w:rsidR="001D1648">
        <w:rPr>
          <w:sz w:val="26"/>
          <w:szCs w:val="26"/>
        </w:rPr>
        <w:t>Rider</w:t>
      </w:r>
      <w:r w:rsidR="001F75B6">
        <w:rPr>
          <w:sz w:val="26"/>
          <w:szCs w:val="26"/>
        </w:rPr>
        <w:t xml:space="preserve"> No. 16</w:t>
      </w:r>
      <w:r w:rsidRPr="008166F3">
        <w:rPr>
          <w:sz w:val="26"/>
          <w:szCs w:val="26"/>
        </w:rPr>
        <w:t xml:space="preserve"> customer</w:t>
      </w:r>
      <w:r w:rsidR="0060208D">
        <w:rPr>
          <w:sz w:val="26"/>
          <w:szCs w:val="26"/>
        </w:rPr>
        <w:t xml:space="preserve"> such as </w:t>
      </w:r>
      <w:r w:rsidRPr="008166F3">
        <w:rPr>
          <w:sz w:val="26"/>
          <w:szCs w:val="26"/>
        </w:rPr>
        <w:t>outage rates, peak demand size and time</w:t>
      </w:r>
      <w:r w:rsidR="00492088">
        <w:rPr>
          <w:sz w:val="26"/>
          <w:szCs w:val="26"/>
        </w:rPr>
        <w:t xml:space="preserve"> of </w:t>
      </w:r>
      <w:r w:rsidR="006B3D0F">
        <w:rPr>
          <w:sz w:val="26"/>
          <w:szCs w:val="26"/>
        </w:rPr>
        <w:t>outage occurrence</w:t>
      </w:r>
      <w:r w:rsidRPr="008166F3">
        <w:rPr>
          <w:sz w:val="26"/>
          <w:szCs w:val="26"/>
        </w:rPr>
        <w:t xml:space="preserve">.  </w:t>
      </w:r>
      <w:r w:rsidR="00492088">
        <w:rPr>
          <w:sz w:val="26"/>
          <w:szCs w:val="26"/>
        </w:rPr>
        <w:t>Since w</w:t>
      </w:r>
      <w:r w:rsidRPr="008166F3">
        <w:rPr>
          <w:sz w:val="26"/>
          <w:szCs w:val="26"/>
        </w:rPr>
        <w:t>e do</w:t>
      </w:r>
      <w:r w:rsidR="00A22FA4">
        <w:rPr>
          <w:sz w:val="26"/>
          <w:szCs w:val="26"/>
        </w:rPr>
        <w:t xml:space="preserve"> </w:t>
      </w:r>
      <w:r w:rsidRPr="008166F3">
        <w:rPr>
          <w:sz w:val="26"/>
          <w:szCs w:val="26"/>
        </w:rPr>
        <w:t>n</w:t>
      </w:r>
      <w:r w:rsidR="00A22FA4">
        <w:rPr>
          <w:sz w:val="26"/>
          <w:szCs w:val="26"/>
        </w:rPr>
        <w:t>o</w:t>
      </w:r>
      <w:r w:rsidRPr="008166F3">
        <w:rPr>
          <w:sz w:val="26"/>
          <w:szCs w:val="26"/>
        </w:rPr>
        <w:t xml:space="preserve">t know the diversity of a potential class for </w:t>
      </w:r>
      <w:r w:rsidR="001D1648">
        <w:rPr>
          <w:sz w:val="26"/>
          <w:szCs w:val="26"/>
        </w:rPr>
        <w:t>Rider</w:t>
      </w:r>
      <w:r w:rsidR="001F75B6">
        <w:rPr>
          <w:sz w:val="26"/>
          <w:szCs w:val="26"/>
        </w:rPr>
        <w:t xml:space="preserve"> No.</w:t>
      </w:r>
      <w:r w:rsidR="00A22FA4">
        <w:rPr>
          <w:sz w:val="26"/>
          <w:szCs w:val="26"/>
        </w:rPr>
        <w:t> </w:t>
      </w:r>
      <w:r w:rsidR="001F75B6">
        <w:rPr>
          <w:sz w:val="26"/>
          <w:szCs w:val="26"/>
        </w:rPr>
        <w:t>16</w:t>
      </w:r>
      <w:r w:rsidRPr="008166F3">
        <w:rPr>
          <w:sz w:val="26"/>
          <w:szCs w:val="26"/>
        </w:rPr>
        <w:t xml:space="preserve"> customers</w:t>
      </w:r>
      <w:r w:rsidR="00492088">
        <w:rPr>
          <w:sz w:val="26"/>
          <w:szCs w:val="26"/>
        </w:rPr>
        <w:t>, i</w:t>
      </w:r>
      <w:r w:rsidRPr="008166F3">
        <w:rPr>
          <w:sz w:val="26"/>
          <w:szCs w:val="26"/>
        </w:rPr>
        <w:t xml:space="preserve">t is too early </w:t>
      </w:r>
      <w:r w:rsidR="008A357D">
        <w:rPr>
          <w:sz w:val="26"/>
          <w:szCs w:val="26"/>
        </w:rPr>
        <w:t xml:space="preserve">at this time </w:t>
      </w:r>
      <w:r w:rsidRPr="008166F3">
        <w:rPr>
          <w:sz w:val="26"/>
          <w:szCs w:val="26"/>
        </w:rPr>
        <w:t xml:space="preserve">to </w:t>
      </w:r>
      <w:r w:rsidR="00492088">
        <w:rPr>
          <w:sz w:val="26"/>
          <w:szCs w:val="26"/>
        </w:rPr>
        <w:t xml:space="preserve">characterize a class of </w:t>
      </w:r>
      <w:r w:rsidRPr="008166F3">
        <w:rPr>
          <w:sz w:val="26"/>
          <w:szCs w:val="26"/>
        </w:rPr>
        <w:t>CHP customers</w:t>
      </w:r>
      <w:r w:rsidR="006B3D0F">
        <w:rPr>
          <w:sz w:val="26"/>
          <w:szCs w:val="26"/>
        </w:rPr>
        <w:t xml:space="preserve"> without </w:t>
      </w:r>
      <w:r w:rsidRPr="008166F3">
        <w:rPr>
          <w:sz w:val="26"/>
          <w:szCs w:val="26"/>
        </w:rPr>
        <w:t xml:space="preserve">actual performance </w:t>
      </w:r>
      <w:r w:rsidR="006B3D0F">
        <w:rPr>
          <w:sz w:val="26"/>
          <w:szCs w:val="26"/>
        </w:rPr>
        <w:t>data</w:t>
      </w:r>
      <w:r w:rsidRPr="008166F3">
        <w:rPr>
          <w:sz w:val="26"/>
          <w:szCs w:val="26"/>
        </w:rPr>
        <w:t xml:space="preserve">.  </w:t>
      </w:r>
      <w:r w:rsidR="006B3D0F">
        <w:rPr>
          <w:sz w:val="26"/>
          <w:szCs w:val="26"/>
        </w:rPr>
        <w:t xml:space="preserve">Therefore, </w:t>
      </w:r>
      <w:r w:rsidR="00074E8F">
        <w:rPr>
          <w:sz w:val="26"/>
          <w:szCs w:val="26"/>
        </w:rPr>
        <w:t xml:space="preserve">we shall grant </w:t>
      </w:r>
      <w:r w:rsidRPr="008166F3">
        <w:rPr>
          <w:sz w:val="26"/>
          <w:szCs w:val="26"/>
        </w:rPr>
        <w:t>Duquesne</w:t>
      </w:r>
      <w:r w:rsidR="001E73FA">
        <w:rPr>
          <w:sz w:val="26"/>
          <w:szCs w:val="26"/>
        </w:rPr>
        <w:t>’</w:t>
      </w:r>
      <w:r w:rsidRPr="008166F3">
        <w:rPr>
          <w:sz w:val="26"/>
          <w:szCs w:val="26"/>
        </w:rPr>
        <w:t>s Exception No. 5</w:t>
      </w:r>
      <w:r w:rsidR="00074E8F">
        <w:rPr>
          <w:sz w:val="26"/>
          <w:szCs w:val="26"/>
        </w:rPr>
        <w:t xml:space="preserve"> and reverse the ALJ’s recommendation on this matter.</w:t>
      </w:r>
    </w:p>
    <w:p w:rsidR="00354E67" w:rsidRPr="007E0451" w:rsidRDefault="00354E67" w:rsidP="00AB6758">
      <w:pPr>
        <w:pStyle w:val="ListParagraph"/>
        <w:widowControl/>
        <w:spacing w:line="360" w:lineRule="auto"/>
        <w:ind w:left="0"/>
        <w:rPr>
          <w:sz w:val="26"/>
          <w:szCs w:val="26"/>
        </w:rPr>
      </w:pPr>
    </w:p>
    <w:p w:rsidR="00B10402" w:rsidRDefault="00B10402" w:rsidP="007D3734">
      <w:pPr>
        <w:pStyle w:val="Heading3"/>
        <w:widowControl/>
        <w:ind w:left="1440" w:hanging="720"/>
      </w:pPr>
      <w:bookmarkStart w:id="63" w:name="_Toc531091840"/>
      <w:bookmarkStart w:id="64" w:name="_Toc532905980"/>
      <w:r>
        <w:t xml:space="preserve">10. </w:t>
      </w:r>
      <w:r w:rsidR="00EB7C53">
        <w:tab/>
      </w:r>
      <w:r w:rsidR="009F36B2">
        <w:t>DII</w:t>
      </w:r>
      <w:r w:rsidR="001E73FA">
        <w:t>’</w:t>
      </w:r>
      <w:r w:rsidR="008B6E44" w:rsidRPr="003C113D">
        <w:t>s</w:t>
      </w:r>
      <w:r w:rsidR="00354E67" w:rsidRPr="003C113D">
        <w:t xml:space="preserve"> Exception No. 1 </w:t>
      </w:r>
      <w:r w:rsidR="00C402CE" w:rsidRPr="003C113D">
        <w:t>Regarding a Separate Maintenance Rate</w:t>
      </w:r>
      <w:bookmarkEnd w:id="63"/>
      <w:bookmarkEnd w:id="64"/>
    </w:p>
    <w:p w:rsidR="008A357D" w:rsidRPr="00D32E33" w:rsidRDefault="008A357D" w:rsidP="007D3734">
      <w:pPr>
        <w:pStyle w:val="ListParagraph"/>
        <w:keepNext/>
        <w:keepLines/>
        <w:widowControl/>
        <w:spacing w:line="360" w:lineRule="auto"/>
        <w:ind w:left="1440"/>
        <w:rPr>
          <w:sz w:val="26"/>
          <w:szCs w:val="26"/>
        </w:rPr>
      </w:pPr>
    </w:p>
    <w:p w:rsidR="003C113D" w:rsidRDefault="00B10402" w:rsidP="007D3734">
      <w:pPr>
        <w:pStyle w:val="Heading4"/>
        <w:numPr>
          <w:ilvl w:val="0"/>
          <w:numId w:val="32"/>
        </w:numPr>
        <w:ind w:left="2434"/>
      </w:pPr>
      <w:r>
        <w:t>D</w:t>
      </w:r>
      <w:r w:rsidR="003C113D">
        <w:t>II</w:t>
      </w:r>
      <w:r w:rsidR="001E73FA">
        <w:t>’</w:t>
      </w:r>
      <w:r w:rsidR="003C113D">
        <w:t xml:space="preserve">s Exception No. </w:t>
      </w:r>
      <w:r w:rsidR="007E0451">
        <w:t>1</w:t>
      </w:r>
    </w:p>
    <w:p w:rsidR="003C113D" w:rsidRDefault="003C113D" w:rsidP="007D3734">
      <w:pPr>
        <w:pStyle w:val="ListParagraph"/>
        <w:keepNext/>
        <w:keepLines/>
        <w:widowControl/>
        <w:spacing w:line="360" w:lineRule="auto"/>
        <w:ind w:left="1440"/>
        <w:rPr>
          <w:sz w:val="26"/>
          <w:szCs w:val="26"/>
        </w:rPr>
      </w:pPr>
    </w:p>
    <w:p w:rsidR="00B6223A" w:rsidRDefault="00354E67" w:rsidP="007D3734">
      <w:pPr>
        <w:widowControl/>
        <w:spacing w:line="360" w:lineRule="auto"/>
        <w:contextualSpacing/>
        <w:rPr>
          <w:sz w:val="26"/>
          <w:szCs w:val="26"/>
        </w:rPr>
      </w:pPr>
      <w:r>
        <w:tab/>
      </w:r>
      <w:r>
        <w:tab/>
      </w:r>
      <w:r w:rsidR="009F36B2">
        <w:rPr>
          <w:sz w:val="26"/>
          <w:szCs w:val="26"/>
        </w:rPr>
        <w:t>DII</w:t>
      </w:r>
      <w:r w:rsidRPr="00354E67">
        <w:rPr>
          <w:sz w:val="26"/>
          <w:szCs w:val="26"/>
        </w:rPr>
        <w:t xml:space="preserve"> alleges that the ALJ erred in recommending</w:t>
      </w:r>
      <w:r w:rsidR="00A375B7">
        <w:rPr>
          <w:sz w:val="26"/>
          <w:szCs w:val="26"/>
        </w:rPr>
        <w:t xml:space="preserve"> that</w:t>
      </w:r>
      <w:r w:rsidRPr="00354E67">
        <w:rPr>
          <w:sz w:val="26"/>
          <w:szCs w:val="26"/>
        </w:rPr>
        <w:t xml:space="preserve"> the Commission not require a separate maintenance rate</w:t>
      </w:r>
      <w:r w:rsidR="008910D6">
        <w:rPr>
          <w:sz w:val="26"/>
          <w:szCs w:val="26"/>
        </w:rPr>
        <w:t xml:space="preserve"> for </w:t>
      </w:r>
      <w:r w:rsidR="001D1648">
        <w:rPr>
          <w:sz w:val="26"/>
          <w:szCs w:val="26"/>
        </w:rPr>
        <w:t>Rider</w:t>
      </w:r>
      <w:r w:rsidR="001F75B6">
        <w:rPr>
          <w:sz w:val="26"/>
          <w:szCs w:val="26"/>
        </w:rPr>
        <w:t xml:space="preserve"> No. 16</w:t>
      </w:r>
      <w:r w:rsidRPr="00354E67">
        <w:rPr>
          <w:sz w:val="26"/>
          <w:szCs w:val="26"/>
        </w:rPr>
        <w:t xml:space="preserve">.  </w:t>
      </w:r>
      <w:r w:rsidR="009F36B2">
        <w:rPr>
          <w:sz w:val="26"/>
          <w:szCs w:val="26"/>
        </w:rPr>
        <w:t>DII</w:t>
      </w:r>
      <w:r w:rsidR="00C30237">
        <w:rPr>
          <w:sz w:val="26"/>
          <w:szCs w:val="26"/>
        </w:rPr>
        <w:t xml:space="preserve"> provides that </w:t>
      </w:r>
      <w:r w:rsidR="00BF4EEB">
        <w:rPr>
          <w:sz w:val="26"/>
          <w:szCs w:val="26"/>
        </w:rPr>
        <w:t>a planned maintenance rate encourages coordination</w:t>
      </w:r>
      <w:r w:rsidR="00A375B7">
        <w:rPr>
          <w:sz w:val="26"/>
          <w:szCs w:val="26"/>
        </w:rPr>
        <w:t xml:space="preserve"> of outages with the EDC</w:t>
      </w:r>
      <w:r w:rsidR="00BF4EEB">
        <w:rPr>
          <w:sz w:val="26"/>
          <w:szCs w:val="26"/>
        </w:rPr>
        <w:t xml:space="preserve">, so </w:t>
      </w:r>
      <w:r w:rsidR="00A375B7">
        <w:rPr>
          <w:sz w:val="26"/>
          <w:szCs w:val="26"/>
        </w:rPr>
        <w:t xml:space="preserve">that </w:t>
      </w:r>
      <w:r w:rsidR="00BF4EEB">
        <w:rPr>
          <w:sz w:val="26"/>
          <w:szCs w:val="26"/>
        </w:rPr>
        <w:t xml:space="preserve">maintenance of onsite generation systems is performed at a mutually beneficial time for the customer and the local distribution utility.  </w:t>
      </w:r>
      <w:r w:rsidR="009F36B2">
        <w:rPr>
          <w:sz w:val="26"/>
          <w:szCs w:val="26"/>
        </w:rPr>
        <w:t>DII</w:t>
      </w:r>
      <w:r w:rsidR="00BF4EEB">
        <w:rPr>
          <w:sz w:val="26"/>
          <w:szCs w:val="26"/>
        </w:rPr>
        <w:t xml:space="preserve"> maintains that the RAP Study indicates that daily maintenance rates should be lower than daily standby rates, accounting for the fact that </w:t>
      </w:r>
      <w:r w:rsidR="001E73FA">
        <w:rPr>
          <w:sz w:val="26"/>
          <w:szCs w:val="26"/>
        </w:rPr>
        <w:t>“</w:t>
      </w:r>
      <w:r w:rsidR="00BF4EEB">
        <w:rPr>
          <w:sz w:val="26"/>
          <w:szCs w:val="26"/>
        </w:rPr>
        <w:t>maintenance outages</w:t>
      </w:r>
      <w:r w:rsidR="00A375B7">
        <w:rPr>
          <w:sz w:val="26"/>
          <w:szCs w:val="26"/>
        </w:rPr>
        <w:t xml:space="preserve"> . . . </w:t>
      </w:r>
      <w:r w:rsidR="00BF4EEB">
        <w:rPr>
          <w:sz w:val="26"/>
          <w:szCs w:val="26"/>
        </w:rPr>
        <w:t xml:space="preserve">would be coordinated with the utility and scheduled during </w:t>
      </w:r>
      <w:r w:rsidR="00BF4EEB">
        <w:rPr>
          <w:sz w:val="26"/>
          <w:szCs w:val="26"/>
        </w:rPr>
        <w:lastRenderedPageBreak/>
        <w:t>periods when system generation requirements are low.</w:t>
      </w:r>
      <w:r w:rsidR="001E73FA">
        <w:rPr>
          <w:sz w:val="26"/>
          <w:szCs w:val="26"/>
        </w:rPr>
        <w:t>”</w:t>
      </w:r>
      <w:r w:rsidR="00BF4EEB">
        <w:rPr>
          <w:sz w:val="26"/>
          <w:szCs w:val="26"/>
        </w:rPr>
        <w:t xml:space="preserve">  DII Exc. at 4 (citing Exhibit No. JWS-6 at 5).  </w:t>
      </w:r>
    </w:p>
    <w:p w:rsidR="00B6223A" w:rsidRDefault="00B6223A" w:rsidP="007D3734">
      <w:pPr>
        <w:widowControl/>
        <w:spacing w:line="360" w:lineRule="auto"/>
        <w:contextualSpacing/>
        <w:rPr>
          <w:sz w:val="26"/>
          <w:szCs w:val="26"/>
        </w:rPr>
      </w:pPr>
    </w:p>
    <w:p w:rsidR="00354E67" w:rsidRDefault="00B6223A" w:rsidP="007D3734">
      <w:pPr>
        <w:widowControl/>
        <w:spacing w:line="360" w:lineRule="auto"/>
        <w:contextualSpacing/>
        <w:rPr>
          <w:sz w:val="26"/>
          <w:szCs w:val="26"/>
        </w:rPr>
      </w:pPr>
      <w:r>
        <w:rPr>
          <w:sz w:val="26"/>
          <w:szCs w:val="26"/>
        </w:rPr>
        <w:tab/>
      </w:r>
      <w:r>
        <w:rPr>
          <w:sz w:val="26"/>
          <w:szCs w:val="26"/>
        </w:rPr>
        <w:tab/>
      </w:r>
      <w:r w:rsidR="009F36B2">
        <w:rPr>
          <w:sz w:val="26"/>
          <w:szCs w:val="26"/>
        </w:rPr>
        <w:t>DII</w:t>
      </w:r>
      <w:r w:rsidR="00574479">
        <w:rPr>
          <w:sz w:val="26"/>
          <w:szCs w:val="26"/>
        </w:rPr>
        <w:t xml:space="preserve"> maintains that a p</w:t>
      </w:r>
      <w:r w:rsidR="001B0FD7">
        <w:rPr>
          <w:sz w:val="26"/>
          <w:szCs w:val="26"/>
        </w:rPr>
        <w:t>l</w:t>
      </w:r>
      <w:r w:rsidR="00574479">
        <w:rPr>
          <w:sz w:val="26"/>
          <w:szCs w:val="26"/>
        </w:rPr>
        <w:t>anned maintenance rate provides customer-</w:t>
      </w:r>
      <w:r w:rsidR="001B0FD7">
        <w:rPr>
          <w:sz w:val="26"/>
          <w:szCs w:val="26"/>
        </w:rPr>
        <w:t>generators</w:t>
      </w:r>
      <w:r w:rsidR="00574479">
        <w:rPr>
          <w:sz w:val="26"/>
          <w:szCs w:val="26"/>
        </w:rPr>
        <w:t xml:space="preserve"> </w:t>
      </w:r>
      <w:r w:rsidR="001B0FD7">
        <w:rPr>
          <w:sz w:val="26"/>
          <w:szCs w:val="26"/>
        </w:rPr>
        <w:t>reliability</w:t>
      </w:r>
      <w:r w:rsidR="00574479">
        <w:rPr>
          <w:sz w:val="26"/>
          <w:szCs w:val="26"/>
        </w:rPr>
        <w:t xml:space="preserve"> benefit</w:t>
      </w:r>
      <w:r w:rsidR="00723951">
        <w:rPr>
          <w:sz w:val="26"/>
          <w:szCs w:val="26"/>
        </w:rPr>
        <w:t xml:space="preserve">s.  First, DII suggests a </w:t>
      </w:r>
      <w:r w:rsidR="00574479">
        <w:rPr>
          <w:sz w:val="26"/>
          <w:szCs w:val="26"/>
        </w:rPr>
        <w:t xml:space="preserve">separate and lower rate for maintenance service </w:t>
      </w:r>
      <w:r w:rsidR="00A22692">
        <w:rPr>
          <w:sz w:val="26"/>
          <w:szCs w:val="26"/>
        </w:rPr>
        <w:t xml:space="preserve">that would </w:t>
      </w:r>
      <w:r w:rsidR="00574479">
        <w:rPr>
          <w:sz w:val="26"/>
          <w:szCs w:val="26"/>
        </w:rPr>
        <w:t xml:space="preserve">encourage routine </w:t>
      </w:r>
      <w:r w:rsidR="001B0FD7">
        <w:rPr>
          <w:sz w:val="26"/>
          <w:szCs w:val="26"/>
        </w:rPr>
        <w:t>maintenance</w:t>
      </w:r>
      <w:r w:rsidR="00574479">
        <w:rPr>
          <w:sz w:val="26"/>
          <w:szCs w:val="26"/>
        </w:rPr>
        <w:t xml:space="preserve"> of the distributed generation units</w:t>
      </w:r>
      <w:r w:rsidR="00A22692">
        <w:rPr>
          <w:sz w:val="26"/>
          <w:szCs w:val="26"/>
        </w:rPr>
        <w:t xml:space="preserve"> and </w:t>
      </w:r>
      <w:r w:rsidR="00574479">
        <w:rPr>
          <w:sz w:val="26"/>
          <w:szCs w:val="26"/>
        </w:rPr>
        <w:t>increas</w:t>
      </w:r>
      <w:r w:rsidR="00A22692">
        <w:rPr>
          <w:sz w:val="26"/>
          <w:szCs w:val="26"/>
        </w:rPr>
        <w:t>e</w:t>
      </w:r>
      <w:r w:rsidR="00574479">
        <w:rPr>
          <w:sz w:val="26"/>
          <w:szCs w:val="26"/>
        </w:rPr>
        <w:t xml:space="preserve"> lon</w:t>
      </w:r>
      <w:r w:rsidR="001B0FD7">
        <w:rPr>
          <w:sz w:val="26"/>
          <w:szCs w:val="26"/>
        </w:rPr>
        <w:t>g</w:t>
      </w:r>
      <w:r w:rsidR="00574479">
        <w:rPr>
          <w:sz w:val="26"/>
          <w:szCs w:val="26"/>
        </w:rPr>
        <w:t>-term</w:t>
      </w:r>
      <w:r w:rsidR="001B0FD7">
        <w:rPr>
          <w:sz w:val="26"/>
          <w:szCs w:val="26"/>
        </w:rPr>
        <w:t xml:space="preserve"> availability</w:t>
      </w:r>
      <w:r w:rsidR="00574479">
        <w:rPr>
          <w:sz w:val="26"/>
          <w:szCs w:val="26"/>
        </w:rPr>
        <w:t xml:space="preserve"> and reliability </w:t>
      </w:r>
      <w:r w:rsidR="001B0FD7">
        <w:rPr>
          <w:sz w:val="26"/>
          <w:szCs w:val="26"/>
        </w:rPr>
        <w:t>of</w:t>
      </w:r>
      <w:r w:rsidR="00574479">
        <w:rPr>
          <w:sz w:val="26"/>
          <w:szCs w:val="26"/>
        </w:rPr>
        <w:t xml:space="preserve"> the generation as</w:t>
      </w:r>
      <w:r w:rsidR="001B0FD7">
        <w:rPr>
          <w:sz w:val="26"/>
          <w:szCs w:val="26"/>
        </w:rPr>
        <w:t xml:space="preserve"> a whole.  DII </w:t>
      </w:r>
      <w:r w:rsidR="00A22692">
        <w:rPr>
          <w:sz w:val="26"/>
          <w:szCs w:val="26"/>
        </w:rPr>
        <w:t xml:space="preserve">references its </w:t>
      </w:r>
      <w:r w:rsidR="001B0FD7">
        <w:rPr>
          <w:sz w:val="26"/>
          <w:szCs w:val="26"/>
        </w:rPr>
        <w:t xml:space="preserve">witness Crist </w:t>
      </w:r>
      <w:r w:rsidR="00A97F56">
        <w:rPr>
          <w:sz w:val="26"/>
          <w:szCs w:val="26"/>
        </w:rPr>
        <w:t xml:space="preserve">testimony in which he </w:t>
      </w:r>
      <w:r w:rsidR="001B0FD7">
        <w:rPr>
          <w:sz w:val="26"/>
          <w:szCs w:val="26"/>
        </w:rPr>
        <w:t xml:space="preserve">noted that setting the maintenance rate lower than the back-up rate </w:t>
      </w:r>
      <w:r w:rsidR="00A97F56">
        <w:rPr>
          <w:sz w:val="26"/>
          <w:szCs w:val="26"/>
        </w:rPr>
        <w:t xml:space="preserve">would </w:t>
      </w:r>
      <w:r w:rsidR="001B0FD7">
        <w:rPr>
          <w:sz w:val="26"/>
          <w:szCs w:val="26"/>
        </w:rPr>
        <w:t>encourage customers to engage in necessary maintenance to avoid unplanned outages.  DII Exc. at 5 (citing DII St. 1 at 26</w:t>
      </w:r>
      <w:r w:rsidR="008910D6">
        <w:rPr>
          <w:sz w:val="26"/>
          <w:szCs w:val="26"/>
        </w:rPr>
        <w:t>)</w:t>
      </w:r>
      <w:r w:rsidR="001B0FD7">
        <w:rPr>
          <w:sz w:val="26"/>
          <w:szCs w:val="26"/>
        </w:rPr>
        <w:t xml:space="preserve">.  </w:t>
      </w:r>
      <w:r w:rsidR="009F36B2">
        <w:rPr>
          <w:sz w:val="26"/>
          <w:szCs w:val="26"/>
        </w:rPr>
        <w:t>DII</w:t>
      </w:r>
      <w:r w:rsidR="00297789">
        <w:rPr>
          <w:sz w:val="26"/>
          <w:szCs w:val="26"/>
        </w:rPr>
        <w:t xml:space="preserve"> continues by noting that a separate and lower rate for maintenance service encourages customers with onsite generation to keep their generation running at utility peak periods.  DII Exc. at 5 (citing Peoples St. 2 at 22).</w:t>
      </w:r>
    </w:p>
    <w:p w:rsidR="00297789" w:rsidRDefault="00297789" w:rsidP="007D3734">
      <w:pPr>
        <w:widowControl/>
        <w:spacing w:line="360" w:lineRule="auto"/>
        <w:contextualSpacing/>
        <w:rPr>
          <w:sz w:val="26"/>
          <w:szCs w:val="26"/>
        </w:rPr>
      </w:pPr>
    </w:p>
    <w:p w:rsidR="00297789" w:rsidRDefault="00297789" w:rsidP="007D3734">
      <w:pPr>
        <w:widowControl/>
        <w:spacing w:line="360" w:lineRule="auto"/>
        <w:contextualSpacing/>
        <w:rPr>
          <w:sz w:val="26"/>
          <w:szCs w:val="26"/>
        </w:rPr>
      </w:pPr>
      <w:r>
        <w:rPr>
          <w:sz w:val="26"/>
          <w:szCs w:val="26"/>
        </w:rPr>
        <w:tab/>
      </w:r>
      <w:r w:rsidR="006E311E">
        <w:rPr>
          <w:sz w:val="26"/>
          <w:szCs w:val="26"/>
        </w:rPr>
        <w:tab/>
      </w:r>
      <w:r>
        <w:rPr>
          <w:sz w:val="26"/>
          <w:szCs w:val="26"/>
        </w:rPr>
        <w:t xml:space="preserve">According to </w:t>
      </w:r>
      <w:r w:rsidR="009F36B2">
        <w:rPr>
          <w:sz w:val="26"/>
          <w:szCs w:val="26"/>
        </w:rPr>
        <w:t>DII</w:t>
      </w:r>
      <w:r>
        <w:rPr>
          <w:sz w:val="26"/>
          <w:szCs w:val="26"/>
        </w:rPr>
        <w:t>, a separate rate for planned maintenance would allow for the development of clear reliability data by distinguishing between forced outages and scheduled maintenance.  DII contends that this would assist the Commission and the utility in developing true cost-based rates in future proceedings.  DII Exc. at 6.</w:t>
      </w:r>
    </w:p>
    <w:p w:rsidR="00B10402" w:rsidRDefault="00B10402" w:rsidP="007D3734">
      <w:pPr>
        <w:widowControl/>
        <w:spacing w:line="360" w:lineRule="auto"/>
        <w:contextualSpacing/>
        <w:rPr>
          <w:sz w:val="26"/>
          <w:szCs w:val="26"/>
        </w:rPr>
      </w:pPr>
    </w:p>
    <w:p w:rsidR="003C113D" w:rsidRPr="00B10402" w:rsidRDefault="00B10402" w:rsidP="00AB6758">
      <w:pPr>
        <w:pStyle w:val="Heading4"/>
        <w:keepLines/>
        <w:numPr>
          <w:ilvl w:val="0"/>
          <w:numId w:val="32"/>
        </w:numPr>
        <w:ind w:left="2434"/>
      </w:pPr>
      <w:r>
        <w:t>Duquesne</w:t>
      </w:r>
      <w:r w:rsidR="001E73FA">
        <w:t>’</w:t>
      </w:r>
      <w:r>
        <w:t>s Repli</w:t>
      </w:r>
      <w:r w:rsidR="003C113D" w:rsidRPr="00B10402">
        <w:t>es</w:t>
      </w:r>
    </w:p>
    <w:p w:rsidR="003C113D" w:rsidRPr="003C113D" w:rsidRDefault="003C113D" w:rsidP="00AB6758">
      <w:pPr>
        <w:keepNext/>
        <w:keepLines/>
        <w:widowControl/>
        <w:spacing w:line="360" w:lineRule="auto"/>
        <w:contextualSpacing/>
        <w:rPr>
          <w:sz w:val="26"/>
          <w:szCs w:val="26"/>
        </w:rPr>
      </w:pPr>
    </w:p>
    <w:p w:rsidR="00B34203" w:rsidRDefault="00B34203" w:rsidP="007D3734">
      <w:pPr>
        <w:widowControl/>
        <w:spacing w:line="360" w:lineRule="auto"/>
        <w:contextualSpacing/>
        <w:rPr>
          <w:sz w:val="26"/>
          <w:szCs w:val="26"/>
        </w:rPr>
      </w:pPr>
      <w:r>
        <w:rPr>
          <w:sz w:val="26"/>
          <w:szCs w:val="26"/>
        </w:rPr>
        <w:tab/>
      </w:r>
      <w:r>
        <w:rPr>
          <w:sz w:val="26"/>
          <w:szCs w:val="26"/>
        </w:rPr>
        <w:tab/>
        <w:t xml:space="preserve">In its Reply, Duquesne </w:t>
      </w:r>
      <w:r w:rsidR="00071A87">
        <w:rPr>
          <w:sz w:val="26"/>
          <w:szCs w:val="26"/>
        </w:rPr>
        <w:t xml:space="preserve">contends that unplanned outages </w:t>
      </w:r>
      <w:r w:rsidR="009C143F">
        <w:rPr>
          <w:sz w:val="26"/>
          <w:szCs w:val="26"/>
        </w:rPr>
        <w:t xml:space="preserve">for </w:t>
      </w:r>
      <w:r w:rsidR="001F75B6">
        <w:rPr>
          <w:sz w:val="26"/>
          <w:szCs w:val="26"/>
        </w:rPr>
        <w:t>Rider No. 16</w:t>
      </w:r>
      <w:r w:rsidR="009C143F">
        <w:rPr>
          <w:sz w:val="26"/>
          <w:szCs w:val="26"/>
        </w:rPr>
        <w:t xml:space="preserve"> customers can</w:t>
      </w:r>
      <w:r w:rsidR="00071A87">
        <w:rPr>
          <w:sz w:val="26"/>
          <w:szCs w:val="26"/>
        </w:rPr>
        <w:t xml:space="preserve"> and d</w:t>
      </w:r>
      <w:r w:rsidR="009C143F">
        <w:rPr>
          <w:sz w:val="26"/>
          <w:szCs w:val="26"/>
        </w:rPr>
        <w:t>o</w:t>
      </w:r>
      <w:r w:rsidR="00071A87">
        <w:rPr>
          <w:sz w:val="26"/>
          <w:szCs w:val="26"/>
        </w:rPr>
        <w:t xml:space="preserve"> occur during on-peak periods, and </w:t>
      </w:r>
      <w:r w:rsidR="009C143F">
        <w:rPr>
          <w:sz w:val="26"/>
          <w:szCs w:val="26"/>
        </w:rPr>
        <w:t>there</w:t>
      </w:r>
      <w:r w:rsidR="00071A87">
        <w:rPr>
          <w:sz w:val="26"/>
          <w:szCs w:val="26"/>
        </w:rPr>
        <w:t xml:space="preserve"> is no valid cos</w:t>
      </w:r>
      <w:r w:rsidR="009C143F">
        <w:rPr>
          <w:sz w:val="26"/>
          <w:szCs w:val="26"/>
        </w:rPr>
        <w:t xml:space="preserve">t </w:t>
      </w:r>
      <w:r w:rsidR="00071A87">
        <w:rPr>
          <w:sz w:val="26"/>
          <w:szCs w:val="26"/>
        </w:rPr>
        <w:t>of service basis for establishing a back</w:t>
      </w:r>
      <w:r w:rsidR="00B43B4E">
        <w:rPr>
          <w:sz w:val="26"/>
          <w:szCs w:val="26"/>
        </w:rPr>
        <w:t>-</w:t>
      </w:r>
      <w:r w:rsidR="00071A87">
        <w:rPr>
          <w:sz w:val="26"/>
          <w:szCs w:val="26"/>
        </w:rPr>
        <w:t xml:space="preserve">up rate that is 95% below the fully-allocated cost of service as DII proposes and even less reason to establish a separate </w:t>
      </w:r>
      <w:r w:rsidR="001E73FA">
        <w:rPr>
          <w:sz w:val="26"/>
          <w:szCs w:val="26"/>
        </w:rPr>
        <w:t>“</w:t>
      </w:r>
      <w:r w:rsidR="00071A87">
        <w:rPr>
          <w:sz w:val="26"/>
          <w:szCs w:val="26"/>
        </w:rPr>
        <w:t>maintenance</w:t>
      </w:r>
      <w:r w:rsidR="001E73FA">
        <w:rPr>
          <w:sz w:val="26"/>
          <w:szCs w:val="26"/>
        </w:rPr>
        <w:t>”</w:t>
      </w:r>
      <w:r w:rsidR="00071A87">
        <w:rPr>
          <w:sz w:val="26"/>
          <w:szCs w:val="26"/>
        </w:rPr>
        <w:t xml:space="preserve"> rate that is even further below the fully-allocated cost of service.  </w:t>
      </w:r>
      <w:r w:rsidR="009C143F">
        <w:rPr>
          <w:sz w:val="26"/>
          <w:szCs w:val="26"/>
        </w:rPr>
        <w:t>Duquesne R.Exc. at 5.</w:t>
      </w:r>
    </w:p>
    <w:p w:rsidR="007C42DF" w:rsidRDefault="007C42DF" w:rsidP="007D3734">
      <w:pPr>
        <w:widowControl/>
        <w:spacing w:line="360" w:lineRule="auto"/>
        <w:contextualSpacing/>
        <w:rPr>
          <w:sz w:val="26"/>
          <w:szCs w:val="26"/>
        </w:rPr>
      </w:pPr>
    </w:p>
    <w:p w:rsidR="007C42DF" w:rsidRDefault="007C42DF" w:rsidP="007D3734">
      <w:pPr>
        <w:widowControl/>
        <w:spacing w:line="360" w:lineRule="auto"/>
        <w:contextualSpacing/>
        <w:rPr>
          <w:sz w:val="26"/>
          <w:szCs w:val="26"/>
        </w:rPr>
      </w:pPr>
      <w:r>
        <w:rPr>
          <w:sz w:val="26"/>
          <w:szCs w:val="26"/>
        </w:rPr>
        <w:tab/>
      </w:r>
      <w:r>
        <w:rPr>
          <w:sz w:val="26"/>
          <w:szCs w:val="26"/>
        </w:rPr>
        <w:tab/>
        <w:t>Duquesne explains that if a back</w:t>
      </w:r>
      <w:r w:rsidR="00B43B4E">
        <w:rPr>
          <w:sz w:val="26"/>
          <w:szCs w:val="26"/>
        </w:rPr>
        <w:t>-</w:t>
      </w:r>
      <w:r>
        <w:rPr>
          <w:sz w:val="26"/>
          <w:szCs w:val="26"/>
        </w:rPr>
        <w:t>up rate is applied to a customer</w:t>
      </w:r>
      <w:r w:rsidR="001E73FA">
        <w:rPr>
          <w:sz w:val="26"/>
          <w:szCs w:val="26"/>
        </w:rPr>
        <w:t>’</w:t>
      </w:r>
      <w:r>
        <w:rPr>
          <w:sz w:val="26"/>
          <w:szCs w:val="26"/>
        </w:rPr>
        <w:t xml:space="preserve">s contracted level of back-up demand – as the terms of </w:t>
      </w:r>
      <w:r w:rsidR="001D1648">
        <w:rPr>
          <w:sz w:val="26"/>
          <w:szCs w:val="26"/>
        </w:rPr>
        <w:t>Rider</w:t>
      </w:r>
      <w:r w:rsidR="001F75B6">
        <w:rPr>
          <w:sz w:val="26"/>
          <w:szCs w:val="26"/>
        </w:rPr>
        <w:t xml:space="preserve"> No. 16</w:t>
      </w:r>
      <w:r>
        <w:rPr>
          <w:sz w:val="26"/>
          <w:szCs w:val="26"/>
        </w:rPr>
        <w:t xml:space="preserve"> currently provide and </w:t>
      </w:r>
      <w:r>
        <w:rPr>
          <w:sz w:val="26"/>
          <w:szCs w:val="26"/>
        </w:rPr>
        <w:lastRenderedPageBreak/>
        <w:t xml:space="preserve">as </w:t>
      </w:r>
      <w:r w:rsidR="001E73FA">
        <w:rPr>
          <w:sz w:val="26"/>
          <w:szCs w:val="26"/>
        </w:rPr>
        <w:t>“</w:t>
      </w:r>
      <w:r>
        <w:rPr>
          <w:sz w:val="26"/>
          <w:szCs w:val="26"/>
        </w:rPr>
        <w:t>best practices</w:t>
      </w:r>
      <w:r w:rsidR="001E73FA">
        <w:rPr>
          <w:sz w:val="26"/>
          <w:szCs w:val="26"/>
        </w:rPr>
        <w:t>”</w:t>
      </w:r>
      <w:r>
        <w:rPr>
          <w:sz w:val="26"/>
          <w:szCs w:val="26"/>
        </w:rPr>
        <w:t xml:space="preserve"> for back-up rate design deem proper – then no purpose is served by setting a second rate for </w:t>
      </w:r>
      <w:r w:rsidR="001E73FA">
        <w:rPr>
          <w:sz w:val="26"/>
          <w:szCs w:val="26"/>
        </w:rPr>
        <w:t>“</w:t>
      </w:r>
      <w:r>
        <w:rPr>
          <w:sz w:val="26"/>
          <w:szCs w:val="26"/>
        </w:rPr>
        <w:t>maintenance</w:t>
      </w:r>
      <w:r w:rsidR="001E73FA">
        <w:rPr>
          <w:sz w:val="26"/>
          <w:szCs w:val="26"/>
        </w:rPr>
        <w:t>”</w:t>
      </w:r>
      <w:r>
        <w:rPr>
          <w:sz w:val="26"/>
          <w:szCs w:val="26"/>
        </w:rPr>
        <w:t xml:space="preserve"> outages.  Duquesne R.Exc. at 5-6 (citing Duquesne Exc. at 11-12).  Duquesne explains further that as </w:t>
      </w:r>
      <w:r w:rsidR="001D1648">
        <w:rPr>
          <w:sz w:val="26"/>
          <w:szCs w:val="26"/>
        </w:rPr>
        <w:t>Rider</w:t>
      </w:r>
      <w:r w:rsidR="001F75B6">
        <w:rPr>
          <w:sz w:val="26"/>
          <w:szCs w:val="26"/>
        </w:rPr>
        <w:t xml:space="preserve"> No. 16</w:t>
      </w:r>
      <w:r>
        <w:rPr>
          <w:sz w:val="26"/>
          <w:szCs w:val="26"/>
        </w:rPr>
        <w:t xml:space="preserve"> is currently structured, the customer pays a single rate applied to the level of back-up demand for which it contracts.  According to Duquesne, the customer is then entitled to receive back</w:t>
      </w:r>
      <w:r w:rsidR="007F7601">
        <w:rPr>
          <w:sz w:val="26"/>
          <w:szCs w:val="26"/>
        </w:rPr>
        <w:noBreakHyphen/>
      </w:r>
      <w:r>
        <w:rPr>
          <w:sz w:val="26"/>
          <w:szCs w:val="26"/>
        </w:rPr>
        <w:t xml:space="preserve">up distribution service up to the maximum hourly limit set forth in </w:t>
      </w:r>
      <w:r w:rsidR="001F75B6">
        <w:rPr>
          <w:sz w:val="26"/>
          <w:szCs w:val="26"/>
        </w:rPr>
        <w:t>Rider No. 16</w:t>
      </w:r>
      <w:r>
        <w:rPr>
          <w:sz w:val="26"/>
          <w:szCs w:val="26"/>
        </w:rPr>
        <w:t xml:space="preserve"> </w:t>
      </w:r>
      <w:r w:rsidR="00150529">
        <w:rPr>
          <w:sz w:val="26"/>
          <w:szCs w:val="26"/>
        </w:rPr>
        <w:t>irrespective</w:t>
      </w:r>
      <w:r>
        <w:rPr>
          <w:sz w:val="26"/>
          <w:szCs w:val="26"/>
        </w:rPr>
        <w:t xml:space="preserve"> of when or why a generator outage occurs.  Duquesne R.Exc. at 6.</w:t>
      </w:r>
    </w:p>
    <w:p w:rsidR="007C42DF" w:rsidRDefault="007C42DF" w:rsidP="007D3734">
      <w:pPr>
        <w:widowControl/>
        <w:spacing w:line="360" w:lineRule="auto"/>
        <w:contextualSpacing/>
        <w:rPr>
          <w:sz w:val="26"/>
          <w:szCs w:val="26"/>
        </w:rPr>
      </w:pPr>
    </w:p>
    <w:p w:rsidR="003C113D" w:rsidRDefault="007C42DF" w:rsidP="007D3734">
      <w:pPr>
        <w:widowControl/>
        <w:spacing w:line="360" w:lineRule="auto"/>
        <w:contextualSpacing/>
        <w:rPr>
          <w:sz w:val="26"/>
          <w:szCs w:val="26"/>
        </w:rPr>
      </w:pPr>
      <w:r>
        <w:rPr>
          <w:sz w:val="26"/>
          <w:szCs w:val="26"/>
        </w:rPr>
        <w:tab/>
      </w:r>
      <w:r>
        <w:rPr>
          <w:sz w:val="26"/>
          <w:szCs w:val="26"/>
        </w:rPr>
        <w:tab/>
      </w:r>
      <w:r w:rsidR="00720FD1">
        <w:rPr>
          <w:sz w:val="26"/>
          <w:szCs w:val="26"/>
        </w:rPr>
        <w:t xml:space="preserve">Duquesne contends that the cost of generation is sufficient incentive for a customer-generator to schedule maintenance during off-peak periods.  Duquesne R.Exc. at 9.  Regarding PURPA applicability, Duquesne notes that PURPA regulations apply only to </w:t>
      </w:r>
      <w:r w:rsidR="001E73FA">
        <w:rPr>
          <w:sz w:val="26"/>
          <w:szCs w:val="26"/>
        </w:rPr>
        <w:t>“</w:t>
      </w:r>
      <w:r w:rsidR="00720FD1">
        <w:rPr>
          <w:sz w:val="26"/>
          <w:szCs w:val="26"/>
        </w:rPr>
        <w:t xml:space="preserve">qualifying </w:t>
      </w:r>
      <w:r w:rsidR="00150529">
        <w:rPr>
          <w:sz w:val="26"/>
          <w:szCs w:val="26"/>
        </w:rPr>
        <w:t>facilities</w:t>
      </w:r>
      <w:r w:rsidR="001E73FA">
        <w:rPr>
          <w:sz w:val="26"/>
          <w:szCs w:val="26"/>
        </w:rPr>
        <w:t>”</w:t>
      </w:r>
      <w:r w:rsidR="00720FD1">
        <w:rPr>
          <w:sz w:val="26"/>
          <w:szCs w:val="26"/>
        </w:rPr>
        <w:t xml:space="preserve"> that meet qualification criteria established by PURPA and have been certified by FERC.  Duquesne states that FERC</w:t>
      </w:r>
      <w:r w:rsidR="001E73FA">
        <w:rPr>
          <w:sz w:val="26"/>
          <w:szCs w:val="26"/>
        </w:rPr>
        <w:t>’</w:t>
      </w:r>
      <w:r w:rsidR="00720FD1">
        <w:rPr>
          <w:sz w:val="26"/>
          <w:szCs w:val="26"/>
        </w:rPr>
        <w:t xml:space="preserve">s regulations do not apply to customer-owned behind-the-meter generation that is not certified as a </w:t>
      </w:r>
      <w:r w:rsidR="001E73FA">
        <w:rPr>
          <w:sz w:val="26"/>
          <w:szCs w:val="26"/>
        </w:rPr>
        <w:t>“</w:t>
      </w:r>
      <w:r w:rsidR="00720FD1">
        <w:rPr>
          <w:sz w:val="26"/>
          <w:szCs w:val="26"/>
        </w:rPr>
        <w:t>qualifying facility.</w:t>
      </w:r>
      <w:r w:rsidR="001E73FA">
        <w:rPr>
          <w:sz w:val="26"/>
          <w:szCs w:val="26"/>
        </w:rPr>
        <w:t>”</w:t>
      </w:r>
      <w:r w:rsidR="00720FD1">
        <w:rPr>
          <w:sz w:val="26"/>
          <w:szCs w:val="26"/>
        </w:rPr>
        <w:t xml:space="preserve">  Duquesne R.Exc. at 10 (citing 18 CFR § 292.301(a)).</w:t>
      </w:r>
      <w:r w:rsidR="00150529">
        <w:rPr>
          <w:sz w:val="26"/>
          <w:szCs w:val="26"/>
        </w:rPr>
        <w:t xml:space="preserve">  Duquesne avers that DII</w:t>
      </w:r>
      <w:r w:rsidR="001E73FA">
        <w:rPr>
          <w:sz w:val="26"/>
          <w:szCs w:val="26"/>
        </w:rPr>
        <w:t>’</w:t>
      </w:r>
      <w:r w:rsidR="00150529">
        <w:rPr>
          <w:sz w:val="26"/>
          <w:szCs w:val="26"/>
        </w:rPr>
        <w:t>s attempt to rely upon the PURPA regulations is an example of DII</w:t>
      </w:r>
      <w:r w:rsidR="001E73FA">
        <w:rPr>
          <w:sz w:val="26"/>
          <w:szCs w:val="26"/>
        </w:rPr>
        <w:t>’</w:t>
      </w:r>
      <w:r w:rsidR="00150529">
        <w:rPr>
          <w:sz w:val="26"/>
          <w:szCs w:val="26"/>
        </w:rPr>
        <w:t>s attempt to appropriate principles and rate criteria that only apply to the generation supply service and erroneously apply them to distribution service.  Duquesne R.Exc. at 12.</w:t>
      </w:r>
    </w:p>
    <w:p w:rsidR="00B10402" w:rsidRDefault="00B10402" w:rsidP="007D3734">
      <w:pPr>
        <w:widowControl/>
        <w:spacing w:line="360" w:lineRule="auto"/>
        <w:contextualSpacing/>
        <w:rPr>
          <w:sz w:val="26"/>
          <w:szCs w:val="26"/>
        </w:rPr>
      </w:pPr>
    </w:p>
    <w:p w:rsidR="00B10402" w:rsidRDefault="00B10402" w:rsidP="007D3734">
      <w:pPr>
        <w:pStyle w:val="Heading4"/>
        <w:keepLines/>
        <w:numPr>
          <w:ilvl w:val="0"/>
          <w:numId w:val="32"/>
        </w:numPr>
        <w:ind w:left="2434"/>
      </w:pPr>
      <w:r>
        <w:t>Disposition</w:t>
      </w:r>
    </w:p>
    <w:p w:rsidR="00B10402" w:rsidRDefault="00B10402" w:rsidP="007D3734">
      <w:pPr>
        <w:pStyle w:val="ListParagraph"/>
        <w:keepNext/>
        <w:keepLines/>
        <w:widowControl/>
        <w:spacing w:line="360" w:lineRule="auto"/>
        <w:rPr>
          <w:sz w:val="26"/>
          <w:szCs w:val="26"/>
        </w:rPr>
      </w:pPr>
    </w:p>
    <w:p w:rsidR="008F10B6" w:rsidRDefault="00785CBD" w:rsidP="007D3734">
      <w:pPr>
        <w:widowControl/>
        <w:spacing w:line="360" w:lineRule="auto"/>
        <w:rPr>
          <w:sz w:val="26"/>
          <w:szCs w:val="26"/>
        </w:rPr>
      </w:pPr>
      <w:r>
        <w:rPr>
          <w:sz w:val="26"/>
          <w:szCs w:val="26"/>
        </w:rPr>
        <w:tab/>
      </w:r>
      <w:r>
        <w:rPr>
          <w:sz w:val="26"/>
          <w:szCs w:val="26"/>
        </w:rPr>
        <w:tab/>
      </w:r>
      <w:r w:rsidR="00846DCC">
        <w:rPr>
          <w:sz w:val="26"/>
          <w:szCs w:val="26"/>
        </w:rPr>
        <w:t>Based upon our review of this matter, we are of the opinion that</w:t>
      </w:r>
      <w:r w:rsidR="00EB1F34">
        <w:rPr>
          <w:sz w:val="26"/>
          <w:szCs w:val="26"/>
        </w:rPr>
        <w:t xml:space="preserve"> insufficient information has been provided to require Duquesne to provide</w:t>
      </w:r>
      <w:r>
        <w:rPr>
          <w:sz w:val="26"/>
          <w:szCs w:val="26"/>
        </w:rPr>
        <w:t xml:space="preserve"> a separate maintenance rate </w:t>
      </w:r>
      <w:r w:rsidR="00846DCC">
        <w:rPr>
          <w:sz w:val="26"/>
          <w:szCs w:val="26"/>
        </w:rPr>
        <w:t>in the existing R</w:t>
      </w:r>
      <w:r>
        <w:rPr>
          <w:sz w:val="26"/>
          <w:szCs w:val="26"/>
        </w:rPr>
        <w:t>ider No. 16</w:t>
      </w:r>
      <w:r w:rsidR="00E82F79">
        <w:rPr>
          <w:sz w:val="26"/>
          <w:szCs w:val="26"/>
        </w:rPr>
        <w:t xml:space="preserve"> at this time</w:t>
      </w:r>
      <w:r>
        <w:rPr>
          <w:sz w:val="26"/>
          <w:szCs w:val="26"/>
        </w:rPr>
        <w:t>.</w:t>
      </w:r>
    </w:p>
    <w:p w:rsidR="008F10B6" w:rsidRDefault="008F10B6" w:rsidP="007D3734">
      <w:pPr>
        <w:widowControl/>
        <w:spacing w:line="360" w:lineRule="auto"/>
        <w:rPr>
          <w:sz w:val="26"/>
          <w:szCs w:val="26"/>
        </w:rPr>
      </w:pPr>
    </w:p>
    <w:p w:rsidR="008F10B6" w:rsidRDefault="004A7550" w:rsidP="007D3734">
      <w:pPr>
        <w:widowControl/>
        <w:spacing w:line="360" w:lineRule="auto"/>
        <w:rPr>
          <w:sz w:val="26"/>
          <w:szCs w:val="26"/>
        </w:rPr>
      </w:pPr>
      <w:r>
        <w:rPr>
          <w:sz w:val="26"/>
          <w:szCs w:val="26"/>
        </w:rPr>
        <w:tab/>
      </w:r>
      <w:r>
        <w:rPr>
          <w:sz w:val="26"/>
          <w:szCs w:val="26"/>
        </w:rPr>
        <w:tab/>
      </w:r>
      <w:r w:rsidR="008F10B6">
        <w:rPr>
          <w:sz w:val="26"/>
          <w:szCs w:val="26"/>
        </w:rPr>
        <w:t>Based on the record, it is unclear if the lack of a maintenance rate for Rider No. 16 has deterred development of onsite generators.  Duquesne has only one customer on Rider No. 16, and that customer does not object to maintaining the current</w:t>
      </w:r>
      <w:r w:rsidR="00E82F79">
        <w:rPr>
          <w:sz w:val="26"/>
          <w:szCs w:val="26"/>
        </w:rPr>
        <w:t xml:space="preserve"> Rider No.</w:t>
      </w:r>
      <w:r>
        <w:rPr>
          <w:sz w:val="26"/>
          <w:szCs w:val="26"/>
        </w:rPr>
        <w:t> </w:t>
      </w:r>
      <w:r w:rsidR="00E82F79">
        <w:rPr>
          <w:sz w:val="26"/>
          <w:szCs w:val="26"/>
        </w:rPr>
        <w:t>16</w:t>
      </w:r>
      <w:r w:rsidR="008F10B6">
        <w:rPr>
          <w:sz w:val="26"/>
          <w:szCs w:val="26"/>
        </w:rPr>
        <w:t xml:space="preserve"> rate.  Additionally, Peoples has withdrawn its objection</w:t>
      </w:r>
      <w:r w:rsidR="000E21C9">
        <w:rPr>
          <w:sz w:val="26"/>
          <w:szCs w:val="26"/>
        </w:rPr>
        <w:t xml:space="preserve"> </w:t>
      </w:r>
      <w:r w:rsidR="00D742EE">
        <w:rPr>
          <w:sz w:val="26"/>
          <w:szCs w:val="26"/>
        </w:rPr>
        <w:t>in this proceeding</w:t>
      </w:r>
      <w:r w:rsidR="008F10B6">
        <w:rPr>
          <w:sz w:val="26"/>
          <w:szCs w:val="26"/>
        </w:rPr>
        <w:t>.</w:t>
      </w:r>
    </w:p>
    <w:p w:rsidR="00645DFD" w:rsidRDefault="00645DFD" w:rsidP="007D3734">
      <w:pPr>
        <w:widowControl/>
        <w:spacing w:line="360" w:lineRule="auto"/>
        <w:rPr>
          <w:sz w:val="26"/>
          <w:szCs w:val="26"/>
        </w:rPr>
      </w:pPr>
    </w:p>
    <w:p w:rsidR="00645DFD" w:rsidRDefault="00645DFD" w:rsidP="007D3734">
      <w:pPr>
        <w:widowControl/>
        <w:spacing w:line="360" w:lineRule="auto"/>
        <w:rPr>
          <w:sz w:val="26"/>
          <w:szCs w:val="26"/>
        </w:rPr>
      </w:pPr>
      <w:r>
        <w:rPr>
          <w:sz w:val="26"/>
          <w:szCs w:val="26"/>
        </w:rPr>
        <w:t xml:space="preserve">DII also did not adequately analyze on-system generator use of existing rate schedules.  </w:t>
      </w:r>
      <w:r w:rsidRPr="00645DFD">
        <w:rPr>
          <w:sz w:val="26"/>
          <w:szCs w:val="26"/>
        </w:rPr>
        <w:t>DII witness Heller admits in discovery that “base rate schedule GL and L do not raise significant obstacles to Pitt’s plans to develop more onsite generation”</w:t>
      </w:r>
      <w:r>
        <w:rPr>
          <w:sz w:val="26"/>
          <w:szCs w:val="26"/>
        </w:rPr>
        <w:t xml:space="preserve"> </w:t>
      </w:r>
      <w:r w:rsidRPr="00645DFD">
        <w:rPr>
          <w:sz w:val="26"/>
          <w:szCs w:val="26"/>
        </w:rPr>
        <w:t>and DII’s witness Sprys admits Allegheny County Airport did not evaluate or consider this option [Option C] in their analysis.</w:t>
      </w:r>
      <w:r>
        <w:rPr>
          <w:rStyle w:val="FootnoteReference"/>
          <w:sz w:val="26"/>
          <w:szCs w:val="26"/>
        </w:rPr>
        <w:footnoteReference w:id="24"/>
      </w:r>
      <w:r w:rsidRPr="00645DFD">
        <w:rPr>
          <w:sz w:val="26"/>
          <w:szCs w:val="26"/>
        </w:rPr>
        <w:t xml:space="preserve"> </w:t>
      </w:r>
      <w:r w:rsidR="00E82F79">
        <w:rPr>
          <w:sz w:val="26"/>
          <w:szCs w:val="26"/>
        </w:rPr>
        <w:t>For example, Rate Schedule L</w:t>
      </w:r>
      <w:r w:rsidR="008E5E48">
        <w:rPr>
          <w:sz w:val="26"/>
          <w:szCs w:val="26"/>
        </w:rPr>
        <w:t xml:space="preserve"> and HVPS</w:t>
      </w:r>
      <w:r w:rsidR="00E82F79">
        <w:rPr>
          <w:sz w:val="26"/>
          <w:szCs w:val="26"/>
        </w:rPr>
        <w:t xml:space="preserve"> </w:t>
      </w:r>
      <w:r w:rsidRPr="00645DFD">
        <w:rPr>
          <w:sz w:val="26"/>
          <w:szCs w:val="26"/>
        </w:rPr>
        <w:t>Customers can reduce their distribution charges by scheduling their generator outages during off-peak periods, subject to applicable minimum charges.</w:t>
      </w:r>
      <w:r>
        <w:rPr>
          <w:rStyle w:val="FootnoteReference"/>
          <w:sz w:val="26"/>
          <w:szCs w:val="26"/>
        </w:rPr>
        <w:footnoteReference w:id="25"/>
      </w:r>
    </w:p>
    <w:p w:rsidR="008F10B6" w:rsidRDefault="008F10B6" w:rsidP="007D3734">
      <w:pPr>
        <w:widowControl/>
        <w:spacing w:line="360" w:lineRule="auto"/>
        <w:rPr>
          <w:sz w:val="26"/>
          <w:szCs w:val="26"/>
        </w:rPr>
      </w:pPr>
    </w:p>
    <w:p w:rsidR="00785CBD" w:rsidRDefault="00785CBD" w:rsidP="007D3734">
      <w:pPr>
        <w:widowControl/>
        <w:spacing w:line="360" w:lineRule="auto"/>
        <w:rPr>
          <w:sz w:val="26"/>
          <w:szCs w:val="26"/>
        </w:rPr>
      </w:pPr>
    </w:p>
    <w:p w:rsidR="00785CBD" w:rsidRDefault="00785CBD" w:rsidP="007D3734">
      <w:pPr>
        <w:widowControl/>
        <w:spacing w:line="360" w:lineRule="auto"/>
        <w:rPr>
          <w:sz w:val="26"/>
          <w:szCs w:val="26"/>
        </w:rPr>
      </w:pPr>
      <w:r>
        <w:rPr>
          <w:sz w:val="26"/>
          <w:szCs w:val="26"/>
        </w:rPr>
        <w:tab/>
      </w:r>
      <w:r>
        <w:rPr>
          <w:sz w:val="26"/>
          <w:szCs w:val="26"/>
        </w:rPr>
        <w:tab/>
      </w:r>
      <w:r w:rsidR="00A87173">
        <w:rPr>
          <w:sz w:val="26"/>
          <w:szCs w:val="26"/>
        </w:rPr>
        <w:t>Also, w</w:t>
      </w:r>
      <w:r>
        <w:rPr>
          <w:sz w:val="26"/>
          <w:szCs w:val="26"/>
        </w:rPr>
        <w:t xml:space="preserve">e agree with Duquesne that whether or not a customer is eligible for Rider No. 16, the Company must size its equipment to meet the customer’s peak demand.  </w:t>
      </w:r>
      <w:r w:rsidR="00D742EE">
        <w:rPr>
          <w:sz w:val="26"/>
          <w:szCs w:val="26"/>
        </w:rPr>
        <w:t xml:space="preserve">This is the case for Duquesne, because the Rider No. 16 is voluntary, and the customer could return to full requirements delivery service upon switching back the otherwise applicable rate schedule.  </w:t>
      </w:r>
      <w:r w:rsidR="00645DFD">
        <w:rPr>
          <w:sz w:val="26"/>
          <w:szCs w:val="26"/>
        </w:rPr>
        <w:t xml:space="preserve">Thus, </w:t>
      </w:r>
      <w:r>
        <w:rPr>
          <w:sz w:val="26"/>
          <w:szCs w:val="26"/>
        </w:rPr>
        <w:t>Duquesne must arrange for distribution system capacity to be available to serve its customers at any time</w:t>
      </w:r>
      <w:r w:rsidR="00D742EE">
        <w:rPr>
          <w:sz w:val="26"/>
          <w:szCs w:val="26"/>
        </w:rPr>
        <w:t xml:space="preserve">, unless this optionality was eliminated in the </w:t>
      </w:r>
      <w:r w:rsidR="00645DFD">
        <w:rPr>
          <w:sz w:val="26"/>
          <w:szCs w:val="26"/>
        </w:rPr>
        <w:t>tariff</w:t>
      </w:r>
      <w:r>
        <w:rPr>
          <w:sz w:val="26"/>
          <w:szCs w:val="26"/>
        </w:rPr>
        <w:t xml:space="preserve">. As Duquesne asserts, it costs the same to build a distribution system that will be used every day (as with a non-generation customer) as it does for a distribution system that will be used once or twice a year but is reserved for use during the remainder of the year.  We agree with Duquesne that it </w:t>
      </w:r>
      <w:r w:rsidR="00E82F79">
        <w:rPr>
          <w:sz w:val="26"/>
          <w:szCs w:val="26"/>
        </w:rPr>
        <w:t xml:space="preserve">may </w:t>
      </w:r>
      <w:r>
        <w:rPr>
          <w:sz w:val="26"/>
          <w:szCs w:val="26"/>
        </w:rPr>
        <w:t>not avoid distribution costs when the customer plans its generation outages to occur at off-peak times</w:t>
      </w:r>
      <w:r w:rsidR="00D742EE">
        <w:rPr>
          <w:sz w:val="26"/>
          <w:szCs w:val="26"/>
        </w:rPr>
        <w:t xml:space="preserve"> if the customer has the option to revert to its otherwise applicable rate schedule</w:t>
      </w:r>
      <w:r>
        <w:rPr>
          <w:sz w:val="26"/>
          <w:szCs w:val="26"/>
        </w:rPr>
        <w:t>.  Duquesne St. 16-R at 8.</w:t>
      </w:r>
    </w:p>
    <w:p w:rsidR="00785CBD" w:rsidRDefault="00785CBD" w:rsidP="007D3734">
      <w:pPr>
        <w:widowControl/>
        <w:spacing w:line="360" w:lineRule="auto"/>
        <w:rPr>
          <w:sz w:val="26"/>
          <w:szCs w:val="26"/>
        </w:rPr>
      </w:pPr>
    </w:p>
    <w:p w:rsidR="00E43E3C" w:rsidRDefault="00785CBD" w:rsidP="007D3734">
      <w:pPr>
        <w:widowControl/>
        <w:spacing w:line="360" w:lineRule="auto"/>
        <w:rPr>
          <w:sz w:val="26"/>
          <w:szCs w:val="26"/>
        </w:rPr>
      </w:pPr>
      <w:r>
        <w:rPr>
          <w:sz w:val="26"/>
          <w:szCs w:val="26"/>
        </w:rPr>
        <w:tab/>
      </w:r>
      <w:r>
        <w:rPr>
          <w:sz w:val="26"/>
          <w:szCs w:val="26"/>
        </w:rPr>
        <w:tab/>
      </w:r>
    </w:p>
    <w:bookmarkEnd w:id="41"/>
    <w:p w:rsidR="008C54F7" w:rsidRDefault="008C54F7" w:rsidP="007D3734">
      <w:pPr>
        <w:widowControl/>
        <w:spacing w:line="360" w:lineRule="auto"/>
        <w:contextualSpacing/>
        <w:rPr>
          <w:sz w:val="26"/>
          <w:szCs w:val="26"/>
        </w:rPr>
      </w:pPr>
    </w:p>
    <w:p w:rsidR="008D61F2" w:rsidRPr="00D068F4" w:rsidRDefault="008D61F2" w:rsidP="007D3734">
      <w:pPr>
        <w:pStyle w:val="Heading1"/>
        <w:contextualSpacing/>
        <w:jc w:val="center"/>
      </w:pPr>
      <w:bookmarkStart w:id="65" w:name="_Toc531091841"/>
      <w:bookmarkStart w:id="66" w:name="_Toc532905981"/>
      <w:r w:rsidRPr="00D068F4">
        <w:t>Conclusion</w:t>
      </w:r>
      <w:bookmarkEnd w:id="65"/>
      <w:bookmarkEnd w:id="66"/>
    </w:p>
    <w:p w:rsidR="008D61F2" w:rsidRPr="008D61F2" w:rsidRDefault="008D61F2" w:rsidP="007D3734">
      <w:pPr>
        <w:keepNext/>
        <w:keepLines/>
        <w:widowControl/>
        <w:spacing w:line="360" w:lineRule="auto"/>
        <w:contextualSpacing/>
        <w:rPr>
          <w:sz w:val="26"/>
          <w:szCs w:val="26"/>
        </w:rPr>
      </w:pPr>
    </w:p>
    <w:p w:rsidR="008D61F2" w:rsidRPr="008D61F2" w:rsidRDefault="008D61F2" w:rsidP="007D3734">
      <w:pPr>
        <w:widowControl/>
        <w:spacing w:line="360" w:lineRule="auto"/>
        <w:ind w:firstLine="1440"/>
        <w:contextualSpacing/>
        <w:rPr>
          <w:sz w:val="26"/>
          <w:szCs w:val="26"/>
        </w:rPr>
      </w:pPr>
      <w:r w:rsidRPr="008D61F2">
        <w:rPr>
          <w:sz w:val="26"/>
          <w:szCs w:val="26"/>
        </w:rPr>
        <w:t xml:space="preserve">Based on our review of the record, </w:t>
      </w:r>
      <w:r w:rsidR="003A301D">
        <w:rPr>
          <w:sz w:val="26"/>
          <w:szCs w:val="26"/>
        </w:rPr>
        <w:t xml:space="preserve">and consistent with the foregoing discussion </w:t>
      </w:r>
      <w:r w:rsidR="00C755BF">
        <w:rPr>
          <w:sz w:val="26"/>
          <w:szCs w:val="26"/>
        </w:rPr>
        <w:t>we shall</w:t>
      </w:r>
      <w:r w:rsidR="003A301D">
        <w:rPr>
          <w:sz w:val="26"/>
          <w:szCs w:val="26"/>
        </w:rPr>
        <w:t xml:space="preserve">: </w:t>
      </w:r>
      <w:r w:rsidR="003A301D" w:rsidRPr="00AE3C2B">
        <w:rPr>
          <w:sz w:val="26"/>
          <w:szCs w:val="26"/>
        </w:rPr>
        <w:t>(1)</w:t>
      </w:r>
      <w:r w:rsidR="00C755BF" w:rsidRPr="00AE3C2B">
        <w:rPr>
          <w:sz w:val="26"/>
          <w:szCs w:val="26"/>
        </w:rPr>
        <w:t xml:space="preserve"> </w:t>
      </w:r>
      <w:r w:rsidR="009F1ED7">
        <w:rPr>
          <w:sz w:val="26"/>
          <w:szCs w:val="26"/>
        </w:rPr>
        <w:t>grant</w:t>
      </w:r>
      <w:r w:rsidR="00C755BF" w:rsidRPr="00AE3C2B">
        <w:rPr>
          <w:sz w:val="26"/>
          <w:szCs w:val="26"/>
        </w:rPr>
        <w:t xml:space="preserve"> the Exceptions filed by</w:t>
      </w:r>
      <w:r w:rsidR="00CE72C7">
        <w:rPr>
          <w:sz w:val="26"/>
          <w:szCs w:val="26"/>
        </w:rPr>
        <w:t xml:space="preserve"> </w:t>
      </w:r>
      <w:r w:rsidR="009F1ED7">
        <w:rPr>
          <w:sz w:val="26"/>
          <w:szCs w:val="26"/>
        </w:rPr>
        <w:t xml:space="preserve">Duquesne </w:t>
      </w:r>
      <w:r w:rsidR="0045485C">
        <w:rPr>
          <w:sz w:val="26"/>
          <w:szCs w:val="26"/>
        </w:rPr>
        <w:t xml:space="preserve">Light Company </w:t>
      </w:r>
      <w:r w:rsidR="003A301D" w:rsidRPr="00AE3C2B">
        <w:rPr>
          <w:sz w:val="26"/>
          <w:szCs w:val="26"/>
        </w:rPr>
        <w:t xml:space="preserve">in this proceeding; </w:t>
      </w:r>
      <w:r w:rsidR="003A301D" w:rsidRPr="00EB2A5A">
        <w:rPr>
          <w:sz w:val="26"/>
          <w:szCs w:val="26"/>
        </w:rPr>
        <w:t>(2)</w:t>
      </w:r>
      <w:r w:rsidR="00422629">
        <w:rPr>
          <w:sz w:val="26"/>
          <w:szCs w:val="26"/>
        </w:rPr>
        <w:t> </w:t>
      </w:r>
      <w:r w:rsidR="00CE72C7">
        <w:rPr>
          <w:sz w:val="26"/>
          <w:szCs w:val="26"/>
        </w:rPr>
        <w:t xml:space="preserve">deny the Exceptions filed by </w:t>
      </w:r>
      <w:r w:rsidR="0045485C">
        <w:rPr>
          <w:sz w:val="26"/>
          <w:szCs w:val="26"/>
        </w:rPr>
        <w:t xml:space="preserve">the </w:t>
      </w:r>
      <w:r w:rsidR="009F1ED7">
        <w:rPr>
          <w:sz w:val="26"/>
          <w:szCs w:val="26"/>
        </w:rPr>
        <w:t>D</w:t>
      </w:r>
      <w:r w:rsidR="0045485C">
        <w:rPr>
          <w:sz w:val="26"/>
          <w:szCs w:val="26"/>
        </w:rPr>
        <w:t xml:space="preserve">uquesne </w:t>
      </w:r>
      <w:r w:rsidR="009F1ED7">
        <w:rPr>
          <w:sz w:val="26"/>
          <w:szCs w:val="26"/>
        </w:rPr>
        <w:t>I</w:t>
      </w:r>
      <w:r w:rsidR="0045485C">
        <w:rPr>
          <w:sz w:val="26"/>
          <w:szCs w:val="26"/>
        </w:rPr>
        <w:t xml:space="preserve">ndustrial </w:t>
      </w:r>
      <w:r w:rsidR="009F1ED7">
        <w:rPr>
          <w:sz w:val="26"/>
          <w:szCs w:val="26"/>
        </w:rPr>
        <w:t>I</w:t>
      </w:r>
      <w:r w:rsidR="0045485C">
        <w:rPr>
          <w:sz w:val="26"/>
          <w:szCs w:val="26"/>
        </w:rPr>
        <w:t>ntervenors</w:t>
      </w:r>
      <w:r w:rsidR="00CE72C7">
        <w:rPr>
          <w:sz w:val="26"/>
          <w:szCs w:val="26"/>
        </w:rPr>
        <w:t xml:space="preserve">; and (3) </w:t>
      </w:r>
      <w:r w:rsidR="009F1ED7">
        <w:rPr>
          <w:sz w:val="26"/>
          <w:szCs w:val="26"/>
        </w:rPr>
        <w:t>modify</w:t>
      </w:r>
      <w:r w:rsidR="00A34802" w:rsidRPr="00EB2A5A">
        <w:rPr>
          <w:sz w:val="26"/>
          <w:szCs w:val="26"/>
        </w:rPr>
        <w:t xml:space="preserve"> the ALJ</w:t>
      </w:r>
      <w:r w:rsidR="001E73FA">
        <w:rPr>
          <w:sz w:val="26"/>
          <w:szCs w:val="26"/>
        </w:rPr>
        <w:t>’</w:t>
      </w:r>
      <w:r w:rsidR="00A34802" w:rsidRPr="00EB2A5A">
        <w:rPr>
          <w:sz w:val="26"/>
          <w:szCs w:val="26"/>
        </w:rPr>
        <w:t>s Recommended Decision</w:t>
      </w:r>
      <w:r w:rsidR="001F634E">
        <w:rPr>
          <w:sz w:val="26"/>
          <w:szCs w:val="26"/>
        </w:rPr>
        <w:t>,</w:t>
      </w:r>
      <w:r w:rsidR="001F634E" w:rsidRPr="001F634E">
        <w:rPr>
          <w:sz w:val="26"/>
        </w:rPr>
        <w:t xml:space="preserve"> </w:t>
      </w:r>
      <w:r w:rsidR="001F634E">
        <w:rPr>
          <w:sz w:val="26"/>
        </w:rPr>
        <w:t>consistent with this Opinion and Order</w:t>
      </w:r>
      <w:r w:rsidR="006525C1" w:rsidRPr="00EB2A5A">
        <w:rPr>
          <w:sz w:val="26"/>
          <w:szCs w:val="26"/>
        </w:rPr>
        <w:t>;</w:t>
      </w:r>
      <w:r w:rsidR="00727038" w:rsidRPr="00EB2A5A">
        <w:rPr>
          <w:sz w:val="26"/>
          <w:szCs w:val="26"/>
        </w:rPr>
        <w:t xml:space="preserve"> </w:t>
      </w:r>
      <w:r w:rsidRPr="00EB2A5A">
        <w:rPr>
          <w:b/>
          <w:sz w:val="26"/>
          <w:szCs w:val="26"/>
        </w:rPr>
        <w:t>THEREFORE,</w:t>
      </w:r>
    </w:p>
    <w:p w:rsidR="003D07BC" w:rsidRDefault="003D07BC" w:rsidP="007D3734">
      <w:pPr>
        <w:widowControl/>
        <w:spacing w:after="200" w:line="276" w:lineRule="auto"/>
        <w:contextualSpacing/>
        <w:rPr>
          <w:b/>
          <w:sz w:val="26"/>
          <w:szCs w:val="26"/>
        </w:rPr>
      </w:pPr>
    </w:p>
    <w:p w:rsidR="008D61F2" w:rsidRPr="008D61F2" w:rsidRDefault="004B2299" w:rsidP="007D3734">
      <w:pPr>
        <w:keepNext/>
        <w:keepLines/>
        <w:widowControl/>
        <w:spacing w:after="200" w:line="276" w:lineRule="auto"/>
        <w:contextualSpacing/>
        <w:rPr>
          <w:b/>
          <w:sz w:val="26"/>
          <w:szCs w:val="26"/>
        </w:rPr>
      </w:pPr>
      <w:r>
        <w:rPr>
          <w:b/>
          <w:sz w:val="26"/>
          <w:szCs w:val="26"/>
        </w:rPr>
        <w:tab/>
      </w:r>
      <w:r>
        <w:rPr>
          <w:b/>
          <w:sz w:val="26"/>
          <w:szCs w:val="26"/>
        </w:rPr>
        <w:tab/>
      </w:r>
      <w:r w:rsidR="008D61F2" w:rsidRPr="008D61F2">
        <w:rPr>
          <w:b/>
          <w:sz w:val="26"/>
          <w:szCs w:val="26"/>
        </w:rPr>
        <w:t>IT IS ORDERED:</w:t>
      </w:r>
    </w:p>
    <w:p w:rsidR="008D61F2" w:rsidRPr="008D61F2" w:rsidRDefault="008D61F2" w:rsidP="007D3734">
      <w:pPr>
        <w:keepNext/>
        <w:keepLines/>
        <w:widowControl/>
        <w:spacing w:line="360" w:lineRule="auto"/>
        <w:ind w:firstLine="1440"/>
        <w:contextualSpacing/>
        <w:rPr>
          <w:b/>
          <w:sz w:val="26"/>
          <w:szCs w:val="26"/>
        </w:rPr>
      </w:pPr>
    </w:p>
    <w:p w:rsidR="008D61F2" w:rsidRPr="00860880" w:rsidRDefault="008D61F2" w:rsidP="007D3734">
      <w:pPr>
        <w:pStyle w:val="ListParagraph"/>
        <w:widowControl/>
        <w:numPr>
          <w:ilvl w:val="0"/>
          <w:numId w:val="17"/>
        </w:numPr>
        <w:spacing w:line="360" w:lineRule="auto"/>
        <w:ind w:left="0" w:firstLine="1440"/>
        <w:rPr>
          <w:sz w:val="26"/>
          <w:szCs w:val="26"/>
        </w:rPr>
      </w:pPr>
      <w:r w:rsidRPr="00860880">
        <w:rPr>
          <w:sz w:val="26"/>
          <w:szCs w:val="26"/>
        </w:rPr>
        <w:t xml:space="preserve">That the Exceptions filed by </w:t>
      </w:r>
      <w:r w:rsidR="00C61337" w:rsidRPr="00860880">
        <w:rPr>
          <w:sz w:val="26"/>
          <w:szCs w:val="26"/>
        </w:rPr>
        <w:t xml:space="preserve">the </w:t>
      </w:r>
      <w:r w:rsidR="00E92158" w:rsidRPr="00860880">
        <w:rPr>
          <w:sz w:val="26"/>
          <w:szCs w:val="26"/>
        </w:rPr>
        <w:t xml:space="preserve">Duquesne Light Company </w:t>
      </w:r>
      <w:r w:rsidRPr="00860880">
        <w:rPr>
          <w:sz w:val="26"/>
          <w:szCs w:val="26"/>
        </w:rPr>
        <w:t xml:space="preserve">on </w:t>
      </w:r>
      <w:r w:rsidR="00E92158" w:rsidRPr="00860880">
        <w:rPr>
          <w:sz w:val="26"/>
          <w:szCs w:val="26"/>
        </w:rPr>
        <w:t>October 29</w:t>
      </w:r>
      <w:r w:rsidR="00727038" w:rsidRPr="00860880">
        <w:rPr>
          <w:sz w:val="26"/>
          <w:szCs w:val="26"/>
        </w:rPr>
        <w:t>, 2018</w:t>
      </w:r>
      <w:r w:rsidRPr="00860880">
        <w:rPr>
          <w:sz w:val="26"/>
          <w:szCs w:val="26"/>
        </w:rPr>
        <w:t xml:space="preserve">, are </w:t>
      </w:r>
      <w:r w:rsidR="009F1ED7" w:rsidRPr="00860880">
        <w:rPr>
          <w:sz w:val="26"/>
          <w:szCs w:val="26"/>
        </w:rPr>
        <w:t>granted</w:t>
      </w:r>
      <w:r w:rsidR="009F1CBF" w:rsidRPr="00860880">
        <w:rPr>
          <w:sz w:val="26"/>
          <w:szCs w:val="26"/>
        </w:rPr>
        <w:t xml:space="preserve">, </w:t>
      </w:r>
      <w:r w:rsidR="009F1CBF" w:rsidRPr="00860880">
        <w:rPr>
          <w:sz w:val="26"/>
        </w:rPr>
        <w:t>consistent with this Opinion and Order.</w:t>
      </w:r>
    </w:p>
    <w:p w:rsidR="001F634E" w:rsidRPr="00C61337" w:rsidRDefault="001F634E" w:rsidP="007D3734">
      <w:pPr>
        <w:pStyle w:val="ListParagraph"/>
        <w:widowControl/>
        <w:spacing w:line="360" w:lineRule="auto"/>
        <w:ind w:left="1440"/>
        <w:rPr>
          <w:sz w:val="26"/>
          <w:szCs w:val="26"/>
        </w:rPr>
      </w:pPr>
    </w:p>
    <w:p w:rsidR="00727038" w:rsidRPr="00C61337" w:rsidRDefault="00CE72C7" w:rsidP="007D3734">
      <w:pPr>
        <w:pStyle w:val="ListParagraph"/>
        <w:widowControl/>
        <w:numPr>
          <w:ilvl w:val="0"/>
          <w:numId w:val="17"/>
        </w:numPr>
        <w:spacing w:line="360" w:lineRule="auto"/>
        <w:ind w:left="0" w:firstLine="1440"/>
        <w:rPr>
          <w:sz w:val="26"/>
        </w:rPr>
      </w:pPr>
      <w:r w:rsidRPr="00C61337">
        <w:rPr>
          <w:sz w:val="26"/>
          <w:szCs w:val="26"/>
        </w:rPr>
        <w:t xml:space="preserve">That the Exceptions filed by the </w:t>
      </w:r>
      <w:r w:rsidR="00E92158">
        <w:rPr>
          <w:sz w:val="26"/>
          <w:szCs w:val="26"/>
        </w:rPr>
        <w:t xml:space="preserve">Duquesne Industrial Intervenors </w:t>
      </w:r>
      <w:r w:rsidRPr="00C61337">
        <w:rPr>
          <w:sz w:val="26"/>
          <w:szCs w:val="26"/>
        </w:rPr>
        <w:t xml:space="preserve">on </w:t>
      </w:r>
      <w:r w:rsidR="00E92158">
        <w:rPr>
          <w:sz w:val="26"/>
          <w:szCs w:val="26"/>
        </w:rPr>
        <w:t>October 29</w:t>
      </w:r>
      <w:r w:rsidRPr="00C61337">
        <w:rPr>
          <w:sz w:val="26"/>
          <w:szCs w:val="26"/>
        </w:rPr>
        <w:t xml:space="preserve">, 2018, are denied, consistent with this Opinion and Order. </w:t>
      </w:r>
    </w:p>
    <w:p w:rsidR="002B0382" w:rsidRDefault="002B0382" w:rsidP="007D3734">
      <w:pPr>
        <w:widowControl/>
        <w:spacing w:line="360" w:lineRule="auto"/>
        <w:ind w:firstLine="1440"/>
        <w:contextualSpacing/>
        <w:rPr>
          <w:sz w:val="26"/>
        </w:rPr>
      </w:pPr>
    </w:p>
    <w:p w:rsidR="00C61337" w:rsidRDefault="00C61337" w:rsidP="007D3734">
      <w:pPr>
        <w:pStyle w:val="ListParagraph"/>
        <w:widowControl/>
        <w:numPr>
          <w:ilvl w:val="0"/>
          <w:numId w:val="17"/>
        </w:numPr>
        <w:spacing w:line="360" w:lineRule="auto"/>
        <w:ind w:left="0" w:firstLine="1440"/>
        <w:rPr>
          <w:sz w:val="26"/>
        </w:rPr>
      </w:pPr>
      <w:r w:rsidRPr="00C61337">
        <w:rPr>
          <w:sz w:val="26"/>
          <w:szCs w:val="26"/>
        </w:rPr>
        <w:t>That the Recommended Decision of Administrative Law Judge</w:t>
      </w:r>
      <w:r w:rsidRPr="00C61337">
        <w:rPr>
          <w:sz w:val="26"/>
        </w:rPr>
        <w:t xml:space="preserve"> </w:t>
      </w:r>
      <w:r w:rsidR="00E92158">
        <w:rPr>
          <w:sz w:val="26"/>
        </w:rPr>
        <w:t>Katrina L. Dunderdale</w:t>
      </w:r>
      <w:r w:rsidRPr="00C61337">
        <w:rPr>
          <w:sz w:val="26"/>
        </w:rPr>
        <w:t xml:space="preserve">, issued on </w:t>
      </w:r>
      <w:r w:rsidR="00E92158">
        <w:rPr>
          <w:sz w:val="26"/>
        </w:rPr>
        <w:t>October 1</w:t>
      </w:r>
      <w:r w:rsidRPr="00C61337">
        <w:rPr>
          <w:sz w:val="26"/>
        </w:rPr>
        <w:t xml:space="preserve">8, 2018, is </w:t>
      </w:r>
      <w:r w:rsidR="009F1ED7">
        <w:rPr>
          <w:sz w:val="26"/>
        </w:rPr>
        <w:t>modified</w:t>
      </w:r>
      <w:r w:rsidR="001F634E">
        <w:rPr>
          <w:sz w:val="26"/>
        </w:rPr>
        <w:t xml:space="preserve">, </w:t>
      </w:r>
      <w:r w:rsidRPr="00C61337">
        <w:rPr>
          <w:sz w:val="26"/>
        </w:rPr>
        <w:t>consistent with this Opinion and Order.</w:t>
      </w:r>
    </w:p>
    <w:p w:rsidR="00860880" w:rsidRPr="00860880" w:rsidRDefault="00860880" w:rsidP="007D3734">
      <w:pPr>
        <w:pStyle w:val="ListParagraph"/>
        <w:widowControl/>
        <w:rPr>
          <w:sz w:val="26"/>
        </w:rPr>
      </w:pPr>
    </w:p>
    <w:p w:rsidR="00860880" w:rsidRPr="00C61337" w:rsidRDefault="00860880" w:rsidP="007D3734">
      <w:pPr>
        <w:pStyle w:val="ListParagraph"/>
        <w:widowControl/>
        <w:numPr>
          <w:ilvl w:val="0"/>
          <w:numId w:val="17"/>
        </w:numPr>
        <w:spacing w:line="360" w:lineRule="auto"/>
        <w:ind w:left="0" w:firstLine="1440"/>
        <w:rPr>
          <w:sz w:val="26"/>
        </w:rPr>
      </w:pPr>
      <w:r w:rsidRPr="00860880">
        <w:rPr>
          <w:sz w:val="26"/>
        </w:rPr>
        <w:t>That Duquesne Light Company shall not place into effect the rates, rules, and regulations contained in Supplement No. 174 to Tariff Electric Pa. P.U.C. No.</w:t>
      </w:r>
      <w:r w:rsidR="00B44804">
        <w:rPr>
          <w:sz w:val="26"/>
        </w:rPr>
        <w:t> </w:t>
      </w:r>
      <w:r w:rsidRPr="00860880">
        <w:rPr>
          <w:sz w:val="26"/>
        </w:rPr>
        <w:t>24, the same having been found to be unjust, unreasonable, and therefore unlawful.</w:t>
      </w:r>
    </w:p>
    <w:p w:rsidR="00C61337" w:rsidRDefault="00C61337" w:rsidP="007D3734">
      <w:pPr>
        <w:widowControl/>
        <w:spacing w:line="360" w:lineRule="auto"/>
        <w:ind w:firstLine="1440"/>
        <w:contextualSpacing/>
        <w:rPr>
          <w:sz w:val="26"/>
        </w:rPr>
      </w:pPr>
    </w:p>
    <w:p w:rsidR="00A22769" w:rsidRDefault="00C61337" w:rsidP="007D3734">
      <w:pPr>
        <w:pStyle w:val="ListParagraph"/>
        <w:widowControl/>
        <w:numPr>
          <w:ilvl w:val="0"/>
          <w:numId w:val="17"/>
        </w:numPr>
        <w:spacing w:line="360" w:lineRule="auto"/>
        <w:ind w:left="0" w:firstLine="1440"/>
        <w:rPr>
          <w:sz w:val="26"/>
        </w:rPr>
      </w:pPr>
      <w:r w:rsidRPr="00860880">
        <w:rPr>
          <w:sz w:val="26"/>
        </w:rPr>
        <w:t xml:space="preserve">That the Joint Petition for </w:t>
      </w:r>
      <w:r w:rsidR="00E92158" w:rsidRPr="00860880">
        <w:rPr>
          <w:sz w:val="26"/>
        </w:rPr>
        <w:t xml:space="preserve">Approval of Settlement Stipulation filed by Duquesne Light Company, the Bureau of Investigation and Enforcement, the Office of Consumer Advocate, the Office of Small Business Advocate, the Coalition for </w:t>
      </w:r>
    </w:p>
    <w:p w:rsidR="00C61337" w:rsidRDefault="00E92158" w:rsidP="00A22769">
      <w:pPr>
        <w:pStyle w:val="ListParagraph"/>
        <w:keepNext/>
        <w:keepLines/>
        <w:widowControl/>
        <w:spacing w:line="360" w:lineRule="auto"/>
        <w:ind w:left="0"/>
        <w:rPr>
          <w:sz w:val="26"/>
        </w:rPr>
      </w:pPr>
      <w:r w:rsidRPr="00860880">
        <w:rPr>
          <w:sz w:val="26"/>
        </w:rPr>
        <w:lastRenderedPageBreak/>
        <w:t xml:space="preserve">Affordable Utility Services and Energy Efficiency in Pennsylvania, the Duquesne Industrial Intervenors, the Community Action </w:t>
      </w:r>
      <w:r w:rsidR="00860880" w:rsidRPr="00860880">
        <w:rPr>
          <w:sz w:val="26"/>
        </w:rPr>
        <w:t xml:space="preserve">Association </w:t>
      </w:r>
      <w:r w:rsidRPr="00860880">
        <w:rPr>
          <w:sz w:val="26"/>
        </w:rPr>
        <w:t>of Pennsylvania, Wal-Mart Stores East, LP and Sam</w:t>
      </w:r>
      <w:r w:rsidR="001E73FA">
        <w:rPr>
          <w:sz w:val="26"/>
        </w:rPr>
        <w:t>’</w:t>
      </w:r>
      <w:r w:rsidRPr="00860880">
        <w:rPr>
          <w:sz w:val="26"/>
        </w:rPr>
        <w:t>s East, Inc., ChargePoint, Inc., the Keystone Energy Efficiency Alliance, NRG Energy Center Pittsburgh LLC, Clean Air Council, and the Natural Resources Defense Council, Inc.</w:t>
      </w:r>
      <w:r w:rsidR="00860880" w:rsidRPr="00860880">
        <w:rPr>
          <w:sz w:val="26"/>
        </w:rPr>
        <w:t xml:space="preserve"> at Docket Nos. R-2018-3000124 and R-2018-3000829, including all terms and conditions as clarified</w:t>
      </w:r>
      <w:r w:rsidR="00C61337" w:rsidRPr="00860880">
        <w:rPr>
          <w:sz w:val="26"/>
        </w:rPr>
        <w:t>, is approved.</w:t>
      </w:r>
    </w:p>
    <w:p w:rsidR="00860880" w:rsidRPr="00860880" w:rsidRDefault="00860880" w:rsidP="007D3734">
      <w:pPr>
        <w:pStyle w:val="ListParagraph"/>
        <w:widowControl/>
        <w:ind w:left="0" w:firstLine="1440"/>
        <w:rPr>
          <w:sz w:val="26"/>
        </w:rPr>
      </w:pPr>
    </w:p>
    <w:p w:rsidR="00860880" w:rsidRDefault="00860880" w:rsidP="007D3734">
      <w:pPr>
        <w:pStyle w:val="ListParagraph"/>
        <w:widowControl/>
        <w:numPr>
          <w:ilvl w:val="0"/>
          <w:numId w:val="17"/>
        </w:numPr>
        <w:spacing w:line="360" w:lineRule="auto"/>
        <w:ind w:left="0" w:firstLine="1440"/>
        <w:rPr>
          <w:sz w:val="26"/>
          <w:szCs w:val="26"/>
        </w:rPr>
      </w:pPr>
      <w:r w:rsidRPr="00860880">
        <w:rPr>
          <w:sz w:val="26"/>
          <w:szCs w:val="26"/>
        </w:rPr>
        <w:t xml:space="preserve">That Duquesne Light Company is hereby authorized to file the tariff supplement contained in Appendix </w:t>
      </w:r>
      <w:r w:rsidR="001E73FA">
        <w:rPr>
          <w:sz w:val="26"/>
          <w:szCs w:val="26"/>
        </w:rPr>
        <w:t>“</w:t>
      </w:r>
      <w:r w:rsidRPr="00860880">
        <w:rPr>
          <w:sz w:val="26"/>
          <w:szCs w:val="26"/>
        </w:rPr>
        <w:t>A</w:t>
      </w:r>
      <w:r w:rsidR="001E73FA">
        <w:rPr>
          <w:sz w:val="26"/>
          <w:szCs w:val="26"/>
        </w:rPr>
        <w:t>”</w:t>
      </w:r>
      <w:r w:rsidRPr="00860880">
        <w:rPr>
          <w:sz w:val="26"/>
          <w:szCs w:val="26"/>
        </w:rPr>
        <w:t xml:space="preserve"> to the Joint Petition </w:t>
      </w:r>
      <w:r w:rsidR="0025717B">
        <w:rPr>
          <w:sz w:val="26"/>
          <w:szCs w:val="26"/>
        </w:rPr>
        <w:t>f</w:t>
      </w:r>
      <w:r w:rsidRPr="00860880">
        <w:rPr>
          <w:sz w:val="26"/>
          <w:szCs w:val="26"/>
        </w:rPr>
        <w:t>or Approval of Settlement Stipulation on less than statutory notice, to be effective on at least one day</w:t>
      </w:r>
      <w:r w:rsidR="001E73FA">
        <w:rPr>
          <w:sz w:val="26"/>
          <w:szCs w:val="26"/>
        </w:rPr>
        <w:t>’</w:t>
      </w:r>
      <w:r w:rsidRPr="00860880">
        <w:rPr>
          <w:sz w:val="26"/>
          <w:szCs w:val="26"/>
        </w:rPr>
        <w:t>s notice after entry of the Commission</w:t>
      </w:r>
      <w:r w:rsidR="001E73FA">
        <w:rPr>
          <w:sz w:val="26"/>
          <w:szCs w:val="26"/>
        </w:rPr>
        <w:t>’</w:t>
      </w:r>
      <w:r w:rsidRPr="00860880">
        <w:rPr>
          <w:sz w:val="26"/>
          <w:szCs w:val="26"/>
        </w:rPr>
        <w:t>s Final Order, for service rendered on and after December 29, 2018, designed to produce $9</w:t>
      </w:r>
      <w:r>
        <w:rPr>
          <w:sz w:val="26"/>
          <w:szCs w:val="26"/>
        </w:rPr>
        <w:t>2</w:t>
      </w:r>
      <w:r w:rsidRPr="00860880">
        <w:rPr>
          <w:sz w:val="26"/>
          <w:szCs w:val="26"/>
        </w:rPr>
        <w:t>.7 million in additional annual base rate operating revenue based upon the pro forma level of operations at December 31, 2018, consistent with the Commission</w:t>
      </w:r>
      <w:r w:rsidR="001E73FA">
        <w:rPr>
          <w:sz w:val="26"/>
          <w:szCs w:val="26"/>
        </w:rPr>
        <w:t>’</w:t>
      </w:r>
      <w:r w:rsidRPr="00860880">
        <w:rPr>
          <w:sz w:val="26"/>
          <w:szCs w:val="26"/>
        </w:rPr>
        <w:t>s Final Order in this proceeding.</w:t>
      </w:r>
    </w:p>
    <w:p w:rsidR="00860880" w:rsidRPr="00860880" w:rsidRDefault="00860880" w:rsidP="007D3734">
      <w:pPr>
        <w:pStyle w:val="ListParagraph"/>
        <w:widowControl/>
        <w:ind w:left="0" w:firstLine="1440"/>
        <w:rPr>
          <w:sz w:val="26"/>
          <w:szCs w:val="26"/>
        </w:rPr>
      </w:pPr>
    </w:p>
    <w:p w:rsidR="00860880" w:rsidRDefault="00860880" w:rsidP="007D3734">
      <w:pPr>
        <w:pStyle w:val="ListParagraph"/>
        <w:widowControl/>
        <w:numPr>
          <w:ilvl w:val="0"/>
          <w:numId w:val="17"/>
        </w:numPr>
        <w:spacing w:line="360" w:lineRule="auto"/>
        <w:ind w:left="0" w:firstLine="1440"/>
        <w:rPr>
          <w:sz w:val="26"/>
          <w:szCs w:val="26"/>
        </w:rPr>
      </w:pPr>
      <w:r w:rsidRPr="00860880">
        <w:rPr>
          <w:sz w:val="26"/>
          <w:szCs w:val="26"/>
        </w:rPr>
        <w:t xml:space="preserve">That Duquesne Light Company shall allocate the authorized increase in operating revenue to each customer class and shall implement the rate design as set forth in Appendix </w:t>
      </w:r>
      <w:r w:rsidR="001E73FA">
        <w:rPr>
          <w:sz w:val="26"/>
          <w:szCs w:val="26"/>
        </w:rPr>
        <w:t>“</w:t>
      </w:r>
      <w:r w:rsidRPr="00860880">
        <w:rPr>
          <w:sz w:val="26"/>
          <w:szCs w:val="26"/>
        </w:rPr>
        <w:t>A</w:t>
      </w:r>
      <w:r w:rsidR="001E73FA">
        <w:rPr>
          <w:sz w:val="26"/>
          <w:szCs w:val="26"/>
        </w:rPr>
        <w:t>”</w:t>
      </w:r>
      <w:r w:rsidRPr="00860880">
        <w:rPr>
          <w:sz w:val="26"/>
          <w:szCs w:val="26"/>
        </w:rPr>
        <w:t xml:space="preserve"> to the Joint Petition </w:t>
      </w:r>
      <w:r>
        <w:rPr>
          <w:sz w:val="26"/>
          <w:szCs w:val="26"/>
        </w:rPr>
        <w:t>f</w:t>
      </w:r>
      <w:r w:rsidRPr="00860880">
        <w:rPr>
          <w:sz w:val="26"/>
          <w:szCs w:val="26"/>
        </w:rPr>
        <w:t>or</w:t>
      </w:r>
      <w:r w:rsidR="00D32F46">
        <w:rPr>
          <w:sz w:val="26"/>
          <w:szCs w:val="26"/>
        </w:rPr>
        <w:t xml:space="preserve"> Approval of </w:t>
      </w:r>
      <w:r w:rsidRPr="00860880">
        <w:rPr>
          <w:sz w:val="26"/>
          <w:szCs w:val="26"/>
        </w:rPr>
        <w:t>Settlement</w:t>
      </w:r>
      <w:r w:rsidR="00D32F46">
        <w:rPr>
          <w:sz w:val="26"/>
          <w:szCs w:val="26"/>
        </w:rPr>
        <w:t xml:space="preserve"> Stipulation</w:t>
      </w:r>
      <w:r w:rsidRPr="00860880">
        <w:rPr>
          <w:sz w:val="26"/>
          <w:szCs w:val="26"/>
        </w:rPr>
        <w:t>.</w:t>
      </w:r>
    </w:p>
    <w:p w:rsidR="00860880" w:rsidRPr="00860880" w:rsidRDefault="00860880" w:rsidP="007D3734">
      <w:pPr>
        <w:pStyle w:val="ListParagraph"/>
        <w:widowControl/>
        <w:ind w:left="0" w:firstLine="1440"/>
        <w:rPr>
          <w:sz w:val="26"/>
          <w:szCs w:val="26"/>
        </w:rPr>
      </w:pPr>
    </w:p>
    <w:p w:rsidR="00860880" w:rsidRDefault="00860880" w:rsidP="007D3734">
      <w:pPr>
        <w:pStyle w:val="ListParagraph"/>
        <w:widowControl/>
        <w:numPr>
          <w:ilvl w:val="0"/>
          <w:numId w:val="17"/>
        </w:numPr>
        <w:spacing w:line="360" w:lineRule="auto"/>
        <w:ind w:left="0" w:firstLine="1440"/>
        <w:rPr>
          <w:sz w:val="26"/>
          <w:szCs w:val="26"/>
        </w:rPr>
      </w:pPr>
      <w:r w:rsidRPr="00860880">
        <w:rPr>
          <w:sz w:val="26"/>
          <w:szCs w:val="26"/>
        </w:rPr>
        <w:t>That the Formal Complaints filed against the base rate proceeding at R-2018-3000124 by the Office of Consumer Advocate at C-2018-3001029; Peoples Natural Gas Company LLC at C-2018-3001152; Office of Small Business Advocate at C</w:t>
      </w:r>
      <w:r w:rsidR="00480E12">
        <w:rPr>
          <w:sz w:val="26"/>
          <w:szCs w:val="26"/>
        </w:rPr>
        <w:noBreakHyphen/>
      </w:r>
      <w:r w:rsidRPr="00860880">
        <w:rPr>
          <w:sz w:val="26"/>
          <w:szCs w:val="26"/>
        </w:rPr>
        <w:t xml:space="preserve">2018-3001566; Duquesne Industrial Intervenors at C-2018-3001713; and NRG Energy Center Pittsburgh LLC at C-2018-3002755, are dismissed and marked closed, consistent with the Joint Petition </w:t>
      </w:r>
      <w:r w:rsidR="0025717B" w:rsidRPr="00860880">
        <w:rPr>
          <w:sz w:val="26"/>
          <w:szCs w:val="26"/>
        </w:rPr>
        <w:t>for</w:t>
      </w:r>
      <w:r w:rsidRPr="00860880">
        <w:rPr>
          <w:sz w:val="26"/>
          <w:szCs w:val="26"/>
        </w:rPr>
        <w:t xml:space="preserve"> Approval of Settlement Stipulation.</w:t>
      </w:r>
    </w:p>
    <w:p w:rsidR="00D61E80" w:rsidRPr="00D61E80" w:rsidRDefault="00D61E80" w:rsidP="007D3734">
      <w:pPr>
        <w:pStyle w:val="ListParagraph"/>
        <w:widowControl/>
        <w:ind w:left="0" w:firstLine="1440"/>
        <w:rPr>
          <w:sz w:val="26"/>
          <w:szCs w:val="26"/>
        </w:rPr>
      </w:pPr>
    </w:p>
    <w:p w:rsidR="00D61E80" w:rsidRDefault="00D61E80" w:rsidP="00A22769">
      <w:pPr>
        <w:pStyle w:val="ListParagraph"/>
        <w:keepNext/>
        <w:keepLines/>
        <w:widowControl/>
        <w:numPr>
          <w:ilvl w:val="0"/>
          <w:numId w:val="17"/>
        </w:numPr>
        <w:spacing w:line="360" w:lineRule="auto"/>
        <w:ind w:left="0" w:firstLine="1440"/>
        <w:rPr>
          <w:sz w:val="26"/>
          <w:szCs w:val="26"/>
        </w:rPr>
      </w:pPr>
      <w:r w:rsidRPr="00D61E80">
        <w:rPr>
          <w:sz w:val="26"/>
          <w:szCs w:val="26"/>
        </w:rPr>
        <w:lastRenderedPageBreak/>
        <w:t>That Duquesne Light Company shall refund to customers $24 million, which sum includes interest, through a one or two-time bill credit on a distribution revenue basis, to return to ratepayers $19.2 million in 2018 tax savings associated with the Tax Cut and Jobs Act of 2018, inclusive of the effect of deferred income taxes and a gross-up of income taxes, and 2018 protected and unprotected EDIT.</w:t>
      </w:r>
    </w:p>
    <w:p w:rsidR="00D61E80" w:rsidRPr="00D61E80" w:rsidRDefault="00D61E80" w:rsidP="007D3734">
      <w:pPr>
        <w:pStyle w:val="ListParagraph"/>
        <w:widowControl/>
        <w:ind w:left="0" w:firstLine="1440"/>
        <w:rPr>
          <w:sz w:val="26"/>
          <w:szCs w:val="26"/>
        </w:rPr>
      </w:pPr>
    </w:p>
    <w:p w:rsidR="00D61E80" w:rsidRDefault="00D61E80" w:rsidP="007D3734">
      <w:pPr>
        <w:pStyle w:val="ListParagraph"/>
        <w:widowControl/>
        <w:numPr>
          <w:ilvl w:val="0"/>
          <w:numId w:val="17"/>
        </w:numPr>
        <w:spacing w:line="360" w:lineRule="auto"/>
        <w:ind w:left="0" w:firstLine="1440"/>
        <w:rPr>
          <w:sz w:val="26"/>
          <w:szCs w:val="26"/>
        </w:rPr>
      </w:pPr>
      <w:r w:rsidRPr="00D61E80">
        <w:rPr>
          <w:sz w:val="26"/>
          <w:szCs w:val="26"/>
        </w:rPr>
        <w:t>That Duquesne Light Company shall file with the Commission</w:t>
      </w:r>
      <w:r w:rsidR="001E73FA">
        <w:rPr>
          <w:sz w:val="26"/>
          <w:szCs w:val="26"/>
        </w:rPr>
        <w:t>’</w:t>
      </w:r>
      <w:r w:rsidRPr="00D61E80">
        <w:rPr>
          <w:sz w:val="26"/>
          <w:szCs w:val="26"/>
        </w:rPr>
        <w:t>s Bureau of Technical Utility Services a list that shall detail by rate class how much in dollars will be refunded to each rate class as a result of the Tax Cut and Jobs Act of 2017 refund. The list shall be filed at Docket No. R-2018-3000829 on or before January 29, 2019.</w:t>
      </w:r>
    </w:p>
    <w:p w:rsidR="00D61E80" w:rsidRPr="00D61E80" w:rsidRDefault="00D61E80" w:rsidP="007D3734">
      <w:pPr>
        <w:pStyle w:val="ListParagraph"/>
        <w:widowControl/>
        <w:ind w:left="0" w:firstLine="1440"/>
        <w:rPr>
          <w:sz w:val="26"/>
          <w:szCs w:val="26"/>
        </w:rPr>
      </w:pPr>
    </w:p>
    <w:p w:rsidR="00D61E80" w:rsidRDefault="00D61E80" w:rsidP="007D3734">
      <w:pPr>
        <w:pStyle w:val="ListParagraph"/>
        <w:widowControl/>
        <w:numPr>
          <w:ilvl w:val="0"/>
          <w:numId w:val="17"/>
        </w:numPr>
        <w:spacing w:line="360" w:lineRule="auto"/>
        <w:ind w:left="0" w:firstLine="1440"/>
        <w:rPr>
          <w:sz w:val="26"/>
          <w:szCs w:val="26"/>
        </w:rPr>
      </w:pPr>
      <w:r w:rsidRPr="00D61E80">
        <w:rPr>
          <w:sz w:val="26"/>
          <w:szCs w:val="26"/>
        </w:rPr>
        <w:t>That the Formal Complaints of Jason Dolby at C-2018-3001074; and Leonard Coyer at C-2018-3002424, are dismissed and marked closed.</w:t>
      </w:r>
    </w:p>
    <w:p w:rsidR="00D61E80" w:rsidRPr="00D61E80" w:rsidRDefault="00D61E80" w:rsidP="007D3734">
      <w:pPr>
        <w:pStyle w:val="ListParagraph"/>
        <w:widowControl/>
        <w:ind w:left="0" w:firstLine="1440"/>
        <w:rPr>
          <w:sz w:val="26"/>
          <w:szCs w:val="26"/>
        </w:rPr>
      </w:pPr>
    </w:p>
    <w:p w:rsidR="00D61E80" w:rsidRDefault="00D61E80" w:rsidP="007D3734">
      <w:pPr>
        <w:pStyle w:val="ListParagraph"/>
        <w:widowControl/>
        <w:numPr>
          <w:ilvl w:val="0"/>
          <w:numId w:val="17"/>
        </w:numPr>
        <w:spacing w:line="360" w:lineRule="auto"/>
        <w:ind w:left="0" w:firstLine="1440"/>
        <w:rPr>
          <w:sz w:val="26"/>
          <w:szCs w:val="26"/>
        </w:rPr>
      </w:pPr>
      <w:r w:rsidRPr="00D61E80">
        <w:rPr>
          <w:sz w:val="26"/>
          <w:szCs w:val="26"/>
        </w:rPr>
        <w:t>That Duquesne Light Company shall not alter the terms of Tariff Rider No. 21 to require new customer-generators to install a second meter socket for a generation meter prior to receiving net-metering services.</w:t>
      </w:r>
    </w:p>
    <w:p w:rsidR="00D61E80" w:rsidRPr="00D61E80" w:rsidRDefault="00D61E80" w:rsidP="007D3734">
      <w:pPr>
        <w:pStyle w:val="ListParagraph"/>
        <w:widowControl/>
        <w:ind w:left="0" w:firstLine="1440"/>
        <w:rPr>
          <w:sz w:val="26"/>
          <w:szCs w:val="26"/>
        </w:rPr>
      </w:pPr>
    </w:p>
    <w:p w:rsidR="00D61E80" w:rsidRDefault="00D61E80" w:rsidP="007D3734">
      <w:pPr>
        <w:pStyle w:val="ListParagraph"/>
        <w:widowControl/>
        <w:numPr>
          <w:ilvl w:val="0"/>
          <w:numId w:val="17"/>
        </w:numPr>
        <w:spacing w:line="360" w:lineRule="auto"/>
        <w:ind w:left="0" w:firstLine="1440"/>
        <w:rPr>
          <w:sz w:val="26"/>
          <w:szCs w:val="26"/>
        </w:rPr>
      </w:pPr>
      <w:r w:rsidRPr="00D61E80">
        <w:rPr>
          <w:sz w:val="26"/>
          <w:szCs w:val="26"/>
        </w:rPr>
        <w:t>That upon acceptance and approval by the Commission of the tariff revisions filed by Duquesne Light Company, consistent with this Order, the investigation at Docket No. R-2018-3000124 shall be marked closed.</w:t>
      </w:r>
    </w:p>
    <w:p w:rsidR="00D61E80" w:rsidRPr="00D61E80" w:rsidRDefault="00D61E80" w:rsidP="007D3734">
      <w:pPr>
        <w:pStyle w:val="ListParagraph"/>
        <w:widowControl/>
        <w:ind w:left="0" w:firstLine="1440"/>
        <w:rPr>
          <w:sz w:val="26"/>
          <w:szCs w:val="26"/>
        </w:rPr>
      </w:pPr>
    </w:p>
    <w:p w:rsidR="00D61E80" w:rsidRDefault="00D61E80" w:rsidP="007D3734">
      <w:pPr>
        <w:pStyle w:val="ListParagraph"/>
        <w:widowControl/>
        <w:numPr>
          <w:ilvl w:val="0"/>
          <w:numId w:val="17"/>
        </w:numPr>
        <w:spacing w:line="360" w:lineRule="auto"/>
        <w:ind w:left="0" w:firstLine="1440"/>
        <w:rPr>
          <w:sz w:val="26"/>
          <w:szCs w:val="26"/>
        </w:rPr>
      </w:pPr>
      <w:r w:rsidRPr="00D61E80">
        <w:rPr>
          <w:sz w:val="26"/>
          <w:szCs w:val="26"/>
        </w:rPr>
        <w:t>That upon acceptance and approval by the Commission of the $24 million refund to customers, which sum includes interest, through a one or two-time bill credit on a distribution revenue basis, pursuant to the Tax Cut and Jobs Act of 2017, the proceedings at Docket No. R-2018-3000829 shall be marked closed.</w:t>
      </w:r>
    </w:p>
    <w:p w:rsidR="00D61E80" w:rsidRPr="00D61E80" w:rsidRDefault="00D61E80" w:rsidP="007D3734">
      <w:pPr>
        <w:pStyle w:val="ListParagraph"/>
        <w:widowControl/>
        <w:rPr>
          <w:sz w:val="26"/>
          <w:szCs w:val="26"/>
        </w:rPr>
      </w:pPr>
    </w:p>
    <w:p w:rsidR="006C5EE9" w:rsidRPr="00E43E3C" w:rsidRDefault="008248E9" w:rsidP="007D3734">
      <w:pPr>
        <w:pStyle w:val="ListParagraph"/>
        <w:keepNext/>
        <w:keepLines/>
        <w:widowControl/>
        <w:numPr>
          <w:ilvl w:val="0"/>
          <w:numId w:val="17"/>
        </w:numPr>
        <w:spacing w:line="360" w:lineRule="auto"/>
        <w:ind w:left="0" w:firstLine="1440"/>
        <w:rPr>
          <w:sz w:val="26"/>
        </w:rPr>
      </w:pPr>
      <w:r w:rsidRPr="00E43E3C">
        <w:rPr>
          <w:sz w:val="26"/>
        </w:rPr>
        <w:lastRenderedPageBreak/>
        <w:t xml:space="preserve">That </w:t>
      </w:r>
      <w:r w:rsidR="00E43E3C" w:rsidRPr="00E43E3C">
        <w:rPr>
          <w:sz w:val="26"/>
        </w:rPr>
        <w:t>the Memo</w:t>
      </w:r>
      <w:r w:rsidR="00D61E80">
        <w:rPr>
          <w:sz w:val="26"/>
        </w:rPr>
        <w:t>randum</w:t>
      </w:r>
      <w:r w:rsidR="00E43E3C" w:rsidRPr="00E43E3C">
        <w:rPr>
          <w:sz w:val="26"/>
        </w:rPr>
        <w:t xml:space="preserve"> of Understanding between Duquesne Light Company and Duquesne University</w:t>
      </w:r>
      <w:r w:rsidR="00D61E80">
        <w:rPr>
          <w:sz w:val="26"/>
        </w:rPr>
        <w:t xml:space="preserve"> of the Holy Spirit</w:t>
      </w:r>
      <w:r w:rsidR="00E43E3C" w:rsidRPr="00E43E3C">
        <w:rPr>
          <w:sz w:val="26"/>
        </w:rPr>
        <w:t xml:space="preserve"> regarding </w:t>
      </w:r>
      <w:r w:rsidR="001F75B6">
        <w:rPr>
          <w:sz w:val="26"/>
        </w:rPr>
        <w:t>Tariff Rider No. 16</w:t>
      </w:r>
      <w:r w:rsidR="00D61E80">
        <w:rPr>
          <w:sz w:val="26"/>
        </w:rPr>
        <w:t xml:space="preserve"> signed June 25, 2018</w:t>
      </w:r>
      <w:r w:rsidR="00480E12">
        <w:rPr>
          <w:sz w:val="26"/>
        </w:rPr>
        <w:t>,</w:t>
      </w:r>
      <w:r w:rsidR="00E43E3C" w:rsidRPr="00E43E3C">
        <w:rPr>
          <w:sz w:val="26"/>
        </w:rPr>
        <w:t xml:space="preserve"> is hereby approved.  </w:t>
      </w:r>
    </w:p>
    <w:p w:rsidR="0032727E" w:rsidRPr="0032727E" w:rsidRDefault="0032727E" w:rsidP="007D3734">
      <w:pPr>
        <w:keepNext/>
        <w:keepLines/>
        <w:widowControl/>
        <w:tabs>
          <w:tab w:val="left" w:pos="-720"/>
        </w:tabs>
        <w:ind w:firstLine="5040"/>
        <w:contextualSpacing/>
        <w:rPr>
          <w:sz w:val="26"/>
          <w:szCs w:val="26"/>
        </w:rPr>
      </w:pPr>
    </w:p>
    <w:p w:rsidR="008D61F2" w:rsidRDefault="00B01658" w:rsidP="007D3734">
      <w:pPr>
        <w:keepNext/>
        <w:keepLines/>
        <w:widowControl/>
        <w:tabs>
          <w:tab w:val="left" w:pos="-720"/>
        </w:tabs>
        <w:ind w:firstLine="5040"/>
        <w:contextualSpacing/>
        <w:rPr>
          <w:b/>
          <w:sz w:val="26"/>
          <w:szCs w:val="26"/>
        </w:rPr>
      </w:pPr>
      <w:bookmarkStart w:id="67" w:name="_GoBack"/>
      <w:r w:rsidRPr="009F01BA">
        <w:rPr>
          <w:b/>
          <w:noProof/>
        </w:rPr>
        <w:drawing>
          <wp:anchor distT="0" distB="0" distL="114300" distR="114300" simplePos="0" relativeHeight="251659264" behindDoc="1" locked="0" layoutInCell="1" allowOverlap="1" wp14:anchorId="0B5CE3F8" wp14:editId="05A25A45">
            <wp:simplePos x="0" y="0"/>
            <wp:positionH relativeFrom="column">
              <wp:posOffset>2924175</wp:posOffset>
            </wp:positionH>
            <wp:positionV relativeFrom="paragraph">
              <wp:posOffset>150495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67"/>
      <w:r w:rsidR="008D61F2" w:rsidRPr="008D61F2">
        <w:rPr>
          <w:b/>
          <w:sz w:val="26"/>
          <w:szCs w:val="26"/>
        </w:rPr>
        <w:t>BY THE COMMISSION,</w:t>
      </w:r>
    </w:p>
    <w:p w:rsidR="00FF7E23" w:rsidRDefault="00FF7E23" w:rsidP="007D3734">
      <w:pPr>
        <w:keepNext/>
        <w:widowControl/>
        <w:tabs>
          <w:tab w:val="left" w:pos="-720"/>
        </w:tabs>
        <w:ind w:firstLine="5040"/>
        <w:contextualSpacing/>
        <w:rPr>
          <w:sz w:val="26"/>
          <w:szCs w:val="26"/>
        </w:rPr>
      </w:pPr>
    </w:p>
    <w:p w:rsidR="00FF7E23" w:rsidRDefault="00FF7E23" w:rsidP="007D3734">
      <w:pPr>
        <w:keepNext/>
        <w:widowControl/>
        <w:tabs>
          <w:tab w:val="left" w:pos="-720"/>
        </w:tabs>
        <w:ind w:firstLine="5040"/>
        <w:contextualSpacing/>
        <w:rPr>
          <w:sz w:val="26"/>
          <w:szCs w:val="26"/>
        </w:rPr>
      </w:pPr>
    </w:p>
    <w:p w:rsidR="00AD3E5D" w:rsidRDefault="00AD3E5D" w:rsidP="007D3734">
      <w:pPr>
        <w:keepNext/>
        <w:widowControl/>
        <w:tabs>
          <w:tab w:val="left" w:pos="-720"/>
        </w:tabs>
        <w:ind w:firstLine="5040"/>
        <w:contextualSpacing/>
        <w:rPr>
          <w:sz w:val="26"/>
          <w:szCs w:val="26"/>
        </w:rPr>
      </w:pPr>
    </w:p>
    <w:p w:rsidR="00BB679F" w:rsidRPr="00D32E33" w:rsidRDefault="00BB679F" w:rsidP="007D3734">
      <w:pPr>
        <w:keepNext/>
        <w:widowControl/>
        <w:tabs>
          <w:tab w:val="left" w:pos="-720"/>
        </w:tabs>
        <w:ind w:firstLine="5040"/>
        <w:contextualSpacing/>
        <w:rPr>
          <w:sz w:val="26"/>
        </w:rPr>
      </w:pPr>
    </w:p>
    <w:p w:rsidR="008D61F2" w:rsidRPr="008D61F2" w:rsidRDefault="008D61F2" w:rsidP="007D3734">
      <w:pPr>
        <w:keepNext/>
        <w:widowControl/>
        <w:tabs>
          <w:tab w:val="left" w:pos="-720"/>
        </w:tabs>
        <w:ind w:firstLine="5040"/>
        <w:contextualSpacing/>
        <w:rPr>
          <w:b/>
          <w:sz w:val="26"/>
          <w:szCs w:val="26"/>
        </w:rPr>
      </w:pPr>
      <w:r w:rsidRPr="008D61F2">
        <w:rPr>
          <w:sz w:val="26"/>
          <w:szCs w:val="26"/>
        </w:rPr>
        <w:t>Rosemary Chiavetta</w:t>
      </w:r>
    </w:p>
    <w:p w:rsidR="008D61F2" w:rsidRPr="008D61F2" w:rsidRDefault="008D61F2" w:rsidP="007D3734">
      <w:pPr>
        <w:keepNext/>
        <w:widowControl/>
        <w:tabs>
          <w:tab w:val="left" w:pos="-720"/>
        </w:tabs>
        <w:ind w:firstLine="5040"/>
        <w:contextualSpacing/>
        <w:rPr>
          <w:sz w:val="26"/>
          <w:szCs w:val="26"/>
        </w:rPr>
      </w:pPr>
      <w:r w:rsidRPr="008D61F2">
        <w:rPr>
          <w:sz w:val="26"/>
          <w:szCs w:val="26"/>
        </w:rPr>
        <w:t>Secretary</w:t>
      </w:r>
    </w:p>
    <w:p w:rsidR="008D61F2" w:rsidRPr="008D61F2" w:rsidRDefault="008D61F2" w:rsidP="007D3734">
      <w:pPr>
        <w:keepNext/>
        <w:widowControl/>
        <w:tabs>
          <w:tab w:val="left" w:pos="-720"/>
        </w:tabs>
        <w:contextualSpacing/>
        <w:rPr>
          <w:sz w:val="26"/>
          <w:szCs w:val="26"/>
        </w:rPr>
      </w:pPr>
    </w:p>
    <w:p w:rsidR="008D61F2" w:rsidRPr="008D61F2" w:rsidRDefault="008D61F2" w:rsidP="007D3734">
      <w:pPr>
        <w:keepNext/>
        <w:widowControl/>
        <w:tabs>
          <w:tab w:val="left" w:pos="-720"/>
        </w:tabs>
        <w:contextualSpacing/>
        <w:rPr>
          <w:sz w:val="26"/>
          <w:szCs w:val="26"/>
        </w:rPr>
      </w:pPr>
      <w:r w:rsidRPr="008D61F2">
        <w:rPr>
          <w:sz w:val="26"/>
          <w:szCs w:val="26"/>
        </w:rPr>
        <w:t>(SEAL)</w:t>
      </w:r>
    </w:p>
    <w:p w:rsidR="008D61F2" w:rsidRPr="008D61F2" w:rsidRDefault="008D61F2" w:rsidP="007D3734">
      <w:pPr>
        <w:keepNext/>
        <w:widowControl/>
        <w:tabs>
          <w:tab w:val="left" w:pos="-720"/>
        </w:tabs>
        <w:contextualSpacing/>
        <w:rPr>
          <w:sz w:val="26"/>
          <w:szCs w:val="26"/>
        </w:rPr>
      </w:pPr>
    </w:p>
    <w:p w:rsidR="008D61F2" w:rsidRPr="008D61F2" w:rsidRDefault="008D61F2" w:rsidP="007D3734">
      <w:pPr>
        <w:keepNext/>
        <w:widowControl/>
        <w:tabs>
          <w:tab w:val="left" w:pos="-720"/>
        </w:tabs>
        <w:contextualSpacing/>
        <w:rPr>
          <w:sz w:val="26"/>
          <w:szCs w:val="26"/>
        </w:rPr>
      </w:pPr>
      <w:r w:rsidRPr="008D61F2">
        <w:rPr>
          <w:sz w:val="26"/>
          <w:szCs w:val="26"/>
        </w:rPr>
        <w:t xml:space="preserve">ORDER ADOPTED: </w:t>
      </w:r>
      <w:r w:rsidR="004A7BEF">
        <w:rPr>
          <w:sz w:val="26"/>
          <w:szCs w:val="26"/>
        </w:rPr>
        <w:t xml:space="preserve"> </w:t>
      </w:r>
      <w:r w:rsidR="000D1FB9">
        <w:rPr>
          <w:sz w:val="26"/>
          <w:szCs w:val="26"/>
        </w:rPr>
        <w:t>December 20</w:t>
      </w:r>
      <w:r w:rsidR="00F41A2A">
        <w:rPr>
          <w:sz w:val="26"/>
          <w:szCs w:val="26"/>
        </w:rPr>
        <w:t>,</w:t>
      </w:r>
      <w:r w:rsidR="006503DC">
        <w:rPr>
          <w:sz w:val="26"/>
          <w:szCs w:val="26"/>
        </w:rPr>
        <w:t xml:space="preserve"> 2018</w:t>
      </w:r>
    </w:p>
    <w:p w:rsidR="008D61F2" w:rsidRPr="008D61F2" w:rsidRDefault="008D61F2" w:rsidP="007D3734">
      <w:pPr>
        <w:keepNext/>
        <w:widowControl/>
        <w:tabs>
          <w:tab w:val="left" w:pos="-720"/>
        </w:tabs>
        <w:contextualSpacing/>
        <w:rPr>
          <w:sz w:val="26"/>
          <w:szCs w:val="26"/>
        </w:rPr>
      </w:pPr>
    </w:p>
    <w:p w:rsidR="008D61F2" w:rsidRPr="003D1E07" w:rsidRDefault="008D61F2" w:rsidP="007D3734">
      <w:pPr>
        <w:keepNext/>
        <w:widowControl/>
        <w:tabs>
          <w:tab w:val="left" w:pos="-720"/>
        </w:tabs>
        <w:contextualSpacing/>
        <w:rPr>
          <w:sz w:val="26"/>
          <w:szCs w:val="26"/>
        </w:rPr>
      </w:pPr>
      <w:r w:rsidRPr="008D61F2">
        <w:rPr>
          <w:sz w:val="26"/>
          <w:szCs w:val="26"/>
        </w:rPr>
        <w:t>ORDER ENTERED:</w:t>
      </w:r>
      <w:r w:rsidR="00FF7E23">
        <w:rPr>
          <w:sz w:val="26"/>
          <w:szCs w:val="26"/>
        </w:rPr>
        <w:t xml:space="preserve">  </w:t>
      </w:r>
      <w:r w:rsidR="00B01658">
        <w:rPr>
          <w:sz w:val="26"/>
          <w:szCs w:val="26"/>
        </w:rPr>
        <w:t>December 20, 2018</w:t>
      </w:r>
    </w:p>
    <w:sectPr w:rsidR="008D61F2" w:rsidRPr="003D1E07" w:rsidSect="00C027EC">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818" w:rsidRDefault="00466818" w:rsidP="00F7174B">
      <w:r>
        <w:separator/>
      </w:r>
    </w:p>
  </w:endnote>
  <w:endnote w:type="continuationSeparator" w:id="0">
    <w:p w:rsidR="00466818" w:rsidRDefault="00466818" w:rsidP="00F7174B">
      <w:r>
        <w:continuationSeparator/>
      </w:r>
    </w:p>
  </w:endnote>
  <w:endnote w:type="continuationNotice" w:id="1">
    <w:p w:rsidR="00466818" w:rsidRDefault="00466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C1" w:rsidRDefault="004926C1">
    <w:pPr>
      <w:pStyle w:val="Footer"/>
      <w:jc w:val="center"/>
    </w:pPr>
  </w:p>
  <w:p w:rsidR="004926C1" w:rsidRPr="009F1A08" w:rsidRDefault="004926C1" w:rsidP="00356313">
    <w:pPr>
      <w:pStyle w:val="Footer"/>
      <w:tabs>
        <w:tab w:val="left" w:pos="5295"/>
      </w:tabs>
      <w:rPr>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043444"/>
      <w:docPartObj>
        <w:docPartGallery w:val="Page Numbers (Bottom of Page)"/>
        <w:docPartUnique/>
      </w:docPartObj>
    </w:sdtPr>
    <w:sdtEndPr>
      <w:rPr>
        <w:noProof/>
      </w:rPr>
    </w:sdtEndPr>
    <w:sdtContent>
      <w:p w:rsidR="004926C1" w:rsidRDefault="004926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926C1" w:rsidRPr="00C027EC" w:rsidRDefault="004926C1" w:rsidP="00C027EC">
    <w:pPr>
      <w:pStyle w:val="Footer"/>
      <w:tabs>
        <w:tab w:val="left" w:pos="5295"/>
      </w:tabs>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C1" w:rsidRDefault="004926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05974"/>
      <w:docPartObj>
        <w:docPartGallery w:val="Page Numbers (Bottom of Page)"/>
        <w:docPartUnique/>
      </w:docPartObj>
    </w:sdtPr>
    <w:sdtEndPr>
      <w:rPr>
        <w:noProof/>
        <w:sz w:val="26"/>
        <w:szCs w:val="26"/>
      </w:rPr>
    </w:sdtEndPr>
    <w:sdtContent>
      <w:p w:rsidR="004926C1" w:rsidRPr="001118B5" w:rsidRDefault="004926C1">
        <w:pPr>
          <w:pStyle w:val="Footer"/>
          <w:jc w:val="center"/>
          <w:rPr>
            <w:sz w:val="26"/>
            <w:szCs w:val="26"/>
          </w:rPr>
        </w:pPr>
        <w:r w:rsidRPr="001118B5">
          <w:rPr>
            <w:sz w:val="26"/>
            <w:szCs w:val="26"/>
          </w:rPr>
          <w:fldChar w:fldCharType="begin"/>
        </w:r>
        <w:r w:rsidRPr="001118B5">
          <w:rPr>
            <w:sz w:val="26"/>
            <w:szCs w:val="26"/>
          </w:rPr>
          <w:instrText xml:space="preserve"> PAGE   \* MERGEFORMAT </w:instrText>
        </w:r>
        <w:r w:rsidRPr="001118B5">
          <w:rPr>
            <w:sz w:val="26"/>
            <w:szCs w:val="26"/>
          </w:rPr>
          <w:fldChar w:fldCharType="separate"/>
        </w:r>
        <w:r w:rsidRPr="001118B5">
          <w:rPr>
            <w:noProof/>
            <w:sz w:val="26"/>
            <w:szCs w:val="26"/>
          </w:rPr>
          <w:t>2</w:t>
        </w:r>
        <w:r w:rsidRPr="001118B5">
          <w:rPr>
            <w:noProof/>
            <w:sz w:val="26"/>
            <w:szCs w:val="26"/>
          </w:rPr>
          <w:fldChar w:fldCharType="end"/>
        </w:r>
      </w:p>
    </w:sdtContent>
  </w:sdt>
  <w:p w:rsidR="004926C1" w:rsidRPr="00C027EC" w:rsidRDefault="004926C1" w:rsidP="00C027EC">
    <w:pPr>
      <w:pStyle w:val="Footer"/>
      <w:tabs>
        <w:tab w:val="left" w:pos="5295"/>
      </w:tabs>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818" w:rsidRDefault="00466818" w:rsidP="00F7174B">
      <w:r>
        <w:separator/>
      </w:r>
    </w:p>
  </w:footnote>
  <w:footnote w:type="continuationSeparator" w:id="0">
    <w:p w:rsidR="00466818" w:rsidRDefault="00466818" w:rsidP="00F7174B">
      <w:r>
        <w:continuationSeparator/>
      </w:r>
    </w:p>
  </w:footnote>
  <w:footnote w:type="continuationNotice" w:id="1">
    <w:p w:rsidR="00466818" w:rsidRDefault="00466818"/>
  </w:footnote>
  <w:footnote w:id="2">
    <w:p w:rsidR="004926C1" w:rsidRPr="008F6B17" w:rsidRDefault="004926C1" w:rsidP="00A81229">
      <w:pPr>
        <w:pStyle w:val="FootnoteText"/>
        <w:keepNext/>
        <w:keepLines/>
        <w:widowControl/>
        <w:spacing w:after="120"/>
        <w:rPr>
          <w:sz w:val="26"/>
          <w:szCs w:val="26"/>
        </w:rPr>
      </w:pPr>
      <w:r w:rsidRPr="008F6B17">
        <w:rPr>
          <w:sz w:val="26"/>
          <w:szCs w:val="26"/>
        </w:rPr>
        <w:tab/>
      </w:r>
      <w:r w:rsidRPr="008F6B17">
        <w:rPr>
          <w:rStyle w:val="FootnoteReference"/>
          <w:sz w:val="26"/>
          <w:szCs w:val="26"/>
        </w:rPr>
        <w:footnoteRef/>
      </w:r>
      <w:r w:rsidRPr="008F6B17">
        <w:rPr>
          <w:sz w:val="26"/>
          <w:szCs w:val="26"/>
        </w:rPr>
        <w:tab/>
        <w:t xml:space="preserve">As discussed, </w:t>
      </w:r>
      <w:r w:rsidRPr="008F6B17">
        <w:rPr>
          <w:i/>
          <w:sz w:val="26"/>
          <w:szCs w:val="26"/>
        </w:rPr>
        <w:t>infra</w:t>
      </w:r>
      <w:r w:rsidRPr="008F6B17">
        <w:rPr>
          <w:sz w:val="26"/>
          <w:szCs w:val="26"/>
        </w:rPr>
        <w:t>, Duquesne initially proposed an increase in Tariff Rider No. 16’s existing rate of $2.50 per kW rate</w:t>
      </w:r>
      <w:r>
        <w:rPr>
          <w:sz w:val="26"/>
          <w:szCs w:val="26"/>
        </w:rPr>
        <w:t xml:space="preserve"> to $8.00 per kW</w:t>
      </w:r>
      <w:r w:rsidRPr="008F6B17">
        <w:rPr>
          <w:sz w:val="26"/>
          <w:szCs w:val="26"/>
        </w:rPr>
        <w:t>, but subsequently withdrew its request in an attempt to satisfy Peoples’ concerns about the increase.  Notwithstand</w:t>
      </w:r>
      <w:r>
        <w:rPr>
          <w:sz w:val="26"/>
          <w:szCs w:val="26"/>
        </w:rPr>
        <w:t>-</w:t>
      </w:r>
      <w:r w:rsidRPr="008F6B17">
        <w:rPr>
          <w:sz w:val="26"/>
          <w:szCs w:val="26"/>
        </w:rPr>
        <w:t xml:space="preserve">ing, the withdrawal of the rate increase, DII continued to oppose the Company’s existing </w:t>
      </w:r>
      <w:r>
        <w:rPr>
          <w:sz w:val="26"/>
          <w:szCs w:val="26"/>
        </w:rPr>
        <w:t>Rider</w:t>
      </w:r>
      <w:r w:rsidRPr="008F6B17">
        <w:rPr>
          <w:sz w:val="26"/>
          <w:szCs w:val="26"/>
        </w:rPr>
        <w:t xml:space="preserve"> No. 16</w:t>
      </w:r>
      <w:r>
        <w:rPr>
          <w:sz w:val="26"/>
          <w:szCs w:val="26"/>
        </w:rPr>
        <w:t>.</w:t>
      </w:r>
      <w:r w:rsidRPr="008F6B17">
        <w:rPr>
          <w:sz w:val="26"/>
          <w:szCs w:val="26"/>
        </w:rPr>
        <w:t xml:space="preserve">  R.D. at 116.</w:t>
      </w:r>
    </w:p>
  </w:footnote>
  <w:footnote w:id="3">
    <w:p w:rsidR="004926C1" w:rsidRPr="00994B3F" w:rsidRDefault="004926C1" w:rsidP="00D32E33">
      <w:pPr>
        <w:pStyle w:val="FootnoteText"/>
        <w:keepNext/>
        <w:keepLines/>
        <w:widowControl/>
        <w:spacing w:after="120"/>
        <w:rPr>
          <w:sz w:val="26"/>
          <w:szCs w:val="26"/>
        </w:rPr>
      </w:pPr>
      <w:r>
        <w:rPr>
          <w:sz w:val="26"/>
          <w:szCs w:val="26"/>
        </w:rPr>
        <w:tab/>
      </w:r>
      <w:r w:rsidRPr="00994B3F">
        <w:rPr>
          <w:rStyle w:val="FootnoteReference"/>
          <w:sz w:val="26"/>
          <w:szCs w:val="26"/>
        </w:rPr>
        <w:footnoteRef/>
      </w:r>
      <w:r>
        <w:rPr>
          <w:sz w:val="26"/>
          <w:szCs w:val="26"/>
        </w:rPr>
        <w:tab/>
        <w:t xml:space="preserve">An abbreviated procedural history of the proceeding is found here.  </w:t>
      </w:r>
      <w:r w:rsidRPr="00994B3F">
        <w:rPr>
          <w:sz w:val="26"/>
          <w:szCs w:val="26"/>
        </w:rPr>
        <w:t>See the Recommended Decision</w:t>
      </w:r>
      <w:r>
        <w:rPr>
          <w:sz w:val="26"/>
          <w:szCs w:val="26"/>
        </w:rPr>
        <w:t xml:space="preserve">, pp. 1-7, </w:t>
      </w:r>
      <w:r w:rsidRPr="00994B3F">
        <w:rPr>
          <w:sz w:val="26"/>
          <w:szCs w:val="26"/>
        </w:rPr>
        <w:t xml:space="preserve">for a </w:t>
      </w:r>
      <w:r>
        <w:rPr>
          <w:sz w:val="26"/>
          <w:szCs w:val="26"/>
        </w:rPr>
        <w:t>more detailed</w:t>
      </w:r>
      <w:r w:rsidRPr="00994B3F">
        <w:rPr>
          <w:sz w:val="26"/>
          <w:szCs w:val="26"/>
        </w:rPr>
        <w:t xml:space="preserve"> history of the proceeding.</w:t>
      </w:r>
    </w:p>
  </w:footnote>
  <w:footnote w:id="4">
    <w:p w:rsidR="004926C1" w:rsidRPr="00341C14" w:rsidRDefault="004926C1" w:rsidP="00341C14">
      <w:pPr>
        <w:pStyle w:val="FootnoteText"/>
        <w:keepNext/>
        <w:keepLines/>
        <w:widowControl/>
        <w:spacing w:after="120"/>
        <w:rPr>
          <w:sz w:val="26"/>
          <w:szCs w:val="26"/>
        </w:rPr>
      </w:pPr>
      <w:r w:rsidRPr="00341C14">
        <w:rPr>
          <w:sz w:val="26"/>
          <w:szCs w:val="26"/>
        </w:rPr>
        <w:tab/>
      </w:r>
      <w:r w:rsidRPr="00341C14">
        <w:rPr>
          <w:rStyle w:val="FootnoteReference"/>
          <w:sz w:val="26"/>
          <w:szCs w:val="26"/>
        </w:rPr>
        <w:footnoteRef/>
      </w:r>
      <w:r w:rsidRPr="00341C14">
        <w:rPr>
          <w:sz w:val="26"/>
          <w:szCs w:val="26"/>
        </w:rPr>
        <w:tab/>
        <w:t>Duquesne is a “public utility” and an “electric distribution company,” as those terms are defined in Sections 102 and 2803 of the Public Utility Code (Code), 66 Pa. C.S. §§ 102 and 2803, and provides electric distribution and transmission services to approximately 596,000 customers in Allegheny and Beaver Counties, Pennsylvania.</w:t>
      </w:r>
    </w:p>
  </w:footnote>
  <w:footnote w:id="5">
    <w:p w:rsidR="004926C1" w:rsidRPr="00F42E8B" w:rsidRDefault="004926C1" w:rsidP="00F42E8B">
      <w:pPr>
        <w:pStyle w:val="FootnoteText"/>
        <w:keepNext/>
        <w:keepLines/>
        <w:widowControl/>
        <w:spacing w:after="120"/>
        <w:rPr>
          <w:sz w:val="26"/>
          <w:szCs w:val="26"/>
        </w:rPr>
      </w:pPr>
      <w:r w:rsidRPr="00F42E8B">
        <w:rPr>
          <w:sz w:val="26"/>
          <w:szCs w:val="26"/>
        </w:rPr>
        <w:tab/>
      </w:r>
      <w:r w:rsidRPr="00F42E8B">
        <w:rPr>
          <w:rStyle w:val="FootnoteReference"/>
          <w:sz w:val="26"/>
          <w:szCs w:val="26"/>
        </w:rPr>
        <w:footnoteRef/>
      </w:r>
      <w:r w:rsidRPr="00F42E8B">
        <w:rPr>
          <w:sz w:val="26"/>
          <w:szCs w:val="26"/>
        </w:rPr>
        <w:tab/>
        <w:t>On June 1, 2018, the presiding officer issued the Fifth Interim Order which bifurcated the formal complaint filed by James Fedell at Docket No. C-2018-3001473 from the base rate proceeding, and marked the formal complaint proceeding as closed due to the filing of a Certificate of Satisfaction, in accordance with 52 Pa.</w:t>
      </w:r>
      <w:r>
        <w:rPr>
          <w:sz w:val="26"/>
          <w:szCs w:val="26"/>
        </w:rPr>
        <w:t xml:space="preserve"> </w:t>
      </w:r>
      <w:r w:rsidRPr="00F42E8B">
        <w:rPr>
          <w:sz w:val="26"/>
          <w:szCs w:val="26"/>
        </w:rPr>
        <w:t>Code § 5.24.</w:t>
      </w:r>
    </w:p>
  </w:footnote>
  <w:footnote w:id="6">
    <w:p w:rsidR="004926C1" w:rsidRPr="009F0969" w:rsidRDefault="004926C1" w:rsidP="00341C14">
      <w:pPr>
        <w:pStyle w:val="FootnoteText"/>
        <w:keepNext/>
        <w:keepLines/>
        <w:widowControl/>
        <w:spacing w:after="120"/>
        <w:rPr>
          <w:sz w:val="26"/>
          <w:szCs w:val="26"/>
        </w:rPr>
      </w:pPr>
      <w:r>
        <w:rPr>
          <w:sz w:val="26"/>
          <w:szCs w:val="26"/>
        </w:rPr>
        <w:tab/>
      </w:r>
      <w:r w:rsidRPr="009F0969">
        <w:rPr>
          <w:rStyle w:val="FootnoteReference"/>
          <w:sz w:val="26"/>
          <w:szCs w:val="26"/>
        </w:rPr>
        <w:footnoteRef/>
      </w:r>
      <w:r>
        <w:rPr>
          <w:sz w:val="26"/>
          <w:szCs w:val="26"/>
        </w:rPr>
        <w:tab/>
        <w:t>The Partial Settlement reflects a roll-in of current recoveries under the Smart Meter Charge (SMC), Distribution System Improvement Charge and the Purchase of Receivable Portion of the Retail Market Enhancement Surcharge.  Partial Settlement Appendix F at ii-iii.</w:t>
      </w:r>
    </w:p>
  </w:footnote>
  <w:footnote w:id="7">
    <w:p w:rsidR="004926C1" w:rsidRPr="0024760B" w:rsidRDefault="004926C1" w:rsidP="00D32E33">
      <w:pPr>
        <w:pStyle w:val="FootnoteText"/>
        <w:keepNext/>
        <w:keepLines/>
        <w:widowControl/>
        <w:spacing w:after="120"/>
        <w:rPr>
          <w:sz w:val="26"/>
          <w:szCs w:val="26"/>
        </w:rPr>
      </w:pPr>
      <w:r w:rsidRPr="0024760B">
        <w:rPr>
          <w:sz w:val="26"/>
          <w:szCs w:val="26"/>
        </w:rPr>
        <w:tab/>
      </w:r>
      <w:r w:rsidRPr="0024760B">
        <w:rPr>
          <w:rStyle w:val="FootnoteReference"/>
          <w:sz w:val="26"/>
          <w:szCs w:val="26"/>
        </w:rPr>
        <w:footnoteRef/>
      </w:r>
      <w:r w:rsidRPr="0024760B">
        <w:rPr>
          <w:sz w:val="26"/>
          <w:szCs w:val="26"/>
        </w:rPr>
        <w:tab/>
        <w:t xml:space="preserve">NRGP </w:t>
      </w:r>
      <w:r>
        <w:rPr>
          <w:sz w:val="26"/>
          <w:szCs w:val="26"/>
        </w:rPr>
        <w:t>s</w:t>
      </w:r>
      <w:r w:rsidRPr="0024760B">
        <w:rPr>
          <w:sz w:val="26"/>
          <w:szCs w:val="26"/>
        </w:rPr>
        <w:t xml:space="preserve">upports only the provisions of the </w:t>
      </w:r>
      <w:r>
        <w:rPr>
          <w:sz w:val="26"/>
          <w:szCs w:val="26"/>
        </w:rPr>
        <w:t xml:space="preserve">Partial </w:t>
      </w:r>
      <w:r w:rsidRPr="0024760B">
        <w:rPr>
          <w:sz w:val="26"/>
          <w:szCs w:val="26"/>
        </w:rPr>
        <w:t xml:space="preserve">Settlement relating to the stipulation between NRGP and Duquesne as set forth in Section E, Paragraph </w:t>
      </w:r>
      <w:r>
        <w:rPr>
          <w:sz w:val="26"/>
          <w:szCs w:val="26"/>
        </w:rPr>
        <w:t xml:space="preserve">No. </w:t>
      </w:r>
      <w:r w:rsidRPr="0024760B">
        <w:rPr>
          <w:sz w:val="26"/>
          <w:szCs w:val="26"/>
        </w:rPr>
        <w:t xml:space="preserve">60 of the Settlement.  NRGP does not oppose the remainder of the Settlement.  </w:t>
      </w:r>
      <w:r>
        <w:rPr>
          <w:sz w:val="26"/>
          <w:szCs w:val="26"/>
        </w:rPr>
        <w:t xml:space="preserve">Partial </w:t>
      </w:r>
      <w:r w:rsidRPr="0024760B">
        <w:rPr>
          <w:sz w:val="26"/>
          <w:szCs w:val="26"/>
        </w:rPr>
        <w:t>Settlement at 2,</w:t>
      </w:r>
      <w:r>
        <w:rPr>
          <w:sz w:val="26"/>
          <w:szCs w:val="26"/>
        </w:rPr>
        <w:t xml:space="preserve"> </w:t>
      </w:r>
      <w:r w:rsidRPr="0024760B">
        <w:rPr>
          <w:sz w:val="26"/>
          <w:szCs w:val="26"/>
        </w:rPr>
        <w:t>n.2.</w:t>
      </w:r>
    </w:p>
  </w:footnote>
  <w:footnote w:id="8">
    <w:p w:rsidR="004926C1" w:rsidRDefault="004926C1" w:rsidP="00D32E33">
      <w:pPr>
        <w:pStyle w:val="FootnoteText"/>
        <w:keepNext/>
        <w:keepLines/>
        <w:widowControl/>
        <w:spacing w:after="120"/>
        <w:rPr>
          <w:sz w:val="26"/>
          <w:szCs w:val="26"/>
        </w:rPr>
      </w:pPr>
      <w:r>
        <w:rPr>
          <w:sz w:val="26"/>
          <w:szCs w:val="26"/>
        </w:rPr>
        <w:tab/>
      </w:r>
      <w:r>
        <w:rPr>
          <w:rStyle w:val="FootnoteReference"/>
          <w:sz w:val="26"/>
          <w:szCs w:val="26"/>
        </w:rPr>
        <w:footnoteRef/>
      </w:r>
      <w:r>
        <w:rPr>
          <w:sz w:val="26"/>
          <w:szCs w:val="26"/>
        </w:rPr>
        <w:tab/>
        <w:t xml:space="preserve">Rate SM is for Street light Municipal customers.  </w:t>
      </w:r>
    </w:p>
  </w:footnote>
  <w:footnote w:id="9">
    <w:p w:rsidR="004926C1" w:rsidRPr="005F27DE" w:rsidRDefault="004926C1" w:rsidP="00D32E33">
      <w:pPr>
        <w:pStyle w:val="FootnoteText"/>
        <w:keepNext/>
        <w:keepLines/>
        <w:widowControl/>
        <w:spacing w:after="120"/>
        <w:ind w:firstLine="720"/>
        <w:rPr>
          <w:sz w:val="26"/>
          <w:szCs w:val="26"/>
        </w:rPr>
      </w:pPr>
      <w:r w:rsidRPr="005F27DE">
        <w:rPr>
          <w:rStyle w:val="FootnoteReference"/>
          <w:sz w:val="26"/>
          <w:szCs w:val="26"/>
        </w:rPr>
        <w:footnoteRef/>
      </w:r>
      <w:r w:rsidRPr="005F27DE">
        <w:rPr>
          <w:sz w:val="26"/>
          <w:szCs w:val="26"/>
        </w:rPr>
        <w:tab/>
      </w:r>
      <w:r w:rsidRPr="005F27DE">
        <w:rPr>
          <w:i/>
          <w:sz w:val="26"/>
          <w:szCs w:val="26"/>
        </w:rPr>
        <w:t>Lower Frederick Twp. v. Pa. P</w:t>
      </w:r>
      <w:r>
        <w:rPr>
          <w:i/>
          <w:sz w:val="26"/>
          <w:szCs w:val="26"/>
        </w:rPr>
        <w:t>UC</w:t>
      </w:r>
      <w:r w:rsidRPr="005F27DE">
        <w:rPr>
          <w:sz w:val="26"/>
          <w:szCs w:val="26"/>
        </w:rPr>
        <w:t>, 409 A.2d 505, 507 (</w:t>
      </w:r>
      <w:r>
        <w:rPr>
          <w:sz w:val="26"/>
          <w:szCs w:val="26"/>
        </w:rPr>
        <w:t xml:space="preserve">Pa. Cmwlth. </w:t>
      </w:r>
      <w:r w:rsidRPr="005F27DE">
        <w:rPr>
          <w:sz w:val="26"/>
          <w:szCs w:val="26"/>
        </w:rPr>
        <w:t xml:space="preserve">1980).  </w:t>
      </w:r>
      <w:r w:rsidRPr="00A51303">
        <w:rPr>
          <w:i/>
          <w:sz w:val="26"/>
          <w:szCs w:val="26"/>
        </w:rPr>
        <w:t>See also</w:t>
      </w:r>
      <w:r w:rsidRPr="005F27DE">
        <w:rPr>
          <w:sz w:val="26"/>
          <w:szCs w:val="26"/>
        </w:rPr>
        <w:t xml:space="preserve">, </w:t>
      </w:r>
      <w:r w:rsidRPr="005F27DE">
        <w:rPr>
          <w:i/>
          <w:sz w:val="26"/>
          <w:szCs w:val="26"/>
        </w:rPr>
        <w:t xml:space="preserve">Brockway Glass v. Pa. </w:t>
      </w:r>
      <w:r>
        <w:rPr>
          <w:i/>
          <w:sz w:val="26"/>
          <w:szCs w:val="26"/>
        </w:rPr>
        <w:t>PUC</w:t>
      </w:r>
      <w:r w:rsidRPr="005F27DE">
        <w:rPr>
          <w:sz w:val="26"/>
          <w:szCs w:val="26"/>
        </w:rPr>
        <w:t>, 437 A.2d 1067 (</w:t>
      </w:r>
      <w:r>
        <w:rPr>
          <w:sz w:val="26"/>
          <w:szCs w:val="26"/>
        </w:rPr>
        <w:t xml:space="preserve">Pa. Cmwlth. </w:t>
      </w:r>
      <w:r w:rsidRPr="005F27DE">
        <w:rPr>
          <w:sz w:val="26"/>
          <w:szCs w:val="26"/>
        </w:rPr>
        <w:t>1981).</w:t>
      </w:r>
    </w:p>
  </w:footnote>
  <w:footnote w:id="10">
    <w:p w:rsidR="004926C1" w:rsidRPr="005F27DE" w:rsidRDefault="004926C1" w:rsidP="00D32E33">
      <w:pPr>
        <w:pStyle w:val="FootnoteText"/>
        <w:keepNext/>
        <w:keepLines/>
        <w:widowControl/>
        <w:spacing w:after="120"/>
        <w:ind w:firstLine="720"/>
        <w:rPr>
          <w:sz w:val="26"/>
          <w:szCs w:val="26"/>
        </w:rPr>
      </w:pPr>
      <w:r w:rsidRPr="005F27DE">
        <w:rPr>
          <w:rStyle w:val="FootnoteReference"/>
          <w:sz w:val="26"/>
          <w:szCs w:val="26"/>
        </w:rPr>
        <w:footnoteRef/>
      </w:r>
      <w:r w:rsidRPr="005F27DE">
        <w:rPr>
          <w:sz w:val="26"/>
          <w:szCs w:val="26"/>
        </w:rPr>
        <w:tab/>
        <w:t xml:space="preserve">There is no similar burden placed on parties which challenge a proposed rate component.  See, </w:t>
      </w:r>
      <w:r w:rsidRPr="00C706C0">
        <w:rPr>
          <w:i/>
          <w:sz w:val="26"/>
          <w:szCs w:val="26"/>
        </w:rPr>
        <w:t xml:space="preserve">Berner v. Pa. </w:t>
      </w:r>
      <w:r>
        <w:rPr>
          <w:i/>
          <w:sz w:val="26"/>
          <w:szCs w:val="26"/>
        </w:rPr>
        <w:t>PUC</w:t>
      </w:r>
      <w:r w:rsidRPr="005F27DE">
        <w:rPr>
          <w:sz w:val="26"/>
          <w:szCs w:val="26"/>
        </w:rPr>
        <w:t>, 382 Pa. 622, 631, 116 A.2d 738, 744 (1955).</w:t>
      </w:r>
    </w:p>
  </w:footnote>
  <w:footnote w:id="11">
    <w:p w:rsidR="004926C1" w:rsidRPr="005F27DE" w:rsidRDefault="004926C1" w:rsidP="00D32E33">
      <w:pPr>
        <w:pStyle w:val="FootnoteText"/>
        <w:keepNext/>
        <w:keepLines/>
        <w:widowControl/>
        <w:spacing w:after="120"/>
        <w:ind w:firstLine="720"/>
        <w:rPr>
          <w:sz w:val="26"/>
          <w:szCs w:val="26"/>
        </w:rPr>
      </w:pPr>
      <w:r w:rsidRPr="005F27DE">
        <w:rPr>
          <w:rStyle w:val="FootnoteReference"/>
          <w:sz w:val="26"/>
          <w:szCs w:val="26"/>
        </w:rPr>
        <w:footnoteRef/>
      </w:r>
      <w:r w:rsidRPr="005F27DE">
        <w:rPr>
          <w:sz w:val="26"/>
          <w:szCs w:val="26"/>
        </w:rPr>
        <w:tab/>
      </w:r>
      <w:r w:rsidRPr="00C706C0">
        <w:rPr>
          <w:i/>
          <w:sz w:val="26"/>
          <w:szCs w:val="26"/>
        </w:rPr>
        <w:t xml:space="preserve">Allegheny Center Assocs. v. Pa. </w:t>
      </w:r>
      <w:r>
        <w:rPr>
          <w:i/>
          <w:sz w:val="26"/>
          <w:szCs w:val="26"/>
        </w:rPr>
        <w:t>PUC</w:t>
      </w:r>
      <w:r w:rsidRPr="005F27DE">
        <w:rPr>
          <w:sz w:val="26"/>
          <w:szCs w:val="26"/>
        </w:rPr>
        <w:t>, 570 A.2d 149, 153 (Pa. Cmwlth. 1990).</w:t>
      </w:r>
    </w:p>
  </w:footnote>
  <w:footnote w:id="12">
    <w:p w:rsidR="004926C1" w:rsidRPr="005F27DE" w:rsidRDefault="004926C1" w:rsidP="00D32E33">
      <w:pPr>
        <w:pStyle w:val="FootnoteText"/>
        <w:keepNext/>
        <w:keepLines/>
        <w:widowControl/>
        <w:spacing w:after="120"/>
        <w:ind w:firstLine="720"/>
        <w:rPr>
          <w:sz w:val="26"/>
          <w:szCs w:val="26"/>
        </w:rPr>
      </w:pPr>
      <w:r w:rsidRPr="005F27DE">
        <w:rPr>
          <w:rStyle w:val="FootnoteReference"/>
          <w:sz w:val="26"/>
          <w:szCs w:val="26"/>
        </w:rPr>
        <w:footnoteRef/>
      </w:r>
      <w:r w:rsidRPr="005F27DE">
        <w:rPr>
          <w:sz w:val="26"/>
          <w:szCs w:val="26"/>
        </w:rPr>
        <w:tab/>
      </w:r>
      <w:r w:rsidRPr="00A51303">
        <w:rPr>
          <w:i/>
          <w:sz w:val="26"/>
          <w:szCs w:val="26"/>
        </w:rPr>
        <w:t>See</w:t>
      </w:r>
      <w:r w:rsidRPr="005F27DE">
        <w:rPr>
          <w:sz w:val="26"/>
          <w:szCs w:val="26"/>
        </w:rPr>
        <w:t xml:space="preserve">, </w:t>
      </w:r>
      <w:r w:rsidRPr="00A51303">
        <w:rPr>
          <w:i/>
          <w:sz w:val="26"/>
          <w:szCs w:val="26"/>
        </w:rPr>
        <w:t>e.g</w:t>
      </w:r>
      <w:r w:rsidRPr="005F27DE">
        <w:rPr>
          <w:sz w:val="26"/>
          <w:szCs w:val="26"/>
        </w:rPr>
        <w:t xml:space="preserve">., </w:t>
      </w:r>
      <w:r w:rsidRPr="00C706C0">
        <w:rPr>
          <w:i/>
          <w:sz w:val="26"/>
          <w:szCs w:val="26"/>
        </w:rPr>
        <w:t xml:space="preserve">Pa. </w:t>
      </w:r>
      <w:r>
        <w:rPr>
          <w:i/>
          <w:sz w:val="26"/>
          <w:szCs w:val="26"/>
        </w:rPr>
        <w:t>PUC</w:t>
      </w:r>
      <w:r w:rsidRPr="00C706C0">
        <w:rPr>
          <w:i/>
          <w:sz w:val="26"/>
          <w:szCs w:val="26"/>
        </w:rPr>
        <w:t xml:space="preserve"> v. PECO,</w:t>
      </w:r>
      <w:r w:rsidRPr="005F27DE">
        <w:rPr>
          <w:sz w:val="26"/>
          <w:szCs w:val="26"/>
        </w:rPr>
        <w:t>1990 Pa. PUC L</w:t>
      </w:r>
      <w:r>
        <w:rPr>
          <w:sz w:val="26"/>
          <w:szCs w:val="26"/>
        </w:rPr>
        <w:t>exis</w:t>
      </w:r>
      <w:r w:rsidRPr="005F27DE">
        <w:rPr>
          <w:sz w:val="26"/>
          <w:szCs w:val="26"/>
        </w:rPr>
        <w:t xml:space="preserve"> 155; </w:t>
      </w:r>
      <w:r w:rsidRPr="00B74EF6">
        <w:rPr>
          <w:i/>
          <w:sz w:val="26"/>
          <w:szCs w:val="26"/>
        </w:rPr>
        <w:t>Pa. PUC v. Breezewood Telephone Company</w:t>
      </w:r>
      <w:r w:rsidRPr="005F27DE">
        <w:rPr>
          <w:sz w:val="26"/>
          <w:szCs w:val="26"/>
        </w:rPr>
        <w:t>, 1991 Pa. PUC L</w:t>
      </w:r>
      <w:r>
        <w:rPr>
          <w:sz w:val="26"/>
          <w:szCs w:val="26"/>
        </w:rPr>
        <w:t>exis</w:t>
      </w:r>
      <w:r w:rsidRPr="005F27DE">
        <w:rPr>
          <w:sz w:val="26"/>
          <w:szCs w:val="26"/>
        </w:rPr>
        <w:t xml:space="preserve"> 45</w:t>
      </w:r>
      <w:r>
        <w:rPr>
          <w:sz w:val="26"/>
          <w:szCs w:val="26"/>
        </w:rPr>
        <w:t>.</w:t>
      </w:r>
      <w:r w:rsidRPr="005F27DE">
        <w:rPr>
          <w:sz w:val="26"/>
          <w:szCs w:val="26"/>
        </w:rPr>
        <w:t xml:space="preserve"> </w:t>
      </w:r>
    </w:p>
  </w:footnote>
  <w:footnote w:id="13">
    <w:p w:rsidR="004926C1" w:rsidRPr="00840048" w:rsidRDefault="004926C1" w:rsidP="00D32E33">
      <w:pPr>
        <w:pStyle w:val="FootnoteText"/>
        <w:keepNext/>
        <w:keepLines/>
        <w:widowControl/>
        <w:spacing w:after="120"/>
        <w:rPr>
          <w:sz w:val="26"/>
          <w:szCs w:val="26"/>
        </w:rPr>
      </w:pPr>
      <w:r>
        <w:rPr>
          <w:sz w:val="26"/>
          <w:szCs w:val="26"/>
        </w:rPr>
        <w:tab/>
      </w:r>
      <w:r w:rsidRPr="00840048">
        <w:rPr>
          <w:rStyle w:val="FootnoteReference"/>
          <w:sz w:val="26"/>
          <w:szCs w:val="26"/>
        </w:rPr>
        <w:footnoteRef/>
      </w:r>
      <w:r>
        <w:rPr>
          <w:sz w:val="26"/>
          <w:szCs w:val="26"/>
        </w:rPr>
        <w:tab/>
      </w:r>
      <w:r w:rsidRPr="007E0451">
        <w:rPr>
          <w:i/>
          <w:sz w:val="26"/>
          <w:szCs w:val="26"/>
        </w:rPr>
        <w:t>Final Policy Statement on Combined Heat and Power</w:t>
      </w:r>
      <w:r w:rsidRPr="00840048">
        <w:rPr>
          <w:sz w:val="26"/>
          <w:szCs w:val="26"/>
        </w:rPr>
        <w:t>, Docket No. M</w:t>
      </w:r>
      <w:r>
        <w:rPr>
          <w:sz w:val="26"/>
          <w:szCs w:val="26"/>
        </w:rPr>
        <w:noBreakHyphen/>
      </w:r>
      <w:r w:rsidRPr="00840048">
        <w:rPr>
          <w:sz w:val="26"/>
          <w:szCs w:val="26"/>
        </w:rPr>
        <w:t>2016-2530484, (April 5, 2018) (CHP Policy Statement)</w:t>
      </w:r>
      <w:r>
        <w:rPr>
          <w:sz w:val="26"/>
          <w:szCs w:val="26"/>
        </w:rPr>
        <w:t>.</w:t>
      </w:r>
    </w:p>
  </w:footnote>
  <w:footnote w:id="14">
    <w:p w:rsidR="004926C1" w:rsidRPr="00D32E33" w:rsidRDefault="004926C1" w:rsidP="00D32E33">
      <w:pPr>
        <w:pStyle w:val="FootnoteText"/>
        <w:keepNext/>
        <w:keepLines/>
        <w:widowControl/>
        <w:spacing w:after="120"/>
        <w:rPr>
          <w:sz w:val="26"/>
        </w:rPr>
      </w:pPr>
      <w:r>
        <w:rPr>
          <w:sz w:val="26"/>
          <w:szCs w:val="26"/>
        </w:rPr>
        <w:tab/>
      </w:r>
      <w:r w:rsidRPr="00994B3F">
        <w:rPr>
          <w:rStyle w:val="FootnoteReference"/>
          <w:sz w:val="26"/>
          <w:szCs w:val="26"/>
        </w:rPr>
        <w:footnoteRef/>
      </w:r>
      <w:r>
        <w:rPr>
          <w:sz w:val="26"/>
          <w:szCs w:val="26"/>
        </w:rPr>
        <w:tab/>
      </w:r>
      <w:r w:rsidRPr="00994B3F">
        <w:rPr>
          <w:sz w:val="26"/>
          <w:szCs w:val="26"/>
        </w:rPr>
        <w:t xml:space="preserve">Peoples Ex. No. JWS-9 (US EPA, </w:t>
      </w:r>
      <w:r w:rsidRPr="00994B3F">
        <w:rPr>
          <w:i/>
          <w:sz w:val="26"/>
          <w:szCs w:val="26"/>
        </w:rPr>
        <w:t>Standby Rates for Customer-Sited Resources:  Issues Considerations and the Elements of Model Tariffs</w:t>
      </w:r>
      <w:r w:rsidRPr="00994B3F">
        <w:rPr>
          <w:sz w:val="26"/>
          <w:szCs w:val="26"/>
        </w:rPr>
        <w:t xml:space="preserve"> (2009) (EPA Standby Rates Study)</w:t>
      </w:r>
      <w:r>
        <w:rPr>
          <w:sz w:val="26"/>
          <w:szCs w:val="26"/>
        </w:rPr>
        <w:t>.</w:t>
      </w:r>
    </w:p>
  </w:footnote>
  <w:footnote w:id="15">
    <w:p w:rsidR="004926C1" w:rsidRPr="00EF5849" w:rsidRDefault="004926C1" w:rsidP="00D32E33">
      <w:pPr>
        <w:pStyle w:val="FootnoteText"/>
        <w:keepNext/>
        <w:keepLines/>
        <w:widowControl/>
        <w:spacing w:after="120"/>
        <w:rPr>
          <w:sz w:val="26"/>
          <w:szCs w:val="26"/>
        </w:rPr>
      </w:pPr>
      <w:r>
        <w:tab/>
      </w:r>
      <w:r w:rsidRPr="00EF5849">
        <w:rPr>
          <w:rStyle w:val="FootnoteReference"/>
          <w:sz w:val="26"/>
          <w:szCs w:val="26"/>
        </w:rPr>
        <w:footnoteRef/>
      </w:r>
      <w:r w:rsidRPr="00EF5849">
        <w:rPr>
          <w:sz w:val="26"/>
          <w:szCs w:val="26"/>
        </w:rPr>
        <w:tab/>
        <w:t>Duquesne proposed to rename the</w:t>
      </w:r>
      <w:r>
        <w:rPr>
          <w:sz w:val="26"/>
          <w:szCs w:val="26"/>
        </w:rPr>
        <w:t>se terms</w:t>
      </w:r>
      <w:r w:rsidRPr="00EF5849">
        <w:rPr>
          <w:sz w:val="26"/>
          <w:szCs w:val="26"/>
        </w:rPr>
        <w:t xml:space="preserve"> to Supplementary Service and Back-up Service and revised the definitions of each term.  A</w:t>
      </w:r>
      <w:r>
        <w:rPr>
          <w:sz w:val="26"/>
          <w:szCs w:val="26"/>
        </w:rPr>
        <w:t>lthough</w:t>
      </w:r>
      <w:r w:rsidRPr="00EF5849">
        <w:rPr>
          <w:sz w:val="26"/>
          <w:szCs w:val="26"/>
        </w:rPr>
        <w:t xml:space="preserve"> Duquesne has withdrawn the proposed changes to Rider 16, we will use the term</w:t>
      </w:r>
      <w:r>
        <w:rPr>
          <w:sz w:val="26"/>
          <w:szCs w:val="26"/>
        </w:rPr>
        <w:t xml:space="preserve"> service as it is more descriptive</w:t>
      </w:r>
      <w:r w:rsidRPr="00EF5849">
        <w:rPr>
          <w:sz w:val="26"/>
          <w:szCs w:val="26"/>
        </w:rPr>
        <w:t xml:space="preserve">.  </w:t>
      </w:r>
    </w:p>
  </w:footnote>
  <w:footnote w:id="16">
    <w:p w:rsidR="004926C1" w:rsidRPr="0074217A" w:rsidRDefault="004926C1" w:rsidP="00D32E33">
      <w:pPr>
        <w:pStyle w:val="FootnoteText"/>
        <w:keepNext/>
        <w:keepLines/>
        <w:widowControl/>
        <w:spacing w:after="120"/>
        <w:rPr>
          <w:sz w:val="26"/>
          <w:szCs w:val="26"/>
        </w:rPr>
      </w:pPr>
      <w:r>
        <w:rPr>
          <w:sz w:val="26"/>
          <w:szCs w:val="26"/>
        </w:rPr>
        <w:tab/>
      </w:r>
      <w:r w:rsidRPr="0074217A">
        <w:rPr>
          <w:rStyle w:val="FootnoteReference"/>
          <w:sz w:val="26"/>
          <w:szCs w:val="26"/>
        </w:rPr>
        <w:footnoteRef/>
      </w:r>
      <w:r w:rsidRPr="0074217A">
        <w:rPr>
          <w:sz w:val="26"/>
          <w:szCs w:val="26"/>
        </w:rPr>
        <w:tab/>
        <w:t xml:space="preserve">DII includes Duquesne University, the Allegheny County Airport Authority, Linde Energy Services Corporation, United States Steel Corporation, and the University of Pittsburgh.  Duquesne University is not objecting to the terms of </w:t>
      </w:r>
      <w:r>
        <w:rPr>
          <w:sz w:val="26"/>
          <w:szCs w:val="26"/>
        </w:rPr>
        <w:t>Rider No. 16</w:t>
      </w:r>
      <w:r w:rsidRPr="0074217A">
        <w:rPr>
          <w:sz w:val="26"/>
          <w:szCs w:val="26"/>
        </w:rPr>
        <w:t xml:space="preserve"> and has signed a Memorandum of Understanding with Duquesne.</w:t>
      </w:r>
    </w:p>
  </w:footnote>
  <w:footnote w:id="17">
    <w:p w:rsidR="004926C1" w:rsidRPr="0074217A" w:rsidRDefault="004926C1" w:rsidP="00D32E33">
      <w:pPr>
        <w:pStyle w:val="FootnoteText"/>
        <w:keepNext/>
        <w:keepLines/>
        <w:widowControl/>
        <w:spacing w:after="120"/>
        <w:rPr>
          <w:sz w:val="26"/>
          <w:szCs w:val="26"/>
        </w:rPr>
      </w:pPr>
      <w:r>
        <w:rPr>
          <w:sz w:val="26"/>
          <w:szCs w:val="26"/>
        </w:rPr>
        <w:tab/>
      </w:r>
      <w:r w:rsidRPr="0074217A">
        <w:rPr>
          <w:rStyle w:val="FootnoteReference"/>
          <w:sz w:val="26"/>
          <w:szCs w:val="26"/>
        </w:rPr>
        <w:footnoteRef/>
      </w:r>
      <w:r w:rsidRPr="0074217A">
        <w:rPr>
          <w:sz w:val="26"/>
          <w:szCs w:val="26"/>
        </w:rPr>
        <w:t xml:space="preserve"> </w:t>
      </w:r>
      <w:r>
        <w:rPr>
          <w:sz w:val="26"/>
          <w:szCs w:val="26"/>
        </w:rPr>
        <w:tab/>
      </w:r>
      <w:r w:rsidRPr="0074217A">
        <w:rPr>
          <w:sz w:val="26"/>
          <w:szCs w:val="26"/>
        </w:rPr>
        <w:t>Duquesne Exh. CJD-1-R.</w:t>
      </w:r>
    </w:p>
  </w:footnote>
  <w:footnote w:id="18">
    <w:p w:rsidR="004926C1" w:rsidRPr="000918C1" w:rsidRDefault="004926C1" w:rsidP="00D32E33">
      <w:pPr>
        <w:pStyle w:val="FootnoteText"/>
        <w:keepNext/>
        <w:keepLines/>
        <w:widowControl/>
        <w:spacing w:after="120"/>
        <w:rPr>
          <w:sz w:val="26"/>
          <w:szCs w:val="26"/>
        </w:rPr>
      </w:pPr>
      <w:r>
        <w:tab/>
      </w:r>
      <w:r w:rsidRPr="000918C1">
        <w:rPr>
          <w:rStyle w:val="FootnoteReference"/>
          <w:sz w:val="26"/>
          <w:szCs w:val="26"/>
        </w:rPr>
        <w:footnoteRef/>
      </w:r>
      <w:r w:rsidRPr="000918C1">
        <w:rPr>
          <w:sz w:val="26"/>
          <w:szCs w:val="26"/>
        </w:rPr>
        <w:tab/>
      </w:r>
      <w:r w:rsidRPr="000918C1">
        <w:rPr>
          <w:i/>
          <w:sz w:val="26"/>
          <w:szCs w:val="26"/>
        </w:rPr>
        <w:t>Petition of Metropolitan Edison Co. et al.</w:t>
      </w:r>
      <w:r w:rsidRPr="000918C1">
        <w:rPr>
          <w:sz w:val="26"/>
          <w:szCs w:val="26"/>
        </w:rPr>
        <w:t>, Docket Nos. P-2015-2508942, P-2015-2508948, P-2015-2508936; P-2015-2508931 (Final Order entered Apr. 19, 2018) pp. 16-17 (</w:t>
      </w:r>
      <w:r w:rsidRPr="000918C1">
        <w:rPr>
          <w:i/>
          <w:sz w:val="26"/>
          <w:szCs w:val="26"/>
        </w:rPr>
        <w:t>Petition of Metropolitan Edison Co.</w:t>
      </w:r>
      <w:r w:rsidRPr="000918C1">
        <w:rPr>
          <w:sz w:val="26"/>
          <w:szCs w:val="26"/>
        </w:rPr>
        <w:t>)</w:t>
      </w:r>
      <w:r>
        <w:rPr>
          <w:sz w:val="26"/>
          <w:szCs w:val="26"/>
        </w:rPr>
        <w:t>.</w:t>
      </w:r>
    </w:p>
  </w:footnote>
  <w:footnote w:id="19">
    <w:p w:rsidR="004926C1" w:rsidRPr="00F43BF4" w:rsidRDefault="004926C1" w:rsidP="00787687">
      <w:pPr>
        <w:pStyle w:val="FootnoteText"/>
        <w:keepNext/>
        <w:keepLines/>
        <w:widowControl/>
        <w:spacing w:after="120"/>
        <w:rPr>
          <w:sz w:val="26"/>
          <w:szCs w:val="26"/>
        </w:rPr>
      </w:pPr>
      <w:r>
        <w:rPr>
          <w:sz w:val="26"/>
          <w:szCs w:val="26"/>
        </w:rPr>
        <w:tab/>
      </w:r>
      <w:r w:rsidRPr="00F43BF4">
        <w:rPr>
          <w:rStyle w:val="FootnoteReference"/>
          <w:sz w:val="26"/>
          <w:szCs w:val="26"/>
        </w:rPr>
        <w:footnoteRef/>
      </w:r>
      <w:r>
        <w:rPr>
          <w:sz w:val="26"/>
          <w:szCs w:val="26"/>
        </w:rPr>
        <w:tab/>
      </w:r>
      <w:r w:rsidRPr="00F43BF4">
        <w:rPr>
          <w:i/>
          <w:sz w:val="26"/>
          <w:szCs w:val="26"/>
        </w:rPr>
        <w:t>Fixed Utility Distribution Rates Policy Statement</w:t>
      </w:r>
      <w:r w:rsidRPr="00F43BF4">
        <w:rPr>
          <w:sz w:val="26"/>
          <w:szCs w:val="26"/>
        </w:rPr>
        <w:t>, Docket No. M</w:t>
      </w:r>
      <w:r>
        <w:rPr>
          <w:sz w:val="26"/>
          <w:szCs w:val="26"/>
        </w:rPr>
        <w:noBreakHyphen/>
      </w:r>
      <w:r w:rsidRPr="00F43BF4">
        <w:rPr>
          <w:sz w:val="26"/>
          <w:szCs w:val="26"/>
        </w:rPr>
        <w:t>2015</w:t>
      </w:r>
      <w:r>
        <w:rPr>
          <w:sz w:val="26"/>
          <w:szCs w:val="26"/>
        </w:rPr>
        <w:noBreakHyphen/>
      </w:r>
      <w:r w:rsidRPr="00F43BF4">
        <w:rPr>
          <w:sz w:val="26"/>
          <w:szCs w:val="26"/>
        </w:rPr>
        <w:t>2518883 (May 3, 2018) (Alternative Ratemaking Policy Statement).</w:t>
      </w:r>
    </w:p>
  </w:footnote>
  <w:footnote w:id="20">
    <w:p w:rsidR="004926C1" w:rsidRPr="00981BB0" w:rsidRDefault="004926C1" w:rsidP="00981BB0">
      <w:pPr>
        <w:pStyle w:val="FootnoteText"/>
        <w:keepNext/>
        <w:keepLines/>
        <w:widowControl/>
        <w:rPr>
          <w:sz w:val="26"/>
          <w:szCs w:val="26"/>
        </w:rPr>
      </w:pPr>
      <w:r w:rsidRPr="00981BB0">
        <w:rPr>
          <w:sz w:val="26"/>
          <w:szCs w:val="26"/>
        </w:rPr>
        <w:tab/>
      </w:r>
      <w:r w:rsidRPr="00981BB0">
        <w:rPr>
          <w:rStyle w:val="FootnoteReference"/>
          <w:sz w:val="26"/>
          <w:szCs w:val="26"/>
        </w:rPr>
        <w:footnoteRef/>
      </w:r>
      <w:r w:rsidRPr="00981BB0">
        <w:rPr>
          <w:sz w:val="26"/>
          <w:szCs w:val="26"/>
        </w:rPr>
        <w:tab/>
      </w:r>
      <w:r w:rsidRPr="00981BB0">
        <w:rPr>
          <w:rFonts w:eastAsiaTheme="minorHAnsi"/>
          <w:sz w:val="26"/>
          <w:szCs w:val="26"/>
        </w:rPr>
        <w:t>DLC Statement No. 14 and accompanying exhibits.</w:t>
      </w:r>
    </w:p>
  </w:footnote>
  <w:footnote w:id="21">
    <w:p w:rsidR="004926C1" w:rsidRPr="004F157F" w:rsidRDefault="004926C1">
      <w:pPr>
        <w:pStyle w:val="FootnoteText"/>
        <w:rPr>
          <w:sz w:val="26"/>
          <w:szCs w:val="26"/>
        </w:rPr>
      </w:pPr>
      <w:r w:rsidRPr="004F157F">
        <w:rPr>
          <w:sz w:val="26"/>
          <w:szCs w:val="26"/>
        </w:rPr>
        <w:tab/>
      </w:r>
      <w:r w:rsidRPr="004F157F">
        <w:rPr>
          <w:rStyle w:val="FootnoteReference"/>
          <w:sz w:val="26"/>
          <w:szCs w:val="26"/>
        </w:rPr>
        <w:footnoteRef/>
      </w:r>
      <w:r w:rsidRPr="004F157F">
        <w:rPr>
          <w:sz w:val="26"/>
          <w:szCs w:val="26"/>
        </w:rPr>
        <w:t xml:space="preserve"> </w:t>
      </w:r>
      <w:r w:rsidRPr="004F157F">
        <w:rPr>
          <w:sz w:val="26"/>
          <w:szCs w:val="26"/>
        </w:rPr>
        <w:tab/>
      </w:r>
      <w:r w:rsidRPr="004F157F">
        <w:rPr>
          <w:rFonts w:eastAsiaTheme="minorHAnsi"/>
          <w:sz w:val="26"/>
          <w:szCs w:val="26"/>
        </w:rPr>
        <w:t xml:space="preserve">DII Statement No. 1 </w:t>
      </w:r>
      <w:r>
        <w:rPr>
          <w:rFonts w:eastAsiaTheme="minorHAnsi"/>
          <w:sz w:val="26"/>
          <w:szCs w:val="26"/>
        </w:rPr>
        <w:t xml:space="preserve">at </w:t>
      </w:r>
      <w:r w:rsidRPr="004F157F">
        <w:rPr>
          <w:rFonts w:eastAsiaTheme="minorHAnsi"/>
          <w:sz w:val="26"/>
          <w:szCs w:val="26"/>
        </w:rPr>
        <w:t>25</w:t>
      </w:r>
      <w:r>
        <w:rPr>
          <w:rFonts w:eastAsiaTheme="minorHAnsi"/>
          <w:sz w:val="26"/>
          <w:szCs w:val="26"/>
        </w:rPr>
        <w:t>;</w:t>
      </w:r>
      <w:r w:rsidRPr="004F157F">
        <w:rPr>
          <w:rFonts w:eastAsiaTheme="minorHAnsi"/>
          <w:sz w:val="26"/>
          <w:szCs w:val="26"/>
        </w:rPr>
        <w:t xml:space="preserve"> 18-20. </w:t>
      </w:r>
      <w:r>
        <w:rPr>
          <w:rFonts w:eastAsiaTheme="minorHAnsi"/>
          <w:sz w:val="26"/>
          <w:szCs w:val="26"/>
        </w:rPr>
        <w:t xml:space="preserve"> </w:t>
      </w:r>
      <w:r w:rsidRPr="004F157F">
        <w:rPr>
          <w:rFonts w:eastAsiaTheme="minorHAnsi"/>
          <w:i/>
          <w:iCs/>
          <w:sz w:val="26"/>
          <w:szCs w:val="26"/>
        </w:rPr>
        <w:t xml:space="preserve">See also </w:t>
      </w:r>
      <w:r w:rsidRPr="004F157F">
        <w:rPr>
          <w:rFonts w:eastAsiaTheme="minorHAnsi"/>
          <w:sz w:val="26"/>
          <w:szCs w:val="26"/>
        </w:rPr>
        <w:t xml:space="preserve">DII Statement No. 1-SR </w:t>
      </w:r>
      <w:r>
        <w:rPr>
          <w:rFonts w:eastAsiaTheme="minorHAnsi"/>
          <w:sz w:val="26"/>
          <w:szCs w:val="26"/>
        </w:rPr>
        <w:t>at</w:t>
      </w:r>
      <w:r w:rsidRPr="004F157F">
        <w:rPr>
          <w:rFonts w:eastAsiaTheme="minorHAnsi"/>
          <w:sz w:val="26"/>
          <w:szCs w:val="26"/>
        </w:rPr>
        <w:t xml:space="preserve"> 11</w:t>
      </w:r>
      <w:r>
        <w:rPr>
          <w:rFonts w:eastAsiaTheme="minorHAnsi"/>
          <w:sz w:val="26"/>
          <w:szCs w:val="26"/>
        </w:rPr>
        <w:t>:</w:t>
      </w:r>
      <w:r w:rsidRPr="004F157F">
        <w:rPr>
          <w:rFonts w:eastAsiaTheme="minorHAnsi"/>
          <w:sz w:val="26"/>
          <w:szCs w:val="26"/>
        </w:rPr>
        <w:t>16-18</w:t>
      </w:r>
      <w:r>
        <w:rPr>
          <w:rFonts w:eastAsiaTheme="minorHAnsi"/>
          <w:sz w:val="26"/>
          <w:szCs w:val="26"/>
        </w:rPr>
        <w:t>.</w:t>
      </w:r>
    </w:p>
  </w:footnote>
  <w:footnote w:id="22">
    <w:p w:rsidR="004926C1" w:rsidRPr="0028302E" w:rsidRDefault="004926C1" w:rsidP="00D32E33">
      <w:pPr>
        <w:pStyle w:val="FootnoteText"/>
        <w:keepNext/>
        <w:keepLines/>
        <w:widowControl/>
        <w:spacing w:after="120"/>
        <w:rPr>
          <w:sz w:val="26"/>
          <w:szCs w:val="26"/>
        </w:rPr>
      </w:pPr>
      <w:r>
        <w:tab/>
      </w:r>
      <w:r w:rsidRPr="0028302E">
        <w:rPr>
          <w:rStyle w:val="FootnoteReference"/>
          <w:sz w:val="26"/>
          <w:szCs w:val="26"/>
        </w:rPr>
        <w:footnoteRef/>
      </w:r>
      <w:r w:rsidRPr="0028302E">
        <w:rPr>
          <w:sz w:val="26"/>
          <w:szCs w:val="26"/>
        </w:rPr>
        <w:tab/>
        <w:t xml:space="preserve">James Selecky, Kathryn Iverson, Ali Al-Jabir, </w:t>
      </w:r>
      <w:r w:rsidRPr="0028302E">
        <w:rPr>
          <w:i/>
          <w:sz w:val="26"/>
          <w:szCs w:val="26"/>
        </w:rPr>
        <w:t>Standby Rates for Combined Heat and Power Systems – Economic Analysis and Recommendations for Five States</w:t>
      </w:r>
      <w:r w:rsidRPr="0028302E">
        <w:rPr>
          <w:sz w:val="26"/>
          <w:szCs w:val="26"/>
        </w:rPr>
        <w:t xml:space="preserve"> (Feb 2014) (RAP Study)</w:t>
      </w:r>
      <w:r>
        <w:rPr>
          <w:sz w:val="26"/>
          <w:szCs w:val="26"/>
        </w:rPr>
        <w:t xml:space="preserve">. </w:t>
      </w:r>
      <w:r w:rsidRPr="0028302E">
        <w:rPr>
          <w:sz w:val="26"/>
          <w:szCs w:val="26"/>
        </w:rPr>
        <w:t xml:space="preserve"> Peoples Ex. JWS-6.</w:t>
      </w:r>
    </w:p>
  </w:footnote>
  <w:footnote w:id="23">
    <w:p w:rsidR="004926C1" w:rsidRPr="00981BB0" w:rsidRDefault="004926C1" w:rsidP="004C6AA9">
      <w:pPr>
        <w:pStyle w:val="FootnoteText"/>
        <w:keepNext/>
        <w:keepLines/>
        <w:widowControl/>
        <w:rPr>
          <w:sz w:val="26"/>
          <w:szCs w:val="26"/>
        </w:rPr>
      </w:pPr>
      <w:r w:rsidRPr="00981BB0">
        <w:rPr>
          <w:sz w:val="26"/>
          <w:szCs w:val="26"/>
        </w:rPr>
        <w:tab/>
      </w:r>
      <w:r w:rsidRPr="00981BB0">
        <w:rPr>
          <w:rStyle w:val="FootnoteReference"/>
          <w:sz w:val="26"/>
          <w:szCs w:val="26"/>
        </w:rPr>
        <w:footnoteRef/>
      </w:r>
      <w:r w:rsidRPr="00981BB0">
        <w:rPr>
          <w:sz w:val="26"/>
          <w:szCs w:val="26"/>
        </w:rPr>
        <w:tab/>
      </w:r>
      <w:r w:rsidRPr="00981BB0">
        <w:rPr>
          <w:rFonts w:eastAsiaTheme="minorHAnsi"/>
          <w:sz w:val="26"/>
          <w:szCs w:val="26"/>
        </w:rPr>
        <w:t>DLC Statement No. 14 and accompanying exhibits.</w:t>
      </w:r>
    </w:p>
  </w:footnote>
  <w:footnote w:id="24">
    <w:p w:rsidR="004926C1" w:rsidRPr="00CF2A62" w:rsidRDefault="00CF2A62" w:rsidP="00CF2A62">
      <w:pPr>
        <w:pStyle w:val="FootnoteText"/>
        <w:spacing w:after="120"/>
        <w:rPr>
          <w:sz w:val="26"/>
          <w:szCs w:val="26"/>
        </w:rPr>
      </w:pPr>
      <w:r>
        <w:rPr>
          <w:sz w:val="26"/>
          <w:szCs w:val="26"/>
        </w:rPr>
        <w:tab/>
      </w:r>
      <w:r w:rsidR="004926C1" w:rsidRPr="00CF2A62">
        <w:rPr>
          <w:rStyle w:val="FootnoteReference"/>
          <w:sz w:val="26"/>
          <w:szCs w:val="26"/>
        </w:rPr>
        <w:footnoteRef/>
      </w:r>
      <w:r>
        <w:rPr>
          <w:sz w:val="26"/>
          <w:szCs w:val="26"/>
        </w:rPr>
        <w:tab/>
      </w:r>
      <w:r w:rsidR="004926C1" w:rsidRPr="00CF2A62">
        <w:rPr>
          <w:sz w:val="26"/>
          <w:szCs w:val="26"/>
        </w:rPr>
        <w:t>Duquesne 16-R at 10.</w:t>
      </w:r>
    </w:p>
  </w:footnote>
  <w:footnote w:id="25">
    <w:p w:rsidR="004926C1" w:rsidRPr="00CF2A62" w:rsidRDefault="00CF2A62" w:rsidP="00CF2A62">
      <w:pPr>
        <w:pStyle w:val="FootnoteText"/>
        <w:spacing w:after="120"/>
        <w:rPr>
          <w:sz w:val="26"/>
          <w:szCs w:val="26"/>
        </w:rPr>
      </w:pPr>
      <w:r>
        <w:rPr>
          <w:sz w:val="26"/>
          <w:szCs w:val="26"/>
        </w:rPr>
        <w:tab/>
      </w:r>
      <w:r w:rsidR="004926C1" w:rsidRPr="00CF2A62">
        <w:rPr>
          <w:rStyle w:val="FootnoteReference"/>
          <w:sz w:val="26"/>
          <w:szCs w:val="26"/>
        </w:rPr>
        <w:footnoteRef/>
      </w:r>
      <w:r>
        <w:rPr>
          <w:sz w:val="26"/>
          <w:szCs w:val="26"/>
        </w:rPr>
        <w:tab/>
      </w:r>
      <w:r w:rsidR="004926C1" w:rsidRPr="00CF2A62">
        <w:rPr>
          <w:sz w:val="26"/>
          <w:szCs w:val="26"/>
        </w:rPr>
        <w:t>Duquesne 16-R at 14.</w:t>
      </w:r>
      <w:r>
        <w:rPr>
          <w:sz w:val="26"/>
          <w:szCs w:val="26"/>
        </w:rPr>
        <w:t xml:space="preserve"> </w:t>
      </w:r>
      <w:r w:rsidR="004926C1" w:rsidRPr="00CF2A62">
        <w:rPr>
          <w:sz w:val="26"/>
          <w:szCs w:val="26"/>
        </w:rPr>
        <w:t xml:space="preserve"> For rate schedule L, the Minimum Charge shall be the Demand Charge based on 70% of the Contract </w:t>
      </w:r>
      <w:r w:rsidR="004926C1" w:rsidRPr="00F62CF1">
        <w:rPr>
          <w:i/>
          <w:sz w:val="26"/>
          <w:szCs w:val="26"/>
        </w:rPr>
        <w:t>On-Peak</w:t>
      </w:r>
      <w:r w:rsidR="004926C1" w:rsidRPr="00CF2A62">
        <w:rPr>
          <w:sz w:val="26"/>
          <w:szCs w:val="26"/>
        </w:rPr>
        <w:t xml:space="preserve"> Demand for transmission and distribution and the Demand Charge as calculated under Rider No. 9 for Company supplied supply.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510"/>
    <w:multiLevelType w:val="hybridMultilevel"/>
    <w:tmpl w:val="608E8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F1623"/>
    <w:multiLevelType w:val="hybridMultilevel"/>
    <w:tmpl w:val="82FC6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0A8C"/>
    <w:multiLevelType w:val="hybridMultilevel"/>
    <w:tmpl w:val="99304E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253865"/>
    <w:multiLevelType w:val="hybridMultilevel"/>
    <w:tmpl w:val="08501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57AA4"/>
    <w:multiLevelType w:val="hybridMultilevel"/>
    <w:tmpl w:val="98A0A020"/>
    <w:lvl w:ilvl="0" w:tplc="7C321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E5CBF"/>
    <w:multiLevelType w:val="hybridMultilevel"/>
    <w:tmpl w:val="46C8E4B6"/>
    <w:lvl w:ilvl="0" w:tplc="41A48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24099"/>
    <w:multiLevelType w:val="hybridMultilevel"/>
    <w:tmpl w:val="A5DED704"/>
    <w:lvl w:ilvl="0" w:tplc="D4A8D1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2118B5"/>
    <w:multiLevelType w:val="hybridMultilevel"/>
    <w:tmpl w:val="660651CA"/>
    <w:lvl w:ilvl="0" w:tplc="0C243B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F4264F3"/>
    <w:multiLevelType w:val="hybridMultilevel"/>
    <w:tmpl w:val="F566F0C6"/>
    <w:lvl w:ilvl="0" w:tplc="24D2DF70">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69D812F6">
      <w:start w:val="1"/>
      <w:numFmt w:val="lowerLetter"/>
      <w:lvlText w:val="%8."/>
      <w:lvlJc w:val="left"/>
      <w:pPr>
        <w:ind w:left="10800" w:hanging="360"/>
      </w:pPr>
      <w:rPr>
        <w:rFonts w:ascii="Times New Roman" w:eastAsia="Times New Roman" w:hAnsi="Times New Roman" w:cs="Times New Roman"/>
      </w:rPr>
    </w:lvl>
    <w:lvl w:ilvl="8" w:tplc="0409001B" w:tentative="1">
      <w:start w:val="1"/>
      <w:numFmt w:val="lowerRoman"/>
      <w:lvlText w:val="%9."/>
      <w:lvlJc w:val="right"/>
      <w:pPr>
        <w:ind w:left="11520" w:hanging="180"/>
      </w:pPr>
    </w:lvl>
  </w:abstractNum>
  <w:abstractNum w:abstractNumId="9" w15:restartNumberingAfterBreak="0">
    <w:nsid w:val="252C46C8"/>
    <w:multiLevelType w:val="hybridMultilevel"/>
    <w:tmpl w:val="73006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3062F"/>
    <w:multiLevelType w:val="hybridMultilevel"/>
    <w:tmpl w:val="A94A23D6"/>
    <w:lvl w:ilvl="0" w:tplc="769A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931CC"/>
    <w:multiLevelType w:val="hybridMultilevel"/>
    <w:tmpl w:val="92565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4A5A62"/>
    <w:multiLevelType w:val="hybridMultilevel"/>
    <w:tmpl w:val="66B6F1FA"/>
    <w:lvl w:ilvl="0" w:tplc="A75CE0C4">
      <w:start w:val="1"/>
      <w:numFmt w:val="upperLetter"/>
      <w:pStyle w:val="Heading2"/>
      <w:lvlText w:val="%1."/>
      <w:lvlJc w:val="left"/>
      <w:pPr>
        <w:ind w:left="540" w:hanging="360"/>
      </w:pPr>
      <w:rPr>
        <w:rFonts w:hint="default"/>
        <w:b/>
      </w:rPr>
    </w:lvl>
    <w:lvl w:ilvl="1" w:tplc="6D2A688E">
      <w:start w:val="1"/>
      <w:numFmt w:val="decimal"/>
      <w:lvlText w:val="%2."/>
      <w:lvlJc w:val="left"/>
      <w:pPr>
        <w:ind w:left="1800" w:hanging="720"/>
      </w:pPr>
      <w:rPr>
        <w:rFonts w:hint="default"/>
      </w:rPr>
    </w:lvl>
    <w:lvl w:ilvl="2" w:tplc="7276B228">
      <w:start w:val="1"/>
      <w:numFmt w:val="lowerLetter"/>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DC4EC0"/>
    <w:multiLevelType w:val="hybridMultilevel"/>
    <w:tmpl w:val="C2E8D8EC"/>
    <w:lvl w:ilvl="0" w:tplc="63680A8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27E48"/>
    <w:multiLevelType w:val="hybridMultilevel"/>
    <w:tmpl w:val="481E26E2"/>
    <w:lvl w:ilvl="0" w:tplc="BAE0C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64482F"/>
    <w:multiLevelType w:val="hybridMultilevel"/>
    <w:tmpl w:val="96C8F8C2"/>
    <w:lvl w:ilvl="0" w:tplc="CFD6E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CA7179"/>
    <w:multiLevelType w:val="hybridMultilevel"/>
    <w:tmpl w:val="3CA017BE"/>
    <w:lvl w:ilvl="0" w:tplc="A59CBF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0A469FC"/>
    <w:multiLevelType w:val="hybridMultilevel"/>
    <w:tmpl w:val="9AC4DD66"/>
    <w:lvl w:ilvl="0" w:tplc="C47C54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20425B0"/>
    <w:multiLevelType w:val="multilevel"/>
    <w:tmpl w:val="2E107F58"/>
    <w:lvl w:ilvl="0">
      <w:start w:val="1"/>
      <w:numFmt w:val="lowerLetter"/>
      <w:lvlText w:val="%1."/>
      <w:lvlJc w:val="left"/>
      <w:pPr>
        <w:tabs>
          <w:tab w:val="left" w:pos="36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EA069B"/>
    <w:multiLevelType w:val="hybridMultilevel"/>
    <w:tmpl w:val="381CE78A"/>
    <w:lvl w:ilvl="0" w:tplc="3BF0C8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F9498A"/>
    <w:multiLevelType w:val="hybridMultilevel"/>
    <w:tmpl w:val="9CF63A04"/>
    <w:lvl w:ilvl="0" w:tplc="BAE0C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896B50"/>
    <w:multiLevelType w:val="hybridMultilevel"/>
    <w:tmpl w:val="F88CAAB4"/>
    <w:lvl w:ilvl="0" w:tplc="F3EAE8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abstractNum w:abstractNumId="24" w15:restartNumberingAfterBreak="0">
    <w:nsid w:val="77F540A0"/>
    <w:multiLevelType w:val="hybridMultilevel"/>
    <w:tmpl w:val="39BC4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4A09F8"/>
    <w:multiLevelType w:val="hybridMultilevel"/>
    <w:tmpl w:val="D6202CE0"/>
    <w:lvl w:ilvl="0" w:tplc="AFE69E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6"/>
  </w:num>
  <w:num w:numId="3">
    <w:abstractNumId w:val="25"/>
  </w:num>
  <w:num w:numId="4">
    <w:abstractNumId w:val="7"/>
  </w:num>
  <w:num w:numId="5">
    <w:abstractNumId w:val="20"/>
  </w:num>
  <w:num w:numId="6">
    <w:abstractNumId w:val="17"/>
  </w:num>
  <w:num w:numId="7">
    <w:abstractNumId w:val="18"/>
  </w:num>
  <w:num w:numId="8">
    <w:abstractNumId w:val="22"/>
  </w:num>
  <w:num w:numId="9">
    <w:abstractNumId w:val="5"/>
  </w:num>
  <w:num w:numId="10">
    <w:abstractNumId w:val="9"/>
  </w:num>
  <w:num w:numId="11">
    <w:abstractNumId w:val="4"/>
  </w:num>
  <w:num w:numId="12">
    <w:abstractNumId w:val="21"/>
  </w:num>
  <w:num w:numId="13">
    <w:abstractNumId w:val="16"/>
  </w:num>
  <w:num w:numId="14">
    <w:abstractNumId w:val="14"/>
  </w:num>
  <w:num w:numId="15">
    <w:abstractNumId w:val="12"/>
    <w:lvlOverride w:ilvl="0">
      <w:startOverride w:val="1"/>
    </w:lvlOverride>
  </w:num>
  <w:num w:numId="16">
    <w:abstractNumId w:val="12"/>
    <w:lvlOverride w:ilvl="0">
      <w:startOverride w:val="1"/>
    </w:lvlOverride>
  </w:num>
  <w:num w:numId="17">
    <w:abstractNumId w:val="15"/>
  </w:num>
  <w:num w:numId="18">
    <w:abstractNumId w:val="10"/>
  </w:num>
  <w:num w:numId="19">
    <w:abstractNumId w:val="2"/>
  </w:num>
  <w:num w:numId="20">
    <w:abstractNumId w:val="13"/>
  </w:num>
  <w:num w:numId="21">
    <w:abstractNumId w:val="19"/>
  </w:num>
  <w:num w:numId="22">
    <w:abstractNumId w:val="23"/>
  </w:num>
  <w:num w:numId="23">
    <w:abstractNumId w:val="23"/>
    <w:lvlOverride w:ilvl="0">
      <w:startOverride w:val="7"/>
    </w:lvlOverride>
  </w:num>
  <w:num w:numId="24">
    <w:abstractNumId w:val="23"/>
    <w:lvlOverride w:ilvl="0">
      <w:startOverride w:val="8"/>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11"/>
  </w:num>
  <w:num w:numId="27">
    <w:abstractNumId w:val="23"/>
    <w:lvlOverride w:ilvl="0">
      <w:startOverride w:val="9"/>
    </w:lvlOverride>
  </w:num>
  <w:num w:numId="28">
    <w:abstractNumId w:val="8"/>
  </w:num>
  <w:num w:numId="29">
    <w:abstractNumId w:val="3"/>
  </w:num>
  <w:num w:numId="30">
    <w:abstractNumId w:val="24"/>
  </w:num>
  <w:num w:numId="31">
    <w:abstractNumId w:val="0"/>
  </w:num>
  <w:num w:numId="32">
    <w:abstractNumId w:val="1"/>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EC"/>
    <w:rsid w:val="000001BD"/>
    <w:rsid w:val="00000223"/>
    <w:rsid w:val="00000651"/>
    <w:rsid w:val="00000CE2"/>
    <w:rsid w:val="00000D47"/>
    <w:rsid w:val="00001277"/>
    <w:rsid w:val="00001486"/>
    <w:rsid w:val="0000153D"/>
    <w:rsid w:val="000017F2"/>
    <w:rsid w:val="00001FC8"/>
    <w:rsid w:val="00002644"/>
    <w:rsid w:val="00002876"/>
    <w:rsid w:val="00002CF0"/>
    <w:rsid w:val="00002F13"/>
    <w:rsid w:val="00003A72"/>
    <w:rsid w:val="0000451E"/>
    <w:rsid w:val="00004671"/>
    <w:rsid w:val="00004817"/>
    <w:rsid w:val="000048E0"/>
    <w:rsid w:val="00004A4A"/>
    <w:rsid w:val="00004D03"/>
    <w:rsid w:val="00004E78"/>
    <w:rsid w:val="00005162"/>
    <w:rsid w:val="00005318"/>
    <w:rsid w:val="00005BE7"/>
    <w:rsid w:val="000065FB"/>
    <w:rsid w:val="00006685"/>
    <w:rsid w:val="00006A65"/>
    <w:rsid w:val="00006F35"/>
    <w:rsid w:val="00006FEE"/>
    <w:rsid w:val="0000721A"/>
    <w:rsid w:val="000075A6"/>
    <w:rsid w:val="00007813"/>
    <w:rsid w:val="00007AF7"/>
    <w:rsid w:val="00007C43"/>
    <w:rsid w:val="00007D7F"/>
    <w:rsid w:val="00007ECA"/>
    <w:rsid w:val="000117EB"/>
    <w:rsid w:val="00011AB1"/>
    <w:rsid w:val="00011D98"/>
    <w:rsid w:val="0001221F"/>
    <w:rsid w:val="000122A4"/>
    <w:rsid w:val="000124ED"/>
    <w:rsid w:val="00013358"/>
    <w:rsid w:val="00013812"/>
    <w:rsid w:val="000147AA"/>
    <w:rsid w:val="00014E95"/>
    <w:rsid w:val="00015314"/>
    <w:rsid w:val="0001535C"/>
    <w:rsid w:val="000154E2"/>
    <w:rsid w:val="00016836"/>
    <w:rsid w:val="000168E4"/>
    <w:rsid w:val="00016D57"/>
    <w:rsid w:val="00016FB2"/>
    <w:rsid w:val="000171BD"/>
    <w:rsid w:val="0001775C"/>
    <w:rsid w:val="00017852"/>
    <w:rsid w:val="00017C53"/>
    <w:rsid w:val="00017F40"/>
    <w:rsid w:val="00017F8B"/>
    <w:rsid w:val="00020117"/>
    <w:rsid w:val="000205EA"/>
    <w:rsid w:val="000206EB"/>
    <w:rsid w:val="00020817"/>
    <w:rsid w:val="000209D9"/>
    <w:rsid w:val="00021130"/>
    <w:rsid w:val="000213A0"/>
    <w:rsid w:val="00021850"/>
    <w:rsid w:val="00021E31"/>
    <w:rsid w:val="00021E46"/>
    <w:rsid w:val="00021F58"/>
    <w:rsid w:val="00022572"/>
    <w:rsid w:val="000225A9"/>
    <w:rsid w:val="00022B74"/>
    <w:rsid w:val="0002304F"/>
    <w:rsid w:val="0002315D"/>
    <w:rsid w:val="000231E3"/>
    <w:rsid w:val="0002332C"/>
    <w:rsid w:val="00023B72"/>
    <w:rsid w:val="00023CFE"/>
    <w:rsid w:val="0002417D"/>
    <w:rsid w:val="000242BD"/>
    <w:rsid w:val="0002467F"/>
    <w:rsid w:val="00024F85"/>
    <w:rsid w:val="0002501D"/>
    <w:rsid w:val="0002523F"/>
    <w:rsid w:val="0002524C"/>
    <w:rsid w:val="0002556C"/>
    <w:rsid w:val="00025CEC"/>
    <w:rsid w:val="00025E34"/>
    <w:rsid w:val="00025F3F"/>
    <w:rsid w:val="00025FF6"/>
    <w:rsid w:val="0002606A"/>
    <w:rsid w:val="00026204"/>
    <w:rsid w:val="00026703"/>
    <w:rsid w:val="000267E5"/>
    <w:rsid w:val="00026CD2"/>
    <w:rsid w:val="0003055F"/>
    <w:rsid w:val="0003093F"/>
    <w:rsid w:val="00030A62"/>
    <w:rsid w:val="00030AFB"/>
    <w:rsid w:val="00030F6D"/>
    <w:rsid w:val="00031433"/>
    <w:rsid w:val="00031F68"/>
    <w:rsid w:val="00032635"/>
    <w:rsid w:val="0003320B"/>
    <w:rsid w:val="0003325E"/>
    <w:rsid w:val="00033286"/>
    <w:rsid w:val="00033512"/>
    <w:rsid w:val="000338FE"/>
    <w:rsid w:val="0003393B"/>
    <w:rsid w:val="00033D2F"/>
    <w:rsid w:val="00033EFA"/>
    <w:rsid w:val="00033FBF"/>
    <w:rsid w:val="0003417F"/>
    <w:rsid w:val="0003453C"/>
    <w:rsid w:val="00034A42"/>
    <w:rsid w:val="00034E13"/>
    <w:rsid w:val="00034E50"/>
    <w:rsid w:val="00034EB0"/>
    <w:rsid w:val="00034FAE"/>
    <w:rsid w:val="00034FF1"/>
    <w:rsid w:val="00035748"/>
    <w:rsid w:val="000359E1"/>
    <w:rsid w:val="00035A3B"/>
    <w:rsid w:val="00035DB7"/>
    <w:rsid w:val="00036DBB"/>
    <w:rsid w:val="00036E5A"/>
    <w:rsid w:val="00036E85"/>
    <w:rsid w:val="00036EF1"/>
    <w:rsid w:val="00037341"/>
    <w:rsid w:val="000374E7"/>
    <w:rsid w:val="00037641"/>
    <w:rsid w:val="00037BB4"/>
    <w:rsid w:val="00037FC0"/>
    <w:rsid w:val="0004008E"/>
    <w:rsid w:val="000407B1"/>
    <w:rsid w:val="00040A8E"/>
    <w:rsid w:val="00040AEA"/>
    <w:rsid w:val="00040F7D"/>
    <w:rsid w:val="000411B5"/>
    <w:rsid w:val="00041967"/>
    <w:rsid w:val="00041B4E"/>
    <w:rsid w:val="00041C4C"/>
    <w:rsid w:val="000426D8"/>
    <w:rsid w:val="0004297F"/>
    <w:rsid w:val="00042A86"/>
    <w:rsid w:val="00042D84"/>
    <w:rsid w:val="000434C1"/>
    <w:rsid w:val="00043D65"/>
    <w:rsid w:val="000441C7"/>
    <w:rsid w:val="00044260"/>
    <w:rsid w:val="00044CDF"/>
    <w:rsid w:val="00044F62"/>
    <w:rsid w:val="00044F64"/>
    <w:rsid w:val="00045306"/>
    <w:rsid w:val="00045800"/>
    <w:rsid w:val="000458B7"/>
    <w:rsid w:val="00045FE8"/>
    <w:rsid w:val="000469E6"/>
    <w:rsid w:val="00046C50"/>
    <w:rsid w:val="00046D2C"/>
    <w:rsid w:val="000477D8"/>
    <w:rsid w:val="00047874"/>
    <w:rsid w:val="00047A50"/>
    <w:rsid w:val="00047F4A"/>
    <w:rsid w:val="000502EF"/>
    <w:rsid w:val="00050713"/>
    <w:rsid w:val="000508E0"/>
    <w:rsid w:val="00050B9E"/>
    <w:rsid w:val="00051A5C"/>
    <w:rsid w:val="00051F1D"/>
    <w:rsid w:val="000523D1"/>
    <w:rsid w:val="00052589"/>
    <w:rsid w:val="00052B8F"/>
    <w:rsid w:val="00052C1A"/>
    <w:rsid w:val="00052F5B"/>
    <w:rsid w:val="00052FCD"/>
    <w:rsid w:val="000536BC"/>
    <w:rsid w:val="00053CA1"/>
    <w:rsid w:val="00053D76"/>
    <w:rsid w:val="00054612"/>
    <w:rsid w:val="000546EE"/>
    <w:rsid w:val="00054A0E"/>
    <w:rsid w:val="000556C5"/>
    <w:rsid w:val="0005572E"/>
    <w:rsid w:val="00055788"/>
    <w:rsid w:val="00055993"/>
    <w:rsid w:val="00055BAD"/>
    <w:rsid w:val="000561C7"/>
    <w:rsid w:val="00056286"/>
    <w:rsid w:val="00056924"/>
    <w:rsid w:val="00056ED4"/>
    <w:rsid w:val="0005720D"/>
    <w:rsid w:val="00057456"/>
    <w:rsid w:val="00057BFB"/>
    <w:rsid w:val="00057D06"/>
    <w:rsid w:val="00057EB5"/>
    <w:rsid w:val="00057F80"/>
    <w:rsid w:val="00060712"/>
    <w:rsid w:val="00060803"/>
    <w:rsid w:val="000609F5"/>
    <w:rsid w:val="00060ADE"/>
    <w:rsid w:val="00060B72"/>
    <w:rsid w:val="00061022"/>
    <w:rsid w:val="000612FD"/>
    <w:rsid w:val="000617BF"/>
    <w:rsid w:val="00061C8B"/>
    <w:rsid w:val="000623C6"/>
    <w:rsid w:val="00062601"/>
    <w:rsid w:val="0006342E"/>
    <w:rsid w:val="0006356A"/>
    <w:rsid w:val="00063985"/>
    <w:rsid w:val="00063BFE"/>
    <w:rsid w:val="00064188"/>
    <w:rsid w:val="000642AA"/>
    <w:rsid w:val="00064973"/>
    <w:rsid w:val="000649EC"/>
    <w:rsid w:val="00064A1B"/>
    <w:rsid w:val="00064DEC"/>
    <w:rsid w:val="00064E81"/>
    <w:rsid w:val="00065291"/>
    <w:rsid w:val="00065708"/>
    <w:rsid w:val="00065EB4"/>
    <w:rsid w:val="00065F24"/>
    <w:rsid w:val="0006634C"/>
    <w:rsid w:val="00066408"/>
    <w:rsid w:val="00066476"/>
    <w:rsid w:val="00066853"/>
    <w:rsid w:val="000669D9"/>
    <w:rsid w:val="000669FF"/>
    <w:rsid w:val="00066ADC"/>
    <w:rsid w:val="00066EE5"/>
    <w:rsid w:val="00066FFF"/>
    <w:rsid w:val="000671A6"/>
    <w:rsid w:val="00067260"/>
    <w:rsid w:val="000673C0"/>
    <w:rsid w:val="00067425"/>
    <w:rsid w:val="00067560"/>
    <w:rsid w:val="0006759F"/>
    <w:rsid w:val="0006784C"/>
    <w:rsid w:val="00070469"/>
    <w:rsid w:val="00070667"/>
    <w:rsid w:val="00070D2F"/>
    <w:rsid w:val="00070EFA"/>
    <w:rsid w:val="00070F4D"/>
    <w:rsid w:val="000715E8"/>
    <w:rsid w:val="00071916"/>
    <w:rsid w:val="00071A6D"/>
    <w:rsid w:val="00071A87"/>
    <w:rsid w:val="00072096"/>
    <w:rsid w:val="0007209F"/>
    <w:rsid w:val="00072808"/>
    <w:rsid w:val="00072A6A"/>
    <w:rsid w:val="0007366F"/>
    <w:rsid w:val="0007374C"/>
    <w:rsid w:val="00073CF0"/>
    <w:rsid w:val="00073CFA"/>
    <w:rsid w:val="000744A7"/>
    <w:rsid w:val="00074E8F"/>
    <w:rsid w:val="0007521D"/>
    <w:rsid w:val="000753F6"/>
    <w:rsid w:val="000756B5"/>
    <w:rsid w:val="00075B1C"/>
    <w:rsid w:val="00075BB1"/>
    <w:rsid w:val="00075D7D"/>
    <w:rsid w:val="00075F10"/>
    <w:rsid w:val="00076514"/>
    <w:rsid w:val="00076CE7"/>
    <w:rsid w:val="00076D52"/>
    <w:rsid w:val="00076F35"/>
    <w:rsid w:val="000770DB"/>
    <w:rsid w:val="00077256"/>
    <w:rsid w:val="00077B2D"/>
    <w:rsid w:val="00077B6C"/>
    <w:rsid w:val="00077CFC"/>
    <w:rsid w:val="0008021B"/>
    <w:rsid w:val="00080230"/>
    <w:rsid w:val="000804B3"/>
    <w:rsid w:val="000804C5"/>
    <w:rsid w:val="00080A8B"/>
    <w:rsid w:val="00080AF2"/>
    <w:rsid w:val="00081416"/>
    <w:rsid w:val="0008150F"/>
    <w:rsid w:val="00081AB6"/>
    <w:rsid w:val="0008253E"/>
    <w:rsid w:val="00082A18"/>
    <w:rsid w:val="00082B23"/>
    <w:rsid w:val="00082C5F"/>
    <w:rsid w:val="00082CBC"/>
    <w:rsid w:val="00082F69"/>
    <w:rsid w:val="00083125"/>
    <w:rsid w:val="0008358F"/>
    <w:rsid w:val="000835AA"/>
    <w:rsid w:val="000839C2"/>
    <w:rsid w:val="00084573"/>
    <w:rsid w:val="000845E4"/>
    <w:rsid w:val="0008490E"/>
    <w:rsid w:val="00084919"/>
    <w:rsid w:val="00084AF9"/>
    <w:rsid w:val="00084C67"/>
    <w:rsid w:val="00084F27"/>
    <w:rsid w:val="000852B8"/>
    <w:rsid w:val="000853E6"/>
    <w:rsid w:val="00085972"/>
    <w:rsid w:val="000863DB"/>
    <w:rsid w:val="00086DE9"/>
    <w:rsid w:val="00087299"/>
    <w:rsid w:val="0008785F"/>
    <w:rsid w:val="000878C9"/>
    <w:rsid w:val="00087A69"/>
    <w:rsid w:val="00087E2A"/>
    <w:rsid w:val="00090825"/>
    <w:rsid w:val="00090A68"/>
    <w:rsid w:val="00090B69"/>
    <w:rsid w:val="00090BCD"/>
    <w:rsid w:val="000918AA"/>
    <w:rsid w:val="000918C1"/>
    <w:rsid w:val="000918D4"/>
    <w:rsid w:val="00091C59"/>
    <w:rsid w:val="000922E7"/>
    <w:rsid w:val="0009261B"/>
    <w:rsid w:val="00093164"/>
    <w:rsid w:val="00093660"/>
    <w:rsid w:val="00093731"/>
    <w:rsid w:val="00093732"/>
    <w:rsid w:val="0009378B"/>
    <w:rsid w:val="00093AFD"/>
    <w:rsid w:val="0009446B"/>
    <w:rsid w:val="00094851"/>
    <w:rsid w:val="000948F8"/>
    <w:rsid w:val="00094907"/>
    <w:rsid w:val="00094C37"/>
    <w:rsid w:val="00094C63"/>
    <w:rsid w:val="000956A6"/>
    <w:rsid w:val="000958D8"/>
    <w:rsid w:val="00095AD5"/>
    <w:rsid w:val="00095DBE"/>
    <w:rsid w:val="00095F1B"/>
    <w:rsid w:val="00095F46"/>
    <w:rsid w:val="0009612D"/>
    <w:rsid w:val="00096268"/>
    <w:rsid w:val="00096302"/>
    <w:rsid w:val="000966CA"/>
    <w:rsid w:val="00096751"/>
    <w:rsid w:val="00096944"/>
    <w:rsid w:val="00096CE2"/>
    <w:rsid w:val="00096F13"/>
    <w:rsid w:val="000973A2"/>
    <w:rsid w:val="00097504"/>
    <w:rsid w:val="00097922"/>
    <w:rsid w:val="00097B8D"/>
    <w:rsid w:val="000A0104"/>
    <w:rsid w:val="000A013F"/>
    <w:rsid w:val="000A0142"/>
    <w:rsid w:val="000A06E0"/>
    <w:rsid w:val="000A0C23"/>
    <w:rsid w:val="000A0EE5"/>
    <w:rsid w:val="000A0F2D"/>
    <w:rsid w:val="000A1358"/>
    <w:rsid w:val="000A1E70"/>
    <w:rsid w:val="000A2E5F"/>
    <w:rsid w:val="000A3222"/>
    <w:rsid w:val="000A35C0"/>
    <w:rsid w:val="000A365D"/>
    <w:rsid w:val="000A3BE9"/>
    <w:rsid w:val="000A41EA"/>
    <w:rsid w:val="000A443E"/>
    <w:rsid w:val="000A484F"/>
    <w:rsid w:val="000A49EE"/>
    <w:rsid w:val="000A4EDB"/>
    <w:rsid w:val="000A4F51"/>
    <w:rsid w:val="000A52B5"/>
    <w:rsid w:val="000A55F8"/>
    <w:rsid w:val="000A5638"/>
    <w:rsid w:val="000A5858"/>
    <w:rsid w:val="000A5913"/>
    <w:rsid w:val="000A5A0D"/>
    <w:rsid w:val="000A61FA"/>
    <w:rsid w:val="000A6356"/>
    <w:rsid w:val="000A63C5"/>
    <w:rsid w:val="000A672E"/>
    <w:rsid w:val="000A68B5"/>
    <w:rsid w:val="000A69B1"/>
    <w:rsid w:val="000A6E70"/>
    <w:rsid w:val="000A76C2"/>
    <w:rsid w:val="000A78A1"/>
    <w:rsid w:val="000B04F4"/>
    <w:rsid w:val="000B0BFE"/>
    <w:rsid w:val="000B16C1"/>
    <w:rsid w:val="000B216D"/>
    <w:rsid w:val="000B26FD"/>
    <w:rsid w:val="000B2755"/>
    <w:rsid w:val="000B2E1C"/>
    <w:rsid w:val="000B2F28"/>
    <w:rsid w:val="000B353F"/>
    <w:rsid w:val="000B363C"/>
    <w:rsid w:val="000B3BB4"/>
    <w:rsid w:val="000B41CC"/>
    <w:rsid w:val="000B4780"/>
    <w:rsid w:val="000B4A48"/>
    <w:rsid w:val="000B4DB2"/>
    <w:rsid w:val="000B4EAE"/>
    <w:rsid w:val="000B5039"/>
    <w:rsid w:val="000B5206"/>
    <w:rsid w:val="000B5238"/>
    <w:rsid w:val="000B54D6"/>
    <w:rsid w:val="000B57C0"/>
    <w:rsid w:val="000B5F6B"/>
    <w:rsid w:val="000B607A"/>
    <w:rsid w:val="000B69A3"/>
    <w:rsid w:val="000B6B15"/>
    <w:rsid w:val="000B6F68"/>
    <w:rsid w:val="000B716C"/>
    <w:rsid w:val="000B72CF"/>
    <w:rsid w:val="000B7363"/>
    <w:rsid w:val="000B7824"/>
    <w:rsid w:val="000C00B5"/>
    <w:rsid w:val="000C00E1"/>
    <w:rsid w:val="000C073D"/>
    <w:rsid w:val="000C07BC"/>
    <w:rsid w:val="000C0D1E"/>
    <w:rsid w:val="000C111F"/>
    <w:rsid w:val="000C1515"/>
    <w:rsid w:val="000C1811"/>
    <w:rsid w:val="000C183B"/>
    <w:rsid w:val="000C1D1F"/>
    <w:rsid w:val="000C1EE3"/>
    <w:rsid w:val="000C2975"/>
    <w:rsid w:val="000C2AE3"/>
    <w:rsid w:val="000C2E8E"/>
    <w:rsid w:val="000C2FC9"/>
    <w:rsid w:val="000C31E4"/>
    <w:rsid w:val="000C3270"/>
    <w:rsid w:val="000C332D"/>
    <w:rsid w:val="000C3CA0"/>
    <w:rsid w:val="000C4058"/>
    <w:rsid w:val="000C4C97"/>
    <w:rsid w:val="000C55FB"/>
    <w:rsid w:val="000C5665"/>
    <w:rsid w:val="000C56E0"/>
    <w:rsid w:val="000C5927"/>
    <w:rsid w:val="000C5F15"/>
    <w:rsid w:val="000C6430"/>
    <w:rsid w:val="000C678E"/>
    <w:rsid w:val="000C67F5"/>
    <w:rsid w:val="000C69F0"/>
    <w:rsid w:val="000C709A"/>
    <w:rsid w:val="000C70AB"/>
    <w:rsid w:val="000C7255"/>
    <w:rsid w:val="000C75DB"/>
    <w:rsid w:val="000C76B5"/>
    <w:rsid w:val="000C786B"/>
    <w:rsid w:val="000C79A0"/>
    <w:rsid w:val="000C7AB6"/>
    <w:rsid w:val="000C7BBD"/>
    <w:rsid w:val="000D008C"/>
    <w:rsid w:val="000D0702"/>
    <w:rsid w:val="000D12C8"/>
    <w:rsid w:val="000D12E1"/>
    <w:rsid w:val="000D1481"/>
    <w:rsid w:val="000D1CA8"/>
    <w:rsid w:val="000D1F47"/>
    <w:rsid w:val="000D1F8E"/>
    <w:rsid w:val="000D1FB9"/>
    <w:rsid w:val="000D209A"/>
    <w:rsid w:val="000D2275"/>
    <w:rsid w:val="000D22B4"/>
    <w:rsid w:val="000D22EB"/>
    <w:rsid w:val="000D23AC"/>
    <w:rsid w:val="000D2483"/>
    <w:rsid w:val="000D267E"/>
    <w:rsid w:val="000D29C8"/>
    <w:rsid w:val="000D2B67"/>
    <w:rsid w:val="000D2DF9"/>
    <w:rsid w:val="000D3069"/>
    <w:rsid w:val="000D36F2"/>
    <w:rsid w:val="000D3CAA"/>
    <w:rsid w:val="000D3D23"/>
    <w:rsid w:val="000D3DB0"/>
    <w:rsid w:val="000D3E1C"/>
    <w:rsid w:val="000D4090"/>
    <w:rsid w:val="000D42E2"/>
    <w:rsid w:val="000D4460"/>
    <w:rsid w:val="000D460C"/>
    <w:rsid w:val="000D47F4"/>
    <w:rsid w:val="000D48BE"/>
    <w:rsid w:val="000D4AF7"/>
    <w:rsid w:val="000D59B3"/>
    <w:rsid w:val="000D5ADC"/>
    <w:rsid w:val="000D6E1E"/>
    <w:rsid w:val="000D72E0"/>
    <w:rsid w:val="000D76BF"/>
    <w:rsid w:val="000D7AB5"/>
    <w:rsid w:val="000D7D00"/>
    <w:rsid w:val="000D7F88"/>
    <w:rsid w:val="000E0271"/>
    <w:rsid w:val="000E02B6"/>
    <w:rsid w:val="000E071F"/>
    <w:rsid w:val="000E0B08"/>
    <w:rsid w:val="000E0C67"/>
    <w:rsid w:val="000E0E0C"/>
    <w:rsid w:val="000E12F0"/>
    <w:rsid w:val="000E16B6"/>
    <w:rsid w:val="000E16F2"/>
    <w:rsid w:val="000E1DC9"/>
    <w:rsid w:val="000E215E"/>
    <w:rsid w:val="000E21C9"/>
    <w:rsid w:val="000E231D"/>
    <w:rsid w:val="000E3310"/>
    <w:rsid w:val="000E35AE"/>
    <w:rsid w:val="000E4568"/>
    <w:rsid w:val="000E4596"/>
    <w:rsid w:val="000E45F6"/>
    <w:rsid w:val="000E4D5C"/>
    <w:rsid w:val="000E53B9"/>
    <w:rsid w:val="000E5DC8"/>
    <w:rsid w:val="000E5E09"/>
    <w:rsid w:val="000E60E7"/>
    <w:rsid w:val="000E64D8"/>
    <w:rsid w:val="000E65AC"/>
    <w:rsid w:val="000E6929"/>
    <w:rsid w:val="000E6955"/>
    <w:rsid w:val="000E6A25"/>
    <w:rsid w:val="000E6A73"/>
    <w:rsid w:val="000E6DC6"/>
    <w:rsid w:val="000E72D4"/>
    <w:rsid w:val="000E7415"/>
    <w:rsid w:val="000E7885"/>
    <w:rsid w:val="000E7A90"/>
    <w:rsid w:val="000E7D66"/>
    <w:rsid w:val="000F0301"/>
    <w:rsid w:val="000F174A"/>
    <w:rsid w:val="000F1780"/>
    <w:rsid w:val="000F179E"/>
    <w:rsid w:val="000F1B98"/>
    <w:rsid w:val="000F1D8D"/>
    <w:rsid w:val="000F1DC2"/>
    <w:rsid w:val="000F1E9E"/>
    <w:rsid w:val="000F2242"/>
    <w:rsid w:val="000F2397"/>
    <w:rsid w:val="000F2501"/>
    <w:rsid w:val="000F252E"/>
    <w:rsid w:val="000F27FE"/>
    <w:rsid w:val="000F2DE3"/>
    <w:rsid w:val="000F367E"/>
    <w:rsid w:val="000F3897"/>
    <w:rsid w:val="000F3DFE"/>
    <w:rsid w:val="000F3E12"/>
    <w:rsid w:val="000F4307"/>
    <w:rsid w:val="000F44EC"/>
    <w:rsid w:val="000F4C4B"/>
    <w:rsid w:val="000F551B"/>
    <w:rsid w:val="000F5671"/>
    <w:rsid w:val="000F5694"/>
    <w:rsid w:val="000F5D47"/>
    <w:rsid w:val="000F621C"/>
    <w:rsid w:val="000F68FB"/>
    <w:rsid w:val="000F6E93"/>
    <w:rsid w:val="000F712A"/>
    <w:rsid w:val="000F717E"/>
    <w:rsid w:val="000F717F"/>
    <w:rsid w:val="000F758D"/>
    <w:rsid w:val="0010059D"/>
    <w:rsid w:val="00100639"/>
    <w:rsid w:val="001006A8"/>
    <w:rsid w:val="00100BF5"/>
    <w:rsid w:val="00100F06"/>
    <w:rsid w:val="00101109"/>
    <w:rsid w:val="0010134B"/>
    <w:rsid w:val="00101387"/>
    <w:rsid w:val="0010147F"/>
    <w:rsid w:val="0010158F"/>
    <w:rsid w:val="001017C2"/>
    <w:rsid w:val="001017F6"/>
    <w:rsid w:val="00101AB8"/>
    <w:rsid w:val="00101F51"/>
    <w:rsid w:val="001022A1"/>
    <w:rsid w:val="001026CA"/>
    <w:rsid w:val="00102B12"/>
    <w:rsid w:val="00102E54"/>
    <w:rsid w:val="00102FC7"/>
    <w:rsid w:val="00102FEB"/>
    <w:rsid w:val="0010341F"/>
    <w:rsid w:val="001035AF"/>
    <w:rsid w:val="001036E6"/>
    <w:rsid w:val="00103DC6"/>
    <w:rsid w:val="00104041"/>
    <w:rsid w:val="001040BB"/>
    <w:rsid w:val="0010424C"/>
    <w:rsid w:val="0010425F"/>
    <w:rsid w:val="001043B3"/>
    <w:rsid w:val="001044B6"/>
    <w:rsid w:val="00104652"/>
    <w:rsid w:val="00104A0D"/>
    <w:rsid w:val="00104D61"/>
    <w:rsid w:val="00104D9B"/>
    <w:rsid w:val="00105B40"/>
    <w:rsid w:val="00105C8E"/>
    <w:rsid w:val="00105CC8"/>
    <w:rsid w:val="00106006"/>
    <w:rsid w:val="001060E5"/>
    <w:rsid w:val="001062CD"/>
    <w:rsid w:val="00106312"/>
    <w:rsid w:val="00106C0E"/>
    <w:rsid w:val="00107388"/>
    <w:rsid w:val="001074A1"/>
    <w:rsid w:val="00107609"/>
    <w:rsid w:val="00107958"/>
    <w:rsid w:val="001079A5"/>
    <w:rsid w:val="00107A0C"/>
    <w:rsid w:val="00107EE2"/>
    <w:rsid w:val="00110056"/>
    <w:rsid w:val="00110650"/>
    <w:rsid w:val="001106DA"/>
    <w:rsid w:val="00110B8C"/>
    <w:rsid w:val="00110F2F"/>
    <w:rsid w:val="0011122E"/>
    <w:rsid w:val="00111338"/>
    <w:rsid w:val="00111581"/>
    <w:rsid w:val="001118B5"/>
    <w:rsid w:val="00112039"/>
    <w:rsid w:val="001129F3"/>
    <w:rsid w:val="00112E9E"/>
    <w:rsid w:val="00112F81"/>
    <w:rsid w:val="00112FDA"/>
    <w:rsid w:val="00113277"/>
    <w:rsid w:val="00113574"/>
    <w:rsid w:val="00113776"/>
    <w:rsid w:val="001138D3"/>
    <w:rsid w:val="001139C5"/>
    <w:rsid w:val="00114656"/>
    <w:rsid w:val="00114DFB"/>
    <w:rsid w:val="00114E82"/>
    <w:rsid w:val="00114FF4"/>
    <w:rsid w:val="0011517F"/>
    <w:rsid w:val="0011535C"/>
    <w:rsid w:val="0011558D"/>
    <w:rsid w:val="001158C1"/>
    <w:rsid w:val="0011592B"/>
    <w:rsid w:val="00115DA8"/>
    <w:rsid w:val="001169AE"/>
    <w:rsid w:val="00116A05"/>
    <w:rsid w:val="00116DC1"/>
    <w:rsid w:val="0011700F"/>
    <w:rsid w:val="0011757D"/>
    <w:rsid w:val="001175E3"/>
    <w:rsid w:val="0011763D"/>
    <w:rsid w:val="001176EC"/>
    <w:rsid w:val="00117818"/>
    <w:rsid w:val="00117A05"/>
    <w:rsid w:val="00117CB2"/>
    <w:rsid w:val="0012026F"/>
    <w:rsid w:val="0012032E"/>
    <w:rsid w:val="00120880"/>
    <w:rsid w:val="00120B39"/>
    <w:rsid w:val="00120B8F"/>
    <w:rsid w:val="00120CC2"/>
    <w:rsid w:val="00120D10"/>
    <w:rsid w:val="0012110E"/>
    <w:rsid w:val="0012131E"/>
    <w:rsid w:val="00121BFB"/>
    <w:rsid w:val="00122222"/>
    <w:rsid w:val="001225BF"/>
    <w:rsid w:val="00122CB2"/>
    <w:rsid w:val="00122E04"/>
    <w:rsid w:val="00122EFA"/>
    <w:rsid w:val="00123212"/>
    <w:rsid w:val="0012361C"/>
    <w:rsid w:val="0012370F"/>
    <w:rsid w:val="001238E5"/>
    <w:rsid w:val="001239CD"/>
    <w:rsid w:val="00123A2E"/>
    <w:rsid w:val="00124071"/>
    <w:rsid w:val="00124683"/>
    <w:rsid w:val="00124787"/>
    <w:rsid w:val="001253FB"/>
    <w:rsid w:val="001255CB"/>
    <w:rsid w:val="001259C6"/>
    <w:rsid w:val="00125AD6"/>
    <w:rsid w:val="00125F0A"/>
    <w:rsid w:val="001266DB"/>
    <w:rsid w:val="001267D4"/>
    <w:rsid w:val="0012696F"/>
    <w:rsid w:val="00126D31"/>
    <w:rsid w:val="00126E93"/>
    <w:rsid w:val="00127062"/>
    <w:rsid w:val="00127766"/>
    <w:rsid w:val="001303B4"/>
    <w:rsid w:val="00130860"/>
    <w:rsid w:val="00130A7C"/>
    <w:rsid w:val="00130BA7"/>
    <w:rsid w:val="00130EA2"/>
    <w:rsid w:val="00130EA9"/>
    <w:rsid w:val="00131482"/>
    <w:rsid w:val="00131919"/>
    <w:rsid w:val="0013266A"/>
    <w:rsid w:val="0013269E"/>
    <w:rsid w:val="00132900"/>
    <w:rsid w:val="00134325"/>
    <w:rsid w:val="00134395"/>
    <w:rsid w:val="001349FE"/>
    <w:rsid w:val="00135157"/>
    <w:rsid w:val="00135480"/>
    <w:rsid w:val="00135670"/>
    <w:rsid w:val="001358B2"/>
    <w:rsid w:val="00135972"/>
    <w:rsid w:val="001360FC"/>
    <w:rsid w:val="00136BE4"/>
    <w:rsid w:val="00136C22"/>
    <w:rsid w:val="00136F53"/>
    <w:rsid w:val="00136FEB"/>
    <w:rsid w:val="00137B55"/>
    <w:rsid w:val="001400A9"/>
    <w:rsid w:val="0014036B"/>
    <w:rsid w:val="00140B1F"/>
    <w:rsid w:val="001414CD"/>
    <w:rsid w:val="00142219"/>
    <w:rsid w:val="0014251E"/>
    <w:rsid w:val="0014269B"/>
    <w:rsid w:val="00142BD8"/>
    <w:rsid w:val="00142C15"/>
    <w:rsid w:val="00142CF7"/>
    <w:rsid w:val="00142F2D"/>
    <w:rsid w:val="00143267"/>
    <w:rsid w:val="0014360F"/>
    <w:rsid w:val="00143757"/>
    <w:rsid w:val="00143EF5"/>
    <w:rsid w:val="00143F09"/>
    <w:rsid w:val="00144688"/>
    <w:rsid w:val="001447A0"/>
    <w:rsid w:val="0014497F"/>
    <w:rsid w:val="00144F43"/>
    <w:rsid w:val="00145197"/>
    <w:rsid w:val="00145890"/>
    <w:rsid w:val="001463A5"/>
    <w:rsid w:val="00146A23"/>
    <w:rsid w:val="00146B06"/>
    <w:rsid w:val="00146DDD"/>
    <w:rsid w:val="00146E58"/>
    <w:rsid w:val="00146FB3"/>
    <w:rsid w:val="00147145"/>
    <w:rsid w:val="00147261"/>
    <w:rsid w:val="00147407"/>
    <w:rsid w:val="001476D4"/>
    <w:rsid w:val="00147838"/>
    <w:rsid w:val="00150096"/>
    <w:rsid w:val="0015032B"/>
    <w:rsid w:val="00150446"/>
    <w:rsid w:val="00150529"/>
    <w:rsid w:val="00150583"/>
    <w:rsid w:val="001508E4"/>
    <w:rsid w:val="00150A2C"/>
    <w:rsid w:val="00150D50"/>
    <w:rsid w:val="00150E30"/>
    <w:rsid w:val="0015155C"/>
    <w:rsid w:val="001515A8"/>
    <w:rsid w:val="001518C4"/>
    <w:rsid w:val="001519B6"/>
    <w:rsid w:val="00151A01"/>
    <w:rsid w:val="00152532"/>
    <w:rsid w:val="00152599"/>
    <w:rsid w:val="001525E2"/>
    <w:rsid w:val="001526C2"/>
    <w:rsid w:val="001527A9"/>
    <w:rsid w:val="00152D16"/>
    <w:rsid w:val="00152DFB"/>
    <w:rsid w:val="0015380A"/>
    <w:rsid w:val="00153BAF"/>
    <w:rsid w:val="001542D1"/>
    <w:rsid w:val="0015443A"/>
    <w:rsid w:val="0015449F"/>
    <w:rsid w:val="001544DD"/>
    <w:rsid w:val="00154C08"/>
    <w:rsid w:val="00154CB6"/>
    <w:rsid w:val="0015566F"/>
    <w:rsid w:val="0015570D"/>
    <w:rsid w:val="00155FCB"/>
    <w:rsid w:val="00156329"/>
    <w:rsid w:val="001569FB"/>
    <w:rsid w:val="00157346"/>
    <w:rsid w:val="00157622"/>
    <w:rsid w:val="00157B4D"/>
    <w:rsid w:val="00157BCA"/>
    <w:rsid w:val="00157F0B"/>
    <w:rsid w:val="00157F1C"/>
    <w:rsid w:val="00157FB2"/>
    <w:rsid w:val="00160152"/>
    <w:rsid w:val="00160F7E"/>
    <w:rsid w:val="00160FB6"/>
    <w:rsid w:val="00160FB9"/>
    <w:rsid w:val="001610A5"/>
    <w:rsid w:val="001611EF"/>
    <w:rsid w:val="00161298"/>
    <w:rsid w:val="001615E4"/>
    <w:rsid w:val="00162782"/>
    <w:rsid w:val="001628FE"/>
    <w:rsid w:val="00162EAE"/>
    <w:rsid w:val="00162F5B"/>
    <w:rsid w:val="00162F5C"/>
    <w:rsid w:val="001630EB"/>
    <w:rsid w:val="0016314D"/>
    <w:rsid w:val="001635D0"/>
    <w:rsid w:val="00163778"/>
    <w:rsid w:val="00163859"/>
    <w:rsid w:val="00163B25"/>
    <w:rsid w:val="00163D79"/>
    <w:rsid w:val="001641FF"/>
    <w:rsid w:val="00164520"/>
    <w:rsid w:val="00164D32"/>
    <w:rsid w:val="00164DA4"/>
    <w:rsid w:val="00166298"/>
    <w:rsid w:val="00166372"/>
    <w:rsid w:val="001663C8"/>
    <w:rsid w:val="001663FC"/>
    <w:rsid w:val="0016653A"/>
    <w:rsid w:val="00166731"/>
    <w:rsid w:val="00166B35"/>
    <w:rsid w:val="00166ED2"/>
    <w:rsid w:val="001678D9"/>
    <w:rsid w:val="00167EFB"/>
    <w:rsid w:val="001705FC"/>
    <w:rsid w:val="001707D7"/>
    <w:rsid w:val="00170D25"/>
    <w:rsid w:val="00170FB3"/>
    <w:rsid w:val="00171199"/>
    <w:rsid w:val="00171CF5"/>
    <w:rsid w:val="00171EBE"/>
    <w:rsid w:val="00172060"/>
    <w:rsid w:val="0017209B"/>
    <w:rsid w:val="00172188"/>
    <w:rsid w:val="00172549"/>
    <w:rsid w:val="001728FC"/>
    <w:rsid w:val="00172A96"/>
    <w:rsid w:val="00172AB2"/>
    <w:rsid w:val="00172E6F"/>
    <w:rsid w:val="00172F06"/>
    <w:rsid w:val="00174D3D"/>
    <w:rsid w:val="00174E3F"/>
    <w:rsid w:val="001751D7"/>
    <w:rsid w:val="001755D8"/>
    <w:rsid w:val="00175729"/>
    <w:rsid w:val="001764BF"/>
    <w:rsid w:val="0017682B"/>
    <w:rsid w:val="00176DB6"/>
    <w:rsid w:val="001770B0"/>
    <w:rsid w:val="001773B9"/>
    <w:rsid w:val="00177A80"/>
    <w:rsid w:val="00177D98"/>
    <w:rsid w:val="00177F78"/>
    <w:rsid w:val="0018015E"/>
    <w:rsid w:val="001803F4"/>
    <w:rsid w:val="001805E6"/>
    <w:rsid w:val="00180601"/>
    <w:rsid w:val="00181222"/>
    <w:rsid w:val="001814C4"/>
    <w:rsid w:val="00181539"/>
    <w:rsid w:val="00181BBA"/>
    <w:rsid w:val="001820D8"/>
    <w:rsid w:val="00182478"/>
    <w:rsid w:val="00182607"/>
    <w:rsid w:val="0018274A"/>
    <w:rsid w:val="00182CCF"/>
    <w:rsid w:val="00183034"/>
    <w:rsid w:val="001831AC"/>
    <w:rsid w:val="001839F1"/>
    <w:rsid w:val="00184326"/>
    <w:rsid w:val="0018480F"/>
    <w:rsid w:val="00184D47"/>
    <w:rsid w:val="00184FCC"/>
    <w:rsid w:val="00185167"/>
    <w:rsid w:val="0018518D"/>
    <w:rsid w:val="001855CA"/>
    <w:rsid w:val="0018567E"/>
    <w:rsid w:val="00185739"/>
    <w:rsid w:val="001857B0"/>
    <w:rsid w:val="0018583E"/>
    <w:rsid w:val="00185AFF"/>
    <w:rsid w:val="00185B0D"/>
    <w:rsid w:val="00185F18"/>
    <w:rsid w:val="00185F46"/>
    <w:rsid w:val="001865F4"/>
    <w:rsid w:val="00186A97"/>
    <w:rsid w:val="00186D7E"/>
    <w:rsid w:val="00187303"/>
    <w:rsid w:val="00187831"/>
    <w:rsid w:val="00187930"/>
    <w:rsid w:val="0019020C"/>
    <w:rsid w:val="00190621"/>
    <w:rsid w:val="001906B1"/>
    <w:rsid w:val="00190992"/>
    <w:rsid w:val="00190A1D"/>
    <w:rsid w:val="001911B3"/>
    <w:rsid w:val="00191412"/>
    <w:rsid w:val="00191763"/>
    <w:rsid w:val="0019182E"/>
    <w:rsid w:val="00191A20"/>
    <w:rsid w:val="00192DF3"/>
    <w:rsid w:val="00192FCD"/>
    <w:rsid w:val="001938C4"/>
    <w:rsid w:val="001939BB"/>
    <w:rsid w:val="00193EE7"/>
    <w:rsid w:val="00194077"/>
    <w:rsid w:val="00194322"/>
    <w:rsid w:val="001944F6"/>
    <w:rsid w:val="0019462C"/>
    <w:rsid w:val="00194940"/>
    <w:rsid w:val="00194B66"/>
    <w:rsid w:val="00194E02"/>
    <w:rsid w:val="0019510F"/>
    <w:rsid w:val="0019530E"/>
    <w:rsid w:val="00195735"/>
    <w:rsid w:val="00195C58"/>
    <w:rsid w:val="00195DB7"/>
    <w:rsid w:val="00195F2A"/>
    <w:rsid w:val="00195F2E"/>
    <w:rsid w:val="00196A8E"/>
    <w:rsid w:val="0019702F"/>
    <w:rsid w:val="0019788F"/>
    <w:rsid w:val="00197970"/>
    <w:rsid w:val="00197A58"/>
    <w:rsid w:val="00197CFB"/>
    <w:rsid w:val="00197E21"/>
    <w:rsid w:val="001A004E"/>
    <w:rsid w:val="001A0B18"/>
    <w:rsid w:val="001A137B"/>
    <w:rsid w:val="001A1400"/>
    <w:rsid w:val="001A1671"/>
    <w:rsid w:val="001A1946"/>
    <w:rsid w:val="001A1BAC"/>
    <w:rsid w:val="001A1BF1"/>
    <w:rsid w:val="001A2355"/>
    <w:rsid w:val="001A239E"/>
    <w:rsid w:val="001A24F6"/>
    <w:rsid w:val="001A2745"/>
    <w:rsid w:val="001A280F"/>
    <w:rsid w:val="001A2B3D"/>
    <w:rsid w:val="001A2BE9"/>
    <w:rsid w:val="001A2D0F"/>
    <w:rsid w:val="001A3165"/>
    <w:rsid w:val="001A3C5E"/>
    <w:rsid w:val="001A512B"/>
    <w:rsid w:val="001A53D2"/>
    <w:rsid w:val="001A597D"/>
    <w:rsid w:val="001A5A0E"/>
    <w:rsid w:val="001A60FA"/>
    <w:rsid w:val="001A6790"/>
    <w:rsid w:val="001A6AED"/>
    <w:rsid w:val="001A732F"/>
    <w:rsid w:val="001A76C4"/>
    <w:rsid w:val="001A7A13"/>
    <w:rsid w:val="001A7EFE"/>
    <w:rsid w:val="001B0145"/>
    <w:rsid w:val="001B05EC"/>
    <w:rsid w:val="001B074A"/>
    <w:rsid w:val="001B0AC3"/>
    <w:rsid w:val="001B0C7B"/>
    <w:rsid w:val="001B0FD7"/>
    <w:rsid w:val="001B1151"/>
    <w:rsid w:val="001B1188"/>
    <w:rsid w:val="001B1350"/>
    <w:rsid w:val="001B1846"/>
    <w:rsid w:val="001B187D"/>
    <w:rsid w:val="001B18A7"/>
    <w:rsid w:val="001B1D75"/>
    <w:rsid w:val="001B1DB4"/>
    <w:rsid w:val="001B1E07"/>
    <w:rsid w:val="001B2603"/>
    <w:rsid w:val="001B26D8"/>
    <w:rsid w:val="001B27AA"/>
    <w:rsid w:val="001B28B1"/>
    <w:rsid w:val="001B35D7"/>
    <w:rsid w:val="001B3BAB"/>
    <w:rsid w:val="001B4A65"/>
    <w:rsid w:val="001B50F9"/>
    <w:rsid w:val="001B5865"/>
    <w:rsid w:val="001B59F0"/>
    <w:rsid w:val="001B5BBD"/>
    <w:rsid w:val="001B6382"/>
    <w:rsid w:val="001B6CB1"/>
    <w:rsid w:val="001B6CCD"/>
    <w:rsid w:val="001B70B2"/>
    <w:rsid w:val="001B7485"/>
    <w:rsid w:val="001B7907"/>
    <w:rsid w:val="001B7B41"/>
    <w:rsid w:val="001B7B91"/>
    <w:rsid w:val="001C0809"/>
    <w:rsid w:val="001C0C68"/>
    <w:rsid w:val="001C0E39"/>
    <w:rsid w:val="001C1183"/>
    <w:rsid w:val="001C15A5"/>
    <w:rsid w:val="001C182A"/>
    <w:rsid w:val="001C1F06"/>
    <w:rsid w:val="001C27BF"/>
    <w:rsid w:val="001C2AE1"/>
    <w:rsid w:val="001C2B92"/>
    <w:rsid w:val="001C3BAA"/>
    <w:rsid w:val="001C3D3F"/>
    <w:rsid w:val="001C4117"/>
    <w:rsid w:val="001C42C0"/>
    <w:rsid w:val="001C492F"/>
    <w:rsid w:val="001C4978"/>
    <w:rsid w:val="001C4B6C"/>
    <w:rsid w:val="001C4B92"/>
    <w:rsid w:val="001C4DB9"/>
    <w:rsid w:val="001C5ECF"/>
    <w:rsid w:val="001C5F74"/>
    <w:rsid w:val="001C5F95"/>
    <w:rsid w:val="001C61F9"/>
    <w:rsid w:val="001C71ED"/>
    <w:rsid w:val="001C73CD"/>
    <w:rsid w:val="001C7779"/>
    <w:rsid w:val="001C7AAE"/>
    <w:rsid w:val="001D053A"/>
    <w:rsid w:val="001D05A7"/>
    <w:rsid w:val="001D05F3"/>
    <w:rsid w:val="001D0EA8"/>
    <w:rsid w:val="001D0ED2"/>
    <w:rsid w:val="001D1628"/>
    <w:rsid w:val="001D1648"/>
    <w:rsid w:val="001D1715"/>
    <w:rsid w:val="001D1D6B"/>
    <w:rsid w:val="001D1F1B"/>
    <w:rsid w:val="001D1FFA"/>
    <w:rsid w:val="001D25F3"/>
    <w:rsid w:val="001D29AF"/>
    <w:rsid w:val="001D3751"/>
    <w:rsid w:val="001D376D"/>
    <w:rsid w:val="001D38E9"/>
    <w:rsid w:val="001D3EA4"/>
    <w:rsid w:val="001D419E"/>
    <w:rsid w:val="001D4247"/>
    <w:rsid w:val="001D4719"/>
    <w:rsid w:val="001D4B11"/>
    <w:rsid w:val="001D4FC9"/>
    <w:rsid w:val="001D51AA"/>
    <w:rsid w:val="001D537B"/>
    <w:rsid w:val="001D538E"/>
    <w:rsid w:val="001D5A3A"/>
    <w:rsid w:val="001D5AB3"/>
    <w:rsid w:val="001D5E90"/>
    <w:rsid w:val="001D5EFC"/>
    <w:rsid w:val="001D601E"/>
    <w:rsid w:val="001D6361"/>
    <w:rsid w:val="001D656E"/>
    <w:rsid w:val="001D6778"/>
    <w:rsid w:val="001D6941"/>
    <w:rsid w:val="001D69F4"/>
    <w:rsid w:val="001D6B3E"/>
    <w:rsid w:val="001D6E04"/>
    <w:rsid w:val="001D705F"/>
    <w:rsid w:val="001E0B61"/>
    <w:rsid w:val="001E0D79"/>
    <w:rsid w:val="001E1195"/>
    <w:rsid w:val="001E1276"/>
    <w:rsid w:val="001E1610"/>
    <w:rsid w:val="001E1FD6"/>
    <w:rsid w:val="001E2949"/>
    <w:rsid w:val="001E3F37"/>
    <w:rsid w:val="001E3F7F"/>
    <w:rsid w:val="001E53AE"/>
    <w:rsid w:val="001E559A"/>
    <w:rsid w:val="001E570D"/>
    <w:rsid w:val="001E5807"/>
    <w:rsid w:val="001E5841"/>
    <w:rsid w:val="001E5A04"/>
    <w:rsid w:val="001E60EE"/>
    <w:rsid w:val="001E6381"/>
    <w:rsid w:val="001E662B"/>
    <w:rsid w:val="001E6ACA"/>
    <w:rsid w:val="001E7091"/>
    <w:rsid w:val="001E73FA"/>
    <w:rsid w:val="001E786F"/>
    <w:rsid w:val="001E7BB4"/>
    <w:rsid w:val="001E7FD4"/>
    <w:rsid w:val="001F0025"/>
    <w:rsid w:val="001F014E"/>
    <w:rsid w:val="001F0509"/>
    <w:rsid w:val="001F0AB5"/>
    <w:rsid w:val="001F2069"/>
    <w:rsid w:val="001F2669"/>
    <w:rsid w:val="001F2686"/>
    <w:rsid w:val="001F26FE"/>
    <w:rsid w:val="001F285E"/>
    <w:rsid w:val="001F28C4"/>
    <w:rsid w:val="001F2966"/>
    <w:rsid w:val="001F2CDC"/>
    <w:rsid w:val="001F2D64"/>
    <w:rsid w:val="001F37B7"/>
    <w:rsid w:val="001F3B32"/>
    <w:rsid w:val="001F3E71"/>
    <w:rsid w:val="001F4275"/>
    <w:rsid w:val="001F42E4"/>
    <w:rsid w:val="001F43EB"/>
    <w:rsid w:val="001F4BCA"/>
    <w:rsid w:val="001F4CEE"/>
    <w:rsid w:val="001F4FA1"/>
    <w:rsid w:val="001F4FC9"/>
    <w:rsid w:val="001F55B4"/>
    <w:rsid w:val="001F5939"/>
    <w:rsid w:val="001F5ADE"/>
    <w:rsid w:val="001F60B3"/>
    <w:rsid w:val="001F62E7"/>
    <w:rsid w:val="001F634E"/>
    <w:rsid w:val="001F67C2"/>
    <w:rsid w:val="001F6938"/>
    <w:rsid w:val="001F6A60"/>
    <w:rsid w:val="001F6FBD"/>
    <w:rsid w:val="001F7250"/>
    <w:rsid w:val="001F7397"/>
    <w:rsid w:val="001F75B6"/>
    <w:rsid w:val="001F75FF"/>
    <w:rsid w:val="002019DC"/>
    <w:rsid w:val="00201CF6"/>
    <w:rsid w:val="00202524"/>
    <w:rsid w:val="002027BD"/>
    <w:rsid w:val="00202A4F"/>
    <w:rsid w:val="00202A57"/>
    <w:rsid w:val="00202AA8"/>
    <w:rsid w:val="00202B57"/>
    <w:rsid w:val="00202B9D"/>
    <w:rsid w:val="00202F8B"/>
    <w:rsid w:val="00203025"/>
    <w:rsid w:val="002037C0"/>
    <w:rsid w:val="00203F94"/>
    <w:rsid w:val="00203FFC"/>
    <w:rsid w:val="002043CF"/>
    <w:rsid w:val="0020442F"/>
    <w:rsid w:val="002046B5"/>
    <w:rsid w:val="00205251"/>
    <w:rsid w:val="0020580B"/>
    <w:rsid w:val="00205A0B"/>
    <w:rsid w:val="00205A42"/>
    <w:rsid w:val="00205AF4"/>
    <w:rsid w:val="00205C78"/>
    <w:rsid w:val="002061A4"/>
    <w:rsid w:val="0020644D"/>
    <w:rsid w:val="00206592"/>
    <w:rsid w:val="0020688A"/>
    <w:rsid w:val="00206E27"/>
    <w:rsid w:val="00206FA1"/>
    <w:rsid w:val="00207DDC"/>
    <w:rsid w:val="002105C5"/>
    <w:rsid w:val="00210736"/>
    <w:rsid w:val="002108C7"/>
    <w:rsid w:val="00210E85"/>
    <w:rsid w:val="00210F81"/>
    <w:rsid w:val="00211622"/>
    <w:rsid w:val="0021180F"/>
    <w:rsid w:val="00212080"/>
    <w:rsid w:val="00212364"/>
    <w:rsid w:val="00212413"/>
    <w:rsid w:val="002130C8"/>
    <w:rsid w:val="00213513"/>
    <w:rsid w:val="002137B2"/>
    <w:rsid w:val="002138A8"/>
    <w:rsid w:val="002143F8"/>
    <w:rsid w:val="00214B3E"/>
    <w:rsid w:val="00214B6A"/>
    <w:rsid w:val="00214DC8"/>
    <w:rsid w:val="00214E5F"/>
    <w:rsid w:val="002150F5"/>
    <w:rsid w:val="002156D1"/>
    <w:rsid w:val="00215C08"/>
    <w:rsid w:val="00215F30"/>
    <w:rsid w:val="002160A9"/>
    <w:rsid w:val="0021638A"/>
    <w:rsid w:val="0021693E"/>
    <w:rsid w:val="00216A86"/>
    <w:rsid w:val="00216E7E"/>
    <w:rsid w:val="00216FC2"/>
    <w:rsid w:val="0021751E"/>
    <w:rsid w:val="00217581"/>
    <w:rsid w:val="002175F6"/>
    <w:rsid w:val="00217A4E"/>
    <w:rsid w:val="00217CE0"/>
    <w:rsid w:val="0022004A"/>
    <w:rsid w:val="002200D1"/>
    <w:rsid w:val="002201FE"/>
    <w:rsid w:val="002202F4"/>
    <w:rsid w:val="0022042D"/>
    <w:rsid w:val="00220E13"/>
    <w:rsid w:val="00221533"/>
    <w:rsid w:val="00221B12"/>
    <w:rsid w:val="00221BF0"/>
    <w:rsid w:val="00221F05"/>
    <w:rsid w:val="00221F1A"/>
    <w:rsid w:val="0022202F"/>
    <w:rsid w:val="002224E6"/>
    <w:rsid w:val="00222ABE"/>
    <w:rsid w:val="00222F6B"/>
    <w:rsid w:val="00223BE6"/>
    <w:rsid w:val="00223CD5"/>
    <w:rsid w:val="002246AF"/>
    <w:rsid w:val="00225AE5"/>
    <w:rsid w:val="002260F4"/>
    <w:rsid w:val="00226374"/>
    <w:rsid w:val="002263A6"/>
    <w:rsid w:val="002263D2"/>
    <w:rsid w:val="0022698E"/>
    <w:rsid w:val="00226DDF"/>
    <w:rsid w:val="00227354"/>
    <w:rsid w:val="00227620"/>
    <w:rsid w:val="002276B4"/>
    <w:rsid w:val="00227912"/>
    <w:rsid w:val="00227B50"/>
    <w:rsid w:val="00227FAB"/>
    <w:rsid w:val="00230210"/>
    <w:rsid w:val="002303B2"/>
    <w:rsid w:val="002305D8"/>
    <w:rsid w:val="002309E9"/>
    <w:rsid w:val="00230A11"/>
    <w:rsid w:val="002311C3"/>
    <w:rsid w:val="002311EE"/>
    <w:rsid w:val="00231635"/>
    <w:rsid w:val="002319A0"/>
    <w:rsid w:val="00231A17"/>
    <w:rsid w:val="002323FA"/>
    <w:rsid w:val="00232A1C"/>
    <w:rsid w:val="00232E6B"/>
    <w:rsid w:val="00233488"/>
    <w:rsid w:val="00233D6E"/>
    <w:rsid w:val="00233ED1"/>
    <w:rsid w:val="0023417F"/>
    <w:rsid w:val="002346B6"/>
    <w:rsid w:val="00234B16"/>
    <w:rsid w:val="00234C6D"/>
    <w:rsid w:val="002351A2"/>
    <w:rsid w:val="00235322"/>
    <w:rsid w:val="00235F21"/>
    <w:rsid w:val="00235F63"/>
    <w:rsid w:val="00236205"/>
    <w:rsid w:val="00236209"/>
    <w:rsid w:val="002366C0"/>
    <w:rsid w:val="002367AB"/>
    <w:rsid w:val="00236B20"/>
    <w:rsid w:val="00236BAC"/>
    <w:rsid w:val="00236DE8"/>
    <w:rsid w:val="00236E16"/>
    <w:rsid w:val="002370F5"/>
    <w:rsid w:val="00237B46"/>
    <w:rsid w:val="00237E48"/>
    <w:rsid w:val="00237EB1"/>
    <w:rsid w:val="0024007E"/>
    <w:rsid w:val="0024088A"/>
    <w:rsid w:val="00240935"/>
    <w:rsid w:val="00240ACA"/>
    <w:rsid w:val="00240D0E"/>
    <w:rsid w:val="00240D7B"/>
    <w:rsid w:val="00241299"/>
    <w:rsid w:val="00242308"/>
    <w:rsid w:val="00242387"/>
    <w:rsid w:val="002425AB"/>
    <w:rsid w:val="00242741"/>
    <w:rsid w:val="00242B89"/>
    <w:rsid w:val="00242C42"/>
    <w:rsid w:val="00242CB0"/>
    <w:rsid w:val="00243162"/>
    <w:rsid w:val="00243350"/>
    <w:rsid w:val="002434EB"/>
    <w:rsid w:val="0024399A"/>
    <w:rsid w:val="00243FBA"/>
    <w:rsid w:val="00244543"/>
    <w:rsid w:val="002449C2"/>
    <w:rsid w:val="00244EBA"/>
    <w:rsid w:val="00245E13"/>
    <w:rsid w:val="00246005"/>
    <w:rsid w:val="00246C59"/>
    <w:rsid w:val="00246C9A"/>
    <w:rsid w:val="00246F87"/>
    <w:rsid w:val="002471BD"/>
    <w:rsid w:val="0024733E"/>
    <w:rsid w:val="002474B9"/>
    <w:rsid w:val="00247760"/>
    <w:rsid w:val="00247A04"/>
    <w:rsid w:val="00247A24"/>
    <w:rsid w:val="00247F35"/>
    <w:rsid w:val="0025061B"/>
    <w:rsid w:val="00250623"/>
    <w:rsid w:val="0025071A"/>
    <w:rsid w:val="00250A8D"/>
    <w:rsid w:val="00250FDE"/>
    <w:rsid w:val="00251355"/>
    <w:rsid w:val="0025166B"/>
    <w:rsid w:val="00251708"/>
    <w:rsid w:val="0025170A"/>
    <w:rsid w:val="00251918"/>
    <w:rsid w:val="00251E40"/>
    <w:rsid w:val="0025232A"/>
    <w:rsid w:val="0025266F"/>
    <w:rsid w:val="002528C5"/>
    <w:rsid w:val="00252D75"/>
    <w:rsid w:val="00252D7F"/>
    <w:rsid w:val="00252FCA"/>
    <w:rsid w:val="00253137"/>
    <w:rsid w:val="002531BC"/>
    <w:rsid w:val="0025348B"/>
    <w:rsid w:val="00253BF7"/>
    <w:rsid w:val="00253C21"/>
    <w:rsid w:val="002540DC"/>
    <w:rsid w:val="00254995"/>
    <w:rsid w:val="00254B97"/>
    <w:rsid w:val="00254DA9"/>
    <w:rsid w:val="00254FE8"/>
    <w:rsid w:val="00255462"/>
    <w:rsid w:val="0025579C"/>
    <w:rsid w:val="00255D39"/>
    <w:rsid w:val="00256014"/>
    <w:rsid w:val="00256233"/>
    <w:rsid w:val="00256A8F"/>
    <w:rsid w:val="00256BA9"/>
    <w:rsid w:val="00256D56"/>
    <w:rsid w:val="00257019"/>
    <w:rsid w:val="0025717B"/>
    <w:rsid w:val="002572AF"/>
    <w:rsid w:val="00257D32"/>
    <w:rsid w:val="00257F0E"/>
    <w:rsid w:val="00260044"/>
    <w:rsid w:val="00260613"/>
    <w:rsid w:val="00260648"/>
    <w:rsid w:val="00260957"/>
    <w:rsid w:val="00261032"/>
    <w:rsid w:val="002621B2"/>
    <w:rsid w:val="00262D9F"/>
    <w:rsid w:val="002630C4"/>
    <w:rsid w:val="002630E2"/>
    <w:rsid w:val="00263CF0"/>
    <w:rsid w:val="00263D24"/>
    <w:rsid w:val="002643F9"/>
    <w:rsid w:val="00264646"/>
    <w:rsid w:val="00264E24"/>
    <w:rsid w:val="00264E86"/>
    <w:rsid w:val="002654AD"/>
    <w:rsid w:val="002654F0"/>
    <w:rsid w:val="00265506"/>
    <w:rsid w:val="00265AE4"/>
    <w:rsid w:val="00265E0C"/>
    <w:rsid w:val="00266444"/>
    <w:rsid w:val="00266D46"/>
    <w:rsid w:val="00266DDD"/>
    <w:rsid w:val="00267188"/>
    <w:rsid w:val="002671A2"/>
    <w:rsid w:val="002673DF"/>
    <w:rsid w:val="002679C4"/>
    <w:rsid w:val="00267B63"/>
    <w:rsid w:val="00267F1F"/>
    <w:rsid w:val="002702FC"/>
    <w:rsid w:val="002704D3"/>
    <w:rsid w:val="002705C6"/>
    <w:rsid w:val="0027060B"/>
    <w:rsid w:val="00270683"/>
    <w:rsid w:val="002706AC"/>
    <w:rsid w:val="00270DFB"/>
    <w:rsid w:val="0027114C"/>
    <w:rsid w:val="0027187D"/>
    <w:rsid w:val="00271BBD"/>
    <w:rsid w:val="00271CF4"/>
    <w:rsid w:val="00271F8E"/>
    <w:rsid w:val="00271FC3"/>
    <w:rsid w:val="0027232D"/>
    <w:rsid w:val="002723A1"/>
    <w:rsid w:val="002726A4"/>
    <w:rsid w:val="00272746"/>
    <w:rsid w:val="0027292C"/>
    <w:rsid w:val="00272D1F"/>
    <w:rsid w:val="00272E9D"/>
    <w:rsid w:val="00272EC8"/>
    <w:rsid w:val="00272F5D"/>
    <w:rsid w:val="00273379"/>
    <w:rsid w:val="00273905"/>
    <w:rsid w:val="00274137"/>
    <w:rsid w:val="002747C1"/>
    <w:rsid w:val="00274D0F"/>
    <w:rsid w:val="00275037"/>
    <w:rsid w:val="00275489"/>
    <w:rsid w:val="00275BAD"/>
    <w:rsid w:val="00275D60"/>
    <w:rsid w:val="002766CE"/>
    <w:rsid w:val="00276A05"/>
    <w:rsid w:val="00277500"/>
    <w:rsid w:val="0027788B"/>
    <w:rsid w:val="00277ADF"/>
    <w:rsid w:val="00277B7B"/>
    <w:rsid w:val="00277BF4"/>
    <w:rsid w:val="00277D6D"/>
    <w:rsid w:val="00277ECA"/>
    <w:rsid w:val="00280750"/>
    <w:rsid w:val="00280A0D"/>
    <w:rsid w:val="00280A4A"/>
    <w:rsid w:val="00280AF1"/>
    <w:rsid w:val="00280B64"/>
    <w:rsid w:val="00281061"/>
    <w:rsid w:val="0028125E"/>
    <w:rsid w:val="00281290"/>
    <w:rsid w:val="0028183D"/>
    <w:rsid w:val="002818FA"/>
    <w:rsid w:val="00281A5F"/>
    <w:rsid w:val="00281B12"/>
    <w:rsid w:val="00282529"/>
    <w:rsid w:val="002825A7"/>
    <w:rsid w:val="00282968"/>
    <w:rsid w:val="00282B06"/>
    <w:rsid w:val="00282F3A"/>
    <w:rsid w:val="00282FAA"/>
    <w:rsid w:val="00283020"/>
    <w:rsid w:val="0028302E"/>
    <w:rsid w:val="00283266"/>
    <w:rsid w:val="00283539"/>
    <w:rsid w:val="00283637"/>
    <w:rsid w:val="002842A8"/>
    <w:rsid w:val="002847B0"/>
    <w:rsid w:val="00284E86"/>
    <w:rsid w:val="0028500A"/>
    <w:rsid w:val="00285073"/>
    <w:rsid w:val="0028542B"/>
    <w:rsid w:val="00285437"/>
    <w:rsid w:val="002859FB"/>
    <w:rsid w:val="00285A8E"/>
    <w:rsid w:val="00285AEC"/>
    <w:rsid w:val="00285C26"/>
    <w:rsid w:val="0028602D"/>
    <w:rsid w:val="0028641A"/>
    <w:rsid w:val="0028701F"/>
    <w:rsid w:val="002872B6"/>
    <w:rsid w:val="002873E6"/>
    <w:rsid w:val="00287681"/>
    <w:rsid w:val="0028781E"/>
    <w:rsid w:val="00287BA9"/>
    <w:rsid w:val="00287EF7"/>
    <w:rsid w:val="00287F5B"/>
    <w:rsid w:val="002904D8"/>
    <w:rsid w:val="002911F0"/>
    <w:rsid w:val="0029144F"/>
    <w:rsid w:val="00291F2F"/>
    <w:rsid w:val="00291F68"/>
    <w:rsid w:val="00292043"/>
    <w:rsid w:val="002920D7"/>
    <w:rsid w:val="0029235E"/>
    <w:rsid w:val="00292647"/>
    <w:rsid w:val="00292927"/>
    <w:rsid w:val="00292CF7"/>
    <w:rsid w:val="00292F23"/>
    <w:rsid w:val="0029388A"/>
    <w:rsid w:val="00294181"/>
    <w:rsid w:val="00294230"/>
    <w:rsid w:val="0029438E"/>
    <w:rsid w:val="002946AB"/>
    <w:rsid w:val="002946B2"/>
    <w:rsid w:val="00294BD5"/>
    <w:rsid w:val="00295588"/>
    <w:rsid w:val="00295A20"/>
    <w:rsid w:val="0029672A"/>
    <w:rsid w:val="00296998"/>
    <w:rsid w:val="00296AF4"/>
    <w:rsid w:val="00297789"/>
    <w:rsid w:val="00297B94"/>
    <w:rsid w:val="00297BA5"/>
    <w:rsid w:val="00297C35"/>
    <w:rsid w:val="002A0493"/>
    <w:rsid w:val="002A049C"/>
    <w:rsid w:val="002A060A"/>
    <w:rsid w:val="002A0783"/>
    <w:rsid w:val="002A0915"/>
    <w:rsid w:val="002A0D22"/>
    <w:rsid w:val="002A0D42"/>
    <w:rsid w:val="002A1164"/>
    <w:rsid w:val="002A127E"/>
    <w:rsid w:val="002A2BEB"/>
    <w:rsid w:val="002A2C78"/>
    <w:rsid w:val="002A3A93"/>
    <w:rsid w:val="002A3FE4"/>
    <w:rsid w:val="002A4450"/>
    <w:rsid w:val="002A46FA"/>
    <w:rsid w:val="002A49CD"/>
    <w:rsid w:val="002A4A73"/>
    <w:rsid w:val="002A522A"/>
    <w:rsid w:val="002A5255"/>
    <w:rsid w:val="002A5CCE"/>
    <w:rsid w:val="002A5EB0"/>
    <w:rsid w:val="002A60F1"/>
    <w:rsid w:val="002A61DE"/>
    <w:rsid w:val="002A62E9"/>
    <w:rsid w:val="002A635B"/>
    <w:rsid w:val="002A6444"/>
    <w:rsid w:val="002A658F"/>
    <w:rsid w:val="002A6750"/>
    <w:rsid w:val="002A6855"/>
    <w:rsid w:val="002A6B16"/>
    <w:rsid w:val="002A71EC"/>
    <w:rsid w:val="002A7208"/>
    <w:rsid w:val="002A75D0"/>
    <w:rsid w:val="002A7BAF"/>
    <w:rsid w:val="002B0382"/>
    <w:rsid w:val="002B03E7"/>
    <w:rsid w:val="002B044E"/>
    <w:rsid w:val="002B0591"/>
    <w:rsid w:val="002B0BDF"/>
    <w:rsid w:val="002B18F9"/>
    <w:rsid w:val="002B1DAA"/>
    <w:rsid w:val="002B2296"/>
    <w:rsid w:val="002B26E1"/>
    <w:rsid w:val="002B283D"/>
    <w:rsid w:val="002B28A9"/>
    <w:rsid w:val="002B29F8"/>
    <w:rsid w:val="002B2B14"/>
    <w:rsid w:val="002B2C40"/>
    <w:rsid w:val="002B2F63"/>
    <w:rsid w:val="002B3040"/>
    <w:rsid w:val="002B30FD"/>
    <w:rsid w:val="002B333B"/>
    <w:rsid w:val="002B4244"/>
    <w:rsid w:val="002B4377"/>
    <w:rsid w:val="002B4407"/>
    <w:rsid w:val="002B4B90"/>
    <w:rsid w:val="002B5B77"/>
    <w:rsid w:val="002B5B80"/>
    <w:rsid w:val="002B5C31"/>
    <w:rsid w:val="002B5D3D"/>
    <w:rsid w:val="002B5D8D"/>
    <w:rsid w:val="002B5DA9"/>
    <w:rsid w:val="002B60C5"/>
    <w:rsid w:val="002B6575"/>
    <w:rsid w:val="002B6679"/>
    <w:rsid w:val="002B67B7"/>
    <w:rsid w:val="002B6B97"/>
    <w:rsid w:val="002B748C"/>
    <w:rsid w:val="002B757C"/>
    <w:rsid w:val="002B7882"/>
    <w:rsid w:val="002B7B00"/>
    <w:rsid w:val="002B7D47"/>
    <w:rsid w:val="002C03B7"/>
    <w:rsid w:val="002C0429"/>
    <w:rsid w:val="002C06B2"/>
    <w:rsid w:val="002C0767"/>
    <w:rsid w:val="002C092D"/>
    <w:rsid w:val="002C0A8A"/>
    <w:rsid w:val="002C0EE9"/>
    <w:rsid w:val="002C1294"/>
    <w:rsid w:val="002C166E"/>
    <w:rsid w:val="002C16BE"/>
    <w:rsid w:val="002C171A"/>
    <w:rsid w:val="002C19E4"/>
    <w:rsid w:val="002C1CCB"/>
    <w:rsid w:val="002C1D3D"/>
    <w:rsid w:val="002C232D"/>
    <w:rsid w:val="002C24D8"/>
    <w:rsid w:val="002C257A"/>
    <w:rsid w:val="002C27FE"/>
    <w:rsid w:val="002C2838"/>
    <w:rsid w:val="002C3577"/>
    <w:rsid w:val="002C3676"/>
    <w:rsid w:val="002C3B39"/>
    <w:rsid w:val="002C3C03"/>
    <w:rsid w:val="002C3C10"/>
    <w:rsid w:val="002C3E84"/>
    <w:rsid w:val="002C44E1"/>
    <w:rsid w:val="002C478E"/>
    <w:rsid w:val="002C4A1B"/>
    <w:rsid w:val="002C4F72"/>
    <w:rsid w:val="002C518B"/>
    <w:rsid w:val="002C5256"/>
    <w:rsid w:val="002C56C3"/>
    <w:rsid w:val="002C5B2A"/>
    <w:rsid w:val="002C682C"/>
    <w:rsid w:val="002C6CC4"/>
    <w:rsid w:val="002C6EF5"/>
    <w:rsid w:val="002C7166"/>
    <w:rsid w:val="002C7368"/>
    <w:rsid w:val="002C7542"/>
    <w:rsid w:val="002C79B8"/>
    <w:rsid w:val="002D09D1"/>
    <w:rsid w:val="002D0A56"/>
    <w:rsid w:val="002D13C4"/>
    <w:rsid w:val="002D141E"/>
    <w:rsid w:val="002D1791"/>
    <w:rsid w:val="002D1A64"/>
    <w:rsid w:val="002D1F0F"/>
    <w:rsid w:val="002D1F6A"/>
    <w:rsid w:val="002D2191"/>
    <w:rsid w:val="002D2678"/>
    <w:rsid w:val="002D275E"/>
    <w:rsid w:val="002D2A1D"/>
    <w:rsid w:val="002D2C16"/>
    <w:rsid w:val="002D313F"/>
    <w:rsid w:val="002D339E"/>
    <w:rsid w:val="002D340E"/>
    <w:rsid w:val="002D402C"/>
    <w:rsid w:val="002D41FE"/>
    <w:rsid w:val="002D422F"/>
    <w:rsid w:val="002D48DA"/>
    <w:rsid w:val="002D4C0F"/>
    <w:rsid w:val="002D4DA3"/>
    <w:rsid w:val="002D5320"/>
    <w:rsid w:val="002D5452"/>
    <w:rsid w:val="002D5AFD"/>
    <w:rsid w:val="002D5B56"/>
    <w:rsid w:val="002D5FF2"/>
    <w:rsid w:val="002D60A9"/>
    <w:rsid w:val="002D6357"/>
    <w:rsid w:val="002D6366"/>
    <w:rsid w:val="002D65B8"/>
    <w:rsid w:val="002D6683"/>
    <w:rsid w:val="002D6997"/>
    <w:rsid w:val="002D6AB7"/>
    <w:rsid w:val="002D73B3"/>
    <w:rsid w:val="002D743D"/>
    <w:rsid w:val="002D7514"/>
    <w:rsid w:val="002D7584"/>
    <w:rsid w:val="002D7A10"/>
    <w:rsid w:val="002E013D"/>
    <w:rsid w:val="002E01A0"/>
    <w:rsid w:val="002E039A"/>
    <w:rsid w:val="002E04F8"/>
    <w:rsid w:val="002E0697"/>
    <w:rsid w:val="002E07F1"/>
    <w:rsid w:val="002E0A68"/>
    <w:rsid w:val="002E0FA9"/>
    <w:rsid w:val="002E1293"/>
    <w:rsid w:val="002E1B16"/>
    <w:rsid w:val="002E23F4"/>
    <w:rsid w:val="002E2CCD"/>
    <w:rsid w:val="002E2D97"/>
    <w:rsid w:val="002E2F2E"/>
    <w:rsid w:val="002E3026"/>
    <w:rsid w:val="002E3731"/>
    <w:rsid w:val="002E3932"/>
    <w:rsid w:val="002E3A8B"/>
    <w:rsid w:val="002E3C21"/>
    <w:rsid w:val="002E3F06"/>
    <w:rsid w:val="002E4786"/>
    <w:rsid w:val="002E4A4B"/>
    <w:rsid w:val="002E4B04"/>
    <w:rsid w:val="002E57FA"/>
    <w:rsid w:val="002E5839"/>
    <w:rsid w:val="002E5E87"/>
    <w:rsid w:val="002E6295"/>
    <w:rsid w:val="002E643A"/>
    <w:rsid w:val="002E64A9"/>
    <w:rsid w:val="002E6BCF"/>
    <w:rsid w:val="002E6FFA"/>
    <w:rsid w:val="002E7381"/>
    <w:rsid w:val="002E75F3"/>
    <w:rsid w:val="002E765B"/>
    <w:rsid w:val="002E79B5"/>
    <w:rsid w:val="002E7BAB"/>
    <w:rsid w:val="002E7F8F"/>
    <w:rsid w:val="002F0094"/>
    <w:rsid w:val="002F053D"/>
    <w:rsid w:val="002F112F"/>
    <w:rsid w:val="002F15C6"/>
    <w:rsid w:val="002F1996"/>
    <w:rsid w:val="002F1A77"/>
    <w:rsid w:val="002F2342"/>
    <w:rsid w:val="002F24F7"/>
    <w:rsid w:val="002F251E"/>
    <w:rsid w:val="002F2559"/>
    <w:rsid w:val="002F25AE"/>
    <w:rsid w:val="002F2733"/>
    <w:rsid w:val="002F2BB0"/>
    <w:rsid w:val="002F2D9C"/>
    <w:rsid w:val="002F2F9E"/>
    <w:rsid w:val="002F3213"/>
    <w:rsid w:val="002F37D3"/>
    <w:rsid w:val="002F3877"/>
    <w:rsid w:val="002F3F04"/>
    <w:rsid w:val="002F41BA"/>
    <w:rsid w:val="002F4252"/>
    <w:rsid w:val="002F49DD"/>
    <w:rsid w:val="002F4D3A"/>
    <w:rsid w:val="002F5A50"/>
    <w:rsid w:val="002F5B4A"/>
    <w:rsid w:val="002F5E86"/>
    <w:rsid w:val="002F662D"/>
    <w:rsid w:val="002F6BFA"/>
    <w:rsid w:val="002F6C34"/>
    <w:rsid w:val="002F6F81"/>
    <w:rsid w:val="002F7228"/>
    <w:rsid w:val="002F7249"/>
    <w:rsid w:val="002F750E"/>
    <w:rsid w:val="002F759D"/>
    <w:rsid w:val="002F7DB7"/>
    <w:rsid w:val="00300137"/>
    <w:rsid w:val="0030019C"/>
    <w:rsid w:val="0030077C"/>
    <w:rsid w:val="00300AD2"/>
    <w:rsid w:val="00300C2E"/>
    <w:rsid w:val="00300FDA"/>
    <w:rsid w:val="003010FC"/>
    <w:rsid w:val="003018AA"/>
    <w:rsid w:val="00303031"/>
    <w:rsid w:val="003030BC"/>
    <w:rsid w:val="003031CA"/>
    <w:rsid w:val="00303885"/>
    <w:rsid w:val="00303B7D"/>
    <w:rsid w:val="00303B99"/>
    <w:rsid w:val="00303D6C"/>
    <w:rsid w:val="00303E8C"/>
    <w:rsid w:val="00303F34"/>
    <w:rsid w:val="00304790"/>
    <w:rsid w:val="00304D7B"/>
    <w:rsid w:val="00304EFB"/>
    <w:rsid w:val="00305DFB"/>
    <w:rsid w:val="00306145"/>
    <w:rsid w:val="00306313"/>
    <w:rsid w:val="003065CD"/>
    <w:rsid w:val="0030665C"/>
    <w:rsid w:val="00306821"/>
    <w:rsid w:val="0030682C"/>
    <w:rsid w:val="00306D1F"/>
    <w:rsid w:val="00307009"/>
    <w:rsid w:val="0030714F"/>
    <w:rsid w:val="0030737B"/>
    <w:rsid w:val="003073E2"/>
    <w:rsid w:val="00307549"/>
    <w:rsid w:val="00307784"/>
    <w:rsid w:val="003079A1"/>
    <w:rsid w:val="00307A38"/>
    <w:rsid w:val="00307DDF"/>
    <w:rsid w:val="003100EB"/>
    <w:rsid w:val="003108F7"/>
    <w:rsid w:val="00310AAC"/>
    <w:rsid w:val="00310F4C"/>
    <w:rsid w:val="003114C6"/>
    <w:rsid w:val="0031180F"/>
    <w:rsid w:val="00311AE6"/>
    <w:rsid w:val="00311F54"/>
    <w:rsid w:val="00311F63"/>
    <w:rsid w:val="003129EF"/>
    <w:rsid w:val="00312B14"/>
    <w:rsid w:val="003134B2"/>
    <w:rsid w:val="003135E2"/>
    <w:rsid w:val="00313706"/>
    <w:rsid w:val="00313B07"/>
    <w:rsid w:val="0031437A"/>
    <w:rsid w:val="00314A43"/>
    <w:rsid w:val="00315102"/>
    <w:rsid w:val="0031520C"/>
    <w:rsid w:val="00315620"/>
    <w:rsid w:val="00315694"/>
    <w:rsid w:val="00315A0E"/>
    <w:rsid w:val="00315A3D"/>
    <w:rsid w:val="00316486"/>
    <w:rsid w:val="00316699"/>
    <w:rsid w:val="00316895"/>
    <w:rsid w:val="00316963"/>
    <w:rsid w:val="003169F2"/>
    <w:rsid w:val="003170B2"/>
    <w:rsid w:val="003172C2"/>
    <w:rsid w:val="00317441"/>
    <w:rsid w:val="0031788C"/>
    <w:rsid w:val="003178CA"/>
    <w:rsid w:val="00317F31"/>
    <w:rsid w:val="00320F00"/>
    <w:rsid w:val="00320FE4"/>
    <w:rsid w:val="00321083"/>
    <w:rsid w:val="003216D1"/>
    <w:rsid w:val="00322040"/>
    <w:rsid w:val="00322AF6"/>
    <w:rsid w:val="00323BAB"/>
    <w:rsid w:val="003240B8"/>
    <w:rsid w:val="003244CC"/>
    <w:rsid w:val="00324681"/>
    <w:rsid w:val="0032494C"/>
    <w:rsid w:val="00324B48"/>
    <w:rsid w:val="00325422"/>
    <w:rsid w:val="00325F50"/>
    <w:rsid w:val="003268C2"/>
    <w:rsid w:val="0032727E"/>
    <w:rsid w:val="003274BA"/>
    <w:rsid w:val="00327B64"/>
    <w:rsid w:val="00327E01"/>
    <w:rsid w:val="00330980"/>
    <w:rsid w:val="003316AB"/>
    <w:rsid w:val="0033170A"/>
    <w:rsid w:val="00331A2E"/>
    <w:rsid w:val="00331EA4"/>
    <w:rsid w:val="00331EB6"/>
    <w:rsid w:val="003324FA"/>
    <w:rsid w:val="0033254C"/>
    <w:rsid w:val="003328E9"/>
    <w:rsid w:val="00332B17"/>
    <w:rsid w:val="00333110"/>
    <w:rsid w:val="003332D4"/>
    <w:rsid w:val="003337C4"/>
    <w:rsid w:val="00333A25"/>
    <w:rsid w:val="00333FDA"/>
    <w:rsid w:val="003340DE"/>
    <w:rsid w:val="00334417"/>
    <w:rsid w:val="00334887"/>
    <w:rsid w:val="00334DD6"/>
    <w:rsid w:val="00334EC2"/>
    <w:rsid w:val="00334F48"/>
    <w:rsid w:val="003353B5"/>
    <w:rsid w:val="003355F8"/>
    <w:rsid w:val="00335804"/>
    <w:rsid w:val="0033584A"/>
    <w:rsid w:val="00335A8F"/>
    <w:rsid w:val="00335B04"/>
    <w:rsid w:val="00335BE9"/>
    <w:rsid w:val="00335D64"/>
    <w:rsid w:val="00335FA8"/>
    <w:rsid w:val="0033657E"/>
    <w:rsid w:val="00336A4F"/>
    <w:rsid w:val="0033704A"/>
    <w:rsid w:val="0033732D"/>
    <w:rsid w:val="00337723"/>
    <w:rsid w:val="00337BA8"/>
    <w:rsid w:val="00340C6D"/>
    <w:rsid w:val="00340D19"/>
    <w:rsid w:val="0034168D"/>
    <w:rsid w:val="00341C14"/>
    <w:rsid w:val="00341F2F"/>
    <w:rsid w:val="00342193"/>
    <w:rsid w:val="0034277F"/>
    <w:rsid w:val="003428C3"/>
    <w:rsid w:val="00342956"/>
    <w:rsid w:val="00342D6A"/>
    <w:rsid w:val="00343174"/>
    <w:rsid w:val="00343230"/>
    <w:rsid w:val="0034336D"/>
    <w:rsid w:val="00343461"/>
    <w:rsid w:val="0034395C"/>
    <w:rsid w:val="00343B61"/>
    <w:rsid w:val="00343C6C"/>
    <w:rsid w:val="00343EC0"/>
    <w:rsid w:val="00344705"/>
    <w:rsid w:val="00344804"/>
    <w:rsid w:val="00344D49"/>
    <w:rsid w:val="00345372"/>
    <w:rsid w:val="00345518"/>
    <w:rsid w:val="003456C8"/>
    <w:rsid w:val="00345E29"/>
    <w:rsid w:val="00345F9E"/>
    <w:rsid w:val="00345FC3"/>
    <w:rsid w:val="00346162"/>
    <w:rsid w:val="00346206"/>
    <w:rsid w:val="003468E7"/>
    <w:rsid w:val="00346C47"/>
    <w:rsid w:val="00346C74"/>
    <w:rsid w:val="00346CA2"/>
    <w:rsid w:val="003473C2"/>
    <w:rsid w:val="00347863"/>
    <w:rsid w:val="00347A1F"/>
    <w:rsid w:val="0035014D"/>
    <w:rsid w:val="003508D7"/>
    <w:rsid w:val="003510FF"/>
    <w:rsid w:val="003518C8"/>
    <w:rsid w:val="00351A51"/>
    <w:rsid w:val="00351E48"/>
    <w:rsid w:val="00352155"/>
    <w:rsid w:val="00352BC7"/>
    <w:rsid w:val="00352DA8"/>
    <w:rsid w:val="0035338B"/>
    <w:rsid w:val="003533B5"/>
    <w:rsid w:val="003538D3"/>
    <w:rsid w:val="00353CE3"/>
    <w:rsid w:val="00354187"/>
    <w:rsid w:val="003542D3"/>
    <w:rsid w:val="00354B2F"/>
    <w:rsid w:val="00354DAB"/>
    <w:rsid w:val="00354E67"/>
    <w:rsid w:val="0035559B"/>
    <w:rsid w:val="00356024"/>
    <w:rsid w:val="00356155"/>
    <w:rsid w:val="003561D9"/>
    <w:rsid w:val="00356313"/>
    <w:rsid w:val="003566BA"/>
    <w:rsid w:val="003568D9"/>
    <w:rsid w:val="0035728C"/>
    <w:rsid w:val="00357DCE"/>
    <w:rsid w:val="00357F7E"/>
    <w:rsid w:val="0036035C"/>
    <w:rsid w:val="00360426"/>
    <w:rsid w:val="0036063F"/>
    <w:rsid w:val="00360904"/>
    <w:rsid w:val="00360AF9"/>
    <w:rsid w:val="00360B65"/>
    <w:rsid w:val="00360C62"/>
    <w:rsid w:val="00360CDE"/>
    <w:rsid w:val="00361146"/>
    <w:rsid w:val="0036139E"/>
    <w:rsid w:val="00361619"/>
    <w:rsid w:val="00361625"/>
    <w:rsid w:val="00361F8D"/>
    <w:rsid w:val="003622CA"/>
    <w:rsid w:val="0036238C"/>
    <w:rsid w:val="003628E7"/>
    <w:rsid w:val="003629F0"/>
    <w:rsid w:val="00363030"/>
    <w:rsid w:val="003633F9"/>
    <w:rsid w:val="0036347F"/>
    <w:rsid w:val="00363482"/>
    <w:rsid w:val="00363603"/>
    <w:rsid w:val="00363B11"/>
    <w:rsid w:val="00363EC5"/>
    <w:rsid w:val="00363FF4"/>
    <w:rsid w:val="00364563"/>
    <w:rsid w:val="0036462C"/>
    <w:rsid w:val="00364A42"/>
    <w:rsid w:val="00364CC8"/>
    <w:rsid w:val="00365313"/>
    <w:rsid w:val="00365369"/>
    <w:rsid w:val="003653A1"/>
    <w:rsid w:val="0036588C"/>
    <w:rsid w:val="00365E02"/>
    <w:rsid w:val="00366018"/>
    <w:rsid w:val="00366549"/>
    <w:rsid w:val="00366736"/>
    <w:rsid w:val="00366747"/>
    <w:rsid w:val="003667FD"/>
    <w:rsid w:val="00366C2D"/>
    <w:rsid w:val="00366DA3"/>
    <w:rsid w:val="00366E0E"/>
    <w:rsid w:val="003673EA"/>
    <w:rsid w:val="003674CA"/>
    <w:rsid w:val="0036754F"/>
    <w:rsid w:val="00367FFC"/>
    <w:rsid w:val="003702A2"/>
    <w:rsid w:val="0037077D"/>
    <w:rsid w:val="0037081A"/>
    <w:rsid w:val="00370A42"/>
    <w:rsid w:val="00370BCD"/>
    <w:rsid w:val="00370C11"/>
    <w:rsid w:val="003714D9"/>
    <w:rsid w:val="003715F6"/>
    <w:rsid w:val="00371732"/>
    <w:rsid w:val="00371750"/>
    <w:rsid w:val="003719EF"/>
    <w:rsid w:val="00371A39"/>
    <w:rsid w:val="00371A4B"/>
    <w:rsid w:val="00371AEB"/>
    <w:rsid w:val="003722BF"/>
    <w:rsid w:val="00372A35"/>
    <w:rsid w:val="00372D90"/>
    <w:rsid w:val="00373058"/>
    <w:rsid w:val="003732C1"/>
    <w:rsid w:val="0037352F"/>
    <w:rsid w:val="00373753"/>
    <w:rsid w:val="00373B32"/>
    <w:rsid w:val="00374099"/>
    <w:rsid w:val="00374329"/>
    <w:rsid w:val="003743C4"/>
    <w:rsid w:val="00374C5B"/>
    <w:rsid w:val="00374F23"/>
    <w:rsid w:val="0037525E"/>
    <w:rsid w:val="003752D2"/>
    <w:rsid w:val="003755FB"/>
    <w:rsid w:val="0037577C"/>
    <w:rsid w:val="0037608C"/>
    <w:rsid w:val="003767B2"/>
    <w:rsid w:val="0037682D"/>
    <w:rsid w:val="00376A30"/>
    <w:rsid w:val="00376D53"/>
    <w:rsid w:val="00376F22"/>
    <w:rsid w:val="00377263"/>
    <w:rsid w:val="00377424"/>
    <w:rsid w:val="003775B8"/>
    <w:rsid w:val="00377862"/>
    <w:rsid w:val="003778B6"/>
    <w:rsid w:val="00377DF7"/>
    <w:rsid w:val="00380577"/>
    <w:rsid w:val="003810DD"/>
    <w:rsid w:val="00381421"/>
    <w:rsid w:val="0038188D"/>
    <w:rsid w:val="00381FEF"/>
    <w:rsid w:val="0038218A"/>
    <w:rsid w:val="0038254A"/>
    <w:rsid w:val="0038284B"/>
    <w:rsid w:val="00382B40"/>
    <w:rsid w:val="00382F20"/>
    <w:rsid w:val="003832D4"/>
    <w:rsid w:val="00383513"/>
    <w:rsid w:val="003841E8"/>
    <w:rsid w:val="00384AEA"/>
    <w:rsid w:val="00384F64"/>
    <w:rsid w:val="00385502"/>
    <w:rsid w:val="00385526"/>
    <w:rsid w:val="0038569C"/>
    <w:rsid w:val="003857E9"/>
    <w:rsid w:val="00385917"/>
    <w:rsid w:val="0038623A"/>
    <w:rsid w:val="003863E7"/>
    <w:rsid w:val="0038648E"/>
    <w:rsid w:val="003866CA"/>
    <w:rsid w:val="00386D03"/>
    <w:rsid w:val="003878C9"/>
    <w:rsid w:val="003904F7"/>
    <w:rsid w:val="0039085E"/>
    <w:rsid w:val="00390A62"/>
    <w:rsid w:val="00390D0C"/>
    <w:rsid w:val="003915CB"/>
    <w:rsid w:val="00391A43"/>
    <w:rsid w:val="00391CAA"/>
    <w:rsid w:val="003922E2"/>
    <w:rsid w:val="00392715"/>
    <w:rsid w:val="00392734"/>
    <w:rsid w:val="003927B4"/>
    <w:rsid w:val="00393123"/>
    <w:rsid w:val="0039331D"/>
    <w:rsid w:val="003933D9"/>
    <w:rsid w:val="003937D5"/>
    <w:rsid w:val="003944E5"/>
    <w:rsid w:val="00394A04"/>
    <w:rsid w:val="00394FFE"/>
    <w:rsid w:val="003952F2"/>
    <w:rsid w:val="003958EB"/>
    <w:rsid w:val="00395B3E"/>
    <w:rsid w:val="00396375"/>
    <w:rsid w:val="00396541"/>
    <w:rsid w:val="00396928"/>
    <w:rsid w:val="00396E47"/>
    <w:rsid w:val="00396EC9"/>
    <w:rsid w:val="00397467"/>
    <w:rsid w:val="00397538"/>
    <w:rsid w:val="00397918"/>
    <w:rsid w:val="00397ACA"/>
    <w:rsid w:val="003A0125"/>
    <w:rsid w:val="003A0178"/>
    <w:rsid w:val="003A01C0"/>
    <w:rsid w:val="003A071C"/>
    <w:rsid w:val="003A0A0B"/>
    <w:rsid w:val="003A0A71"/>
    <w:rsid w:val="003A0D28"/>
    <w:rsid w:val="003A15FF"/>
    <w:rsid w:val="003A1921"/>
    <w:rsid w:val="003A1A03"/>
    <w:rsid w:val="003A1A55"/>
    <w:rsid w:val="003A1D43"/>
    <w:rsid w:val="003A25FB"/>
    <w:rsid w:val="003A2604"/>
    <w:rsid w:val="003A286F"/>
    <w:rsid w:val="003A2CA9"/>
    <w:rsid w:val="003A2D1C"/>
    <w:rsid w:val="003A301D"/>
    <w:rsid w:val="003A31BD"/>
    <w:rsid w:val="003A3A12"/>
    <w:rsid w:val="003A3B84"/>
    <w:rsid w:val="003A3D1C"/>
    <w:rsid w:val="003A4773"/>
    <w:rsid w:val="003A4E6C"/>
    <w:rsid w:val="003A4EE9"/>
    <w:rsid w:val="003A534F"/>
    <w:rsid w:val="003A5623"/>
    <w:rsid w:val="003A56AB"/>
    <w:rsid w:val="003A56D8"/>
    <w:rsid w:val="003A573E"/>
    <w:rsid w:val="003A58E0"/>
    <w:rsid w:val="003A5AF1"/>
    <w:rsid w:val="003A63E9"/>
    <w:rsid w:val="003A6E02"/>
    <w:rsid w:val="003A6FF0"/>
    <w:rsid w:val="003A7B45"/>
    <w:rsid w:val="003A7E3A"/>
    <w:rsid w:val="003B011C"/>
    <w:rsid w:val="003B016A"/>
    <w:rsid w:val="003B0517"/>
    <w:rsid w:val="003B0611"/>
    <w:rsid w:val="003B0ADD"/>
    <w:rsid w:val="003B0D66"/>
    <w:rsid w:val="003B0D72"/>
    <w:rsid w:val="003B220B"/>
    <w:rsid w:val="003B23C7"/>
    <w:rsid w:val="003B2B48"/>
    <w:rsid w:val="003B2CB6"/>
    <w:rsid w:val="003B2DBB"/>
    <w:rsid w:val="003B346D"/>
    <w:rsid w:val="003B3617"/>
    <w:rsid w:val="003B3844"/>
    <w:rsid w:val="003B39E7"/>
    <w:rsid w:val="003B3E6C"/>
    <w:rsid w:val="003B42D9"/>
    <w:rsid w:val="003B465B"/>
    <w:rsid w:val="003B50DA"/>
    <w:rsid w:val="003B54B5"/>
    <w:rsid w:val="003B5F4E"/>
    <w:rsid w:val="003B6017"/>
    <w:rsid w:val="003B66C0"/>
    <w:rsid w:val="003B6802"/>
    <w:rsid w:val="003B6BAF"/>
    <w:rsid w:val="003B6BE4"/>
    <w:rsid w:val="003B6D42"/>
    <w:rsid w:val="003B7029"/>
    <w:rsid w:val="003B7073"/>
    <w:rsid w:val="003C02BA"/>
    <w:rsid w:val="003C052F"/>
    <w:rsid w:val="003C06D8"/>
    <w:rsid w:val="003C0A24"/>
    <w:rsid w:val="003C0F84"/>
    <w:rsid w:val="003C113D"/>
    <w:rsid w:val="003C1E77"/>
    <w:rsid w:val="003C261C"/>
    <w:rsid w:val="003C28B1"/>
    <w:rsid w:val="003C28ED"/>
    <w:rsid w:val="003C2AC8"/>
    <w:rsid w:val="003C2B4A"/>
    <w:rsid w:val="003C2E13"/>
    <w:rsid w:val="003C2EB2"/>
    <w:rsid w:val="003C3140"/>
    <w:rsid w:val="003C31C9"/>
    <w:rsid w:val="003C327C"/>
    <w:rsid w:val="003C36E3"/>
    <w:rsid w:val="003C3A63"/>
    <w:rsid w:val="003C3E02"/>
    <w:rsid w:val="003C3FE8"/>
    <w:rsid w:val="003C41DA"/>
    <w:rsid w:val="003C464B"/>
    <w:rsid w:val="003C48C9"/>
    <w:rsid w:val="003C4E62"/>
    <w:rsid w:val="003C5783"/>
    <w:rsid w:val="003C5C37"/>
    <w:rsid w:val="003C6153"/>
    <w:rsid w:val="003C6A69"/>
    <w:rsid w:val="003C6B13"/>
    <w:rsid w:val="003C734B"/>
    <w:rsid w:val="003C73F9"/>
    <w:rsid w:val="003C768D"/>
    <w:rsid w:val="003C77B2"/>
    <w:rsid w:val="003C7C42"/>
    <w:rsid w:val="003C7EC4"/>
    <w:rsid w:val="003D01AC"/>
    <w:rsid w:val="003D048C"/>
    <w:rsid w:val="003D06EA"/>
    <w:rsid w:val="003D07BC"/>
    <w:rsid w:val="003D1BF0"/>
    <w:rsid w:val="003D1C7F"/>
    <w:rsid w:val="003D1E07"/>
    <w:rsid w:val="003D1F70"/>
    <w:rsid w:val="003D2152"/>
    <w:rsid w:val="003D234E"/>
    <w:rsid w:val="003D2AC7"/>
    <w:rsid w:val="003D394E"/>
    <w:rsid w:val="003D3971"/>
    <w:rsid w:val="003D3AAA"/>
    <w:rsid w:val="003D3FAA"/>
    <w:rsid w:val="003D3FE9"/>
    <w:rsid w:val="003D4168"/>
    <w:rsid w:val="003D447C"/>
    <w:rsid w:val="003D45F6"/>
    <w:rsid w:val="003D4D9E"/>
    <w:rsid w:val="003D4DB8"/>
    <w:rsid w:val="003D51DE"/>
    <w:rsid w:val="003D57BB"/>
    <w:rsid w:val="003D5967"/>
    <w:rsid w:val="003D5B76"/>
    <w:rsid w:val="003D5F07"/>
    <w:rsid w:val="003D5F21"/>
    <w:rsid w:val="003D5FBB"/>
    <w:rsid w:val="003D6153"/>
    <w:rsid w:val="003D6463"/>
    <w:rsid w:val="003D6AAF"/>
    <w:rsid w:val="003D6AB5"/>
    <w:rsid w:val="003D6CF4"/>
    <w:rsid w:val="003D758A"/>
    <w:rsid w:val="003D79CB"/>
    <w:rsid w:val="003E02E7"/>
    <w:rsid w:val="003E071C"/>
    <w:rsid w:val="003E0759"/>
    <w:rsid w:val="003E0BCA"/>
    <w:rsid w:val="003E0BCF"/>
    <w:rsid w:val="003E0FAE"/>
    <w:rsid w:val="003E121E"/>
    <w:rsid w:val="003E1902"/>
    <w:rsid w:val="003E199A"/>
    <w:rsid w:val="003E250E"/>
    <w:rsid w:val="003E25AA"/>
    <w:rsid w:val="003E2797"/>
    <w:rsid w:val="003E2890"/>
    <w:rsid w:val="003E2B61"/>
    <w:rsid w:val="003E3908"/>
    <w:rsid w:val="003E3988"/>
    <w:rsid w:val="003E3BDC"/>
    <w:rsid w:val="003E3FF5"/>
    <w:rsid w:val="003E414C"/>
    <w:rsid w:val="003E44DD"/>
    <w:rsid w:val="003E4B34"/>
    <w:rsid w:val="003E4D95"/>
    <w:rsid w:val="003E5354"/>
    <w:rsid w:val="003E585A"/>
    <w:rsid w:val="003E58FC"/>
    <w:rsid w:val="003E5C36"/>
    <w:rsid w:val="003E67A3"/>
    <w:rsid w:val="003E75D2"/>
    <w:rsid w:val="003E76F4"/>
    <w:rsid w:val="003E7CF3"/>
    <w:rsid w:val="003E7D2C"/>
    <w:rsid w:val="003E7EB7"/>
    <w:rsid w:val="003F018C"/>
    <w:rsid w:val="003F068A"/>
    <w:rsid w:val="003F0CA8"/>
    <w:rsid w:val="003F134B"/>
    <w:rsid w:val="003F15A6"/>
    <w:rsid w:val="003F17A7"/>
    <w:rsid w:val="003F19E1"/>
    <w:rsid w:val="003F1B91"/>
    <w:rsid w:val="003F1C48"/>
    <w:rsid w:val="003F1DEE"/>
    <w:rsid w:val="003F1F93"/>
    <w:rsid w:val="003F20A0"/>
    <w:rsid w:val="003F21C4"/>
    <w:rsid w:val="003F2A8B"/>
    <w:rsid w:val="003F2DF5"/>
    <w:rsid w:val="003F2E32"/>
    <w:rsid w:val="003F2EC1"/>
    <w:rsid w:val="003F33C1"/>
    <w:rsid w:val="003F3CF2"/>
    <w:rsid w:val="003F45AC"/>
    <w:rsid w:val="003F4B73"/>
    <w:rsid w:val="003F4D7A"/>
    <w:rsid w:val="003F4E18"/>
    <w:rsid w:val="003F4FAA"/>
    <w:rsid w:val="003F5033"/>
    <w:rsid w:val="003F51F4"/>
    <w:rsid w:val="003F52C6"/>
    <w:rsid w:val="003F54E5"/>
    <w:rsid w:val="003F558E"/>
    <w:rsid w:val="003F5673"/>
    <w:rsid w:val="003F5C0C"/>
    <w:rsid w:val="003F6692"/>
    <w:rsid w:val="003F6781"/>
    <w:rsid w:val="003F683A"/>
    <w:rsid w:val="003F6A2E"/>
    <w:rsid w:val="003F6A3E"/>
    <w:rsid w:val="003F6BE9"/>
    <w:rsid w:val="003F723C"/>
    <w:rsid w:val="003F7285"/>
    <w:rsid w:val="003F74E3"/>
    <w:rsid w:val="003F76B1"/>
    <w:rsid w:val="003F77B3"/>
    <w:rsid w:val="003F7B70"/>
    <w:rsid w:val="003F7EB4"/>
    <w:rsid w:val="00400092"/>
    <w:rsid w:val="004007FF"/>
    <w:rsid w:val="00400E63"/>
    <w:rsid w:val="00400F8F"/>
    <w:rsid w:val="0040126F"/>
    <w:rsid w:val="004012F8"/>
    <w:rsid w:val="00401733"/>
    <w:rsid w:val="0040225D"/>
    <w:rsid w:val="00402F37"/>
    <w:rsid w:val="00403056"/>
    <w:rsid w:val="00403501"/>
    <w:rsid w:val="0040377C"/>
    <w:rsid w:val="004037AD"/>
    <w:rsid w:val="00403D6E"/>
    <w:rsid w:val="00403F84"/>
    <w:rsid w:val="00404019"/>
    <w:rsid w:val="00404050"/>
    <w:rsid w:val="00404155"/>
    <w:rsid w:val="0040439A"/>
    <w:rsid w:val="00404859"/>
    <w:rsid w:val="00404998"/>
    <w:rsid w:val="00404C7A"/>
    <w:rsid w:val="00404D13"/>
    <w:rsid w:val="00405083"/>
    <w:rsid w:val="00405AA2"/>
    <w:rsid w:val="00405D4F"/>
    <w:rsid w:val="00405E03"/>
    <w:rsid w:val="00406194"/>
    <w:rsid w:val="00407246"/>
    <w:rsid w:val="00407792"/>
    <w:rsid w:val="004077D8"/>
    <w:rsid w:val="00407AC0"/>
    <w:rsid w:val="00410E5A"/>
    <w:rsid w:val="00411024"/>
    <w:rsid w:val="00411814"/>
    <w:rsid w:val="004118D4"/>
    <w:rsid w:val="004121C0"/>
    <w:rsid w:val="00412BDA"/>
    <w:rsid w:val="00412CBA"/>
    <w:rsid w:val="00412E30"/>
    <w:rsid w:val="00413B67"/>
    <w:rsid w:val="00413BEB"/>
    <w:rsid w:val="00413E9D"/>
    <w:rsid w:val="00413FA9"/>
    <w:rsid w:val="004142FF"/>
    <w:rsid w:val="004143F7"/>
    <w:rsid w:val="00414752"/>
    <w:rsid w:val="00414907"/>
    <w:rsid w:val="00414DCF"/>
    <w:rsid w:val="00414F42"/>
    <w:rsid w:val="00414FE6"/>
    <w:rsid w:val="00415341"/>
    <w:rsid w:val="004158F5"/>
    <w:rsid w:val="00415B78"/>
    <w:rsid w:val="00415E2B"/>
    <w:rsid w:val="00416041"/>
    <w:rsid w:val="0041665C"/>
    <w:rsid w:val="004166BD"/>
    <w:rsid w:val="00416724"/>
    <w:rsid w:val="004169A6"/>
    <w:rsid w:val="00416DB4"/>
    <w:rsid w:val="004170AF"/>
    <w:rsid w:val="00417228"/>
    <w:rsid w:val="004173B4"/>
    <w:rsid w:val="00417DE8"/>
    <w:rsid w:val="0042057D"/>
    <w:rsid w:val="004206A4"/>
    <w:rsid w:val="00421583"/>
    <w:rsid w:val="004215AB"/>
    <w:rsid w:val="00421861"/>
    <w:rsid w:val="0042189B"/>
    <w:rsid w:val="004222F5"/>
    <w:rsid w:val="00422309"/>
    <w:rsid w:val="00422629"/>
    <w:rsid w:val="0042290E"/>
    <w:rsid w:val="00422AA9"/>
    <w:rsid w:val="00422C55"/>
    <w:rsid w:val="00422F58"/>
    <w:rsid w:val="00423004"/>
    <w:rsid w:val="004232A6"/>
    <w:rsid w:val="00423830"/>
    <w:rsid w:val="00423E40"/>
    <w:rsid w:val="0042431A"/>
    <w:rsid w:val="004248CC"/>
    <w:rsid w:val="004249FA"/>
    <w:rsid w:val="00425457"/>
    <w:rsid w:val="00425698"/>
    <w:rsid w:val="00425AB6"/>
    <w:rsid w:val="00425B5A"/>
    <w:rsid w:val="00425ED2"/>
    <w:rsid w:val="004262B4"/>
    <w:rsid w:val="004263AE"/>
    <w:rsid w:val="00426C84"/>
    <w:rsid w:val="00426E35"/>
    <w:rsid w:val="004272E4"/>
    <w:rsid w:val="004275BB"/>
    <w:rsid w:val="00427BEA"/>
    <w:rsid w:val="00430AB5"/>
    <w:rsid w:val="00430BC5"/>
    <w:rsid w:val="004310F4"/>
    <w:rsid w:val="00431111"/>
    <w:rsid w:val="0043130E"/>
    <w:rsid w:val="00431C4F"/>
    <w:rsid w:val="00431CB8"/>
    <w:rsid w:val="00431D27"/>
    <w:rsid w:val="00431F67"/>
    <w:rsid w:val="00432BB7"/>
    <w:rsid w:val="00432F2F"/>
    <w:rsid w:val="004331E9"/>
    <w:rsid w:val="0043390D"/>
    <w:rsid w:val="00433E8D"/>
    <w:rsid w:val="00433FAA"/>
    <w:rsid w:val="00434437"/>
    <w:rsid w:val="004346C9"/>
    <w:rsid w:val="004347D4"/>
    <w:rsid w:val="00434A60"/>
    <w:rsid w:val="00434D53"/>
    <w:rsid w:val="00434E88"/>
    <w:rsid w:val="004350A3"/>
    <w:rsid w:val="004353EF"/>
    <w:rsid w:val="0043541B"/>
    <w:rsid w:val="0043559E"/>
    <w:rsid w:val="0043592C"/>
    <w:rsid w:val="00435F1D"/>
    <w:rsid w:val="00436062"/>
    <w:rsid w:val="00436139"/>
    <w:rsid w:val="00436217"/>
    <w:rsid w:val="00436345"/>
    <w:rsid w:val="00436380"/>
    <w:rsid w:val="00436430"/>
    <w:rsid w:val="00436F2F"/>
    <w:rsid w:val="00437967"/>
    <w:rsid w:val="00437F74"/>
    <w:rsid w:val="0044061D"/>
    <w:rsid w:val="00440626"/>
    <w:rsid w:val="004411B9"/>
    <w:rsid w:val="00441207"/>
    <w:rsid w:val="00441462"/>
    <w:rsid w:val="00441E91"/>
    <w:rsid w:val="00441FEE"/>
    <w:rsid w:val="004422CA"/>
    <w:rsid w:val="004423F1"/>
    <w:rsid w:val="0044262C"/>
    <w:rsid w:val="0044266F"/>
    <w:rsid w:val="00442EFB"/>
    <w:rsid w:val="00442FAD"/>
    <w:rsid w:val="00443807"/>
    <w:rsid w:val="00443A1C"/>
    <w:rsid w:val="00443F03"/>
    <w:rsid w:val="004443E1"/>
    <w:rsid w:val="00444404"/>
    <w:rsid w:val="00444710"/>
    <w:rsid w:val="004449AC"/>
    <w:rsid w:val="00444B76"/>
    <w:rsid w:val="00444CB0"/>
    <w:rsid w:val="00445025"/>
    <w:rsid w:val="0044506F"/>
    <w:rsid w:val="0044555D"/>
    <w:rsid w:val="00445A1B"/>
    <w:rsid w:val="00445D5A"/>
    <w:rsid w:val="00445D76"/>
    <w:rsid w:val="004462F7"/>
    <w:rsid w:val="0044636A"/>
    <w:rsid w:val="0044636F"/>
    <w:rsid w:val="00446B20"/>
    <w:rsid w:val="00446DC2"/>
    <w:rsid w:val="00447347"/>
    <w:rsid w:val="0044765D"/>
    <w:rsid w:val="00447A90"/>
    <w:rsid w:val="00447F08"/>
    <w:rsid w:val="0045041B"/>
    <w:rsid w:val="004505EB"/>
    <w:rsid w:val="00451116"/>
    <w:rsid w:val="004515CF"/>
    <w:rsid w:val="00451656"/>
    <w:rsid w:val="0045171E"/>
    <w:rsid w:val="00451C12"/>
    <w:rsid w:val="00451D48"/>
    <w:rsid w:val="004522B0"/>
    <w:rsid w:val="00453809"/>
    <w:rsid w:val="00453C7E"/>
    <w:rsid w:val="00454835"/>
    <w:rsid w:val="0045485C"/>
    <w:rsid w:val="004548B6"/>
    <w:rsid w:val="00454C06"/>
    <w:rsid w:val="00454F06"/>
    <w:rsid w:val="004550AC"/>
    <w:rsid w:val="0045554B"/>
    <w:rsid w:val="004557A2"/>
    <w:rsid w:val="00455AAF"/>
    <w:rsid w:val="00455C2C"/>
    <w:rsid w:val="0045650D"/>
    <w:rsid w:val="0045691C"/>
    <w:rsid w:val="0045694B"/>
    <w:rsid w:val="00456B54"/>
    <w:rsid w:val="0045709D"/>
    <w:rsid w:val="0045716C"/>
    <w:rsid w:val="00457701"/>
    <w:rsid w:val="00457E6A"/>
    <w:rsid w:val="00457EFD"/>
    <w:rsid w:val="0046019D"/>
    <w:rsid w:val="00460250"/>
    <w:rsid w:val="004605F6"/>
    <w:rsid w:val="00460CC2"/>
    <w:rsid w:val="00461099"/>
    <w:rsid w:val="00461C9F"/>
    <w:rsid w:val="00461F55"/>
    <w:rsid w:val="004623FA"/>
    <w:rsid w:val="00462431"/>
    <w:rsid w:val="004626FF"/>
    <w:rsid w:val="00463B07"/>
    <w:rsid w:val="00463C46"/>
    <w:rsid w:val="00464536"/>
    <w:rsid w:val="00464790"/>
    <w:rsid w:val="00464DCE"/>
    <w:rsid w:val="00464FF2"/>
    <w:rsid w:val="0046514E"/>
    <w:rsid w:val="0046532C"/>
    <w:rsid w:val="0046602B"/>
    <w:rsid w:val="0046623C"/>
    <w:rsid w:val="00466643"/>
    <w:rsid w:val="00466818"/>
    <w:rsid w:val="0046686A"/>
    <w:rsid w:val="00466A11"/>
    <w:rsid w:val="00466F96"/>
    <w:rsid w:val="004670EA"/>
    <w:rsid w:val="0046744A"/>
    <w:rsid w:val="00467739"/>
    <w:rsid w:val="00467B6D"/>
    <w:rsid w:val="004703BD"/>
    <w:rsid w:val="004705D8"/>
    <w:rsid w:val="00470D0C"/>
    <w:rsid w:val="00470F3C"/>
    <w:rsid w:val="0047104F"/>
    <w:rsid w:val="00471632"/>
    <w:rsid w:val="00471900"/>
    <w:rsid w:val="00471BD6"/>
    <w:rsid w:val="00471D6B"/>
    <w:rsid w:val="00472BC5"/>
    <w:rsid w:val="00472E12"/>
    <w:rsid w:val="00473B75"/>
    <w:rsid w:val="00474104"/>
    <w:rsid w:val="00474150"/>
    <w:rsid w:val="00474E22"/>
    <w:rsid w:val="00475022"/>
    <w:rsid w:val="004750E9"/>
    <w:rsid w:val="0047542A"/>
    <w:rsid w:val="00475D73"/>
    <w:rsid w:val="00475D86"/>
    <w:rsid w:val="0047608F"/>
    <w:rsid w:val="0047612F"/>
    <w:rsid w:val="004762EF"/>
    <w:rsid w:val="004763FD"/>
    <w:rsid w:val="004764C3"/>
    <w:rsid w:val="00476554"/>
    <w:rsid w:val="0047672A"/>
    <w:rsid w:val="004768E9"/>
    <w:rsid w:val="004768F1"/>
    <w:rsid w:val="004769F6"/>
    <w:rsid w:val="004770D4"/>
    <w:rsid w:val="0047739F"/>
    <w:rsid w:val="0047758F"/>
    <w:rsid w:val="004776EC"/>
    <w:rsid w:val="0047798B"/>
    <w:rsid w:val="00477B7B"/>
    <w:rsid w:val="00477EDE"/>
    <w:rsid w:val="0048016A"/>
    <w:rsid w:val="004806F8"/>
    <w:rsid w:val="00480D4D"/>
    <w:rsid w:val="00480E12"/>
    <w:rsid w:val="0048114A"/>
    <w:rsid w:val="004813D4"/>
    <w:rsid w:val="004815C6"/>
    <w:rsid w:val="004821A1"/>
    <w:rsid w:val="004823A3"/>
    <w:rsid w:val="004823DE"/>
    <w:rsid w:val="004824CF"/>
    <w:rsid w:val="004824F2"/>
    <w:rsid w:val="0048253A"/>
    <w:rsid w:val="004829AC"/>
    <w:rsid w:val="00482A39"/>
    <w:rsid w:val="00482B78"/>
    <w:rsid w:val="00482DB7"/>
    <w:rsid w:val="00482DF7"/>
    <w:rsid w:val="004830B7"/>
    <w:rsid w:val="0048493F"/>
    <w:rsid w:val="00484D63"/>
    <w:rsid w:val="00485023"/>
    <w:rsid w:val="00485132"/>
    <w:rsid w:val="0048613A"/>
    <w:rsid w:val="004864B3"/>
    <w:rsid w:val="00486737"/>
    <w:rsid w:val="00486A0E"/>
    <w:rsid w:val="00486BF6"/>
    <w:rsid w:val="004875B9"/>
    <w:rsid w:val="004875D5"/>
    <w:rsid w:val="0049004B"/>
    <w:rsid w:val="00490054"/>
    <w:rsid w:val="00490092"/>
    <w:rsid w:val="00490093"/>
    <w:rsid w:val="00490FFE"/>
    <w:rsid w:val="004912CE"/>
    <w:rsid w:val="0049166E"/>
    <w:rsid w:val="00491A3E"/>
    <w:rsid w:val="00491D91"/>
    <w:rsid w:val="00492088"/>
    <w:rsid w:val="004921F3"/>
    <w:rsid w:val="004922E1"/>
    <w:rsid w:val="004926C1"/>
    <w:rsid w:val="00492754"/>
    <w:rsid w:val="00492C28"/>
    <w:rsid w:val="00492D8F"/>
    <w:rsid w:val="00492DCE"/>
    <w:rsid w:val="00492FF3"/>
    <w:rsid w:val="00493355"/>
    <w:rsid w:val="00493D27"/>
    <w:rsid w:val="004943A4"/>
    <w:rsid w:val="004944DB"/>
    <w:rsid w:val="0049489D"/>
    <w:rsid w:val="00494916"/>
    <w:rsid w:val="00494995"/>
    <w:rsid w:val="00494BEC"/>
    <w:rsid w:val="004951BC"/>
    <w:rsid w:val="00495421"/>
    <w:rsid w:val="0049580C"/>
    <w:rsid w:val="0049598A"/>
    <w:rsid w:val="00495AC6"/>
    <w:rsid w:val="004960C3"/>
    <w:rsid w:val="004963EA"/>
    <w:rsid w:val="0049684D"/>
    <w:rsid w:val="00496874"/>
    <w:rsid w:val="00496A58"/>
    <w:rsid w:val="00496BF5"/>
    <w:rsid w:val="00496CF9"/>
    <w:rsid w:val="00496E5A"/>
    <w:rsid w:val="00496F53"/>
    <w:rsid w:val="0049768F"/>
    <w:rsid w:val="00497D74"/>
    <w:rsid w:val="00497EFB"/>
    <w:rsid w:val="004A00AF"/>
    <w:rsid w:val="004A04E5"/>
    <w:rsid w:val="004A0768"/>
    <w:rsid w:val="004A0D25"/>
    <w:rsid w:val="004A0E23"/>
    <w:rsid w:val="004A0EA4"/>
    <w:rsid w:val="004A1495"/>
    <w:rsid w:val="004A14BC"/>
    <w:rsid w:val="004A15B2"/>
    <w:rsid w:val="004A167D"/>
    <w:rsid w:val="004A17BE"/>
    <w:rsid w:val="004A1C78"/>
    <w:rsid w:val="004A1FD5"/>
    <w:rsid w:val="004A2089"/>
    <w:rsid w:val="004A2105"/>
    <w:rsid w:val="004A212F"/>
    <w:rsid w:val="004A2165"/>
    <w:rsid w:val="004A2B4F"/>
    <w:rsid w:val="004A2D5F"/>
    <w:rsid w:val="004A320C"/>
    <w:rsid w:val="004A3410"/>
    <w:rsid w:val="004A38A4"/>
    <w:rsid w:val="004A3E61"/>
    <w:rsid w:val="004A3F91"/>
    <w:rsid w:val="004A46FA"/>
    <w:rsid w:val="004A4993"/>
    <w:rsid w:val="004A4C41"/>
    <w:rsid w:val="004A4DCA"/>
    <w:rsid w:val="004A5084"/>
    <w:rsid w:val="004A5256"/>
    <w:rsid w:val="004A566E"/>
    <w:rsid w:val="004A5F74"/>
    <w:rsid w:val="004A6063"/>
    <w:rsid w:val="004A6212"/>
    <w:rsid w:val="004A67D7"/>
    <w:rsid w:val="004A6C0A"/>
    <w:rsid w:val="004A7373"/>
    <w:rsid w:val="004A7550"/>
    <w:rsid w:val="004A7BEF"/>
    <w:rsid w:val="004B0043"/>
    <w:rsid w:val="004B021D"/>
    <w:rsid w:val="004B04B7"/>
    <w:rsid w:val="004B0B54"/>
    <w:rsid w:val="004B0C65"/>
    <w:rsid w:val="004B1052"/>
    <w:rsid w:val="004B17B5"/>
    <w:rsid w:val="004B1DE4"/>
    <w:rsid w:val="004B1F14"/>
    <w:rsid w:val="004B2299"/>
    <w:rsid w:val="004B28F9"/>
    <w:rsid w:val="004B35AF"/>
    <w:rsid w:val="004B382F"/>
    <w:rsid w:val="004B38CE"/>
    <w:rsid w:val="004B3DC7"/>
    <w:rsid w:val="004B3E32"/>
    <w:rsid w:val="004B3EEB"/>
    <w:rsid w:val="004B3F02"/>
    <w:rsid w:val="004B5366"/>
    <w:rsid w:val="004B5A1F"/>
    <w:rsid w:val="004B5EE7"/>
    <w:rsid w:val="004B5F4A"/>
    <w:rsid w:val="004B604A"/>
    <w:rsid w:val="004B6A8C"/>
    <w:rsid w:val="004B6B14"/>
    <w:rsid w:val="004B6C62"/>
    <w:rsid w:val="004B75B8"/>
    <w:rsid w:val="004B7C5F"/>
    <w:rsid w:val="004C07BB"/>
    <w:rsid w:val="004C08E7"/>
    <w:rsid w:val="004C0FC8"/>
    <w:rsid w:val="004C123F"/>
    <w:rsid w:val="004C1A65"/>
    <w:rsid w:val="004C1CE8"/>
    <w:rsid w:val="004C1DA1"/>
    <w:rsid w:val="004C2526"/>
    <w:rsid w:val="004C2871"/>
    <w:rsid w:val="004C28ED"/>
    <w:rsid w:val="004C3390"/>
    <w:rsid w:val="004C38A2"/>
    <w:rsid w:val="004C424B"/>
    <w:rsid w:val="004C44E9"/>
    <w:rsid w:val="004C4E4F"/>
    <w:rsid w:val="004C5088"/>
    <w:rsid w:val="004C516F"/>
    <w:rsid w:val="004C5995"/>
    <w:rsid w:val="004C5D8B"/>
    <w:rsid w:val="004C6198"/>
    <w:rsid w:val="004C650A"/>
    <w:rsid w:val="004C68A0"/>
    <w:rsid w:val="004C692A"/>
    <w:rsid w:val="004C6AA9"/>
    <w:rsid w:val="004C717A"/>
    <w:rsid w:val="004C748A"/>
    <w:rsid w:val="004C7842"/>
    <w:rsid w:val="004C7B23"/>
    <w:rsid w:val="004C7CFE"/>
    <w:rsid w:val="004D035C"/>
    <w:rsid w:val="004D0EB9"/>
    <w:rsid w:val="004D1201"/>
    <w:rsid w:val="004D1313"/>
    <w:rsid w:val="004D17EA"/>
    <w:rsid w:val="004D1D82"/>
    <w:rsid w:val="004D1D85"/>
    <w:rsid w:val="004D2451"/>
    <w:rsid w:val="004D2D46"/>
    <w:rsid w:val="004D2E4E"/>
    <w:rsid w:val="004D2E50"/>
    <w:rsid w:val="004D3590"/>
    <w:rsid w:val="004D35BD"/>
    <w:rsid w:val="004D3A9D"/>
    <w:rsid w:val="004D4277"/>
    <w:rsid w:val="004D4C2B"/>
    <w:rsid w:val="004D4CB2"/>
    <w:rsid w:val="004D5837"/>
    <w:rsid w:val="004D5EDC"/>
    <w:rsid w:val="004D60F8"/>
    <w:rsid w:val="004D6153"/>
    <w:rsid w:val="004D6732"/>
    <w:rsid w:val="004D681D"/>
    <w:rsid w:val="004D6AC4"/>
    <w:rsid w:val="004D7316"/>
    <w:rsid w:val="004D7469"/>
    <w:rsid w:val="004D7771"/>
    <w:rsid w:val="004E02AB"/>
    <w:rsid w:val="004E08AB"/>
    <w:rsid w:val="004E09E9"/>
    <w:rsid w:val="004E0C01"/>
    <w:rsid w:val="004E0CBF"/>
    <w:rsid w:val="004E135B"/>
    <w:rsid w:val="004E20B2"/>
    <w:rsid w:val="004E22B7"/>
    <w:rsid w:val="004E248A"/>
    <w:rsid w:val="004E2497"/>
    <w:rsid w:val="004E2673"/>
    <w:rsid w:val="004E27AF"/>
    <w:rsid w:val="004E2F87"/>
    <w:rsid w:val="004E323B"/>
    <w:rsid w:val="004E3C56"/>
    <w:rsid w:val="004E42DA"/>
    <w:rsid w:val="004E4328"/>
    <w:rsid w:val="004E4662"/>
    <w:rsid w:val="004E47EC"/>
    <w:rsid w:val="004E48AD"/>
    <w:rsid w:val="004E4B84"/>
    <w:rsid w:val="004E50E8"/>
    <w:rsid w:val="004E514F"/>
    <w:rsid w:val="004E5441"/>
    <w:rsid w:val="004E6D0A"/>
    <w:rsid w:val="004E6D2A"/>
    <w:rsid w:val="004E6E06"/>
    <w:rsid w:val="004E6EF3"/>
    <w:rsid w:val="004E7038"/>
    <w:rsid w:val="004E737F"/>
    <w:rsid w:val="004E73FD"/>
    <w:rsid w:val="004E7782"/>
    <w:rsid w:val="004E7944"/>
    <w:rsid w:val="004E7D5B"/>
    <w:rsid w:val="004E7F6E"/>
    <w:rsid w:val="004F01A3"/>
    <w:rsid w:val="004F03DE"/>
    <w:rsid w:val="004F0F16"/>
    <w:rsid w:val="004F157F"/>
    <w:rsid w:val="004F1674"/>
    <w:rsid w:val="004F22DA"/>
    <w:rsid w:val="004F2512"/>
    <w:rsid w:val="004F2521"/>
    <w:rsid w:val="004F29CB"/>
    <w:rsid w:val="004F2AF9"/>
    <w:rsid w:val="004F2B86"/>
    <w:rsid w:val="004F2C30"/>
    <w:rsid w:val="004F2C6A"/>
    <w:rsid w:val="004F2D4C"/>
    <w:rsid w:val="004F315C"/>
    <w:rsid w:val="004F33D5"/>
    <w:rsid w:val="004F3A0F"/>
    <w:rsid w:val="004F40C9"/>
    <w:rsid w:val="004F420D"/>
    <w:rsid w:val="004F438C"/>
    <w:rsid w:val="004F442A"/>
    <w:rsid w:val="004F4640"/>
    <w:rsid w:val="004F4847"/>
    <w:rsid w:val="004F5715"/>
    <w:rsid w:val="004F58F8"/>
    <w:rsid w:val="004F5E09"/>
    <w:rsid w:val="004F5E7A"/>
    <w:rsid w:val="004F61F4"/>
    <w:rsid w:val="004F6B1C"/>
    <w:rsid w:val="004F6EF1"/>
    <w:rsid w:val="004F734F"/>
    <w:rsid w:val="004F760D"/>
    <w:rsid w:val="004F7E64"/>
    <w:rsid w:val="0050002D"/>
    <w:rsid w:val="00500141"/>
    <w:rsid w:val="0050022B"/>
    <w:rsid w:val="00500C5A"/>
    <w:rsid w:val="00500E33"/>
    <w:rsid w:val="005010E2"/>
    <w:rsid w:val="005012B3"/>
    <w:rsid w:val="005013FF"/>
    <w:rsid w:val="00501ECF"/>
    <w:rsid w:val="00502165"/>
    <w:rsid w:val="00502432"/>
    <w:rsid w:val="00503031"/>
    <w:rsid w:val="005030F1"/>
    <w:rsid w:val="005031DD"/>
    <w:rsid w:val="00503B58"/>
    <w:rsid w:val="00503FCD"/>
    <w:rsid w:val="005047C6"/>
    <w:rsid w:val="00504834"/>
    <w:rsid w:val="00504B4E"/>
    <w:rsid w:val="00504C7A"/>
    <w:rsid w:val="00504EFE"/>
    <w:rsid w:val="0050520C"/>
    <w:rsid w:val="00505489"/>
    <w:rsid w:val="00505AEE"/>
    <w:rsid w:val="00505C62"/>
    <w:rsid w:val="00505E41"/>
    <w:rsid w:val="00505E50"/>
    <w:rsid w:val="005060D7"/>
    <w:rsid w:val="0050632E"/>
    <w:rsid w:val="0050671F"/>
    <w:rsid w:val="00506A1B"/>
    <w:rsid w:val="00506CD3"/>
    <w:rsid w:val="00506D07"/>
    <w:rsid w:val="00506E81"/>
    <w:rsid w:val="005072F1"/>
    <w:rsid w:val="00507355"/>
    <w:rsid w:val="00507512"/>
    <w:rsid w:val="0050752D"/>
    <w:rsid w:val="00510F99"/>
    <w:rsid w:val="00511272"/>
    <w:rsid w:val="005112D9"/>
    <w:rsid w:val="0051132E"/>
    <w:rsid w:val="00511EB1"/>
    <w:rsid w:val="00511EF3"/>
    <w:rsid w:val="00512411"/>
    <w:rsid w:val="00512540"/>
    <w:rsid w:val="0051266A"/>
    <w:rsid w:val="00512A86"/>
    <w:rsid w:val="00512B89"/>
    <w:rsid w:val="00512F20"/>
    <w:rsid w:val="005131A5"/>
    <w:rsid w:val="00513441"/>
    <w:rsid w:val="00513574"/>
    <w:rsid w:val="00513598"/>
    <w:rsid w:val="0051380C"/>
    <w:rsid w:val="005138FD"/>
    <w:rsid w:val="00513C84"/>
    <w:rsid w:val="00514507"/>
    <w:rsid w:val="00514597"/>
    <w:rsid w:val="005148C2"/>
    <w:rsid w:val="005153F5"/>
    <w:rsid w:val="00515D75"/>
    <w:rsid w:val="0051664D"/>
    <w:rsid w:val="0051670B"/>
    <w:rsid w:val="0051699C"/>
    <w:rsid w:val="00516F9D"/>
    <w:rsid w:val="005170BA"/>
    <w:rsid w:val="005176C9"/>
    <w:rsid w:val="00520711"/>
    <w:rsid w:val="00520A59"/>
    <w:rsid w:val="00520DD2"/>
    <w:rsid w:val="00520E08"/>
    <w:rsid w:val="00521002"/>
    <w:rsid w:val="00521350"/>
    <w:rsid w:val="005213F7"/>
    <w:rsid w:val="005214EA"/>
    <w:rsid w:val="00522186"/>
    <w:rsid w:val="005221FE"/>
    <w:rsid w:val="00522CFD"/>
    <w:rsid w:val="0052334F"/>
    <w:rsid w:val="005234B5"/>
    <w:rsid w:val="005240B8"/>
    <w:rsid w:val="0052466F"/>
    <w:rsid w:val="00524B23"/>
    <w:rsid w:val="005251E1"/>
    <w:rsid w:val="00525830"/>
    <w:rsid w:val="00525849"/>
    <w:rsid w:val="00525C42"/>
    <w:rsid w:val="00525C6E"/>
    <w:rsid w:val="00525DDA"/>
    <w:rsid w:val="00526208"/>
    <w:rsid w:val="00526252"/>
    <w:rsid w:val="00526381"/>
    <w:rsid w:val="0052640D"/>
    <w:rsid w:val="005268BA"/>
    <w:rsid w:val="005269E6"/>
    <w:rsid w:val="00526E71"/>
    <w:rsid w:val="00527844"/>
    <w:rsid w:val="00530379"/>
    <w:rsid w:val="00530AF6"/>
    <w:rsid w:val="00530B8E"/>
    <w:rsid w:val="00530BFA"/>
    <w:rsid w:val="00530EE7"/>
    <w:rsid w:val="0053112A"/>
    <w:rsid w:val="00531E27"/>
    <w:rsid w:val="00531F4D"/>
    <w:rsid w:val="0053205C"/>
    <w:rsid w:val="00532168"/>
    <w:rsid w:val="00532271"/>
    <w:rsid w:val="0053247C"/>
    <w:rsid w:val="0053364E"/>
    <w:rsid w:val="0053385C"/>
    <w:rsid w:val="00533B6E"/>
    <w:rsid w:val="0053400C"/>
    <w:rsid w:val="005346A9"/>
    <w:rsid w:val="0053471B"/>
    <w:rsid w:val="00534A7E"/>
    <w:rsid w:val="00534D85"/>
    <w:rsid w:val="005351B9"/>
    <w:rsid w:val="005355D3"/>
    <w:rsid w:val="00535C84"/>
    <w:rsid w:val="00536011"/>
    <w:rsid w:val="0053705B"/>
    <w:rsid w:val="005370F1"/>
    <w:rsid w:val="005371B2"/>
    <w:rsid w:val="00537A31"/>
    <w:rsid w:val="00537F9D"/>
    <w:rsid w:val="00540404"/>
    <w:rsid w:val="0054081E"/>
    <w:rsid w:val="00540B0F"/>
    <w:rsid w:val="00540D66"/>
    <w:rsid w:val="00540D7B"/>
    <w:rsid w:val="00540DAC"/>
    <w:rsid w:val="005410DD"/>
    <w:rsid w:val="00541271"/>
    <w:rsid w:val="005418F6"/>
    <w:rsid w:val="0054258D"/>
    <w:rsid w:val="00542BD6"/>
    <w:rsid w:val="00542ED1"/>
    <w:rsid w:val="00543C89"/>
    <w:rsid w:val="00543E5B"/>
    <w:rsid w:val="005445E9"/>
    <w:rsid w:val="0054498C"/>
    <w:rsid w:val="00544EA3"/>
    <w:rsid w:val="005451A6"/>
    <w:rsid w:val="0054558C"/>
    <w:rsid w:val="00545770"/>
    <w:rsid w:val="00545802"/>
    <w:rsid w:val="005461BC"/>
    <w:rsid w:val="005466D1"/>
    <w:rsid w:val="00546C59"/>
    <w:rsid w:val="00546D1F"/>
    <w:rsid w:val="00546F26"/>
    <w:rsid w:val="00546F58"/>
    <w:rsid w:val="00547376"/>
    <w:rsid w:val="00547606"/>
    <w:rsid w:val="0054794B"/>
    <w:rsid w:val="00547A90"/>
    <w:rsid w:val="00550072"/>
    <w:rsid w:val="005500C7"/>
    <w:rsid w:val="005501C9"/>
    <w:rsid w:val="005509E3"/>
    <w:rsid w:val="00550B55"/>
    <w:rsid w:val="00550B79"/>
    <w:rsid w:val="00550D5E"/>
    <w:rsid w:val="00550FD5"/>
    <w:rsid w:val="00551446"/>
    <w:rsid w:val="00551506"/>
    <w:rsid w:val="0055150B"/>
    <w:rsid w:val="0055193B"/>
    <w:rsid w:val="005519A7"/>
    <w:rsid w:val="0055205F"/>
    <w:rsid w:val="00552672"/>
    <w:rsid w:val="00552832"/>
    <w:rsid w:val="0055315B"/>
    <w:rsid w:val="005532F9"/>
    <w:rsid w:val="00553CBB"/>
    <w:rsid w:val="005543B4"/>
    <w:rsid w:val="0055440B"/>
    <w:rsid w:val="00554CCF"/>
    <w:rsid w:val="00555595"/>
    <w:rsid w:val="005556EC"/>
    <w:rsid w:val="00555BFE"/>
    <w:rsid w:val="00555F40"/>
    <w:rsid w:val="00555FCE"/>
    <w:rsid w:val="00556044"/>
    <w:rsid w:val="0055680E"/>
    <w:rsid w:val="00556A77"/>
    <w:rsid w:val="0055708D"/>
    <w:rsid w:val="005572BA"/>
    <w:rsid w:val="00557A3A"/>
    <w:rsid w:val="00557A7D"/>
    <w:rsid w:val="00557ADC"/>
    <w:rsid w:val="00557C37"/>
    <w:rsid w:val="00557CFC"/>
    <w:rsid w:val="00557E1D"/>
    <w:rsid w:val="005606C3"/>
    <w:rsid w:val="005607B1"/>
    <w:rsid w:val="005609A2"/>
    <w:rsid w:val="00560A54"/>
    <w:rsid w:val="00560BD7"/>
    <w:rsid w:val="00561AE8"/>
    <w:rsid w:val="00561CA6"/>
    <w:rsid w:val="00562087"/>
    <w:rsid w:val="005624BD"/>
    <w:rsid w:val="00562E45"/>
    <w:rsid w:val="00562F8A"/>
    <w:rsid w:val="00563103"/>
    <w:rsid w:val="00563649"/>
    <w:rsid w:val="00563A02"/>
    <w:rsid w:val="00563D88"/>
    <w:rsid w:val="00563F27"/>
    <w:rsid w:val="005642F3"/>
    <w:rsid w:val="00564300"/>
    <w:rsid w:val="00564565"/>
    <w:rsid w:val="0056462F"/>
    <w:rsid w:val="005647BE"/>
    <w:rsid w:val="00564A12"/>
    <w:rsid w:val="00565917"/>
    <w:rsid w:val="00565EE0"/>
    <w:rsid w:val="00565FD3"/>
    <w:rsid w:val="00566238"/>
    <w:rsid w:val="00566299"/>
    <w:rsid w:val="0056691D"/>
    <w:rsid w:val="00566BF6"/>
    <w:rsid w:val="00566EE4"/>
    <w:rsid w:val="005673AF"/>
    <w:rsid w:val="00567695"/>
    <w:rsid w:val="005709FF"/>
    <w:rsid w:val="0057106B"/>
    <w:rsid w:val="0057119F"/>
    <w:rsid w:val="0057127D"/>
    <w:rsid w:val="00571425"/>
    <w:rsid w:val="00571AEB"/>
    <w:rsid w:val="00571B4B"/>
    <w:rsid w:val="005722F6"/>
    <w:rsid w:val="005725F6"/>
    <w:rsid w:val="005727F7"/>
    <w:rsid w:val="00573874"/>
    <w:rsid w:val="00573A76"/>
    <w:rsid w:val="005741FA"/>
    <w:rsid w:val="005742B6"/>
    <w:rsid w:val="00574453"/>
    <w:rsid w:val="00574479"/>
    <w:rsid w:val="005746E9"/>
    <w:rsid w:val="005749CC"/>
    <w:rsid w:val="00574BC0"/>
    <w:rsid w:val="00574C6B"/>
    <w:rsid w:val="00574DB8"/>
    <w:rsid w:val="00575000"/>
    <w:rsid w:val="00575BC0"/>
    <w:rsid w:val="00576769"/>
    <w:rsid w:val="00576A6A"/>
    <w:rsid w:val="00576C02"/>
    <w:rsid w:val="005778AA"/>
    <w:rsid w:val="005802AF"/>
    <w:rsid w:val="00580308"/>
    <w:rsid w:val="00580DFA"/>
    <w:rsid w:val="00580E74"/>
    <w:rsid w:val="00582041"/>
    <w:rsid w:val="00582976"/>
    <w:rsid w:val="005829DD"/>
    <w:rsid w:val="0058385C"/>
    <w:rsid w:val="00583C85"/>
    <w:rsid w:val="00584CF8"/>
    <w:rsid w:val="00584E2D"/>
    <w:rsid w:val="005854FF"/>
    <w:rsid w:val="005856D6"/>
    <w:rsid w:val="005856FE"/>
    <w:rsid w:val="00585838"/>
    <w:rsid w:val="00585FBD"/>
    <w:rsid w:val="005867A5"/>
    <w:rsid w:val="005867DF"/>
    <w:rsid w:val="00586817"/>
    <w:rsid w:val="00586A4E"/>
    <w:rsid w:val="00586D92"/>
    <w:rsid w:val="00586EB2"/>
    <w:rsid w:val="00586FB7"/>
    <w:rsid w:val="00586FD5"/>
    <w:rsid w:val="0058715E"/>
    <w:rsid w:val="00587244"/>
    <w:rsid w:val="00587260"/>
    <w:rsid w:val="00587507"/>
    <w:rsid w:val="0058754C"/>
    <w:rsid w:val="00587FE0"/>
    <w:rsid w:val="005900C9"/>
    <w:rsid w:val="00590184"/>
    <w:rsid w:val="00590453"/>
    <w:rsid w:val="005904F0"/>
    <w:rsid w:val="00590FF6"/>
    <w:rsid w:val="00591226"/>
    <w:rsid w:val="00591475"/>
    <w:rsid w:val="0059173E"/>
    <w:rsid w:val="00591EF0"/>
    <w:rsid w:val="00591FCA"/>
    <w:rsid w:val="00592686"/>
    <w:rsid w:val="00592A7D"/>
    <w:rsid w:val="00592B10"/>
    <w:rsid w:val="0059325A"/>
    <w:rsid w:val="00593755"/>
    <w:rsid w:val="0059406F"/>
    <w:rsid w:val="00594294"/>
    <w:rsid w:val="00594479"/>
    <w:rsid w:val="00594AF4"/>
    <w:rsid w:val="00594B94"/>
    <w:rsid w:val="00594D0C"/>
    <w:rsid w:val="0059500F"/>
    <w:rsid w:val="0059508A"/>
    <w:rsid w:val="00595745"/>
    <w:rsid w:val="00595CDA"/>
    <w:rsid w:val="00595D46"/>
    <w:rsid w:val="00595D7E"/>
    <w:rsid w:val="005962DC"/>
    <w:rsid w:val="005964E0"/>
    <w:rsid w:val="00596A0B"/>
    <w:rsid w:val="00596AAA"/>
    <w:rsid w:val="00596D7F"/>
    <w:rsid w:val="00596E05"/>
    <w:rsid w:val="00596F85"/>
    <w:rsid w:val="00597086"/>
    <w:rsid w:val="005970FA"/>
    <w:rsid w:val="005A0117"/>
    <w:rsid w:val="005A0176"/>
    <w:rsid w:val="005A088E"/>
    <w:rsid w:val="005A1097"/>
    <w:rsid w:val="005A139C"/>
    <w:rsid w:val="005A174F"/>
    <w:rsid w:val="005A1C76"/>
    <w:rsid w:val="005A2298"/>
    <w:rsid w:val="005A28C1"/>
    <w:rsid w:val="005A2950"/>
    <w:rsid w:val="005A3309"/>
    <w:rsid w:val="005A3AEF"/>
    <w:rsid w:val="005A426F"/>
    <w:rsid w:val="005A42EA"/>
    <w:rsid w:val="005A4583"/>
    <w:rsid w:val="005A469F"/>
    <w:rsid w:val="005A5587"/>
    <w:rsid w:val="005A57F0"/>
    <w:rsid w:val="005A5EC9"/>
    <w:rsid w:val="005A6033"/>
    <w:rsid w:val="005A685B"/>
    <w:rsid w:val="005A6A38"/>
    <w:rsid w:val="005A7001"/>
    <w:rsid w:val="005A726E"/>
    <w:rsid w:val="005A72DB"/>
    <w:rsid w:val="005A72FC"/>
    <w:rsid w:val="005A7537"/>
    <w:rsid w:val="005A7937"/>
    <w:rsid w:val="005A7B85"/>
    <w:rsid w:val="005B0115"/>
    <w:rsid w:val="005B0388"/>
    <w:rsid w:val="005B066D"/>
    <w:rsid w:val="005B0C34"/>
    <w:rsid w:val="005B0D19"/>
    <w:rsid w:val="005B109A"/>
    <w:rsid w:val="005B197F"/>
    <w:rsid w:val="005B2135"/>
    <w:rsid w:val="005B274B"/>
    <w:rsid w:val="005B28C5"/>
    <w:rsid w:val="005B2B12"/>
    <w:rsid w:val="005B2B60"/>
    <w:rsid w:val="005B2DB6"/>
    <w:rsid w:val="005B32E6"/>
    <w:rsid w:val="005B367F"/>
    <w:rsid w:val="005B36EF"/>
    <w:rsid w:val="005B3B0A"/>
    <w:rsid w:val="005B41E2"/>
    <w:rsid w:val="005B4219"/>
    <w:rsid w:val="005B4891"/>
    <w:rsid w:val="005B536B"/>
    <w:rsid w:val="005B53AF"/>
    <w:rsid w:val="005B55F4"/>
    <w:rsid w:val="005B5D1F"/>
    <w:rsid w:val="005B5E53"/>
    <w:rsid w:val="005B6E15"/>
    <w:rsid w:val="005B6E48"/>
    <w:rsid w:val="005B7567"/>
    <w:rsid w:val="005B7591"/>
    <w:rsid w:val="005B75D1"/>
    <w:rsid w:val="005C04BB"/>
    <w:rsid w:val="005C0532"/>
    <w:rsid w:val="005C064E"/>
    <w:rsid w:val="005C0948"/>
    <w:rsid w:val="005C0A3A"/>
    <w:rsid w:val="005C1195"/>
    <w:rsid w:val="005C1618"/>
    <w:rsid w:val="005C1BBA"/>
    <w:rsid w:val="005C1FB0"/>
    <w:rsid w:val="005C2E4A"/>
    <w:rsid w:val="005C2FD5"/>
    <w:rsid w:val="005C30ED"/>
    <w:rsid w:val="005C31EB"/>
    <w:rsid w:val="005C399D"/>
    <w:rsid w:val="005C3CA7"/>
    <w:rsid w:val="005C3E45"/>
    <w:rsid w:val="005C3F5A"/>
    <w:rsid w:val="005C4AA0"/>
    <w:rsid w:val="005C4EFD"/>
    <w:rsid w:val="005C50A8"/>
    <w:rsid w:val="005C50C1"/>
    <w:rsid w:val="005C525C"/>
    <w:rsid w:val="005C5378"/>
    <w:rsid w:val="005C5388"/>
    <w:rsid w:val="005C6431"/>
    <w:rsid w:val="005C64D0"/>
    <w:rsid w:val="005C6703"/>
    <w:rsid w:val="005C67DE"/>
    <w:rsid w:val="005C6AF6"/>
    <w:rsid w:val="005C72F0"/>
    <w:rsid w:val="005C7342"/>
    <w:rsid w:val="005C7976"/>
    <w:rsid w:val="005D1063"/>
    <w:rsid w:val="005D15C0"/>
    <w:rsid w:val="005D161F"/>
    <w:rsid w:val="005D17BE"/>
    <w:rsid w:val="005D1ACD"/>
    <w:rsid w:val="005D22DB"/>
    <w:rsid w:val="005D2AB9"/>
    <w:rsid w:val="005D2DCB"/>
    <w:rsid w:val="005D2E4F"/>
    <w:rsid w:val="005D3097"/>
    <w:rsid w:val="005D30B3"/>
    <w:rsid w:val="005D34E2"/>
    <w:rsid w:val="005D38D3"/>
    <w:rsid w:val="005D3B15"/>
    <w:rsid w:val="005D407A"/>
    <w:rsid w:val="005D4933"/>
    <w:rsid w:val="005D496E"/>
    <w:rsid w:val="005D4B0B"/>
    <w:rsid w:val="005D4CC0"/>
    <w:rsid w:val="005D4CDC"/>
    <w:rsid w:val="005D4E46"/>
    <w:rsid w:val="005D56DA"/>
    <w:rsid w:val="005D5E97"/>
    <w:rsid w:val="005D5EDC"/>
    <w:rsid w:val="005D5F48"/>
    <w:rsid w:val="005D6170"/>
    <w:rsid w:val="005D61A3"/>
    <w:rsid w:val="005D7350"/>
    <w:rsid w:val="005D76F2"/>
    <w:rsid w:val="005D7C20"/>
    <w:rsid w:val="005D7E33"/>
    <w:rsid w:val="005E016E"/>
    <w:rsid w:val="005E03EA"/>
    <w:rsid w:val="005E04E9"/>
    <w:rsid w:val="005E0C1B"/>
    <w:rsid w:val="005E0DCB"/>
    <w:rsid w:val="005E1618"/>
    <w:rsid w:val="005E179B"/>
    <w:rsid w:val="005E17B4"/>
    <w:rsid w:val="005E19AF"/>
    <w:rsid w:val="005E208C"/>
    <w:rsid w:val="005E20C5"/>
    <w:rsid w:val="005E28DB"/>
    <w:rsid w:val="005E2EDE"/>
    <w:rsid w:val="005E356C"/>
    <w:rsid w:val="005E432D"/>
    <w:rsid w:val="005E4628"/>
    <w:rsid w:val="005E47FB"/>
    <w:rsid w:val="005E49A6"/>
    <w:rsid w:val="005E4A95"/>
    <w:rsid w:val="005E5108"/>
    <w:rsid w:val="005E5345"/>
    <w:rsid w:val="005E5618"/>
    <w:rsid w:val="005E590A"/>
    <w:rsid w:val="005E5E87"/>
    <w:rsid w:val="005E656A"/>
    <w:rsid w:val="005E6960"/>
    <w:rsid w:val="005E6D81"/>
    <w:rsid w:val="005E6D97"/>
    <w:rsid w:val="005E6DE3"/>
    <w:rsid w:val="005E6E51"/>
    <w:rsid w:val="005E75AB"/>
    <w:rsid w:val="005E7610"/>
    <w:rsid w:val="005E78F3"/>
    <w:rsid w:val="005E7C28"/>
    <w:rsid w:val="005E7D93"/>
    <w:rsid w:val="005E7EB8"/>
    <w:rsid w:val="005F00E5"/>
    <w:rsid w:val="005F011E"/>
    <w:rsid w:val="005F03AB"/>
    <w:rsid w:val="005F04B3"/>
    <w:rsid w:val="005F0801"/>
    <w:rsid w:val="005F0BE0"/>
    <w:rsid w:val="005F110E"/>
    <w:rsid w:val="005F149B"/>
    <w:rsid w:val="005F1577"/>
    <w:rsid w:val="005F184F"/>
    <w:rsid w:val="005F18D6"/>
    <w:rsid w:val="005F1FA5"/>
    <w:rsid w:val="005F24FE"/>
    <w:rsid w:val="005F2BA8"/>
    <w:rsid w:val="005F2CCC"/>
    <w:rsid w:val="005F3582"/>
    <w:rsid w:val="005F3750"/>
    <w:rsid w:val="005F3A6D"/>
    <w:rsid w:val="005F3C19"/>
    <w:rsid w:val="005F3FFE"/>
    <w:rsid w:val="005F40BA"/>
    <w:rsid w:val="005F4434"/>
    <w:rsid w:val="005F4B1A"/>
    <w:rsid w:val="005F4E4C"/>
    <w:rsid w:val="005F501A"/>
    <w:rsid w:val="005F50DF"/>
    <w:rsid w:val="005F5318"/>
    <w:rsid w:val="005F5324"/>
    <w:rsid w:val="005F5BFE"/>
    <w:rsid w:val="005F603A"/>
    <w:rsid w:val="005F6D5C"/>
    <w:rsid w:val="005F77AB"/>
    <w:rsid w:val="005F7877"/>
    <w:rsid w:val="005F7C99"/>
    <w:rsid w:val="005F7E1A"/>
    <w:rsid w:val="005F7EB1"/>
    <w:rsid w:val="006003FF"/>
    <w:rsid w:val="0060083B"/>
    <w:rsid w:val="00600D34"/>
    <w:rsid w:val="00601071"/>
    <w:rsid w:val="00601089"/>
    <w:rsid w:val="00601171"/>
    <w:rsid w:val="00601651"/>
    <w:rsid w:val="0060168A"/>
    <w:rsid w:val="00601925"/>
    <w:rsid w:val="00601B28"/>
    <w:rsid w:val="00601DC7"/>
    <w:rsid w:val="00602064"/>
    <w:rsid w:val="0060208D"/>
    <w:rsid w:val="00602A5E"/>
    <w:rsid w:val="00602B21"/>
    <w:rsid w:val="00602C1D"/>
    <w:rsid w:val="00602F3B"/>
    <w:rsid w:val="00603024"/>
    <w:rsid w:val="00603342"/>
    <w:rsid w:val="006036DE"/>
    <w:rsid w:val="006037BB"/>
    <w:rsid w:val="00603AA7"/>
    <w:rsid w:val="0060408F"/>
    <w:rsid w:val="00604211"/>
    <w:rsid w:val="006042D8"/>
    <w:rsid w:val="0060448B"/>
    <w:rsid w:val="006045C1"/>
    <w:rsid w:val="00604C81"/>
    <w:rsid w:val="0060553C"/>
    <w:rsid w:val="00605996"/>
    <w:rsid w:val="006059DF"/>
    <w:rsid w:val="00605F3F"/>
    <w:rsid w:val="00606047"/>
    <w:rsid w:val="00606176"/>
    <w:rsid w:val="006061D6"/>
    <w:rsid w:val="006062B4"/>
    <w:rsid w:val="00606725"/>
    <w:rsid w:val="00606D13"/>
    <w:rsid w:val="00606DD4"/>
    <w:rsid w:val="00606F87"/>
    <w:rsid w:val="00607011"/>
    <w:rsid w:val="0060731E"/>
    <w:rsid w:val="00607374"/>
    <w:rsid w:val="00607495"/>
    <w:rsid w:val="006075A4"/>
    <w:rsid w:val="00607F85"/>
    <w:rsid w:val="00607FE1"/>
    <w:rsid w:val="00610057"/>
    <w:rsid w:val="006102C2"/>
    <w:rsid w:val="0061079B"/>
    <w:rsid w:val="006108D0"/>
    <w:rsid w:val="00610A57"/>
    <w:rsid w:val="00610BD9"/>
    <w:rsid w:val="00611041"/>
    <w:rsid w:val="00611108"/>
    <w:rsid w:val="0061117F"/>
    <w:rsid w:val="00611196"/>
    <w:rsid w:val="006116E3"/>
    <w:rsid w:val="006118CB"/>
    <w:rsid w:val="00611AFF"/>
    <w:rsid w:val="00612146"/>
    <w:rsid w:val="00612D6B"/>
    <w:rsid w:val="00612DE6"/>
    <w:rsid w:val="00612FC6"/>
    <w:rsid w:val="006130C0"/>
    <w:rsid w:val="006137C2"/>
    <w:rsid w:val="00613888"/>
    <w:rsid w:val="00613A81"/>
    <w:rsid w:val="00613C76"/>
    <w:rsid w:val="0061454D"/>
    <w:rsid w:val="00614BBB"/>
    <w:rsid w:val="00614C2C"/>
    <w:rsid w:val="00614D0F"/>
    <w:rsid w:val="00614E10"/>
    <w:rsid w:val="006150C0"/>
    <w:rsid w:val="00615EF4"/>
    <w:rsid w:val="006161CB"/>
    <w:rsid w:val="00616785"/>
    <w:rsid w:val="00616FF1"/>
    <w:rsid w:val="00617B95"/>
    <w:rsid w:val="00620718"/>
    <w:rsid w:val="00620A8B"/>
    <w:rsid w:val="00620B4E"/>
    <w:rsid w:val="00620B76"/>
    <w:rsid w:val="00621050"/>
    <w:rsid w:val="00621402"/>
    <w:rsid w:val="00622512"/>
    <w:rsid w:val="006226C1"/>
    <w:rsid w:val="00622A43"/>
    <w:rsid w:val="0062318C"/>
    <w:rsid w:val="00623493"/>
    <w:rsid w:val="00623692"/>
    <w:rsid w:val="006237A2"/>
    <w:rsid w:val="0062386C"/>
    <w:rsid w:val="00623D7F"/>
    <w:rsid w:val="00623F8A"/>
    <w:rsid w:val="0062402E"/>
    <w:rsid w:val="00624125"/>
    <w:rsid w:val="0062427C"/>
    <w:rsid w:val="00624400"/>
    <w:rsid w:val="006244CA"/>
    <w:rsid w:val="006245D0"/>
    <w:rsid w:val="00624648"/>
    <w:rsid w:val="00624B9F"/>
    <w:rsid w:val="00624E51"/>
    <w:rsid w:val="0062534C"/>
    <w:rsid w:val="006258CF"/>
    <w:rsid w:val="00625A05"/>
    <w:rsid w:val="00625ACD"/>
    <w:rsid w:val="00625B0D"/>
    <w:rsid w:val="00625EA0"/>
    <w:rsid w:val="00626064"/>
    <w:rsid w:val="00626162"/>
    <w:rsid w:val="0062676F"/>
    <w:rsid w:val="006267B3"/>
    <w:rsid w:val="00626D91"/>
    <w:rsid w:val="006278EF"/>
    <w:rsid w:val="00627A9E"/>
    <w:rsid w:val="00630840"/>
    <w:rsid w:val="00630852"/>
    <w:rsid w:val="006310C8"/>
    <w:rsid w:val="006313A2"/>
    <w:rsid w:val="00631D5D"/>
    <w:rsid w:val="00631FEE"/>
    <w:rsid w:val="00632087"/>
    <w:rsid w:val="006323AA"/>
    <w:rsid w:val="00632937"/>
    <w:rsid w:val="00633A95"/>
    <w:rsid w:val="00633C3C"/>
    <w:rsid w:val="00633C57"/>
    <w:rsid w:val="006342F0"/>
    <w:rsid w:val="00634719"/>
    <w:rsid w:val="006348F3"/>
    <w:rsid w:val="006353D2"/>
    <w:rsid w:val="00635923"/>
    <w:rsid w:val="00635B87"/>
    <w:rsid w:val="006362C6"/>
    <w:rsid w:val="006367B8"/>
    <w:rsid w:val="00636B09"/>
    <w:rsid w:val="00637236"/>
    <w:rsid w:val="0063759E"/>
    <w:rsid w:val="00637A81"/>
    <w:rsid w:val="006400F3"/>
    <w:rsid w:val="006406BF"/>
    <w:rsid w:val="0064094A"/>
    <w:rsid w:val="00640B51"/>
    <w:rsid w:val="00640C34"/>
    <w:rsid w:val="00640E84"/>
    <w:rsid w:val="0064106B"/>
    <w:rsid w:val="0064134E"/>
    <w:rsid w:val="006415E9"/>
    <w:rsid w:val="006419A1"/>
    <w:rsid w:val="00641A92"/>
    <w:rsid w:val="00641DB9"/>
    <w:rsid w:val="00642493"/>
    <w:rsid w:val="00642985"/>
    <w:rsid w:val="00642A3A"/>
    <w:rsid w:val="00643078"/>
    <w:rsid w:val="00643641"/>
    <w:rsid w:val="006436F6"/>
    <w:rsid w:val="00643850"/>
    <w:rsid w:val="006438C4"/>
    <w:rsid w:val="00643A9E"/>
    <w:rsid w:val="00643BC4"/>
    <w:rsid w:val="00643FB4"/>
    <w:rsid w:val="00644A1C"/>
    <w:rsid w:val="0064558B"/>
    <w:rsid w:val="0064586F"/>
    <w:rsid w:val="00645DFD"/>
    <w:rsid w:val="00645E82"/>
    <w:rsid w:val="006465F0"/>
    <w:rsid w:val="00646EF4"/>
    <w:rsid w:val="00647C6E"/>
    <w:rsid w:val="00647E2D"/>
    <w:rsid w:val="0065017D"/>
    <w:rsid w:val="006503DC"/>
    <w:rsid w:val="006503E8"/>
    <w:rsid w:val="0065040E"/>
    <w:rsid w:val="00650570"/>
    <w:rsid w:val="006505A1"/>
    <w:rsid w:val="006505CD"/>
    <w:rsid w:val="006507A6"/>
    <w:rsid w:val="00650A8C"/>
    <w:rsid w:val="00650B31"/>
    <w:rsid w:val="0065114F"/>
    <w:rsid w:val="006514BA"/>
    <w:rsid w:val="00651A4F"/>
    <w:rsid w:val="00651B2E"/>
    <w:rsid w:val="00652143"/>
    <w:rsid w:val="00652291"/>
    <w:rsid w:val="006525C1"/>
    <w:rsid w:val="006526BE"/>
    <w:rsid w:val="00652747"/>
    <w:rsid w:val="00653059"/>
    <w:rsid w:val="00653260"/>
    <w:rsid w:val="00653A6C"/>
    <w:rsid w:val="00653ED7"/>
    <w:rsid w:val="00654590"/>
    <w:rsid w:val="00654A4A"/>
    <w:rsid w:val="00654C12"/>
    <w:rsid w:val="0065509F"/>
    <w:rsid w:val="0065545A"/>
    <w:rsid w:val="00655A07"/>
    <w:rsid w:val="006560FD"/>
    <w:rsid w:val="00656DA1"/>
    <w:rsid w:val="006571E4"/>
    <w:rsid w:val="0065760C"/>
    <w:rsid w:val="0065765D"/>
    <w:rsid w:val="0066037C"/>
    <w:rsid w:val="006610EC"/>
    <w:rsid w:val="00661123"/>
    <w:rsid w:val="00661153"/>
    <w:rsid w:val="00661FCE"/>
    <w:rsid w:val="00662006"/>
    <w:rsid w:val="00662269"/>
    <w:rsid w:val="006625D0"/>
    <w:rsid w:val="006627B9"/>
    <w:rsid w:val="00662A6B"/>
    <w:rsid w:val="00662F7A"/>
    <w:rsid w:val="00663111"/>
    <w:rsid w:val="006631F8"/>
    <w:rsid w:val="006636DA"/>
    <w:rsid w:val="00663C62"/>
    <w:rsid w:val="00663C81"/>
    <w:rsid w:val="00664867"/>
    <w:rsid w:val="006648C8"/>
    <w:rsid w:val="00664A6C"/>
    <w:rsid w:val="00664B65"/>
    <w:rsid w:val="00664DAC"/>
    <w:rsid w:val="00664EC0"/>
    <w:rsid w:val="00665CDA"/>
    <w:rsid w:val="00665F85"/>
    <w:rsid w:val="00666184"/>
    <w:rsid w:val="006661CF"/>
    <w:rsid w:val="0066627C"/>
    <w:rsid w:val="006668F8"/>
    <w:rsid w:val="0066692E"/>
    <w:rsid w:val="006669AB"/>
    <w:rsid w:val="00667992"/>
    <w:rsid w:val="00667A22"/>
    <w:rsid w:val="00667B12"/>
    <w:rsid w:val="00667B44"/>
    <w:rsid w:val="00667C34"/>
    <w:rsid w:val="0067003E"/>
    <w:rsid w:val="006708B0"/>
    <w:rsid w:val="00670BFD"/>
    <w:rsid w:val="00670D49"/>
    <w:rsid w:val="00670DC6"/>
    <w:rsid w:val="00670ED6"/>
    <w:rsid w:val="00671561"/>
    <w:rsid w:val="00671789"/>
    <w:rsid w:val="00671ADF"/>
    <w:rsid w:val="00671E4C"/>
    <w:rsid w:val="0067211F"/>
    <w:rsid w:val="0067299B"/>
    <w:rsid w:val="00672E0D"/>
    <w:rsid w:val="00672E35"/>
    <w:rsid w:val="0067331F"/>
    <w:rsid w:val="00673461"/>
    <w:rsid w:val="00674237"/>
    <w:rsid w:val="00674295"/>
    <w:rsid w:val="0067433E"/>
    <w:rsid w:val="006743AB"/>
    <w:rsid w:val="006748A8"/>
    <w:rsid w:val="00674B4A"/>
    <w:rsid w:val="00674BB7"/>
    <w:rsid w:val="00674D90"/>
    <w:rsid w:val="00674DBA"/>
    <w:rsid w:val="00674FFD"/>
    <w:rsid w:val="00675059"/>
    <w:rsid w:val="006752CE"/>
    <w:rsid w:val="00676234"/>
    <w:rsid w:val="0067625D"/>
    <w:rsid w:val="00676410"/>
    <w:rsid w:val="00676D25"/>
    <w:rsid w:val="006770DB"/>
    <w:rsid w:val="0067725C"/>
    <w:rsid w:val="00677350"/>
    <w:rsid w:val="006774CC"/>
    <w:rsid w:val="006775AB"/>
    <w:rsid w:val="0068071B"/>
    <w:rsid w:val="00680905"/>
    <w:rsid w:val="00680979"/>
    <w:rsid w:val="006809DB"/>
    <w:rsid w:val="0068114E"/>
    <w:rsid w:val="0068139E"/>
    <w:rsid w:val="006818A8"/>
    <w:rsid w:val="00681927"/>
    <w:rsid w:val="00681A51"/>
    <w:rsid w:val="00681EF4"/>
    <w:rsid w:val="0068211F"/>
    <w:rsid w:val="00682141"/>
    <w:rsid w:val="00682424"/>
    <w:rsid w:val="00682469"/>
    <w:rsid w:val="0068288D"/>
    <w:rsid w:val="006831BC"/>
    <w:rsid w:val="0068337B"/>
    <w:rsid w:val="00683490"/>
    <w:rsid w:val="0068355B"/>
    <w:rsid w:val="0068376D"/>
    <w:rsid w:val="006837CF"/>
    <w:rsid w:val="00683D97"/>
    <w:rsid w:val="00683F6B"/>
    <w:rsid w:val="00684784"/>
    <w:rsid w:val="00684BD7"/>
    <w:rsid w:val="00684C3A"/>
    <w:rsid w:val="00684F3E"/>
    <w:rsid w:val="00684F61"/>
    <w:rsid w:val="00684FCA"/>
    <w:rsid w:val="0068524B"/>
    <w:rsid w:val="0068582B"/>
    <w:rsid w:val="00685E4A"/>
    <w:rsid w:val="00686844"/>
    <w:rsid w:val="00686965"/>
    <w:rsid w:val="00686A56"/>
    <w:rsid w:val="00686B5C"/>
    <w:rsid w:val="00686F01"/>
    <w:rsid w:val="0068744F"/>
    <w:rsid w:val="006877BC"/>
    <w:rsid w:val="00687983"/>
    <w:rsid w:val="00687BC0"/>
    <w:rsid w:val="00690276"/>
    <w:rsid w:val="0069030C"/>
    <w:rsid w:val="00690677"/>
    <w:rsid w:val="00690A24"/>
    <w:rsid w:val="00690B8A"/>
    <w:rsid w:val="00690BBA"/>
    <w:rsid w:val="006915C8"/>
    <w:rsid w:val="00691680"/>
    <w:rsid w:val="00691BBF"/>
    <w:rsid w:val="0069227B"/>
    <w:rsid w:val="0069268A"/>
    <w:rsid w:val="00692850"/>
    <w:rsid w:val="00692DC9"/>
    <w:rsid w:val="00692F2E"/>
    <w:rsid w:val="00693271"/>
    <w:rsid w:val="0069347D"/>
    <w:rsid w:val="006934FD"/>
    <w:rsid w:val="00693B5B"/>
    <w:rsid w:val="00693D0C"/>
    <w:rsid w:val="00693D6E"/>
    <w:rsid w:val="00693E5A"/>
    <w:rsid w:val="0069418C"/>
    <w:rsid w:val="0069440F"/>
    <w:rsid w:val="00694A7A"/>
    <w:rsid w:val="00694FE9"/>
    <w:rsid w:val="00695271"/>
    <w:rsid w:val="0069544D"/>
    <w:rsid w:val="006954E5"/>
    <w:rsid w:val="006955CF"/>
    <w:rsid w:val="00695CD4"/>
    <w:rsid w:val="00695D55"/>
    <w:rsid w:val="00696997"/>
    <w:rsid w:val="00697656"/>
    <w:rsid w:val="006977EC"/>
    <w:rsid w:val="00697B6F"/>
    <w:rsid w:val="006A02D6"/>
    <w:rsid w:val="006A03F7"/>
    <w:rsid w:val="006A0DB1"/>
    <w:rsid w:val="006A0F68"/>
    <w:rsid w:val="006A1270"/>
    <w:rsid w:val="006A1AE9"/>
    <w:rsid w:val="006A1AFD"/>
    <w:rsid w:val="006A1E82"/>
    <w:rsid w:val="006A1FE8"/>
    <w:rsid w:val="006A22B6"/>
    <w:rsid w:val="006A2854"/>
    <w:rsid w:val="006A29DA"/>
    <w:rsid w:val="006A335B"/>
    <w:rsid w:val="006A3AE6"/>
    <w:rsid w:val="006A4295"/>
    <w:rsid w:val="006A42C3"/>
    <w:rsid w:val="006A473A"/>
    <w:rsid w:val="006A489A"/>
    <w:rsid w:val="006A4C25"/>
    <w:rsid w:val="006A4EB7"/>
    <w:rsid w:val="006A4F51"/>
    <w:rsid w:val="006A58EA"/>
    <w:rsid w:val="006A5E30"/>
    <w:rsid w:val="006A5F93"/>
    <w:rsid w:val="006A60ED"/>
    <w:rsid w:val="006A6375"/>
    <w:rsid w:val="006A651F"/>
    <w:rsid w:val="006A65A5"/>
    <w:rsid w:val="006A65F0"/>
    <w:rsid w:val="006A6D0E"/>
    <w:rsid w:val="006A6DCF"/>
    <w:rsid w:val="006A6DD8"/>
    <w:rsid w:val="006A6EED"/>
    <w:rsid w:val="006A6EEF"/>
    <w:rsid w:val="006A7001"/>
    <w:rsid w:val="006A71CE"/>
    <w:rsid w:val="006A7284"/>
    <w:rsid w:val="006A758C"/>
    <w:rsid w:val="006A7805"/>
    <w:rsid w:val="006A7BB0"/>
    <w:rsid w:val="006A7E7D"/>
    <w:rsid w:val="006A7E95"/>
    <w:rsid w:val="006B00A1"/>
    <w:rsid w:val="006B03FD"/>
    <w:rsid w:val="006B0682"/>
    <w:rsid w:val="006B18AD"/>
    <w:rsid w:val="006B191A"/>
    <w:rsid w:val="006B1AAA"/>
    <w:rsid w:val="006B1D18"/>
    <w:rsid w:val="006B1DF8"/>
    <w:rsid w:val="006B2608"/>
    <w:rsid w:val="006B2718"/>
    <w:rsid w:val="006B29D1"/>
    <w:rsid w:val="006B2DAF"/>
    <w:rsid w:val="006B30EF"/>
    <w:rsid w:val="006B3119"/>
    <w:rsid w:val="006B3126"/>
    <w:rsid w:val="006B32FD"/>
    <w:rsid w:val="006B3C1A"/>
    <w:rsid w:val="006B3D0F"/>
    <w:rsid w:val="006B41FB"/>
    <w:rsid w:val="006B443D"/>
    <w:rsid w:val="006B447D"/>
    <w:rsid w:val="006B4493"/>
    <w:rsid w:val="006B460F"/>
    <w:rsid w:val="006B555B"/>
    <w:rsid w:val="006B56DF"/>
    <w:rsid w:val="006B5C98"/>
    <w:rsid w:val="006B6297"/>
    <w:rsid w:val="006B6B16"/>
    <w:rsid w:val="006B6C95"/>
    <w:rsid w:val="006B75F2"/>
    <w:rsid w:val="006B76D5"/>
    <w:rsid w:val="006B7995"/>
    <w:rsid w:val="006B79AA"/>
    <w:rsid w:val="006B7D99"/>
    <w:rsid w:val="006C03A9"/>
    <w:rsid w:val="006C07A9"/>
    <w:rsid w:val="006C08ED"/>
    <w:rsid w:val="006C0C49"/>
    <w:rsid w:val="006C0D0F"/>
    <w:rsid w:val="006C0D27"/>
    <w:rsid w:val="006C0F46"/>
    <w:rsid w:val="006C1D3C"/>
    <w:rsid w:val="006C1EEC"/>
    <w:rsid w:val="006C319D"/>
    <w:rsid w:val="006C352C"/>
    <w:rsid w:val="006C3732"/>
    <w:rsid w:val="006C3A33"/>
    <w:rsid w:val="006C3FEA"/>
    <w:rsid w:val="006C4BC7"/>
    <w:rsid w:val="006C4D9B"/>
    <w:rsid w:val="006C4E35"/>
    <w:rsid w:val="006C4FEE"/>
    <w:rsid w:val="006C50C8"/>
    <w:rsid w:val="006C5A01"/>
    <w:rsid w:val="006C5EE9"/>
    <w:rsid w:val="006C63EF"/>
    <w:rsid w:val="006C65E9"/>
    <w:rsid w:val="006C6666"/>
    <w:rsid w:val="006C69E7"/>
    <w:rsid w:val="006C6B8E"/>
    <w:rsid w:val="006D09FD"/>
    <w:rsid w:val="006D10AE"/>
    <w:rsid w:val="006D1414"/>
    <w:rsid w:val="006D159B"/>
    <w:rsid w:val="006D1BBB"/>
    <w:rsid w:val="006D1D6B"/>
    <w:rsid w:val="006D1E54"/>
    <w:rsid w:val="006D2195"/>
    <w:rsid w:val="006D230A"/>
    <w:rsid w:val="006D24DC"/>
    <w:rsid w:val="006D25C3"/>
    <w:rsid w:val="006D25E8"/>
    <w:rsid w:val="006D2765"/>
    <w:rsid w:val="006D29F2"/>
    <w:rsid w:val="006D2A2D"/>
    <w:rsid w:val="006D3674"/>
    <w:rsid w:val="006D3BBB"/>
    <w:rsid w:val="006D4290"/>
    <w:rsid w:val="006D43E2"/>
    <w:rsid w:val="006D4ACC"/>
    <w:rsid w:val="006D4B12"/>
    <w:rsid w:val="006D4B4A"/>
    <w:rsid w:val="006D4BE9"/>
    <w:rsid w:val="006D4CD6"/>
    <w:rsid w:val="006D4D5B"/>
    <w:rsid w:val="006D4DDF"/>
    <w:rsid w:val="006D5276"/>
    <w:rsid w:val="006D54B0"/>
    <w:rsid w:val="006D5A49"/>
    <w:rsid w:val="006D5A4C"/>
    <w:rsid w:val="006D5E20"/>
    <w:rsid w:val="006D626A"/>
    <w:rsid w:val="006D65B9"/>
    <w:rsid w:val="006D69D6"/>
    <w:rsid w:val="006D6F85"/>
    <w:rsid w:val="006D6FF2"/>
    <w:rsid w:val="006D71F9"/>
    <w:rsid w:val="006D7620"/>
    <w:rsid w:val="006D76F8"/>
    <w:rsid w:val="006D7CA2"/>
    <w:rsid w:val="006D7FAC"/>
    <w:rsid w:val="006E025F"/>
    <w:rsid w:val="006E065B"/>
    <w:rsid w:val="006E09D3"/>
    <w:rsid w:val="006E1692"/>
    <w:rsid w:val="006E178B"/>
    <w:rsid w:val="006E1828"/>
    <w:rsid w:val="006E1E6C"/>
    <w:rsid w:val="006E20CB"/>
    <w:rsid w:val="006E221B"/>
    <w:rsid w:val="006E231C"/>
    <w:rsid w:val="006E24BB"/>
    <w:rsid w:val="006E2785"/>
    <w:rsid w:val="006E2F02"/>
    <w:rsid w:val="006E311E"/>
    <w:rsid w:val="006E351D"/>
    <w:rsid w:val="006E36B4"/>
    <w:rsid w:val="006E3966"/>
    <w:rsid w:val="006E39D2"/>
    <w:rsid w:val="006E39DC"/>
    <w:rsid w:val="006E41A6"/>
    <w:rsid w:val="006E42CE"/>
    <w:rsid w:val="006E4B37"/>
    <w:rsid w:val="006E514D"/>
    <w:rsid w:val="006E533A"/>
    <w:rsid w:val="006E5505"/>
    <w:rsid w:val="006E5657"/>
    <w:rsid w:val="006E56CB"/>
    <w:rsid w:val="006E576A"/>
    <w:rsid w:val="006E59A4"/>
    <w:rsid w:val="006E5B6E"/>
    <w:rsid w:val="006E5C11"/>
    <w:rsid w:val="006E6052"/>
    <w:rsid w:val="006E622D"/>
    <w:rsid w:val="006E6323"/>
    <w:rsid w:val="006E637A"/>
    <w:rsid w:val="006E69BD"/>
    <w:rsid w:val="006E6BBE"/>
    <w:rsid w:val="006E6C74"/>
    <w:rsid w:val="006E71BB"/>
    <w:rsid w:val="006E71DC"/>
    <w:rsid w:val="006E7EC1"/>
    <w:rsid w:val="006F016E"/>
    <w:rsid w:val="006F0665"/>
    <w:rsid w:val="006F0815"/>
    <w:rsid w:val="006F0968"/>
    <w:rsid w:val="006F0D0A"/>
    <w:rsid w:val="006F0EF7"/>
    <w:rsid w:val="006F136D"/>
    <w:rsid w:val="006F1754"/>
    <w:rsid w:val="006F1774"/>
    <w:rsid w:val="006F1F84"/>
    <w:rsid w:val="006F1FB6"/>
    <w:rsid w:val="006F226D"/>
    <w:rsid w:val="006F240A"/>
    <w:rsid w:val="006F27EF"/>
    <w:rsid w:val="006F2A5B"/>
    <w:rsid w:val="006F2D27"/>
    <w:rsid w:val="006F2FB3"/>
    <w:rsid w:val="006F3369"/>
    <w:rsid w:val="006F3B4E"/>
    <w:rsid w:val="006F3CE3"/>
    <w:rsid w:val="006F3D02"/>
    <w:rsid w:val="006F3D23"/>
    <w:rsid w:val="006F4E35"/>
    <w:rsid w:val="006F531B"/>
    <w:rsid w:val="006F5647"/>
    <w:rsid w:val="006F56B6"/>
    <w:rsid w:val="006F5AE6"/>
    <w:rsid w:val="006F5C09"/>
    <w:rsid w:val="006F5E33"/>
    <w:rsid w:val="006F62BC"/>
    <w:rsid w:val="006F670F"/>
    <w:rsid w:val="006F690A"/>
    <w:rsid w:val="006F70BD"/>
    <w:rsid w:val="0070023A"/>
    <w:rsid w:val="007008AF"/>
    <w:rsid w:val="00700E96"/>
    <w:rsid w:val="00700EE1"/>
    <w:rsid w:val="007023B5"/>
    <w:rsid w:val="00702493"/>
    <w:rsid w:val="00702B1D"/>
    <w:rsid w:val="007034D1"/>
    <w:rsid w:val="00703AB1"/>
    <w:rsid w:val="00703F40"/>
    <w:rsid w:val="00704310"/>
    <w:rsid w:val="007051D8"/>
    <w:rsid w:val="00705B01"/>
    <w:rsid w:val="0070678D"/>
    <w:rsid w:val="00706A77"/>
    <w:rsid w:val="00707295"/>
    <w:rsid w:val="007078A9"/>
    <w:rsid w:val="0071035D"/>
    <w:rsid w:val="007109A0"/>
    <w:rsid w:val="00710D88"/>
    <w:rsid w:val="00710F92"/>
    <w:rsid w:val="00711060"/>
    <w:rsid w:val="00711295"/>
    <w:rsid w:val="007115E8"/>
    <w:rsid w:val="00711670"/>
    <w:rsid w:val="00711DFA"/>
    <w:rsid w:val="00711F58"/>
    <w:rsid w:val="00712119"/>
    <w:rsid w:val="007122F9"/>
    <w:rsid w:val="00712953"/>
    <w:rsid w:val="00713074"/>
    <w:rsid w:val="00713170"/>
    <w:rsid w:val="00713210"/>
    <w:rsid w:val="007135AE"/>
    <w:rsid w:val="00713664"/>
    <w:rsid w:val="0071382F"/>
    <w:rsid w:val="00713FA2"/>
    <w:rsid w:val="00714652"/>
    <w:rsid w:val="00714A8A"/>
    <w:rsid w:val="00714B44"/>
    <w:rsid w:val="00714F3B"/>
    <w:rsid w:val="00715190"/>
    <w:rsid w:val="00715409"/>
    <w:rsid w:val="007157E0"/>
    <w:rsid w:val="00715816"/>
    <w:rsid w:val="0071649A"/>
    <w:rsid w:val="007164D4"/>
    <w:rsid w:val="007165C5"/>
    <w:rsid w:val="007166F7"/>
    <w:rsid w:val="00716A3D"/>
    <w:rsid w:val="00716AEF"/>
    <w:rsid w:val="00716B51"/>
    <w:rsid w:val="00717076"/>
    <w:rsid w:val="00717296"/>
    <w:rsid w:val="007172CB"/>
    <w:rsid w:val="00717563"/>
    <w:rsid w:val="00717638"/>
    <w:rsid w:val="00717746"/>
    <w:rsid w:val="00717CA8"/>
    <w:rsid w:val="00717F36"/>
    <w:rsid w:val="00717FE7"/>
    <w:rsid w:val="0072026C"/>
    <w:rsid w:val="00720335"/>
    <w:rsid w:val="0072052A"/>
    <w:rsid w:val="007207B8"/>
    <w:rsid w:val="00720907"/>
    <w:rsid w:val="00720CF6"/>
    <w:rsid w:val="00720F5C"/>
    <w:rsid w:val="00720FD1"/>
    <w:rsid w:val="0072139E"/>
    <w:rsid w:val="007214FE"/>
    <w:rsid w:val="0072163E"/>
    <w:rsid w:val="007216CC"/>
    <w:rsid w:val="00721A20"/>
    <w:rsid w:val="00721BE3"/>
    <w:rsid w:val="00721D30"/>
    <w:rsid w:val="00721EC5"/>
    <w:rsid w:val="00721FDF"/>
    <w:rsid w:val="007220C6"/>
    <w:rsid w:val="0072295E"/>
    <w:rsid w:val="00722B15"/>
    <w:rsid w:val="00723951"/>
    <w:rsid w:val="00723F3A"/>
    <w:rsid w:val="00724162"/>
    <w:rsid w:val="00724A27"/>
    <w:rsid w:val="00724F65"/>
    <w:rsid w:val="0072513A"/>
    <w:rsid w:val="00725370"/>
    <w:rsid w:val="007253B2"/>
    <w:rsid w:val="007253FF"/>
    <w:rsid w:val="0072668D"/>
    <w:rsid w:val="00726B79"/>
    <w:rsid w:val="00727038"/>
    <w:rsid w:val="00727328"/>
    <w:rsid w:val="00727370"/>
    <w:rsid w:val="00727551"/>
    <w:rsid w:val="0072769C"/>
    <w:rsid w:val="007306A2"/>
    <w:rsid w:val="00731376"/>
    <w:rsid w:val="00731784"/>
    <w:rsid w:val="007319AD"/>
    <w:rsid w:val="007320A9"/>
    <w:rsid w:val="007326A9"/>
    <w:rsid w:val="0073277B"/>
    <w:rsid w:val="00732A29"/>
    <w:rsid w:val="00732E51"/>
    <w:rsid w:val="00733957"/>
    <w:rsid w:val="007339F8"/>
    <w:rsid w:val="00733AA7"/>
    <w:rsid w:val="0073435D"/>
    <w:rsid w:val="00734536"/>
    <w:rsid w:val="007345B7"/>
    <w:rsid w:val="007347D0"/>
    <w:rsid w:val="00734A6F"/>
    <w:rsid w:val="00734BAD"/>
    <w:rsid w:val="00735329"/>
    <w:rsid w:val="00735D9E"/>
    <w:rsid w:val="00735DD9"/>
    <w:rsid w:val="00736707"/>
    <w:rsid w:val="007369AA"/>
    <w:rsid w:val="00736BAC"/>
    <w:rsid w:val="007374D3"/>
    <w:rsid w:val="0073758A"/>
    <w:rsid w:val="007377CB"/>
    <w:rsid w:val="00737B8B"/>
    <w:rsid w:val="00737FFD"/>
    <w:rsid w:val="00740252"/>
    <w:rsid w:val="0074051A"/>
    <w:rsid w:val="00740561"/>
    <w:rsid w:val="00740F87"/>
    <w:rsid w:val="0074109C"/>
    <w:rsid w:val="0074109D"/>
    <w:rsid w:val="0074157C"/>
    <w:rsid w:val="0074217A"/>
    <w:rsid w:val="00742335"/>
    <w:rsid w:val="00742445"/>
    <w:rsid w:val="007424F2"/>
    <w:rsid w:val="00742842"/>
    <w:rsid w:val="007428F6"/>
    <w:rsid w:val="007430C3"/>
    <w:rsid w:val="0074312B"/>
    <w:rsid w:val="0074319F"/>
    <w:rsid w:val="007431EB"/>
    <w:rsid w:val="00743714"/>
    <w:rsid w:val="00743F47"/>
    <w:rsid w:val="007443AD"/>
    <w:rsid w:val="007444CB"/>
    <w:rsid w:val="0074492D"/>
    <w:rsid w:val="00744A41"/>
    <w:rsid w:val="00744EA8"/>
    <w:rsid w:val="00744FD2"/>
    <w:rsid w:val="007450C0"/>
    <w:rsid w:val="00745A2F"/>
    <w:rsid w:val="00745B0F"/>
    <w:rsid w:val="00745E38"/>
    <w:rsid w:val="00745E99"/>
    <w:rsid w:val="0074620D"/>
    <w:rsid w:val="007466B9"/>
    <w:rsid w:val="00746970"/>
    <w:rsid w:val="00747171"/>
    <w:rsid w:val="00747215"/>
    <w:rsid w:val="00750270"/>
    <w:rsid w:val="00750740"/>
    <w:rsid w:val="00750E70"/>
    <w:rsid w:val="0075132B"/>
    <w:rsid w:val="00751808"/>
    <w:rsid w:val="00751B3E"/>
    <w:rsid w:val="007526AB"/>
    <w:rsid w:val="00753107"/>
    <w:rsid w:val="0075323B"/>
    <w:rsid w:val="00753376"/>
    <w:rsid w:val="00753909"/>
    <w:rsid w:val="00753FB9"/>
    <w:rsid w:val="007543B0"/>
    <w:rsid w:val="007547DC"/>
    <w:rsid w:val="007548E3"/>
    <w:rsid w:val="00754A5A"/>
    <w:rsid w:val="00756166"/>
    <w:rsid w:val="007561BC"/>
    <w:rsid w:val="007564F6"/>
    <w:rsid w:val="007565BF"/>
    <w:rsid w:val="007568A9"/>
    <w:rsid w:val="00756CB9"/>
    <w:rsid w:val="00756CCE"/>
    <w:rsid w:val="00756DEC"/>
    <w:rsid w:val="00757722"/>
    <w:rsid w:val="00757C7D"/>
    <w:rsid w:val="00760DAE"/>
    <w:rsid w:val="00761514"/>
    <w:rsid w:val="00761DB7"/>
    <w:rsid w:val="00761FBC"/>
    <w:rsid w:val="00761FE1"/>
    <w:rsid w:val="0076267A"/>
    <w:rsid w:val="007629F0"/>
    <w:rsid w:val="00762EBF"/>
    <w:rsid w:val="00763318"/>
    <w:rsid w:val="00763374"/>
    <w:rsid w:val="007637E3"/>
    <w:rsid w:val="00763C22"/>
    <w:rsid w:val="00763CE7"/>
    <w:rsid w:val="00763D0E"/>
    <w:rsid w:val="00763EE5"/>
    <w:rsid w:val="007643DE"/>
    <w:rsid w:val="00764923"/>
    <w:rsid w:val="00764B61"/>
    <w:rsid w:val="00764F16"/>
    <w:rsid w:val="007659E2"/>
    <w:rsid w:val="00765AE4"/>
    <w:rsid w:val="007663D6"/>
    <w:rsid w:val="0076673D"/>
    <w:rsid w:val="007669EA"/>
    <w:rsid w:val="00766A7F"/>
    <w:rsid w:val="00766B9F"/>
    <w:rsid w:val="00766DB2"/>
    <w:rsid w:val="007673C3"/>
    <w:rsid w:val="007674F8"/>
    <w:rsid w:val="00767696"/>
    <w:rsid w:val="00767793"/>
    <w:rsid w:val="007678ED"/>
    <w:rsid w:val="00770127"/>
    <w:rsid w:val="007701DE"/>
    <w:rsid w:val="00770533"/>
    <w:rsid w:val="00770553"/>
    <w:rsid w:val="00770AA7"/>
    <w:rsid w:val="00770ABA"/>
    <w:rsid w:val="00770DE1"/>
    <w:rsid w:val="00771830"/>
    <w:rsid w:val="00771EC1"/>
    <w:rsid w:val="00772177"/>
    <w:rsid w:val="00772532"/>
    <w:rsid w:val="0077265F"/>
    <w:rsid w:val="0077328B"/>
    <w:rsid w:val="007732C9"/>
    <w:rsid w:val="00773D20"/>
    <w:rsid w:val="0077510D"/>
    <w:rsid w:val="0077576E"/>
    <w:rsid w:val="00775C65"/>
    <w:rsid w:val="00775FA9"/>
    <w:rsid w:val="0077639A"/>
    <w:rsid w:val="00776C7C"/>
    <w:rsid w:val="00776D55"/>
    <w:rsid w:val="00777BEE"/>
    <w:rsid w:val="00777D9E"/>
    <w:rsid w:val="007800AF"/>
    <w:rsid w:val="00780360"/>
    <w:rsid w:val="00780B83"/>
    <w:rsid w:val="00780DB1"/>
    <w:rsid w:val="0078100C"/>
    <w:rsid w:val="0078157F"/>
    <w:rsid w:val="00781779"/>
    <w:rsid w:val="0078185E"/>
    <w:rsid w:val="007818BA"/>
    <w:rsid w:val="00781908"/>
    <w:rsid w:val="007819B3"/>
    <w:rsid w:val="00781E9C"/>
    <w:rsid w:val="007825D2"/>
    <w:rsid w:val="00782799"/>
    <w:rsid w:val="00782929"/>
    <w:rsid w:val="00782C96"/>
    <w:rsid w:val="00782D12"/>
    <w:rsid w:val="00782D44"/>
    <w:rsid w:val="007834FA"/>
    <w:rsid w:val="007837B0"/>
    <w:rsid w:val="00783827"/>
    <w:rsid w:val="00783A6D"/>
    <w:rsid w:val="00783BF7"/>
    <w:rsid w:val="0078438D"/>
    <w:rsid w:val="007844FC"/>
    <w:rsid w:val="007846C0"/>
    <w:rsid w:val="007847CB"/>
    <w:rsid w:val="00784B94"/>
    <w:rsid w:val="00785208"/>
    <w:rsid w:val="007858FD"/>
    <w:rsid w:val="00785CBD"/>
    <w:rsid w:val="00785F7E"/>
    <w:rsid w:val="007861D7"/>
    <w:rsid w:val="007863CB"/>
    <w:rsid w:val="00786F48"/>
    <w:rsid w:val="0078725D"/>
    <w:rsid w:val="00787687"/>
    <w:rsid w:val="0078772C"/>
    <w:rsid w:val="00787866"/>
    <w:rsid w:val="007878E4"/>
    <w:rsid w:val="00787953"/>
    <w:rsid w:val="007879E4"/>
    <w:rsid w:val="007905D2"/>
    <w:rsid w:val="0079082B"/>
    <w:rsid w:val="0079090E"/>
    <w:rsid w:val="00790984"/>
    <w:rsid w:val="00791054"/>
    <w:rsid w:val="007911B8"/>
    <w:rsid w:val="00791CDC"/>
    <w:rsid w:val="00792076"/>
    <w:rsid w:val="00792289"/>
    <w:rsid w:val="0079228D"/>
    <w:rsid w:val="00792368"/>
    <w:rsid w:val="00792628"/>
    <w:rsid w:val="0079267C"/>
    <w:rsid w:val="007932B7"/>
    <w:rsid w:val="0079345F"/>
    <w:rsid w:val="00793613"/>
    <w:rsid w:val="007937F1"/>
    <w:rsid w:val="00793B65"/>
    <w:rsid w:val="00793CC0"/>
    <w:rsid w:val="007940AC"/>
    <w:rsid w:val="00794177"/>
    <w:rsid w:val="0079420C"/>
    <w:rsid w:val="00794BB6"/>
    <w:rsid w:val="007955F3"/>
    <w:rsid w:val="007958ED"/>
    <w:rsid w:val="00795ACA"/>
    <w:rsid w:val="007960DD"/>
    <w:rsid w:val="007962EC"/>
    <w:rsid w:val="007963BD"/>
    <w:rsid w:val="007966E6"/>
    <w:rsid w:val="0079682A"/>
    <w:rsid w:val="00796983"/>
    <w:rsid w:val="007969F4"/>
    <w:rsid w:val="00796EA6"/>
    <w:rsid w:val="0079723B"/>
    <w:rsid w:val="00797A64"/>
    <w:rsid w:val="007A0361"/>
    <w:rsid w:val="007A0505"/>
    <w:rsid w:val="007A0A70"/>
    <w:rsid w:val="007A0A90"/>
    <w:rsid w:val="007A0AC3"/>
    <w:rsid w:val="007A1190"/>
    <w:rsid w:val="007A1924"/>
    <w:rsid w:val="007A2081"/>
    <w:rsid w:val="007A3268"/>
    <w:rsid w:val="007A384D"/>
    <w:rsid w:val="007A3BC1"/>
    <w:rsid w:val="007A3BC8"/>
    <w:rsid w:val="007A3C41"/>
    <w:rsid w:val="007A3DCA"/>
    <w:rsid w:val="007A400F"/>
    <w:rsid w:val="007A4155"/>
    <w:rsid w:val="007A4783"/>
    <w:rsid w:val="007A4882"/>
    <w:rsid w:val="007A5191"/>
    <w:rsid w:val="007A58F8"/>
    <w:rsid w:val="007A5F81"/>
    <w:rsid w:val="007A647F"/>
    <w:rsid w:val="007A64D4"/>
    <w:rsid w:val="007A64E0"/>
    <w:rsid w:val="007A6A15"/>
    <w:rsid w:val="007A6BDA"/>
    <w:rsid w:val="007A6CBB"/>
    <w:rsid w:val="007A6ED6"/>
    <w:rsid w:val="007A756D"/>
    <w:rsid w:val="007A791A"/>
    <w:rsid w:val="007A7AEE"/>
    <w:rsid w:val="007A7F33"/>
    <w:rsid w:val="007B03A0"/>
    <w:rsid w:val="007B0500"/>
    <w:rsid w:val="007B0BE5"/>
    <w:rsid w:val="007B111B"/>
    <w:rsid w:val="007B1441"/>
    <w:rsid w:val="007B17FD"/>
    <w:rsid w:val="007B1B4D"/>
    <w:rsid w:val="007B1C78"/>
    <w:rsid w:val="007B23D0"/>
    <w:rsid w:val="007B25E8"/>
    <w:rsid w:val="007B25FE"/>
    <w:rsid w:val="007B27E0"/>
    <w:rsid w:val="007B2E18"/>
    <w:rsid w:val="007B330D"/>
    <w:rsid w:val="007B374F"/>
    <w:rsid w:val="007B376C"/>
    <w:rsid w:val="007B3AE8"/>
    <w:rsid w:val="007B3B59"/>
    <w:rsid w:val="007B3BA8"/>
    <w:rsid w:val="007B3DE9"/>
    <w:rsid w:val="007B3FD3"/>
    <w:rsid w:val="007B4418"/>
    <w:rsid w:val="007B443A"/>
    <w:rsid w:val="007B4EA6"/>
    <w:rsid w:val="007B5168"/>
    <w:rsid w:val="007B5DAC"/>
    <w:rsid w:val="007B5F62"/>
    <w:rsid w:val="007B60E6"/>
    <w:rsid w:val="007B621D"/>
    <w:rsid w:val="007B625E"/>
    <w:rsid w:val="007B640C"/>
    <w:rsid w:val="007B654F"/>
    <w:rsid w:val="007B66B3"/>
    <w:rsid w:val="007B6FE8"/>
    <w:rsid w:val="007B7077"/>
    <w:rsid w:val="007B709A"/>
    <w:rsid w:val="007B718D"/>
    <w:rsid w:val="007B73FD"/>
    <w:rsid w:val="007C0664"/>
    <w:rsid w:val="007C0FD5"/>
    <w:rsid w:val="007C1042"/>
    <w:rsid w:val="007C1265"/>
    <w:rsid w:val="007C14B6"/>
    <w:rsid w:val="007C17D3"/>
    <w:rsid w:val="007C1B30"/>
    <w:rsid w:val="007C1B73"/>
    <w:rsid w:val="007C1EE8"/>
    <w:rsid w:val="007C20B1"/>
    <w:rsid w:val="007C2DB5"/>
    <w:rsid w:val="007C2E2A"/>
    <w:rsid w:val="007C3003"/>
    <w:rsid w:val="007C3244"/>
    <w:rsid w:val="007C385F"/>
    <w:rsid w:val="007C3F53"/>
    <w:rsid w:val="007C42DF"/>
    <w:rsid w:val="007C43A6"/>
    <w:rsid w:val="007C46E9"/>
    <w:rsid w:val="007C4924"/>
    <w:rsid w:val="007C4DB0"/>
    <w:rsid w:val="007C4E8C"/>
    <w:rsid w:val="007C511F"/>
    <w:rsid w:val="007C5201"/>
    <w:rsid w:val="007C574E"/>
    <w:rsid w:val="007C58A0"/>
    <w:rsid w:val="007C5923"/>
    <w:rsid w:val="007C59AB"/>
    <w:rsid w:val="007C59C5"/>
    <w:rsid w:val="007C5E22"/>
    <w:rsid w:val="007C5F20"/>
    <w:rsid w:val="007C61EB"/>
    <w:rsid w:val="007C64E9"/>
    <w:rsid w:val="007C65DE"/>
    <w:rsid w:val="007C6B60"/>
    <w:rsid w:val="007C6F85"/>
    <w:rsid w:val="007C703D"/>
    <w:rsid w:val="007C71DC"/>
    <w:rsid w:val="007C768A"/>
    <w:rsid w:val="007C7972"/>
    <w:rsid w:val="007C7B99"/>
    <w:rsid w:val="007C7C17"/>
    <w:rsid w:val="007D05AE"/>
    <w:rsid w:val="007D0CF8"/>
    <w:rsid w:val="007D0EB4"/>
    <w:rsid w:val="007D0F9A"/>
    <w:rsid w:val="007D16CC"/>
    <w:rsid w:val="007D2156"/>
    <w:rsid w:val="007D2368"/>
    <w:rsid w:val="007D2389"/>
    <w:rsid w:val="007D23B3"/>
    <w:rsid w:val="007D24CE"/>
    <w:rsid w:val="007D2E1E"/>
    <w:rsid w:val="007D357D"/>
    <w:rsid w:val="007D3734"/>
    <w:rsid w:val="007D39FB"/>
    <w:rsid w:val="007D3AA0"/>
    <w:rsid w:val="007D3B71"/>
    <w:rsid w:val="007D3FE2"/>
    <w:rsid w:val="007D4359"/>
    <w:rsid w:val="007D4EC2"/>
    <w:rsid w:val="007D564D"/>
    <w:rsid w:val="007D5690"/>
    <w:rsid w:val="007D57B7"/>
    <w:rsid w:val="007D5930"/>
    <w:rsid w:val="007D5CB6"/>
    <w:rsid w:val="007D5DAC"/>
    <w:rsid w:val="007D61D6"/>
    <w:rsid w:val="007D67EA"/>
    <w:rsid w:val="007D69FA"/>
    <w:rsid w:val="007D6BA9"/>
    <w:rsid w:val="007D75E9"/>
    <w:rsid w:val="007D7CC9"/>
    <w:rsid w:val="007E0451"/>
    <w:rsid w:val="007E0536"/>
    <w:rsid w:val="007E07E3"/>
    <w:rsid w:val="007E11D8"/>
    <w:rsid w:val="007E1600"/>
    <w:rsid w:val="007E1B38"/>
    <w:rsid w:val="007E1E93"/>
    <w:rsid w:val="007E1FBF"/>
    <w:rsid w:val="007E2817"/>
    <w:rsid w:val="007E2F09"/>
    <w:rsid w:val="007E38C7"/>
    <w:rsid w:val="007E3A75"/>
    <w:rsid w:val="007E3EA7"/>
    <w:rsid w:val="007E3F3E"/>
    <w:rsid w:val="007E4641"/>
    <w:rsid w:val="007E4778"/>
    <w:rsid w:val="007E5504"/>
    <w:rsid w:val="007E5A20"/>
    <w:rsid w:val="007E5D6C"/>
    <w:rsid w:val="007E5D72"/>
    <w:rsid w:val="007E60D8"/>
    <w:rsid w:val="007E6838"/>
    <w:rsid w:val="007E6F58"/>
    <w:rsid w:val="007E73F1"/>
    <w:rsid w:val="007E7B1E"/>
    <w:rsid w:val="007E7FA7"/>
    <w:rsid w:val="007F02B9"/>
    <w:rsid w:val="007F078E"/>
    <w:rsid w:val="007F07A1"/>
    <w:rsid w:val="007F0C0E"/>
    <w:rsid w:val="007F0CE1"/>
    <w:rsid w:val="007F1199"/>
    <w:rsid w:val="007F12A7"/>
    <w:rsid w:val="007F155D"/>
    <w:rsid w:val="007F1868"/>
    <w:rsid w:val="007F1ABA"/>
    <w:rsid w:val="007F23DB"/>
    <w:rsid w:val="007F282F"/>
    <w:rsid w:val="007F28B0"/>
    <w:rsid w:val="007F2A03"/>
    <w:rsid w:val="007F2EE2"/>
    <w:rsid w:val="007F32AD"/>
    <w:rsid w:val="007F3517"/>
    <w:rsid w:val="007F3616"/>
    <w:rsid w:val="007F4847"/>
    <w:rsid w:val="007F4CD9"/>
    <w:rsid w:val="007F4D92"/>
    <w:rsid w:val="007F4ED7"/>
    <w:rsid w:val="007F5371"/>
    <w:rsid w:val="007F59AB"/>
    <w:rsid w:val="007F5BD8"/>
    <w:rsid w:val="007F5C09"/>
    <w:rsid w:val="007F60F8"/>
    <w:rsid w:val="007F699F"/>
    <w:rsid w:val="007F6DE8"/>
    <w:rsid w:val="007F7601"/>
    <w:rsid w:val="007F77B2"/>
    <w:rsid w:val="007F7883"/>
    <w:rsid w:val="007F7D0C"/>
    <w:rsid w:val="008003A7"/>
    <w:rsid w:val="00800499"/>
    <w:rsid w:val="00800FE2"/>
    <w:rsid w:val="008014ED"/>
    <w:rsid w:val="0080201A"/>
    <w:rsid w:val="00802036"/>
    <w:rsid w:val="008022C9"/>
    <w:rsid w:val="00802570"/>
    <w:rsid w:val="008027E2"/>
    <w:rsid w:val="008029DB"/>
    <w:rsid w:val="00802CA3"/>
    <w:rsid w:val="00803992"/>
    <w:rsid w:val="008041B6"/>
    <w:rsid w:val="008041F5"/>
    <w:rsid w:val="00805346"/>
    <w:rsid w:val="008055E7"/>
    <w:rsid w:val="008055F3"/>
    <w:rsid w:val="00805808"/>
    <w:rsid w:val="00805C75"/>
    <w:rsid w:val="008063D8"/>
    <w:rsid w:val="00806FFB"/>
    <w:rsid w:val="0080713F"/>
    <w:rsid w:val="008071C3"/>
    <w:rsid w:val="008072D7"/>
    <w:rsid w:val="00807647"/>
    <w:rsid w:val="00810603"/>
    <w:rsid w:val="00810D15"/>
    <w:rsid w:val="00810F1B"/>
    <w:rsid w:val="00811145"/>
    <w:rsid w:val="00811263"/>
    <w:rsid w:val="008112E2"/>
    <w:rsid w:val="00811742"/>
    <w:rsid w:val="008123AF"/>
    <w:rsid w:val="008126B4"/>
    <w:rsid w:val="00812B83"/>
    <w:rsid w:val="00812C2D"/>
    <w:rsid w:val="00813487"/>
    <w:rsid w:val="00813759"/>
    <w:rsid w:val="00813813"/>
    <w:rsid w:val="00813C03"/>
    <w:rsid w:val="00813FBF"/>
    <w:rsid w:val="008141D2"/>
    <w:rsid w:val="00814283"/>
    <w:rsid w:val="00814503"/>
    <w:rsid w:val="00814891"/>
    <w:rsid w:val="00814A09"/>
    <w:rsid w:val="00814E85"/>
    <w:rsid w:val="00814F25"/>
    <w:rsid w:val="00814F96"/>
    <w:rsid w:val="0081569A"/>
    <w:rsid w:val="0081647F"/>
    <w:rsid w:val="008166F3"/>
    <w:rsid w:val="00816C67"/>
    <w:rsid w:val="00817C6C"/>
    <w:rsid w:val="00820209"/>
    <w:rsid w:val="008203C4"/>
    <w:rsid w:val="00820434"/>
    <w:rsid w:val="008206FC"/>
    <w:rsid w:val="00820B67"/>
    <w:rsid w:val="00820C71"/>
    <w:rsid w:val="00820F35"/>
    <w:rsid w:val="00820FEC"/>
    <w:rsid w:val="00821131"/>
    <w:rsid w:val="00821397"/>
    <w:rsid w:val="008214D8"/>
    <w:rsid w:val="008215DF"/>
    <w:rsid w:val="00821AE8"/>
    <w:rsid w:val="00821D5B"/>
    <w:rsid w:val="00821EEB"/>
    <w:rsid w:val="008229CF"/>
    <w:rsid w:val="00822FF3"/>
    <w:rsid w:val="00823046"/>
    <w:rsid w:val="008231CF"/>
    <w:rsid w:val="008231EA"/>
    <w:rsid w:val="00823443"/>
    <w:rsid w:val="0082393D"/>
    <w:rsid w:val="00823A7B"/>
    <w:rsid w:val="00823AFC"/>
    <w:rsid w:val="00823DE0"/>
    <w:rsid w:val="008245C4"/>
    <w:rsid w:val="008248E9"/>
    <w:rsid w:val="00824BFC"/>
    <w:rsid w:val="00824FAC"/>
    <w:rsid w:val="00825FA0"/>
    <w:rsid w:val="00826501"/>
    <w:rsid w:val="00826550"/>
    <w:rsid w:val="00826AC4"/>
    <w:rsid w:val="00826CA6"/>
    <w:rsid w:val="00827A85"/>
    <w:rsid w:val="00827EEB"/>
    <w:rsid w:val="00827F49"/>
    <w:rsid w:val="00830180"/>
    <w:rsid w:val="00830475"/>
    <w:rsid w:val="00830821"/>
    <w:rsid w:val="00830BC4"/>
    <w:rsid w:val="00830D92"/>
    <w:rsid w:val="008314F2"/>
    <w:rsid w:val="0083169F"/>
    <w:rsid w:val="00831DF7"/>
    <w:rsid w:val="00831ED5"/>
    <w:rsid w:val="00832177"/>
    <w:rsid w:val="00832353"/>
    <w:rsid w:val="00832B07"/>
    <w:rsid w:val="0083324D"/>
    <w:rsid w:val="00833AA0"/>
    <w:rsid w:val="00833AFA"/>
    <w:rsid w:val="00833F32"/>
    <w:rsid w:val="00834160"/>
    <w:rsid w:val="00834929"/>
    <w:rsid w:val="008353D9"/>
    <w:rsid w:val="00835595"/>
    <w:rsid w:val="0083582C"/>
    <w:rsid w:val="0083585E"/>
    <w:rsid w:val="0083606C"/>
    <w:rsid w:val="0083636A"/>
    <w:rsid w:val="0083688D"/>
    <w:rsid w:val="00836C3B"/>
    <w:rsid w:val="00837A8F"/>
    <w:rsid w:val="00837D20"/>
    <w:rsid w:val="00837D66"/>
    <w:rsid w:val="00840048"/>
    <w:rsid w:val="008401FA"/>
    <w:rsid w:val="00840FF9"/>
    <w:rsid w:val="0084143B"/>
    <w:rsid w:val="008414EB"/>
    <w:rsid w:val="00841733"/>
    <w:rsid w:val="008419DF"/>
    <w:rsid w:val="00842484"/>
    <w:rsid w:val="0084272C"/>
    <w:rsid w:val="008433D2"/>
    <w:rsid w:val="00843447"/>
    <w:rsid w:val="00843C0B"/>
    <w:rsid w:val="008440F5"/>
    <w:rsid w:val="00844354"/>
    <w:rsid w:val="00844434"/>
    <w:rsid w:val="0084487B"/>
    <w:rsid w:val="00844B46"/>
    <w:rsid w:val="00844BD4"/>
    <w:rsid w:val="00844CB4"/>
    <w:rsid w:val="00844D38"/>
    <w:rsid w:val="00844D85"/>
    <w:rsid w:val="00844DA6"/>
    <w:rsid w:val="00845282"/>
    <w:rsid w:val="0084563E"/>
    <w:rsid w:val="0084591F"/>
    <w:rsid w:val="00845B92"/>
    <w:rsid w:val="008460B0"/>
    <w:rsid w:val="00846164"/>
    <w:rsid w:val="008463E2"/>
    <w:rsid w:val="0084660B"/>
    <w:rsid w:val="008466C5"/>
    <w:rsid w:val="00846C55"/>
    <w:rsid w:val="00846DCC"/>
    <w:rsid w:val="008473CB"/>
    <w:rsid w:val="0084777B"/>
    <w:rsid w:val="00847A58"/>
    <w:rsid w:val="00847F30"/>
    <w:rsid w:val="00847F98"/>
    <w:rsid w:val="0085046A"/>
    <w:rsid w:val="00850993"/>
    <w:rsid w:val="008509D5"/>
    <w:rsid w:val="00850E71"/>
    <w:rsid w:val="008513E1"/>
    <w:rsid w:val="0085146E"/>
    <w:rsid w:val="00851B6E"/>
    <w:rsid w:val="00851F2A"/>
    <w:rsid w:val="008520AD"/>
    <w:rsid w:val="0085246F"/>
    <w:rsid w:val="008524BE"/>
    <w:rsid w:val="00852505"/>
    <w:rsid w:val="00852C9E"/>
    <w:rsid w:val="00853008"/>
    <w:rsid w:val="0085306F"/>
    <w:rsid w:val="008530E9"/>
    <w:rsid w:val="008531A4"/>
    <w:rsid w:val="00853243"/>
    <w:rsid w:val="008538FA"/>
    <w:rsid w:val="00853BC2"/>
    <w:rsid w:val="00853C7E"/>
    <w:rsid w:val="00854037"/>
    <w:rsid w:val="00854278"/>
    <w:rsid w:val="008549E5"/>
    <w:rsid w:val="00854E88"/>
    <w:rsid w:val="00854F07"/>
    <w:rsid w:val="00854F54"/>
    <w:rsid w:val="0085547C"/>
    <w:rsid w:val="00855B24"/>
    <w:rsid w:val="00855F7B"/>
    <w:rsid w:val="00856038"/>
    <w:rsid w:val="00856063"/>
    <w:rsid w:val="00856333"/>
    <w:rsid w:val="00856652"/>
    <w:rsid w:val="008566B2"/>
    <w:rsid w:val="00856CA2"/>
    <w:rsid w:val="00856D1A"/>
    <w:rsid w:val="00857172"/>
    <w:rsid w:val="00857585"/>
    <w:rsid w:val="008578FB"/>
    <w:rsid w:val="00860880"/>
    <w:rsid w:val="00860DE4"/>
    <w:rsid w:val="008613A2"/>
    <w:rsid w:val="0086147D"/>
    <w:rsid w:val="008619F0"/>
    <w:rsid w:val="0086208D"/>
    <w:rsid w:val="008622D4"/>
    <w:rsid w:val="0086236A"/>
    <w:rsid w:val="00862A93"/>
    <w:rsid w:val="00862B94"/>
    <w:rsid w:val="00863175"/>
    <w:rsid w:val="00863D4D"/>
    <w:rsid w:val="00863E2E"/>
    <w:rsid w:val="00863F3B"/>
    <w:rsid w:val="00864A80"/>
    <w:rsid w:val="00864AE4"/>
    <w:rsid w:val="0086569A"/>
    <w:rsid w:val="00865A85"/>
    <w:rsid w:val="00866A01"/>
    <w:rsid w:val="008671C0"/>
    <w:rsid w:val="008671F9"/>
    <w:rsid w:val="00867A36"/>
    <w:rsid w:val="00867A8E"/>
    <w:rsid w:val="00867C26"/>
    <w:rsid w:val="00867C3F"/>
    <w:rsid w:val="00870002"/>
    <w:rsid w:val="008700CE"/>
    <w:rsid w:val="0087020C"/>
    <w:rsid w:val="008702A8"/>
    <w:rsid w:val="0087035A"/>
    <w:rsid w:val="00870FD4"/>
    <w:rsid w:val="008719F9"/>
    <w:rsid w:val="00871C1E"/>
    <w:rsid w:val="00871D15"/>
    <w:rsid w:val="00871D17"/>
    <w:rsid w:val="00871E05"/>
    <w:rsid w:val="00872058"/>
    <w:rsid w:val="00872172"/>
    <w:rsid w:val="00872345"/>
    <w:rsid w:val="00872842"/>
    <w:rsid w:val="00872B3E"/>
    <w:rsid w:val="00872C75"/>
    <w:rsid w:val="00873456"/>
    <w:rsid w:val="0087347D"/>
    <w:rsid w:val="00873706"/>
    <w:rsid w:val="00873CA1"/>
    <w:rsid w:val="0087524E"/>
    <w:rsid w:val="0087556D"/>
    <w:rsid w:val="008756F2"/>
    <w:rsid w:val="00875B70"/>
    <w:rsid w:val="00875CDC"/>
    <w:rsid w:val="00875DDF"/>
    <w:rsid w:val="00876025"/>
    <w:rsid w:val="0087662F"/>
    <w:rsid w:val="00877372"/>
    <w:rsid w:val="00877660"/>
    <w:rsid w:val="0087773A"/>
    <w:rsid w:val="00877B0B"/>
    <w:rsid w:val="00880121"/>
    <w:rsid w:val="00880204"/>
    <w:rsid w:val="008806FA"/>
    <w:rsid w:val="0088185C"/>
    <w:rsid w:val="0088192E"/>
    <w:rsid w:val="0088208B"/>
    <w:rsid w:val="0088214A"/>
    <w:rsid w:val="0088253A"/>
    <w:rsid w:val="008825AB"/>
    <w:rsid w:val="008825CD"/>
    <w:rsid w:val="008826F1"/>
    <w:rsid w:val="00882CF6"/>
    <w:rsid w:val="00882DAD"/>
    <w:rsid w:val="00882E12"/>
    <w:rsid w:val="0088313D"/>
    <w:rsid w:val="008834A2"/>
    <w:rsid w:val="0088390A"/>
    <w:rsid w:val="00883F74"/>
    <w:rsid w:val="008843B9"/>
    <w:rsid w:val="008843F5"/>
    <w:rsid w:val="00884848"/>
    <w:rsid w:val="008848E6"/>
    <w:rsid w:val="00884D95"/>
    <w:rsid w:val="00884E32"/>
    <w:rsid w:val="00884E5B"/>
    <w:rsid w:val="00884F32"/>
    <w:rsid w:val="00885263"/>
    <w:rsid w:val="0088625F"/>
    <w:rsid w:val="00886878"/>
    <w:rsid w:val="008868A8"/>
    <w:rsid w:val="008869B1"/>
    <w:rsid w:val="00886C15"/>
    <w:rsid w:val="00886EAF"/>
    <w:rsid w:val="008873A0"/>
    <w:rsid w:val="00887CB5"/>
    <w:rsid w:val="008902F2"/>
    <w:rsid w:val="00890BEB"/>
    <w:rsid w:val="00890D93"/>
    <w:rsid w:val="00890F19"/>
    <w:rsid w:val="00890FA2"/>
    <w:rsid w:val="0089103C"/>
    <w:rsid w:val="008910D6"/>
    <w:rsid w:val="008916FE"/>
    <w:rsid w:val="008918F1"/>
    <w:rsid w:val="00891D35"/>
    <w:rsid w:val="0089228B"/>
    <w:rsid w:val="0089266A"/>
    <w:rsid w:val="00892C4B"/>
    <w:rsid w:val="00892C7F"/>
    <w:rsid w:val="00892CC1"/>
    <w:rsid w:val="00892D0E"/>
    <w:rsid w:val="00892DA5"/>
    <w:rsid w:val="00892DEE"/>
    <w:rsid w:val="00892ECB"/>
    <w:rsid w:val="00892FA4"/>
    <w:rsid w:val="00893665"/>
    <w:rsid w:val="00893AAE"/>
    <w:rsid w:val="00894009"/>
    <w:rsid w:val="00894822"/>
    <w:rsid w:val="008949B1"/>
    <w:rsid w:val="00894B16"/>
    <w:rsid w:val="00895396"/>
    <w:rsid w:val="008954DE"/>
    <w:rsid w:val="0089595C"/>
    <w:rsid w:val="00896995"/>
    <w:rsid w:val="00896DA2"/>
    <w:rsid w:val="00896DBE"/>
    <w:rsid w:val="00896E2B"/>
    <w:rsid w:val="00896F55"/>
    <w:rsid w:val="0089713E"/>
    <w:rsid w:val="008971A4"/>
    <w:rsid w:val="008972AA"/>
    <w:rsid w:val="008972FB"/>
    <w:rsid w:val="008A014D"/>
    <w:rsid w:val="008A07D1"/>
    <w:rsid w:val="008A08DA"/>
    <w:rsid w:val="008A0900"/>
    <w:rsid w:val="008A0CF0"/>
    <w:rsid w:val="008A10F3"/>
    <w:rsid w:val="008A1A2F"/>
    <w:rsid w:val="008A2270"/>
    <w:rsid w:val="008A27CD"/>
    <w:rsid w:val="008A28FA"/>
    <w:rsid w:val="008A2E81"/>
    <w:rsid w:val="008A3049"/>
    <w:rsid w:val="008A306A"/>
    <w:rsid w:val="008A306E"/>
    <w:rsid w:val="008A32AF"/>
    <w:rsid w:val="008A357D"/>
    <w:rsid w:val="008A3D52"/>
    <w:rsid w:val="008A3F15"/>
    <w:rsid w:val="008A4171"/>
    <w:rsid w:val="008A42E9"/>
    <w:rsid w:val="008A46D6"/>
    <w:rsid w:val="008A4887"/>
    <w:rsid w:val="008A4A49"/>
    <w:rsid w:val="008A4D60"/>
    <w:rsid w:val="008A53EE"/>
    <w:rsid w:val="008A5AA9"/>
    <w:rsid w:val="008A5C0F"/>
    <w:rsid w:val="008A6703"/>
    <w:rsid w:val="008A67B2"/>
    <w:rsid w:val="008A6CF5"/>
    <w:rsid w:val="008A6FE4"/>
    <w:rsid w:val="008A714C"/>
    <w:rsid w:val="008A7373"/>
    <w:rsid w:val="008A7696"/>
    <w:rsid w:val="008A786A"/>
    <w:rsid w:val="008A7AA1"/>
    <w:rsid w:val="008B00BA"/>
    <w:rsid w:val="008B012A"/>
    <w:rsid w:val="008B1036"/>
    <w:rsid w:val="008B10E4"/>
    <w:rsid w:val="008B1596"/>
    <w:rsid w:val="008B16F0"/>
    <w:rsid w:val="008B2701"/>
    <w:rsid w:val="008B31A6"/>
    <w:rsid w:val="008B34B7"/>
    <w:rsid w:val="008B3ACF"/>
    <w:rsid w:val="008B4062"/>
    <w:rsid w:val="008B43BF"/>
    <w:rsid w:val="008B462D"/>
    <w:rsid w:val="008B4FCA"/>
    <w:rsid w:val="008B506A"/>
    <w:rsid w:val="008B5343"/>
    <w:rsid w:val="008B56D7"/>
    <w:rsid w:val="008B5977"/>
    <w:rsid w:val="008B5BE3"/>
    <w:rsid w:val="008B6206"/>
    <w:rsid w:val="008B6218"/>
    <w:rsid w:val="008B6287"/>
    <w:rsid w:val="008B63EC"/>
    <w:rsid w:val="008B69B4"/>
    <w:rsid w:val="008B6D22"/>
    <w:rsid w:val="008B6E2F"/>
    <w:rsid w:val="008B6E44"/>
    <w:rsid w:val="008B7A43"/>
    <w:rsid w:val="008B7A9F"/>
    <w:rsid w:val="008B7EE4"/>
    <w:rsid w:val="008B7FFD"/>
    <w:rsid w:val="008C03AB"/>
    <w:rsid w:val="008C03FD"/>
    <w:rsid w:val="008C06A5"/>
    <w:rsid w:val="008C0807"/>
    <w:rsid w:val="008C09C4"/>
    <w:rsid w:val="008C0B7B"/>
    <w:rsid w:val="008C0D83"/>
    <w:rsid w:val="008C0EC1"/>
    <w:rsid w:val="008C144D"/>
    <w:rsid w:val="008C1492"/>
    <w:rsid w:val="008C1598"/>
    <w:rsid w:val="008C165B"/>
    <w:rsid w:val="008C1C76"/>
    <w:rsid w:val="008C1F44"/>
    <w:rsid w:val="008C20D9"/>
    <w:rsid w:val="008C219C"/>
    <w:rsid w:val="008C22F1"/>
    <w:rsid w:val="008C2446"/>
    <w:rsid w:val="008C256E"/>
    <w:rsid w:val="008C2593"/>
    <w:rsid w:val="008C25CD"/>
    <w:rsid w:val="008C2875"/>
    <w:rsid w:val="008C2FCC"/>
    <w:rsid w:val="008C33AF"/>
    <w:rsid w:val="008C340A"/>
    <w:rsid w:val="008C3A4A"/>
    <w:rsid w:val="008C3AAF"/>
    <w:rsid w:val="008C4014"/>
    <w:rsid w:val="008C4392"/>
    <w:rsid w:val="008C4496"/>
    <w:rsid w:val="008C476A"/>
    <w:rsid w:val="008C4857"/>
    <w:rsid w:val="008C4A04"/>
    <w:rsid w:val="008C507B"/>
    <w:rsid w:val="008C54F7"/>
    <w:rsid w:val="008C573F"/>
    <w:rsid w:val="008C5C68"/>
    <w:rsid w:val="008C5CDB"/>
    <w:rsid w:val="008C5F0F"/>
    <w:rsid w:val="008C646F"/>
    <w:rsid w:val="008C65B6"/>
    <w:rsid w:val="008C65BD"/>
    <w:rsid w:val="008C6B6E"/>
    <w:rsid w:val="008C6BF7"/>
    <w:rsid w:val="008C6C1C"/>
    <w:rsid w:val="008C73E8"/>
    <w:rsid w:val="008D016B"/>
    <w:rsid w:val="008D0258"/>
    <w:rsid w:val="008D08DC"/>
    <w:rsid w:val="008D0EE3"/>
    <w:rsid w:val="008D12C1"/>
    <w:rsid w:val="008D12D7"/>
    <w:rsid w:val="008D1D6A"/>
    <w:rsid w:val="008D2AC2"/>
    <w:rsid w:val="008D3A01"/>
    <w:rsid w:val="008D3C8E"/>
    <w:rsid w:val="008D41F1"/>
    <w:rsid w:val="008D429B"/>
    <w:rsid w:val="008D4349"/>
    <w:rsid w:val="008D4374"/>
    <w:rsid w:val="008D45B1"/>
    <w:rsid w:val="008D4689"/>
    <w:rsid w:val="008D48FF"/>
    <w:rsid w:val="008D4D22"/>
    <w:rsid w:val="008D50EA"/>
    <w:rsid w:val="008D53A4"/>
    <w:rsid w:val="008D57C1"/>
    <w:rsid w:val="008D61A7"/>
    <w:rsid w:val="008D61F2"/>
    <w:rsid w:val="008D62A5"/>
    <w:rsid w:val="008D64F1"/>
    <w:rsid w:val="008D6812"/>
    <w:rsid w:val="008D7108"/>
    <w:rsid w:val="008D76CA"/>
    <w:rsid w:val="008D7EA0"/>
    <w:rsid w:val="008E0007"/>
    <w:rsid w:val="008E0179"/>
    <w:rsid w:val="008E0374"/>
    <w:rsid w:val="008E05BC"/>
    <w:rsid w:val="008E130E"/>
    <w:rsid w:val="008E1426"/>
    <w:rsid w:val="008E145C"/>
    <w:rsid w:val="008E159B"/>
    <w:rsid w:val="008E16B0"/>
    <w:rsid w:val="008E1AA7"/>
    <w:rsid w:val="008E1D5A"/>
    <w:rsid w:val="008E2D53"/>
    <w:rsid w:val="008E3830"/>
    <w:rsid w:val="008E3B64"/>
    <w:rsid w:val="008E3BA4"/>
    <w:rsid w:val="008E3E4B"/>
    <w:rsid w:val="008E3FE3"/>
    <w:rsid w:val="008E4151"/>
    <w:rsid w:val="008E43A6"/>
    <w:rsid w:val="008E45E7"/>
    <w:rsid w:val="008E46A0"/>
    <w:rsid w:val="008E4710"/>
    <w:rsid w:val="008E4796"/>
    <w:rsid w:val="008E47CF"/>
    <w:rsid w:val="008E4923"/>
    <w:rsid w:val="008E4EA0"/>
    <w:rsid w:val="008E4EF9"/>
    <w:rsid w:val="008E504D"/>
    <w:rsid w:val="008E557B"/>
    <w:rsid w:val="008E5A0C"/>
    <w:rsid w:val="008E5C7E"/>
    <w:rsid w:val="008E5E48"/>
    <w:rsid w:val="008E6286"/>
    <w:rsid w:val="008E62F5"/>
    <w:rsid w:val="008E632E"/>
    <w:rsid w:val="008E6371"/>
    <w:rsid w:val="008E692A"/>
    <w:rsid w:val="008E693F"/>
    <w:rsid w:val="008E6DFC"/>
    <w:rsid w:val="008E6F6F"/>
    <w:rsid w:val="008E71F0"/>
    <w:rsid w:val="008E720C"/>
    <w:rsid w:val="008E75A9"/>
    <w:rsid w:val="008E7710"/>
    <w:rsid w:val="008E7817"/>
    <w:rsid w:val="008E7A26"/>
    <w:rsid w:val="008F082F"/>
    <w:rsid w:val="008F0A1E"/>
    <w:rsid w:val="008F0FD3"/>
    <w:rsid w:val="008F104E"/>
    <w:rsid w:val="008F10B6"/>
    <w:rsid w:val="008F13D6"/>
    <w:rsid w:val="008F1B79"/>
    <w:rsid w:val="008F1E9C"/>
    <w:rsid w:val="008F2795"/>
    <w:rsid w:val="008F2DE7"/>
    <w:rsid w:val="008F2F6F"/>
    <w:rsid w:val="008F34E0"/>
    <w:rsid w:val="008F356B"/>
    <w:rsid w:val="008F35D0"/>
    <w:rsid w:val="008F3AB7"/>
    <w:rsid w:val="008F3B60"/>
    <w:rsid w:val="008F3D19"/>
    <w:rsid w:val="008F3D6C"/>
    <w:rsid w:val="008F4846"/>
    <w:rsid w:val="008F485A"/>
    <w:rsid w:val="008F4E06"/>
    <w:rsid w:val="008F502E"/>
    <w:rsid w:val="008F55CC"/>
    <w:rsid w:val="008F58B6"/>
    <w:rsid w:val="008F660E"/>
    <w:rsid w:val="008F6791"/>
    <w:rsid w:val="008F6978"/>
    <w:rsid w:val="008F6980"/>
    <w:rsid w:val="008F6B17"/>
    <w:rsid w:val="008F7D12"/>
    <w:rsid w:val="008F7DB1"/>
    <w:rsid w:val="0090028B"/>
    <w:rsid w:val="009002E7"/>
    <w:rsid w:val="009003D0"/>
    <w:rsid w:val="00900461"/>
    <w:rsid w:val="00900D4D"/>
    <w:rsid w:val="009010DF"/>
    <w:rsid w:val="00901146"/>
    <w:rsid w:val="00901176"/>
    <w:rsid w:val="009012FC"/>
    <w:rsid w:val="0090131A"/>
    <w:rsid w:val="009015DD"/>
    <w:rsid w:val="00901D76"/>
    <w:rsid w:val="00902AD0"/>
    <w:rsid w:val="00902D59"/>
    <w:rsid w:val="009030EF"/>
    <w:rsid w:val="009032BC"/>
    <w:rsid w:val="00903483"/>
    <w:rsid w:val="0090380F"/>
    <w:rsid w:val="00903F34"/>
    <w:rsid w:val="00904255"/>
    <w:rsid w:val="009042F9"/>
    <w:rsid w:val="00904623"/>
    <w:rsid w:val="009046F5"/>
    <w:rsid w:val="00904A24"/>
    <w:rsid w:val="00905449"/>
    <w:rsid w:val="009055C4"/>
    <w:rsid w:val="009056DA"/>
    <w:rsid w:val="009059F9"/>
    <w:rsid w:val="00905C0A"/>
    <w:rsid w:val="00906028"/>
    <w:rsid w:val="009063D4"/>
    <w:rsid w:val="009064B5"/>
    <w:rsid w:val="00906B32"/>
    <w:rsid w:val="00906D6E"/>
    <w:rsid w:val="00906DFF"/>
    <w:rsid w:val="00906F6E"/>
    <w:rsid w:val="00907110"/>
    <w:rsid w:val="00907827"/>
    <w:rsid w:val="0091128E"/>
    <w:rsid w:val="00911342"/>
    <w:rsid w:val="00911D3A"/>
    <w:rsid w:val="009122F8"/>
    <w:rsid w:val="009124CB"/>
    <w:rsid w:val="00912568"/>
    <w:rsid w:val="00912915"/>
    <w:rsid w:val="00912B32"/>
    <w:rsid w:val="00912CAE"/>
    <w:rsid w:val="00912F1A"/>
    <w:rsid w:val="009132BB"/>
    <w:rsid w:val="00913870"/>
    <w:rsid w:val="00913A0B"/>
    <w:rsid w:val="0091416C"/>
    <w:rsid w:val="009142F6"/>
    <w:rsid w:val="00914F48"/>
    <w:rsid w:val="009151EE"/>
    <w:rsid w:val="009152CF"/>
    <w:rsid w:val="009154B5"/>
    <w:rsid w:val="00915520"/>
    <w:rsid w:val="009155DC"/>
    <w:rsid w:val="009155F7"/>
    <w:rsid w:val="00915EA2"/>
    <w:rsid w:val="00915F3D"/>
    <w:rsid w:val="00917281"/>
    <w:rsid w:val="0091784D"/>
    <w:rsid w:val="009178DF"/>
    <w:rsid w:val="00917AA0"/>
    <w:rsid w:val="00917BCC"/>
    <w:rsid w:val="009201BD"/>
    <w:rsid w:val="0092075A"/>
    <w:rsid w:val="00920AE6"/>
    <w:rsid w:val="00920B55"/>
    <w:rsid w:val="00921131"/>
    <w:rsid w:val="009213FB"/>
    <w:rsid w:val="00922615"/>
    <w:rsid w:val="0092280A"/>
    <w:rsid w:val="00922B82"/>
    <w:rsid w:val="00922D8A"/>
    <w:rsid w:val="00922FDC"/>
    <w:rsid w:val="0092363C"/>
    <w:rsid w:val="009238F7"/>
    <w:rsid w:val="00923C63"/>
    <w:rsid w:val="00923E1F"/>
    <w:rsid w:val="00924605"/>
    <w:rsid w:val="009247F5"/>
    <w:rsid w:val="00924966"/>
    <w:rsid w:val="00924F81"/>
    <w:rsid w:val="0092505E"/>
    <w:rsid w:val="009252F4"/>
    <w:rsid w:val="00925717"/>
    <w:rsid w:val="00925875"/>
    <w:rsid w:val="009258B0"/>
    <w:rsid w:val="009263C1"/>
    <w:rsid w:val="00926AB2"/>
    <w:rsid w:val="00926D67"/>
    <w:rsid w:val="00926DD4"/>
    <w:rsid w:val="00926F85"/>
    <w:rsid w:val="00927471"/>
    <w:rsid w:val="00927593"/>
    <w:rsid w:val="00927A95"/>
    <w:rsid w:val="00927C17"/>
    <w:rsid w:val="00927C43"/>
    <w:rsid w:val="00927C5C"/>
    <w:rsid w:val="00927CA6"/>
    <w:rsid w:val="00927CEF"/>
    <w:rsid w:val="00927DF7"/>
    <w:rsid w:val="0093151B"/>
    <w:rsid w:val="00931648"/>
    <w:rsid w:val="009316E9"/>
    <w:rsid w:val="00931854"/>
    <w:rsid w:val="00931B5C"/>
    <w:rsid w:val="00931CE0"/>
    <w:rsid w:val="0093226B"/>
    <w:rsid w:val="009324E2"/>
    <w:rsid w:val="0093262B"/>
    <w:rsid w:val="00932B80"/>
    <w:rsid w:val="00932CFD"/>
    <w:rsid w:val="00933589"/>
    <w:rsid w:val="0093394F"/>
    <w:rsid w:val="00933FF6"/>
    <w:rsid w:val="0093409F"/>
    <w:rsid w:val="00934336"/>
    <w:rsid w:val="009343E5"/>
    <w:rsid w:val="009348FE"/>
    <w:rsid w:val="00934AA9"/>
    <w:rsid w:val="00935085"/>
    <w:rsid w:val="0093523F"/>
    <w:rsid w:val="00935334"/>
    <w:rsid w:val="009354B7"/>
    <w:rsid w:val="009356BA"/>
    <w:rsid w:val="00935723"/>
    <w:rsid w:val="00935864"/>
    <w:rsid w:val="00936715"/>
    <w:rsid w:val="00936D0E"/>
    <w:rsid w:val="00937264"/>
    <w:rsid w:val="009373D3"/>
    <w:rsid w:val="009376F6"/>
    <w:rsid w:val="00940237"/>
    <w:rsid w:val="0094075F"/>
    <w:rsid w:val="009407FE"/>
    <w:rsid w:val="009408C8"/>
    <w:rsid w:val="00940D71"/>
    <w:rsid w:val="009410B7"/>
    <w:rsid w:val="009413D6"/>
    <w:rsid w:val="00941710"/>
    <w:rsid w:val="00941901"/>
    <w:rsid w:val="00941A2E"/>
    <w:rsid w:val="00941E3E"/>
    <w:rsid w:val="00942066"/>
    <w:rsid w:val="00942436"/>
    <w:rsid w:val="00942944"/>
    <w:rsid w:val="00942DB6"/>
    <w:rsid w:val="00942F78"/>
    <w:rsid w:val="009430C3"/>
    <w:rsid w:val="00943263"/>
    <w:rsid w:val="00943358"/>
    <w:rsid w:val="0094344C"/>
    <w:rsid w:val="00943D7E"/>
    <w:rsid w:val="00943EA1"/>
    <w:rsid w:val="00944217"/>
    <w:rsid w:val="00945827"/>
    <w:rsid w:val="00945B1A"/>
    <w:rsid w:val="00945F98"/>
    <w:rsid w:val="00946A2C"/>
    <w:rsid w:val="00946F1E"/>
    <w:rsid w:val="00947716"/>
    <w:rsid w:val="009478F2"/>
    <w:rsid w:val="009479D1"/>
    <w:rsid w:val="00947BFD"/>
    <w:rsid w:val="00947CCF"/>
    <w:rsid w:val="00947D7E"/>
    <w:rsid w:val="00950019"/>
    <w:rsid w:val="009507C1"/>
    <w:rsid w:val="00950F35"/>
    <w:rsid w:val="0095154F"/>
    <w:rsid w:val="00951563"/>
    <w:rsid w:val="00951CD9"/>
    <w:rsid w:val="00951FA4"/>
    <w:rsid w:val="009522EE"/>
    <w:rsid w:val="00952623"/>
    <w:rsid w:val="00952AC8"/>
    <w:rsid w:val="00952B49"/>
    <w:rsid w:val="00952B8A"/>
    <w:rsid w:val="00952CA0"/>
    <w:rsid w:val="00952E0C"/>
    <w:rsid w:val="00952FFB"/>
    <w:rsid w:val="009535DE"/>
    <w:rsid w:val="0095361B"/>
    <w:rsid w:val="00953A5A"/>
    <w:rsid w:val="00953D70"/>
    <w:rsid w:val="00954726"/>
    <w:rsid w:val="00954740"/>
    <w:rsid w:val="009548F4"/>
    <w:rsid w:val="00954A61"/>
    <w:rsid w:val="00954B36"/>
    <w:rsid w:val="00954DDD"/>
    <w:rsid w:val="00954FE0"/>
    <w:rsid w:val="00955B2E"/>
    <w:rsid w:val="00956110"/>
    <w:rsid w:val="00956F14"/>
    <w:rsid w:val="0095738D"/>
    <w:rsid w:val="00957603"/>
    <w:rsid w:val="009576F3"/>
    <w:rsid w:val="009577E3"/>
    <w:rsid w:val="009579A2"/>
    <w:rsid w:val="00957A1D"/>
    <w:rsid w:val="00957BC0"/>
    <w:rsid w:val="009600F7"/>
    <w:rsid w:val="00960281"/>
    <w:rsid w:val="00960369"/>
    <w:rsid w:val="0096068A"/>
    <w:rsid w:val="009607A2"/>
    <w:rsid w:val="009610A9"/>
    <w:rsid w:val="00961671"/>
    <w:rsid w:val="0096176B"/>
    <w:rsid w:val="00961AC1"/>
    <w:rsid w:val="009625A6"/>
    <w:rsid w:val="0096276A"/>
    <w:rsid w:val="00962BC9"/>
    <w:rsid w:val="0096305F"/>
    <w:rsid w:val="0096385F"/>
    <w:rsid w:val="00963CF9"/>
    <w:rsid w:val="00963F8F"/>
    <w:rsid w:val="00964013"/>
    <w:rsid w:val="00964263"/>
    <w:rsid w:val="009643FB"/>
    <w:rsid w:val="0096487B"/>
    <w:rsid w:val="00964A07"/>
    <w:rsid w:val="00964F58"/>
    <w:rsid w:val="00965462"/>
    <w:rsid w:val="00965885"/>
    <w:rsid w:val="00965CD1"/>
    <w:rsid w:val="00966934"/>
    <w:rsid w:val="00966C39"/>
    <w:rsid w:val="00967140"/>
    <w:rsid w:val="0096773E"/>
    <w:rsid w:val="0097029C"/>
    <w:rsid w:val="00970460"/>
    <w:rsid w:val="009705CC"/>
    <w:rsid w:val="009705F4"/>
    <w:rsid w:val="00970874"/>
    <w:rsid w:val="00970B08"/>
    <w:rsid w:val="00970D59"/>
    <w:rsid w:val="00970E8E"/>
    <w:rsid w:val="009711FF"/>
    <w:rsid w:val="00971B48"/>
    <w:rsid w:val="00972583"/>
    <w:rsid w:val="00972963"/>
    <w:rsid w:val="00972ECE"/>
    <w:rsid w:val="00972ED6"/>
    <w:rsid w:val="0097326D"/>
    <w:rsid w:val="009734B3"/>
    <w:rsid w:val="00973500"/>
    <w:rsid w:val="009736FE"/>
    <w:rsid w:val="00973AC4"/>
    <w:rsid w:val="00973AE3"/>
    <w:rsid w:val="00973E29"/>
    <w:rsid w:val="0097488A"/>
    <w:rsid w:val="009757D1"/>
    <w:rsid w:val="00975968"/>
    <w:rsid w:val="00975C80"/>
    <w:rsid w:val="00975EB9"/>
    <w:rsid w:val="00975F0E"/>
    <w:rsid w:val="009761B7"/>
    <w:rsid w:val="00976959"/>
    <w:rsid w:val="00976A76"/>
    <w:rsid w:val="00976AB7"/>
    <w:rsid w:val="00976ABE"/>
    <w:rsid w:val="009777B0"/>
    <w:rsid w:val="00977C77"/>
    <w:rsid w:val="00977DC5"/>
    <w:rsid w:val="00980381"/>
    <w:rsid w:val="00980754"/>
    <w:rsid w:val="009808FC"/>
    <w:rsid w:val="00980D7C"/>
    <w:rsid w:val="00980F74"/>
    <w:rsid w:val="00980FAC"/>
    <w:rsid w:val="00981035"/>
    <w:rsid w:val="0098133A"/>
    <w:rsid w:val="00981443"/>
    <w:rsid w:val="00981535"/>
    <w:rsid w:val="00981BB0"/>
    <w:rsid w:val="009822FE"/>
    <w:rsid w:val="009825C8"/>
    <w:rsid w:val="00982A38"/>
    <w:rsid w:val="00982B12"/>
    <w:rsid w:val="009832B9"/>
    <w:rsid w:val="009832E0"/>
    <w:rsid w:val="00983531"/>
    <w:rsid w:val="00983A38"/>
    <w:rsid w:val="0098409F"/>
    <w:rsid w:val="009840AE"/>
    <w:rsid w:val="0098437C"/>
    <w:rsid w:val="00984616"/>
    <w:rsid w:val="00984A55"/>
    <w:rsid w:val="00984BF1"/>
    <w:rsid w:val="00984DC5"/>
    <w:rsid w:val="00984E9F"/>
    <w:rsid w:val="0098527B"/>
    <w:rsid w:val="00985473"/>
    <w:rsid w:val="00985537"/>
    <w:rsid w:val="00985C01"/>
    <w:rsid w:val="00986130"/>
    <w:rsid w:val="00986438"/>
    <w:rsid w:val="00986885"/>
    <w:rsid w:val="00986B6C"/>
    <w:rsid w:val="00986FF7"/>
    <w:rsid w:val="00987663"/>
    <w:rsid w:val="00987957"/>
    <w:rsid w:val="00987A81"/>
    <w:rsid w:val="00987B25"/>
    <w:rsid w:val="00987C5E"/>
    <w:rsid w:val="00987CB5"/>
    <w:rsid w:val="009903BA"/>
    <w:rsid w:val="009903D4"/>
    <w:rsid w:val="00990ADD"/>
    <w:rsid w:val="009911B1"/>
    <w:rsid w:val="00991698"/>
    <w:rsid w:val="009917DA"/>
    <w:rsid w:val="009917E7"/>
    <w:rsid w:val="00991AE2"/>
    <w:rsid w:val="00991C17"/>
    <w:rsid w:val="00991C34"/>
    <w:rsid w:val="00991E73"/>
    <w:rsid w:val="00991EC6"/>
    <w:rsid w:val="00991F66"/>
    <w:rsid w:val="0099274D"/>
    <w:rsid w:val="00992D1E"/>
    <w:rsid w:val="00992D66"/>
    <w:rsid w:val="00993405"/>
    <w:rsid w:val="009934CE"/>
    <w:rsid w:val="0099370D"/>
    <w:rsid w:val="00993E88"/>
    <w:rsid w:val="009946A1"/>
    <w:rsid w:val="009947D7"/>
    <w:rsid w:val="00994819"/>
    <w:rsid w:val="00994A54"/>
    <w:rsid w:val="00994B3F"/>
    <w:rsid w:val="00994C7B"/>
    <w:rsid w:val="00994D1A"/>
    <w:rsid w:val="00994EEA"/>
    <w:rsid w:val="0099509C"/>
    <w:rsid w:val="00995D8E"/>
    <w:rsid w:val="0099610E"/>
    <w:rsid w:val="009965D6"/>
    <w:rsid w:val="009967D0"/>
    <w:rsid w:val="0099697F"/>
    <w:rsid w:val="009969E4"/>
    <w:rsid w:val="009969FD"/>
    <w:rsid w:val="0099743F"/>
    <w:rsid w:val="00997B7A"/>
    <w:rsid w:val="00997EB2"/>
    <w:rsid w:val="009A036C"/>
    <w:rsid w:val="009A054C"/>
    <w:rsid w:val="009A06F5"/>
    <w:rsid w:val="009A0788"/>
    <w:rsid w:val="009A0E92"/>
    <w:rsid w:val="009A0EF5"/>
    <w:rsid w:val="009A0FF3"/>
    <w:rsid w:val="009A12D9"/>
    <w:rsid w:val="009A1417"/>
    <w:rsid w:val="009A169D"/>
    <w:rsid w:val="009A17EC"/>
    <w:rsid w:val="009A19D4"/>
    <w:rsid w:val="009A1A4A"/>
    <w:rsid w:val="009A231F"/>
    <w:rsid w:val="009A236A"/>
    <w:rsid w:val="009A25D3"/>
    <w:rsid w:val="009A282B"/>
    <w:rsid w:val="009A3345"/>
    <w:rsid w:val="009A3D83"/>
    <w:rsid w:val="009A3F02"/>
    <w:rsid w:val="009A459D"/>
    <w:rsid w:val="009A4B99"/>
    <w:rsid w:val="009A555A"/>
    <w:rsid w:val="009A5827"/>
    <w:rsid w:val="009A63AE"/>
    <w:rsid w:val="009A667A"/>
    <w:rsid w:val="009A6B28"/>
    <w:rsid w:val="009A6DB2"/>
    <w:rsid w:val="009A759F"/>
    <w:rsid w:val="009A7604"/>
    <w:rsid w:val="009A7743"/>
    <w:rsid w:val="009A79BB"/>
    <w:rsid w:val="009A7C0F"/>
    <w:rsid w:val="009A7FD0"/>
    <w:rsid w:val="009B01D4"/>
    <w:rsid w:val="009B03DF"/>
    <w:rsid w:val="009B0675"/>
    <w:rsid w:val="009B069F"/>
    <w:rsid w:val="009B183F"/>
    <w:rsid w:val="009B1B2E"/>
    <w:rsid w:val="009B1E3A"/>
    <w:rsid w:val="009B1EAB"/>
    <w:rsid w:val="009B208B"/>
    <w:rsid w:val="009B2232"/>
    <w:rsid w:val="009B2307"/>
    <w:rsid w:val="009B2505"/>
    <w:rsid w:val="009B2A43"/>
    <w:rsid w:val="009B2D84"/>
    <w:rsid w:val="009B3BD3"/>
    <w:rsid w:val="009B3E2E"/>
    <w:rsid w:val="009B3FBB"/>
    <w:rsid w:val="009B4B4A"/>
    <w:rsid w:val="009B5BAE"/>
    <w:rsid w:val="009B636F"/>
    <w:rsid w:val="009B63FB"/>
    <w:rsid w:val="009B68E2"/>
    <w:rsid w:val="009B6AF0"/>
    <w:rsid w:val="009B6CE4"/>
    <w:rsid w:val="009B75F8"/>
    <w:rsid w:val="009B7EE8"/>
    <w:rsid w:val="009C0519"/>
    <w:rsid w:val="009C0579"/>
    <w:rsid w:val="009C09F3"/>
    <w:rsid w:val="009C0CD2"/>
    <w:rsid w:val="009C0E43"/>
    <w:rsid w:val="009C1097"/>
    <w:rsid w:val="009C10E9"/>
    <w:rsid w:val="009C128C"/>
    <w:rsid w:val="009C143F"/>
    <w:rsid w:val="009C1604"/>
    <w:rsid w:val="009C1893"/>
    <w:rsid w:val="009C1E96"/>
    <w:rsid w:val="009C20A8"/>
    <w:rsid w:val="009C24C9"/>
    <w:rsid w:val="009C256E"/>
    <w:rsid w:val="009C292D"/>
    <w:rsid w:val="009C2E0C"/>
    <w:rsid w:val="009C3726"/>
    <w:rsid w:val="009C3903"/>
    <w:rsid w:val="009C4094"/>
    <w:rsid w:val="009C4770"/>
    <w:rsid w:val="009C4DE6"/>
    <w:rsid w:val="009C4E71"/>
    <w:rsid w:val="009C4F80"/>
    <w:rsid w:val="009C50F1"/>
    <w:rsid w:val="009C5398"/>
    <w:rsid w:val="009C55DE"/>
    <w:rsid w:val="009C5A51"/>
    <w:rsid w:val="009C5EAE"/>
    <w:rsid w:val="009C5F0C"/>
    <w:rsid w:val="009C67C0"/>
    <w:rsid w:val="009C6AE5"/>
    <w:rsid w:val="009C6C4B"/>
    <w:rsid w:val="009C788D"/>
    <w:rsid w:val="009C7D32"/>
    <w:rsid w:val="009D0B9E"/>
    <w:rsid w:val="009D0BD7"/>
    <w:rsid w:val="009D0C18"/>
    <w:rsid w:val="009D1035"/>
    <w:rsid w:val="009D1059"/>
    <w:rsid w:val="009D13D0"/>
    <w:rsid w:val="009D1B09"/>
    <w:rsid w:val="009D1B4C"/>
    <w:rsid w:val="009D2068"/>
    <w:rsid w:val="009D25DB"/>
    <w:rsid w:val="009D2836"/>
    <w:rsid w:val="009D2DD7"/>
    <w:rsid w:val="009D2F38"/>
    <w:rsid w:val="009D363D"/>
    <w:rsid w:val="009D38C0"/>
    <w:rsid w:val="009D41CC"/>
    <w:rsid w:val="009D4600"/>
    <w:rsid w:val="009D4D46"/>
    <w:rsid w:val="009D575B"/>
    <w:rsid w:val="009D5788"/>
    <w:rsid w:val="009D5A47"/>
    <w:rsid w:val="009D5EC5"/>
    <w:rsid w:val="009D6025"/>
    <w:rsid w:val="009D6113"/>
    <w:rsid w:val="009D6193"/>
    <w:rsid w:val="009D670C"/>
    <w:rsid w:val="009D6BC5"/>
    <w:rsid w:val="009D6C12"/>
    <w:rsid w:val="009D6D5D"/>
    <w:rsid w:val="009D6DA4"/>
    <w:rsid w:val="009D7158"/>
    <w:rsid w:val="009D7470"/>
    <w:rsid w:val="009D74D1"/>
    <w:rsid w:val="009D7861"/>
    <w:rsid w:val="009D7D33"/>
    <w:rsid w:val="009E01FC"/>
    <w:rsid w:val="009E0317"/>
    <w:rsid w:val="009E0419"/>
    <w:rsid w:val="009E0C8D"/>
    <w:rsid w:val="009E1999"/>
    <w:rsid w:val="009E1DF9"/>
    <w:rsid w:val="009E1E79"/>
    <w:rsid w:val="009E1E81"/>
    <w:rsid w:val="009E208B"/>
    <w:rsid w:val="009E237C"/>
    <w:rsid w:val="009E24E7"/>
    <w:rsid w:val="009E2F1C"/>
    <w:rsid w:val="009E305C"/>
    <w:rsid w:val="009E324D"/>
    <w:rsid w:val="009E379A"/>
    <w:rsid w:val="009E39E2"/>
    <w:rsid w:val="009E3BFE"/>
    <w:rsid w:val="009E4478"/>
    <w:rsid w:val="009E459A"/>
    <w:rsid w:val="009E46BF"/>
    <w:rsid w:val="009E4DD4"/>
    <w:rsid w:val="009E4E3F"/>
    <w:rsid w:val="009E5A21"/>
    <w:rsid w:val="009E5B49"/>
    <w:rsid w:val="009E600C"/>
    <w:rsid w:val="009E6224"/>
    <w:rsid w:val="009E64B8"/>
    <w:rsid w:val="009E68EE"/>
    <w:rsid w:val="009E698B"/>
    <w:rsid w:val="009E69E8"/>
    <w:rsid w:val="009E6D4A"/>
    <w:rsid w:val="009E799F"/>
    <w:rsid w:val="009E7B36"/>
    <w:rsid w:val="009E7C2F"/>
    <w:rsid w:val="009E7CC2"/>
    <w:rsid w:val="009F004F"/>
    <w:rsid w:val="009F044B"/>
    <w:rsid w:val="009F06AA"/>
    <w:rsid w:val="009F083F"/>
    <w:rsid w:val="009F0BB6"/>
    <w:rsid w:val="009F0BED"/>
    <w:rsid w:val="009F0F0A"/>
    <w:rsid w:val="009F0F77"/>
    <w:rsid w:val="009F0FBE"/>
    <w:rsid w:val="009F1070"/>
    <w:rsid w:val="009F1547"/>
    <w:rsid w:val="009F169E"/>
    <w:rsid w:val="009F1A08"/>
    <w:rsid w:val="009F1A1B"/>
    <w:rsid w:val="009F1CB5"/>
    <w:rsid w:val="009F1CBF"/>
    <w:rsid w:val="009F1E07"/>
    <w:rsid w:val="009F1ED7"/>
    <w:rsid w:val="009F23A3"/>
    <w:rsid w:val="009F2542"/>
    <w:rsid w:val="009F29E6"/>
    <w:rsid w:val="009F2BAF"/>
    <w:rsid w:val="009F2D6C"/>
    <w:rsid w:val="009F2E23"/>
    <w:rsid w:val="009F3350"/>
    <w:rsid w:val="009F3475"/>
    <w:rsid w:val="009F36B2"/>
    <w:rsid w:val="009F3836"/>
    <w:rsid w:val="009F3B7D"/>
    <w:rsid w:val="009F47E8"/>
    <w:rsid w:val="009F4ABA"/>
    <w:rsid w:val="009F50F4"/>
    <w:rsid w:val="009F5415"/>
    <w:rsid w:val="009F55FF"/>
    <w:rsid w:val="009F561B"/>
    <w:rsid w:val="009F636C"/>
    <w:rsid w:val="009F6FEF"/>
    <w:rsid w:val="009F71BE"/>
    <w:rsid w:val="009F7257"/>
    <w:rsid w:val="009F76E3"/>
    <w:rsid w:val="009F7706"/>
    <w:rsid w:val="009F7AA4"/>
    <w:rsid w:val="00A00317"/>
    <w:rsid w:val="00A008C2"/>
    <w:rsid w:val="00A00963"/>
    <w:rsid w:val="00A01159"/>
    <w:rsid w:val="00A0167D"/>
    <w:rsid w:val="00A01913"/>
    <w:rsid w:val="00A01ADC"/>
    <w:rsid w:val="00A01D0B"/>
    <w:rsid w:val="00A02078"/>
    <w:rsid w:val="00A02A47"/>
    <w:rsid w:val="00A02A9B"/>
    <w:rsid w:val="00A02BBE"/>
    <w:rsid w:val="00A02D14"/>
    <w:rsid w:val="00A02E71"/>
    <w:rsid w:val="00A03456"/>
    <w:rsid w:val="00A03C7A"/>
    <w:rsid w:val="00A042AB"/>
    <w:rsid w:val="00A0530B"/>
    <w:rsid w:val="00A053F6"/>
    <w:rsid w:val="00A05782"/>
    <w:rsid w:val="00A057DA"/>
    <w:rsid w:val="00A057FA"/>
    <w:rsid w:val="00A0598C"/>
    <w:rsid w:val="00A05C7D"/>
    <w:rsid w:val="00A05E30"/>
    <w:rsid w:val="00A063D6"/>
    <w:rsid w:val="00A066AE"/>
    <w:rsid w:val="00A06BEF"/>
    <w:rsid w:val="00A10DD9"/>
    <w:rsid w:val="00A1117F"/>
    <w:rsid w:val="00A11ACF"/>
    <w:rsid w:val="00A11D21"/>
    <w:rsid w:val="00A12565"/>
    <w:rsid w:val="00A12758"/>
    <w:rsid w:val="00A12C6B"/>
    <w:rsid w:val="00A12E41"/>
    <w:rsid w:val="00A12FE6"/>
    <w:rsid w:val="00A1308A"/>
    <w:rsid w:val="00A13151"/>
    <w:rsid w:val="00A13376"/>
    <w:rsid w:val="00A1345C"/>
    <w:rsid w:val="00A13525"/>
    <w:rsid w:val="00A13E8A"/>
    <w:rsid w:val="00A1407B"/>
    <w:rsid w:val="00A14117"/>
    <w:rsid w:val="00A145F3"/>
    <w:rsid w:val="00A14757"/>
    <w:rsid w:val="00A14828"/>
    <w:rsid w:val="00A149A2"/>
    <w:rsid w:val="00A149FA"/>
    <w:rsid w:val="00A14E09"/>
    <w:rsid w:val="00A15050"/>
    <w:rsid w:val="00A153A1"/>
    <w:rsid w:val="00A15719"/>
    <w:rsid w:val="00A158AE"/>
    <w:rsid w:val="00A158DF"/>
    <w:rsid w:val="00A15FB8"/>
    <w:rsid w:val="00A16587"/>
    <w:rsid w:val="00A166F7"/>
    <w:rsid w:val="00A17630"/>
    <w:rsid w:val="00A17DF0"/>
    <w:rsid w:val="00A2043C"/>
    <w:rsid w:val="00A2058C"/>
    <w:rsid w:val="00A20C1A"/>
    <w:rsid w:val="00A20D01"/>
    <w:rsid w:val="00A20F78"/>
    <w:rsid w:val="00A21383"/>
    <w:rsid w:val="00A218F1"/>
    <w:rsid w:val="00A21BA4"/>
    <w:rsid w:val="00A21D1D"/>
    <w:rsid w:val="00A22250"/>
    <w:rsid w:val="00A22380"/>
    <w:rsid w:val="00A2263C"/>
    <w:rsid w:val="00A22692"/>
    <w:rsid w:val="00A22769"/>
    <w:rsid w:val="00A228E6"/>
    <w:rsid w:val="00A22FA4"/>
    <w:rsid w:val="00A235BE"/>
    <w:rsid w:val="00A2364F"/>
    <w:rsid w:val="00A240E6"/>
    <w:rsid w:val="00A242AD"/>
    <w:rsid w:val="00A2436A"/>
    <w:rsid w:val="00A24394"/>
    <w:rsid w:val="00A2448F"/>
    <w:rsid w:val="00A2472B"/>
    <w:rsid w:val="00A24F2A"/>
    <w:rsid w:val="00A258FB"/>
    <w:rsid w:val="00A25AB1"/>
    <w:rsid w:val="00A25BCD"/>
    <w:rsid w:val="00A26060"/>
    <w:rsid w:val="00A26560"/>
    <w:rsid w:val="00A269C9"/>
    <w:rsid w:val="00A27070"/>
    <w:rsid w:val="00A27271"/>
    <w:rsid w:val="00A273E8"/>
    <w:rsid w:val="00A2784E"/>
    <w:rsid w:val="00A27A17"/>
    <w:rsid w:val="00A27CED"/>
    <w:rsid w:val="00A27DEE"/>
    <w:rsid w:val="00A30406"/>
    <w:rsid w:val="00A30C52"/>
    <w:rsid w:val="00A311E9"/>
    <w:rsid w:val="00A31563"/>
    <w:rsid w:val="00A315A8"/>
    <w:rsid w:val="00A31932"/>
    <w:rsid w:val="00A31B93"/>
    <w:rsid w:val="00A31F82"/>
    <w:rsid w:val="00A3202D"/>
    <w:rsid w:val="00A321B1"/>
    <w:rsid w:val="00A32217"/>
    <w:rsid w:val="00A32EB7"/>
    <w:rsid w:val="00A3376E"/>
    <w:rsid w:val="00A33BD6"/>
    <w:rsid w:val="00A33F04"/>
    <w:rsid w:val="00A34802"/>
    <w:rsid w:val="00A34C4D"/>
    <w:rsid w:val="00A34D99"/>
    <w:rsid w:val="00A34E06"/>
    <w:rsid w:val="00A34FFC"/>
    <w:rsid w:val="00A35910"/>
    <w:rsid w:val="00A35ADD"/>
    <w:rsid w:val="00A35B9D"/>
    <w:rsid w:val="00A35C46"/>
    <w:rsid w:val="00A35D32"/>
    <w:rsid w:val="00A36749"/>
    <w:rsid w:val="00A36BD6"/>
    <w:rsid w:val="00A36F9C"/>
    <w:rsid w:val="00A373F7"/>
    <w:rsid w:val="00A375B7"/>
    <w:rsid w:val="00A375EF"/>
    <w:rsid w:val="00A37711"/>
    <w:rsid w:val="00A377CD"/>
    <w:rsid w:val="00A37896"/>
    <w:rsid w:val="00A40643"/>
    <w:rsid w:val="00A407C8"/>
    <w:rsid w:val="00A40981"/>
    <w:rsid w:val="00A40A24"/>
    <w:rsid w:val="00A41757"/>
    <w:rsid w:val="00A423C4"/>
    <w:rsid w:val="00A4294B"/>
    <w:rsid w:val="00A42EA9"/>
    <w:rsid w:val="00A43087"/>
    <w:rsid w:val="00A43195"/>
    <w:rsid w:val="00A4342E"/>
    <w:rsid w:val="00A440E1"/>
    <w:rsid w:val="00A444BE"/>
    <w:rsid w:val="00A444FC"/>
    <w:rsid w:val="00A4509B"/>
    <w:rsid w:val="00A457C2"/>
    <w:rsid w:val="00A45BB3"/>
    <w:rsid w:val="00A46CD5"/>
    <w:rsid w:val="00A46D7F"/>
    <w:rsid w:val="00A46F6A"/>
    <w:rsid w:val="00A470A0"/>
    <w:rsid w:val="00A47356"/>
    <w:rsid w:val="00A475C5"/>
    <w:rsid w:val="00A47B68"/>
    <w:rsid w:val="00A51415"/>
    <w:rsid w:val="00A51751"/>
    <w:rsid w:val="00A517B6"/>
    <w:rsid w:val="00A517F5"/>
    <w:rsid w:val="00A519B0"/>
    <w:rsid w:val="00A5221B"/>
    <w:rsid w:val="00A525A0"/>
    <w:rsid w:val="00A526BD"/>
    <w:rsid w:val="00A52799"/>
    <w:rsid w:val="00A528C2"/>
    <w:rsid w:val="00A52B18"/>
    <w:rsid w:val="00A53929"/>
    <w:rsid w:val="00A53930"/>
    <w:rsid w:val="00A53A5D"/>
    <w:rsid w:val="00A53B8A"/>
    <w:rsid w:val="00A53BEB"/>
    <w:rsid w:val="00A5433A"/>
    <w:rsid w:val="00A54AFD"/>
    <w:rsid w:val="00A54E69"/>
    <w:rsid w:val="00A55857"/>
    <w:rsid w:val="00A5656E"/>
    <w:rsid w:val="00A567BB"/>
    <w:rsid w:val="00A56BFE"/>
    <w:rsid w:val="00A56DFD"/>
    <w:rsid w:val="00A56F2F"/>
    <w:rsid w:val="00A576D3"/>
    <w:rsid w:val="00A603C7"/>
    <w:rsid w:val="00A60FC9"/>
    <w:rsid w:val="00A61080"/>
    <w:rsid w:val="00A61652"/>
    <w:rsid w:val="00A61833"/>
    <w:rsid w:val="00A61A32"/>
    <w:rsid w:val="00A61B06"/>
    <w:rsid w:val="00A61C8F"/>
    <w:rsid w:val="00A61F1A"/>
    <w:rsid w:val="00A61FF9"/>
    <w:rsid w:val="00A62113"/>
    <w:rsid w:val="00A62736"/>
    <w:rsid w:val="00A62B40"/>
    <w:rsid w:val="00A62BD7"/>
    <w:rsid w:val="00A62D1C"/>
    <w:rsid w:val="00A62EEF"/>
    <w:rsid w:val="00A630BE"/>
    <w:rsid w:val="00A63230"/>
    <w:rsid w:val="00A63379"/>
    <w:rsid w:val="00A633EB"/>
    <w:rsid w:val="00A63774"/>
    <w:rsid w:val="00A6386A"/>
    <w:rsid w:val="00A646DE"/>
    <w:rsid w:val="00A64872"/>
    <w:rsid w:val="00A64AD7"/>
    <w:rsid w:val="00A6506C"/>
    <w:rsid w:val="00A65529"/>
    <w:rsid w:val="00A65900"/>
    <w:rsid w:val="00A65B15"/>
    <w:rsid w:val="00A65EE2"/>
    <w:rsid w:val="00A66321"/>
    <w:rsid w:val="00A6649C"/>
    <w:rsid w:val="00A66711"/>
    <w:rsid w:val="00A66796"/>
    <w:rsid w:val="00A66DCF"/>
    <w:rsid w:val="00A66FDF"/>
    <w:rsid w:val="00A67357"/>
    <w:rsid w:val="00A674DE"/>
    <w:rsid w:val="00A6759C"/>
    <w:rsid w:val="00A6760C"/>
    <w:rsid w:val="00A67639"/>
    <w:rsid w:val="00A67923"/>
    <w:rsid w:val="00A70033"/>
    <w:rsid w:val="00A7015E"/>
    <w:rsid w:val="00A702ED"/>
    <w:rsid w:val="00A70932"/>
    <w:rsid w:val="00A711A4"/>
    <w:rsid w:val="00A71345"/>
    <w:rsid w:val="00A713ED"/>
    <w:rsid w:val="00A7148E"/>
    <w:rsid w:val="00A714B8"/>
    <w:rsid w:val="00A71906"/>
    <w:rsid w:val="00A71AD2"/>
    <w:rsid w:val="00A721A7"/>
    <w:rsid w:val="00A72227"/>
    <w:rsid w:val="00A723E0"/>
    <w:rsid w:val="00A72C4F"/>
    <w:rsid w:val="00A72C65"/>
    <w:rsid w:val="00A72CE7"/>
    <w:rsid w:val="00A73505"/>
    <w:rsid w:val="00A738C1"/>
    <w:rsid w:val="00A73A3B"/>
    <w:rsid w:val="00A73B02"/>
    <w:rsid w:val="00A73DA8"/>
    <w:rsid w:val="00A74256"/>
    <w:rsid w:val="00A74751"/>
    <w:rsid w:val="00A74901"/>
    <w:rsid w:val="00A75031"/>
    <w:rsid w:val="00A75580"/>
    <w:rsid w:val="00A75733"/>
    <w:rsid w:val="00A76308"/>
    <w:rsid w:val="00A768B4"/>
    <w:rsid w:val="00A76DE3"/>
    <w:rsid w:val="00A76FFF"/>
    <w:rsid w:val="00A776C7"/>
    <w:rsid w:val="00A77717"/>
    <w:rsid w:val="00A7781A"/>
    <w:rsid w:val="00A77AC1"/>
    <w:rsid w:val="00A77C08"/>
    <w:rsid w:val="00A77E29"/>
    <w:rsid w:val="00A77F08"/>
    <w:rsid w:val="00A8098C"/>
    <w:rsid w:val="00A80ACB"/>
    <w:rsid w:val="00A81229"/>
    <w:rsid w:val="00A81384"/>
    <w:rsid w:val="00A813FB"/>
    <w:rsid w:val="00A81421"/>
    <w:rsid w:val="00A81492"/>
    <w:rsid w:val="00A81527"/>
    <w:rsid w:val="00A815B9"/>
    <w:rsid w:val="00A81DBD"/>
    <w:rsid w:val="00A82058"/>
    <w:rsid w:val="00A82476"/>
    <w:rsid w:val="00A826F0"/>
    <w:rsid w:val="00A82735"/>
    <w:rsid w:val="00A82BFD"/>
    <w:rsid w:val="00A82D90"/>
    <w:rsid w:val="00A82DE6"/>
    <w:rsid w:val="00A831FA"/>
    <w:rsid w:val="00A8365D"/>
    <w:rsid w:val="00A83BCA"/>
    <w:rsid w:val="00A841DD"/>
    <w:rsid w:val="00A84AE7"/>
    <w:rsid w:val="00A84B52"/>
    <w:rsid w:val="00A84DAF"/>
    <w:rsid w:val="00A84E8D"/>
    <w:rsid w:val="00A851E6"/>
    <w:rsid w:val="00A85E5C"/>
    <w:rsid w:val="00A86576"/>
    <w:rsid w:val="00A8668D"/>
    <w:rsid w:val="00A8669C"/>
    <w:rsid w:val="00A8672E"/>
    <w:rsid w:val="00A869B0"/>
    <w:rsid w:val="00A869B8"/>
    <w:rsid w:val="00A86C13"/>
    <w:rsid w:val="00A86FA6"/>
    <w:rsid w:val="00A87173"/>
    <w:rsid w:val="00A8734C"/>
    <w:rsid w:val="00A876D7"/>
    <w:rsid w:val="00A87900"/>
    <w:rsid w:val="00A87AC5"/>
    <w:rsid w:val="00A90420"/>
    <w:rsid w:val="00A9044B"/>
    <w:rsid w:val="00A91051"/>
    <w:rsid w:val="00A910CB"/>
    <w:rsid w:val="00A91BF0"/>
    <w:rsid w:val="00A91DC1"/>
    <w:rsid w:val="00A91F60"/>
    <w:rsid w:val="00A9289F"/>
    <w:rsid w:val="00A92908"/>
    <w:rsid w:val="00A929F4"/>
    <w:rsid w:val="00A929FD"/>
    <w:rsid w:val="00A92C1D"/>
    <w:rsid w:val="00A92DCC"/>
    <w:rsid w:val="00A93307"/>
    <w:rsid w:val="00A93633"/>
    <w:rsid w:val="00A943CC"/>
    <w:rsid w:val="00A9443C"/>
    <w:rsid w:val="00A9546A"/>
    <w:rsid w:val="00A95565"/>
    <w:rsid w:val="00A95B11"/>
    <w:rsid w:val="00A961D7"/>
    <w:rsid w:val="00A963A5"/>
    <w:rsid w:val="00A9696D"/>
    <w:rsid w:val="00A96A31"/>
    <w:rsid w:val="00A97082"/>
    <w:rsid w:val="00A97301"/>
    <w:rsid w:val="00A975CC"/>
    <w:rsid w:val="00A9774D"/>
    <w:rsid w:val="00A97A90"/>
    <w:rsid w:val="00A97BEE"/>
    <w:rsid w:val="00A97F12"/>
    <w:rsid w:val="00A97F56"/>
    <w:rsid w:val="00AA0175"/>
    <w:rsid w:val="00AA03A9"/>
    <w:rsid w:val="00AA0965"/>
    <w:rsid w:val="00AA0A36"/>
    <w:rsid w:val="00AA0B33"/>
    <w:rsid w:val="00AA0B98"/>
    <w:rsid w:val="00AA0C77"/>
    <w:rsid w:val="00AA146B"/>
    <w:rsid w:val="00AA1D27"/>
    <w:rsid w:val="00AA204C"/>
    <w:rsid w:val="00AA2D57"/>
    <w:rsid w:val="00AA2E65"/>
    <w:rsid w:val="00AA3000"/>
    <w:rsid w:val="00AA341F"/>
    <w:rsid w:val="00AA3941"/>
    <w:rsid w:val="00AA39C9"/>
    <w:rsid w:val="00AA3C70"/>
    <w:rsid w:val="00AA40F7"/>
    <w:rsid w:val="00AA4262"/>
    <w:rsid w:val="00AA433E"/>
    <w:rsid w:val="00AA43EB"/>
    <w:rsid w:val="00AA4482"/>
    <w:rsid w:val="00AA464A"/>
    <w:rsid w:val="00AA538E"/>
    <w:rsid w:val="00AA56D0"/>
    <w:rsid w:val="00AA588E"/>
    <w:rsid w:val="00AA5BA7"/>
    <w:rsid w:val="00AA5E4E"/>
    <w:rsid w:val="00AA5FDB"/>
    <w:rsid w:val="00AA6039"/>
    <w:rsid w:val="00AA610F"/>
    <w:rsid w:val="00AA6223"/>
    <w:rsid w:val="00AA6418"/>
    <w:rsid w:val="00AA652B"/>
    <w:rsid w:val="00AA69C8"/>
    <w:rsid w:val="00AA6CC2"/>
    <w:rsid w:val="00AA7550"/>
    <w:rsid w:val="00AB008E"/>
    <w:rsid w:val="00AB01BE"/>
    <w:rsid w:val="00AB056E"/>
    <w:rsid w:val="00AB0866"/>
    <w:rsid w:val="00AB09DB"/>
    <w:rsid w:val="00AB0A4B"/>
    <w:rsid w:val="00AB0C9F"/>
    <w:rsid w:val="00AB0F63"/>
    <w:rsid w:val="00AB0F65"/>
    <w:rsid w:val="00AB143A"/>
    <w:rsid w:val="00AB155C"/>
    <w:rsid w:val="00AB1693"/>
    <w:rsid w:val="00AB20F2"/>
    <w:rsid w:val="00AB2940"/>
    <w:rsid w:val="00AB2C71"/>
    <w:rsid w:val="00AB2C82"/>
    <w:rsid w:val="00AB315C"/>
    <w:rsid w:val="00AB34F6"/>
    <w:rsid w:val="00AB3798"/>
    <w:rsid w:val="00AB3971"/>
    <w:rsid w:val="00AB3E3E"/>
    <w:rsid w:val="00AB40B6"/>
    <w:rsid w:val="00AB433D"/>
    <w:rsid w:val="00AB45CA"/>
    <w:rsid w:val="00AB4745"/>
    <w:rsid w:val="00AB47A8"/>
    <w:rsid w:val="00AB54D2"/>
    <w:rsid w:val="00AB5BCE"/>
    <w:rsid w:val="00AB6064"/>
    <w:rsid w:val="00AB61A0"/>
    <w:rsid w:val="00AB61C0"/>
    <w:rsid w:val="00AB62B4"/>
    <w:rsid w:val="00AB632A"/>
    <w:rsid w:val="00AB6758"/>
    <w:rsid w:val="00AB67DC"/>
    <w:rsid w:val="00AB67E1"/>
    <w:rsid w:val="00AB68F9"/>
    <w:rsid w:val="00AB69B6"/>
    <w:rsid w:val="00AB717A"/>
    <w:rsid w:val="00AB71C6"/>
    <w:rsid w:val="00AB7C18"/>
    <w:rsid w:val="00AB7E96"/>
    <w:rsid w:val="00AC003B"/>
    <w:rsid w:val="00AC003C"/>
    <w:rsid w:val="00AC0103"/>
    <w:rsid w:val="00AC098B"/>
    <w:rsid w:val="00AC0A0A"/>
    <w:rsid w:val="00AC0A8E"/>
    <w:rsid w:val="00AC0F1E"/>
    <w:rsid w:val="00AC0F37"/>
    <w:rsid w:val="00AC1043"/>
    <w:rsid w:val="00AC11A7"/>
    <w:rsid w:val="00AC11EA"/>
    <w:rsid w:val="00AC13E7"/>
    <w:rsid w:val="00AC1404"/>
    <w:rsid w:val="00AC14BD"/>
    <w:rsid w:val="00AC19FF"/>
    <w:rsid w:val="00AC2209"/>
    <w:rsid w:val="00AC27D5"/>
    <w:rsid w:val="00AC2CDF"/>
    <w:rsid w:val="00AC2E8D"/>
    <w:rsid w:val="00AC304F"/>
    <w:rsid w:val="00AC316F"/>
    <w:rsid w:val="00AC31EA"/>
    <w:rsid w:val="00AC32B7"/>
    <w:rsid w:val="00AC32FB"/>
    <w:rsid w:val="00AC38BD"/>
    <w:rsid w:val="00AC3C71"/>
    <w:rsid w:val="00AC3F9B"/>
    <w:rsid w:val="00AC4881"/>
    <w:rsid w:val="00AC4A71"/>
    <w:rsid w:val="00AC4A91"/>
    <w:rsid w:val="00AC52F0"/>
    <w:rsid w:val="00AC54A8"/>
    <w:rsid w:val="00AC5BF4"/>
    <w:rsid w:val="00AC5F91"/>
    <w:rsid w:val="00AC6428"/>
    <w:rsid w:val="00AC6825"/>
    <w:rsid w:val="00AC68B3"/>
    <w:rsid w:val="00AC6E82"/>
    <w:rsid w:val="00AC7363"/>
    <w:rsid w:val="00AC73DC"/>
    <w:rsid w:val="00AC7B1B"/>
    <w:rsid w:val="00AC7C55"/>
    <w:rsid w:val="00AC7E1D"/>
    <w:rsid w:val="00AC7F3A"/>
    <w:rsid w:val="00AD039F"/>
    <w:rsid w:val="00AD0464"/>
    <w:rsid w:val="00AD0559"/>
    <w:rsid w:val="00AD077D"/>
    <w:rsid w:val="00AD09FD"/>
    <w:rsid w:val="00AD0F88"/>
    <w:rsid w:val="00AD10DF"/>
    <w:rsid w:val="00AD1113"/>
    <w:rsid w:val="00AD11A5"/>
    <w:rsid w:val="00AD1EC4"/>
    <w:rsid w:val="00AD24F3"/>
    <w:rsid w:val="00AD2AC8"/>
    <w:rsid w:val="00AD2DDF"/>
    <w:rsid w:val="00AD3018"/>
    <w:rsid w:val="00AD346E"/>
    <w:rsid w:val="00AD37E0"/>
    <w:rsid w:val="00AD3847"/>
    <w:rsid w:val="00AD3902"/>
    <w:rsid w:val="00AD3C07"/>
    <w:rsid w:val="00AD3E47"/>
    <w:rsid w:val="00AD3E5D"/>
    <w:rsid w:val="00AD3F61"/>
    <w:rsid w:val="00AD4716"/>
    <w:rsid w:val="00AD49D1"/>
    <w:rsid w:val="00AD4D95"/>
    <w:rsid w:val="00AD4FEE"/>
    <w:rsid w:val="00AD523F"/>
    <w:rsid w:val="00AD5255"/>
    <w:rsid w:val="00AD57F8"/>
    <w:rsid w:val="00AD58A0"/>
    <w:rsid w:val="00AD5F26"/>
    <w:rsid w:val="00AD6010"/>
    <w:rsid w:val="00AD6132"/>
    <w:rsid w:val="00AD6258"/>
    <w:rsid w:val="00AD67CB"/>
    <w:rsid w:val="00AD6D22"/>
    <w:rsid w:val="00AD6DFC"/>
    <w:rsid w:val="00AD770A"/>
    <w:rsid w:val="00AD7746"/>
    <w:rsid w:val="00AD77F9"/>
    <w:rsid w:val="00AE0075"/>
    <w:rsid w:val="00AE03CC"/>
    <w:rsid w:val="00AE0551"/>
    <w:rsid w:val="00AE05F8"/>
    <w:rsid w:val="00AE1264"/>
    <w:rsid w:val="00AE1577"/>
    <w:rsid w:val="00AE172C"/>
    <w:rsid w:val="00AE218D"/>
    <w:rsid w:val="00AE2212"/>
    <w:rsid w:val="00AE2EAC"/>
    <w:rsid w:val="00AE319E"/>
    <w:rsid w:val="00AE32FF"/>
    <w:rsid w:val="00AE339E"/>
    <w:rsid w:val="00AE33FF"/>
    <w:rsid w:val="00AE36F9"/>
    <w:rsid w:val="00AE3881"/>
    <w:rsid w:val="00AE38D4"/>
    <w:rsid w:val="00AE3C2B"/>
    <w:rsid w:val="00AE4854"/>
    <w:rsid w:val="00AE499D"/>
    <w:rsid w:val="00AE4A6E"/>
    <w:rsid w:val="00AE4AE2"/>
    <w:rsid w:val="00AE4B14"/>
    <w:rsid w:val="00AE4E99"/>
    <w:rsid w:val="00AE4FF8"/>
    <w:rsid w:val="00AE5753"/>
    <w:rsid w:val="00AE5E94"/>
    <w:rsid w:val="00AE63F9"/>
    <w:rsid w:val="00AE64D5"/>
    <w:rsid w:val="00AE6794"/>
    <w:rsid w:val="00AE6856"/>
    <w:rsid w:val="00AE69CF"/>
    <w:rsid w:val="00AE6D12"/>
    <w:rsid w:val="00AE707F"/>
    <w:rsid w:val="00AF026B"/>
    <w:rsid w:val="00AF02A4"/>
    <w:rsid w:val="00AF05DB"/>
    <w:rsid w:val="00AF06D5"/>
    <w:rsid w:val="00AF09DD"/>
    <w:rsid w:val="00AF0D04"/>
    <w:rsid w:val="00AF1454"/>
    <w:rsid w:val="00AF15B0"/>
    <w:rsid w:val="00AF162F"/>
    <w:rsid w:val="00AF21AD"/>
    <w:rsid w:val="00AF246B"/>
    <w:rsid w:val="00AF2B88"/>
    <w:rsid w:val="00AF348A"/>
    <w:rsid w:val="00AF3C3E"/>
    <w:rsid w:val="00AF3F10"/>
    <w:rsid w:val="00AF4042"/>
    <w:rsid w:val="00AF40DE"/>
    <w:rsid w:val="00AF4817"/>
    <w:rsid w:val="00AF4830"/>
    <w:rsid w:val="00AF4BEE"/>
    <w:rsid w:val="00AF4C0C"/>
    <w:rsid w:val="00AF4E49"/>
    <w:rsid w:val="00AF56BE"/>
    <w:rsid w:val="00AF5B27"/>
    <w:rsid w:val="00AF5B2F"/>
    <w:rsid w:val="00AF6067"/>
    <w:rsid w:val="00AF61F1"/>
    <w:rsid w:val="00AF6557"/>
    <w:rsid w:val="00AF6637"/>
    <w:rsid w:val="00AF666D"/>
    <w:rsid w:val="00AF6F96"/>
    <w:rsid w:val="00AF7DB4"/>
    <w:rsid w:val="00B00827"/>
    <w:rsid w:val="00B009CC"/>
    <w:rsid w:val="00B00B92"/>
    <w:rsid w:val="00B00E0D"/>
    <w:rsid w:val="00B01192"/>
    <w:rsid w:val="00B01583"/>
    <w:rsid w:val="00B01658"/>
    <w:rsid w:val="00B016BB"/>
    <w:rsid w:val="00B01A94"/>
    <w:rsid w:val="00B01CEC"/>
    <w:rsid w:val="00B024CA"/>
    <w:rsid w:val="00B024F0"/>
    <w:rsid w:val="00B02655"/>
    <w:rsid w:val="00B028BC"/>
    <w:rsid w:val="00B029C9"/>
    <w:rsid w:val="00B02A2D"/>
    <w:rsid w:val="00B02B99"/>
    <w:rsid w:val="00B02C84"/>
    <w:rsid w:val="00B02CF8"/>
    <w:rsid w:val="00B02E72"/>
    <w:rsid w:val="00B0339B"/>
    <w:rsid w:val="00B04B53"/>
    <w:rsid w:val="00B04FA5"/>
    <w:rsid w:val="00B05094"/>
    <w:rsid w:val="00B05102"/>
    <w:rsid w:val="00B05227"/>
    <w:rsid w:val="00B05261"/>
    <w:rsid w:val="00B054DE"/>
    <w:rsid w:val="00B058C6"/>
    <w:rsid w:val="00B06130"/>
    <w:rsid w:val="00B06B4C"/>
    <w:rsid w:val="00B06CDC"/>
    <w:rsid w:val="00B06F57"/>
    <w:rsid w:val="00B0706B"/>
    <w:rsid w:val="00B071DF"/>
    <w:rsid w:val="00B07504"/>
    <w:rsid w:val="00B079F9"/>
    <w:rsid w:val="00B07BBB"/>
    <w:rsid w:val="00B07BC5"/>
    <w:rsid w:val="00B10263"/>
    <w:rsid w:val="00B102DD"/>
    <w:rsid w:val="00B10376"/>
    <w:rsid w:val="00B10402"/>
    <w:rsid w:val="00B105D3"/>
    <w:rsid w:val="00B10627"/>
    <w:rsid w:val="00B109EA"/>
    <w:rsid w:val="00B10B3C"/>
    <w:rsid w:val="00B10D36"/>
    <w:rsid w:val="00B10DCA"/>
    <w:rsid w:val="00B10FA7"/>
    <w:rsid w:val="00B11485"/>
    <w:rsid w:val="00B11A26"/>
    <w:rsid w:val="00B11C26"/>
    <w:rsid w:val="00B11C91"/>
    <w:rsid w:val="00B11DEE"/>
    <w:rsid w:val="00B12554"/>
    <w:rsid w:val="00B12661"/>
    <w:rsid w:val="00B1269A"/>
    <w:rsid w:val="00B1276F"/>
    <w:rsid w:val="00B12D23"/>
    <w:rsid w:val="00B131B1"/>
    <w:rsid w:val="00B1335F"/>
    <w:rsid w:val="00B1348E"/>
    <w:rsid w:val="00B13544"/>
    <w:rsid w:val="00B13C5A"/>
    <w:rsid w:val="00B142AA"/>
    <w:rsid w:val="00B14563"/>
    <w:rsid w:val="00B14A9B"/>
    <w:rsid w:val="00B14BD1"/>
    <w:rsid w:val="00B14BDB"/>
    <w:rsid w:val="00B1527F"/>
    <w:rsid w:val="00B15884"/>
    <w:rsid w:val="00B15DCD"/>
    <w:rsid w:val="00B165A0"/>
    <w:rsid w:val="00B16A34"/>
    <w:rsid w:val="00B17121"/>
    <w:rsid w:val="00B17635"/>
    <w:rsid w:val="00B179BA"/>
    <w:rsid w:val="00B17F59"/>
    <w:rsid w:val="00B17FD7"/>
    <w:rsid w:val="00B2042B"/>
    <w:rsid w:val="00B2079A"/>
    <w:rsid w:val="00B2083E"/>
    <w:rsid w:val="00B2088A"/>
    <w:rsid w:val="00B20C58"/>
    <w:rsid w:val="00B20DF8"/>
    <w:rsid w:val="00B213F2"/>
    <w:rsid w:val="00B2153C"/>
    <w:rsid w:val="00B217D6"/>
    <w:rsid w:val="00B21CB5"/>
    <w:rsid w:val="00B22921"/>
    <w:rsid w:val="00B236E2"/>
    <w:rsid w:val="00B23933"/>
    <w:rsid w:val="00B244BD"/>
    <w:rsid w:val="00B24787"/>
    <w:rsid w:val="00B2489D"/>
    <w:rsid w:val="00B24FAF"/>
    <w:rsid w:val="00B24FB0"/>
    <w:rsid w:val="00B25453"/>
    <w:rsid w:val="00B2572F"/>
    <w:rsid w:val="00B257DA"/>
    <w:rsid w:val="00B25912"/>
    <w:rsid w:val="00B25C5E"/>
    <w:rsid w:val="00B25E56"/>
    <w:rsid w:val="00B25ED6"/>
    <w:rsid w:val="00B26968"/>
    <w:rsid w:val="00B26E48"/>
    <w:rsid w:val="00B273E5"/>
    <w:rsid w:val="00B274F7"/>
    <w:rsid w:val="00B27DA7"/>
    <w:rsid w:val="00B27E1D"/>
    <w:rsid w:val="00B30193"/>
    <w:rsid w:val="00B3057E"/>
    <w:rsid w:val="00B30648"/>
    <w:rsid w:val="00B30730"/>
    <w:rsid w:val="00B30969"/>
    <w:rsid w:val="00B31932"/>
    <w:rsid w:val="00B31B9C"/>
    <w:rsid w:val="00B31C8E"/>
    <w:rsid w:val="00B31CD6"/>
    <w:rsid w:val="00B3202A"/>
    <w:rsid w:val="00B3217A"/>
    <w:rsid w:val="00B3239B"/>
    <w:rsid w:val="00B33618"/>
    <w:rsid w:val="00B33653"/>
    <w:rsid w:val="00B33AA8"/>
    <w:rsid w:val="00B33C57"/>
    <w:rsid w:val="00B34203"/>
    <w:rsid w:val="00B34205"/>
    <w:rsid w:val="00B344DA"/>
    <w:rsid w:val="00B34753"/>
    <w:rsid w:val="00B347C2"/>
    <w:rsid w:val="00B34D6C"/>
    <w:rsid w:val="00B34DCA"/>
    <w:rsid w:val="00B35559"/>
    <w:rsid w:val="00B3559C"/>
    <w:rsid w:val="00B35D7E"/>
    <w:rsid w:val="00B35E1D"/>
    <w:rsid w:val="00B363F2"/>
    <w:rsid w:val="00B36678"/>
    <w:rsid w:val="00B36A96"/>
    <w:rsid w:val="00B36B03"/>
    <w:rsid w:val="00B36BF8"/>
    <w:rsid w:val="00B3725B"/>
    <w:rsid w:val="00B37432"/>
    <w:rsid w:val="00B37824"/>
    <w:rsid w:val="00B37891"/>
    <w:rsid w:val="00B40417"/>
    <w:rsid w:val="00B4041C"/>
    <w:rsid w:val="00B4068F"/>
    <w:rsid w:val="00B40E80"/>
    <w:rsid w:val="00B40E9F"/>
    <w:rsid w:val="00B4118A"/>
    <w:rsid w:val="00B4145D"/>
    <w:rsid w:val="00B41516"/>
    <w:rsid w:val="00B416C6"/>
    <w:rsid w:val="00B419CA"/>
    <w:rsid w:val="00B42219"/>
    <w:rsid w:val="00B42C50"/>
    <w:rsid w:val="00B42DA7"/>
    <w:rsid w:val="00B42E5C"/>
    <w:rsid w:val="00B4346F"/>
    <w:rsid w:val="00B43485"/>
    <w:rsid w:val="00B436BE"/>
    <w:rsid w:val="00B43B4E"/>
    <w:rsid w:val="00B43C84"/>
    <w:rsid w:val="00B44658"/>
    <w:rsid w:val="00B44804"/>
    <w:rsid w:val="00B44FDB"/>
    <w:rsid w:val="00B45080"/>
    <w:rsid w:val="00B45711"/>
    <w:rsid w:val="00B458C5"/>
    <w:rsid w:val="00B466DA"/>
    <w:rsid w:val="00B46905"/>
    <w:rsid w:val="00B4696B"/>
    <w:rsid w:val="00B46A92"/>
    <w:rsid w:val="00B47113"/>
    <w:rsid w:val="00B47CC6"/>
    <w:rsid w:val="00B47F3F"/>
    <w:rsid w:val="00B505B6"/>
    <w:rsid w:val="00B50C79"/>
    <w:rsid w:val="00B51514"/>
    <w:rsid w:val="00B515E7"/>
    <w:rsid w:val="00B5200E"/>
    <w:rsid w:val="00B526F6"/>
    <w:rsid w:val="00B52803"/>
    <w:rsid w:val="00B530B3"/>
    <w:rsid w:val="00B53298"/>
    <w:rsid w:val="00B5333A"/>
    <w:rsid w:val="00B537FD"/>
    <w:rsid w:val="00B5384F"/>
    <w:rsid w:val="00B53C37"/>
    <w:rsid w:val="00B53CCF"/>
    <w:rsid w:val="00B54421"/>
    <w:rsid w:val="00B549D0"/>
    <w:rsid w:val="00B549FB"/>
    <w:rsid w:val="00B552E3"/>
    <w:rsid w:val="00B5544F"/>
    <w:rsid w:val="00B55553"/>
    <w:rsid w:val="00B55787"/>
    <w:rsid w:val="00B55C9A"/>
    <w:rsid w:val="00B55CFB"/>
    <w:rsid w:val="00B55E5D"/>
    <w:rsid w:val="00B564E7"/>
    <w:rsid w:val="00B56826"/>
    <w:rsid w:val="00B56DB3"/>
    <w:rsid w:val="00B56E71"/>
    <w:rsid w:val="00B56FF7"/>
    <w:rsid w:val="00B5766E"/>
    <w:rsid w:val="00B577A8"/>
    <w:rsid w:val="00B577EA"/>
    <w:rsid w:val="00B577FF"/>
    <w:rsid w:val="00B5784C"/>
    <w:rsid w:val="00B57D58"/>
    <w:rsid w:val="00B57FF7"/>
    <w:rsid w:val="00B606DC"/>
    <w:rsid w:val="00B6099B"/>
    <w:rsid w:val="00B60A36"/>
    <w:rsid w:val="00B60A8B"/>
    <w:rsid w:val="00B60B74"/>
    <w:rsid w:val="00B61155"/>
    <w:rsid w:val="00B61C3C"/>
    <w:rsid w:val="00B6223A"/>
    <w:rsid w:val="00B6285D"/>
    <w:rsid w:val="00B6293C"/>
    <w:rsid w:val="00B62AC2"/>
    <w:rsid w:val="00B63371"/>
    <w:rsid w:val="00B63385"/>
    <w:rsid w:val="00B63E6E"/>
    <w:rsid w:val="00B63EB9"/>
    <w:rsid w:val="00B64407"/>
    <w:rsid w:val="00B64651"/>
    <w:rsid w:val="00B6514E"/>
    <w:rsid w:val="00B65169"/>
    <w:rsid w:val="00B65404"/>
    <w:rsid w:val="00B65409"/>
    <w:rsid w:val="00B654EB"/>
    <w:rsid w:val="00B65540"/>
    <w:rsid w:val="00B656C4"/>
    <w:rsid w:val="00B65F18"/>
    <w:rsid w:val="00B66225"/>
    <w:rsid w:val="00B667B0"/>
    <w:rsid w:val="00B66867"/>
    <w:rsid w:val="00B66994"/>
    <w:rsid w:val="00B66EF5"/>
    <w:rsid w:val="00B6715A"/>
    <w:rsid w:val="00B67761"/>
    <w:rsid w:val="00B6785D"/>
    <w:rsid w:val="00B67A14"/>
    <w:rsid w:val="00B67BFA"/>
    <w:rsid w:val="00B67D62"/>
    <w:rsid w:val="00B703F6"/>
    <w:rsid w:val="00B704AA"/>
    <w:rsid w:val="00B70754"/>
    <w:rsid w:val="00B70757"/>
    <w:rsid w:val="00B7079D"/>
    <w:rsid w:val="00B707FE"/>
    <w:rsid w:val="00B70E7A"/>
    <w:rsid w:val="00B70E7F"/>
    <w:rsid w:val="00B70EAE"/>
    <w:rsid w:val="00B710D8"/>
    <w:rsid w:val="00B71A1E"/>
    <w:rsid w:val="00B71AFB"/>
    <w:rsid w:val="00B71F3A"/>
    <w:rsid w:val="00B727ED"/>
    <w:rsid w:val="00B7292C"/>
    <w:rsid w:val="00B72C8B"/>
    <w:rsid w:val="00B73C97"/>
    <w:rsid w:val="00B76129"/>
    <w:rsid w:val="00B761DB"/>
    <w:rsid w:val="00B76340"/>
    <w:rsid w:val="00B763BC"/>
    <w:rsid w:val="00B769D7"/>
    <w:rsid w:val="00B76A88"/>
    <w:rsid w:val="00B76B19"/>
    <w:rsid w:val="00B80817"/>
    <w:rsid w:val="00B80845"/>
    <w:rsid w:val="00B809ED"/>
    <w:rsid w:val="00B80C43"/>
    <w:rsid w:val="00B80DF0"/>
    <w:rsid w:val="00B81141"/>
    <w:rsid w:val="00B81499"/>
    <w:rsid w:val="00B815B2"/>
    <w:rsid w:val="00B81F24"/>
    <w:rsid w:val="00B821F8"/>
    <w:rsid w:val="00B82278"/>
    <w:rsid w:val="00B822C2"/>
    <w:rsid w:val="00B822EF"/>
    <w:rsid w:val="00B8264D"/>
    <w:rsid w:val="00B828F0"/>
    <w:rsid w:val="00B835A5"/>
    <w:rsid w:val="00B836F5"/>
    <w:rsid w:val="00B83811"/>
    <w:rsid w:val="00B83855"/>
    <w:rsid w:val="00B84CF8"/>
    <w:rsid w:val="00B85B4E"/>
    <w:rsid w:val="00B86126"/>
    <w:rsid w:val="00B865DB"/>
    <w:rsid w:val="00B867F4"/>
    <w:rsid w:val="00B868E2"/>
    <w:rsid w:val="00B8744D"/>
    <w:rsid w:val="00B874AE"/>
    <w:rsid w:val="00B87B6D"/>
    <w:rsid w:val="00B87E7C"/>
    <w:rsid w:val="00B87F76"/>
    <w:rsid w:val="00B900D5"/>
    <w:rsid w:val="00B908A3"/>
    <w:rsid w:val="00B908DB"/>
    <w:rsid w:val="00B90B39"/>
    <w:rsid w:val="00B90DEF"/>
    <w:rsid w:val="00B90DF3"/>
    <w:rsid w:val="00B91046"/>
    <w:rsid w:val="00B912FB"/>
    <w:rsid w:val="00B9144F"/>
    <w:rsid w:val="00B91478"/>
    <w:rsid w:val="00B92EA6"/>
    <w:rsid w:val="00B93FF5"/>
    <w:rsid w:val="00B9412E"/>
    <w:rsid w:val="00B94552"/>
    <w:rsid w:val="00B94624"/>
    <w:rsid w:val="00B94786"/>
    <w:rsid w:val="00B95029"/>
    <w:rsid w:val="00B95189"/>
    <w:rsid w:val="00B9551C"/>
    <w:rsid w:val="00B957A5"/>
    <w:rsid w:val="00B95A7E"/>
    <w:rsid w:val="00B95FBE"/>
    <w:rsid w:val="00B96028"/>
    <w:rsid w:val="00B9607E"/>
    <w:rsid w:val="00B96670"/>
    <w:rsid w:val="00B9695E"/>
    <w:rsid w:val="00B970A6"/>
    <w:rsid w:val="00B970C7"/>
    <w:rsid w:val="00B9773F"/>
    <w:rsid w:val="00B979EE"/>
    <w:rsid w:val="00B97DE2"/>
    <w:rsid w:val="00BA0D64"/>
    <w:rsid w:val="00BA0E03"/>
    <w:rsid w:val="00BA10EF"/>
    <w:rsid w:val="00BA1F69"/>
    <w:rsid w:val="00BA1F92"/>
    <w:rsid w:val="00BA202C"/>
    <w:rsid w:val="00BA208A"/>
    <w:rsid w:val="00BA20B1"/>
    <w:rsid w:val="00BA258B"/>
    <w:rsid w:val="00BA2B9C"/>
    <w:rsid w:val="00BA3351"/>
    <w:rsid w:val="00BA3F17"/>
    <w:rsid w:val="00BA44ED"/>
    <w:rsid w:val="00BA4B72"/>
    <w:rsid w:val="00BA53A1"/>
    <w:rsid w:val="00BA5B53"/>
    <w:rsid w:val="00BA6349"/>
    <w:rsid w:val="00BA63B1"/>
    <w:rsid w:val="00BA641D"/>
    <w:rsid w:val="00BA6505"/>
    <w:rsid w:val="00BA66BA"/>
    <w:rsid w:val="00BA68A6"/>
    <w:rsid w:val="00BA6D05"/>
    <w:rsid w:val="00BA7136"/>
    <w:rsid w:val="00BA7631"/>
    <w:rsid w:val="00BA7715"/>
    <w:rsid w:val="00BA774F"/>
    <w:rsid w:val="00BA78B6"/>
    <w:rsid w:val="00BA79B5"/>
    <w:rsid w:val="00BA7DE9"/>
    <w:rsid w:val="00BB0147"/>
    <w:rsid w:val="00BB016A"/>
    <w:rsid w:val="00BB03B2"/>
    <w:rsid w:val="00BB0499"/>
    <w:rsid w:val="00BB05CE"/>
    <w:rsid w:val="00BB0840"/>
    <w:rsid w:val="00BB112D"/>
    <w:rsid w:val="00BB18AD"/>
    <w:rsid w:val="00BB20BA"/>
    <w:rsid w:val="00BB24DF"/>
    <w:rsid w:val="00BB26AD"/>
    <w:rsid w:val="00BB2930"/>
    <w:rsid w:val="00BB2EC7"/>
    <w:rsid w:val="00BB3D25"/>
    <w:rsid w:val="00BB3F38"/>
    <w:rsid w:val="00BB447D"/>
    <w:rsid w:val="00BB4692"/>
    <w:rsid w:val="00BB488D"/>
    <w:rsid w:val="00BB4C05"/>
    <w:rsid w:val="00BB4EF1"/>
    <w:rsid w:val="00BB5320"/>
    <w:rsid w:val="00BB53CD"/>
    <w:rsid w:val="00BB53F9"/>
    <w:rsid w:val="00BB5743"/>
    <w:rsid w:val="00BB5E6F"/>
    <w:rsid w:val="00BB5E96"/>
    <w:rsid w:val="00BB679F"/>
    <w:rsid w:val="00BB697F"/>
    <w:rsid w:val="00BB6D2B"/>
    <w:rsid w:val="00BB716E"/>
    <w:rsid w:val="00BB7613"/>
    <w:rsid w:val="00BB79BD"/>
    <w:rsid w:val="00BC0825"/>
    <w:rsid w:val="00BC0D80"/>
    <w:rsid w:val="00BC0EA7"/>
    <w:rsid w:val="00BC0EAB"/>
    <w:rsid w:val="00BC10E6"/>
    <w:rsid w:val="00BC1220"/>
    <w:rsid w:val="00BC1250"/>
    <w:rsid w:val="00BC1829"/>
    <w:rsid w:val="00BC189D"/>
    <w:rsid w:val="00BC20B3"/>
    <w:rsid w:val="00BC2EA2"/>
    <w:rsid w:val="00BC3211"/>
    <w:rsid w:val="00BC3516"/>
    <w:rsid w:val="00BC364C"/>
    <w:rsid w:val="00BC435A"/>
    <w:rsid w:val="00BC491B"/>
    <w:rsid w:val="00BC51C4"/>
    <w:rsid w:val="00BC55A3"/>
    <w:rsid w:val="00BC57D6"/>
    <w:rsid w:val="00BC59B3"/>
    <w:rsid w:val="00BC666B"/>
    <w:rsid w:val="00BC68EC"/>
    <w:rsid w:val="00BC6918"/>
    <w:rsid w:val="00BC6DC2"/>
    <w:rsid w:val="00BC71EC"/>
    <w:rsid w:val="00BC7208"/>
    <w:rsid w:val="00BD0A76"/>
    <w:rsid w:val="00BD0B48"/>
    <w:rsid w:val="00BD0C97"/>
    <w:rsid w:val="00BD0CA7"/>
    <w:rsid w:val="00BD1052"/>
    <w:rsid w:val="00BD1425"/>
    <w:rsid w:val="00BD15FD"/>
    <w:rsid w:val="00BD1643"/>
    <w:rsid w:val="00BD1877"/>
    <w:rsid w:val="00BD1DF0"/>
    <w:rsid w:val="00BD1E24"/>
    <w:rsid w:val="00BD271D"/>
    <w:rsid w:val="00BD2761"/>
    <w:rsid w:val="00BD2A0A"/>
    <w:rsid w:val="00BD2DEA"/>
    <w:rsid w:val="00BD3609"/>
    <w:rsid w:val="00BD3653"/>
    <w:rsid w:val="00BD3DA7"/>
    <w:rsid w:val="00BD3EE6"/>
    <w:rsid w:val="00BD41FD"/>
    <w:rsid w:val="00BD462E"/>
    <w:rsid w:val="00BD4A83"/>
    <w:rsid w:val="00BD4CE7"/>
    <w:rsid w:val="00BD5006"/>
    <w:rsid w:val="00BD55E2"/>
    <w:rsid w:val="00BD57F5"/>
    <w:rsid w:val="00BD59BD"/>
    <w:rsid w:val="00BD59C1"/>
    <w:rsid w:val="00BD5BEA"/>
    <w:rsid w:val="00BD5D0F"/>
    <w:rsid w:val="00BD5D9A"/>
    <w:rsid w:val="00BD674C"/>
    <w:rsid w:val="00BD6D8F"/>
    <w:rsid w:val="00BD7025"/>
    <w:rsid w:val="00BD7176"/>
    <w:rsid w:val="00BD75BA"/>
    <w:rsid w:val="00BD761A"/>
    <w:rsid w:val="00BD7863"/>
    <w:rsid w:val="00BD7A45"/>
    <w:rsid w:val="00BD7A71"/>
    <w:rsid w:val="00BD7C68"/>
    <w:rsid w:val="00BD7EDB"/>
    <w:rsid w:val="00BE034B"/>
    <w:rsid w:val="00BE061D"/>
    <w:rsid w:val="00BE08AA"/>
    <w:rsid w:val="00BE0CC9"/>
    <w:rsid w:val="00BE0EAD"/>
    <w:rsid w:val="00BE15B2"/>
    <w:rsid w:val="00BE1CBC"/>
    <w:rsid w:val="00BE1F49"/>
    <w:rsid w:val="00BE27F9"/>
    <w:rsid w:val="00BE291C"/>
    <w:rsid w:val="00BE29DC"/>
    <w:rsid w:val="00BE358D"/>
    <w:rsid w:val="00BE4254"/>
    <w:rsid w:val="00BE4F69"/>
    <w:rsid w:val="00BE50DB"/>
    <w:rsid w:val="00BE5132"/>
    <w:rsid w:val="00BE5158"/>
    <w:rsid w:val="00BE5393"/>
    <w:rsid w:val="00BE5C7D"/>
    <w:rsid w:val="00BE5D36"/>
    <w:rsid w:val="00BE62E9"/>
    <w:rsid w:val="00BE6AB2"/>
    <w:rsid w:val="00BE6BD1"/>
    <w:rsid w:val="00BE70D7"/>
    <w:rsid w:val="00BE78C5"/>
    <w:rsid w:val="00BF1393"/>
    <w:rsid w:val="00BF18B4"/>
    <w:rsid w:val="00BF1CFD"/>
    <w:rsid w:val="00BF1EA0"/>
    <w:rsid w:val="00BF2170"/>
    <w:rsid w:val="00BF254B"/>
    <w:rsid w:val="00BF27F4"/>
    <w:rsid w:val="00BF383F"/>
    <w:rsid w:val="00BF393C"/>
    <w:rsid w:val="00BF3A71"/>
    <w:rsid w:val="00BF432C"/>
    <w:rsid w:val="00BF4341"/>
    <w:rsid w:val="00BF486D"/>
    <w:rsid w:val="00BF4A4D"/>
    <w:rsid w:val="00BF4B12"/>
    <w:rsid w:val="00BF4BCF"/>
    <w:rsid w:val="00BF4EEB"/>
    <w:rsid w:val="00BF60E7"/>
    <w:rsid w:val="00BF65EA"/>
    <w:rsid w:val="00BF6724"/>
    <w:rsid w:val="00BF697A"/>
    <w:rsid w:val="00BF6ADB"/>
    <w:rsid w:val="00BF6D5A"/>
    <w:rsid w:val="00BF6E2E"/>
    <w:rsid w:val="00BF7139"/>
    <w:rsid w:val="00BF78A0"/>
    <w:rsid w:val="00C01E9A"/>
    <w:rsid w:val="00C01EB9"/>
    <w:rsid w:val="00C027EC"/>
    <w:rsid w:val="00C02DA5"/>
    <w:rsid w:val="00C02F96"/>
    <w:rsid w:val="00C0303B"/>
    <w:rsid w:val="00C030C4"/>
    <w:rsid w:val="00C03776"/>
    <w:rsid w:val="00C03E66"/>
    <w:rsid w:val="00C04138"/>
    <w:rsid w:val="00C04320"/>
    <w:rsid w:val="00C046A1"/>
    <w:rsid w:val="00C04845"/>
    <w:rsid w:val="00C04B9F"/>
    <w:rsid w:val="00C04E42"/>
    <w:rsid w:val="00C051EF"/>
    <w:rsid w:val="00C0523C"/>
    <w:rsid w:val="00C0573B"/>
    <w:rsid w:val="00C06689"/>
    <w:rsid w:val="00C069AA"/>
    <w:rsid w:val="00C07129"/>
    <w:rsid w:val="00C074D9"/>
    <w:rsid w:val="00C0753E"/>
    <w:rsid w:val="00C077B4"/>
    <w:rsid w:val="00C078B4"/>
    <w:rsid w:val="00C07B11"/>
    <w:rsid w:val="00C07C10"/>
    <w:rsid w:val="00C1007B"/>
    <w:rsid w:val="00C10287"/>
    <w:rsid w:val="00C10A80"/>
    <w:rsid w:val="00C10A86"/>
    <w:rsid w:val="00C10F1C"/>
    <w:rsid w:val="00C1121F"/>
    <w:rsid w:val="00C11C8D"/>
    <w:rsid w:val="00C12078"/>
    <w:rsid w:val="00C120E9"/>
    <w:rsid w:val="00C12199"/>
    <w:rsid w:val="00C125FA"/>
    <w:rsid w:val="00C12BED"/>
    <w:rsid w:val="00C12C3F"/>
    <w:rsid w:val="00C13585"/>
    <w:rsid w:val="00C13821"/>
    <w:rsid w:val="00C13A14"/>
    <w:rsid w:val="00C13BBA"/>
    <w:rsid w:val="00C13D53"/>
    <w:rsid w:val="00C13E76"/>
    <w:rsid w:val="00C14051"/>
    <w:rsid w:val="00C144A1"/>
    <w:rsid w:val="00C14808"/>
    <w:rsid w:val="00C14908"/>
    <w:rsid w:val="00C1495E"/>
    <w:rsid w:val="00C14DC6"/>
    <w:rsid w:val="00C15070"/>
    <w:rsid w:val="00C15667"/>
    <w:rsid w:val="00C159C2"/>
    <w:rsid w:val="00C15C49"/>
    <w:rsid w:val="00C15E1E"/>
    <w:rsid w:val="00C15F73"/>
    <w:rsid w:val="00C16706"/>
    <w:rsid w:val="00C16889"/>
    <w:rsid w:val="00C16C6F"/>
    <w:rsid w:val="00C17984"/>
    <w:rsid w:val="00C17B9F"/>
    <w:rsid w:val="00C2037B"/>
    <w:rsid w:val="00C2069C"/>
    <w:rsid w:val="00C20A4C"/>
    <w:rsid w:val="00C20CB3"/>
    <w:rsid w:val="00C20FC2"/>
    <w:rsid w:val="00C215D6"/>
    <w:rsid w:val="00C217CB"/>
    <w:rsid w:val="00C2181D"/>
    <w:rsid w:val="00C2182F"/>
    <w:rsid w:val="00C21A19"/>
    <w:rsid w:val="00C21B35"/>
    <w:rsid w:val="00C21F30"/>
    <w:rsid w:val="00C2205A"/>
    <w:rsid w:val="00C22250"/>
    <w:rsid w:val="00C22791"/>
    <w:rsid w:val="00C22935"/>
    <w:rsid w:val="00C22B0B"/>
    <w:rsid w:val="00C22FF7"/>
    <w:rsid w:val="00C23C7A"/>
    <w:rsid w:val="00C23DC9"/>
    <w:rsid w:val="00C23EDF"/>
    <w:rsid w:val="00C24792"/>
    <w:rsid w:val="00C24D6C"/>
    <w:rsid w:val="00C25009"/>
    <w:rsid w:val="00C25670"/>
    <w:rsid w:val="00C25773"/>
    <w:rsid w:val="00C25C69"/>
    <w:rsid w:val="00C25F93"/>
    <w:rsid w:val="00C26760"/>
    <w:rsid w:val="00C26945"/>
    <w:rsid w:val="00C26B34"/>
    <w:rsid w:val="00C26C9C"/>
    <w:rsid w:val="00C26E5B"/>
    <w:rsid w:val="00C27064"/>
    <w:rsid w:val="00C27859"/>
    <w:rsid w:val="00C279F4"/>
    <w:rsid w:val="00C27A10"/>
    <w:rsid w:val="00C27A2F"/>
    <w:rsid w:val="00C27AC0"/>
    <w:rsid w:val="00C27DBA"/>
    <w:rsid w:val="00C27F75"/>
    <w:rsid w:val="00C27F76"/>
    <w:rsid w:val="00C27F82"/>
    <w:rsid w:val="00C27F83"/>
    <w:rsid w:val="00C30193"/>
    <w:rsid w:val="00C30237"/>
    <w:rsid w:val="00C3055E"/>
    <w:rsid w:val="00C30655"/>
    <w:rsid w:val="00C30DA4"/>
    <w:rsid w:val="00C3110C"/>
    <w:rsid w:val="00C313CB"/>
    <w:rsid w:val="00C31B4F"/>
    <w:rsid w:val="00C320EE"/>
    <w:rsid w:val="00C33221"/>
    <w:rsid w:val="00C3329F"/>
    <w:rsid w:val="00C3338A"/>
    <w:rsid w:val="00C334EC"/>
    <w:rsid w:val="00C339AD"/>
    <w:rsid w:val="00C33B79"/>
    <w:rsid w:val="00C33D7F"/>
    <w:rsid w:val="00C33E25"/>
    <w:rsid w:val="00C341E4"/>
    <w:rsid w:val="00C34334"/>
    <w:rsid w:val="00C34BA3"/>
    <w:rsid w:val="00C350EB"/>
    <w:rsid w:val="00C35470"/>
    <w:rsid w:val="00C35F65"/>
    <w:rsid w:val="00C36087"/>
    <w:rsid w:val="00C36140"/>
    <w:rsid w:val="00C36513"/>
    <w:rsid w:val="00C365BE"/>
    <w:rsid w:val="00C36E65"/>
    <w:rsid w:val="00C3788C"/>
    <w:rsid w:val="00C400FB"/>
    <w:rsid w:val="00C402CE"/>
    <w:rsid w:val="00C40CF2"/>
    <w:rsid w:val="00C40EF0"/>
    <w:rsid w:val="00C4111A"/>
    <w:rsid w:val="00C41124"/>
    <w:rsid w:val="00C41688"/>
    <w:rsid w:val="00C41954"/>
    <w:rsid w:val="00C41A87"/>
    <w:rsid w:val="00C427AF"/>
    <w:rsid w:val="00C427CE"/>
    <w:rsid w:val="00C42805"/>
    <w:rsid w:val="00C4289D"/>
    <w:rsid w:val="00C42FAE"/>
    <w:rsid w:val="00C4337B"/>
    <w:rsid w:val="00C43536"/>
    <w:rsid w:val="00C43A44"/>
    <w:rsid w:val="00C43B98"/>
    <w:rsid w:val="00C44046"/>
    <w:rsid w:val="00C44719"/>
    <w:rsid w:val="00C44A9B"/>
    <w:rsid w:val="00C44D76"/>
    <w:rsid w:val="00C4505B"/>
    <w:rsid w:val="00C455B8"/>
    <w:rsid w:val="00C4589D"/>
    <w:rsid w:val="00C45D83"/>
    <w:rsid w:val="00C461D2"/>
    <w:rsid w:val="00C46874"/>
    <w:rsid w:val="00C4690E"/>
    <w:rsid w:val="00C46BC4"/>
    <w:rsid w:val="00C46EDD"/>
    <w:rsid w:val="00C471ED"/>
    <w:rsid w:val="00C47438"/>
    <w:rsid w:val="00C4779C"/>
    <w:rsid w:val="00C47B4D"/>
    <w:rsid w:val="00C47D00"/>
    <w:rsid w:val="00C47D5C"/>
    <w:rsid w:val="00C47F43"/>
    <w:rsid w:val="00C50108"/>
    <w:rsid w:val="00C50611"/>
    <w:rsid w:val="00C50E40"/>
    <w:rsid w:val="00C5120C"/>
    <w:rsid w:val="00C51610"/>
    <w:rsid w:val="00C51BC8"/>
    <w:rsid w:val="00C51BFF"/>
    <w:rsid w:val="00C51E37"/>
    <w:rsid w:val="00C51F6A"/>
    <w:rsid w:val="00C5211B"/>
    <w:rsid w:val="00C5248F"/>
    <w:rsid w:val="00C529DD"/>
    <w:rsid w:val="00C52DCD"/>
    <w:rsid w:val="00C530AC"/>
    <w:rsid w:val="00C53422"/>
    <w:rsid w:val="00C537C4"/>
    <w:rsid w:val="00C53AB9"/>
    <w:rsid w:val="00C53EA6"/>
    <w:rsid w:val="00C543BA"/>
    <w:rsid w:val="00C54757"/>
    <w:rsid w:val="00C54B80"/>
    <w:rsid w:val="00C54D1E"/>
    <w:rsid w:val="00C54DFD"/>
    <w:rsid w:val="00C557D1"/>
    <w:rsid w:val="00C55AC6"/>
    <w:rsid w:val="00C55B40"/>
    <w:rsid w:val="00C55CF3"/>
    <w:rsid w:val="00C560BC"/>
    <w:rsid w:val="00C56224"/>
    <w:rsid w:val="00C563B7"/>
    <w:rsid w:val="00C5692C"/>
    <w:rsid w:val="00C56FB5"/>
    <w:rsid w:val="00C57857"/>
    <w:rsid w:val="00C57AB0"/>
    <w:rsid w:val="00C57C7F"/>
    <w:rsid w:val="00C57D74"/>
    <w:rsid w:val="00C60128"/>
    <w:rsid w:val="00C60ED4"/>
    <w:rsid w:val="00C61337"/>
    <w:rsid w:val="00C61FDC"/>
    <w:rsid w:val="00C6247C"/>
    <w:rsid w:val="00C62593"/>
    <w:rsid w:val="00C628FD"/>
    <w:rsid w:val="00C62919"/>
    <w:rsid w:val="00C63309"/>
    <w:rsid w:val="00C63AA5"/>
    <w:rsid w:val="00C63F77"/>
    <w:rsid w:val="00C64110"/>
    <w:rsid w:val="00C64200"/>
    <w:rsid w:val="00C64AE3"/>
    <w:rsid w:val="00C64F8B"/>
    <w:rsid w:val="00C6519C"/>
    <w:rsid w:val="00C6572C"/>
    <w:rsid w:val="00C659E3"/>
    <w:rsid w:val="00C65BB5"/>
    <w:rsid w:val="00C66DAE"/>
    <w:rsid w:val="00C66F88"/>
    <w:rsid w:val="00C6700A"/>
    <w:rsid w:val="00C6706B"/>
    <w:rsid w:val="00C674CB"/>
    <w:rsid w:val="00C6799A"/>
    <w:rsid w:val="00C67AC4"/>
    <w:rsid w:val="00C67CA4"/>
    <w:rsid w:val="00C708F7"/>
    <w:rsid w:val="00C70CFF"/>
    <w:rsid w:val="00C71531"/>
    <w:rsid w:val="00C7179B"/>
    <w:rsid w:val="00C7191A"/>
    <w:rsid w:val="00C71954"/>
    <w:rsid w:val="00C71A6A"/>
    <w:rsid w:val="00C71B06"/>
    <w:rsid w:val="00C71E7E"/>
    <w:rsid w:val="00C71F2A"/>
    <w:rsid w:val="00C721DE"/>
    <w:rsid w:val="00C724D8"/>
    <w:rsid w:val="00C727DA"/>
    <w:rsid w:val="00C72A86"/>
    <w:rsid w:val="00C73743"/>
    <w:rsid w:val="00C73F26"/>
    <w:rsid w:val="00C74092"/>
    <w:rsid w:val="00C7417D"/>
    <w:rsid w:val="00C74286"/>
    <w:rsid w:val="00C74608"/>
    <w:rsid w:val="00C748BE"/>
    <w:rsid w:val="00C74A1C"/>
    <w:rsid w:val="00C75141"/>
    <w:rsid w:val="00C7528A"/>
    <w:rsid w:val="00C755BF"/>
    <w:rsid w:val="00C75655"/>
    <w:rsid w:val="00C75D4E"/>
    <w:rsid w:val="00C76026"/>
    <w:rsid w:val="00C761FB"/>
    <w:rsid w:val="00C7672B"/>
    <w:rsid w:val="00C7691A"/>
    <w:rsid w:val="00C76AF3"/>
    <w:rsid w:val="00C76BE0"/>
    <w:rsid w:val="00C76E2F"/>
    <w:rsid w:val="00C771F5"/>
    <w:rsid w:val="00C77501"/>
    <w:rsid w:val="00C776D0"/>
    <w:rsid w:val="00C7782B"/>
    <w:rsid w:val="00C77A1F"/>
    <w:rsid w:val="00C8021F"/>
    <w:rsid w:val="00C80CA5"/>
    <w:rsid w:val="00C819B7"/>
    <w:rsid w:val="00C81B25"/>
    <w:rsid w:val="00C81C5B"/>
    <w:rsid w:val="00C81DE1"/>
    <w:rsid w:val="00C82414"/>
    <w:rsid w:val="00C8255A"/>
    <w:rsid w:val="00C82562"/>
    <w:rsid w:val="00C82588"/>
    <w:rsid w:val="00C8277C"/>
    <w:rsid w:val="00C82819"/>
    <w:rsid w:val="00C82D00"/>
    <w:rsid w:val="00C82FAF"/>
    <w:rsid w:val="00C83083"/>
    <w:rsid w:val="00C830DF"/>
    <w:rsid w:val="00C83649"/>
    <w:rsid w:val="00C837C3"/>
    <w:rsid w:val="00C83EF4"/>
    <w:rsid w:val="00C84497"/>
    <w:rsid w:val="00C8452F"/>
    <w:rsid w:val="00C84768"/>
    <w:rsid w:val="00C8539D"/>
    <w:rsid w:val="00C854A6"/>
    <w:rsid w:val="00C85651"/>
    <w:rsid w:val="00C85F17"/>
    <w:rsid w:val="00C85F76"/>
    <w:rsid w:val="00C868F6"/>
    <w:rsid w:val="00C86953"/>
    <w:rsid w:val="00C869F3"/>
    <w:rsid w:val="00C86A40"/>
    <w:rsid w:val="00C86ACE"/>
    <w:rsid w:val="00C87F6C"/>
    <w:rsid w:val="00C9039E"/>
    <w:rsid w:val="00C90BCA"/>
    <w:rsid w:val="00C90D91"/>
    <w:rsid w:val="00C90FC9"/>
    <w:rsid w:val="00C9137C"/>
    <w:rsid w:val="00C91385"/>
    <w:rsid w:val="00C914E0"/>
    <w:rsid w:val="00C91644"/>
    <w:rsid w:val="00C916E9"/>
    <w:rsid w:val="00C917B7"/>
    <w:rsid w:val="00C91F44"/>
    <w:rsid w:val="00C91FE4"/>
    <w:rsid w:val="00C926EC"/>
    <w:rsid w:val="00C92A17"/>
    <w:rsid w:val="00C930D3"/>
    <w:rsid w:val="00C93556"/>
    <w:rsid w:val="00C9368B"/>
    <w:rsid w:val="00C93703"/>
    <w:rsid w:val="00C93F15"/>
    <w:rsid w:val="00C94FEB"/>
    <w:rsid w:val="00C9506A"/>
    <w:rsid w:val="00C95116"/>
    <w:rsid w:val="00C95590"/>
    <w:rsid w:val="00C95698"/>
    <w:rsid w:val="00C9663B"/>
    <w:rsid w:val="00C96D64"/>
    <w:rsid w:val="00C9712A"/>
    <w:rsid w:val="00C97F72"/>
    <w:rsid w:val="00CA0458"/>
    <w:rsid w:val="00CA1356"/>
    <w:rsid w:val="00CA157E"/>
    <w:rsid w:val="00CA165B"/>
    <w:rsid w:val="00CA1844"/>
    <w:rsid w:val="00CA1C78"/>
    <w:rsid w:val="00CA2144"/>
    <w:rsid w:val="00CA267F"/>
    <w:rsid w:val="00CA269E"/>
    <w:rsid w:val="00CA2807"/>
    <w:rsid w:val="00CA2953"/>
    <w:rsid w:val="00CA2A39"/>
    <w:rsid w:val="00CA2A52"/>
    <w:rsid w:val="00CA2D50"/>
    <w:rsid w:val="00CA2E99"/>
    <w:rsid w:val="00CA328B"/>
    <w:rsid w:val="00CA3290"/>
    <w:rsid w:val="00CA348A"/>
    <w:rsid w:val="00CA34D2"/>
    <w:rsid w:val="00CA35C7"/>
    <w:rsid w:val="00CA3669"/>
    <w:rsid w:val="00CA382D"/>
    <w:rsid w:val="00CA3C2B"/>
    <w:rsid w:val="00CA435B"/>
    <w:rsid w:val="00CA435D"/>
    <w:rsid w:val="00CA43A5"/>
    <w:rsid w:val="00CA44FD"/>
    <w:rsid w:val="00CA44FF"/>
    <w:rsid w:val="00CA4B46"/>
    <w:rsid w:val="00CA4EFA"/>
    <w:rsid w:val="00CA515E"/>
    <w:rsid w:val="00CA5591"/>
    <w:rsid w:val="00CA5AB3"/>
    <w:rsid w:val="00CA5FDE"/>
    <w:rsid w:val="00CA64B6"/>
    <w:rsid w:val="00CA6DB1"/>
    <w:rsid w:val="00CA7063"/>
    <w:rsid w:val="00CA7240"/>
    <w:rsid w:val="00CA7C0B"/>
    <w:rsid w:val="00CA7FE7"/>
    <w:rsid w:val="00CB0C94"/>
    <w:rsid w:val="00CB1041"/>
    <w:rsid w:val="00CB14EB"/>
    <w:rsid w:val="00CB15D2"/>
    <w:rsid w:val="00CB170A"/>
    <w:rsid w:val="00CB18EB"/>
    <w:rsid w:val="00CB18FC"/>
    <w:rsid w:val="00CB1DCF"/>
    <w:rsid w:val="00CB2039"/>
    <w:rsid w:val="00CB217B"/>
    <w:rsid w:val="00CB244C"/>
    <w:rsid w:val="00CB27E5"/>
    <w:rsid w:val="00CB28AA"/>
    <w:rsid w:val="00CB2EB9"/>
    <w:rsid w:val="00CB45B6"/>
    <w:rsid w:val="00CB4616"/>
    <w:rsid w:val="00CB4F30"/>
    <w:rsid w:val="00CB529C"/>
    <w:rsid w:val="00CB56AB"/>
    <w:rsid w:val="00CB57F8"/>
    <w:rsid w:val="00CB5C32"/>
    <w:rsid w:val="00CB5C5E"/>
    <w:rsid w:val="00CB6566"/>
    <w:rsid w:val="00CB65BF"/>
    <w:rsid w:val="00CB678B"/>
    <w:rsid w:val="00CB6B9A"/>
    <w:rsid w:val="00CB6C39"/>
    <w:rsid w:val="00CB6E2B"/>
    <w:rsid w:val="00CB6FF7"/>
    <w:rsid w:val="00CB70C2"/>
    <w:rsid w:val="00CB72F5"/>
    <w:rsid w:val="00CB7302"/>
    <w:rsid w:val="00CB7371"/>
    <w:rsid w:val="00CB7550"/>
    <w:rsid w:val="00CB776F"/>
    <w:rsid w:val="00CB792D"/>
    <w:rsid w:val="00CB7B64"/>
    <w:rsid w:val="00CC05C7"/>
    <w:rsid w:val="00CC086F"/>
    <w:rsid w:val="00CC0C4B"/>
    <w:rsid w:val="00CC0CC3"/>
    <w:rsid w:val="00CC13CF"/>
    <w:rsid w:val="00CC1560"/>
    <w:rsid w:val="00CC1D86"/>
    <w:rsid w:val="00CC1E9F"/>
    <w:rsid w:val="00CC21F5"/>
    <w:rsid w:val="00CC28CE"/>
    <w:rsid w:val="00CC36A5"/>
    <w:rsid w:val="00CC396E"/>
    <w:rsid w:val="00CC3AB6"/>
    <w:rsid w:val="00CC4551"/>
    <w:rsid w:val="00CC45EC"/>
    <w:rsid w:val="00CC46A4"/>
    <w:rsid w:val="00CC4727"/>
    <w:rsid w:val="00CC5684"/>
    <w:rsid w:val="00CC5896"/>
    <w:rsid w:val="00CC5ADD"/>
    <w:rsid w:val="00CC5AFC"/>
    <w:rsid w:val="00CC5C86"/>
    <w:rsid w:val="00CC6417"/>
    <w:rsid w:val="00CC6453"/>
    <w:rsid w:val="00CC69B4"/>
    <w:rsid w:val="00CC6F89"/>
    <w:rsid w:val="00CC7829"/>
    <w:rsid w:val="00CC7842"/>
    <w:rsid w:val="00CC7F6E"/>
    <w:rsid w:val="00CD045F"/>
    <w:rsid w:val="00CD0C56"/>
    <w:rsid w:val="00CD12FE"/>
    <w:rsid w:val="00CD163A"/>
    <w:rsid w:val="00CD17C6"/>
    <w:rsid w:val="00CD1EAB"/>
    <w:rsid w:val="00CD2073"/>
    <w:rsid w:val="00CD272B"/>
    <w:rsid w:val="00CD28F1"/>
    <w:rsid w:val="00CD2B54"/>
    <w:rsid w:val="00CD2D39"/>
    <w:rsid w:val="00CD2E7F"/>
    <w:rsid w:val="00CD3759"/>
    <w:rsid w:val="00CD3927"/>
    <w:rsid w:val="00CD3A9D"/>
    <w:rsid w:val="00CD3EA6"/>
    <w:rsid w:val="00CD4158"/>
    <w:rsid w:val="00CD498E"/>
    <w:rsid w:val="00CD5007"/>
    <w:rsid w:val="00CD50AF"/>
    <w:rsid w:val="00CD538E"/>
    <w:rsid w:val="00CD5733"/>
    <w:rsid w:val="00CD5988"/>
    <w:rsid w:val="00CD5A0D"/>
    <w:rsid w:val="00CD6379"/>
    <w:rsid w:val="00CD699B"/>
    <w:rsid w:val="00CD6A2B"/>
    <w:rsid w:val="00CD6C9C"/>
    <w:rsid w:val="00CD7887"/>
    <w:rsid w:val="00CD7ECC"/>
    <w:rsid w:val="00CD7F9A"/>
    <w:rsid w:val="00CE00B9"/>
    <w:rsid w:val="00CE02FA"/>
    <w:rsid w:val="00CE042C"/>
    <w:rsid w:val="00CE0483"/>
    <w:rsid w:val="00CE0C35"/>
    <w:rsid w:val="00CE10F2"/>
    <w:rsid w:val="00CE2078"/>
    <w:rsid w:val="00CE20F3"/>
    <w:rsid w:val="00CE241A"/>
    <w:rsid w:val="00CE2717"/>
    <w:rsid w:val="00CE3603"/>
    <w:rsid w:val="00CE3810"/>
    <w:rsid w:val="00CE38A0"/>
    <w:rsid w:val="00CE3A1B"/>
    <w:rsid w:val="00CE3B64"/>
    <w:rsid w:val="00CE44B9"/>
    <w:rsid w:val="00CE49D1"/>
    <w:rsid w:val="00CE4F4D"/>
    <w:rsid w:val="00CE52B4"/>
    <w:rsid w:val="00CE59BB"/>
    <w:rsid w:val="00CE5A42"/>
    <w:rsid w:val="00CE5DCD"/>
    <w:rsid w:val="00CE61E0"/>
    <w:rsid w:val="00CE6875"/>
    <w:rsid w:val="00CE693F"/>
    <w:rsid w:val="00CE6A22"/>
    <w:rsid w:val="00CE6E0B"/>
    <w:rsid w:val="00CE701C"/>
    <w:rsid w:val="00CE7262"/>
    <w:rsid w:val="00CE72C7"/>
    <w:rsid w:val="00CE7599"/>
    <w:rsid w:val="00CE7A73"/>
    <w:rsid w:val="00CE7B2A"/>
    <w:rsid w:val="00CE7EB7"/>
    <w:rsid w:val="00CF04EC"/>
    <w:rsid w:val="00CF0A6F"/>
    <w:rsid w:val="00CF0F99"/>
    <w:rsid w:val="00CF1528"/>
    <w:rsid w:val="00CF17FD"/>
    <w:rsid w:val="00CF1AA5"/>
    <w:rsid w:val="00CF2095"/>
    <w:rsid w:val="00CF2597"/>
    <w:rsid w:val="00CF28BA"/>
    <w:rsid w:val="00CF2A62"/>
    <w:rsid w:val="00CF2A9C"/>
    <w:rsid w:val="00CF2C3A"/>
    <w:rsid w:val="00CF3046"/>
    <w:rsid w:val="00CF304F"/>
    <w:rsid w:val="00CF362E"/>
    <w:rsid w:val="00CF412A"/>
    <w:rsid w:val="00CF414A"/>
    <w:rsid w:val="00CF4552"/>
    <w:rsid w:val="00CF47E1"/>
    <w:rsid w:val="00CF4FC1"/>
    <w:rsid w:val="00CF4FF0"/>
    <w:rsid w:val="00CF57B0"/>
    <w:rsid w:val="00CF5B47"/>
    <w:rsid w:val="00CF5D3A"/>
    <w:rsid w:val="00CF607B"/>
    <w:rsid w:val="00CF6368"/>
    <w:rsid w:val="00CF66AA"/>
    <w:rsid w:val="00CF6869"/>
    <w:rsid w:val="00CF6A94"/>
    <w:rsid w:val="00CF6AF0"/>
    <w:rsid w:val="00CF6D28"/>
    <w:rsid w:val="00CF797A"/>
    <w:rsid w:val="00CF7D2A"/>
    <w:rsid w:val="00CF7FB2"/>
    <w:rsid w:val="00D00B76"/>
    <w:rsid w:val="00D00C6D"/>
    <w:rsid w:val="00D0111A"/>
    <w:rsid w:val="00D0122F"/>
    <w:rsid w:val="00D013CF"/>
    <w:rsid w:val="00D01D43"/>
    <w:rsid w:val="00D01FBC"/>
    <w:rsid w:val="00D020B8"/>
    <w:rsid w:val="00D032BC"/>
    <w:rsid w:val="00D0356A"/>
    <w:rsid w:val="00D04FDD"/>
    <w:rsid w:val="00D0675D"/>
    <w:rsid w:val="00D068F4"/>
    <w:rsid w:val="00D06BA0"/>
    <w:rsid w:val="00D076EF"/>
    <w:rsid w:val="00D07E12"/>
    <w:rsid w:val="00D1017C"/>
    <w:rsid w:val="00D104F9"/>
    <w:rsid w:val="00D10A33"/>
    <w:rsid w:val="00D10CC6"/>
    <w:rsid w:val="00D10D62"/>
    <w:rsid w:val="00D10EEF"/>
    <w:rsid w:val="00D10F99"/>
    <w:rsid w:val="00D11050"/>
    <w:rsid w:val="00D11216"/>
    <w:rsid w:val="00D123E9"/>
    <w:rsid w:val="00D1270A"/>
    <w:rsid w:val="00D12A6E"/>
    <w:rsid w:val="00D12B38"/>
    <w:rsid w:val="00D12DD6"/>
    <w:rsid w:val="00D1385B"/>
    <w:rsid w:val="00D1387D"/>
    <w:rsid w:val="00D139E7"/>
    <w:rsid w:val="00D13A13"/>
    <w:rsid w:val="00D14323"/>
    <w:rsid w:val="00D1457A"/>
    <w:rsid w:val="00D14763"/>
    <w:rsid w:val="00D14E10"/>
    <w:rsid w:val="00D15088"/>
    <w:rsid w:val="00D150A1"/>
    <w:rsid w:val="00D1581D"/>
    <w:rsid w:val="00D15A20"/>
    <w:rsid w:val="00D15B6D"/>
    <w:rsid w:val="00D15C8A"/>
    <w:rsid w:val="00D15D9F"/>
    <w:rsid w:val="00D16008"/>
    <w:rsid w:val="00D16148"/>
    <w:rsid w:val="00D16465"/>
    <w:rsid w:val="00D166D4"/>
    <w:rsid w:val="00D16AC3"/>
    <w:rsid w:val="00D1715F"/>
    <w:rsid w:val="00D20522"/>
    <w:rsid w:val="00D207DC"/>
    <w:rsid w:val="00D207FC"/>
    <w:rsid w:val="00D2099C"/>
    <w:rsid w:val="00D20D57"/>
    <w:rsid w:val="00D214B4"/>
    <w:rsid w:val="00D21856"/>
    <w:rsid w:val="00D21F1A"/>
    <w:rsid w:val="00D22631"/>
    <w:rsid w:val="00D22C8B"/>
    <w:rsid w:val="00D2300A"/>
    <w:rsid w:val="00D232E0"/>
    <w:rsid w:val="00D24071"/>
    <w:rsid w:val="00D244B9"/>
    <w:rsid w:val="00D24991"/>
    <w:rsid w:val="00D24993"/>
    <w:rsid w:val="00D24B8F"/>
    <w:rsid w:val="00D25093"/>
    <w:rsid w:val="00D2555A"/>
    <w:rsid w:val="00D25B17"/>
    <w:rsid w:val="00D2656C"/>
    <w:rsid w:val="00D2714A"/>
    <w:rsid w:val="00D27C8B"/>
    <w:rsid w:val="00D27F29"/>
    <w:rsid w:val="00D30254"/>
    <w:rsid w:val="00D3039D"/>
    <w:rsid w:val="00D30ED2"/>
    <w:rsid w:val="00D31641"/>
    <w:rsid w:val="00D31EAE"/>
    <w:rsid w:val="00D3204A"/>
    <w:rsid w:val="00D32572"/>
    <w:rsid w:val="00D32750"/>
    <w:rsid w:val="00D32931"/>
    <w:rsid w:val="00D32A20"/>
    <w:rsid w:val="00D32E33"/>
    <w:rsid w:val="00D32F46"/>
    <w:rsid w:val="00D335CB"/>
    <w:rsid w:val="00D335E7"/>
    <w:rsid w:val="00D33768"/>
    <w:rsid w:val="00D337BC"/>
    <w:rsid w:val="00D338CA"/>
    <w:rsid w:val="00D33AF7"/>
    <w:rsid w:val="00D33B0F"/>
    <w:rsid w:val="00D33C5C"/>
    <w:rsid w:val="00D33D87"/>
    <w:rsid w:val="00D33E88"/>
    <w:rsid w:val="00D3420B"/>
    <w:rsid w:val="00D34244"/>
    <w:rsid w:val="00D3433C"/>
    <w:rsid w:val="00D34943"/>
    <w:rsid w:val="00D34C7A"/>
    <w:rsid w:val="00D34F4A"/>
    <w:rsid w:val="00D35077"/>
    <w:rsid w:val="00D350C2"/>
    <w:rsid w:val="00D353B7"/>
    <w:rsid w:val="00D35A6E"/>
    <w:rsid w:val="00D3618E"/>
    <w:rsid w:val="00D3631D"/>
    <w:rsid w:val="00D3669D"/>
    <w:rsid w:val="00D36A41"/>
    <w:rsid w:val="00D36B48"/>
    <w:rsid w:val="00D36F5E"/>
    <w:rsid w:val="00D3717A"/>
    <w:rsid w:val="00D37193"/>
    <w:rsid w:val="00D374CE"/>
    <w:rsid w:val="00D37B0B"/>
    <w:rsid w:val="00D37B2F"/>
    <w:rsid w:val="00D4004C"/>
    <w:rsid w:val="00D4007F"/>
    <w:rsid w:val="00D4022D"/>
    <w:rsid w:val="00D40612"/>
    <w:rsid w:val="00D40835"/>
    <w:rsid w:val="00D408A8"/>
    <w:rsid w:val="00D40B57"/>
    <w:rsid w:val="00D40ECC"/>
    <w:rsid w:val="00D40FA8"/>
    <w:rsid w:val="00D41281"/>
    <w:rsid w:val="00D41458"/>
    <w:rsid w:val="00D415D6"/>
    <w:rsid w:val="00D41670"/>
    <w:rsid w:val="00D41844"/>
    <w:rsid w:val="00D418FE"/>
    <w:rsid w:val="00D41A2E"/>
    <w:rsid w:val="00D41A48"/>
    <w:rsid w:val="00D41A9C"/>
    <w:rsid w:val="00D41F54"/>
    <w:rsid w:val="00D4213B"/>
    <w:rsid w:val="00D4230A"/>
    <w:rsid w:val="00D43570"/>
    <w:rsid w:val="00D438BF"/>
    <w:rsid w:val="00D43C3C"/>
    <w:rsid w:val="00D43DC1"/>
    <w:rsid w:val="00D4404F"/>
    <w:rsid w:val="00D446C6"/>
    <w:rsid w:val="00D44A7C"/>
    <w:rsid w:val="00D451D2"/>
    <w:rsid w:val="00D45204"/>
    <w:rsid w:val="00D45B05"/>
    <w:rsid w:val="00D45BCD"/>
    <w:rsid w:val="00D45DD3"/>
    <w:rsid w:val="00D4647A"/>
    <w:rsid w:val="00D46911"/>
    <w:rsid w:val="00D46DAE"/>
    <w:rsid w:val="00D47717"/>
    <w:rsid w:val="00D47B2D"/>
    <w:rsid w:val="00D5028B"/>
    <w:rsid w:val="00D5033F"/>
    <w:rsid w:val="00D504D7"/>
    <w:rsid w:val="00D50955"/>
    <w:rsid w:val="00D51346"/>
    <w:rsid w:val="00D51478"/>
    <w:rsid w:val="00D517C5"/>
    <w:rsid w:val="00D51C8F"/>
    <w:rsid w:val="00D51CB6"/>
    <w:rsid w:val="00D5204B"/>
    <w:rsid w:val="00D525BB"/>
    <w:rsid w:val="00D527DA"/>
    <w:rsid w:val="00D528B0"/>
    <w:rsid w:val="00D5297B"/>
    <w:rsid w:val="00D52D14"/>
    <w:rsid w:val="00D52E05"/>
    <w:rsid w:val="00D53460"/>
    <w:rsid w:val="00D53776"/>
    <w:rsid w:val="00D53EB7"/>
    <w:rsid w:val="00D54256"/>
    <w:rsid w:val="00D54479"/>
    <w:rsid w:val="00D5491A"/>
    <w:rsid w:val="00D54C10"/>
    <w:rsid w:val="00D55191"/>
    <w:rsid w:val="00D5561F"/>
    <w:rsid w:val="00D5567A"/>
    <w:rsid w:val="00D55ACD"/>
    <w:rsid w:val="00D55CD0"/>
    <w:rsid w:val="00D56518"/>
    <w:rsid w:val="00D56D07"/>
    <w:rsid w:val="00D5705E"/>
    <w:rsid w:val="00D57106"/>
    <w:rsid w:val="00D57275"/>
    <w:rsid w:val="00D572DD"/>
    <w:rsid w:val="00D57302"/>
    <w:rsid w:val="00D57544"/>
    <w:rsid w:val="00D5754C"/>
    <w:rsid w:val="00D57973"/>
    <w:rsid w:val="00D57A14"/>
    <w:rsid w:val="00D60309"/>
    <w:rsid w:val="00D60704"/>
    <w:rsid w:val="00D60758"/>
    <w:rsid w:val="00D60C12"/>
    <w:rsid w:val="00D60CE2"/>
    <w:rsid w:val="00D61285"/>
    <w:rsid w:val="00D612DE"/>
    <w:rsid w:val="00D612EC"/>
    <w:rsid w:val="00D6153E"/>
    <w:rsid w:val="00D61B65"/>
    <w:rsid w:val="00D61B6A"/>
    <w:rsid w:val="00D61B74"/>
    <w:rsid w:val="00D61E80"/>
    <w:rsid w:val="00D6219E"/>
    <w:rsid w:val="00D623C4"/>
    <w:rsid w:val="00D62932"/>
    <w:rsid w:val="00D62CE8"/>
    <w:rsid w:val="00D6334E"/>
    <w:rsid w:val="00D63452"/>
    <w:rsid w:val="00D6373F"/>
    <w:rsid w:val="00D63964"/>
    <w:rsid w:val="00D63C73"/>
    <w:rsid w:val="00D64417"/>
    <w:rsid w:val="00D65054"/>
    <w:rsid w:val="00D659A8"/>
    <w:rsid w:val="00D65EB9"/>
    <w:rsid w:val="00D65FC4"/>
    <w:rsid w:val="00D65FCF"/>
    <w:rsid w:val="00D661BD"/>
    <w:rsid w:val="00D669D3"/>
    <w:rsid w:val="00D67A13"/>
    <w:rsid w:val="00D67A77"/>
    <w:rsid w:val="00D67A7E"/>
    <w:rsid w:val="00D67E77"/>
    <w:rsid w:val="00D67F40"/>
    <w:rsid w:val="00D70090"/>
    <w:rsid w:val="00D7040F"/>
    <w:rsid w:val="00D70501"/>
    <w:rsid w:val="00D705B2"/>
    <w:rsid w:val="00D7065C"/>
    <w:rsid w:val="00D70A5D"/>
    <w:rsid w:val="00D70AEB"/>
    <w:rsid w:val="00D716B1"/>
    <w:rsid w:val="00D722BD"/>
    <w:rsid w:val="00D722DF"/>
    <w:rsid w:val="00D72A2E"/>
    <w:rsid w:val="00D72A91"/>
    <w:rsid w:val="00D72F01"/>
    <w:rsid w:val="00D73123"/>
    <w:rsid w:val="00D7314B"/>
    <w:rsid w:val="00D7334E"/>
    <w:rsid w:val="00D733D6"/>
    <w:rsid w:val="00D73A11"/>
    <w:rsid w:val="00D73BDC"/>
    <w:rsid w:val="00D741FF"/>
    <w:rsid w:val="00D742EE"/>
    <w:rsid w:val="00D7587C"/>
    <w:rsid w:val="00D75B71"/>
    <w:rsid w:val="00D75BDA"/>
    <w:rsid w:val="00D769B9"/>
    <w:rsid w:val="00D76C5D"/>
    <w:rsid w:val="00D77530"/>
    <w:rsid w:val="00D77699"/>
    <w:rsid w:val="00D7780F"/>
    <w:rsid w:val="00D77989"/>
    <w:rsid w:val="00D77A0D"/>
    <w:rsid w:val="00D77AB4"/>
    <w:rsid w:val="00D77ACD"/>
    <w:rsid w:val="00D80577"/>
    <w:rsid w:val="00D80587"/>
    <w:rsid w:val="00D80635"/>
    <w:rsid w:val="00D80795"/>
    <w:rsid w:val="00D80A83"/>
    <w:rsid w:val="00D81A84"/>
    <w:rsid w:val="00D81C1D"/>
    <w:rsid w:val="00D81FE3"/>
    <w:rsid w:val="00D82A86"/>
    <w:rsid w:val="00D82B2B"/>
    <w:rsid w:val="00D82B3C"/>
    <w:rsid w:val="00D82B81"/>
    <w:rsid w:val="00D82E05"/>
    <w:rsid w:val="00D82E97"/>
    <w:rsid w:val="00D83043"/>
    <w:rsid w:val="00D83187"/>
    <w:rsid w:val="00D83F92"/>
    <w:rsid w:val="00D84675"/>
    <w:rsid w:val="00D84966"/>
    <w:rsid w:val="00D84D58"/>
    <w:rsid w:val="00D8526A"/>
    <w:rsid w:val="00D857AA"/>
    <w:rsid w:val="00D85B30"/>
    <w:rsid w:val="00D8617A"/>
    <w:rsid w:val="00D86252"/>
    <w:rsid w:val="00D86333"/>
    <w:rsid w:val="00D865E6"/>
    <w:rsid w:val="00D866F8"/>
    <w:rsid w:val="00D86B05"/>
    <w:rsid w:val="00D86E64"/>
    <w:rsid w:val="00D86EF5"/>
    <w:rsid w:val="00D86FE2"/>
    <w:rsid w:val="00D8720D"/>
    <w:rsid w:val="00D87CC5"/>
    <w:rsid w:val="00D87DA9"/>
    <w:rsid w:val="00D904DE"/>
    <w:rsid w:val="00D9085A"/>
    <w:rsid w:val="00D910BE"/>
    <w:rsid w:val="00D91155"/>
    <w:rsid w:val="00D917F3"/>
    <w:rsid w:val="00D91A48"/>
    <w:rsid w:val="00D92CA4"/>
    <w:rsid w:val="00D92E61"/>
    <w:rsid w:val="00D9355E"/>
    <w:rsid w:val="00D935BB"/>
    <w:rsid w:val="00D936DB"/>
    <w:rsid w:val="00D93B50"/>
    <w:rsid w:val="00D93C6B"/>
    <w:rsid w:val="00D93D91"/>
    <w:rsid w:val="00D94136"/>
    <w:rsid w:val="00D9480E"/>
    <w:rsid w:val="00D94BE5"/>
    <w:rsid w:val="00D95091"/>
    <w:rsid w:val="00D954DF"/>
    <w:rsid w:val="00D955CA"/>
    <w:rsid w:val="00D95AF0"/>
    <w:rsid w:val="00D95CB0"/>
    <w:rsid w:val="00D962EB"/>
    <w:rsid w:val="00D966F5"/>
    <w:rsid w:val="00D96D38"/>
    <w:rsid w:val="00D96E1A"/>
    <w:rsid w:val="00D973B2"/>
    <w:rsid w:val="00D97471"/>
    <w:rsid w:val="00D9779A"/>
    <w:rsid w:val="00D97968"/>
    <w:rsid w:val="00D97AA4"/>
    <w:rsid w:val="00D97B23"/>
    <w:rsid w:val="00D97BAA"/>
    <w:rsid w:val="00D97C1A"/>
    <w:rsid w:val="00DA0017"/>
    <w:rsid w:val="00DA01B6"/>
    <w:rsid w:val="00DA0435"/>
    <w:rsid w:val="00DA06A2"/>
    <w:rsid w:val="00DA06D0"/>
    <w:rsid w:val="00DA0837"/>
    <w:rsid w:val="00DA0A4D"/>
    <w:rsid w:val="00DA0AA0"/>
    <w:rsid w:val="00DA0EF6"/>
    <w:rsid w:val="00DA13EF"/>
    <w:rsid w:val="00DA149D"/>
    <w:rsid w:val="00DA1872"/>
    <w:rsid w:val="00DA1902"/>
    <w:rsid w:val="00DA1AE9"/>
    <w:rsid w:val="00DA1B08"/>
    <w:rsid w:val="00DA24EB"/>
    <w:rsid w:val="00DA2E7B"/>
    <w:rsid w:val="00DA3358"/>
    <w:rsid w:val="00DA3621"/>
    <w:rsid w:val="00DA3AF3"/>
    <w:rsid w:val="00DA3B68"/>
    <w:rsid w:val="00DA468D"/>
    <w:rsid w:val="00DA495A"/>
    <w:rsid w:val="00DA4C31"/>
    <w:rsid w:val="00DA544F"/>
    <w:rsid w:val="00DA5455"/>
    <w:rsid w:val="00DA555D"/>
    <w:rsid w:val="00DA56D5"/>
    <w:rsid w:val="00DA57F0"/>
    <w:rsid w:val="00DA5C2B"/>
    <w:rsid w:val="00DA5DCC"/>
    <w:rsid w:val="00DA604F"/>
    <w:rsid w:val="00DA65CD"/>
    <w:rsid w:val="00DA6C17"/>
    <w:rsid w:val="00DA6F07"/>
    <w:rsid w:val="00DA75AE"/>
    <w:rsid w:val="00DA79B6"/>
    <w:rsid w:val="00DA7A20"/>
    <w:rsid w:val="00DB03B1"/>
    <w:rsid w:val="00DB045B"/>
    <w:rsid w:val="00DB0632"/>
    <w:rsid w:val="00DB0CF6"/>
    <w:rsid w:val="00DB1369"/>
    <w:rsid w:val="00DB1525"/>
    <w:rsid w:val="00DB154A"/>
    <w:rsid w:val="00DB1563"/>
    <w:rsid w:val="00DB165A"/>
    <w:rsid w:val="00DB169E"/>
    <w:rsid w:val="00DB18A0"/>
    <w:rsid w:val="00DB1B04"/>
    <w:rsid w:val="00DB1EFA"/>
    <w:rsid w:val="00DB21BC"/>
    <w:rsid w:val="00DB2AC0"/>
    <w:rsid w:val="00DB2D71"/>
    <w:rsid w:val="00DB2E03"/>
    <w:rsid w:val="00DB2F67"/>
    <w:rsid w:val="00DB3026"/>
    <w:rsid w:val="00DB3661"/>
    <w:rsid w:val="00DB39A0"/>
    <w:rsid w:val="00DB3B2A"/>
    <w:rsid w:val="00DB3E83"/>
    <w:rsid w:val="00DB422A"/>
    <w:rsid w:val="00DB4237"/>
    <w:rsid w:val="00DB423A"/>
    <w:rsid w:val="00DB438A"/>
    <w:rsid w:val="00DB4568"/>
    <w:rsid w:val="00DB4754"/>
    <w:rsid w:val="00DB4897"/>
    <w:rsid w:val="00DB4C27"/>
    <w:rsid w:val="00DB4E02"/>
    <w:rsid w:val="00DB4F28"/>
    <w:rsid w:val="00DB4FE6"/>
    <w:rsid w:val="00DB5271"/>
    <w:rsid w:val="00DB57E5"/>
    <w:rsid w:val="00DB5EFB"/>
    <w:rsid w:val="00DB6758"/>
    <w:rsid w:val="00DB6E33"/>
    <w:rsid w:val="00DB6E53"/>
    <w:rsid w:val="00DB6EF1"/>
    <w:rsid w:val="00DB6F95"/>
    <w:rsid w:val="00DB72AF"/>
    <w:rsid w:val="00DB7560"/>
    <w:rsid w:val="00DB7732"/>
    <w:rsid w:val="00DC0158"/>
    <w:rsid w:val="00DC05E9"/>
    <w:rsid w:val="00DC0798"/>
    <w:rsid w:val="00DC0C02"/>
    <w:rsid w:val="00DC0FB0"/>
    <w:rsid w:val="00DC100A"/>
    <w:rsid w:val="00DC1055"/>
    <w:rsid w:val="00DC1448"/>
    <w:rsid w:val="00DC15C1"/>
    <w:rsid w:val="00DC1766"/>
    <w:rsid w:val="00DC188E"/>
    <w:rsid w:val="00DC19A9"/>
    <w:rsid w:val="00DC19BB"/>
    <w:rsid w:val="00DC1E49"/>
    <w:rsid w:val="00DC1E51"/>
    <w:rsid w:val="00DC20F3"/>
    <w:rsid w:val="00DC2172"/>
    <w:rsid w:val="00DC230F"/>
    <w:rsid w:val="00DC24FF"/>
    <w:rsid w:val="00DC2916"/>
    <w:rsid w:val="00DC39C0"/>
    <w:rsid w:val="00DC3A34"/>
    <w:rsid w:val="00DC3A8D"/>
    <w:rsid w:val="00DC45C9"/>
    <w:rsid w:val="00DC4834"/>
    <w:rsid w:val="00DC4D3A"/>
    <w:rsid w:val="00DC4F32"/>
    <w:rsid w:val="00DC6404"/>
    <w:rsid w:val="00DC67E4"/>
    <w:rsid w:val="00DC6B92"/>
    <w:rsid w:val="00DC71CB"/>
    <w:rsid w:val="00DC72B1"/>
    <w:rsid w:val="00DC7B30"/>
    <w:rsid w:val="00DC7B44"/>
    <w:rsid w:val="00DD0248"/>
    <w:rsid w:val="00DD09C9"/>
    <w:rsid w:val="00DD0F88"/>
    <w:rsid w:val="00DD113B"/>
    <w:rsid w:val="00DD1715"/>
    <w:rsid w:val="00DD23B3"/>
    <w:rsid w:val="00DD24BD"/>
    <w:rsid w:val="00DD256C"/>
    <w:rsid w:val="00DD2711"/>
    <w:rsid w:val="00DD2CC2"/>
    <w:rsid w:val="00DD2FDC"/>
    <w:rsid w:val="00DD3275"/>
    <w:rsid w:val="00DD332A"/>
    <w:rsid w:val="00DD3D8D"/>
    <w:rsid w:val="00DD3F27"/>
    <w:rsid w:val="00DD4237"/>
    <w:rsid w:val="00DD43A9"/>
    <w:rsid w:val="00DD4463"/>
    <w:rsid w:val="00DD4818"/>
    <w:rsid w:val="00DD5343"/>
    <w:rsid w:val="00DD57B3"/>
    <w:rsid w:val="00DD5848"/>
    <w:rsid w:val="00DD5D3F"/>
    <w:rsid w:val="00DD613D"/>
    <w:rsid w:val="00DD64C5"/>
    <w:rsid w:val="00DD6807"/>
    <w:rsid w:val="00DD6F5E"/>
    <w:rsid w:val="00DD701A"/>
    <w:rsid w:val="00DD709A"/>
    <w:rsid w:val="00DD7ABC"/>
    <w:rsid w:val="00DD7FDF"/>
    <w:rsid w:val="00DE0776"/>
    <w:rsid w:val="00DE07D9"/>
    <w:rsid w:val="00DE07F7"/>
    <w:rsid w:val="00DE0A68"/>
    <w:rsid w:val="00DE0B09"/>
    <w:rsid w:val="00DE119B"/>
    <w:rsid w:val="00DE12A4"/>
    <w:rsid w:val="00DE1703"/>
    <w:rsid w:val="00DE1D4C"/>
    <w:rsid w:val="00DE22D4"/>
    <w:rsid w:val="00DE24A7"/>
    <w:rsid w:val="00DE25AC"/>
    <w:rsid w:val="00DE28B4"/>
    <w:rsid w:val="00DE3034"/>
    <w:rsid w:val="00DE3132"/>
    <w:rsid w:val="00DE3277"/>
    <w:rsid w:val="00DE33D2"/>
    <w:rsid w:val="00DE34A8"/>
    <w:rsid w:val="00DE3608"/>
    <w:rsid w:val="00DE3616"/>
    <w:rsid w:val="00DE49C9"/>
    <w:rsid w:val="00DE52EC"/>
    <w:rsid w:val="00DE531D"/>
    <w:rsid w:val="00DE59CD"/>
    <w:rsid w:val="00DE5EFE"/>
    <w:rsid w:val="00DE6744"/>
    <w:rsid w:val="00DE7FAE"/>
    <w:rsid w:val="00DF01D7"/>
    <w:rsid w:val="00DF035A"/>
    <w:rsid w:val="00DF03CC"/>
    <w:rsid w:val="00DF07F4"/>
    <w:rsid w:val="00DF0806"/>
    <w:rsid w:val="00DF0B38"/>
    <w:rsid w:val="00DF0EE3"/>
    <w:rsid w:val="00DF0F0F"/>
    <w:rsid w:val="00DF102A"/>
    <w:rsid w:val="00DF147E"/>
    <w:rsid w:val="00DF15E3"/>
    <w:rsid w:val="00DF212C"/>
    <w:rsid w:val="00DF231F"/>
    <w:rsid w:val="00DF23B6"/>
    <w:rsid w:val="00DF252B"/>
    <w:rsid w:val="00DF252C"/>
    <w:rsid w:val="00DF26C7"/>
    <w:rsid w:val="00DF2791"/>
    <w:rsid w:val="00DF2A76"/>
    <w:rsid w:val="00DF2B38"/>
    <w:rsid w:val="00DF2B56"/>
    <w:rsid w:val="00DF34E3"/>
    <w:rsid w:val="00DF3514"/>
    <w:rsid w:val="00DF359B"/>
    <w:rsid w:val="00DF405B"/>
    <w:rsid w:val="00DF4394"/>
    <w:rsid w:val="00DF5355"/>
    <w:rsid w:val="00DF568D"/>
    <w:rsid w:val="00DF5CA2"/>
    <w:rsid w:val="00DF67D2"/>
    <w:rsid w:val="00DF6CAC"/>
    <w:rsid w:val="00DF7317"/>
    <w:rsid w:val="00DF7469"/>
    <w:rsid w:val="00DF7AA0"/>
    <w:rsid w:val="00DF7EC8"/>
    <w:rsid w:val="00E0055D"/>
    <w:rsid w:val="00E008B9"/>
    <w:rsid w:val="00E00C1D"/>
    <w:rsid w:val="00E00CCB"/>
    <w:rsid w:val="00E00EC5"/>
    <w:rsid w:val="00E01300"/>
    <w:rsid w:val="00E0145C"/>
    <w:rsid w:val="00E0147F"/>
    <w:rsid w:val="00E01653"/>
    <w:rsid w:val="00E016AB"/>
    <w:rsid w:val="00E01C96"/>
    <w:rsid w:val="00E01C97"/>
    <w:rsid w:val="00E01D4E"/>
    <w:rsid w:val="00E01D65"/>
    <w:rsid w:val="00E01F99"/>
    <w:rsid w:val="00E0227D"/>
    <w:rsid w:val="00E02940"/>
    <w:rsid w:val="00E02DB2"/>
    <w:rsid w:val="00E0315C"/>
    <w:rsid w:val="00E03206"/>
    <w:rsid w:val="00E0368B"/>
    <w:rsid w:val="00E03E2C"/>
    <w:rsid w:val="00E03EB3"/>
    <w:rsid w:val="00E0427E"/>
    <w:rsid w:val="00E042C7"/>
    <w:rsid w:val="00E04421"/>
    <w:rsid w:val="00E04A11"/>
    <w:rsid w:val="00E04C73"/>
    <w:rsid w:val="00E055E3"/>
    <w:rsid w:val="00E05D31"/>
    <w:rsid w:val="00E06010"/>
    <w:rsid w:val="00E0607D"/>
    <w:rsid w:val="00E0651F"/>
    <w:rsid w:val="00E06B1B"/>
    <w:rsid w:val="00E06BB6"/>
    <w:rsid w:val="00E06BB9"/>
    <w:rsid w:val="00E06CF3"/>
    <w:rsid w:val="00E073AC"/>
    <w:rsid w:val="00E0781A"/>
    <w:rsid w:val="00E10B66"/>
    <w:rsid w:val="00E10B7B"/>
    <w:rsid w:val="00E10D09"/>
    <w:rsid w:val="00E11058"/>
    <w:rsid w:val="00E11475"/>
    <w:rsid w:val="00E116C5"/>
    <w:rsid w:val="00E119E3"/>
    <w:rsid w:val="00E11B88"/>
    <w:rsid w:val="00E11F40"/>
    <w:rsid w:val="00E12A46"/>
    <w:rsid w:val="00E12E3F"/>
    <w:rsid w:val="00E13165"/>
    <w:rsid w:val="00E134E0"/>
    <w:rsid w:val="00E13620"/>
    <w:rsid w:val="00E13699"/>
    <w:rsid w:val="00E1383C"/>
    <w:rsid w:val="00E13E04"/>
    <w:rsid w:val="00E14881"/>
    <w:rsid w:val="00E1494A"/>
    <w:rsid w:val="00E149C5"/>
    <w:rsid w:val="00E14C69"/>
    <w:rsid w:val="00E16142"/>
    <w:rsid w:val="00E1644B"/>
    <w:rsid w:val="00E167D3"/>
    <w:rsid w:val="00E16D52"/>
    <w:rsid w:val="00E17418"/>
    <w:rsid w:val="00E1745B"/>
    <w:rsid w:val="00E175A7"/>
    <w:rsid w:val="00E177A8"/>
    <w:rsid w:val="00E17A9D"/>
    <w:rsid w:val="00E20168"/>
    <w:rsid w:val="00E203FA"/>
    <w:rsid w:val="00E20695"/>
    <w:rsid w:val="00E20740"/>
    <w:rsid w:val="00E207A3"/>
    <w:rsid w:val="00E20E92"/>
    <w:rsid w:val="00E21106"/>
    <w:rsid w:val="00E21A9B"/>
    <w:rsid w:val="00E21B83"/>
    <w:rsid w:val="00E21CE2"/>
    <w:rsid w:val="00E21D7C"/>
    <w:rsid w:val="00E21FA5"/>
    <w:rsid w:val="00E22788"/>
    <w:rsid w:val="00E22A6A"/>
    <w:rsid w:val="00E22C01"/>
    <w:rsid w:val="00E23B80"/>
    <w:rsid w:val="00E24426"/>
    <w:rsid w:val="00E2448F"/>
    <w:rsid w:val="00E245DA"/>
    <w:rsid w:val="00E24645"/>
    <w:rsid w:val="00E24817"/>
    <w:rsid w:val="00E24A2B"/>
    <w:rsid w:val="00E24D0D"/>
    <w:rsid w:val="00E24DF7"/>
    <w:rsid w:val="00E255C3"/>
    <w:rsid w:val="00E2627F"/>
    <w:rsid w:val="00E268FE"/>
    <w:rsid w:val="00E26BB0"/>
    <w:rsid w:val="00E27177"/>
    <w:rsid w:val="00E274B5"/>
    <w:rsid w:val="00E27ABA"/>
    <w:rsid w:val="00E27DF6"/>
    <w:rsid w:val="00E30001"/>
    <w:rsid w:val="00E3066D"/>
    <w:rsid w:val="00E31056"/>
    <w:rsid w:val="00E3157F"/>
    <w:rsid w:val="00E31A74"/>
    <w:rsid w:val="00E31B92"/>
    <w:rsid w:val="00E31BCB"/>
    <w:rsid w:val="00E31C2D"/>
    <w:rsid w:val="00E3286C"/>
    <w:rsid w:val="00E32908"/>
    <w:rsid w:val="00E32963"/>
    <w:rsid w:val="00E32B08"/>
    <w:rsid w:val="00E32D9B"/>
    <w:rsid w:val="00E32DF1"/>
    <w:rsid w:val="00E32E7D"/>
    <w:rsid w:val="00E336E7"/>
    <w:rsid w:val="00E337BC"/>
    <w:rsid w:val="00E34160"/>
    <w:rsid w:val="00E343D8"/>
    <w:rsid w:val="00E34D7C"/>
    <w:rsid w:val="00E34E11"/>
    <w:rsid w:val="00E350CD"/>
    <w:rsid w:val="00E36469"/>
    <w:rsid w:val="00E36B2E"/>
    <w:rsid w:val="00E36DD1"/>
    <w:rsid w:val="00E36DFD"/>
    <w:rsid w:val="00E36FC6"/>
    <w:rsid w:val="00E372A9"/>
    <w:rsid w:val="00E37410"/>
    <w:rsid w:val="00E376F7"/>
    <w:rsid w:val="00E37A16"/>
    <w:rsid w:val="00E4001B"/>
    <w:rsid w:val="00E402DB"/>
    <w:rsid w:val="00E41041"/>
    <w:rsid w:val="00E412A0"/>
    <w:rsid w:val="00E413B0"/>
    <w:rsid w:val="00E41737"/>
    <w:rsid w:val="00E4230B"/>
    <w:rsid w:val="00E42451"/>
    <w:rsid w:val="00E42D7F"/>
    <w:rsid w:val="00E43094"/>
    <w:rsid w:val="00E4317F"/>
    <w:rsid w:val="00E435A7"/>
    <w:rsid w:val="00E43724"/>
    <w:rsid w:val="00E437FA"/>
    <w:rsid w:val="00E4392B"/>
    <w:rsid w:val="00E43E14"/>
    <w:rsid w:val="00E43E3C"/>
    <w:rsid w:val="00E44118"/>
    <w:rsid w:val="00E4488C"/>
    <w:rsid w:val="00E45240"/>
    <w:rsid w:val="00E45711"/>
    <w:rsid w:val="00E45A4C"/>
    <w:rsid w:val="00E461C0"/>
    <w:rsid w:val="00E46858"/>
    <w:rsid w:val="00E46B7C"/>
    <w:rsid w:val="00E46B9D"/>
    <w:rsid w:val="00E46E4A"/>
    <w:rsid w:val="00E46E9E"/>
    <w:rsid w:val="00E47262"/>
    <w:rsid w:val="00E477D3"/>
    <w:rsid w:val="00E500A8"/>
    <w:rsid w:val="00E50274"/>
    <w:rsid w:val="00E506CB"/>
    <w:rsid w:val="00E507F3"/>
    <w:rsid w:val="00E50B9E"/>
    <w:rsid w:val="00E50E3D"/>
    <w:rsid w:val="00E50F64"/>
    <w:rsid w:val="00E51E10"/>
    <w:rsid w:val="00E51FDE"/>
    <w:rsid w:val="00E52313"/>
    <w:rsid w:val="00E52A16"/>
    <w:rsid w:val="00E52CBB"/>
    <w:rsid w:val="00E52D5F"/>
    <w:rsid w:val="00E5333A"/>
    <w:rsid w:val="00E534B2"/>
    <w:rsid w:val="00E535E3"/>
    <w:rsid w:val="00E53CBB"/>
    <w:rsid w:val="00E54173"/>
    <w:rsid w:val="00E54730"/>
    <w:rsid w:val="00E55CD2"/>
    <w:rsid w:val="00E56171"/>
    <w:rsid w:val="00E5659E"/>
    <w:rsid w:val="00E565C1"/>
    <w:rsid w:val="00E56B66"/>
    <w:rsid w:val="00E56EDF"/>
    <w:rsid w:val="00E57676"/>
    <w:rsid w:val="00E57807"/>
    <w:rsid w:val="00E5794C"/>
    <w:rsid w:val="00E579AF"/>
    <w:rsid w:val="00E57B5A"/>
    <w:rsid w:val="00E57CF3"/>
    <w:rsid w:val="00E6009C"/>
    <w:rsid w:val="00E602FD"/>
    <w:rsid w:val="00E6046D"/>
    <w:rsid w:val="00E60545"/>
    <w:rsid w:val="00E622CC"/>
    <w:rsid w:val="00E62384"/>
    <w:rsid w:val="00E62523"/>
    <w:rsid w:val="00E62F5F"/>
    <w:rsid w:val="00E631EB"/>
    <w:rsid w:val="00E63D14"/>
    <w:rsid w:val="00E64377"/>
    <w:rsid w:val="00E643CB"/>
    <w:rsid w:val="00E64563"/>
    <w:rsid w:val="00E6468A"/>
    <w:rsid w:val="00E64C81"/>
    <w:rsid w:val="00E64EB2"/>
    <w:rsid w:val="00E6502C"/>
    <w:rsid w:val="00E65035"/>
    <w:rsid w:val="00E65548"/>
    <w:rsid w:val="00E65A5A"/>
    <w:rsid w:val="00E660B8"/>
    <w:rsid w:val="00E660F8"/>
    <w:rsid w:val="00E661B0"/>
    <w:rsid w:val="00E6643C"/>
    <w:rsid w:val="00E664FC"/>
    <w:rsid w:val="00E665AC"/>
    <w:rsid w:val="00E6779D"/>
    <w:rsid w:val="00E67A93"/>
    <w:rsid w:val="00E67B06"/>
    <w:rsid w:val="00E67C7F"/>
    <w:rsid w:val="00E67FF0"/>
    <w:rsid w:val="00E705B7"/>
    <w:rsid w:val="00E7086E"/>
    <w:rsid w:val="00E70A6F"/>
    <w:rsid w:val="00E70B13"/>
    <w:rsid w:val="00E70ECC"/>
    <w:rsid w:val="00E71109"/>
    <w:rsid w:val="00E7156C"/>
    <w:rsid w:val="00E7180E"/>
    <w:rsid w:val="00E71839"/>
    <w:rsid w:val="00E719CE"/>
    <w:rsid w:val="00E71A89"/>
    <w:rsid w:val="00E71AD9"/>
    <w:rsid w:val="00E71C09"/>
    <w:rsid w:val="00E71C3C"/>
    <w:rsid w:val="00E71C98"/>
    <w:rsid w:val="00E71D4C"/>
    <w:rsid w:val="00E71DE5"/>
    <w:rsid w:val="00E71FC7"/>
    <w:rsid w:val="00E7208C"/>
    <w:rsid w:val="00E724E0"/>
    <w:rsid w:val="00E729D9"/>
    <w:rsid w:val="00E73745"/>
    <w:rsid w:val="00E73B25"/>
    <w:rsid w:val="00E73EAD"/>
    <w:rsid w:val="00E744A6"/>
    <w:rsid w:val="00E74CFD"/>
    <w:rsid w:val="00E754BA"/>
    <w:rsid w:val="00E757CF"/>
    <w:rsid w:val="00E75CB6"/>
    <w:rsid w:val="00E7694D"/>
    <w:rsid w:val="00E770B5"/>
    <w:rsid w:val="00E77100"/>
    <w:rsid w:val="00E77197"/>
    <w:rsid w:val="00E771D0"/>
    <w:rsid w:val="00E77A3E"/>
    <w:rsid w:val="00E77ABB"/>
    <w:rsid w:val="00E77BDC"/>
    <w:rsid w:val="00E80176"/>
    <w:rsid w:val="00E80339"/>
    <w:rsid w:val="00E805D1"/>
    <w:rsid w:val="00E80927"/>
    <w:rsid w:val="00E80AFC"/>
    <w:rsid w:val="00E8125A"/>
    <w:rsid w:val="00E815BB"/>
    <w:rsid w:val="00E81AE1"/>
    <w:rsid w:val="00E81B1A"/>
    <w:rsid w:val="00E82B43"/>
    <w:rsid w:val="00E82B77"/>
    <w:rsid w:val="00E82F79"/>
    <w:rsid w:val="00E82FD8"/>
    <w:rsid w:val="00E833E5"/>
    <w:rsid w:val="00E8459C"/>
    <w:rsid w:val="00E8469F"/>
    <w:rsid w:val="00E84AC6"/>
    <w:rsid w:val="00E84F5C"/>
    <w:rsid w:val="00E84FB3"/>
    <w:rsid w:val="00E8554B"/>
    <w:rsid w:val="00E85694"/>
    <w:rsid w:val="00E856FD"/>
    <w:rsid w:val="00E85A6B"/>
    <w:rsid w:val="00E85F11"/>
    <w:rsid w:val="00E85F4A"/>
    <w:rsid w:val="00E86727"/>
    <w:rsid w:val="00E86A3E"/>
    <w:rsid w:val="00E86D40"/>
    <w:rsid w:val="00E86E52"/>
    <w:rsid w:val="00E86F68"/>
    <w:rsid w:val="00E87037"/>
    <w:rsid w:val="00E870BC"/>
    <w:rsid w:val="00E870F1"/>
    <w:rsid w:val="00E87286"/>
    <w:rsid w:val="00E90092"/>
    <w:rsid w:val="00E9045C"/>
    <w:rsid w:val="00E9069A"/>
    <w:rsid w:val="00E90BAB"/>
    <w:rsid w:val="00E90ED5"/>
    <w:rsid w:val="00E91BBA"/>
    <w:rsid w:val="00E92158"/>
    <w:rsid w:val="00E924B4"/>
    <w:rsid w:val="00E92854"/>
    <w:rsid w:val="00E92BD2"/>
    <w:rsid w:val="00E93097"/>
    <w:rsid w:val="00E93262"/>
    <w:rsid w:val="00E932F4"/>
    <w:rsid w:val="00E93851"/>
    <w:rsid w:val="00E93C0A"/>
    <w:rsid w:val="00E93C69"/>
    <w:rsid w:val="00E93EA9"/>
    <w:rsid w:val="00E940E0"/>
    <w:rsid w:val="00E94373"/>
    <w:rsid w:val="00E945C3"/>
    <w:rsid w:val="00E95440"/>
    <w:rsid w:val="00E9599F"/>
    <w:rsid w:val="00E95E22"/>
    <w:rsid w:val="00E960E8"/>
    <w:rsid w:val="00E962E9"/>
    <w:rsid w:val="00E96A24"/>
    <w:rsid w:val="00E96D70"/>
    <w:rsid w:val="00E9767C"/>
    <w:rsid w:val="00E97E61"/>
    <w:rsid w:val="00E97F43"/>
    <w:rsid w:val="00EA00E9"/>
    <w:rsid w:val="00EA0F03"/>
    <w:rsid w:val="00EA1D5F"/>
    <w:rsid w:val="00EA1EF9"/>
    <w:rsid w:val="00EA22F0"/>
    <w:rsid w:val="00EA2642"/>
    <w:rsid w:val="00EA281B"/>
    <w:rsid w:val="00EA2CA0"/>
    <w:rsid w:val="00EA2F09"/>
    <w:rsid w:val="00EA3031"/>
    <w:rsid w:val="00EA31C2"/>
    <w:rsid w:val="00EA38EC"/>
    <w:rsid w:val="00EA4A6F"/>
    <w:rsid w:val="00EA53ED"/>
    <w:rsid w:val="00EA5760"/>
    <w:rsid w:val="00EA5B41"/>
    <w:rsid w:val="00EA5C13"/>
    <w:rsid w:val="00EA5D50"/>
    <w:rsid w:val="00EA600A"/>
    <w:rsid w:val="00EA60B4"/>
    <w:rsid w:val="00EA638B"/>
    <w:rsid w:val="00EA693A"/>
    <w:rsid w:val="00EA6BDE"/>
    <w:rsid w:val="00EA6E44"/>
    <w:rsid w:val="00EA7237"/>
    <w:rsid w:val="00EA737F"/>
    <w:rsid w:val="00EA74AD"/>
    <w:rsid w:val="00EB055B"/>
    <w:rsid w:val="00EB070A"/>
    <w:rsid w:val="00EB0DC2"/>
    <w:rsid w:val="00EB0F83"/>
    <w:rsid w:val="00EB0F9A"/>
    <w:rsid w:val="00EB112A"/>
    <w:rsid w:val="00EB1B82"/>
    <w:rsid w:val="00EB1C86"/>
    <w:rsid w:val="00EB1F34"/>
    <w:rsid w:val="00EB2A5A"/>
    <w:rsid w:val="00EB2B91"/>
    <w:rsid w:val="00EB2FE6"/>
    <w:rsid w:val="00EB3330"/>
    <w:rsid w:val="00EB37CB"/>
    <w:rsid w:val="00EB3902"/>
    <w:rsid w:val="00EB4040"/>
    <w:rsid w:val="00EB4363"/>
    <w:rsid w:val="00EB4605"/>
    <w:rsid w:val="00EB46AF"/>
    <w:rsid w:val="00EB47AB"/>
    <w:rsid w:val="00EB47FD"/>
    <w:rsid w:val="00EB4EDE"/>
    <w:rsid w:val="00EB51BA"/>
    <w:rsid w:val="00EB53A4"/>
    <w:rsid w:val="00EB57D6"/>
    <w:rsid w:val="00EB5DD1"/>
    <w:rsid w:val="00EB5F34"/>
    <w:rsid w:val="00EB6050"/>
    <w:rsid w:val="00EB6570"/>
    <w:rsid w:val="00EB67F6"/>
    <w:rsid w:val="00EB73D7"/>
    <w:rsid w:val="00EB788A"/>
    <w:rsid w:val="00EB7999"/>
    <w:rsid w:val="00EB7AFB"/>
    <w:rsid w:val="00EB7C53"/>
    <w:rsid w:val="00EC0425"/>
    <w:rsid w:val="00EC0A68"/>
    <w:rsid w:val="00EC1212"/>
    <w:rsid w:val="00EC13D6"/>
    <w:rsid w:val="00EC18EA"/>
    <w:rsid w:val="00EC1B87"/>
    <w:rsid w:val="00EC1D3D"/>
    <w:rsid w:val="00EC1DF2"/>
    <w:rsid w:val="00EC2085"/>
    <w:rsid w:val="00EC20BF"/>
    <w:rsid w:val="00EC2624"/>
    <w:rsid w:val="00EC2CBA"/>
    <w:rsid w:val="00EC311E"/>
    <w:rsid w:val="00EC3151"/>
    <w:rsid w:val="00EC3331"/>
    <w:rsid w:val="00EC4139"/>
    <w:rsid w:val="00EC45E0"/>
    <w:rsid w:val="00EC48E1"/>
    <w:rsid w:val="00EC49CE"/>
    <w:rsid w:val="00EC4A6B"/>
    <w:rsid w:val="00EC4D83"/>
    <w:rsid w:val="00EC4F22"/>
    <w:rsid w:val="00EC518F"/>
    <w:rsid w:val="00EC52CC"/>
    <w:rsid w:val="00EC537B"/>
    <w:rsid w:val="00EC5B5B"/>
    <w:rsid w:val="00EC5BEA"/>
    <w:rsid w:val="00EC5E2A"/>
    <w:rsid w:val="00EC6220"/>
    <w:rsid w:val="00EC63D9"/>
    <w:rsid w:val="00EC677E"/>
    <w:rsid w:val="00EC6E37"/>
    <w:rsid w:val="00EC6F31"/>
    <w:rsid w:val="00EC7071"/>
    <w:rsid w:val="00EC7B7E"/>
    <w:rsid w:val="00EC7E67"/>
    <w:rsid w:val="00ED03E8"/>
    <w:rsid w:val="00ED0585"/>
    <w:rsid w:val="00ED05BA"/>
    <w:rsid w:val="00ED0903"/>
    <w:rsid w:val="00ED0CCD"/>
    <w:rsid w:val="00ED10AF"/>
    <w:rsid w:val="00ED1435"/>
    <w:rsid w:val="00ED1AD3"/>
    <w:rsid w:val="00ED1D98"/>
    <w:rsid w:val="00ED1F5D"/>
    <w:rsid w:val="00ED2064"/>
    <w:rsid w:val="00ED2457"/>
    <w:rsid w:val="00ED294F"/>
    <w:rsid w:val="00ED2BB3"/>
    <w:rsid w:val="00ED3143"/>
    <w:rsid w:val="00ED389B"/>
    <w:rsid w:val="00ED3E97"/>
    <w:rsid w:val="00ED3F10"/>
    <w:rsid w:val="00ED496E"/>
    <w:rsid w:val="00ED4CE6"/>
    <w:rsid w:val="00ED5206"/>
    <w:rsid w:val="00ED528A"/>
    <w:rsid w:val="00ED5536"/>
    <w:rsid w:val="00ED56CF"/>
    <w:rsid w:val="00ED5B5C"/>
    <w:rsid w:val="00ED5DC1"/>
    <w:rsid w:val="00ED6787"/>
    <w:rsid w:val="00ED6958"/>
    <w:rsid w:val="00ED6B5A"/>
    <w:rsid w:val="00ED6C2B"/>
    <w:rsid w:val="00ED70BD"/>
    <w:rsid w:val="00ED757F"/>
    <w:rsid w:val="00ED7934"/>
    <w:rsid w:val="00ED7A88"/>
    <w:rsid w:val="00ED7D28"/>
    <w:rsid w:val="00EE00F2"/>
    <w:rsid w:val="00EE0B3E"/>
    <w:rsid w:val="00EE0BAA"/>
    <w:rsid w:val="00EE1FD6"/>
    <w:rsid w:val="00EE2572"/>
    <w:rsid w:val="00EE3556"/>
    <w:rsid w:val="00EE37BB"/>
    <w:rsid w:val="00EE37C3"/>
    <w:rsid w:val="00EE3CF9"/>
    <w:rsid w:val="00EE433C"/>
    <w:rsid w:val="00EE4784"/>
    <w:rsid w:val="00EE499B"/>
    <w:rsid w:val="00EE4DC2"/>
    <w:rsid w:val="00EE4FC2"/>
    <w:rsid w:val="00EE4FEA"/>
    <w:rsid w:val="00EE5100"/>
    <w:rsid w:val="00EE5259"/>
    <w:rsid w:val="00EE5D89"/>
    <w:rsid w:val="00EE5E03"/>
    <w:rsid w:val="00EE60E0"/>
    <w:rsid w:val="00EE612E"/>
    <w:rsid w:val="00EE64EA"/>
    <w:rsid w:val="00EE7C48"/>
    <w:rsid w:val="00EE7D69"/>
    <w:rsid w:val="00EF0098"/>
    <w:rsid w:val="00EF0EBC"/>
    <w:rsid w:val="00EF0F35"/>
    <w:rsid w:val="00EF1BEB"/>
    <w:rsid w:val="00EF21A6"/>
    <w:rsid w:val="00EF259B"/>
    <w:rsid w:val="00EF2D2F"/>
    <w:rsid w:val="00EF3C09"/>
    <w:rsid w:val="00EF3CD5"/>
    <w:rsid w:val="00EF3F1B"/>
    <w:rsid w:val="00EF4058"/>
    <w:rsid w:val="00EF4099"/>
    <w:rsid w:val="00EF40E0"/>
    <w:rsid w:val="00EF4750"/>
    <w:rsid w:val="00EF4919"/>
    <w:rsid w:val="00EF4F6D"/>
    <w:rsid w:val="00EF54F5"/>
    <w:rsid w:val="00EF5634"/>
    <w:rsid w:val="00EF5849"/>
    <w:rsid w:val="00EF5E81"/>
    <w:rsid w:val="00EF6012"/>
    <w:rsid w:val="00EF618A"/>
    <w:rsid w:val="00EF6BDC"/>
    <w:rsid w:val="00EF6C5B"/>
    <w:rsid w:val="00EF6CCE"/>
    <w:rsid w:val="00EF7019"/>
    <w:rsid w:val="00EF7866"/>
    <w:rsid w:val="00F00129"/>
    <w:rsid w:val="00F00756"/>
    <w:rsid w:val="00F00757"/>
    <w:rsid w:val="00F0149D"/>
    <w:rsid w:val="00F017EF"/>
    <w:rsid w:val="00F0190F"/>
    <w:rsid w:val="00F0197A"/>
    <w:rsid w:val="00F01A8C"/>
    <w:rsid w:val="00F01C4C"/>
    <w:rsid w:val="00F02069"/>
    <w:rsid w:val="00F02546"/>
    <w:rsid w:val="00F02786"/>
    <w:rsid w:val="00F02D16"/>
    <w:rsid w:val="00F031BC"/>
    <w:rsid w:val="00F034E3"/>
    <w:rsid w:val="00F04126"/>
    <w:rsid w:val="00F041E3"/>
    <w:rsid w:val="00F042BC"/>
    <w:rsid w:val="00F0434F"/>
    <w:rsid w:val="00F047C3"/>
    <w:rsid w:val="00F04911"/>
    <w:rsid w:val="00F04A41"/>
    <w:rsid w:val="00F0501F"/>
    <w:rsid w:val="00F0515B"/>
    <w:rsid w:val="00F0548B"/>
    <w:rsid w:val="00F05D0A"/>
    <w:rsid w:val="00F05E1B"/>
    <w:rsid w:val="00F05F44"/>
    <w:rsid w:val="00F0625B"/>
    <w:rsid w:val="00F063E9"/>
    <w:rsid w:val="00F0670F"/>
    <w:rsid w:val="00F06894"/>
    <w:rsid w:val="00F0692E"/>
    <w:rsid w:val="00F06E8B"/>
    <w:rsid w:val="00F06ED2"/>
    <w:rsid w:val="00F07B6E"/>
    <w:rsid w:val="00F07BE9"/>
    <w:rsid w:val="00F07D9C"/>
    <w:rsid w:val="00F07FA6"/>
    <w:rsid w:val="00F07FF0"/>
    <w:rsid w:val="00F07FF2"/>
    <w:rsid w:val="00F10335"/>
    <w:rsid w:val="00F107A7"/>
    <w:rsid w:val="00F10DA2"/>
    <w:rsid w:val="00F1148B"/>
    <w:rsid w:val="00F11785"/>
    <w:rsid w:val="00F11BB3"/>
    <w:rsid w:val="00F12D75"/>
    <w:rsid w:val="00F12DA2"/>
    <w:rsid w:val="00F12DFC"/>
    <w:rsid w:val="00F13036"/>
    <w:rsid w:val="00F130D3"/>
    <w:rsid w:val="00F1321A"/>
    <w:rsid w:val="00F1340F"/>
    <w:rsid w:val="00F13572"/>
    <w:rsid w:val="00F13821"/>
    <w:rsid w:val="00F138C2"/>
    <w:rsid w:val="00F13B29"/>
    <w:rsid w:val="00F141A4"/>
    <w:rsid w:val="00F143B4"/>
    <w:rsid w:val="00F143D8"/>
    <w:rsid w:val="00F15A96"/>
    <w:rsid w:val="00F15E40"/>
    <w:rsid w:val="00F15E45"/>
    <w:rsid w:val="00F16434"/>
    <w:rsid w:val="00F171B6"/>
    <w:rsid w:val="00F1768E"/>
    <w:rsid w:val="00F20226"/>
    <w:rsid w:val="00F2026F"/>
    <w:rsid w:val="00F2045B"/>
    <w:rsid w:val="00F206C3"/>
    <w:rsid w:val="00F20874"/>
    <w:rsid w:val="00F208BF"/>
    <w:rsid w:val="00F21040"/>
    <w:rsid w:val="00F21044"/>
    <w:rsid w:val="00F21269"/>
    <w:rsid w:val="00F2127D"/>
    <w:rsid w:val="00F215DE"/>
    <w:rsid w:val="00F2184C"/>
    <w:rsid w:val="00F218DB"/>
    <w:rsid w:val="00F21C3E"/>
    <w:rsid w:val="00F21D1A"/>
    <w:rsid w:val="00F22865"/>
    <w:rsid w:val="00F23537"/>
    <w:rsid w:val="00F23B23"/>
    <w:rsid w:val="00F23D2E"/>
    <w:rsid w:val="00F24605"/>
    <w:rsid w:val="00F24A24"/>
    <w:rsid w:val="00F24B2C"/>
    <w:rsid w:val="00F24D75"/>
    <w:rsid w:val="00F25267"/>
    <w:rsid w:val="00F255E7"/>
    <w:rsid w:val="00F25CD9"/>
    <w:rsid w:val="00F261E3"/>
    <w:rsid w:val="00F263E1"/>
    <w:rsid w:val="00F26ED4"/>
    <w:rsid w:val="00F26F16"/>
    <w:rsid w:val="00F272D0"/>
    <w:rsid w:val="00F27507"/>
    <w:rsid w:val="00F30382"/>
    <w:rsid w:val="00F306D5"/>
    <w:rsid w:val="00F30EA8"/>
    <w:rsid w:val="00F30EB3"/>
    <w:rsid w:val="00F30F36"/>
    <w:rsid w:val="00F310F2"/>
    <w:rsid w:val="00F31292"/>
    <w:rsid w:val="00F313BB"/>
    <w:rsid w:val="00F315FB"/>
    <w:rsid w:val="00F3221A"/>
    <w:rsid w:val="00F32AD1"/>
    <w:rsid w:val="00F32DE1"/>
    <w:rsid w:val="00F32E80"/>
    <w:rsid w:val="00F33897"/>
    <w:rsid w:val="00F33D57"/>
    <w:rsid w:val="00F33E16"/>
    <w:rsid w:val="00F34273"/>
    <w:rsid w:val="00F3435B"/>
    <w:rsid w:val="00F34B2F"/>
    <w:rsid w:val="00F34DE5"/>
    <w:rsid w:val="00F34F33"/>
    <w:rsid w:val="00F352F1"/>
    <w:rsid w:val="00F35DC9"/>
    <w:rsid w:val="00F35E03"/>
    <w:rsid w:val="00F36592"/>
    <w:rsid w:val="00F366D8"/>
    <w:rsid w:val="00F369B6"/>
    <w:rsid w:val="00F36D1F"/>
    <w:rsid w:val="00F3733E"/>
    <w:rsid w:val="00F3769E"/>
    <w:rsid w:val="00F37897"/>
    <w:rsid w:val="00F37910"/>
    <w:rsid w:val="00F40017"/>
    <w:rsid w:val="00F4022A"/>
    <w:rsid w:val="00F40370"/>
    <w:rsid w:val="00F4040D"/>
    <w:rsid w:val="00F4053E"/>
    <w:rsid w:val="00F4062C"/>
    <w:rsid w:val="00F40DF9"/>
    <w:rsid w:val="00F40F06"/>
    <w:rsid w:val="00F40FC3"/>
    <w:rsid w:val="00F41172"/>
    <w:rsid w:val="00F4136E"/>
    <w:rsid w:val="00F41929"/>
    <w:rsid w:val="00F41A2A"/>
    <w:rsid w:val="00F41CE6"/>
    <w:rsid w:val="00F4232F"/>
    <w:rsid w:val="00F4262C"/>
    <w:rsid w:val="00F42669"/>
    <w:rsid w:val="00F42C0E"/>
    <w:rsid w:val="00F42D65"/>
    <w:rsid w:val="00F42E8B"/>
    <w:rsid w:val="00F4374F"/>
    <w:rsid w:val="00F439E0"/>
    <w:rsid w:val="00F43BA8"/>
    <w:rsid w:val="00F43BF4"/>
    <w:rsid w:val="00F44A42"/>
    <w:rsid w:val="00F44B8E"/>
    <w:rsid w:val="00F451CA"/>
    <w:rsid w:val="00F453DA"/>
    <w:rsid w:val="00F454DF"/>
    <w:rsid w:val="00F456F9"/>
    <w:rsid w:val="00F46A6E"/>
    <w:rsid w:val="00F46AE4"/>
    <w:rsid w:val="00F47128"/>
    <w:rsid w:val="00F47144"/>
    <w:rsid w:val="00F4720B"/>
    <w:rsid w:val="00F4749B"/>
    <w:rsid w:val="00F47CD4"/>
    <w:rsid w:val="00F50598"/>
    <w:rsid w:val="00F50870"/>
    <w:rsid w:val="00F50B4B"/>
    <w:rsid w:val="00F511A1"/>
    <w:rsid w:val="00F5140F"/>
    <w:rsid w:val="00F514FB"/>
    <w:rsid w:val="00F5219A"/>
    <w:rsid w:val="00F52B73"/>
    <w:rsid w:val="00F52B7B"/>
    <w:rsid w:val="00F53C92"/>
    <w:rsid w:val="00F54197"/>
    <w:rsid w:val="00F54832"/>
    <w:rsid w:val="00F5507B"/>
    <w:rsid w:val="00F551A2"/>
    <w:rsid w:val="00F5608D"/>
    <w:rsid w:val="00F563BB"/>
    <w:rsid w:val="00F5670C"/>
    <w:rsid w:val="00F56942"/>
    <w:rsid w:val="00F56B1B"/>
    <w:rsid w:val="00F56C0C"/>
    <w:rsid w:val="00F56CE9"/>
    <w:rsid w:val="00F56D53"/>
    <w:rsid w:val="00F56F70"/>
    <w:rsid w:val="00F56FB1"/>
    <w:rsid w:val="00F5768A"/>
    <w:rsid w:val="00F57D5B"/>
    <w:rsid w:val="00F60636"/>
    <w:rsid w:val="00F60F4E"/>
    <w:rsid w:val="00F61151"/>
    <w:rsid w:val="00F614BE"/>
    <w:rsid w:val="00F614C4"/>
    <w:rsid w:val="00F619D1"/>
    <w:rsid w:val="00F620A2"/>
    <w:rsid w:val="00F628E9"/>
    <w:rsid w:val="00F62CF1"/>
    <w:rsid w:val="00F62E6E"/>
    <w:rsid w:val="00F62FCB"/>
    <w:rsid w:val="00F62FF9"/>
    <w:rsid w:val="00F63723"/>
    <w:rsid w:val="00F63779"/>
    <w:rsid w:val="00F63C37"/>
    <w:rsid w:val="00F63E5F"/>
    <w:rsid w:val="00F63E88"/>
    <w:rsid w:val="00F63F99"/>
    <w:rsid w:val="00F64223"/>
    <w:rsid w:val="00F64CFA"/>
    <w:rsid w:val="00F64D12"/>
    <w:rsid w:val="00F64E44"/>
    <w:rsid w:val="00F64ECE"/>
    <w:rsid w:val="00F65200"/>
    <w:rsid w:val="00F652DC"/>
    <w:rsid w:val="00F655A1"/>
    <w:rsid w:val="00F655EB"/>
    <w:rsid w:val="00F655F2"/>
    <w:rsid w:val="00F65728"/>
    <w:rsid w:val="00F65C69"/>
    <w:rsid w:val="00F66DD9"/>
    <w:rsid w:val="00F670E4"/>
    <w:rsid w:val="00F6719C"/>
    <w:rsid w:val="00F67501"/>
    <w:rsid w:val="00F67A5C"/>
    <w:rsid w:val="00F67B6E"/>
    <w:rsid w:val="00F67DAF"/>
    <w:rsid w:val="00F703E2"/>
    <w:rsid w:val="00F7087A"/>
    <w:rsid w:val="00F70B07"/>
    <w:rsid w:val="00F70BBD"/>
    <w:rsid w:val="00F71561"/>
    <w:rsid w:val="00F7174B"/>
    <w:rsid w:val="00F71BB8"/>
    <w:rsid w:val="00F71D1A"/>
    <w:rsid w:val="00F71D42"/>
    <w:rsid w:val="00F71E44"/>
    <w:rsid w:val="00F721B0"/>
    <w:rsid w:val="00F7260D"/>
    <w:rsid w:val="00F72953"/>
    <w:rsid w:val="00F72A85"/>
    <w:rsid w:val="00F72B0D"/>
    <w:rsid w:val="00F72CA3"/>
    <w:rsid w:val="00F72CE9"/>
    <w:rsid w:val="00F73459"/>
    <w:rsid w:val="00F73B5B"/>
    <w:rsid w:val="00F73BBF"/>
    <w:rsid w:val="00F742A0"/>
    <w:rsid w:val="00F749AF"/>
    <w:rsid w:val="00F74D3B"/>
    <w:rsid w:val="00F75686"/>
    <w:rsid w:val="00F75C85"/>
    <w:rsid w:val="00F75D8E"/>
    <w:rsid w:val="00F75EB9"/>
    <w:rsid w:val="00F75F10"/>
    <w:rsid w:val="00F761D0"/>
    <w:rsid w:val="00F76A4E"/>
    <w:rsid w:val="00F76E6E"/>
    <w:rsid w:val="00F77765"/>
    <w:rsid w:val="00F77907"/>
    <w:rsid w:val="00F77EC3"/>
    <w:rsid w:val="00F8049C"/>
    <w:rsid w:val="00F804AA"/>
    <w:rsid w:val="00F804B9"/>
    <w:rsid w:val="00F80806"/>
    <w:rsid w:val="00F808D2"/>
    <w:rsid w:val="00F816B4"/>
    <w:rsid w:val="00F8170F"/>
    <w:rsid w:val="00F819B0"/>
    <w:rsid w:val="00F81D98"/>
    <w:rsid w:val="00F823C6"/>
    <w:rsid w:val="00F82437"/>
    <w:rsid w:val="00F828C3"/>
    <w:rsid w:val="00F82D53"/>
    <w:rsid w:val="00F82EB4"/>
    <w:rsid w:val="00F835B5"/>
    <w:rsid w:val="00F842C0"/>
    <w:rsid w:val="00F846CC"/>
    <w:rsid w:val="00F84D95"/>
    <w:rsid w:val="00F84E26"/>
    <w:rsid w:val="00F84E2D"/>
    <w:rsid w:val="00F84FB1"/>
    <w:rsid w:val="00F85141"/>
    <w:rsid w:val="00F853B8"/>
    <w:rsid w:val="00F85496"/>
    <w:rsid w:val="00F85BB3"/>
    <w:rsid w:val="00F85E98"/>
    <w:rsid w:val="00F86A35"/>
    <w:rsid w:val="00F86BC4"/>
    <w:rsid w:val="00F86F36"/>
    <w:rsid w:val="00F87002"/>
    <w:rsid w:val="00F870C2"/>
    <w:rsid w:val="00F87EAA"/>
    <w:rsid w:val="00F901BF"/>
    <w:rsid w:val="00F904BA"/>
    <w:rsid w:val="00F90F30"/>
    <w:rsid w:val="00F91036"/>
    <w:rsid w:val="00F9122E"/>
    <w:rsid w:val="00F91762"/>
    <w:rsid w:val="00F91943"/>
    <w:rsid w:val="00F91EDE"/>
    <w:rsid w:val="00F91F3E"/>
    <w:rsid w:val="00F9242E"/>
    <w:rsid w:val="00F92438"/>
    <w:rsid w:val="00F92562"/>
    <w:rsid w:val="00F92924"/>
    <w:rsid w:val="00F92A6F"/>
    <w:rsid w:val="00F93086"/>
    <w:rsid w:val="00F930B8"/>
    <w:rsid w:val="00F93436"/>
    <w:rsid w:val="00F93675"/>
    <w:rsid w:val="00F9388B"/>
    <w:rsid w:val="00F93A21"/>
    <w:rsid w:val="00F94032"/>
    <w:rsid w:val="00F945ED"/>
    <w:rsid w:val="00F94824"/>
    <w:rsid w:val="00F949B8"/>
    <w:rsid w:val="00F94C4E"/>
    <w:rsid w:val="00F94D42"/>
    <w:rsid w:val="00F94FA2"/>
    <w:rsid w:val="00F951A5"/>
    <w:rsid w:val="00F9596E"/>
    <w:rsid w:val="00F95989"/>
    <w:rsid w:val="00F96798"/>
    <w:rsid w:val="00F96907"/>
    <w:rsid w:val="00F96919"/>
    <w:rsid w:val="00F96D21"/>
    <w:rsid w:val="00F97A96"/>
    <w:rsid w:val="00FA05EB"/>
    <w:rsid w:val="00FA0A7C"/>
    <w:rsid w:val="00FA10F4"/>
    <w:rsid w:val="00FA143C"/>
    <w:rsid w:val="00FA18D9"/>
    <w:rsid w:val="00FA19AA"/>
    <w:rsid w:val="00FA19EB"/>
    <w:rsid w:val="00FA1E6B"/>
    <w:rsid w:val="00FA2F63"/>
    <w:rsid w:val="00FA320A"/>
    <w:rsid w:val="00FA3331"/>
    <w:rsid w:val="00FA3500"/>
    <w:rsid w:val="00FA3B1A"/>
    <w:rsid w:val="00FA3EC6"/>
    <w:rsid w:val="00FA3F05"/>
    <w:rsid w:val="00FA40C3"/>
    <w:rsid w:val="00FA46C9"/>
    <w:rsid w:val="00FA49B5"/>
    <w:rsid w:val="00FA511A"/>
    <w:rsid w:val="00FA57AA"/>
    <w:rsid w:val="00FA5833"/>
    <w:rsid w:val="00FA5B48"/>
    <w:rsid w:val="00FA5C88"/>
    <w:rsid w:val="00FA6372"/>
    <w:rsid w:val="00FA6845"/>
    <w:rsid w:val="00FA6C8A"/>
    <w:rsid w:val="00FA7188"/>
    <w:rsid w:val="00FA7554"/>
    <w:rsid w:val="00FA7C8B"/>
    <w:rsid w:val="00FB0249"/>
    <w:rsid w:val="00FB0836"/>
    <w:rsid w:val="00FB0AB9"/>
    <w:rsid w:val="00FB1096"/>
    <w:rsid w:val="00FB1257"/>
    <w:rsid w:val="00FB130D"/>
    <w:rsid w:val="00FB14BD"/>
    <w:rsid w:val="00FB2004"/>
    <w:rsid w:val="00FB21FA"/>
    <w:rsid w:val="00FB2BEC"/>
    <w:rsid w:val="00FB2D58"/>
    <w:rsid w:val="00FB2E08"/>
    <w:rsid w:val="00FB32EA"/>
    <w:rsid w:val="00FB3362"/>
    <w:rsid w:val="00FB35BA"/>
    <w:rsid w:val="00FB3CE5"/>
    <w:rsid w:val="00FB3E16"/>
    <w:rsid w:val="00FB3ED8"/>
    <w:rsid w:val="00FB407C"/>
    <w:rsid w:val="00FB42F7"/>
    <w:rsid w:val="00FB4D4A"/>
    <w:rsid w:val="00FB5337"/>
    <w:rsid w:val="00FB5502"/>
    <w:rsid w:val="00FB575C"/>
    <w:rsid w:val="00FB5971"/>
    <w:rsid w:val="00FB5D88"/>
    <w:rsid w:val="00FB5F1D"/>
    <w:rsid w:val="00FB6235"/>
    <w:rsid w:val="00FB6425"/>
    <w:rsid w:val="00FB6433"/>
    <w:rsid w:val="00FB6485"/>
    <w:rsid w:val="00FB7560"/>
    <w:rsid w:val="00FB77D5"/>
    <w:rsid w:val="00FB789B"/>
    <w:rsid w:val="00FB791F"/>
    <w:rsid w:val="00FB793A"/>
    <w:rsid w:val="00FC01F3"/>
    <w:rsid w:val="00FC0662"/>
    <w:rsid w:val="00FC08E1"/>
    <w:rsid w:val="00FC0B12"/>
    <w:rsid w:val="00FC0E31"/>
    <w:rsid w:val="00FC139C"/>
    <w:rsid w:val="00FC18A2"/>
    <w:rsid w:val="00FC1BBE"/>
    <w:rsid w:val="00FC1EDA"/>
    <w:rsid w:val="00FC265F"/>
    <w:rsid w:val="00FC267E"/>
    <w:rsid w:val="00FC2DFD"/>
    <w:rsid w:val="00FC2E91"/>
    <w:rsid w:val="00FC32C9"/>
    <w:rsid w:val="00FC32F4"/>
    <w:rsid w:val="00FC34B4"/>
    <w:rsid w:val="00FC429F"/>
    <w:rsid w:val="00FC42A6"/>
    <w:rsid w:val="00FC43D5"/>
    <w:rsid w:val="00FC487E"/>
    <w:rsid w:val="00FC5101"/>
    <w:rsid w:val="00FC529E"/>
    <w:rsid w:val="00FC53A6"/>
    <w:rsid w:val="00FC5915"/>
    <w:rsid w:val="00FC5B12"/>
    <w:rsid w:val="00FC5D6D"/>
    <w:rsid w:val="00FC5EED"/>
    <w:rsid w:val="00FC60E1"/>
    <w:rsid w:val="00FC6209"/>
    <w:rsid w:val="00FC641E"/>
    <w:rsid w:val="00FC6B40"/>
    <w:rsid w:val="00FC6C0F"/>
    <w:rsid w:val="00FC6D3C"/>
    <w:rsid w:val="00FC7586"/>
    <w:rsid w:val="00FC7931"/>
    <w:rsid w:val="00FC7A07"/>
    <w:rsid w:val="00FC7AB2"/>
    <w:rsid w:val="00FC7BDE"/>
    <w:rsid w:val="00FD0226"/>
    <w:rsid w:val="00FD0544"/>
    <w:rsid w:val="00FD07DD"/>
    <w:rsid w:val="00FD0B0F"/>
    <w:rsid w:val="00FD1ABB"/>
    <w:rsid w:val="00FD2233"/>
    <w:rsid w:val="00FD2786"/>
    <w:rsid w:val="00FD28E1"/>
    <w:rsid w:val="00FD28EA"/>
    <w:rsid w:val="00FD2BAB"/>
    <w:rsid w:val="00FD391A"/>
    <w:rsid w:val="00FD3D4F"/>
    <w:rsid w:val="00FD42A0"/>
    <w:rsid w:val="00FD466B"/>
    <w:rsid w:val="00FD4F64"/>
    <w:rsid w:val="00FD4F74"/>
    <w:rsid w:val="00FD55AE"/>
    <w:rsid w:val="00FD57AC"/>
    <w:rsid w:val="00FD600F"/>
    <w:rsid w:val="00FD6657"/>
    <w:rsid w:val="00FD66D8"/>
    <w:rsid w:val="00FD670A"/>
    <w:rsid w:val="00FD7187"/>
    <w:rsid w:val="00FD72D8"/>
    <w:rsid w:val="00FD76B9"/>
    <w:rsid w:val="00FE015F"/>
    <w:rsid w:val="00FE0276"/>
    <w:rsid w:val="00FE033E"/>
    <w:rsid w:val="00FE093F"/>
    <w:rsid w:val="00FE1190"/>
    <w:rsid w:val="00FE121C"/>
    <w:rsid w:val="00FE2107"/>
    <w:rsid w:val="00FE26EA"/>
    <w:rsid w:val="00FE2748"/>
    <w:rsid w:val="00FE2EDE"/>
    <w:rsid w:val="00FE339F"/>
    <w:rsid w:val="00FE3522"/>
    <w:rsid w:val="00FE3546"/>
    <w:rsid w:val="00FE3B5F"/>
    <w:rsid w:val="00FE3D81"/>
    <w:rsid w:val="00FE4043"/>
    <w:rsid w:val="00FE4D61"/>
    <w:rsid w:val="00FE4FB6"/>
    <w:rsid w:val="00FE5873"/>
    <w:rsid w:val="00FE59C2"/>
    <w:rsid w:val="00FE61B0"/>
    <w:rsid w:val="00FE6527"/>
    <w:rsid w:val="00FE6824"/>
    <w:rsid w:val="00FE68C6"/>
    <w:rsid w:val="00FE6ADE"/>
    <w:rsid w:val="00FE6DB7"/>
    <w:rsid w:val="00FE6FB1"/>
    <w:rsid w:val="00FE721B"/>
    <w:rsid w:val="00FE733C"/>
    <w:rsid w:val="00FE77DD"/>
    <w:rsid w:val="00FE7F4B"/>
    <w:rsid w:val="00FE7F90"/>
    <w:rsid w:val="00FF02BC"/>
    <w:rsid w:val="00FF0330"/>
    <w:rsid w:val="00FF0584"/>
    <w:rsid w:val="00FF0709"/>
    <w:rsid w:val="00FF0CD1"/>
    <w:rsid w:val="00FF11E9"/>
    <w:rsid w:val="00FF166A"/>
    <w:rsid w:val="00FF1A54"/>
    <w:rsid w:val="00FF1ACB"/>
    <w:rsid w:val="00FF1FC4"/>
    <w:rsid w:val="00FF238F"/>
    <w:rsid w:val="00FF253D"/>
    <w:rsid w:val="00FF25B8"/>
    <w:rsid w:val="00FF275E"/>
    <w:rsid w:val="00FF2F20"/>
    <w:rsid w:val="00FF40EF"/>
    <w:rsid w:val="00FF5084"/>
    <w:rsid w:val="00FF54C1"/>
    <w:rsid w:val="00FF56D2"/>
    <w:rsid w:val="00FF5F8B"/>
    <w:rsid w:val="00FF6396"/>
    <w:rsid w:val="00FF659E"/>
    <w:rsid w:val="00FF669F"/>
    <w:rsid w:val="00FF6B17"/>
    <w:rsid w:val="00FF6B55"/>
    <w:rsid w:val="00FF6FD3"/>
    <w:rsid w:val="00FF75F6"/>
    <w:rsid w:val="00FF7B86"/>
    <w:rsid w:val="00FF7D34"/>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AB61F"/>
  <w15:docId w15:val="{4470452F-0641-4888-8022-60B68D5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ED6"/>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068F4"/>
    <w:pPr>
      <w:keepNext/>
      <w:widowControl/>
      <w:numPr>
        <w:numId w:val="14"/>
      </w:numPr>
      <w:tabs>
        <w:tab w:val="left" w:pos="-720"/>
      </w:tabs>
      <w:suppressAutoHyphens/>
      <w:spacing w:line="360" w:lineRule="auto"/>
      <w:outlineLvl w:val="0"/>
    </w:pPr>
    <w:rPr>
      <w:b/>
      <w:sz w:val="26"/>
    </w:rPr>
  </w:style>
  <w:style w:type="paragraph" w:styleId="Heading2">
    <w:name w:val="heading 2"/>
    <w:basedOn w:val="ListParagraph"/>
    <w:next w:val="Normal"/>
    <w:link w:val="Heading2Char"/>
    <w:uiPriority w:val="9"/>
    <w:unhideWhenUsed/>
    <w:qFormat/>
    <w:rsid w:val="00D068F4"/>
    <w:pPr>
      <w:widowControl/>
      <w:numPr>
        <w:numId w:val="1"/>
      </w:numPr>
      <w:spacing w:line="360" w:lineRule="auto"/>
      <w:ind w:left="360"/>
      <w:outlineLvl w:val="1"/>
    </w:pPr>
    <w:rPr>
      <w:rFonts w:eastAsia="Calibri"/>
      <w:b/>
      <w:sz w:val="26"/>
      <w:szCs w:val="26"/>
    </w:rPr>
  </w:style>
  <w:style w:type="paragraph" w:styleId="Heading3">
    <w:name w:val="heading 3"/>
    <w:basedOn w:val="Normal"/>
    <w:next w:val="Normal"/>
    <w:link w:val="Heading3Char"/>
    <w:uiPriority w:val="9"/>
    <w:unhideWhenUsed/>
    <w:qFormat/>
    <w:rsid w:val="00BB4C05"/>
    <w:pPr>
      <w:keepNext/>
      <w:keepLines/>
      <w:spacing w:before="40"/>
      <w:outlineLvl w:val="2"/>
    </w:pPr>
    <w:rPr>
      <w:rFonts w:eastAsiaTheme="majorEastAsia"/>
      <w:b/>
      <w:sz w:val="26"/>
      <w:szCs w:val="26"/>
    </w:rPr>
  </w:style>
  <w:style w:type="paragraph" w:styleId="Heading4">
    <w:name w:val="heading 4"/>
    <w:basedOn w:val="Normal"/>
    <w:next w:val="Normal"/>
    <w:link w:val="Heading4Char"/>
    <w:uiPriority w:val="9"/>
    <w:unhideWhenUsed/>
    <w:qFormat/>
    <w:rsid w:val="00BB4C05"/>
    <w:pPr>
      <w:keepNext/>
      <w:widowControl/>
      <w:spacing w:line="360" w:lineRule="auto"/>
      <w:outlineLvl w:val="3"/>
    </w:pPr>
    <w:rPr>
      <w:b/>
      <w:sz w:val="26"/>
      <w:szCs w:val="26"/>
    </w:rPr>
  </w:style>
  <w:style w:type="paragraph" w:styleId="Heading5">
    <w:name w:val="heading 5"/>
    <w:basedOn w:val="Heading4"/>
    <w:next w:val="Normal"/>
    <w:link w:val="Heading5Char"/>
    <w:uiPriority w:val="9"/>
    <w:unhideWhenUsed/>
    <w:qFormat/>
    <w:rsid w:val="00592B10"/>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footnote text,Style 42,Style 13,Style 12,Style 28,(NECG) Footnote Reference,Style 11,Style 9,Style 16,Style 15,Style 17,Style 20,o1,fr1,o2,fr2,o3,fr3,Style 8,Style 7,Style 19"/>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
    <w:uiPriority w:val="99"/>
    <w:unhideWhenUsed/>
    <w:rsid w:val="00F7174B"/>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D068F4"/>
    <w:rPr>
      <w:rFonts w:ascii="Times New Roman" w:eastAsia="Times New Roman" w:hAnsi="Times New Roman" w:cs="Times New Roman"/>
      <w:b/>
      <w:sz w:val="26"/>
      <w:szCs w:val="20"/>
    </w:rPr>
  </w:style>
  <w:style w:type="character" w:styleId="Strong">
    <w:name w:val="Strong"/>
    <w:basedOn w:val="DefaultParagraphFont"/>
    <w:uiPriority w:val="22"/>
    <w:qFormat/>
    <w:rsid w:val="003F2A8B"/>
    <w:rPr>
      <w:b/>
      <w:bCs/>
    </w:rPr>
  </w:style>
  <w:style w:type="paragraph" w:customStyle="1" w:styleId="Default">
    <w:name w:val="Default"/>
    <w:rsid w:val="00970B08"/>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7561BC"/>
    <w:pPr>
      <w:keepLines/>
      <w:tabs>
        <w:tab w:val="clear" w:pos="-720"/>
      </w:tabs>
      <w:suppressAutoHyphens w:val="0"/>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CF7D2A"/>
    <w:pPr>
      <w:spacing w:after="100"/>
    </w:pPr>
    <w:rPr>
      <w:sz w:val="26"/>
    </w:rPr>
  </w:style>
  <w:style w:type="character" w:customStyle="1" w:styleId="Heading2Char">
    <w:name w:val="Heading 2 Char"/>
    <w:basedOn w:val="DefaultParagraphFont"/>
    <w:link w:val="Heading2"/>
    <w:uiPriority w:val="9"/>
    <w:rsid w:val="00D068F4"/>
    <w:rPr>
      <w:rFonts w:ascii="Times New Roman" w:eastAsia="Calibri" w:hAnsi="Times New Roman" w:cs="Times New Roman"/>
      <w:b/>
      <w:sz w:val="26"/>
      <w:szCs w:val="26"/>
    </w:rPr>
  </w:style>
  <w:style w:type="character" w:customStyle="1" w:styleId="Heading3Char">
    <w:name w:val="Heading 3 Char"/>
    <w:basedOn w:val="DefaultParagraphFont"/>
    <w:link w:val="Heading3"/>
    <w:uiPriority w:val="9"/>
    <w:rsid w:val="00BB4C05"/>
    <w:rPr>
      <w:rFonts w:ascii="Times New Roman" w:eastAsiaTheme="majorEastAsia" w:hAnsi="Times New Roman" w:cs="Times New Roman"/>
      <w:b/>
      <w:sz w:val="26"/>
      <w:szCs w:val="26"/>
    </w:rPr>
  </w:style>
  <w:style w:type="character" w:customStyle="1" w:styleId="Heading4Char">
    <w:name w:val="Heading 4 Char"/>
    <w:basedOn w:val="DefaultParagraphFont"/>
    <w:link w:val="Heading4"/>
    <w:uiPriority w:val="9"/>
    <w:rsid w:val="00BB4C05"/>
    <w:rPr>
      <w:rFonts w:ascii="Times New Roman" w:eastAsia="Times New Roman" w:hAnsi="Times New Roman" w:cs="Times New Roman"/>
      <w:b/>
      <w:sz w:val="26"/>
      <w:szCs w:val="26"/>
    </w:rPr>
  </w:style>
  <w:style w:type="paragraph" w:styleId="TOC2">
    <w:name w:val="toc 2"/>
    <w:basedOn w:val="Normal"/>
    <w:next w:val="Normal"/>
    <w:autoRedefine/>
    <w:uiPriority w:val="39"/>
    <w:unhideWhenUsed/>
    <w:rsid w:val="00C159C2"/>
    <w:pPr>
      <w:spacing w:after="100"/>
      <w:ind w:left="200"/>
    </w:pPr>
    <w:rPr>
      <w:sz w:val="26"/>
    </w:rPr>
  </w:style>
  <w:style w:type="paragraph" w:styleId="TOC3">
    <w:name w:val="toc 3"/>
    <w:basedOn w:val="Normal"/>
    <w:next w:val="Normal"/>
    <w:autoRedefine/>
    <w:uiPriority w:val="39"/>
    <w:unhideWhenUsed/>
    <w:rsid w:val="00C159C2"/>
    <w:pPr>
      <w:spacing w:after="100"/>
      <w:ind w:left="400"/>
    </w:pPr>
    <w:rPr>
      <w:sz w:val="26"/>
    </w:rPr>
  </w:style>
  <w:style w:type="character" w:customStyle="1" w:styleId="Heading5Char">
    <w:name w:val="Heading 5 Char"/>
    <w:basedOn w:val="DefaultParagraphFont"/>
    <w:link w:val="Heading5"/>
    <w:uiPriority w:val="9"/>
    <w:rsid w:val="00592B10"/>
    <w:rPr>
      <w:rFonts w:ascii="Times New Roman" w:eastAsia="Times New Roman" w:hAnsi="Times New Roman" w:cs="Times New Roman"/>
      <w:b/>
      <w:sz w:val="26"/>
      <w:szCs w:val="26"/>
    </w:rPr>
  </w:style>
  <w:style w:type="paragraph" w:styleId="TOC4">
    <w:name w:val="toc 4"/>
    <w:basedOn w:val="Normal"/>
    <w:next w:val="Normal"/>
    <w:autoRedefine/>
    <w:uiPriority w:val="39"/>
    <w:unhideWhenUsed/>
    <w:rsid w:val="00C159C2"/>
    <w:pPr>
      <w:spacing w:after="100"/>
      <w:ind w:left="600"/>
    </w:pPr>
    <w:rPr>
      <w:sz w:val="24"/>
    </w:rPr>
  </w:style>
  <w:style w:type="paragraph" w:styleId="TOC5">
    <w:name w:val="toc 5"/>
    <w:basedOn w:val="Normal"/>
    <w:next w:val="Normal"/>
    <w:autoRedefine/>
    <w:uiPriority w:val="39"/>
    <w:unhideWhenUsed/>
    <w:rsid w:val="007911B8"/>
    <w:pPr>
      <w:spacing w:after="100"/>
      <w:ind w:left="800"/>
    </w:pPr>
  </w:style>
  <w:style w:type="table" w:customStyle="1" w:styleId="PlainTable41">
    <w:name w:val="Plain Table 41"/>
    <w:basedOn w:val="TableNormal"/>
    <w:next w:val="PlainTable4"/>
    <w:uiPriority w:val="44"/>
    <w:rsid w:val="00E424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E424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73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83A6D"/>
    <w:pPr>
      <w:spacing w:after="0" w:line="240" w:lineRule="auto"/>
    </w:pPr>
    <w:rPr>
      <w:rFonts w:ascii="Times New Roman" w:eastAsia="Times New Roman" w:hAnsi="Times New Roman" w:cs="Times New Roman"/>
      <w:sz w:val="20"/>
      <w:szCs w:val="20"/>
    </w:rPr>
  </w:style>
  <w:style w:type="paragraph" w:styleId="BodyText2">
    <w:name w:val="Body Text 2"/>
    <w:basedOn w:val="Normal"/>
    <w:link w:val="BodyText2Char"/>
    <w:rsid w:val="00C15E1E"/>
    <w:pPr>
      <w:widowControl/>
      <w:spacing w:after="120" w:line="480" w:lineRule="auto"/>
    </w:pPr>
    <w:rPr>
      <w:rFonts w:ascii="CG Times" w:hAnsi="CG Times"/>
      <w:sz w:val="24"/>
    </w:rPr>
  </w:style>
  <w:style w:type="character" w:customStyle="1" w:styleId="BodyText2Char">
    <w:name w:val="Body Text 2 Char"/>
    <w:basedOn w:val="DefaultParagraphFont"/>
    <w:link w:val="BodyText2"/>
    <w:rsid w:val="00C15E1E"/>
    <w:rPr>
      <w:rFonts w:ascii="CG Times" w:eastAsia="Times New Roman" w:hAnsi="CG Times" w:cs="Times New Roman"/>
      <w:sz w:val="24"/>
      <w:szCs w:val="20"/>
    </w:rPr>
  </w:style>
  <w:style w:type="paragraph" w:styleId="ListNumber">
    <w:name w:val="List Number"/>
    <w:basedOn w:val="Normal"/>
    <w:qFormat/>
    <w:rsid w:val="00D65054"/>
    <w:pPr>
      <w:widowControl/>
      <w:numPr>
        <w:numId w:val="22"/>
      </w:numPr>
      <w:spacing w:after="240"/>
      <w:jc w:val="both"/>
    </w:pPr>
    <w:rPr>
      <w:rFonts w:eastAsiaTheme="minorHAnsi" w:cstheme="minorBidi"/>
      <w:sz w:val="24"/>
      <w:szCs w:val="24"/>
    </w:rPr>
  </w:style>
  <w:style w:type="character" w:styleId="UnresolvedMention">
    <w:name w:val="Unresolved Mention"/>
    <w:basedOn w:val="DefaultParagraphFont"/>
    <w:uiPriority w:val="99"/>
    <w:semiHidden/>
    <w:unhideWhenUsed/>
    <w:rsid w:val="0095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03898">
      <w:bodyDiv w:val="1"/>
      <w:marLeft w:val="0"/>
      <w:marRight w:val="0"/>
      <w:marTop w:val="0"/>
      <w:marBottom w:val="0"/>
      <w:divBdr>
        <w:top w:val="none" w:sz="0" w:space="0" w:color="auto"/>
        <w:left w:val="none" w:sz="0" w:space="0" w:color="auto"/>
        <w:bottom w:val="none" w:sz="0" w:space="0" w:color="auto"/>
        <w:right w:val="none" w:sz="0" w:space="0" w:color="auto"/>
      </w:divBdr>
    </w:div>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089156363">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3703-8ED5-4ACE-90CF-33052141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19656</Words>
  <Characters>112042</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eberzonsky</dc:creator>
  <cp:lastModifiedBy>Sheffer, Ryan</cp:lastModifiedBy>
  <cp:revision>3</cp:revision>
  <cp:lastPrinted>2018-12-11T14:53:00Z</cp:lastPrinted>
  <dcterms:created xsi:type="dcterms:W3CDTF">2018-12-18T19:23:00Z</dcterms:created>
  <dcterms:modified xsi:type="dcterms:W3CDTF">2018-12-20T12:20:00Z</dcterms:modified>
</cp:coreProperties>
</file>