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81E72">
        <w:trPr>
          <w:trHeight w:val="990"/>
        </w:trPr>
        <w:tc>
          <w:tcPr>
            <w:tcW w:w="1363" w:type="dxa"/>
          </w:tcPr>
          <w:p w:rsidR="00C81E72" w:rsidRDefault="00343AAB" w:rsidP="00C81E72">
            <w:pPr>
              <w:rPr>
                <w:sz w:val="24"/>
              </w:rPr>
            </w:pPr>
            <w:bookmarkStart w:id="0" w:name="_GoBack"/>
            <w:bookmarkEnd w:id="0"/>
            <w:r>
              <w:rPr>
                <w:noProof/>
                <w:spacing w:val="-2"/>
              </w:rPr>
              <w:drawing>
                <wp:inline distT="0" distB="0" distL="0" distR="0" wp14:anchorId="494912CA" wp14:editId="1362A0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C81E72" w:rsidRDefault="00C81E72" w:rsidP="00C81E72">
            <w:pPr>
              <w:suppressAutoHyphens/>
              <w:spacing w:line="204" w:lineRule="auto"/>
              <w:jc w:val="center"/>
              <w:rPr>
                <w:rFonts w:ascii="Arial" w:hAnsi="Arial"/>
                <w:color w:val="000080"/>
                <w:spacing w:val="-3"/>
                <w:sz w:val="26"/>
              </w:rPr>
            </w:pPr>
          </w:p>
          <w:p w:rsidR="00C81E72" w:rsidRDefault="00C81E72" w:rsidP="00C81E7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81E72" w:rsidRDefault="00C81E72" w:rsidP="00C81E7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3E4F7E" w:rsidRDefault="0029462D" w:rsidP="00C81E72">
            <w:pPr>
              <w:suppressAutoHyphens/>
              <w:spacing w:line="204" w:lineRule="auto"/>
              <w:jc w:val="center"/>
              <w:rPr>
                <w:rFonts w:ascii="Arial" w:hAnsi="Arial"/>
                <w:color w:val="000080"/>
                <w:spacing w:val="-3"/>
                <w:sz w:val="26"/>
              </w:rPr>
            </w:pPr>
            <w:r>
              <w:rPr>
                <w:rFonts w:ascii="Arial" w:hAnsi="Arial"/>
                <w:color w:val="000080"/>
                <w:spacing w:val="-3"/>
                <w:sz w:val="26"/>
              </w:rPr>
              <w:t>TECHNICAL UTILITY SERVICES</w:t>
            </w:r>
          </w:p>
          <w:p w:rsidR="00C81E72" w:rsidRDefault="0029462D" w:rsidP="00C81E72">
            <w:pPr>
              <w:jc w:val="center"/>
              <w:rPr>
                <w:rFonts w:ascii="Arial" w:hAnsi="Arial"/>
                <w:sz w:val="12"/>
              </w:rPr>
            </w:pPr>
            <w:r>
              <w:rPr>
                <w:rFonts w:ascii="Arial" w:hAnsi="Arial"/>
                <w:color w:val="000080"/>
                <w:spacing w:val="-3"/>
                <w:sz w:val="26"/>
              </w:rPr>
              <w:t>P.O. BOX 3265, HARRISBURG, PA</w:t>
            </w:r>
            <w:r w:rsidR="00C81E72">
              <w:rPr>
                <w:rFonts w:ascii="Arial" w:hAnsi="Arial"/>
                <w:color w:val="000080"/>
                <w:spacing w:val="-3"/>
                <w:sz w:val="26"/>
              </w:rPr>
              <w:t xml:space="preserve"> </w:t>
            </w:r>
            <w:smartTag w:uri="urn:schemas-microsoft-com:office:smarttags" w:element="PostalCode">
              <w:r w:rsidR="00C81E72">
                <w:rPr>
                  <w:rFonts w:ascii="Arial" w:hAnsi="Arial"/>
                  <w:color w:val="000080"/>
                  <w:spacing w:val="-3"/>
                  <w:sz w:val="26"/>
                </w:rPr>
                <w:t>17105-3265</w:t>
              </w:r>
            </w:smartTag>
          </w:p>
        </w:tc>
        <w:tc>
          <w:tcPr>
            <w:tcW w:w="1452" w:type="dxa"/>
          </w:tcPr>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6B10FA" w:rsidRDefault="00C81E72" w:rsidP="00C81E72">
            <w:pPr>
              <w:jc w:val="right"/>
              <w:rPr>
                <w:rFonts w:ascii="Arial" w:hAnsi="Arial"/>
                <w:b/>
                <w:spacing w:val="-1"/>
                <w:sz w:val="12"/>
              </w:rPr>
            </w:pPr>
            <w:r>
              <w:rPr>
                <w:rFonts w:ascii="Arial" w:hAnsi="Arial"/>
                <w:b/>
                <w:spacing w:val="-1"/>
                <w:sz w:val="12"/>
              </w:rPr>
              <w:t>IN REPLY PLEASE REFER TO OUR FILE</w:t>
            </w:r>
          </w:p>
          <w:p w:rsidR="006B10FA" w:rsidRDefault="006B10FA" w:rsidP="00F92539">
            <w:pPr>
              <w:jc w:val="right"/>
              <w:rPr>
                <w:rFonts w:ascii="Arial" w:hAnsi="Arial"/>
                <w:sz w:val="12"/>
              </w:rPr>
            </w:pPr>
            <w:r>
              <w:rPr>
                <w:rFonts w:ascii="Arial" w:hAnsi="Arial"/>
                <w:b/>
                <w:spacing w:val="-1"/>
                <w:sz w:val="12"/>
              </w:rPr>
              <w:t>M-</w:t>
            </w:r>
            <w:r w:rsidR="009218A9">
              <w:rPr>
                <w:rFonts w:ascii="Arial" w:hAnsi="Arial"/>
                <w:b/>
                <w:spacing w:val="-1"/>
                <w:sz w:val="12"/>
              </w:rPr>
              <w:t>2009</w:t>
            </w:r>
            <w:r>
              <w:rPr>
                <w:rFonts w:ascii="Arial" w:hAnsi="Arial"/>
                <w:b/>
                <w:spacing w:val="-1"/>
                <w:sz w:val="12"/>
              </w:rPr>
              <w:t>-</w:t>
            </w:r>
            <w:r w:rsidR="009218A9">
              <w:rPr>
                <w:rFonts w:ascii="Arial" w:hAnsi="Arial"/>
                <w:b/>
                <w:spacing w:val="-1"/>
                <w:sz w:val="12"/>
              </w:rPr>
              <w:t>2093383</w:t>
            </w:r>
          </w:p>
        </w:tc>
      </w:tr>
    </w:tbl>
    <w:p w:rsidR="00276AF5" w:rsidRPr="002322A2" w:rsidRDefault="00291B3A" w:rsidP="00276AF5">
      <w:pPr>
        <w:jc w:val="center"/>
        <w:rPr>
          <w:sz w:val="24"/>
          <w:szCs w:val="24"/>
        </w:rPr>
      </w:pPr>
      <w:r>
        <w:rPr>
          <w:sz w:val="24"/>
          <w:szCs w:val="24"/>
        </w:rPr>
        <w:t>August 9, 2016</w:t>
      </w:r>
    </w:p>
    <w:p w:rsidR="00AE3B13" w:rsidRDefault="00AE3B13" w:rsidP="00AE3B13">
      <w:pPr>
        <w:rPr>
          <w:sz w:val="24"/>
          <w:szCs w:val="24"/>
        </w:rPr>
      </w:pPr>
    </w:p>
    <w:p w:rsidR="00AE3B13" w:rsidRDefault="00AE3B13" w:rsidP="00AE3B13">
      <w:pPr>
        <w:rPr>
          <w:sz w:val="24"/>
          <w:szCs w:val="24"/>
        </w:rPr>
      </w:pPr>
    </w:p>
    <w:p w:rsidR="0017744A" w:rsidRPr="00FC2124" w:rsidRDefault="002322A2" w:rsidP="00D1509B">
      <w:pPr>
        <w:jc w:val="both"/>
        <w:rPr>
          <w:sz w:val="26"/>
          <w:szCs w:val="26"/>
        </w:rPr>
      </w:pPr>
      <w:r w:rsidRPr="00FC2124">
        <w:rPr>
          <w:sz w:val="26"/>
          <w:szCs w:val="26"/>
        </w:rPr>
        <w:t>TO</w:t>
      </w:r>
      <w:r w:rsidR="007462DD" w:rsidRPr="00FC2124">
        <w:rPr>
          <w:sz w:val="26"/>
          <w:szCs w:val="26"/>
        </w:rPr>
        <w:t xml:space="preserve">: </w:t>
      </w:r>
      <w:r w:rsidR="00FC2124" w:rsidRPr="00FC2124">
        <w:rPr>
          <w:sz w:val="26"/>
          <w:szCs w:val="26"/>
        </w:rPr>
        <w:tab/>
      </w:r>
      <w:r w:rsidR="007462DD" w:rsidRPr="00FC2124">
        <w:rPr>
          <w:sz w:val="26"/>
          <w:szCs w:val="26"/>
        </w:rPr>
        <w:t>EDCs and EGSs with AEPS</w:t>
      </w:r>
      <w:r w:rsidR="0099774E" w:rsidRPr="00FC2124">
        <w:rPr>
          <w:sz w:val="26"/>
          <w:szCs w:val="26"/>
        </w:rPr>
        <w:t xml:space="preserve"> </w:t>
      </w:r>
      <w:r w:rsidR="00D62852" w:rsidRPr="00FC2124">
        <w:rPr>
          <w:sz w:val="26"/>
          <w:szCs w:val="26"/>
        </w:rPr>
        <w:t>O</w:t>
      </w:r>
      <w:r w:rsidR="0099774E" w:rsidRPr="00FC2124">
        <w:rPr>
          <w:sz w:val="26"/>
          <w:szCs w:val="26"/>
        </w:rPr>
        <w:t>bligations</w:t>
      </w:r>
    </w:p>
    <w:p w:rsidR="00C144D8" w:rsidRPr="00FC2124" w:rsidRDefault="00C144D8" w:rsidP="00D1509B">
      <w:pPr>
        <w:jc w:val="both"/>
        <w:rPr>
          <w:sz w:val="26"/>
          <w:szCs w:val="26"/>
        </w:rPr>
      </w:pPr>
    </w:p>
    <w:p w:rsidR="00FC2124" w:rsidRPr="00FC2124" w:rsidRDefault="00FC2124" w:rsidP="00FC2124">
      <w:pPr>
        <w:ind w:firstLine="720"/>
        <w:jc w:val="both"/>
        <w:rPr>
          <w:sz w:val="26"/>
          <w:szCs w:val="26"/>
        </w:rPr>
      </w:pPr>
    </w:p>
    <w:p w:rsidR="00C144D8" w:rsidRPr="00FC2124" w:rsidRDefault="00C144D8" w:rsidP="00FC2124">
      <w:pPr>
        <w:ind w:firstLine="720"/>
        <w:jc w:val="both"/>
        <w:rPr>
          <w:b/>
          <w:sz w:val="26"/>
          <w:szCs w:val="26"/>
        </w:rPr>
      </w:pPr>
      <w:r w:rsidRPr="00FC2124">
        <w:rPr>
          <w:sz w:val="26"/>
          <w:szCs w:val="26"/>
        </w:rPr>
        <w:t>RE:</w:t>
      </w:r>
      <w:r w:rsidRPr="00FC2124">
        <w:rPr>
          <w:b/>
          <w:sz w:val="26"/>
          <w:szCs w:val="26"/>
        </w:rPr>
        <w:t xml:space="preserve"> </w:t>
      </w:r>
      <w:r w:rsidR="00FC2124" w:rsidRPr="00FC2124">
        <w:rPr>
          <w:b/>
          <w:sz w:val="26"/>
          <w:szCs w:val="26"/>
        </w:rPr>
        <w:tab/>
      </w:r>
      <w:r w:rsidR="007462DD" w:rsidRPr="00FC2124">
        <w:rPr>
          <w:sz w:val="26"/>
          <w:szCs w:val="26"/>
        </w:rPr>
        <w:t>AEPS Compliance Obligation</w:t>
      </w:r>
      <w:r w:rsidR="007462DD" w:rsidRPr="00FC2124">
        <w:rPr>
          <w:b/>
          <w:sz w:val="26"/>
          <w:szCs w:val="26"/>
        </w:rPr>
        <w:t xml:space="preserve"> </w:t>
      </w:r>
    </w:p>
    <w:p w:rsidR="00C144D8" w:rsidRPr="00FC2124" w:rsidRDefault="00C144D8" w:rsidP="00D1509B">
      <w:pPr>
        <w:jc w:val="both"/>
        <w:rPr>
          <w:sz w:val="26"/>
          <w:szCs w:val="26"/>
        </w:rPr>
      </w:pPr>
    </w:p>
    <w:p w:rsidR="002322A2" w:rsidRPr="00FC2124" w:rsidRDefault="002322A2" w:rsidP="00D1509B">
      <w:pPr>
        <w:jc w:val="both"/>
        <w:rPr>
          <w:sz w:val="26"/>
          <w:szCs w:val="26"/>
        </w:rPr>
      </w:pPr>
    </w:p>
    <w:p w:rsidR="00D62852" w:rsidRPr="00FC2124" w:rsidRDefault="00222E38" w:rsidP="00025F9F">
      <w:pPr>
        <w:pStyle w:val="p3"/>
        <w:widowControl/>
        <w:tabs>
          <w:tab w:val="clear" w:pos="204"/>
        </w:tabs>
        <w:ind w:firstLine="720"/>
        <w:rPr>
          <w:sz w:val="26"/>
          <w:szCs w:val="26"/>
        </w:rPr>
      </w:pPr>
      <w:r w:rsidRPr="00FC2124">
        <w:rPr>
          <w:sz w:val="26"/>
          <w:szCs w:val="26"/>
        </w:rPr>
        <w:t xml:space="preserve">This </w:t>
      </w:r>
      <w:r w:rsidR="00EE03F4" w:rsidRPr="00FC2124">
        <w:rPr>
          <w:sz w:val="26"/>
          <w:szCs w:val="26"/>
        </w:rPr>
        <w:t xml:space="preserve">letter </w:t>
      </w:r>
      <w:r w:rsidRPr="00FC2124">
        <w:rPr>
          <w:sz w:val="26"/>
          <w:szCs w:val="26"/>
        </w:rPr>
        <w:t xml:space="preserve">serves as notification that </w:t>
      </w:r>
      <w:r w:rsidR="008D2A2C" w:rsidRPr="00FC2124">
        <w:rPr>
          <w:sz w:val="26"/>
          <w:szCs w:val="26"/>
        </w:rPr>
        <w:t xml:space="preserve">the </w:t>
      </w:r>
      <w:r w:rsidR="009C3F1E" w:rsidRPr="00FC2124">
        <w:rPr>
          <w:sz w:val="26"/>
          <w:szCs w:val="26"/>
        </w:rPr>
        <w:t>Pennsylvania Public Utility Commission (</w:t>
      </w:r>
      <w:r w:rsidR="008D2A2C" w:rsidRPr="00FC2124">
        <w:rPr>
          <w:sz w:val="26"/>
          <w:szCs w:val="26"/>
        </w:rPr>
        <w:t>Commission</w:t>
      </w:r>
      <w:r w:rsidR="009C3F1E" w:rsidRPr="00FC2124">
        <w:rPr>
          <w:sz w:val="26"/>
          <w:szCs w:val="26"/>
        </w:rPr>
        <w:t>)</w:t>
      </w:r>
      <w:r w:rsidR="008D2A2C" w:rsidRPr="00FC2124">
        <w:rPr>
          <w:sz w:val="26"/>
          <w:szCs w:val="26"/>
        </w:rPr>
        <w:t xml:space="preserve"> is extending </w:t>
      </w:r>
      <w:r w:rsidR="00137BBF" w:rsidRPr="00FC2124">
        <w:rPr>
          <w:sz w:val="26"/>
          <w:szCs w:val="26"/>
        </w:rPr>
        <w:t xml:space="preserve">the period for true-up of a </w:t>
      </w:r>
      <w:r w:rsidR="005E4ADE" w:rsidRPr="00FC2124">
        <w:rPr>
          <w:sz w:val="26"/>
          <w:szCs w:val="26"/>
        </w:rPr>
        <w:t xml:space="preserve">portion of the non-solar </w:t>
      </w:r>
      <w:r w:rsidR="008D2A2C" w:rsidRPr="00FC2124">
        <w:rPr>
          <w:sz w:val="26"/>
          <w:szCs w:val="26"/>
        </w:rPr>
        <w:t xml:space="preserve">Tier I obligations </w:t>
      </w:r>
      <w:r w:rsidR="00EE03F4" w:rsidRPr="00FC2124">
        <w:rPr>
          <w:sz w:val="26"/>
          <w:szCs w:val="26"/>
        </w:rPr>
        <w:t>for the 2016 compliance year</w:t>
      </w:r>
      <w:r w:rsidR="008D2A2C" w:rsidRPr="00FC2124">
        <w:rPr>
          <w:sz w:val="26"/>
          <w:szCs w:val="26"/>
        </w:rPr>
        <w:t xml:space="preserve"> from September 1, 2016 to November 30, 2016</w:t>
      </w:r>
      <w:r w:rsidR="00137BBF" w:rsidRPr="00FC2124">
        <w:rPr>
          <w:sz w:val="26"/>
          <w:szCs w:val="26"/>
        </w:rPr>
        <w:t>.  The extension</w:t>
      </w:r>
      <w:r w:rsidR="002C5904" w:rsidRPr="00FC2124">
        <w:rPr>
          <w:sz w:val="26"/>
          <w:szCs w:val="26"/>
        </w:rPr>
        <w:t xml:space="preserve"> provide</w:t>
      </w:r>
      <w:r w:rsidR="00137BBF" w:rsidRPr="00FC2124">
        <w:rPr>
          <w:sz w:val="26"/>
          <w:szCs w:val="26"/>
        </w:rPr>
        <w:t>s</w:t>
      </w:r>
      <w:r w:rsidR="002C5904" w:rsidRPr="00FC2124">
        <w:rPr>
          <w:sz w:val="26"/>
          <w:szCs w:val="26"/>
        </w:rPr>
        <w:t xml:space="preserve"> additional time to </w:t>
      </w:r>
      <w:r w:rsidR="00137BBF" w:rsidRPr="00FC2124">
        <w:rPr>
          <w:sz w:val="26"/>
          <w:szCs w:val="26"/>
        </w:rPr>
        <w:t xml:space="preserve">address </w:t>
      </w:r>
      <w:r w:rsidR="002C5904" w:rsidRPr="00FC2124">
        <w:rPr>
          <w:sz w:val="26"/>
          <w:szCs w:val="26"/>
        </w:rPr>
        <w:t>an unanticipated increase in the non</w:t>
      </w:r>
      <w:r w:rsidR="002C5904" w:rsidRPr="00FC2124">
        <w:rPr>
          <w:sz w:val="26"/>
          <w:szCs w:val="26"/>
        </w:rPr>
        <w:noBreakHyphen/>
        <w:t>solar Tier I obligations for this compliance year</w:t>
      </w:r>
      <w:r w:rsidRPr="00FC2124">
        <w:rPr>
          <w:sz w:val="26"/>
          <w:szCs w:val="26"/>
        </w:rPr>
        <w:t xml:space="preserve">.  This </w:t>
      </w:r>
      <w:r w:rsidR="008D2A2C" w:rsidRPr="00FC2124">
        <w:rPr>
          <w:sz w:val="26"/>
          <w:szCs w:val="26"/>
        </w:rPr>
        <w:t xml:space="preserve">true-up period extension does not apply to </w:t>
      </w:r>
      <w:r w:rsidR="00F75DEA" w:rsidRPr="00FC2124">
        <w:rPr>
          <w:sz w:val="26"/>
          <w:szCs w:val="26"/>
        </w:rPr>
        <w:t xml:space="preserve">solar </w:t>
      </w:r>
      <w:r w:rsidR="008D2A2C" w:rsidRPr="00FC2124">
        <w:rPr>
          <w:sz w:val="26"/>
          <w:szCs w:val="26"/>
        </w:rPr>
        <w:t xml:space="preserve">Tier I </w:t>
      </w:r>
      <w:proofErr w:type="gramStart"/>
      <w:r w:rsidR="008D2A2C" w:rsidRPr="00FC2124">
        <w:rPr>
          <w:sz w:val="26"/>
          <w:szCs w:val="26"/>
        </w:rPr>
        <w:t>nor</w:t>
      </w:r>
      <w:proofErr w:type="gramEnd"/>
      <w:r w:rsidR="008D2A2C" w:rsidRPr="00FC2124">
        <w:rPr>
          <w:sz w:val="26"/>
          <w:szCs w:val="26"/>
        </w:rPr>
        <w:t xml:space="preserve"> Tier II requirements</w:t>
      </w:r>
      <w:r w:rsidRPr="00FC2124">
        <w:rPr>
          <w:sz w:val="26"/>
          <w:szCs w:val="26"/>
        </w:rPr>
        <w:t>.</w:t>
      </w:r>
      <w:r w:rsidR="008D2A2C" w:rsidRPr="00FC2124">
        <w:rPr>
          <w:sz w:val="26"/>
          <w:szCs w:val="26"/>
        </w:rPr>
        <w:t xml:space="preserve">  </w:t>
      </w:r>
      <w:r w:rsidR="002840ED" w:rsidRPr="00FC2124">
        <w:rPr>
          <w:sz w:val="26"/>
          <w:szCs w:val="26"/>
        </w:rPr>
        <w:t>In addition, it does not apply to the non-solar Tier I obligations contained in 52 Pa. Code § 75.61(b</w:t>
      </w:r>
      <w:proofErr w:type="gramStart"/>
      <w:r w:rsidR="002840ED" w:rsidRPr="00FC2124">
        <w:rPr>
          <w:sz w:val="26"/>
          <w:szCs w:val="26"/>
        </w:rPr>
        <w:t>)(</w:t>
      </w:r>
      <w:proofErr w:type="gramEnd"/>
      <w:r w:rsidR="002840ED" w:rsidRPr="00FC2124">
        <w:rPr>
          <w:sz w:val="26"/>
          <w:szCs w:val="26"/>
        </w:rPr>
        <w:t>10), which requires that 5.25</w:t>
      </w:r>
      <w:r w:rsidR="002B22DF" w:rsidRPr="00FC2124">
        <w:rPr>
          <w:sz w:val="26"/>
          <w:szCs w:val="26"/>
        </w:rPr>
        <w:t>% of all retail sales come from non-solar</w:t>
      </w:r>
      <w:r w:rsidR="002840ED" w:rsidRPr="00FC2124">
        <w:rPr>
          <w:sz w:val="26"/>
          <w:szCs w:val="26"/>
        </w:rPr>
        <w:t xml:space="preserve"> Tier I sources</w:t>
      </w:r>
      <w:r w:rsidR="002B22DF" w:rsidRPr="00FC2124">
        <w:rPr>
          <w:sz w:val="26"/>
          <w:szCs w:val="26"/>
        </w:rPr>
        <w:t>.</w:t>
      </w:r>
      <w:r w:rsidR="002840ED" w:rsidRPr="00FC2124">
        <w:rPr>
          <w:sz w:val="26"/>
          <w:szCs w:val="26"/>
        </w:rPr>
        <w:t xml:space="preserve">  </w:t>
      </w:r>
    </w:p>
    <w:p w:rsidR="00D62852" w:rsidRPr="00FC2124" w:rsidRDefault="00D62852" w:rsidP="00025F9F">
      <w:pPr>
        <w:pStyle w:val="p3"/>
        <w:widowControl/>
        <w:tabs>
          <w:tab w:val="clear" w:pos="204"/>
        </w:tabs>
        <w:ind w:firstLine="720"/>
        <w:rPr>
          <w:sz w:val="26"/>
          <w:szCs w:val="26"/>
        </w:rPr>
      </w:pPr>
    </w:p>
    <w:p w:rsidR="00222E38" w:rsidRPr="00FC2124" w:rsidRDefault="008D2A2C" w:rsidP="00025F9F">
      <w:pPr>
        <w:pStyle w:val="p3"/>
        <w:widowControl/>
        <w:tabs>
          <w:tab w:val="clear" w:pos="204"/>
        </w:tabs>
        <w:ind w:firstLine="720"/>
        <w:rPr>
          <w:sz w:val="26"/>
          <w:szCs w:val="26"/>
        </w:rPr>
      </w:pPr>
      <w:r w:rsidRPr="00FC2124">
        <w:rPr>
          <w:sz w:val="26"/>
          <w:szCs w:val="26"/>
        </w:rPr>
        <w:t xml:space="preserve">All electric generation suppliers (EGSs) and electric distribution companies (EDCs) that had retail electric sales during the reporting year from June 1, 2015 through May 31, 2016, </w:t>
      </w:r>
      <w:r w:rsidR="00D62852" w:rsidRPr="00FC2124">
        <w:rPr>
          <w:sz w:val="26"/>
          <w:szCs w:val="26"/>
        </w:rPr>
        <w:t>remain</w:t>
      </w:r>
      <w:r w:rsidR="009C3F1E" w:rsidRPr="00FC2124">
        <w:rPr>
          <w:sz w:val="26"/>
          <w:szCs w:val="26"/>
        </w:rPr>
        <w:t xml:space="preserve"> obligated to</w:t>
      </w:r>
      <w:r w:rsidRPr="00FC2124">
        <w:rPr>
          <w:sz w:val="26"/>
          <w:szCs w:val="26"/>
        </w:rPr>
        <w:t xml:space="preserve"> retire the appropriate number of </w:t>
      </w:r>
      <w:r w:rsidR="00F75DEA" w:rsidRPr="00FC2124">
        <w:rPr>
          <w:sz w:val="26"/>
          <w:szCs w:val="26"/>
        </w:rPr>
        <w:t xml:space="preserve">solar </w:t>
      </w:r>
      <w:r w:rsidR="002B22DF" w:rsidRPr="00FC2124">
        <w:rPr>
          <w:sz w:val="26"/>
          <w:szCs w:val="26"/>
        </w:rPr>
        <w:t>Tier I (0.25% of retail sales), non</w:t>
      </w:r>
      <w:r w:rsidR="002B22DF" w:rsidRPr="00FC2124">
        <w:rPr>
          <w:sz w:val="26"/>
          <w:szCs w:val="26"/>
        </w:rPr>
        <w:noBreakHyphen/>
        <w:t xml:space="preserve">solar Tier I (5.25% of retail sales) </w:t>
      </w:r>
      <w:r w:rsidRPr="00FC2124">
        <w:rPr>
          <w:sz w:val="26"/>
          <w:szCs w:val="26"/>
        </w:rPr>
        <w:t>and Tier II</w:t>
      </w:r>
      <w:r w:rsidR="002B22DF" w:rsidRPr="00FC2124">
        <w:rPr>
          <w:sz w:val="26"/>
          <w:szCs w:val="26"/>
        </w:rPr>
        <w:t xml:space="preserve"> (8.2% of retail sales)</w:t>
      </w:r>
      <w:r w:rsidRPr="00FC2124">
        <w:rPr>
          <w:sz w:val="26"/>
          <w:szCs w:val="26"/>
        </w:rPr>
        <w:t xml:space="preserve"> alternative energy credits (AECs) by September 1, 2016.</w:t>
      </w:r>
      <w:r w:rsidR="002B22DF" w:rsidRPr="00FC2124">
        <w:rPr>
          <w:sz w:val="26"/>
          <w:szCs w:val="26"/>
        </w:rPr>
        <w:t xml:space="preserve">  The true-up period for the additional non-solar Tier I obligations related to the quarterly adjustments required by 66</w:t>
      </w:r>
      <w:r w:rsidR="00FC2124">
        <w:rPr>
          <w:sz w:val="26"/>
          <w:szCs w:val="26"/>
        </w:rPr>
        <w:t> </w:t>
      </w:r>
      <w:r w:rsidR="002B22DF" w:rsidRPr="00FC2124">
        <w:rPr>
          <w:sz w:val="26"/>
          <w:szCs w:val="26"/>
        </w:rPr>
        <w:t>Pa. C.S. § 2814 is extended to November 30, 2016.</w:t>
      </w:r>
    </w:p>
    <w:p w:rsidR="00222E38" w:rsidRPr="00FC2124" w:rsidRDefault="00222E38" w:rsidP="00025F9F">
      <w:pPr>
        <w:pStyle w:val="p3"/>
        <w:widowControl/>
        <w:tabs>
          <w:tab w:val="clear" w:pos="204"/>
        </w:tabs>
        <w:ind w:firstLine="720"/>
        <w:rPr>
          <w:sz w:val="26"/>
          <w:szCs w:val="26"/>
        </w:rPr>
      </w:pPr>
    </w:p>
    <w:p w:rsidR="001B74B6" w:rsidRPr="00FC2124" w:rsidRDefault="008D2A2C" w:rsidP="003077E5">
      <w:pPr>
        <w:ind w:firstLine="720"/>
        <w:rPr>
          <w:sz w:val="26"/>
          <w:szCs w:val="26"/>
        </w:rPr>
      </w:pPr>
      <w:r w:rsidRPr="00FC2124">
        <w:rPr>
          <w:sz w:val="26"/>
          <w:szCs w:val="26"/>
        </w:rPr>
        <w:t xml:space="preserve">In a </w:t>
      </w:r>
      <w:r w:rsidR="001B74B6" w:rsidRPr="00FC2124">
        <w:rPr>
          <w:sz w:val="26"/>
          <w:szCs w:val="26"/>
        </w:rPr>
        <w:t>July 8, 2016</w:t>
      </w:r>
      <w:r w:rsidR="009C3F1E" w:rsidRPr="00FC2124">
        <w:rPr>
          <w:sz w:val="26"/>
          <w:szCs w:val="26"/>
        </w:rPr>
        <w:t>,</w:t>
      </w:r>
      <w:r w:rsidR="001B74B6" w:rsidRPr="00FC2124">
        <w:rPr>
          <w:sz w:val="26"/>
          <w:szCs w:val="26"/>
        </w:rPr>
        <w:t xml:space="preserve"> Secretarial Letter, the Commission provided </w:t>
      </w:r>
      <w:r w:rsidR="00ED220B" w:rsidRPr="00FC2124">
        <w:rPr>
          <w:sz w:val="26"/>
          <w:szCs w:val="26"/>
        </w:rPr>
        <w:t>notification</w:t>
      </w:r>
      <w:r w:rsidR="001B74B6" w:rsidRPr="00FC2124">
        <w:rPr>
          <w:sz w:val="26"/>
          <w:szCs w:val="26"/>
        </w:rPr>
        <w:t xml:space="preserve"> to all EGSs and EDCs</w:t>
      </w:r>
      <w:r w:rsidR="00ED220B" w:rsidRPr="00FC2124">
        <w:rPr>
          <w:sz w:val="26"/>
          <w:szCs w:val="26"/>
        </w:rPr>
        <w:t xml:space="preserve"> that t</w:t>
      </w:r>
      <w:r w:rsidR="007462DD" w:rsidRPr="00FC2124">
        <w:rPr>
          <w:sz w:val="26"/>
          <w:szCs w:val="26"/>
        </w:rPr>
        <w:t xml:space="preserve">he Commission </w:t>
      </w:r>
      <w:r w:rsidR="00222E38" w:rsidRPr="00FC2124">
        <w:rPr>
          <w:sz w:val="26"/>
          <w:szCs w:val="26"/>
        </w:rPr>
        <w:t>ha</w:t>
      </w:r>
      <w:r w:rsidR="001B74B6" w:rsidRPr="00FC2124">
        <w:rPr>
          <w:sz w:val="26"/>
          <w:szCs w:val="26"/>
        </w:rPr>
        <w:t>d</w:t>
      </w:r>
      <w:r w:rsidR="00222E38" w:rsidRPr="00FC2124">
        <w:rPr>
          <w:sz w:val="26"/>
          <w:szCs w:val="26"/>
        </w:rPr>
        <w:t xml:space="preserve"> be</w:t>
      </w:r>
      <w:r w:rsidR="00B8162F" w:rsidRPr="00FC2124">
        <w:rPr>
          <w:sz w:val="26"/>
          <w:szCs w:val="26"/>
        </w:rPr>
        <w:t>come</w:t>
      </w:r>
      <w:r w:rsidR="00222E38" w:rsidRPr="00FC2124">
        <w:rPr>
          <w:sz w:val="26"/>
          <w:szCs w:val="26"/>
        </w:rPr>
        <w:t xml:space="preserve"> </w:t>
      </w:r>
      <w:r w:rsidR="00707DC1" w:rsidRPr="00FC2124">
        <w:rPr>
          <w:sz w:val="26"/>
          <w:szCs w:val="26"/>
        </w:rPr>
        <w:t xml:space="preserve">aware of an error in </w:t>
      </w:r>
      <w:r w:rsidR="00222E38" w:rsidRPr="00FC2124">
        <w:rPr>
          <w:sz w:val="26"/>
          <w:szCs w:val="26"/>
        </w:rPr>
        <w:t>how</w:t>
      </w:r>
      <w:r w:rsidR="00707DC1" w:rsidRPr="00FC2124">
        <w:rPr>
          <w:sz w:val="26"/>
          <w:szCs w:val="26"/>
        </w:rPr>
        <w:t xml:space="preserve"> the </w:t>
      </w:r>
      <w:r w:rsidR="001B74B6" w:rsidRPr="00FC2124">
        <w:rPr>
          <w:sz w:val="26"/>
          <w:szCs w:val="26"/>
        </w:rPr>
        <w:t>non</w:t>
      </w:r>
      <w:r w:rsidR="001B74B6" w:rsidRPr="00FC2124">
        <w:rPr>
          <w:sz w:val="26"/>
          <w:szCs w:val="26"/>
        </w:rPr>
        <w:noBreakHyphen/>
        <w:t xml:space="preserve">solar Tier I </w:t>
      </w:r>
      <w:r w:rsidR="00707DC1" w:rsidRPr="00FC2124">
        <w:rPr>
          <w:sz w:val="26"/>
          <w:szCs w:val="26"/>
        </w:rPr>
        <w:t>quarterly adjustment</w:t>
      </w:r>
      <w:r w:rsidR="00D57932" w:rsidRPr="00FC2124">
        <w:rPr>
          <w:sz w:val="26"/>
          <w:szCs w:val="26"/>
        </w:rPr>
        <w:t>s</w:t>
      </w:r>
      <w:r w:rsidR="00707DC1" w:rsidRPr="00FC2124">
        <w:rPr>
          <w:sz w:val="26"/>
          <w:szCs w:val="26"/>
        </w:rPr>
        <w:t xml:space="preserve"> </w:t>
      </w:r>
      <w:r w:rsidR="00222E38" w:rsidRPr="00FC2124">
        <w:rPr>
          <w:sz w:val="26"/>
          <w:szCs w:val="26"/>
        </w:rPr>
        <w:t>were calculated</w:t>
      </w:r>
      <w:r w:rsidR="00B8162F" w:rsidRPr="00FC2124">
        <w:rPr>
          <w:sz w:val="26"/>
          <w:szCs w:val="26"/>
        </w:rPr>
        <w:t xml:space="preserve"> over the past </w:t>
      </w:r>
      <w:r w:rsidR="00A17A0A" w:rsidRPr="00FC2124">
        <w:rPr>
          <w:sz w:val="26"/>
          <w:szCs w:val="26"/>
        </w:rPr>
        <w:t>six</w:t>
      </w:r>
      <w:r w:rsidR="00B8162F" w:rsidRPr="00FC2124">
        <w:rPr>
          <w:sz w:val="26"/>
          <w:szCs w:val="26"/>
        </w:rPr>
        <w:t xml:space="preserve"> years</w:t>
      </w:r>
      <w:r w:rsidR="00D57932" w:rsidRPr="00FC2124">
        <w:rPr>
          <w:sz w:val="26"/>
          <w:szCs w:val="26"/>
        </w:rPr>
        <w:t xml:space="preserve">.  </w:t>
      </w:r>
      <w:r w:rsidR="001B74B6" w:rsidRPr="00FC2124">
        <w:rPr>
          <w:sz w:val="26"/>
          <w:szCs w:val="26"/>
        </w:rPr>
        <w:t>The July 8, 2016 letter also noted that t</w:t>
      </w:r>
      <w:r w:rsidR="00222E38" w:rsidRPr="00FC2124">
        <w:rPr>
          <w:sz w:val="26"/>
          <w:szCs w:val="26"/>
        </w:rPr>
        <w:t>his error ha</w:t>
      </w:r>
      <w:r w:rsidR="00137BBF" w:rsidRPr="00FC2124">
        <w:rPr>
          <w:sz w:val="26"/>
          <w:szCs w:val="26"/>
        </w:rPr>
        <w:t>s</w:t>
      </w:r>
      <w:r w:rsidR="00222E38" w:rsidRPr="00FC2124">
        <w:rPr>
          <w:sz w:val="26"/>
          <w:szCs w:val="26"/>
        </w:rPr>
        <w:t xml:space="preserve"> been corrected f</w:t>
      </w:r>
      <w:r w:rsidR="00D57932" w:rsidRPr="00FC2124">
        <w:rPr>
          <w:sz w:val="26"/>
          <w:szCs w:val="26"/>
        </w:rPr>
        <w:t xml:space="preserve">or the 2016 compliance year, </w:t>
      </w:r>
      <w:r w:rsidR="00222E38" w:rsidRPr="00FC2124">
        <w:rPr>
          <w:sz w:val="26"/>
          <w:szCs w:val="26"/>
        </w:rPr>
        <w:t>resulting</w:t>
      </w:r>
      <w:r w:rsidR="00D57932" w:rsidRPr="00FC2124">
        <w:rPr>
          <w:sz w:val="26"/>
          <w:szCs w:val="26"/>
        </w:rPr>
        <w:t xml:space="preserve"> in </w:t>
      </w:r>
      <w:r w:rsidR="00222E38" w:rsidRPr="00FC2124">
        <w:rPr>
          <w:sz w:val="26"/>
          <w:szCs w:val="26"/>
        </w:rPr>
        <w:t>an approximate</w:t>
      </w:r>
      <w:r w:rsidR="00D57932" w:rsidRPr="00FC2124">
        <w:rPr>
          <w:sz w:val="26"/>
          <w:szCs w:val="26"/>
        </w:rPr>
        <w:t xml:space="preserve"> seven percent increase in the otherwise anticipated</w:t>
      </w:r>
      <w:r w:rsidR="00222E38" w:rsidRPr="00FC2124">
        <w:rPr>
          <w:sz w:val="26"/>
          <w:szCs w:val="26"/>
        </w:rPr>
        <w:t xml:space="preserve"> annual</w:t>
      </w:r>
      <w:r w:rsidR="00D57932" w:rsidRPr="00FC2124">
        <w:rPr>
          <w:sz w:val="26"/>
          <w:szCs w:val="26"/>
        </w:rPr>
        <w:t xml:space="preserve"> </w:t>
      </w:r>
      <w:r w:rsidR="001B74B6" w:rsidRPr="00FC2124">
        <w:rPr>
          <w:sz w:val="26"/>
          <w:szCs w:val="26"/>
        </w:rPr>
        <w:t>non</w:t>
      </w:r>
      <w:r w:rsidR="001B74B6" w:rsidRPr="00FC2124">
        <w:rPr>
          <w:sz w:val="26"/>
          <w:szCs w:val="26"/>
        </w:rPr>
        <w:noBreakHyphen/>
        <w:t xml:space="preserve">solar </w:t>
      </w:r>
      <w:r w:rsidR="00D57932" w:rsidRPr="00FC2124">
        <w:rPr>
          <w:sz w:val="26"/>
          <w:szCs w:val="26"/>
        </w:rPr>
        <w:t>Tier I obligations.</w:t>
      </w:r>
      <w:r w:rsidR="001B74B6" w:rsidRPr="00FC2124">
        <w:rPr>
          <w:sz w:val="26"/>
          <w:szCs w:val="26"/>
        </w:rPr>
        <w:t xml:space="preserve">  Also on or about July 15, 2016, the Alternative Energy Credit Program Administrator provided all EGSs and EDCs with their 2016 reporting year obligations for Tier II, solar Tier I, and the adjusted non</w:t>
      </w:r>
      <w:r w:rsidR="001B74B6" w:rsidRPr="00FC2124">
        <w:rPr>
          <w:sz w:val="26"/>
          <w:szCs w:val="26"/>
        </w:rPr>
        <w:noBreakHyphen/>
        <w:t xml:space="preserve">solar Tier I.  </w:t>
      </w:r>
    </w:p>
    <w:p w:rsidR="00D57932" w:rsidRPr="00FC2124" w:rsidRDefault="00D57932" w:rsidP="003077E5">
      <w:pPr>
        <w:ind w:firstLine="720"/>
        <w:rPr>
          <w:sz w:val="26"/>
          <w:szCs w:val="26"/>
        </w:rPr>
      </w:pPr>
    </w:p>
    <w:p w:rsidR="00FC2124" w:rsidRDefault="00222E38" w:rsidP="00505326">
      <w:pPr>
        <w:ind w:firstLine="720"/>
        <w:rPr>
          <w:sz w:val="26"/>
          <w:szCs w:val="26"/>
        </w:rPr>
        <w:sectPr w:rsidR="00FC2124" w:rsidSect="00FC2124">
          <w:footerReference w:type="default" r:id="rId10"/>
          <w:pgSz w:w="12240" w:h="15840"/>
          <w:pgMar w:top="504" w:right="1440" w:bottom="1440" w:left="1440" w:header="720" w:footer="720" w:gutter="0"/>
          <w:cols w:space="720"/>
          <w:titlePg/>
          <w:docGrid w:linePitch="272"/>
        </w:sectPr>
      </w:pPr>
      <w:r w:rsidRPr="00FC2124">
        <w:rPr>
          <w:sz w:val="26"/>
          <w:szCs w:val="26"/>
        </w:rPr>
        <w:t>The</w:t>
      </w:r>
      <w:r w:rsidR="00FB3460" w:rsidRPr="00FC2124">
        <w:rPr>
          <w:sz w:val="26"/>
          <w:szCs w:val="26"/>
        </w:rPr>
        <w:t xml:space="preserve"> Commission </w:t>
      </w:r>
      <w:r w:rsidR="001B74B6" w:rsidRPr="00FC2124">
        <w:rPr>
          <w:sz w:val="26"/>
          <w:szCs w:val="26"/>
        </w:rPr>
        <w:t xml:space="preserve">recognizes that the </w:t>
      </w:r>
      <w:r w:rsidR="00D62852" w:rsidRPr="00FC2124">
        <w:rPr>
          <w:sz w:val="26"/>
          <w:szCs w:val="26"/>
        </w:rPr>
        <w:t xml:space="preserve">increased </w:t>
      </w:r>
      <w:r w:rsidR="001B74B6" w:rsidRPr="00FC2124">
        <w:rPr>
          <w:sz w:val="26"/>
          <w:szCs w:val="26"/>
        </w:rPr>
        <w:t>non</w:t>
      </w:r>
      <w:r w:rsidR="001B74B6" w:rsidRPr="00FC2124">
        <w:rPr>
          <w:sz w:val="26"/>
          <w:szCs w:val="26"/>
        </w:rPr>
        <w:noBreakHyphen/>
        <w:t xml:space="preserve">solar Tier I obligations with the corrected quarterly adjustment calculations were not anticipated by </w:t>
      </w:r>
      <w:r w:rsidR="00DF731C" w:rsidRPr="00FC2124">
        <w:rPr>
          <w:sz w:val="26"/>
          <w:szCs w:val="26"/>
        </w:rPr>
        <w:t>any</w:t>
      </w:r>
      <w:r w:rsidR="001B74B6" w:rsidRPr="00FC2124">
        <w:rPr>
          <w:sz w:val="26"/>
          <w:szCs w:val="26"/>
        </w:rPr>
        <w:t xml:space="preserve"> of the EGSs and EDCs</w:t>
      </w:r>
      <w:r w:rsidR="00FB3460" w:rsidRPr="00FC2124">
        <w:rPr>
          <w:sz w:val="26"/>
          <w:szCs w:val="26"/>
        </w:rPr>
        <w:t>.</w:t>
      </w:r>
      <w:r w:rsidR="001B74B6" w:rsidRPr="00FC2124">
        <w:rPr>
          <w:sz w:val="26"/>
          <w:szCs w:val="26"/>
        </w:rPr>
        <w:t xml:space="preserve">  </w:t>
      </w:r>
      <w:r w:rsidR="00DF731C" w:rsidRPr="00FC2124">
        <w:rPr>
          <w:sz w:val="26"/>
          <w:szCs w:val="26"/>
        </w:rPr>
        <w:t>Accordingly, the Commission is extending the true</w:t>
      </w:r>
      <w:r w:rsidR="00DF731C" w:rsidRPr="00FC2124">
        <w:rPr>
          <w:sz w:val="26"/>
          <w:szCs w:val="26"/>
        </w:rPr>
        <w:noBreakHyphen/>
        <w:t xml:space="preserve">up period for </w:t>
      </w:r>
      <w:r w:rsidR="002B22DF" w:rsidRPr="00FC2124">
        <w:rPr>
          <w:sz w:val="26"/>
          <w:szCs w:val="26"/>
        </w:rPr>
        <w:t xml:space="preserve">the </w:t>
      </w:r>
      <w:r w:rsidR="00D62852" w:rsidRPr="00FC2124">
        <w:rPr>
          <w:sz w:val="26"/>
          <w:szCs w:val="26"/>
        </w:rPr>
        <w:t>increased</w:t>
      </w:r>
      <w:r w:rsidR="002B22DF" w:rsidRPr="00FC2124">
        <w:rPr>
          <w:sz w:val="26"/>
          <w:szCs w:val="26"/>
        </w:rPr>
        <w:t xml:space="preserve"> non-solar Tier I obligations related to the quarterly adjustments required by 66</w:t>
      </w:r>
      <w:r w:rsidR="00FC2124">
        <w:rPr>
          <w:sz w:val="26"/>
          <w:szCs w:val="26"/>
        </w:rPr>
        <w:t> </w:t>
      </w:r>
      <w:r w:rsidR="002B22DF" w:rsidRPr="00FC2124">
        <w:rPr>
          <w:sz w:val="26"/>
          <w:szCs w:val="26"/>
        </w:rPr>
        <w:t xml:space="preserve">Pa. C.S. § 2814 </w:t>
      </w:r>
      <w:r w:rsidR="00DF731C" w:rsidRPr="00FC2124">
        <w:rPr>
          <w:sz w:val="26"/>
          <w:szCs w:val="26"/>
        </w:rPr>
        <w:t>for the 2016 compliance year from September 1, 2016</w:t>
      </w:r>
      <w:r w:rsidR="009C3F1E" w:rsidRPr="00FC2124">
        <w:rPr>
          <w:sz w:val="26"/>
          <w:szCs w:val="26"/>
        </w:rPr>
        <w:t>,</w:t>
      </w:r>
      <w:r w:rsidR="00DF731C" w:rsidRPr="00FC2124">
        <w:rPr>
          <w:sz w:val="26"/>
          <w:szCs w:val="26"/>
        </w:rPr>
        <w:t xml:space="preserve"> to </w:t>
      </w:r>
      <w:r w:rsidR="00DF731C" w:rsidRPr="00FC2124">
        <w:rPr>
          <w:b/>
          <w:sz w:val="26"/>
          <w:szCs w:val="26"/>
        </w:rPr>
        <w:t>November 30, 2016</w:t>
      </w:r>
      <w:r w:rsidR="00DF731C" w:rsidRPr="00FC2124">
        <w:rPr>
          <w:sz w:val="26"/>
          <w:szCs w:val="26"/>
        </w:rPr>
        <w:t xml:space="preserve">.  This extension </w:t>
      </w:r>
      <w:r w:rsidR="00B7064D" w:rsidRPr="00FC2124">
        <w:rPr>
          <w:sz w:val="26"/>
          <w:szCs w:val="26"/>
        </w:rPr>
        <w:t xml:space="preserve">provides </w:t>
      </w:r>
      <w:r w:rsidR="00DF731C" w:rsidRPr="00FC2124">
        <w:rPr>
          <w:sz w:val="26"/>
          <w:szCs w:val="26"/>
        </w:rPr>
        <w:t>th</w:t>
      </w:r>
      <w:r w:rsidR="009C3F1E" w:rsidRPr="00FC2124">
        <w:rPr>
          <w:sz w:val="26"/>
          <w:szCs w:val="26"/>
        </w:rPr>
        <w:t>e</w:t>
      </w:r>
      <w:r w:rsidR="00DF731C" w:rsidRPr="00FC2124">
        <w:rPr>
          <w:sz w:val="26"/>
          <w:szCs w:val="26"/>
        </w:rPr>
        <w:t xml:space="preserve"> Commission a</w:t>
      </w:r>
      <w:r w:rsidR="00B7064D" w:rsidRPr="00FC2124">
        <w:rPr>
          <w:sz w:val="26"/>
          <w:szCs w:val="26"/>
        </w:rPr>
        <w:t>dditional time to address</w:t>
      </w:r>
      <w:r w:rsidR="00DF731C" w:rsidRPr="00FC2124">
        <w:rPr>
          <w:sz w:val="26"/>
          <w:szCs w:val="26"/>
        </w:rPr>
        <w:t xml:space="preserve">, with input from all stakeholders, the impact of the unanticipated increase in Tier I requirements and </w:t>
      </w:r>
    </w:p>
    <w:p w:rsidR="00C114D7" w:rsidRPr="00FC2124" w:rsidRDefault="00DF731C" w:rsidP="00FC2124">
      <w:pPr>
        <w:rPr>
          <w:sz w:val="26"/>
          <w:szCs w:val="26"/>
        </w:rPr>
      </w:pPr>
      <w:proofErr w:type="gramStart"/>
      <w:r w:rsidRPr="00FC2124">
        <w:rPr>
          <w:sz w:val="26"/>
          <w:szCs w:val="26"/>
        </w:rPr>
        <w:lastRenderedPageBreak/>
        <w:t>any</w:t>
      </w:r>
      <w:proofErr w:type="gramEnd"/>
      <w:r w:rsidRPr="00FC2124">
        <w:rPr>
          <w:sz w:val="26"/>
          <w:szCs w:val="26"/>
        </w:rPr>
        <w:t xml:space="preserve"> potential options to mitigate that impact on EGSs and EDCs</w:t>
      </w:r>
      <w:r w:rsidR="009C3F1E" w:rsidRPr="00FC2124">
        <w:rPr>
          <w:sz w:val="26"/>
          <w:szCs w:val="26"/>
        </w:rPr>
        <w:t xml:space="preserve"> for the 2016 </w:t>
      </w:r>
      <w:r w:rsidR="00B7064D" w:rsidRPr="00FC2124">
        <w:rPr>
          <w:sz w:val="26"/>
          <w:szCs w:val="26"/>
        </w:rPr>
        <w:t xml:space="preserve">and/or subsequent </w:t>
      </w:r>
      <w:r w:rsidR="009C3F1E" w:rsidRPr="00FC2124">
        <w:rPr>
          <w:sz w:val="26"/>
          <w:szCs w:val="26"/>
        </w:rPr>
        <w:t>compliance year</w:t>
      </w:r>
      <w:r w:rsidR="00B7064D" w:rsidRPr="00FC2124">
        <w:rPr>
          <w:sz w:val="26"/>
          <w:szCs w:val="26"/>
        </w:rPr>
        <w:t>s</w:t>
      </w:r>
      <w:r w:rsidR="009C3F1E" w:rsidRPr="00FC2124">
        <w:rPr>
          <w:sz w:val="26"/>
          <w:szCs w:val="26"/>
        </w:rPr>
        <w:t>.</w:t>
      </w:r>
      <w:r w:rsidR="00E0707C" w:rsidRPr="00FC2124">
        <w:rPr>
          <w:sz w:val="26"/>
          <w:szCs w:val="26"/>
        </w:rPr>
        <w:t xml:space="preserve">  </w:t>
      </w:r>
    </w:p>
    <w:p w:rsidR="002847DE" w:rsidRPr="00FC2124" w:rsidRDefault="002847DE" w:rsidP="003077E5">
      <w:pPr>
        <w:ind w:firstLine="720"/>
        <w:rPr>
          <w:sz w:val="26"/>
          <w:szCs w:val="26"/>
        </w:rPr>
      </w:pPr>
    </w:p>
    <w:p w:rsidR="00BE7AC3" w:rsidRPr="00FC2124" w:rsidRDefault="002B22DF" w:rsidP="003077E5">
      <w:pPr>
        <w:ind w:firstLine="720"/>
        <w:rPr>
          <w:sz w:val="26"/>
          <w:szCs w:val="26"/>
        </w:rPr>
      </w:pPr>
      <w:r w:rsidRPr="00FC2124">
        <w:rPr>
          <w:sz w:val="26"/>
          <w:szCs w:val="26"/>
        </w:rPr>
        <w:t xml:space="preserve">All EDCs and EGSs will receive from the </w:t>
      </w:r>
      <w:r w:rsidR="00427E9C" w:rsidRPr="00FC2124">
        <w:rPr>
          <w:sz w:val="26"/>
          <w:szCs w:val="26"/>
        </w:rPr>
        <w:t>Alternative Energy Credit Program Administrator a notice of their Tier I (solar and non-solar) and Tier II obligations required to be retired by September 1, 2016.  Any subsequent non-solar Tier I obligations required in accordance with the quarterly adjustment provisions of the Public Utility Code, 66 Pa. C.S. §</w:t>
      </w:r>
      <w:r w:rsidR="00D505D9" w:rsidRPr="00FC2124">
        <w:rPr>
          <w:sz w:val="26"/>
          <w:szCs w:val="26"/>
        </w:rPr>
        <w:t> </w:t>
      </w:r>
      <w:r w:rsidR="00427E9C" w:rsidRPr="00FC2124">
        <w:rPr>
          <w:sz w:val="26"/>
          <w:szCs w:val="26"/>
        </w:rPr>
        <w:t>2814, will be provided</w:t>
      </w:r>
      <w:r w:rsidR="00527DA2" w:rsidRPr="00FC2124">
        <w:rPr>
          <w:sz w:val="26"/>
          <w:szCs w:val="26"/>
        </w:rPr>
        <w:t xml:space="preserve"> </w:t>
      </w:r>
      <w:r w:rsidR="009D4A66" w:rsidRPr="00FC2124">
        <w:rPr>
          <w:sz w:val="26"/>
          <w:szCs w:val="26"/>
        </w:rPr>
        <w:t>before November 30, 2016</w:t>
      </w:r>
      <w:r w:rsidR="00427E9C" w:rsidRPr="00FC2124">
        <w:rPr>
          <w:sz w:val="26"/>
          <w:szCs w:val="26"/>
        </w:rPr>
        <w:t xml:space="preserve">.  </w:t>
      </w:r>
      <w:r w:rsidR="00E42481" w:rsidRPr="00FC2124">
        <w:rPr>
          <w:sz w:val="26"/>
          <w:szCs w:val="26"/>
        </w:rPr>
        <w:t xml:space="preserve">Please direct all questions or concerns regarding </w:t>
      </w:r>
      <w:r w:rsidR="00DF731C" w:rsidRPr="00FC2124">
        <w:rPr>
          <w:sz w:val="26"/>
          <w:szCs w:val="26"/>
        </w:rPr>
        <w:t>this extension of</w:t>
      </w:r>
      <w:r w:rsidR="009D4A66" w:rsidRPr="00FC2124">
        <w:rPr>
          <w:sz w:val="26"/>
          <w:szCs w:val="26"/>
        </w:rPr>
        <w:t xml:space="preserve"> </w:t>
      </w:r>
      <w:r w:rsidR="00AC5BEC" w:rsidRPr="00FC2124">
        <w:rPr>
          <w:sz w:val="26"/>
          <w:szCs w:val="26"/>
        </w:rPr>
        <w:t>the true</w:t>
      </w:r>
      <w:r w:rsidR="00AC5BEC" w:rsidRPr="00FC2124">
        <w:rPr>
          <w:sz w:val="26"/>
          <w:szCs w:val="26"/>
        </w:rPr>
        <w:noBreakHyphen/>
        <w:t xml:space="preserve">up period for a portion of the </w:t>
      </w:r>
      <w:r w:rsidR="00DF731C" w:rsidRPr="00FC2124">
        <w:rPr>
          <w:sz w:val="26"/>
          <w:szCs w:val="26"/>
        </w:rPr>
        <w:t>non</w:t>
      </w:r>
      <w:r w:rsidR="00DF731C" w:rsidRPr="00FC2124">
        <w:rPr>
          <w:sz w:val="26"/>
          <w:szCs w:val="26"/>
        </w:rPr>
        <w:noBreakHyphen/>
        <w:t xml:space="preserve">solar </w:t>
      </w:r>
      <w:r w:rsidR="00AC5BEC" w:rsidRPr="00FC2124">
        <w:rPr>
          <w:sz w:val="26"/>
          <w:szCs w:val="26"/>
        </w:rPr>
        <w:t xml:space="preserve">Tier I obligations for the 2016 compliance year </w:t>
      </w:r>
      <w:r w:rsidR="00703B26" w:rsidRPr="00FC2124">
        <w:rPr>
          <w:sz w:val="26"/>
          <w:szCs w:val="26"/>
        </w:rPr>
        <w:t>to</w:t>
      </w:r>
      <w:r w:rsidR="00E42481" w:rsidRPr="00FC2124">
        <w:rPr>
          <w:sz w:val="26"/>
          <w:szCs w:val="26"/>
        </w:rPr>
        <w:t xml:space="preserve"> Mr. </w:t>
      </w:r>
      <w:r w:rsidR="00EE676A" w:rsidRPr="00FC2124">
        <w:rPr>
          <w:sz w:val="26"/>
          <w:szCs w:val="26"/>
        </w:rPr>
        <w:t>Kriss Brown</w:t>
      </w:r>
      <w:r w:rsidR="00E42481" w:rsidRPr="00FC2124">
        <w:rPr>
          <w:sz w:val="26"/>
          <w:szCs w:val="26"/>
        </w:rPr>
        <w:t xml:space="preserve"> at 717</w:t>
      </w:r>
      <w:r w:rsidR="00FC2124">
        <w:rPr>
          <w:sz w:val="26"/>
          <w:szCs w:val="26"/>
        </w:rPr>
        <w:noBreakHyphen/>
      </w:r>
      <w:r w:rsidR="00E42481" w:rsidRPr="00FC2124">
        <w:rPr>
          <w:sz w:val="26"/>
          <w:szCs w:val="26"/>
        </w:rPr>
        <w:t>787</w:t>
      </w:r>
      <w:r w:rsidR="00FC2124">
        <w:rPr>
          <w:sz w:val="26"/>
          <w:szCs w:val="26"/>
        </w:rPr>
        <w:noBreakHyphen/>
      </w:r>
      <w:r w:rsidR="00EE676A" w:rsidRPr="00FC2124">
        <w:rPr>
          <w:sz w:val="26"/>
          <w:szCs w:val="26"/>
        </w:rPr>
        <w:t>4</w:t>
      </w:r>
      <w:r w:rsidR="00B20C04" w:rsidRPr="00FC2124">
        <w:rPr>
          <w:sz w:val="26"/>
          <w:szCs w:val="26"/>
        </w:rPr>
        <w:t>5</w:t>
      </w:r>
      <w:r w:rsidR="00EE676A" w:rsidRPr="00FC2124">
        <w:rPr>
          <w:sz w:val="26"/>
          <w:szCs w:val="26"/>
        </w:rPr>
        <w:t>18</w:t>
      </w:r>
      <w:r w:rsidR="00B20C04" w:rsidRPr="00FC2124">
        <w:rPr>
          <w:sz w:val="26"/>
          <w:szCs w:val="26"/>
        </w:rPr>
        <w:t xml:space="preserve"> or </w:t>
      </w:r>
      <w:hyperlink r:id="rId11" w:history="1">
        <w:r w:rsidR="00427E9C" w:rsidRPr="00FC2124">
          <w:rPr>
            <w:rStyle w:val="Hyperlink"/>
            <w:sz w:val="26"/>
            <w:szCs w:val="26"/>
          </w:rPr>
          <w:t>kribrown@pa.gov</w:t>
        </w:r>
      </w:hyperlink>
      <w:r w:rsidR="00B20C04" w:rsidRPr="00FC2124">
        <w:rPr>
          <w:sz w:val="26"/>
          <w:szCs w:val="26"/>
        </w:rPr>
        <w:t>.</w:t>
      </w:r>
      <w:r w:rsidR="00427E9C" w:rsidRPr="00FC2124">
        <w:rPr>
          <w:sz w:val="26"/>
          <w:szCs w:val="26"/>
        </w:rPr>
        <w:t xml:space="preserve">  Please direct all questions or concerns regarding AEC obligations to Mr. Darren Gill at 717-783-5244 or </w:t>
      </w:r>
      <w:hyperlink r:id="rId12" w:history="1">
        <w:r w:rsidR="00427E9C" w:rsidRPr="00FC2124">
          <w:rPr>
            <w:rStyle w:val="Hyperlink"/>
            <w:sz w:val="26"/>
            <w:szCs w:val="26"/>
          </w:rPr>
          <w:t>dgill@pa.gov</w:t>
        </w:r>
      </w:hyperlink>
      <w:r w:rsidR="00427E9C" w:rsidRPr="00FC2124">
        <w:rPr>
          <w:sz w:val="26"/>
          <w:szCs w:val="26"/>
        </w:rPr>
        <w:t xml:space="preserve">.  </w:t>
      </w:r>
    </w:p>
    <w:p w:rsidR="001939C4" w:rsidRPr="00FC2124" w:rsidRDefault="001939C4" w:rsidP="003077E5">
      <w:pPr>
        <w:rPr>
          <w:sz w:val="26"/>
          <w:szCs w:val="26"/>
        </w:rPr>
      </w:pPr>
    </w:p>
    <w:p w:rsidR="005378CC" w:rsidRPr="00FC2124" w:rsidRDefault="00291B3A" w:rsidP="003077E5">
      <w:pPr>
        <w:rPr>
          <w:sz w:val="26"/>
          <w:szCs w:val="26"/>
        </w:rPr>
      </w:pPr>
      <w:r>
        <w:rPr>
          <w:noProof/>
        </w:rPr>
        <w:drawing>
          <wp:anchor distT="0" distB="0" distL="114300" distR="114300" simplePos="0" relativeHeight="251659264" behindDoc="1" locked="0" layoutInCell="1" allowOverlap="1" wp14:anchorId="45FDD0DD" wp14:editId="354290D1">
            <wp:simplePos x="0" y="0"/>
            <wp:positionH relativeFrom="column">
              <wp:posOffset>2657475</wp:posOffset>
            </wp:positionH>
            <wp:positionV relativeFrom="paragraph">
              <wp:posOffset>55880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2322A2" w:rsidRPr="00FC2124">
        <w:rPr>
          <w:sz w:val="26"/>
          <w:szCs w:val="26"/>
        </w:rPr>
        <w:tab/>
      </w:r>
      <w:r w:rsidR="002322A2" w:rsidRPr="00FC2124">
        <w:rPr>
          <w:sz w:val="26"/>
          <w:szCs w:val="26"/>
        </w:rPr>
        <w:tab/>
      </w:r>
      <w:r w:rsidR="002322A2" w:rsidRPr="00FC2124">
        <w:rPr>
          <w:sz w:val="26"/>
          <w:szCs w:val="26"/>
        </w:rPr>
        <w:tab/>
      </w:r>
      <w:r w:rsidR="002322A2" w:rsidRPr="00FC2124">
        <w:rPr>
          <w:sz w:val="26"/>
          <w:szCs w:val="26"/>
        </w:rPr>
        <w:tab/>
      </w:r>
      <w:r w:rsidR="002322A2" w:rsidRPr="00FC2124">
        <w:rPr>
          <w:sz w:val="26"/>
          <w:szCs w:val="26"/>
        </w:rPr>
        <w:tab/>
      </w:r>
      <w:r w:rsidR="002322A2" w:rsidRPr="00FC2124">
        <w:rPr>
          <w:sz w:val="26"/>
          <w:szCs w:val="26"/>
        </w:rPr>
        <w:tab/>
        <w:t>Very truly yours</w:t>
      </w:r>
      <w:r w:rsidR="005378CC" w:rsidRPr="00FC2124">
        <w:rPr>
          <w:sz w:val="26"/>
          <w:szCs w:val="26"/>
        </w:rPr>
        <w:t>,</w:t>
      </w:r>
    </w:p>
    <w:p w:rsidR="00505326" w:rsidRPr="00FC2124" w:rsidRDefault="00505326">
      <w:pPr>
        <w:rPr>
          <w:sz w:val="26"/>
          <w:szCs w:val="26"/>
        </w:rPr>
      </w:pPr>
    </w:p>
    <w:p w:rsidR="005378CC" w:rsidRPr="00FC2124" w:rsidRDefault="005378CC" w:rsidP="003077E5">
      <w:pPr>
        <w:rPr>
          <w:sz w:val="26"/>
          <w:szCs w:val="26"/>
        </w:rPr>
      </w:pPr>
    </w:p>
    <w:p w:rsidR="005378CC" w:rsidRPr="00FC2124" w:rsidRDefault="005378CC" w:rsidP="003077E5">
      <w:pPr>
        <w:rPr>
          <w:sz w:val="26"/>
          <w:szCs w:val="26"/>
        </w:rPr>
      </w:pPr>
    </w:p>
    <w:p w:rsidR="005378CC" w:rsidRPr="00FC2124" w:rsidRDefault="005378CC" w:rsidP="003077E5">
      <w:pPr>
        <w:rPr>
          <w:sz w:val="26"/>
          <w:szCs w:val="26"/>
        </w:rPr>
      </w:pPr>
      <w:r w:rsidRPr="00FC2124">
        <w:rPr>
          <w:sz w:val="26"/>
          <w:szCs w:val="26"/>
        </w:rPr>
        <w:tab/>
      </w:r>
      <w:r w:rsidRPr="00FC2124">
        <w:rPr>
          <w:sz w:val="26"/>
          <w:szCs w:val="26"/>
        </w:rPr>
        <w:tab/>
      </w:r>
      <w:r w:rsidRPr="00FC2124">
        <w:rPr>
          <w:sz w:val="26"/>
          <w:szCs w:val="26"/>
        </w:rPr>
        <w:tab/>
      </w:r>
      <w:r w:rsidRPr="00FC2124">
        <w:rPr>
          <w:sz w:val="26"/>
          <w:szCs w:val="26"/>
        </w:rPr>
        <w:tab/>
      </w:r>
      <w:r w:rsidRPr="00FC2124">
        <w:rPr>
          <w:sz w:val="26"/>
          <w:szCs w:val="26"/>
        </w:rPr>
        <w:tab/>
      </w:r>
      <w:r w:rsidRPr="00FC2124">
        <w:rPr>
          <w:sz w:val="26"/>
          <w:szCs w:val="26"/>
        </w:rPr>
        <w:tab/>
      </w:r>
      <w:r w:rsidR="001869BA" w:rsidRPr="00FC2124">
        <w:rPr>
          <w:sz w:val="26"/>
          <w:szCs w:val="26"/>
        </w:rPr>
        <w:t>Rosemary Chiavetta</w:t>
      </w:r>
    </w:p>
    <w:p w:rsidR="005378CC" w:rsidRPr="00FC2124" w:rsidRDefault="005378CC" w:rsidP="003077E5">
      <w:pPr>
        <w:rPr>
          <w:sz w:val="26"/>
          <w:szCs w:val="26"/>
        </w:rPr>
      </w:pPr>
      <w:r w:rsidRPr="00FC2124">
        <w:rPr>
          <w:sz w:val="26"/>
          <w:szCs w:val="26"/>
        </w:rPr>
        <w:tab/>
      </w:r>
      <w:r w:rsidRPr="00FC2124">
        <w:rPr>
          <w:sz w:val="26"/>
          <w:szCs w:val="26"/>
        </w:rPr>
        <w:tab/>
      </w:r>
      <w:r w:rsidRPr="00FC2124">
        <w:rPr>
          <w:sz w:val="26"/>
          <w:szCs w:val="26"/>
        </w:rPr>
        <w:tab/>
      </w:r>
      <w:r w:rsidRPr="00FC2124">
        <w:rPr>
          <w:sz w:val="26"/>
          <w:szCs w:val="26"/>
        </w:rPr>
        <w:tab/>
      </w:r>
      <w:r w:rsidRPr="00FC2124">
        <w:rPr>
          <w:sz w:val="26"/>
          <w:szCs w:val="26"/>
        </w:rPr>
        <w:tab/>
      </w:r>
      <w:r w:rsidRPr="00FC2124">
        <w:rPr>
          <w:sz w:val="26"/>
          <w:szCs w:val="26"/>
        </w:rPr>
        <w:tab/>
      </w:r>
      <w:r w:rsidR="001869BA" w:rsidRPr="00FC2124">
        <w:rPr>
          <w:sz w:val="26"/>
          <w:szCs w:val="26"/>
        </w:rPr>
        <w:t>Secretar</w:t>
      </w:r>
      <w:r w:rsidR="00505326" w:rsidRPr="00FC2124">
        <w:rPr>
          <w:sz w:val="26"/>
          <w:szCs w:val="26"/>
        </w:rPr>
        <w:t>y</w:t>
      </w:r>
    </w:p>
    <w:p w:rsidR="00EE676A" w:rsidRPr="00FC2124" w:rsidRDefault="00EE676A" w:rsidP="003077E5">
      <w:pPr>
        <w:rPr>
          <w:sz w:val="26"/>
          <w:szCs w:val="26"/>
        </w:rPr>
      </w:pPr>
    </w:p>
    <w:p w:rsidR="00EE676A" w:rsidRPr="00FC2124" w:rsidRDefault="00EE676A" w:rsidP="003077E5">
      <w:pPr>
        <w:rPr>
          <w:sz w:val="26"/>
          <w:szCs w:val="26"/>
        </w:rPr>
      </w:pPr>
    </w:p>
    <w:p w:rsidR="00EE676A" w:rsidRPr="00FC2124" w:rsidRDefault="00EE676A" w:rsidP="003077E5">
      <w:pPr>
        <w:rPr>
          <w:sz w:val="26"/>
          <w:szCs w:val="26"/>
        </w:rPr>
      </w:pPr>
    </w:p>
    <w:p w:rsidR="00EE676A" w:rsidRPr="00FC2124" w:rsidRDefault="00EE676A" w:rsidP="00EE676A">
      <w:pPr>
        <w:autoSpaceDE w:val="0"/>
        <w:autoSpaceDN w:val="0"/>
        <w:adjustRightInd w:val="0"/>
        <w:rPr>
          <w:sz w:val="26"/>
          <w:szCs w:val="26"/>
        </w:rPr>
      </w:pPr>
      <w:r w:rsidRPr="00FC2124">
        <w:rPr>
          <w:sz w:val="26"/>
          <w:szCs w:val="26"/>
        </w:rPr>
        <w:t xml:space="preserve">cc:  </w:t>
      </w:r>
      <w:r w:rsidRPr="00FC2124">
        <w:rPr>
          <w:sz w:val="26"/>
          <w:szCs w:val="26"/>
        </w:rPr>
        <w:tab/>
        <w:t>Gladys M. Brown, Chairman</w:t>
      </w:r>
    </w:p>
    <w:p w:rsidR="00EE676A" w:rsidRPr="00FC2124" w:rsidRDefault="00EE676A" w:rsidP="00EE676A">
      <w:pPr>
        <w:autoSpaceDE w:val="0"/>
        <w:autoSpaceDN w:val="0"/>
        <w:adjustRightInd w:val="0"/>
        <w:ind w:firstLine="720"/>
        <w:rPr>
          <w:sz w:val="26"/>
          <w:szCs w:val="26"/>
        </w:rPr>
      </w:pPr>
      <w:r w:rsidRPr="00FC2124">
        <w:rPr>
          <w:sz w:val="26"/>
          <w:szCs w:val="26"/>
        </w:rPr>
        <w:t xml:space="preserve">Andrew G. Place, Vice Chairman </w:t>
      </w:r>
      <w:r w:rsidRPr="00FC2124">
        <w:rPr>
          <w:sz w:val="26"/>
          <w:szCs w:val="26"/>
        </w:rPr>
        <w:tab/>
        <w:t xml:space="preserve"> </w:t>
      </w:r>
    </w:p>
    <w:p w:rsidR="00EE676A" w:rsidRPr="00FC2124" w:rsidRDefault="00EE676A" w:rsidP="00EE676A">
      <w:pPr>
        <w:autoSpaceDE w:val="0"/>
        <w:autoSpaceDN w:val="0"/>
        <w:adjustRightInd w:val="0"/>
        <w:rPr>
          <w:sz w:val="26"/>
          <w:szCs w:val="26"/>
        </w:rPr>
      </w:pPr>
      <w:r w:rsidRPr="00FC2124">
        <w:rPr>
          <w:sz w:val="26"/>
          <w:szCs w:val="26"/>
        </w:rPr>
        <w:tab/>
        <w:t>John F. Coleman, Jr., Commissioner</w:t>
      </w:r>
    </w:p>
    <w:p w:rsidR="00EE676A" w:rsidRPr="00FC2124" w:rsidRDefault="00EE676A" w:rsidP="00EE676A">
      <w:pPr>
        <w:autoSpaceDE w:val="0"/>
        <w:autoSpaceDN w:val="0"/>
        <w:adjustRightInd w:val="0"/>
        <w:rPr>
          <w:sz w:val="26"/>
          <w:szCs w:val="26"/>
        </w:rPr>
      </w:pPr>
      <w:r w:rsidRPr="00FC2124">
        <w:rPr>
          <w:sz w:val="26"/>
          <w:szCs w:val="26"/>
        </w:rPr>
        <w:tab/>
        <w:t>Robert F. Powelson, Commissioner</w:t>
      </w:r>
    </w:p>
    <w:p w:rsidR="00EE676A" w:rsidRPr="00FC2124" w:rsidRDefault="00EE676A" w:rsidP="00EE676A">
      <w:pPr>
        <w:autoSpaceDE w:val="0"/>
        <w:autoSpaceDN w:val="0"/>
        <w:adjustRightInd w:val="0"/>
        <w:ind w:firstLine="720"/>
        <w:rPr>
          <w:sz w:val="26"/>
          <w:szCs w:val="26"/>
        </w:rPr>
      </w:pPr>
      <w:r w:rsidRPr="00FC2124">
        <w:rPr>
          <w:sz w:val="26"/>
          <w:szCs w:val="26"/>
        </w:rPr>
        <w:t>David W. Sweet, Commissioner</w:t>
      </w:r>
    </w:p>
    <w:p w:rsidR="00EE676A" w:rsidRPr="00FC2124" w:rsidRDefault="00EE676A" w:rsidP="00EE676A">
      <w:pPr>
        <w:autoSpaceDE w:val="0"/>
        <w:autoSpaceDN w:val="0"/>
        <w:adjustRightInd w:val="0"/>
        <w:rPr>
          <w:sz w:val="26"/>
          <w:szCs w:val="26"/>
        </w:rPr>
      </w:pPr>
      <w:r w:rsidRPr="00FC2124">
        <w:rPr>
          <w:sz w:val="26"/>
          <w:szCs w:val="26"/>
        </w:rPr>
        <w:tab/>
        <w:t xml:space="preserve">Jan H. Freeman, Executive Director </w:t>
      </w:r>
    </w:p>
    <w:p w:rsidR="00EE676A" w:rsidRPr="00FC2124" w:rsidRDefault="00EE676A" w:rsidP="00EE676A">
      <w:pPr>
        <w:rPr>
          <w:sz w:val="26"/>
          <w:szCs w:val="26"/>
        </w:rPr>
      </w:pPr>
      <w:r w:rsidRPr="00FC2124">
        <w:rPr>
          <w:sz w:val="26"/>
          <w:szCs w:val="26"/>
        </w:rPr>
        <w:tab/>
        <w:t>Mary Beth Osborne, Director of Regulatory Operations</w:t>
      </w:r>
    </w:p>
    <w:p w:rsidR="00EE676A" w:rsidRPr="00FC2124" w:rsidRDefault="00EE676A" w:rsidP="00EE676A">
      <w:pPr>
        <w:rPr>
          <w:sz w:val="26"/>
          <w:szCs w:val="26"/>
        </w:rPr>
      </w:pPr>
      <w:r w:rsidRPr="00FC2124">
        <w:rPr>
          <w:sz w:val="26"/>
          <w:szCs w:val="26"/>
        </w:rPr>
        <w:tab/>
        <w:t>The Office of Consumer Advocate</w:t>
      </w:r>
    </w:p>
    <w:p w:rsidR="00EE676A" w:rsidRPr="00FC2124" w:rsidRDefault="00EE676A" w:rsidP="00EE676A">
      <w:pPr>
        <w:rPr>
          <w:sz w:val="26"/>
          <w:szCs w:val="26"/>
        </w:rPr>
      </w:pPr>
      <w:r w:rsidRPr="00FC2124">
        <w:rPr>
          <w:sz w:val="26"/>
          <w:szCs w:val="26"/>
        </w:rPr>
        <w:tab/>
        <w:t>The Office of Small Business Advocate</w:t>
      </w:r>
    </w:p>
    <w:p w:rsidR="00E424C8" w:rsidRPr="00FC2124" w:rsidRDefault="00EE676A" w:rsidP="00EE676A">
      <w:pPr>
        <w:rPr>
          <w:sz w:val="26"/>
          <w:szCs w:val="26"/>
        </w:rPr>
      </w:pPr>
      <w:r w:rsidRPr="00FC2124">
        <w:rPr>
          <w:sz w:val="26"/>
          <w:szCs w:val="26"/>
        </w:rPr>
        <w:tab/>
        <w:t>The Bureau of Investigation and Enforcement</w:t>
      </w:r>
    </w:p>
    <w:p w:rsidR="002C5904" w:rsidRPr="00FC2124" w:rsidRDefault="002C5904" w:rsidP="00EE676A">
      <w:pPr>
        <w:rPr>
          <w:sz w:val="26"/>
          <w:szCs w:val="26"/>
        </w:rPr>
      </w:pPr>
      <w:r w:rsidRPr="00FC2124">
        <w:rPr>
          <w:sz w:val="26"/>
          <w:szCs w:val="26"/>
        </w:rPr>
        <w:tab/>
        <w:t>Paul T. Diskin, Director of TUS</w:t>
      </w:r>
    </w:p>
    <w:p w:rsidR="00527DA2" w:rsidRPr="00FC2124" w:rsidRDefault="00527DA2" w:rsidP="00EE676A">
      <w:pPr>
        <w:rPr>
          <w:sz w:val="26"/>
          <w:szCs w:val="26"/>
        </w:rPr>
      </w:pPr>
      <w:r w:rsidRPr="00FC2124">
        <w:rPr>
          <w:sz w:val="26"/>
          <w:szCs w:val="26"/>
        </w:rPr>
        <w:tab/>
        <w:t>Kriss E. Brown, LAW</w:t>
      </w:r>
    </w:p>
    <w:p w:rsidR="002C5904" w:rsidRPr="00FC2124" w:rsidRDefault="00E424C8" w:rsidP="00EE676A">
      <w:pPr>
        <w:rPr>
          <w:sz w:val="26"/>
          <w:szCs w:val="26"/>
        </w:rPr>
      </w:pPr>
      <w:r w:rsidRPr="00FC2124">
        <w:rPr>
          <w:sz w:val="26"/>
          <w:szCs w:val="26"/>
        </w:rPr>
        <w:tab/>
        <w:t>AEC Program Administrator</w:t>
      </w:r>
    </w:p>
    <w:p w:rsidR="00EE676A" w:rsidRDefault="00EE676A" w:rsidP="00EE676A">
      <w:pPr>
        <w:rPr>
          <w:sz w:val="24"/>
          <w:szCs w:val="24"/>
        </w:rPr>
      </w:pPr>
      <w:r w:rsidRPr="00EE676A">
        <w:rPr>
          <w:rFonts w:ascii="Times New (W1)" w:hAnsi="Times New (W1)"/>
          <w:sz w:val="26"/>
        </w:rPr>
        <w:tab/>
      </w:r>
    </w:p>
    <w:sectPr w:rsidR="00EE676A" w:rsidSect="00FC21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C00" w:rsidRDefault="004A7C00">
      <w:r>
        <w:separator/>
      </w:r>
    </w:p>
  </w:endnote>
  <w:endnote w:type="continuationSeparator" w:id="0">
    <w:p w:rsidR="004A7C00" w:rsidRDefault="004A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67299"/>
      <w:docPartObj>
        <w:docPartGallery w:val="Page Numbers (Bottom of Page)"/>
        <w:docPartUnique/>
      </w:docPartObj>
    </w:sdtPr>
    <w:sdtEndPr>
      <w:rPr>
        <w:noProof/>
        <w:sz w:val="22"/>
        <w:szCs w:val="22"/>
      </w:rPr>
    </w:sdtEndPr>
    <w:sdtContent>
      <w:p w:rsidR="00FC2124" w:rsidRPr="00FC2124" w:rsidRDefault="00FC2124" w:rsidP="00FC2124">
        <w:pPr>
          <w:pStyle w:val="Footer"/>
          <w:jc w:val="center"/>
          <w:rPr>
            <w:sz w:val="22"/>
            <w:szCs w:val="22"/>
          </w:rPr>
        </w:pPr>
        <w:r w:rsidRPr="00FC2124">
          <w:rPr>
            <w:sz w:val="22"/>
            <w:szCs w:val="22"/>
          </w:rPr>
          <w:fldChar w:fldCharType="begin"/>
        </w:r>
        <w:r w:rsidRPr="00FC2124">
          <w:rPr>
            <w:sz w:val="22"/>
            <w:szCs w:val="22"/>
          </w:rPr>
          <w:instrText xml:space="preserve"> PAGE   \* MERGEFORMAT </w:instrText>
        </w:r>
        <w:r w:rsidRPr="00FC2124">
          <w:rPr>
            <w:sz w:val="22"/>
            <w:szCs w:val="22"/>
          </w:rPr>
          <w:fldChar w:fldCharType="separate"/>
        </w:r>
        <w:r w:rsidR="00C75BAD">
          <w:rPr>
            <w:noProof/>
            <w:sz w:val="22"/>
            <w:szCs w:val="22"/>
          </w:rPr>
          <w:t>2</w:t>
        </w:r>
        <w:r w:rsidRPr="00FC2124">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C00" w:rsidRDefault="004A7C00">
      <w:r>
        <w:separator/>
      </w:r>
    </w:p>
  </w:footnote>
  <w:footnote w:type="continuationSeparator" w:id="0">
    <w:p w:rsidR="004A7C00" w:rsidRDefault="004A7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34"/>
    <w:rsid w:val="00025F9F"/>
    <w:rsid w:val="00027ED5"/>
    <w:rsid w:val="00044E25"/>
    <w:rsid w:val="00051FD1"/>
    <w:rsid w:val="0008068C"/>
    <w:rsid w:val="00082A54"/>
    <w:rsid w:val="000A53EF"/>
    <w:rsid w:val="000B758F"/>
    <w:rsid w:val="000D2CB3"/>
    <w:rsid w:val="001007CA"/>
    <w:rsid w:val="0011112B"/>
    <w:rsid w:val="001149EE"/>
    <w:rsid w:val="00137176"/>
    <w:rsid w:val="00137BBF"/>
    <w:rsid w:val="00140396"/>
    <w:rsid w:val="00152F61"/>
    <w:rsid w:val="00155A18"/>
    <w:rsid w:val="00161E3E"/>
    <w:rsid w:val="00162A36"/>
    <w:rsid w:val="0017744A"/>
    <w:rsid w:val="001869BA"/>
    <w:rsid w:val="001939C4"/>
    <w:rsid w:val="00197334"/>
    <w:rsid w:val="001A01D1"/>
    <w:rsid w:val="001A64A5"/>
    <w:rsid w:val="001B74B6"/>
    <w:rsid w:val="001D2B92"/>
    <w:rsid w:val="00211449"/>
    <w:rsid w:val="00215D40"/>
    <w:rsid w:val="00222E38"/>
    <w:rsid w:val="002322A2"/>
    <w:rsid w:val="00253065"/>
    <w:rsid w:val="00254AD3"/>
    <w:rsid w:val="00254BB2"/>
    <w:rsid w:val="002629D0"/>
    <w:rsid w:val="002664E5"/>
    <w:rsid w:val="00276AF5"/>
    <w:rsid w:val="002840ED"/>
    <w:rsid w:val="002847DE"/>
    <w:rsid w:val="00291B3A"/>
    <w:rsid w:val="00292072"/>
    <w:rsid w:val="0029462D"/>
    <w:rsid w:val="002B1284"/>
    <w:rsid w:val="002B22DF"/>
    <w:rsid w:val="002C5904"/>
    <w:rsid w:val="002D71D9"/>
    <w:rsid w:val="002E0E9D"/>
    <w:rsid w:val="002E392A"/>
    <w:rsid w:val="002E6DF3"/>
    <w:rsid w:val="002F5078"/>
    <w:rsid w:val="002F7EF9"/>
    <w:rsid w:val="0030591E"/>
    <w:rsid w:val="003077E5"/>
    <w:rsid w:val="00326560"/>
    <w:rsid w:val="0033280E"/>
    <w:rsid w:val="00337C22"/>
    <w:rsid w:val="00343AAB"/>
    <w:rsid w:val="0034506A"/>
    <w:rsid w:val="00356135"/>
    <w:rsid w:val="003A7344"/>
    <w:rsid w:val="003B51E7"/>
    <w:rsid w:val="003C7431"/>
    <w:rsid w:val="003C779D"/>
    <w:rsid w:val="003D06ED"/>
    <w:rsid w:val="003E366F"/>
    <w:rsid w:val="003E4F7E"/>
    <w:rsid w:val="00417F15"/>
    <w:rsid w:val="00427E9C"/>
    <w:rsid w:val="00432881"/>
    <w:rsid w:val="00441895"/>
    <w:rsid w:val="00453A9F"/>
    <w:rsid w:val="004A7C00"/>
    <w:rsid w:val="004C2A1F"/>
    <w:rsid w:val="004E48CE"/>
    <w:rsid w:val="004E7B1E"/>
    <w:rsid w:val="00501779"/>
    <w:rsid w:val="00502B0D"/>
    <w:rsid w:val="00505326"/>
    <w:rsid w:val="00515463"/>
    <w:rsid w:val="00515F6E"/>
    <w:rsid w:val="00527DA2"/>
    <w:rsid w:val="005378CC"/>
    <w:rsid w:val="0054490F"/>
    <w:rsid w:val="00594616"/>
    <w:rsid w:val="00596993"/>
    <w:rsid w:val="005A694E"/>
    <w:rsid w:val="005A731D"/>
    <w:rsid w:val="005C1499"/>
    <w:rsid w:val="005E4ADE"/>
    <w:rsid w:val="00604894"/>
    <w:rsid w:val="00616BB2"/>
    <w:rsid w:val="00622605"/>
    <w:rsid w:val="00635271"/>
    <w:rsid w:val="00635B0D"/>
    <w:rsid w:val="0063603E"/>
    <w:rsid w:val="00646837"/>
    <w:rsid w:val="006728FE"/>
    <w:rsid w:val="00676601"/>
    <w:rsid w:val="006A1A93"/>
    <w:rsid w:val="006A20E0"/>
    <w:rsid w:val="006B061E"/>
    <w:rsid w:val="006B10FA"/>
    <w:rsid w:val="006C051F"/>
    <w:rsid w:val="00703B26"/>
    <w:rsid w:val="00707DC1"/>
    <w:rsid w:val="007134D8"/>
    <w:rsid w:val="00721AC7"/>
    <w:rsid w:val="00737E59"/>
    <w:rsid w:val="007462DD"/>
    <w:rsid w:val="00786D17"/>
    <w:rsid w:val="00794690"/>
    <w:rsid w:val="00796C69"/>
    <w:rsid w:val="007A29B8"/>
    <w:rsid w:val="007A7328"/>
    <w:rsid w:val="007D62CE"/>
    <w:rsid w:val="008049CA"/>
    <w:rsid w:val="00807F3D"/>
    <w:rsid w:val="00816366"/>
    <w:rsid w:val="00844095"/>
    <w:rsid w:val="00871560"/>
    <w:rsid w:val="00883DB9"/>
    <w:rsid w:val="00886BFA"/>
    <w:rsid w:val="00886FDB"/>
    <w:rsid w:val="00887DC0"/>
    <w:rsid w:val="008A4F37"/>
    <w:rsid w:val="008B2494"/>
    <w:rsid w:val="008B4CCB"/>
    <w:rsid w:val="008D2A2C"/>
    <w:rsid w:val="009021E0"/>
    <w:rsid w:val="009120A2"/>
    <w:rsid w:val="009218A9"/>
    <w:rsid w:val="00924311"/>
    <w:rsid w:val="009330B9"/>
    <w:rsid w:val="00960AC6"/>
    <w:rsid w:val="009709CC"/>
    <w:rsid w:val="00974184"/>
    <w:rsid w:val="00985893"/>
    <w:rsid w:val="0099774E"/>
    <w:rsid w:val="009A6F66"/>
    <w:rsid w:val="009C3F1E"/>
    <w:rsid w:val="009C7B8E"/>
    <w:rsid w:val="009C7D5D"/>
    <w:rsid w:val="009D4A66"/>
    <w:rsid w:val="009E1ED8"/>
    <w:rsid w:val="00A10127"/>
    <w:rsid w:val="00A17A0A"/>
    <w:rsid w:val="00A24AD0"/>
    <w:rsid w:val="00A31892"/>
    <w:rsid w:val="00A46F8C"/>
    <w:rsid w:val="00A87A73"/>
    <w:rsid w:val="00AA1633"/>
    <w:rsid w:val="00AA5D0D"/>
    <w:rsid w:val="00AC5BEC"/>
    <w:rsid w:val="00AE3396"/>
    <w:rsid w:val="00AE3B13"/>
    <w:rsid w:val="00AF13DF"/>
    <w:rsid w:val="00B06639"/>
    <w:rsid w:val="00B07263"/>
    <w:rsid w:val="00B07664"/>
    <w:rsid w:val="00B10D41"/>
    <w:rsid w:val="00B20C04"/>
    <w:rsid w:val="00B27D78"/>
    <w:rsid w:val="00B30AB6"/>
    <w:rsid w:val="00B44F4C"/>
    <w:rsid w:val="00B7064D"/>
    <w:rsid w:val="00B73D37"/>
    <w:rsid w:val="00B8162F"/>
    <w:rsid w:val="00BC0094"/>
    <w:rsid w:val="00BC029B"/>
    <w:rsid w:val="00BE43A8"/>
    <w:rsid w:val="00BE49E4"/>
    <w:rsid w:val="00BE7AC3"/>
    <w:rsid w:val="00C114D7"/>
    <w:rsid w:val="00C144D8"/>
    <w:rsid w:val="00C2150C"/>
    <w:rsid w:val="00C31105"/>
    <w:rsid w:val="00C5672A"/>
    <w:rsid w:val="00C73A98"/>
    <w:rsid w:val="00C75827"/>
    <w:rsid w:val="00C75BAD"/>
    <w:rsid w:val="00C81E72"/>
    <w:rsid w:val="00CA214E"/>
    <w:rsid w:val="00CC1EAE"/>
    <w:rsid w:val="00CD0C69"/>
    <w:rsid w:val="00D1509B"/>
    <w:rsid w:val="00D15E7E"/>
    <w:rsid w:val="00D16540"/>
    <w:rsid w:val="00D20BC7"/>
    <w:rsid w:val="00D302B2"/>
    <w:rsid w:val="00D43502"/>
    <w:rsid w:val="00D453B8"/>
    <w:rsid w:val="00D505D9"/>
    <w:rsid w:val="00D57932"/>
    <w:rsid w:val="00D62852"/>
    <w:rsid w:val="00D75589"/>
    <w:rsid w:val="00D83007"/>
    <w:rsid w:val="00D84B1D"/>
    <w:rsid w:val="00D962A9"/>
    <w:rsid w:val="00DB1614"/>
    <w:rsid w:val="00DB5BCD"/>
    <w:rsid w:val="00DD7E1D"/>
    <w:rsid w:val="00DE3872"/>
    <w:rsid w:val="00DF731C"/>
    <w:rsid w:val="00E0707C"/>
    <w:rsid w:val="00E42481"/>
    <w:rsid w:val="00E424C8"/>
    <w:rsid w:val="00E830DE"/>
    <w:rsid w:val="00E93750"/>
    <w:rsid w:val="00EB4773"/>
    <w:rsid w:val="00ED220B"/>
    <w:rsid w:val="00EE03F4"/>
    <w:rsid w:val="00EE676A"/>
    <w:rsid w:val="00F161F6"/>
    <w:rsid w:val="00F75DEA"/>
    <w:rsid w:val="00F92539"/>
    <w:rsid w:val="00FB0D68"/>
    <w:rsid w:val="00FB3460"/>
    <w:rsid w:val="00FB7F3E"/>
    <w:rsid w:val="00FC2124"/>
    <w:rsid w:val="00FD45E1"/>
    <w:rsid w:val="00FF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263"/>
    <w:pPr>
      <w:tabs>
        <w:tab w:val="center" w:pos="4320"/>
        <w:tab w:val="right" w:pos="8640"/>
      </w:tabs>
    </w:pPr>
  </w:style>
  <w:style w:type="paragraph" w:styleId="Footer">
    <w:name w:val="footer"/>
    <w:basedOn w:val="Normal"/>
    <w:link w:val="FooterChar"/>
    <w:uiPriority w:val="99"/>
    <w:rsid w:val="00B07263"/>
    <w:pPr>
      <w:tabs>
        <w:tab w:val="center" w:pos="4320"/>
        <w:tab w:val="right" w:pos="8640"/>
      </w:tabs>
    </w:pPr>
  </w:style>
  <w:style w:type="character" w:styleId="Hyperlink">
    <w:name w:val="Hyperlink"/>
    <w:rsid w:val="002322A2"/>
    <w:rPr>
      <w:color w:val="0000FF"/>
      <w:u w:val="single"/>
    </w:rPr>
  </w:style>
  <w:style w:type="character" w:styleId="FollowedHyperlink">
    <w:name w:val="FollowedHyperlink"/>
    <w:rsid w:val="001939C4"/>
    <w:rPr>
      <w:color w:val="800080"/>
      <w:u w:val="single"/>
    </w:rPr>
  </w:style>
  <w:style w:type="paragraph" w:styleId="BalloonText">
    <w:name w:val="Balloon Text"/>
    <w:basedOn w:val="Normal"/>
    <w:link w:val="BalloonTextChar"/>
    <w:rsid w:val="00887DC0"/>
    <w:rPr>
      <w:rFonts w:ascii="Tahoma" w:hAnsi="Tahoma" w:cs="Tahoma"/>
      <w:sz w:val="16"/>
      <w:szCs w:val="16"/>
    </w:rPr>
  </w:style>
  <w:style w:type="character" w:customStyle="1" w:styleId="BalloonTextChar">
    <w:name w:val="Balloon Text Char"/>
    <w:basedOn w:val="DefaultParagraphFont"/>
    <w:link w:val="BalloonText"/>
    <w:rsid w:val="00887DC0"/>
    <w:rPr>
      <w:rFonts w:ascii="Tahoma" w:hAnsi="Tahoma" w:cs="Tahoma"/>
      <w:sz w:val="16"/>
      <w:szCs w:val="16"/>
    </w:rPr>
  </w:style>
  <w:style w:type="paragraph" w:styleId="FootnoteText">
    <w:name w:val="footnote text"/>
    <w:basedOn w:val="Normal"/>
    <w:link w:val="FootnoteTextChar"/>
    <w:rsid w:val="001149EE"/>
    <w:pPr>
      <w:overflowPunct w:val="0"/>
      <w:autoSpaceDE w:val="0"/>
      <w:autoSpaceDN w:val="0"/>
      <w:adjustRightInd w:val="0"/>
      <w:textAlignment w:val="baseline"/>
    </w:pPr>
  </w:style>
  <w:style w:type="character" w:customStyle="1" w:styleId="FootnoteTextChar">
    <w:name w:val="Footnote Text Char"/>
    <w:basedOn w:val="DefaultParagraphFont"/>
    <w:link w:val="FootnoteText"/>
    <w:rsid w:val="001149EE"/>
  </w:style>
  <w:style w:type="character" w:styleId="FootnoteReference">
    <w:name w:val="footnote reference"/>
    <w:rsid w:val="001149EE"/>
    <w:rPr>
      <w:vertAlign w:val="superscript"/>
    </w:rPr>
  </w:style>
  <w:style w:type="paragraph" w:customStyle="1" w:styleId="p3">
    <w:name w:val="p3"/>
    <w:basedOn w:val="Normal"/>
    <w:rsid w:val="00025F9F"/>
    <w:pPr>
      <w:widowControl w:val="0"/>
      <w:tabs>
        <w:tab w:val="left" w:pos="204"/>
      </w:tabs>
      <w:autoSpaceDE w:val="0"/>
      <w:autoSpaceDN w:val="0"/>
      <w:adjustRightInd w:val="0"/>
    </w:pPr>
    <w:rPr>
      <w:sz w:val="24"/>
      <w:szCs w:val="24"/>
    </w:rPr>
  </w:style>
  <w:style w:type="character" w:customStyle="1" w:styleId="FooterChar">
    <w:name w:val="Footer Char"/>
    <w:basedOn w:val="DefaultParagraphFont"/>
    <w:link w:val="Footer"/>
    <w:uiPriority w:val="99"/>
    <w:rsid w:val="00FC2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263"/>
    <w:pPr>
      <w:tabs>
        <w:tab w:val="center" w:pos="4320"/>
        <w:tab w:val="right" w:pos="8640"/>
      </w:tabs>
    </w:pPr>
  </w:style>
  <w:style w:type="paragraph" w:styleId="Footer">
    <w:name w:val="footer"/>
    <w:basedOn w:val="Normal"/>
    <w:link w:val="FooterChar"/>
    <w:uiPriority w:val="99"/>
    <w:rsid w:val="00B07263"/>
    <w:pPr>
      <w:tabs>
        <w:tab w:val="center" w:pos="4320"/>
        <w:tab w:val="right" w:pos="8640"/>
      </w:tabs>
    </w:pPr>
  </w:style>
  <w:style w:type="character" w:styleId="Hyperlink">
    <w:name w:val="Hyperlink"/>
    <w:rsid w:val="002322A2"/>
    <w:rPr>
      <w:color w:val="0000FF"/>
      <w:u w:val="single"/>
    </w:rPr>
  </w:style>
  <w:style w:type="character" w:styleId="FollowedHyperlink">
    <w:name w:val="FollowedHyperlink"/>
    <w:rsid w:val="001939C4"/>
    <w:rPr>
      <w:color w:val="800080"/>
      <w:u w:val="single"/>
    </w:rPr>
  </w:style>
  <w:style w:type="paragraph" w:styleId="BalloonText">
    <w:name w:val="Balloon Text"/>
    <w:basedOn w:val="Normal"/>
    <w:link w:val="BalloonTextChar"/>
    <w:rsid w:val="00887DC0"/>
    <w:rPr>
      <w:rFonts w:ascii="Tahoma" w:hAnsi="Tahoma" w:cs="Tahoma"/>
      <w:sz w:val="16"/>
      <w:szCs w:val="16"/>
    </w:rPr>
  </w:style>
  <w:style w:type="character" w:customStyle="1" w:styleId="BalloonTextChar">
    <w:name w:val="Balloon Text Char"/>
    <w:basedOn w:val="DefaultParagraphFont"/>
    <w:link w:val="BalloonText"/>
    <w:rsid w:val="00887DC0"/>
    <w:rPr>
      <w:rFonts w:ascii="Tahoma" w:hAnsi="Tahoma" w:cs="Tahoma"/>
      <w:sz w:val="16"/>
      <w:szCs w:val="16"/>
    </w:rPr>
  </w:style>
  <w:style w:type="paragraph" w:styleId="FootnoteText">
    <w:name w:val="footnote text"/>
    <w:basedOn w:val="Normal"/>
    <w:link w:val="FootnoteTextChar"/>
    <w:rsid w:val="001149EE"/>
    <w:pPr>
      <w:overflowPunct w:val="0"/>
      <w:autoSpaceDE w:val="0"/>
      <w:autoSpaceDN w:val="0"/>
      <w:adjustRightInd w:val="0"/>
      <w:textAlignment w:val="baseline"/>
    </w:pPr>
  </w:style>
  <w:style w:type="character" w:customStyle="1" w:styleId="FootnoteTextChar">
    <w:name w:val="Footnote Text Char"/>
    <w:basedOn w:val="DefaultParagraphFont"/>
    <w:link w:val="FootnoteText"/>
    <w:rsid w:val="001149EE"/>
  </w:style>
  <w:style w:type="character" w:styleId="FootnoteReference">
    <w:name w:val="footnote reference"/>
    <w:rsid w:val="001149EE"/>
    <w:rPr>
      <w:vertAlign w:val="superscript"/>
    </w:rPr>
  </w:style>
  <w:style w:type="paragraph" w:customStyle="1" w:styleId="p3">
    <w:name w:val="p3"/>
    <w:basedOn w:val="Normal"/>
    <w:rsid w:val="00025F9F"/>
    <w:pPr>
      <w:widowControl w:val="0"/>
      <w:tabs>
        <w:tab w:val="left" w:pos="204"/>
      </w:tabs>
      <w:autoSpaceDE w:val="0"/>
      <w:autoSpaceDN w:val="0"/>
      <w:adjustRightInd w:val="0"/>
    </w:pPr>
    <w:rPr>
      <w:sz w:val="24"/>
      <w:szCs w:val="24"/>
    </w:rPr>
  </w:style>
  <w:style w:type="character" w:customStyle="1" w:styleId="FooterChar">
    <w:name w:val="Footer Char"/>
    <w:basedOn w:val="DefaultParagraphFont"/>
    <w:link w:val="Footer"/>
    <w:uiPriority w:val="99"/>
    <w:rsid w:val="00FC2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3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gill@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brown@p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C86CE-165D-45A3-8664-8A9CD765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3636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Harrisburg Telephone Notice</vt:lpstr>
    </vt:vector>
  </TitlesOfParts>
  <Company>PA PUC</Company>
  <LinksUpToDate>false</LinksUpToDate>
  <CharactersWithSpaces>4273</CharactersWithSpaces>
  <SharedDoc>false</SharedDoc>
  <HLinks>
    <vt:vector size="6" baseType="variant">
      <vt:variant>
        <vt:i4>2228348</vt:i4>
      </vt:variant>
      <vt:variant>
        <vt:i4>0</vt:i4>
      </vt:variant>
      <vt:variant>
        <vt:i4>0</vt:i4>
      </vt:variant>
      <vt:variant>
        <vt:i4>5</vt:i4>
      </vt:variant>
      <vt:variant>
        <vt:lpwstr>http://www.puc.pa.gov/filing_resources/issues_laws_regulations/act_129_information/act_129_statewide_evaluator_swe_.aspx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Telephone Notice</dc:title>
  <dc:creator>REITENBACH</dc:creator>
  <cp:lastModifiedBy>Sherrick, Joseph</cp:lastModifiedBy>
  <cp:revision>2</cp:revision>
  <cp:lastPrinted>2016-07-08T17:21:00Z</cp:lastPrinted>
  <dcterms:created xsi:type="dcterms:W3CDTF">2016-08-25T17:56:00Z</dcterms:created>
  <dcterms:modified xsi:type="dcterms:W3CDTF">2016-08-25T17:56:00Z</dcterms:modified>
</cp:coreProperties>
</file>