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9" w:rsidRDefault="00B856A9" w:rsidP="00396D78">
      <w:pPr>
        <w:pStyle w:val="ListParagraph"/>
        <w:numPr>
          <w:ilvl w:val="0"/>
          <w:numId w:val="4"/>
        </w:numPr>
        <w:rPr>
          <w:rFonts w:eastAsia="Times New Roman"/>
          <w:b/>
        </w:rPr>
      </w:pPr>
      <w:bookmarkStart w:id="0" w:name="_GoBack"/>
      <w:bookmarkEnd w:id="0"/>
      <w:r w:rsidRPr="001F43FB">
        <w:rPr>
          <w:rFonts w:eastAsia="Times New Roman"/>
          <w:b/>
        </w:rPr>
        <w:t>We understand that an independent third party manages the PPL Electric procurement process to secure generation for default service. In that context, please clarify whether a review of the procedures used by PPL Electric to obtain electricity for default service and the results of recent procurements should be included or excluded from the audit. If included, please specify if the subject should be treated as a separate diagnostic work area in Phase I.</w:t>
      </w:r>
    </w:p>
    <w:p w:rsidR="00396D78" w:rsidRPr="001F43FB" w:rsidRDefault="00396D78" w:rsidP="00396D78">
      <w:pPr>
        <w:pStyle w:val="ListParagraph"/>
        <w:ind w:left="360"/>
        <w:rPr>
          <w:rFonts w:eastAsia="Times New Roman"/>
          <w:b/>
        </w:rPr>
      </w:pPr>
    </w:p>
    <w:p w:rsidR="00B856A9" w:rsidRDefault="00FD0A35" w:rsidP="00396D78">
      <w:pPr>
        <w:ind w:left="360"/>
        <w:contextualSpacing/>
        <w:rPr>
          <w:rFonts w:eastAsia="Times New Roman"/>
        </w:rPr>
      </w:pPr>
      <w:r>
        <w:rPr>
          <w:rFonts w:eastAsia="Times New Roman"/>
        </w:rPr>
        <w:t xml:space="preserve">As noted in the RFP, </w:t>
      </w:r>
      <w:r w:rsidR="00F05203">
        <w:rPr>
          <w:rFonts w:eastAsia="Times New Roman"/>
        </w:rPr>
        <w:t xml:space="preserve">Phase I </w:t>
      </w:r>
      <w:r w:rsidR="00102CD1">
        <w:rPr>
          <w:rFonts w:eastAsia="Times New Roman"/>
        </w:rPr>
        <w:t xml:space="preserve">areas of review </w:t>
      </w:r>
      <w:r w:rsidR="0090356A">
        <w:rPr>
          <w:rFonts w:eastAsia="Times New Roman"/>
        </w:rPr>
        <w:t>will assess the condi</w:t>
      </w:r>
      <w:r>
        <w:rPr>
          <w:rFonts w:eastAsia="Times New Roman"/>
        </w:rPr>
        <w:t>tion of each functional area or business unit against evaluative criteria or expected business practice which are to be</w:t>
      </w:r>
      <w:r w:rsidR="007B221A">
        <w:rPr>
          <w:rFonts w:eastAsia="Times New Roman"/>
        </w:rPr>
        <w:t xml:space="preserve"> grouped by functional areas as</w:t>
      </w:r>
      <w:r>
        <w:rPr>
          <w:rFonts w:eastAsia="Times New Roman"/>
        </w:rPr>
        <w:t xml:space="preserve"> determined </w:t>
      </w:r>
      <w:r w:rsidR="00102CD1">
        <w:rPr>
          <w:rFonts w:eastAsia="Times New Roman"/>
        </w:rPr>
        <w:t>at the discretion of the individual proposer and each proposal will be evaluated on the merits of its scope and detailed work</w:t>
      </w:r>
      <w:r w:rsidR="00051E5D">
        <w:rPr>
          <w:rFonts w:eastAsia="Times New Roman"/>
        </w:rPr>
        <w:t xml:space="preserve"> </w:t>
      </w:r>
      <w:r w:rsidR="00102CD1">
        <w:rPr>
          <w:rFonts w:eastAsia="Times New Roman"/>
        </w:rPr>
        <w:t xml:space="preserve">plan. </w:t>
      </w:r>
      <w:r w:rsidR="00051E5D">
        <w:rPr>
          <w:rFonts w:eastAsia="Times New Roman"/>
        </w:rPr>
        <w:t>It should be noted that PPL Electric Utilities periodically petitions the Commission for approval of a bi-annual default electri</w:t>
      </w:r>
      <w:r w:rsidR="00EC4EBC">
        <w:rPr>
          <w:rFonts w:eastAsia="Times New Roman"/>
        </w:rPr>
        <w:t>c service procurement plan (see docket number P-2014-2417907 for the most recent filing</w:t>
      </w:r>
      <w:r w:rsidR="00051E5D">
        <w:rPr>
          <w:rFonts w:eastAsia="Times New Roman"/>
        </w:rPr>
        <w:t>).  The most recent filing is expected to go into effect in June 2015 and is currently un</w:t>
      </w:r>
      <w:r w:rsidR="00092105">
        <w:rPr>
          <w:rFonts w:eastAsia="Times New Roman"/>
        </w:rPr>
        <w:t>der Commission review.  Consequently, any Phase I proposed review on this issue should be limited to the approach used by the Company to formulating and securing its procuremen</w:t>
      </w:r>
      <w:r w:rsidR="00EC4EBC">
        <w:rPr>
          <w:rFonts w:eastAsia="Times New Roman"/>
        </w:rPr>
        <w:t xml:space="preserve">t portfolio mix in the future. </w:t>
      </w:r>
      <w:r w:rsidR="00092105">
        <w:rPr>
          <w:rFonts w:eastAsia="Times New Roman"/>
        </w:rPr>
        <w:t xml:space="preserve"> </w:t>
      </w:r>
      <w:r w:rsidR="00051E5D">
        <w:rPr>
          <w:rFonts w:eastAsia="Times New Roman"/>
        </w:rPr>
        <w:t xml:space="preserve">  </w:t>
      </w:r>
    </w:p>
    <w:p w:rsidR="00396D78" w:rsidRDefault="00396D78" w:rsidP="00396D78">
      <w:pPr>
        <w:ind w:left="360"/>
        <w:contextualSpacing/>
        <w:rPr>
          <w:rFonts w:eastAsia="Times New Roman"/>
        </w:rPr>
      </w:pPr>
    </w:p>
    <w:p w:rsidR="00396D78" w:rsidRDefault="00396D78" w:rsidP="00396D78">
      <w:pPr>
        <w:ind w:left="360"/>
        <w:contextualSpacing/>
        <w:rPr>
          <w:rFonts w:eastAsia="Times New Roman"/>
        </w:rPr>
      </w:pPr>
    </w:p>
    <w:p w:rsidR="00B856A9" w:rsidRDefault="00B856A9" w:rsidP="00396D78">
      <w:pPr>
        <w:pStyle w:val="ListParagraph"/>
        <w:numPr>
          <w:ilvl w:val="0"/>
          <w:numId w:val="4"/>
        </w:numPr>
        <w:rPr>
          <w:rFonts w:eastAsia="Times New Roman"/>
          <w:b/>
        </w:rPr>
      </w:pPr>
      <w:r w:rsidRPr="001F43FB">
        <w:rPr>
          <w:rFonts w:eastAsia="Times New Roman"/>
          <w:b/>
        </w:rPr>
        <w:t>We assume that a review of electric T&amp;D operations and reliability should be included as a work area in Phase I of the audit. Please confirm that only the emergency preparedness/physical security aspect of T&amp;D operations discussed on pages 29-30 of the RFP should be included in the Phase II budget.</w:t>
      </w:r>
    </w:p>
    <w:p w:rsidR="00396D78" w:rsidRDefault="00396D78" w:rsidP="00396D78">
      <w:pPr>
        <w:pStyle w:val="ListParagraph"/>
        <w:ind w:left="360"/>
        <w:rPr>
          <w:rFonts w:eastAsia="Times New Roman"/>
          <w:b/>
        </w:rPr>
      </w:pPr>
    </w:p>
    <w:p w:rsidR="00B856A9" w:rsidRDefault="004D0CC7" w:rsidP="00396D78">
      <w:pPr>
        <w:ind w:left="360"/>
        <w:contextualSpacing/>
        <w:rPr>
          <w:rFonts w:eastAsia="Times New Roman"/>
        </w:rPr>
      </w:pPr>
      <w:r>
        <w:rPr>
          <w:rFonts w:eastAsia="Times New Roman"/>
        </w:rPr>
        <w:t xml:space="preserve">Correct, </w:t>
      </w:r>
      <w:r w:rsidR="00FD0A35">
        <w:rPr>
          <w:rFonts w:eastAsia="Times New Roman"/>
        </w:rPr>
        <w:t xml:space="preserve">Phase II is </w:t>
      </w:r>
      <w:r>
        <w:rPr>
          <w:rFonts w:eastAsia="Times New Roman"/>
        </w:rPr>
        <w:t xml:space="preserve">only </w:t>
      </w:r>
      <w:r w:rsidR="00FD0A35">
        <w:rPr>
          <w:rFonts w:eastAsia="Times New Roman"/>
        </w:rPr>
        <w:t>to address the pre-identified issues as noted in the RFP.   T</w:t>
      </w:r>
      <w:r w:rsidR="0090356A">
        <w:rPr>
          <w:rFonts w:eastAsia="Times New Roman"/>
        </w:rPr>
        <w:t>h</w:t>
      </w:r>
      <w:r>
        <w:rPr>
          <w:rFonts w:eastAsia="Times New Roman"/>
        </w:rPr>
        <w:t xml:space="preserve">e audit steps determined by </w:t>
      </w:r>
      <w:r w:rsidR="00670B59">
        <w:rPr>
          <w:rFonts w:eastAsia="Times New Roman"/>
        </w:rPr>
        <w:t>the Proposers</w:t>
      </w:r>
      <w:r>
        <w:rPr>
          <w:rFonts w:eastAsia="Times New Roman"/>
        </w:rPr>
        <w:t xml:space="preserve"> </w:t>
      </w:r>
      <w:r w:rsidR="00670B59">
        <w:rPr>
          <w:rFonts w:eastAsia="Times New Roman"/>
        </w:rPr>
        <w:t>that are</w:t>
      </w:r>
      <w:r>
        <w:rPr>
          <w:rFonts w:eastAsia="Times New Roman"/>
        </w:rPr>
        <w:t xml:space="preserve"> required to fully evaluate the emergency preparedness/physical &amp; cyber security aspects identified on pages 29-30</w:t>
      </w:r>
      <w:r w:rsidR="00670B59">
        <w:rPr>
          <w:rFonts w:eastAsia="Times New Roman"/>
        </w:rPr>
        <w:t xml:space="preserve"> </w:t>
      </w:r>
      <w:r w:rsidR="00092105">
        <w:rPr>
          <w:rFonts w:eastAsia="Times New Roman"/>
        </w:rPr>
        <w:t xml:space="preserve">of the RFP </w:t>
      </w:r>
      <w:r>
        <w:rPr>
          <w:rFonts w:eastAsia="Times New Roman"/>
        </w:rPr>
        <w:t>should be included as part of the Phase II budget</w:t>
      </w:r>
      <w:r w:rsidR="00670B59">
        <w:rPr>
          <w:rFonts w:eastAsia="Times New Roman"/>
        </w:rPr>
        <w:t>/work plan</w:t>
      </w:r>
      <w:r>
        <w:rPr>
          <w:rFonts w:eastAsia="Times New Roman"/>
        </w:rPr>
        <w:t xml:space="preserve">. All other </w:t>
      </w:r>
      <w:r w:rsidR="00FD0A35">
        <w:rPr>
          <w:rFonts w:eastAsia="Times New Roman"/>
        </w:rPr>
        <w:t xml:space="preserve">proposed areas of review should be part of Phase I. </w:t>
      </w:r>
    </w:p>
    <w:p w:rsidR="00396D78" w:rsidRDefault="00396D78" w:rsidP="00396D78">
      <w:pPr>
        <w:ind w:left="360"/>
        <w:contextualSpacing/>
        <w:rPr>
          <w:rFonts w:eastAsia="Times New Roman"/>
        </w:rPr>
      </w:pPr>
    </w:p>
    <w:p w:rsidR="00396D78" w:rsidRPr="004D0CC7" w:rsidRDefault="00396D78" w:rsidP="00396D78">
      <w:pPr>
        <w:ind w:left="360"/>
        <w:contextualSpacing/>
        <w:rPr>
          <w:rFonts w:eastAsia="Times New Roman"/>
        </w:rPr>
      </w:pPr>
    </w:p>
    <w:p w:rsidR="00B856A9" w:rsidRPr="001F43FB" w:rsidRDefault="00B856A9" w:rsidP="00396D78">
      <w:pPr>
        <w:numPr>
          <w:ilvl w:val="0"/>
          <w:numId w:val="4"/>
        </w:numPr>
        <w:contextualSpacing/>
        <w:rPr>
          <w:rFonts w:eastAsia="Times New Roman"/>
          <w:b/>
        </w:rPr>
      </w:pPr>
      <w:r w:rsidRPr="001F43FB">
        <w:rPr>
          <w:rFonts w:eastAsia="Times New Roman"/>
          <w:b/>
        </w:rPr>
        <w:t>We assume that a review of financial management should be included as a work area in Phase I of the audit. Please confirm that only the specific financial issues discussed on page 28 of the RFP should be included in the Phase II budget.</w:t>
      </w:r>
    </w:p>
    <w:p w:rsidR="00396D78" w:rsidRDefault="00396D78" w:rsidP="00396D78">
      <w:pPr>
        <w:ind w:firstLine="360"/>
        <w:contextualSpacing/>
        <w:rPr>
          <w:rFonts w:eastAsia="Times New Roman"/>
        </w:rPr>
      </w:pPr>
    </w:p>
    <w:p w:rsidR="00B856A9" w:rsidRDefault="00102CD1" w:rsidP="00396D78">
      <w:pPr>
        <w:ind w:firstLine="360"/>
        <w:contextualSpacing/>
        <w:rPr>
          <w:rFonts w:eastAsia="Times New Roman"/>
        </w:rPr>
      </w:pPr>
      <w:r>
        <w:rPr>
          <w:rFonts w:eastAsia="Times New Roman"/>
        </w:rPr>
        <w:t>See previous answer</w:t>
      </w:r>
      <w:r w:rsidR="0090356A">
        <w:rPr>
          <w:rFonts w:eastAsia="Times New Roman"/>
        </w:rPr>
        <w:t xml:space="preserve"> to question #2</w:t>
      </w:r>
      <w:r>
        <w:rPr>
          <w:rFonts w:eastAsia="Times New Roman"/>
        </w:rPr>
        <w:t xml:space="preserve">.  </w:t>
      </w:r>
    </w:p>
    <w:p w:rsidR="00396D78" w:rsidRDefault="00396D78" w:rsidP="00396D78">
      <w:pPr>
        <w:ind w:firstLine="360"/>
        <w:contextualSpacing/>
        <w:rPr>
          <w:rFonts w:eastAsia="Times New Roman"/>
        </w:rPr>
      </w:pPr>
    </w:p>
    <w:p w:rsidR="00396D78" w:rsidRDefault="00396D78" w:rsidP="00396D78">
      <w:pPr>
        <w:ind w:firstLine="360"/>
        <w:contextualSpacing/>
        <w:rPr>
          <w:rFonts w:eastAsia="Times New Roman"/>
        </w:rPr>
      </w:pPr>
    </w:p>
    <w:p w:rsidR="00B856A9" w:rsidRPr="001F43FB" w:rsidRDefault="00B856A9" w:rsidP="00396D78">
      <w:pPr>
        <w:numPr>
          <w:ilvl w:val="0"/>
          <w:numId w:val="4"/>
        </w:numPr>
        <w:contextualSpacing/>
        <w:rPr>
          <w:rFonts w:eastAsia="Times New Roman"/>
          <w:b/>
        </w:rPr>
      </w:pPr>
      <w:r w:rsidRPr="001F43FB">
        <w:rPr>
          <w:rFonts w:eastAsia="Times New Roman"/>
          <w:b/>
        </w:rPr>
        <w:t>Regarding the discussion on pages 28-29 of the RFP, please explain more fully what CAP Agencies are and clarify the objectives of the review in this pre-defined study area. </w:t>
      </w:r>
    </w:p>
    <w:p w:rsidR="00396D78" w:rsidRDefault="00396D78" w:rsidP="00396D78">
      <w:pPr>
        <w:ind w:left="360"/>
        <w:contextualSpacing/>
        <w:rPr>
          <w:rFonts w:eastAsia="Times New Roman"/>
        </w:rPr>
      </w:pPr>
    </w:p>
    <w:p w:rsidR="00B856A9" w:rsidRDefault="00F17FEC" w:rsidP="00396D78">
      <w:pPr>
        <w:ind w:left="360"/>
        <w:contextualSpacing/>
        <w:rPr>
          <w:rFonts w:eastAsia="Times New Roman"/>
        </w:rPr>
      </w:pPr>
      <w:r>
        <w:rPr>
          <w:rFonts w:eastAsia="Times New Roman"/>
        </w:rPr>
        <w:lastRenderedPageBreak/>
        <w:t>Customer Assistance Program (CAP) Agencies are</w:t>
      </w:r>
      <w:r w:rsidR="00815EFC">
        <w:rPr>
          <w:rFonts w:eastAsia="Times New Roman"/>
        </w:rPr>
        <w:t xml:space="preserve"> </w:t>
      </w:r>
      <w:r w:rsidR="00FD5E12">
        <w:rPr>
          <w:rFonts w:eastAsia="Times New Roman"/>
        </w:rPr>
        <w:t>independent community-based organizations</w:t>
      </w:r>
      <w:r w:rsidR="00801459">
        <w:rPr>
          <w:rFonts w:eastAsia="Times New Roman"/>
        </w:rPr>
        <w:t xml:space="preserve"> in which PPL E</w:t>
      </w:r>
      <w:r w:rsidR="008438AB">
        <w:rPr>
          <w:rFonts w:eastAsia="Times New Roman"/>
        </w:rPr>
        <w:t>lectric Utilities outsources the administration of</w:t>
      </w:r>
      <w:r w:rsidR="00670758">
        <w:rPr>
          <w:rFonts w:eastAsia="Times New Roman"/>
        </w:rPr>
        <w:t xml:space="preserve"> various components of</w:t>
      </w:r>
      <w:r w:rsidR="008438AB">
        <w:rPr>
          <w:rFonts w:eastAsia="Times New Roman"/>
        </w:rPr>
        <w:t xml:space="preserve"> </w:t>
      </w:r>
      <w:r w:rsidR="00A861F7">
        <w:rPr>
          <w:rFonts w:eastAsia="Times New Roman"/>
        </w:rPr>
        <w:t>its CAP.</w:t>
      </w:r>
      <w:r w:rsidR="00092105">
        <w:rPr>
          <w:rFonts w:eastAsia="Times New Roman"/>
        </w:rPr>
        <w:t xml:space="preserve"> PPL has approximately ten </w:t>
      </w:r>
      <w:r w:rsidR="00D32D2D">
        <w:rPr>
          <w:rFonts w:eastAsia="Times New Roman"/>
        </w:rPr>
        <w:t>of these community-based</w:t>
      </w:r>
      <w:r w:rsidR="00DD700E">
        <w:rPr>
          <w:rFonts w:eastAsia="Times New Roman"/>
        </w:rPr>
        <w:t>,</w:t>
      </w:r>
      <w:r w:rsidR="00D32D2D">
        <w:rPr>
          <w:rFonts w:eastAsia="Times New Roman"/>
        </w:rPr>
        <w:t xml:space="preserve"> independent organizations.</w:t>
      </w:r>
      <w:r w:rsidR="00A861F7">
        <w:rPr>
          <w:rFonts w:eastAsia="Times New Roman"/>
        </w:rPr>
        <w:t xml:space="preserve"> Customers are referred to t</w:t>
      </w:r>
      <w:r w:rsidR="00D32D2D">
        <w:rPr>
          <w:rFonts w:eastAsia="Times New Roman"/>
        </w:rPr>
        <w:t>he</w:t>
      </w:r>
      <w:r w:rsidR="00A861F7">
        <w:rPr>
          <w:rFonts w:eastAsia="Times New Roman"/>
        </w:rPr>
        <w:t xml:space="preserve"> community-based administering organizations through a number of channels</w:t>
      </w:r>
      <w:r w:rsidR="00670758">
        <w:rPr>
          <w:rFonts w:eastAsia="Times New Roman"/>
        </w:rPr>
        <w:t>,</w:t>
      </w:r>
      <w:r w:rsidR="00A861F7">
        <w:rPr>
          <w:rFonts w:eastAsia="Times New Roman"/>
        </w:rPr>
        <w:t xml:space="preserve"> including PPL</w:t>
      </w:r>
      <w:r w:rsidR="00D32D2D">
        <w:rPr>
          <w:rFonts w:eastAsia="Times New Roman"/>
        </w:rPr>
        <w:t xml:space="preserve"> Electric’s</w:t>
      </w:r>
      <w:r w:rsidR="00A861F7">
        <w:rPr>
          <w:rFonts w:eastAsia="Times New Roman"/>
        </w:rPr>
        <w:t xml:space="preserve"> Customer Service Representatives (CSR’</w:t>
      </w:r>
      <w:r w:rsidR="00D32D2D">
        <w:rPr>
          <w:rFonts w:eastAsia="Times New Roman"/>
        </w:rPr>
        <w:t>s)</w:t>
      </w:r>
      <w:r w:rsidR="00A861F7">
        <w:rPr>
          <w:rFonts w:eastAsia="Times New Roman"/>
        </w:rPr>
        <w:t xml:space="preserve"> and other </w:t>
      </w:r>
      <w:r w:rsidR="00D32D2D">
        <w:rPr>
          <w:rFonts w:eastAsia="Times New Roman"/>
        </w:rPr>
        <w:t xml:space="preserve">community organizations. The administering organizations enroll and maintain customers on-line through direct connections with PPL Electric’s Customer Service System. PPL Electric’s </w:t>
      </w:r>
      <w:r w:rsidR="00CF4038">
        <w:rPr>
          <w:rFonts w:eastAsia="Times New Roman"/>
        </w:rPr>
        <w:t>Universal Service and Energy Conservation Plan filed with the Commission at docket number M-2013-2367021 offers a more detailed description of PPL’s CAP and its administration by the community-based organizations.</w:t>
      </w:r>
    </w:p>
    <w:p w:rsidR="00396D78" w:rsidRDefault="00396D78" w:rsidP="00396D78">
      <w:pPr>
        <w:ind w:left="360"/>
        <w:contextualSpacing/>
        <w:rPr>
          <w:rFonts w:eastAsia="Times New Roman"/>
        </w:rPr>
      </w:pPr>
    </w:p>
    <w:p w:rsidR="00D32D2D" w:rsidRDefault="00CF4038" w:rsidP="00396D78">
      <w:pPr>
        <w:ind w:left="360"/>
        <w:contextualSpacing/>
        <w:rPr>
          <w:rFonts w:eastAsia="Times New Roman"/>
        </w:rPr>
      </w:pPr>
      <w:r>
        <w:rPr>
          <w:rFonts w:eastAsia="Times New Roman"/>
        </w:rPr>
        <w:t xml:space="preserve">The main objectives of the Phase II – Pre-Identified Area of the RFP relating to CAP on page 28-29 of the RFP is to </w:t>
      </w:r>
      <w:r w:rsidR="00420591">
        <w:rPr>
          <w:rFonts w:eastAsia="Times New Roman"/>
        </w:rPr>
        <w:t>assess</w:t>
      </w:r>
      <w:r>
        <w:rPr>
          <w:rFonts w:eastAsia="Times New Roman"/>
        </w:rPr>
        <w:t xml:space="preserve"> the coordination, information flow, and overall communication between PPL Electric and its CAP agencies to determine </w:t>
      </w:r>
      <w:r w:rsidR="000758CC">
        <w:rPr>
          <w:rFonts w:eastAsia="Times New Roman"/>
        </w:rPr>
        <w:t>if the program is adequately and efficiently meeting customer</w:t>
      </w:r>
      <w:r w:rsidR="00420591">
        <w:rPr>
          <w:rFonts w:eastAsia="Times New Roman"/>
        </w:rPr>
        <w:t xml:space="preserve"> needs.  To meet this objective, the RFP specifies a </w:t>
      </w:r>
      <w:r w:rsidR="000758CC">
        <w:rPr>
          <w:rFonts w:eastAsia="Times New Roman"/>
        </w:rPr>
        <w:t xml:space="preserve">review of the training provided to CAP agencies, staffing levels, processing time, callback timeframes, </w:t>
      </w:r>
      <w:r w:rsidR="00420591">
        <w:rPr>
          <w:rFonts w:eastAsia="Times New Roman"/>
        </w:rPr>
        <w:t>etc</w:t>
      </w:r>
      <w:r w:rsidR="007A6FBE">
        <w:rPr>
          <w:rFonts w:eastAsia="Times New Roman"/>
        </w:rPr>
        <w:t xml:space="preserve">.  </w:t>
      </w:r>
      <w:r w:rsidR="00420591">
        <w:rPr>
          <w:rFonts w:eastAsia="Times New Roman"/>
        </w:rPr>
        <w:t>Proposers should use their</w:t>
      </w:r>
      <w:r w:rsidR="007A6FBE">
        <w:rPr>
          <w:rFonts w:eastAsia="Times New Roman"/>
        </w:rPr>
        <w:t xml:space="preserve"> judgment and experience to determine any additional audit steps</w:t>
      </w:r>
      <w:r w:rsidR="00420591">
        <w:rPr>
          <w:rFonts w:eastAsia="Times New Roman"/>
        </w:rPr>
        <w:t xml:space="preserve"> or audit techniques </w:t>
      </w:r>
      <w:r w:rsidR="007A6FBE">
        <w:rPr>
          <w:rFonts w:eastAsia="Times New Roman"/>
        </w:rPr>
        <w:t xml:space="preserve">necessary to provide reasonable assurance that the Company’s CAP is operating effectively and efficiently. </w:t>
      </w:r>
    </w:p>
    <w:p w:rsidR="00396D78" w:rsidRDefault="00396D78" w:rsidP="00396D78">
      <w:pPr>
        <w:ind w:left="360"/>
        <w:contextualSpacing/>
        <w:rPr>
          <w:rFonts w:eastAsia="Times New Roman"/>
        </w:rPr>
      </w:pPr>
    </w:p>
    <w:p w:rsidR="00396D78" w:rsidRDefault="00396D78" w:rsidP="00396D78">
      <w:pPr>
        <w:ind w:left="360"/>
        <w:contextualSpacing/>
        <w:rPr>
          <w:rFonts w:eastAsia="Times New Roman"/>
        </w:rPr>
      </w:pPr>
    </w:p>
    <w:p w:rsidR="00B856A9" w:rsidRDefault="00B856A9" w:rsidP="00396D78">
      <w:pPr>
        <w:numPr>
          <w:ilvl w:val="0"/>
          <w:numId w:val="4"/>
        </w:numPr>
        <w:contextualSpacing/>
        <w:rPr>
          <w:rFonts w:eastAsia="Times New Roman"/>
          <w:b/>
        </w:rPr>
      </w:pPr>
      <w:r w:rsidRPr="001F43FB">
        <w:rPr>
          <w:rFonts w:eastAsia="Times New Roman"/>
          <w:b/>
        </w:rPr>
        <w:t>Please clarify how the hold-back provisions for payment under Section II.C.7 of the Stratified Management Audit Contract (Appendix C) work in practice. For example, will monthly invoices be paid in full until 90% of the budget has been reached, or will each monthly invoice be discounted by 10%? Also, as written, the contract implies there will be a separate draft report for Phase I and Phase II; please clarify.</w:t>
      </w:r>
    </w:p>
    <w:p w:rsidR="00396D78" w:rsidRPr="001F43FB" w:rsidRDefault="00396D78" w:rsidP="00396D78">
      <w:pPr>
        <w:ind w:left="360"/>
        <w:contextualSpacing/>
        <w:rPr>
          <w:rFonts w:eastAsia="Times New Roman"/>
          <w:b/>
        </w:rPr>
      </w:pPr>
    </w:p>
    <w:p w:rsidR="005C762D" w:rsidRDefault="00D46E2A" w:rsidP="00396D78">
      <w:pPr>
        <w:ind w:left="360"/>
        <w:contextualSpacing/>
        <w:rPr>
          <w:rFonts w:eastAsia="Times New Roman"/>
        </w:rPr>
      </w:pPr>
      <w:r w:rsidRPr="00737A92">
        <w:rPr>
          <w:rFonts w:eastAsia="Times New Roman"/>
        </w:rPr>
        <w:t>The monthly invoices will be paid in full until 90% of the budget for each phase (Phase I</w:t>
      </w:r>
      <w:r w:rsidR="00670758">
        <w:rPr>
          <w:rFonts w:eastAsia="Times New Roman"/>
        </w:rPr>
        <w:t xml:space="preserve">, </w:t>
      </w:r>
      <w:r w:rsidRPr="00737A92">
        <w:rPr>
          <w:rFonts w:eastAsia="Times New Roman"/>
        </w:rPr>
        <w:t>Phase II</w:t>
      </w:r>
      <w:r w:rsidR="00670758">
        <w:rPr>
          <w:rFonts w:eastAsia="Times New Roman"/>
        </w:rPr>
        <w:t>, and Phase III, if authorized</w:t>
      </w:r>
      <w:r w:rsidRPr="00737A92">
        <w:rPr>
          <w:rFonts w:eastAsia="Times New Roman"/>
        </w:rPr>
        <w:t>) has been reached.</w:t>
      </w:r>
      <w:r w:rsidR="00553815" w:rsidRPr="00737A92">
        <w:rPr>
          <w:rFonts w:eastAsia="Times New Roman"/>
        </w:rPr>
        <w:t xml:space="preserve">  The remaining 10% of the </w:t>
      </w:r>
      <w:r w:rsidR="00420591">
        <w:rPr>
          <w:rFonts w:eastAsia="Times New Roman"/>
        </w:rPr>
        <w:t>budget</w:t>
      </w:r>
      <w:r w:rsidR="00553815" w:rsidRPr="00737A92">
        <w:rPr>
          <w:rFonts w:eastAsia="Times New Roman"/>
        </w:rPr>
        <w:t xml:space="preserve"> for each phase is then released </w:t>
      </w:r>
      <w:r w:rsidR="00420591">
        <w:rPr>
          <w:rFonts w:eastAsia="Times New Roman"/>
        </w:rPr>
        <w:t xml:space="preserve">in the increments provided in the RFP; </w:t>
      </w:r>
      <w:r w:rsidR="00553815" w:rsidRPr="00737A92">
        <w:rPr>
          <w:rFonts w:eastAsia="Times New Roman"/>
        </w:rPr>
        <w:t xml:space="preserve">5% when the draft report is released to the Company and 5% when the final report is received. </w:t>
      </w:r>
      <w:r w:rsidR="005C762D">
        <w:rPr>
          <w:rFonts w:eastAsia="Times New Roman"/>
        </w:rPr>
        <w:t xml:space="preserve">While the contract specifies that the holdback is 10% of each phase, this requirement just specifies what line items of the budget the holdback will be applied to since the RFP asks for costs </w:t>
      </w:r>
      <w:proofErr w:type="gramStart"/>
      <w:r w:rsidR="005C762D">
        <w:rPr>
          <w:rFonts w:eastAsia="Times New Roman"/>
        </w:rPr>
        <w:t>be</w:t>
      </w:r>
      <w:proofErr w:type="gramEnd"/>
      <w:r w:rsidR="005C762D">
        <w:rPr>
          <w:rFonts w:eastAsia="Times New Roman"/>
        </w:rPr>
        <w:t xml:space="preserve"> provided separately for </w:t>
      </w:r>
      <w:r w:rsidR="00F94EE3">
        <w:rPr>
          <w:rFonts w:eastAsia="Times New Roman"/>
        </w:rPr>
        <w:t>each P</w:t>
      </w:r>
      <w:r w:rsidR="00670758">
        <w:rPr>
          <w:rFonts w:eastAsia="Times New Roman"/>
        </w:rPr>
        <w:t>hase</w:t>
      </w:r>
      <w:r w:rsidR="005C762D">
        <w:rPr>
          <w:rFonts w:eastAsia="Times New Roman"/>
        </w:rPr>
        <w:t xml:space="preserve"> (See Section II-8 of the RFP).  </w:t>
      </w:r>
    </w:p>
    <w:p w:rsidR="00396D78" w:rsidRDefault="00396D78" w:rsidP="00396D78">
      <w:pPr>
        <w:ind w:firstLine="360"/>
        <w:contextualSpacing/>
        <w:rPr>
          <w:rFonts w:eastAsia="Times New Roman"/>
        </w:rPr>
      </w:pPr>
    </w:p>
    <w:p w:rsidR="005C762D" w:rsidRDefault="005C762D" w:rsidP="00396D78">
      <w:pPr>
        <w:ind w:left="360"/>
        <w:contextualSpacing/>
        <w:rPr>
          <w:rFonts w:eastAsia="Times New Roman"/>
        </w:rPr>
      </w:pPr>
      <w:r>
        <w:rPr>
          <w:rFonts w:eastAsia="Times New Roman"/>
        </w:rPr>
        <w:t>T</w:t>
      </w:r>
      <w:r w:rsidR="00553815" w:rsidRPr="00737A92">
        <w:rPr>
          <w:rFonts w:eastAsia="Times New Roman"/>
        </w:rPr>
        <w:t>here is on</w:t>
      </w:r>
      <w:r w:rsidR="008D7221">
        <w:rPr>
          <w:rFonts w:eastAsia="Times New Roman"/>
        </w:rPr>
        <w:t>ly one (1) draft report</w:t>
      </w:r>
      <w:r w:rsidR="00553815" w:rsidRPr="00737A92">
        <w:rPr>
          <w:rFonts w:eastAsia="Times New Roman"/>
        </w:rPr>
        <w:t xml:space="preserve">. </w:t>
      </w:r>
      <w:r w:rsidR="008D7221">
        <w:rPr>
          <w:rFonts w:eastAsia="Times New Roman"/>
        </w:rPr>
        <w:t>As specified by the RFP (Section IV-4), draft reports are provided to the Commission for review by chapter, task area or issue.  Therefore, for draft purposes, Phase II issues could be incorporated into an overall chapter covered in Phase I</w:t>
      </w:r>
      <w:r>
        <w:rPr>
          <w:rFonts w:eastAsia="Times New Roman"/>
        </w:rPr>
        <w:t xml:space="preserve"> or it is also possible that a Phase II issue be drafted as a separate chapter</w:t>
      </w:r>
      <w:r w:rsidR="008D7221">
        <w:rPr>
          <w:rFonts w:eastAsia="Times New Roman"/>
        </w:rPr>
        <w:t xml:space="preserve">.  </w:t>
      </w:r>
    </w:p>
    <w:p w:rsidR="00DD659C" w:rsidRDefault="00DD659C" w:rsidP="00396D78">
      <w:pPr>
        <w:pStyle w:val="ListParagraph"/>
        <w:ind w:left="360"/>
        <w:rPr>
          <w:rFonts w:eastAsia="Times New Roman"/>
        </w:rPr>
      </w:pPr>
    </w:p>
    <w:p w:rsidR="00396D78" w:rsidRPr="00B856A9" w:rsidRDefault="00396D78" w:rsidP="00396D78">
      <w:pPr>
        <w:pStyle w:val="ListParagraph"/>
        <w:ind w:left="360"/>
        <w:rPr>
          <w:rFonts w:eastAsia="Times New Roman"/>
        </w:rPr>
      </w:pPr>
    </w:p>
    <w:p w:rsidR="00B856A9" w:rsidRPr="00DD659C" w:rsidRDefault="00DD659C" w:rsidP="00396D78">
      <w:pPr>
        <w:pStyle w:val="ListParagraph"/>
        <w:numPr>
          <w:ilvl w:val="0"/>
          <w:numId w:val="4"/>
        </w:numPr>
        <w:rPr>
          <w:rFonts w:eastAsia="Times New Roman"/>
          <w:b/>
        </w:rPr>
      </w:pPr>
      <w:r w:rsidRPr="00DD659C">
        <w:rPr>
          <w:rFonts w:eastAsia="Times New Roman"/>
          <w:b/>
        </w:rPr>
        <w:t xml:space="preserve">Phase I of the proposed Management Audit is a “diagnostic review that will assess the condition of each functional area or business unit”. What are the functional areas </w:t>
      </w:r>
      <w:r w:rsidRPr="00DD659C">
        <w:rPr>
          <w:rFonts w:eastAsia="Times New Roman"/>
          <w:b/>
        </w:rPr>
        <w:lastRenderedPageBreak/>
        <w:t>and/or business units that are to be assessed against evaluative criteria or expected business practice?</w:t>
      </w:r>
    </w:p>
    <w:p w:rsidR="00396D78" w:rsidRDefault="00396D78" w:rsidP="00396D78">
      <w:pPr>
        <w:ind w:firstLine="360"/>
        <w:contextualSpacing/>
        <w:rPr>
          <w:rFonts w:eastAsia="Times New Roman"/>
        </w:rPr>
      </w:pPr>
    </w:p>
    <w:p w:rsidR="00DD659C" w:rsidRDefault="00DE4729" w:rsidP="00396D78">
      <w:pPr>
        <w:ind w:left="360"/>
        <w:contextualSpacing/>
        <w:rPr>
          <w:rFonts w:eastAsia="Times New Roman"/>
        </w:rPr>
      </w:pPr>
      <w:r>
        <w:rPr>
          <w:rFonts w:eastAsia="Times New Roman"/>
        </w:rPr>
        <w:t xml:space="preserve">As noted in the answer to Question #1, </w:t>
      </w:r>
      <w:r w:rsidR="005C762D" w:rsidRPr="005C762D">
        <w:rPr>
          <w:rFonts w:eastAsia="Times New Roman"/>
        </w:rPr>
        <w:t>Phase I is designed to be a diagnostic review of</w:t>
      </w:r>
      <w:r>
        <w:rPr>
          <w:rFonts w:eastAsia="Times New Roman"/>
        </w:rPr>
        <w:t xml:space="preserve"> each functional area or business unit of the</w:t>
      </w:r>
      <w:r w:rsidR="005C762D" w:rsidRPr="005C762D">
        <w:rPr>
          <w:rFonts w:eastAsia="Times New Roman"/>
        </w:rPr>
        <w:t xml:space="preserve"> company</w:t>
      </w:r>
      <w:r>
        <w:rPr>
          <w:rFonts w:eastAsia="Times New Roman"/>
        </w:rPr>
        <w:t>’s</w:t>
      </w:r>
      <w:r w:rsidR="005C762D" w:rsidRPr="005C762D">
        <w:rPr>
          <w:rFonts w:eastAsia="Times New Roman"/>
        </w:rPr>
        <w:t xml:space="preserve"> operations</w:t>
      </w:r>
      <w:r w:rsidR="00A77906">
        <w:rPr>
          <w:rFonts w:eastAsia="Times New Roman"/>
        </w:rPr>
        <w:t xml:space="preserve">, however, the functional areas are </w:t>
      </w:r>
      <w:r>
        <w:rPr>
          <w:rFonts w:eastAsia="Times New Roman"/>
        </w:rPr>
        <w:t xml:space="preserve">to be determined at the discretion of the individual proposer. </w:t>
      </w:r>
      <w:r w:rsidR="005C762D">
        <w:rPr>
          <w:rFonts w:eastAsia="Times New Roman"/>
        </w:rPr>
        <w:t>Proposals</w:t>
      </w:r>
      <w:r w:rsidR="007A6FBE">
        <w:rPr>
          <w:rFonts w:eastAsia="Times New Roman"/>
        </w:rPr>
        <w:t xml:space="preserve"> should present and explain the functional areas and the audit steps required to provide adequate assurance </w:t>
      </w:r>
      <w:r w:rsidR="001058B8">
        <w:rPr>
          <w:rFonts w:eastAsia="Times New Roman"/>
        </w:rPr>
        <w:t>of appropriate management controls, systems and processes at the utility.</w:t>
      </w:r>
    </w:p>
    <w:p w:rsidR="00396D78" w:rsidRDefault="00396D78" w:rsidP="00396D78">
      <w:pPr>
        <w:ind w:left="360"/>
        <w:contextualSpacing/>
        <w:rPr>
          <w:rFonts w:eastAsia="Times New Roman"/>
        </w:rPr>
      </w:pPr>
    </w:p>
    <w:p w:rsidR="00396D78" w:rsidRPr="00DD659C" w:rsidRDefault="00396D78" w:rsidP="00396D78">
      <w:pPr>
        <w:ind w:left="360"/>
        <w:contextualSpacing/>
        <w:rPr>
          <w:rFonts w:eastAsia="Times New Roman"/>
        </w:rPr>
      </w:pPr>
    </w:p>
    <w:p w:rsidR="00DD659C" w:rsidRPr="00DD659C" w:rsidRDefault="00DD659C" w:rsidP="00396D78">
      <w:pPr>
        <w:pStyle w:val="ListParagraph"/>
        <w:numPr>
          <w:ilvl w:val="0"/>
          <w:numId w:val="4"/>
        </w:numPr>
        <w:rPr>
          <w:rFonts w:eastAsia="Times New Roman"/>
          <w:b/>
        </w:rPr>
      </w:pPr>
      <w:r w:rsidRPr="00DD659C">
        <w:rPr>
          <w:rFonts w:eastAsia="Times New Roman"/>
          <w:b/>
        </w:rPr>
        <w:t>Has the PUC identified any expected timeframe or proposed completion date for this Stratified Management and Operations Audit?</w:t>
      </w:r>
    </w:p>
    <w:p w:rsidR="00396D78" w:rsidRDefault="00396D78" w:rsidP="00396D78">
      <w:pPr>
        <w:ind w:left="360"/>
        <w:contextualSpacing/>
      </w:pPr>
    </w:p>
    <w:p w:rsidR="00C77307" w:rsidRDefault="004D3D5D" w:rsidP="00396D78">
      <w:pPr>
        <w:ind w:left="360"/>
        <w:contextualSpacing/>
      </w:pPr>
      <w:r>
        <w:t xml:space="preserve">The Audit Bureau’s </w:t>
      </w:r>
      <w:r w:rsidR="00A77906">
        <w:t>projected</w:t>
      </w:r>
      <w:r>
        <w:t xml:space="preserve"> timeline for the PPL Stratified Management and Operations Audit </w:t>
      </w:r>
      <w:r w:rsidR="00522DA3">
        <w:t xml:space="preserve">anticipates </w:t>
      </w:r>
      <w:r>
        <w:t xml:space="preserve">completion of audit field work around year-end 2015 with a completed final audit report ready for release to the company around mid-June 2016. </w:t>
      </w:r>
      <w:r w:rsidR="001058B8">
        <w:t xml:space="preserve"> We also anticipa</w:t>
      </w:r>
      <w:r w:rsidR="000937EA">
        <w:t xml:space="preserve">te </w:t>
      </w:r>
      <w:r w:rsidR="001058B8">
        <w:t xml:space="preserve">field work </w:t>
      </w:r>
      <w:r w:rsidR="000937EA">
        <w:t xml:space="preserve">could begin as early as </w:t>
      </w:r>
      <w:r w:rsidR="001058B8">
        <w:t>June</w:t>
      </w:r>
      <w:r w:rsidR="000937EA">
        <w:t xml:space="preserve"> 2015</w:t>
      </w:r>
      <w:r w:rsidR="001058B8">
        <w:t xml:space="preserve">.  However, </w:t>
      </w:r>
      <w:r w:rsidR="00A77906">
        <w:t xml:space="preserve">the proposers have </w:t>
      </w:r>
      <w:r w:rsidR="000937EA">
        <w:t>some flexibility on start and finish dates</w:t>
      </w:r>
      <w:r w:rsidR="00A77906">
        <w:t xml:space="preserve"> through the</w:t>
      </w:r>
      <w:r w:rsidR="00F94EE3">
        <w:t>ir time estimates for completing the</w:t>
      </w:r>
      <w:r w:rsidR="00A77906">
        <w:t xml:space="preserve"> work as required by section II-9 of the RFP.</w:t>
      </w:r>
    </w:p>
    <w:p w:rsidR="00396D78" w:rsidRDefault="00396D78" w:rsidP="00396D78">
      <w:pPr>
        <w:ind w:left="360"/>
        <w:contextualSpacing/>
      </w:pPr>
    </w:p>
    <w:p w:rsidR="00396D78" w:rsidRDefault="00396D78" w:rsidP="00396D78">
      <w:pPr>
        <w:ind w:left="360"/>
        <w:contextualSpacing/>
      </w:pPr>
    </w:p>
    <w:p w:rsidR="00396D78" w:rsidRPr="00B8184D" w:rsidRDefault="00895E5C" w:rsidP="00396D78">
      <w:pPr>
        <w:pStyle w:val="ListParagraph"/>
        <w:numPr>
          <w:ilvl w:val="0"/>
          <w:numId w:val="4"/>
        </w:numPr>
        <w:rPr>
          <w:b/>
        </w:rPr>
      </w:pPr>
      <w:r>
        <w:rPr>
          <w:b/>
        </w:rPr>
        <w:t xml:space="preserve">What </w:t>
      </w:r>
      <w:proofErr w:type="gramStart"/>
      <w:r>
        <w:rPr>
          <w:b/>
        </w:rPr>
        <w:t xml:space="preserve">is the </w:t>
      </w:r>
      <w:r w:rsidR="00396D78" w:rsidRPr="00B8184D">
        <w:rPr>
          <w:b/>
        </w:rPr>
        <w:t>Commonwealth e-mail</w:t>
      </w:r>
      <w:r>
        <w:rPr>
          <w:b/>
        </w:rPr>
        <w:t xml:space="preserve"> file size restrictions</w:t>
      </w:r>
      <w:proofErr w:type="gramEnd"/>
      <w:r>
        <w:rPr>
          <w:b/>
        </w:rPr>
        <w:t xml:space="preserve"> for transmitting electronic files</w:t>
      </w:r>
      <w:r w:rsidR="00396D78" w:rsidRPr="00B8184D">
        <w:rPr>
          <w:b/>
        </w:rPr>
        <w:t>?</w:t>
      </w:r>
    </w:p>
    <w:p w:rsidR="00C44F25" w:rsidRDefault="00C44F25" w:rsidP="00C44F25">
      <w:pPr>
        <w:pStyle w:val="ListParagraph"/>
        <w:ind w:left="360"/>
      </w:pPr>
    </w:p>
    <w:p w:rsidR="00C44F25" w:rsidRDefault="00B8184D" w:rsidP="00C44F25">
      <w:pPr>
        <w:pStyle w:val="ListParagraph"/>
        <w:ind w:left="360"/>
      </w:pPr>
      <w:r>
        <w:t>Commonwealth e-mail is only</w:t>
      </w:r>
      <w:r w:rsidR="00ED6AE1">
        <w:t xml:space="preserve"> able to receive </w:t>
      </w:r>
      <w:r>
        <w:t>files</w:t>
      </w:r>
      <w:r w:rsidR="00A77906">
        <w:t xml:space="preserve"> up to 8 MB in size</w:t>
      </w:r>
      <w:r>
        <w:t>.</w:t>
      </w:r>
    </w:p>
    <w:p w:rsidR="00C44F25" w:rsidRDefault="00C44F25" w:rsidP="00C44F25">
      <w:pPr>
        <w:pStyle w:val="ListParagraph"/>
        <w:ind w:left="360"/>
      </w:pPr>
    </w:p>
    <w:p w:rsidR="00C44F25" w:rsidRDefault="00C44F25" w:rsidP="00C44F25">
      <w:pPr>
        <w:pStyle w:val="ListParagraph"/>
        <w:ind w:left="360"/>
      </w:pPr>
    </w:p>
    <w:p w:rsidR="00396D78" w:rsidRPr="00B8184D" w:rsidRDefault="00BB423E" w:rsidP="00396D78">
      <w:pPr>
        <w:pStyle w:val="ListParagraph"/>
        <w:numPr>
          <w:ilvl w:val="0"/>
          <w:numId w:val="4"/>
        </w:numPr>
        <w:rPr>
          <w:b/>
        </w:rPr>
      </w:pPr>
      <w:r w:rsidRPr="00B8184D">
        <w:rPr>
          <w:b/>
        </w:rPr>
        <w:t>Please c</w:t>
      </w:r>
      <w:r w:rsidR="00396D78" w:rsidRPr="00B8184D">
        <w:rPr>
          <w:b/>
        </w:rPr>
        <w:t xml:space="preserve">larify the provisions under Section III-7 (c) of the RFP, pertaining to the </w:t>
      </w:r>
      <w:r w:rsidRPr="00B8184D">
        <w:rPr>
          <w:b/>
        </w:rPr>
        <w:t xml:space="preserve">elimination of an </w:t>
      </w:r>
      <w:proofErr w:type="spellStart"/>
      <w:r w:rsidRPr="00B8184D">
        <w:rPr>
          <w:b/>
        </w:rPr>
        <w:t>Offeror</w:t>
      </w:r>
      <w:proofErr w:type="spellEnd"/>
      <w:r w:rsidRPr="00B8184D">
        <w:rPr>
          <w:b/>
        </w:rPr>
        <w:t xml:space="preserve"> whose proposal received the lowest technical score and had the lowest cost score of the prospective proposals re</w:t>
      </w:r>
      <w:r w:rsidR="00C870EB" w:rsidRPr="00B8184D">
        <w:rPr>
          <w:b/>
        </w:rPr>
        <w:t>ceived from responsible parties.</w:t>
      </w:r>
    </w:p>
    <w:p w:rsidR="00C44F25" w:rsidRDefault="00C44F25" w:rsidP="00C44F25"/>
    <w:p w:rsidR="00C44F25" w:rsidRDefault="00C871AE" w:rsidP="00B8184D">
      <w:pPr>
        <w:ind w:left="360"/>
      </w:pPr>
      <w:r>
        <w:t xml:space="preserve">The RFP is written to ensure that an </w:t>
      </w:r>
      <w:proofErr w:type="spellStart"/>
      <w:r>
        <w:t>Offeror</w:t>
      </w:r>
      <w:proofErr w:type="spellEnd"/>
      <w:r>
        <w:t xml:space="preserve"> who receives the lowest technical score and lowest cost score</w:t>
      </w:r>
      <w:r w:rsidR="00522DA3">
        <w:t xml:space="preserve"> </w:t>
      </w:r>
      <w:r w:rsidR="00A77906">
        <w:t xml:space="preserve">(i.e., highest cost) </w:t>
      </w:r>
      <w:r>
        <w:t>cannot win the RFP.  Therefore, if a proposal received the lowest technical score from the evaluation committee (i.e., the proposal/</w:t>
      </w:r>
      <w:proofErr w:type="spellStart"/>
      <w:r>
        <w:t>Offeror</w:t>
      </w:r>
      <w:proofErr w:type="spellEnd"/>
      <w:r>
        <w:t xml:space="preserve"> was viewed as the least capable) and the lowest cost score (i.e., the proposal had highest cost) it is eliminated from the selection process. </w:t>
      </w:r>
    </w:p>
    <w:p w:rsidR="00C44F25" w:rsidRDefault="00C44F25" w:rsidP="00C44F25"/>
    <w:p w:rsidR="00C44F25" w:rsidRDefault="00C44F25" w:rsidP="00C44F25"/>
    <w:p w:rsidR="00BB423E" w:rsidRDefault="00BB423E" w:rsidP="00396D78">
      <w:pPr>
        <w:pStyle w:val="ListParagraph"/>
        <w:numPr>
          <w:ilvl w:val="0"/>
          <w:numId w:val="4"/>
        </w:numPr>
        <w:rPr>
          <w:b/>
        </w:rPr>
      </w:pPr>
      <w:r w:rsidRPr="00B8184D">
        <w:rPr>
          <w:b/>
        </w:rPr>
        <w:t>Should the issues identified in Phase II of the RFP be excluded from Phase I and covered exclusively in Phase II?</w:t>
      </w:r>
    </w:p>
    <w:p w:rsidR="006E154E" w:rsidRDefault="006E154E" w:rsidP="00522DA3">
      <w:pPr>
        <w:pStyle w:val="ListParagraph"/>
        <w:ind w:left="360"/>
      </w:pPr>
    </w:p>
    <w:p w:rsidR="00522DA3" w:rsidRPr="00522DA3" w:rsidRDefault="00522DA3" w:rsidP="00522DA3">
      <w:pPr>
        <w:pStyle w:val="ListParagraph"/>
        <w:ind w:left="360"/>
      </w:pPr>
      <w:r>
        <w:t>Yes</w:t>
      </w:r>
      <w:r w:rsidR="00ED6AE1">
        <w:t xml:space="preserve">. </w:t>
      </w:r>
      <w:r w:rsidR="00ED6AE1">
        <w:rPr>
          <w:rFonts w:eastAsia="Times New Roman"/>
        </w:rPr>
        <w:t xml:space="preserve">As previously noted, Phase I areas of review will assess the condition of each functional area or business unit against evaluative criteria or expected business practice which are to be </w:t>
      </w:r>
      <w:r w:rsidR="00ED6AE1">
        <w:rPr>
          <w:rFonts w:eastAsia="Times New Roman"/>
        </w:rPr>
        <w:lastRenderedPageBreak/>
        <w:t>determined at the discretion of the individual proposer while Phase II is to address the pre-identified issues as noted in the RFP.</w:t>
      </w:r>
    </w:p>
    <w:p w:rsidR="00C44F25" w:rsidRDefault="00C44F25" w:rsidP="00C44F25">
      <w:pPr>
        <w:pStyle w:val="ListParagraph"/>
        <w:ind w:left="360"/>
      </w:pPr>
    </w:p>
    <w:p w:rsidR="00C44F25" w:rsidRDefault="00C44F25" w:rsidP="00C44F25">
      <w:pPr>
        <w:pStyle w:val="ListParagraph"/>
        <w:ind w:left="360"/>
      </w:pPr>
    </w:p>
    <w:p w:rsidR="00C44F25" w:rsidRDefault="00C44F25" w:rsidP="00C44F25">
      <w:pPr>
        <w:pStyle w:val="ListParagraph"/>
        <w:ind w:left="360"/>
      </w:pPr>
    </w:p>
    <w:p w:rsidR="00C44F25" w:rsidRDefault="00C44F25" w:rsidP="00C44F25">
      <w:pPr>
        <w:pStyle w:val="ListParagraph"/>
        <w:ind w:left="360"/>
      </w:pPr>
    </w:p>
    <w:p w:rsidR="00BB423E" w:rsidRPr="00B8184D" w:rsidRDefault="00BB423E" w:rsidP="00396D78">
      <w:pPr>
        <w:pStyle w:val="ListParagraph"/>
        <w:numPr>
          <w:ilvl w:val="0"/>
          <w:numId w:val="4"/>
        </w:numPr>
        <w:rPr>
          <w:b/>
        </w:rPr>
      </w:pPr>
      <w:r w:rsidRPr="00B8184D">
        <w:rPr>
          <w:b/>
        </w:rPr>
        <w:t xml:space="preserve">Would PPL’s Montana, Kentucky, and UK </w:t>
      </w:r>
      <w:r w:rsidR="00C870EB" w:rsidRPr="00B8184D">
        <w:rPr>
          <w:b/>
        </w:rPr>
        <w:t>operations be included in the review?</w:t>
      </w:r>
    </w:p>
    <w:p w:rsidR="00B8184D" w:rsidRDefault="00B8184D" w:rsidP="00B8184D"/>
    <w:p w:rsidR="00B8184D" w:rsidRDefault="00533911" w:rsidP="00533911">
      <w:pPr>
        <w:ind w:left="360"/>
      </w:pPr>
      <w:r>
        <w:t>The scope of the audit is limited to PPL Electric Utilities Corporation and their Pennsylvania</w:t>
      </w:r>
      <w:r w:rsidR="00522DA3">
        <w:t xml:space="preserve"> electric distribution</w:t>
      </w:r>
      <w:r>
        <w:t xml:space="preserve"> operations. </w:t>
      </w:r>
    </w:p>
    <w:p w:rsidR="00B8184D" w:rsidRDefault="00B8184D" w:rsidP="00B8184D"/>
    <w:p w:rsidR="00B8184D" w:rsidRDefault="00B8184D" w:rsidP="00B8184D"/>
    <w:p w:rsidR="00C44F25" w:rsidRPr="00B8184D" w:rsidRDefault="00C44F25" w:rsidP="00396D78">
      <w:pPr>
        <w:pStyle w:val="ListParagraph"/>
        <w:numPr>
          <w:ilvl w:val="0"/>
          <w:numId w:val="4"/>
        </w:numPr>
        <w:rPr>
          <w:b/>
        </w:rPr>
      </w:pPr>
      <w:r w:rsidRPr="00B8184D">
        <w:rPr>
          <w:b/>
        </w:rPr>
        <w:t>Is there any breakdown of points</w:t>
      </w:r>
      <w:r w:rsidR="00B8184D" w:rsidRPr="00B8184D">
        <w:rPr>
          <w:b/>
        </w:rPr>
        <w:t xml:space="preserve"> or percentage of points</w:t>
      </w:r>
      <w:r w:rsidRPr="00B8184D">
        <w:rPr>
          <w:b/>
        </w:rPr>
        <w:t xml:space="preserve"> for each of the subsections within the Technical </w:t>
      </w:r>
      <w:r w:rsidR="00B8184D" w:rsidRPr="00B8184D">
        <w:rPr>
          <w:b/>
        </w:rPr>
        <w:t>criteria?</w:t>
      </w:r>
    </w:p>
    <w:p w:rsidR="006E154E" w:rsidRDefault="006E154E" w:rsidP="00C44F25">
      <w:pPr>
        <w:pStyle w:val="ListParagraph"/>
        <w:ind w:left="360"/>
      </w:pPr>
    </w:p>
    <w:p w:rsidR="00C44F25" w:rsidRDefault="00522DA3" w:rsidP="00C44F25">
      <w:pPr>
        <w:pStyle w:val="ListParagraph"/>
        <w:ind w:left="360"/>
      </w:pPr>
      <w:r>
        <w:t>Weighting factors have been applied for each of the subsections, but the weightings are not disclosed.</w:t>
      </w:r>
    </w:p>
    <w:p w:rsidR="00C44F25" w:rsidRDefault="00C44F25" w:rsidP="00C44F25">
      <w:pPr>
        <w:pStyle w:val="ListParagraph"/>
        <w:ind w:left="360"/>
      </w:pPr>
    </w:p>
    <w:p w:rsidR="00C44F25" w:rsidRDefault="00C44F25" w:rsidP="00C44F25">
      <w:pPr>
        <w:pStyle w:val="ListParagraph"/>
        <w:ind w:left="360"/>
      </w:pPr>
    </w:p>
    <w:p w:rsidR="00C44F25" w:rsidRDefault="00C44F25" w:rsidP="00C44F25">
      <w:pPr>
        <w:pStyle w:val="ListParagraph"/>
        <w:ind w:left="360"/>
      </w:pPr>
    </w:p>
    <w:p w:rsidR="00C870EB" w:rsidRPr="00B8184D" w:rsidRDefault="00C870EB" w:rsidP="00396D78">
      <w:pPr>
        <w:pStyle w:val="ListParagraph"/>
        <w:numPr>
          <w:ilvl w:val="0"/>
          <w:numId w:val="4"/>
        </w:numPr>
        <w:rPr>
          <w:b/>
        </w:rPr>
      </w:pPr>
      <w:r w:rsidRPr="00B8184D">
        <w:rPr>
          <w:b/>
        </w:rPr>
        <w:t xml:space="preserve">Please clarify the provision under Section IV-7 paragraph </w:t>
      </w:r>
      <w:proofErr w:type="gramStart"/>
      <w:r w:rsidRPr="00B8184D">
        <w:rPr>
          <w:b/>
        </w:rPr>
        <w:t>1,</w:t>
      </w:r>
      <w:proofErr w:type="gramEnd"/>
      <w:r w:rsidRPr="00B8184D">
        <w:rPr>
          <w:b/>
        </w:rPr>
        <w:t xml:space="preserve"> pertaining to the requirement that all contracts containing Small Diverse Business participation must include a provision requiring Small Diverse Business subcontractors to perform at least 50% of the subcontracted work. Is the 50% determined by combining Phase I and Phase II or are Phase I and Phase II considered separately?</w:t>
      </w:r>
    </w:p>
    <w:p w:rsidR="00C44F25" w:rsidRDefault="00C44F25" w:rsidP="00C44F25">
      <w:pPr>
        <w:pStyle w:val="ListParagraph"/>
        <w:ind w:left="360"/>
      </w:pPr>
    </w:p>
    <w:p w:rsidR="00C44F25" w:rsidRDefault="00EC4EBC" w:rsidP="00C44F25">
      <w:pPr>
        <w:pStyle w:val="ListParagraph"/>
        <w:ind w:left="360"/>
      </w:pPr>
      <w:r w:rsidRPr="00EC4EBC">
        <w:t xml:space="preserve">The 50% requirement refers to the work that the </w:t>
      </w:r>
      <w:proofErr w:type="spellStart"/>
      <w:r w:rsidRPr="00EC4EBC">
        <w:t>Offeror</w:t>
      </w:r>
      <w:proofErr w:type="spellEnd"/>
      <w:r w:rsidRPr="00EC4EBC">
        <w:t xml:space="preserve"> is subcontracting to the Small Diverse Business partner(s).</w:t>
      </w:r>
      <w:r w:rsidR="00952875">
        <w:t xml:space="preserve"> Please contact Gayle Nuppnau from General Services Bureau of Small Business Opportunities by phone at 717-346-3819 or through e-mail at </w:t>
      </w:r>
      <w:hyperlink r:id="rId9" w:history="1">
        <w:r w:rsidR="00952875" w:rsidRPr="00790409">
          <w:rPr>
            <w:rStyle w:val="Hyperlink"/>
          </w:rPr>
          <w:t>gnuppnau@pa.gov</w:t>
        </w:r>
      </w:hyperlink>
      <w:r w:rsidR="00952875">
        <w:t xml:space="preserve"> for additional clarification or questions pertaining to Small Diverse Business participation/opportunities. </w:t>
      </w:r>
    </w:p>
    <w:p w:rsidR="00C44F25" w:rsidRDefault="00C44F25" w:rsidP="00C44F25">
      <w:pPr>
        <w:pStyle w:val="ListParagraph"/>
        <w:ind w:left="360"/>
      </w:pPr>
    </w:p>
    <w:p w:rsidR="00C44F25" w:rsidRDefault="00C44F25" w:rsidP="00C44F25">
      <w:pPr>
        <w:pStyle w:val="ListParagraph"/>
        <w:ind w:left="360"/>
      </w:pPr>
    </w:p>
    <w:p w:rsidR="00C870EB" w:rsidRPr="00B8184D" w:rsidRDefault="00C870EB" w:rsidP="00396D78">
      <w:pPr>
        <w:pStyle w:val="ListParagraph"/>
        <w:numPr>
          <w:ilvl w:val="0"/>
          <w:numId w:val="4"/>
        </w:numPr>
        <w:rPr>
          <w:b/>
        </w:rPr>
      </w:pPr>
      <w:r w:rsidRPr="00B8184D">
        <w:rPr>
          <w:b/>
        </w:rPr>
        <w:t>When comparing Small Diverse Business cost to total cost, does the comparison include travel expenses</w:t>
      </w:r>
      <w:r w:rsidR="005949CE" w:rsidRPr="00B8184D">
        <w:rPr>
          <w:b/>
        </w:rPr>
        <w:t>?</w:t>
      </w:r>
    </w:p>
    <w:p w:rsidR="005949CE" w:rsidRDefault="005949CE" w:rsidP="005949CE">
      <w:pPr>
        <w:pStyle w:val="ListParagraph"/>
        <w:ind w:left="360"/>
      </w:pPr>
    </w:p>
    <w:p w:rsidR="00EC4EBC" w:rsidRDefault="00EC4EBC" w:rsidP="005949CE">
      <w:pPr>
        <w:pStyle w:val="ListParagraph"/>
        <w:ind w:left="360"/>
      </w:pPr>
      <w:r w:rsidRPr="00EC4EBC">
        <w:t>BSBO considers all costs that the PUC uses in its analysis; however, only costs for Phase I and Phase II are considered for the Diverse Business scoring.  Travel costs are included as part of phase I and II and therefore would be included in the analysis.</w:t>
      </w:r>
    </w:p>
    <w:p w:rsidR="005949CE" w:rsidRDefault="005949CE" w:rsidP="005949CE">
      <w:pPr>
        <w:pStyle w:val="ListParagraph"/>
        <w:ind w:left="360"/>
      </w:pPr>
    </w:p>
    <w:p w:rsidR="005949CE" w:rsidRDefault="005949CE" w:rsidP="005949CE">
      <w:pPr>
        <w:pStyle w:val="ListParagraph"/>
        <w:ind w:left="360"/>
      </w:pPr>
    </w:p>
    <w:p w:rsidR="005949CE" w:rsidRPr="00B8184D" w:rsidRDefault="005949CE" w:rsidP="00396D78">
      <w:pPr>
        <w:pStyle w:val="ListParagraph"/>
        <w:numPr>
          <w:ilvl w:val="0"/>
          <w:numId w:val="4"/>
        </w:numPr>
        <w:rPr>
          <w:b/>
        </w:rPr>
      </w:pPr>
      <w:r w:rsidRPr="00B8184D">
        <w:rPr>
          <w:b/>
        </w:rPr>
        <w:t>Will the Service Company organization and functions be different following the divestiture of PPL Corporation’s generating assets?</w:t>
      </w:r>
    </w:p>
    <w:p w:rsidR="00C44F25" w:rsidRDefault="00C44F25" w:rsidP="00C44F25">
      <w:pPr>
        <w:pStyle w:val="ListParagraph"/>
        <w:ind w:left="360"/>
      </w:pPr>
    </w:p>
    <w:p w:rsidR="006E154E" w:rsidRDefault="006E154E" w:rsidP="00C44F25">
      <w:pPr>
        <w:pStyle w:val="ListParagraph"/>
        <w:ind w:left="360"/>
      </w:pPr>
      <w:r w:rsidRPr="006E154E">
        <w:t xml:space="preserve">Corporate services functions have been streamlined to be more cost-effective recognizing that the organization these functions support will be much smaller after the divestiture.  A PPL Electric Services Company has been established that will provide services to PPL Electric and </w:t>
      </w:r>
      <w:r w:rsidR="00952875">
        <w:t>PPL C</w:t>
      </w:r>
      <w:r w:rsidRPr="006E154E">
        <w:t>orporat</w:t>
      </w:r>
      <w:r w:rsidR="00A3241E">
        <w:t>ion (i.e., including PPL’s Kentucky Utilities and Operations in Wales)</w:t>
      </w:r>
      <w:r w:rsidRPr="006E154E">
        <w:t xml:space="preserve">.  </w:t>
      </w:r>
    </w:p>
    <w:p w:rsidR="00C44F25" w:rsidRDefault="00C44F25" w:rsidP="00C44F25">
      <w:pPr>
        <w:pStyle w:val="ListParagraph"/>
        <w:ind w:left="360"/>
      </w:pPr>
    </w:p>
    <w:p w:rsidR="00C44F25" w:rsidRDefault="00C44F25" w:rsidP="00C44F25">
      <w:pPr>
        <w:pStyle w:val="ListParagraph"/>
        <w:ind w:left="360"/>
      </w:pPr>
    </w:p>
    <w:p w:rsidR="005949CE" w:rsidRPr="00B8184D" w:rsidRDefault="005949CE" w:rsidP="00396D78">
      <w:pPr>
        <w:pStyle w:val="ListParagraph"/>
        <w:numPr>
          <w:ilvl w:val="0"/>
          <w:numId w:val="4"/>
        </w:numPr>
        <w:rPr>
          <w:b/>
        </w:rPr>
      </w:pPr>
      <w:r w:rsidRPr="00B8184D">
        <w:rPr>
          <w:b/>
        </w:rPr>
        <w:t xml:space="preserve">Would transactions involving the service companies be included in the Phase II </w:t>
      </w:r>
      <w:r w:rsidR="00522DA3">
        <w:rPr>
          <w:b/>
        </w:rPr>
        <w:t xml:space="preserve">Affiliated Interest </w:t>
      </w:r>
      <w:r w:rsidRPr="00B8184D">
        <w:rPr>
          <w:b/>
        </w:rPr>
        <w:t>review?</w:t>
      </w:r>
    </w:p>
    <w:p w:rsidR="006E154E" w:rsidRDefault="006E154E" w:rsidP="00C44F25">
      <w:pPr>
        <w:pStyle w:val="ListParagraph"/>
        <w:ind w:left="360"/>
      </w:pPr>
    </w:p>
    <w:p w:rsidR="00C44F25" w:rsidRDefault="00522DA3" w:rsidP="00C44F25">
      <w:pPr>
        <w:pStyle w:val="ListParagraph"/>
        <w:ind w:left="360"/>
      </w:pPr>
      <w:r>
        <w:t>Yes</w:t>
      </w:r>
      <w:r w:rsidR="00952875">
        <w:t>.</w:t>
      </w:r>
    </w:p>
    <w:p w:rsidR="00C44F25" w:rsidRDefault="00C44F25" w:rsidP="00C44F25">
      <w:pPr>
        <w:pStyle w:val="ListParagraph"/>
        <w:ind w:left="360"/>
      </w:pPr>
    </w:p>
    <w:p w:rsidR="00C44F25" w:rsidRDefault="00C44F25" w:rsidP="00522DA3"/>
    <w:p w:rsidR="00522DA3" w:rsidRDefault="006E154E" w:rsidP="00522DA3">
      <w:pPr>
        <w:pStyle w:val="ListParagraph"/>
        <w:numPr>
          <w:ilvl w:val="0"/>
          <w:numId w:val="4"/>
        </w:numPr>
        <w:rPr>
          <w:b/>
        </w:rPr>
      </w:pPr>
      <w:r>
        <w:rPr>
          <w:b/>
        </w:rPr>
        <w:t>Is the transition caused by</w:t>
      </w:r>
      <w:r w:rsidR="005949CE" w:rsidRPr="00B8184D">
        <w:rPr>
          <w:b/>
        </w:rPr>
        <w:t xml:space="preserve"> the divestiture of the PPL Corporation’s generating assets expected to be complete by the anticipated audit start date in June?</w:t>
      </w:r>
      <w:r w:rsidR="00522DA3">
        <w:rPr>
          <w:b/>
        </w:rPr>
        <w:t xml:space="preserve">  </w:t>
      </w:r>
    </w:p>
    <w:p w:rsidR="005949CE" w:rsidRDefault="005949CE" w:rsidP="00522DA3">
      <w:pPr>
        <w:pStyle w:val="ListParagraph"/>
        <w:ind w:left="360"/>
      </w:pPr>
    </w:p>
    <w:p w:rsidR="006E154E" w:rsidRDefault="006E154E" w:rsidP="00522DA3">
      <w:pPr>
        <w:pStyle w:val="ListParagraph"/>
        <w:ind w:left="360"/>
      </w:pPr>
      <w:r w:rsidRPr="006E154E">
        <w:t>The divestiture is expected to be completed by the 1st or 2nd Quarter of 2015.</w:t>
      </w:r>
      <w:r w:rsidR="00F94EE3">
        <w:t xml:space="preserve"> Therefore, the divestiture</w:t>
      </w:r>
      <w:r w:rsidR="00952875">
        <w:t xml:space="preserve"> is expected to be completed by the time the audit starts</w:t>
      </w:r>
      <w:r w:rsidR="00F94EE3">
        <w:t>, or shortly thereafter, depending on the exact timing of both the divestiture and the audit.</w:t>
      </w:r>
    </w:p>
    <w:sectPr w:rsidR="006E15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83" w:rsidRDefault="00DB1883" w:rsidP="005F5FEE">
      <w:r>
        <w:separator/>
      </w:r>
    </w:p>
  </w:endnote>
  <w:endnote w:type="continuationSeparator" w:id="0">
    <w:p w:rsidR="00DB1883" w:rsidRDefault="00DB1883" w:rsidP="005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83" w:rsidRDefault="00DB1883" w:rsidP="005F5FEE">
      <w:r>
        <w:separator/>
      </w:r>
    </w:p>
  </w:footnote>
  <w:footnote w:type="continuationSeparator" w:id="0">
    <w:p w:rsidR="00DB1883" w:rsidRDefault="00DB1883" w:rsidP="005F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EE" w:rsidRPr="005F5FEE" w:rsidRDefault="005F5FEE" w:rsidP="005F5FEE">
    <w:pPr>
      <w:pStyle w:val="Header"/>
      <w:jc w:val="center"/>
      <w:rPr>
        <w:rFonts w:asciiTheme="minorHAnsi" w:hAnsiTheme="minorHAnsi"/>
        <w:sz w:val="28"/>
      </w:rPr>
    </w:pPr>
    <w:r w:rsidRPr="005F5FEE">
      <w:rPr>
        <w:rFonts w:asciiTheme="minorHAnsi" w:hAnsiTheme="minorHAnsi"/>
        <w:sz w:val="28"/>
      </w:rPr>
      <w:t>PPL ELECTRIC UTILITIES CORPORATION</w:t>
    </w:r>
  </w:p>
  <w:p w:rsidR="005F5FEE" w:rsidRPr="005F5FEE" w:rsidRDefault="005F5FEE" w:rsidP="005F5FEE">
    <w:pPr>
      <w:pStyle w:val="Header"/>
      <w:jc w:val="center"/>
      <w:rPr>
        <w:rFonts w:asciiTheme="minorHAnsi" w:hAnsiTheme="minorHAnsi"/>
        <w:sz w:val="28"/>
      </w:rPr>
    </w:pPr>
    <w:r w:rsidRPr="005F5FEE">
      <w:rPr>
        <w:rFonts w:asciiTheme="minorHAnsi" w:hAnsiTheme="minorHAnsi"/>
        <w:sz w:val="28"/>
      </w:rPr>
      <w:t>STRATIFIED MANAGEMENT AND OPERATIONS AUDIT</w:t>
    </w:r>
  </w:p>
  <w:p w:rsidR="005F5FEE" w:rsidRPr="005F5FEE" w:rsidRDefault="005F5FEE" w:rsidP="005F5FEE">
    <w:pPr>
      <w:pStyle w:val="Header"/>
      <w:jc w:val="center"/>
      <w:rPr>
        <w:rFonts w:asciiTheme="minorHAnsi" w:hAnsiTheme="minorHAnsi"/>
      </w:rPr>
    </w:pPr>
  </w:p>
  <w:p w:rsidR="005F5FEE" w:rsidRPr="005F5FEE" w:rsidRDefault="005F5FEE" w:rsidP="005F5FEE">
    <w:pPr>
      <w:pStyle w:val="Header"/>
      <w:jc w:val="center"/>
      <w:rPr>
        <w:rFonts w:asciiTheme="minorHAnsi" w:hAnsiTheme="minorHAnsi"/>
      </w:rPr>
    </w:pPr>
    <w:r w:rsidRPr="005F5FEE">
      <w:rPr>
        <w:rFonts w:asciiTheme="minorHAnsi" w:hAnsiTheme="minorHAnsi"/>
      </w:rPr>
      <w:t>RESPONSES TO POTENTIAL BIDDER’S QUESTIONS RELATED TO THE RFP</w:t>
    </w:r>
  </w:p>
  <w:p w:rsidR="005F5FEE" w:rsidRDefault="005F5FEE" w:rsidP="005F5F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92E5B"/>
    <w:multiLevelType w:val="hybridMultilevel"/>
    <w:tmpl w:val="4EF6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C7E20"/>
    <w:multiLevelType w:val="multilevel"/>
    <w:tmpl w:val="C5062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E111F9"/>
    <w:multiLevelType w:val="hybridMultilevel"/>
    <w:tmpl w:val="BFA0EDD0"/>
    <w:lvl w:ilvl="0" w:tplc="73B8BC1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95FC2"/>
    <w:multiLevelType w:val="multilevel"/>
    <w:tmpl w:val="E0FCB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7853B0"/>
    <w:multiLevelType w:val="multilevel"/>
    <w:tmpl w:val="94CAB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7F25AC"/>
    <w:multiLevelType w:val="hybridMultilevel"/>
    <w:tmpl w:val="F7204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4A4BF3"/>
    <w:multiLevelType w:val="multilevel"/>
    <w:tmpl w:val="EB5A9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BA7E65"/>
    <w:multiLevelType w:val="multilevel"/>
    <w:tmpl w:val="5590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A9"/>
    <w:rsid w:val="00051E5D"/>
    <w:rsid w:val="000758CC"/>
    <w:rsid w:val="00092105"/>
    <w:rsid w:val="000937EA"/>
    <w:rsid w:val="000E6403"/>
    <w:rsid w:val="0010299D"/>
    <w:rsid w:val="00102CD1"/>
    <w:rsid w:val="001058B8"/>
    <w:rsid w:val="0016164F"/>
    <w:rsid w:val="001B77D5"/>
    <w:rsid w:val="001C3F48"/>
    <w:rsid w:val="001F43FB"/>
    <w:rsid w:val="003326C9"/>
    <w:rsid w:val="00396D78"/>
    <w:rsid w:val="00420591"/>
    <w:rsid w:val="004D0CC7"/>
    <w:rsid w:val="004D3D5D"/>
    <w:rsid w:val="00522DA3"/>
    <w:rsid w:val="00533911"/>
    <w:rsid w:val="00553815"/>
    <w:rsid w:val="005538D0"/>
    <w:rsid w:val="005949CE"/>
    <w:rsid w:val="005C762D"/>
    <w:rsid w:val="005F5FEE"/>
    <w:rsid w:val="00670758"/>
    <w:rsid w:val="00670B59"/>
    <w:rsid w:val="006E154E"/>
    <w:rsid w:val="00736847"/>
    <w:rsid w:val="00737A92"/>
    <w:rsid w:val="007A6FBE"/>
    <w:rsid w:val="007B221A"/>
    <w:rsid w:val="00801459"/>
    <w:rsid w:val="008071F3"/>
    <w:rsid w:val="00815EFC"/>
    <w:rsid w:val="008438AB"/>
    <w:rsid w:val="00895E5C"/>
    <w:rsid w:val="008D7221"/>
    <w:rsid w:val="0090356A"/>
    <w:rsid w:val="00933EBC"/>
    <w:rsid w:val="0094648A"/>
    <w:rsid w:val="00950A2A"/>
    <w:rsid w:val="00952875"/>
    <w:rsid w:val="009E7847"/>
    <w:rsid w:val="00A20915"/>
    <w:rsid w:val="00A23EF4"/>
    <w:rsid w:val="00A3241E"/>
    <w:rsid w:val="00A40905"/>
    <w:rsid w:val="00A77906"/>
    <w:rsid w:val="00A861F7"/>
    <w:rsid w:val="00B24C92"/>
    <w:rsid w:val="00B8184D"/>
    <w:rsid w:val="00B856A9"/>
    <w:rsid w:val="00BB423E"/>
    <w:rsid w:val="00C44F25"/>
    <w:rsid w:val="00C77307"/>
    <w:rsid w:val="00C870EB"/>
    <w:rsid w:val="00C871AE"/>
    <w:rsid w:val="00C950FF"/>
    <w:rsid w:val="00CF4038"/>
    <w:rsid w:val="00D32D2D"/>
    <w:rsid w:val="00D46E2A"/>
    <w:rsid w:val="00D653C4"/>
    <w:rsid w:val="00DB1883"/>
    <w:rsid w:val="00DD659C"/>
    <w:rsid w:val="00DD700E"/>
    <w:rsid w:val="00DE4729"/>
    <w:rsid w:val="00EC4EBC"/>
    <w:rsid w:val="00ED6AE1"/>
    <w:rsid w:val="00F033F8"/>
    <w:rsid w:val="00F05203"/>
    <w:rsid w:val="00F12C9C"/>
    <w:rsid w:val="00F17FEC"/>
    <w:rsid w:val="00F62273"/>
    <w:rsid w:val="00F94EE3"/>
    <w:rsid w:val="00FD0A35"/>
    <w:rsid w:val="00FD3DD6"/>
    <w:rsid w:val="00FD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A9"/>
    <w:pPr>
      <w:ind w:left="720"/>
      <w:contextualSpacing/>
    </w:pPr>
  </w:style>
  <w:style w:type="paragraph" w:styleId="Header">
    <w:name w:val="header"/>
    <w:basedOn w:val="Normal"/>
    <w:link w:val="HeaderChar"/>
    <w:uiPriority w:val="99"/>
    <w:unhideWhenUsed/>
    <w:rsid w:val="005F5FEE"/>
    <w:pPr>
      <w:tabs>
        <w:tab w:val="center" w:pos="4680"/>
        <w:tab w:val="right" w:pos="9360"/>
      </w:tabs>
    </w:pPr>
  </w:style>
  <w:style w:type="character" w:customStyle="1" w:styleId="HeaderChar">
    <w:name w:val="Header Char"/>
    <w:basedOn w:val="DefaultParagraphFont"/>
    <w:link w:val="Header"/>
    <w:uiPriority w:val="99"/>
    <w:rsid w:val="005F5FEE"/>
    <w:rPr>
      <w:rFonts w:ascii="Times New Roman" w:hAnsi="Times New Roman" w:cs="Times New Roman"/>
      <w:sz w:val="24"/>
      <w:szCs w:val="24"/>
    </w:rPr>
  </w:style>
  <w:style w:type="paragraph" w:styleId="Footer">
    <w:name w:val="footer"/>
    <w:basedOn w:val="Normal"/>
    <w:link w:val="FooterChar"/>
    <w:uiPriority w:val="99"/>
    <w:unhideWhenUsed/>
    <w:rsid w:val="005F5FEE"/>
    <w:pPr>
      <w:tabs>
        <w:tab w:val="center" w:pos="4680"/>
        <w:tab w:val="right" w:pos="9360"/>
      </w:tabs>
    </w:pPr>
  </w:style>
  <w:style w:type="character" w:customStyle="1" w:styleId="FooterChar">
    <w:name w:val="Footer Char"/>
    <w:basedOn w:val="DefaultParagraphFont"/>
    <w:link w:val="Footer"/>
    <w:uiPriority w:val="99"/>
    <w:rsid w:val="005F5F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F5FEE"/>
    <w:rPr>
      <w:rFonts w:ascii="Tahoma" w:hAnsi="Tahoma" w:cs="Tahoma"/>
      <w:sz w:val="16"/>
      <w:szCs w:val="16"/>
    </w:rPr>
  </w:style>
  <w:style w:type="character" w:customStyle="1" w:styleId="BalloonTextChar">
    <w:name w:val="Balloon Text Char"/>
    <w:basedOn w:val="DefaultParagraphFont"/>
    <w:link w:val="BalloonText"/>
    <w:uiPriority w:val="99"/>
    <w:semiHidden/>
    <w:rsid w:val="005F5FEE"/>
    <w:rPr>
      <w:rFonts w:ascii="Tahoma" w:hAnsi="Tahoma" w:cs="Tahoma"/>
      <w:sz w:val="16"/>
      <w:szCs w:val="16"/>
    </w:rPr>
  </w:style>
  <w:style w:type="character" w:styleId="Hyperlink">
    <w:name w:val="Hyperlink"/>
    <w:basedOn w:val="DefaultParagraphFont"/>
    <w:uiPriority w:val="99"/>
    <w:unhideWhenUsed/>
    <w:rsid w:val="00952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A9"/>
    <w:pPr>
      <w:ind w:left="720"/>
      <w:contextualSpacing/>
    </w:pPr>
  </w:style>
  <w:style w:type="paragraph" w:styleId="Header">
    <w:name w:val="header"/>
    <w:basedOn w:val="Normal"/>
    <w:link w:val="HeaderChar"/>
    <w:uiPriority w:val="99"/>
    <w:unhideWhenUsed/>
    <w:rsid w:val="005F5FEE"/>
    <w:pPr>
      <w:tabs>
        <w:tab w:val="center" w:pos="4680"/>
        <w:tab w:val="right" w:pos="9360"/>
      </w:tabs>
    </w:pPr>
  </w:style>
  <w:style w:type="character" w:customStyle="1" w:styleId="HeaderChar">
    <w:name w:val="Header Char"/>
    <w:basedOn w:val="DefaultParagraphFont"/>
    <w:link w:val="Header"/>
    <w:uiPriority w:val="99"/>
    <w:rsid w:val="005F5FEE"/>
    <w:rPr>
      <w:rFonts w:ascii="Times New Roman" w:hAnsi="Times New Roman" w:cs="Times New Roman"/>
      <w:sz w:val="24"/>
      <w:szCs w:val="24"/>
    </w:rPr>
  </w:style>
  <w:style w:type="paragraph" w:styleId="Footer">
    <w:name w:val="footer"/>
    <w:basedOn w:val="Normal"/>
    <w:link w:val="FooterChar"/>
    <w:uiPriority w:val="99"/>
    <w:unhideWhenUsed/>
    <w:rsid w:val="005F5FEE"/>
    <w:pPr>
      <w:tabs>
        <w:tab w:val="center" w:pos="4680"/>
        <w:tab w:val="right" w:pos="9360"/>
      </w:tabs>
    </w:pPr>
  </w:style>
  <w:style w:type="character" w:customStyle="1" w:styleId="FooterChar">
    <w:name w:val="Footer Char"/>
    <w:basedOn w:val="DefaultParagraphFont"/>
    <w:link w:val="Footer"/>
    <w:uiPriority w:val="99"/>
    <w:rsid w:val="005F5F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F5FEE"/>
    <w:rPr>
      <w:rFonts w:ascii="Tahoma" w:hAnsi="Tahoma" w:cs="Tahoma"/>
      <w:sz w:val="16"/>
      <w:szCs w:val="16"/>
    </w:rPr>
  </w:style>
  <w:style w:type="character" w:customStyle="1" w:styleId="BalloonTextChar">
    <w:name w:val="Balloon Text Char"/>
    <w:basedOn w:val="DefaultParagraphFont"/>
    <w:link w:val="BalloonText"/>
    <w:uiPriority w:val="99"/>
    <w:semiHidden/>
    <w:rsid w:val="005F5FEE"/>
    <w:rPr>
      <w:rFonts w:ascii="Tahoma" w:hAnsi="Tahoma" w:cs="Tahoma"/>
      <w:sz w:val="16"/>
      <w:szCs w:val="16"/>
    </w:rPr>
  </w:style>
  <w:style w:type="character" w:styleId="Hyperlink">
    <w:name w:val="Hyperlink"/>
    <w:basedOn w:val="DefaultParagraphFont"/>
    <w:uiPriority w:val="99"/>
    <w:unhideWhenUsed/>
    <w:rsid w:val="00952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761">
      <w:bodyDiv w:val="1"/>
      <w:marLeft w:val="0"/>
      <w:marRight w:val="0"/>
      <w:marTop w:val="0"/>
      <w:marBottom w:val="0"/>
      <w:divBdr>
        <w:top w:val="none" w:sz="0" w:space="0" w:color="auto"/>
        <w:left w:val="none" w:sz="0" w:space="0" w:color="auto"/>
        <w:bottom w:val="none" w:sz="0" w:space="0" w:color="auto"/>
        <w:right w:val="none" w:sz="0" w:space="0" w:color="auto"/>
      </w:divBdr>
    </w:div>
    <w:div w:id="420218372">
      <w:bodyDiv w:val="1"/>
      <w:marLeft w:val="0"/>
      <w:marRight w:val="0"/>
      <w:marTop w:val="0"/>
      <w:marBottom w:val="0"/>
      <w:divBdr>
        <w:top w:val="none" w:sz="0" w:space="0" w:color="auto"/>
        <w:left w:val="none" w:sz="0" w:space="0" w:color="auto"/>
        <w:bottom w:val="none" w:sz="0" w:space="0" w:color="auto"/>
        <w:right w:val="none" w:sz="0" w:space="0" w:color="auto"/>
      </w:divBdr>
    </w:div>
    <w:div w:id="531916392">
      <w:bodyDiv w:val="1"/>
      <w:marLeft w:val="0"/>
      <w:marRight w:val="0"/>
      <w:marTop w:val="0"/>
      <w:marBottom w:val="0"/>
      <w:divBdr>
        <w:top w:val="none" w:sz="0" w:space="0" w:color="auto"/>
        <w:left w:val="none" w:sz="0" w:space="0" w:color="auto"/>
        <w:bottom w:val="none" w:sz="0" w:space="0" w:color="auto"/>
        <w:right w:val="none" w:sz="0" w:space="0" w:color="auto"/>
      </w:divBdr>
    </w:div>
    <w:div w:id="630134739">
      <w:bodyDiv w:val="1"/>
      <w:marLeft w:val="0"/>
      <w:marRight w:val="0"/>
      <w:marTop w:val="0"/>
      <w:marBottom w:val="0"/>
      <w:divBdr>
        <w:top w:val="none" w:sz="0" w:space="0" w:color="auto"/>
        <w:left w:val="none" w:sz="0" w:space="0" w:color="auto"/>
        <w:bottom w:val="none" w:sz="0" w:space="0" w:color="auto"/>
        <w:right w:val="none" w:sz="0" w:space="0" w:color="auto"/>
      </w:divBdr>
    </w:div>
    <w:div w:id="923032564">
      <w:bodyDiv w:val="1"/>
      <w:marLeft w:val="0"/>
      <w:marRight w:val="0"/>
      <w:marTop w:val="0"/>
      <w:marBottom w:val="0"/>
      <w:divBdr>
        <w:top w:val="none" w:sz="0" w:space="0" w:color="auto"/>
        <w:left w:val="none" w:sz="0" w:space="0" w:color="auto"/>
        <w:bottom w:val="none" w:sz="0" w:space="0" w:color="auto"/>
        <w:right w:val="none" w:sz="0" w:space="0" w:color="auto"/>
      </w:divBdr>
    </w:div>
    <w:div w:id="1312172597">
      <w:bodyDiv w:val="1"/>
      <w:marLeft w:val="0"/>
      <w:marRight w:val="0"/>
      <w:marTop w:val="0"/>
      <w:marBottom w:val="0"/>
      <w:divBdr>
        <w:top w:val="none" w:sz="0" w:space="0" w:color="auto"/>
        <w:left w:val="none" w:sz="0" w:space="0" w:color="auto"/>
        <w:bottom w:val="none" w:sz="0" w:space="0" w:color="auto"/>
        <w:right w:val="none" w:sz="0" w:space="0" w:color="auto"/>
      </w:divBdr>
    </w:div>
    <w:div w:id="1791969291">
      <w:bodyDiv w:val="1"/>
      <w:marLeft w:val="0"/>
      <w:marRight w:val="0"/>
      <w:marTop w:val="0"/>
      <w:marBottom w:val="0"/>
      <w:divBdr>
        <w:top w:val="none" w:sz="0" w:space="0" w:color="auto"/>
        <w:left w:val="none" w:sz="0" w:space="0" w:color="auto"/>
        <w:bottom w:val="none" w:sz="0" w:space="0" w:color="auto"/>
        <w:right w:val="none" w:sz="0" w:space="0" w:color="auto"/>
      </w:divBdr>
    </w:div>
    <w:div w:id="1842161470">
      <w:bodyDiv w:val="1"/>
      <w:marLeft w:val="0"/>
      <w:marRight w:val="0"/>
      <w:marTop w:val="0"/>
      <w:marBottom w:val="0"/>
      <w:divBdr>
        <w:top w:val="none" w:sz="0" w:space="0" w:color="auto"/>
        <w:left w:val="none" w:sz="0" w:space="0" w:color="auto"/>
        <w:bottom w:val="none" w:sz="0" w:space="0" w:color="auto"/>
        <w:right w:val="none" w:sz="0" w:space="0" w:color="auto"/>
      </w:divBdr>
    </w:div>
    <w:div w:id="19112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uppnau@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3D6E-DDB6-4264-B3E9-0A0F318F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Deron C</dc:creator>
  <cp:lastModifiedBy>Page, Cyndi</cp:lastModifiedBy>
  <cp:revision>2</cp:revision>
  <cp:lastPrinted>2015-01-13T19:06:00Z</cp:lastPrinted>
  <dcterms:created xsi:type="dcterms:W3CDTF">2015-01-15T14:15:00Z</dcterms:created>
  <dcterms:modified xsi:type="dcterms:W3CDTF">2015-01-15T14:15:00Z</dcterms:modified>
</cp:coreProperties>
</file>