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BB4" w:rsidRDefault="00C03BB4">
      <w:pPr>
        <w:pStyle w:val="Title"/>
        <w:rPr>
          <w:sz w:val="28"/>
        </w:rPr>
      </w:pPr>
      <w:r>
        <w:rPr>
          <w:sz w:val="28"/>
        </w:rPr>
        <w:t xml:space="preserve">EDEWG Change Request </w:t>
      </w:r>
      <w:r w:rsidR="00402555">
        <w:rPr>
          <w:sz w:val="28"/>
        </w:rPr>
        <w:t>#145</w:t>
      </w:r>
    </w:p>
    <w:p w:rsidR="00C03BB4" w:rsidRDefault="00C03BB4">
      <w:pPr>
        <w:pBdr>
          <w:top w:val="single" w:sz="6" w:space="1" w:color="auto"/>
          <w:left w:val="single" w:sz="6" w:space="1" w:color="auto"/>
          <w:bottom w:val="single" w:sz="6" w:space="1" w:color="auto"/>
          <w:right w:val="single" w:sz="6" w:space="1" w:color="auto"/>
        </w:pBdr>
        <w:shd w:val="pct5" w:color="auto" w:fill="auto"/>
        <w:jc w:val="center"/>
        <w:rPr>
          <w:sz w:val="20"/>
        </w:rPr>
      </w:pPr>
    </w:p>
    <w:p w:rsidR="00C03BB4" w:rsidRDefault="00C03BB4">
      <w:pPr>
        <w:pBdr>
          <w:top w:val="single" w:sz="6" w:space="1" w:color="auto"/>
          <w:left w:val="single" w:sz="6" w:space="1" w:color="auto"/>
          <w:bottom w:val="single" w:sz="6" w:space="1" w:color="auto"/>
          <w:right w:val="single" w:sz="6" w:space="1" w:color="auto"/>
        </w:pBdr>
        <w:shd w:val="pct5" w:color="auto" w:fill="auto"/>
        <w:jc w:val="center"/>
        <w:rPr>
          <w:sz w:val="20"/>
        </w:rPr>
      </w:pPr>
      <w:r>
        <w:rPr>
          <w:sz w:val="20"/>
        </w:rPr>
        <w:t xml:space="preserve">This EDEWG Change Request can be found on the PUC website at </w:t>
      </w:r>
      <w:hyperlink r:id="rId7" w:history="1">
        <w:r w:rsidR="00FC6434">
          <w:rPr>
            <w:rStyle w:val="Hyperlink"/>
            <w:sz w:val="20"/>
          </w:rPr>
          <w:t>http://www.puc.pa.gov/electric/electric_edewg_download.aspx</w:t>
        </w:r>
      </w:hyperlink>
      <w:r>
        <w:rPr>
          <w:sz w:val="20"/>
        </w:rPr>
        <w:t xml:space="preserve"> </w:t>
      </w:r>
    </w:p>
    <w:p w:rsidR="00C03BB4" w:rsidRDefault="00C03BB4">
      <w:pPr>
        <w:jc w:val="cente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72"/>
        <w:gridCol w:w="3672"/>
        <w:gridCol w:w="3672"/>
      </w:tblGrid>
      <w:tr w:rsidR="00C03BB4">
        <w:tc>
          <w:tcPr>
            <w:tcW w:w="3672" w:type="dxa"/>
          </w:tcPr>
          <w:p w:rsidR="00C03BB4" w:rsidRDefault="00C03BB4">
            <w:pPr>
              <w:rPr>
                <w:sz w:val="20"/>
              </w:rPr>
            </w:pPr>
            <w:r>
              <w:rPr>
                <w:b/>
                <w:sz w:val="20"/>
              </w:rPr>
              <w:t>Requester’s Name</w:t>
            </w:r>
            <w:r>
              <w:rPr>
                <w:sz w:val="20"/>
              </w:rPr>
              <w:t xml:space="preserve">: </w:t>
            </w:r>
          </w:p>
          <w:p w:rsidR="00C03BB4" w:rsidRDefault="004266D0">
            <w:pPr>
              <w:rPr>
                <w:sz w:val="20"/>
              </w:rPr>
            </w:pPr>
            <w:r>
              <w:rPr>
                <w:sz w:val="20"/>
              </w:rPr>
              <w:t>Monica Neibert</w:t>
            </w:r>
          </w:p>
        </w:tc>
        <w:tc>
          <w:tcPr>
            <w:tcW w:w="3672" w:type="dxa"/>
          </w:tcPr>
          <w:p w:rsidR="00C03BB4" w:rsidRDefault="00C03BB4">
            <w:pPr>
              <w:rPr>
                <w:sz w:val="20"/>
              </w:rPr>
            </w:pPr>
            <w:r>
              <w:rPr>
                <w:b/>
                <w:sz w:val="20"/>
              </w:rPr>
              <w:t>EDC/EGS Name</w:t>
            </w:r>
            <w:r>
              <w:rPr>
                <w:sz w:val="20"/>
              </w:rPr>
              <w:t xml:space="preserve">:    </w:t>
            </w:r>
          </w:p>
          <w:p w:rsidR="00C03BB4" w:rsidRDefault="004266D0">
            <w:pPr>
              <w:rPr>
                <w:sz w:val="20"/>
              </w:rPr>
            </w:pPr>
            <w:r>
              <w:rPr>
                <w:sz w:val="20"/>
              </w:rPr>
              <w:t>Energy Services Group on behalf of Citizens Electric and Wellsboro Electric</w:t>
            </w:r>
          </w:p>
        </w:tc>
        <w:tc>
          <w:tcPr>
            <w:tcW w:w="3672" w:type="dxa"/>
          </w:tcPr>
          <w:p w:rsidR="00C03BB4" w:rsidRDefault="00C03BB4">
            <w:pPr>
              <w:rPr>
                <w:sz w:val="20"/>
              </w:rPr>
            </w:pPr>
            <w:r>
              <w:rPr>
                <w:b/>
                <w:sz w:val="20"/>
              </w:rPr>
              <w:t xml:space="preserve">Phone </w:t>
            </w:r>
            <w:proofErr w:type="gramStart"/>
            <w:r>
              <w:rPr>
                <w:b/>
                <w:sz w:val="20"/>
              </w:rPr>
              <w:t xml:space="preserve"># </w:t>
            </w:r>
            <w:r>
              <w:rPr>
                <w:sz w:val="20"/>
              </w:rPr>
              <w:t>:</w:t>
            </w:r>
            <w:proofErr w:type="gramEnd"/>
            <w:r>
              <w:rPr>
                <w:sz w:val="20"/>
              </w:rPr>
              <w:t xml:space="preserve">  </w:t>
            </w:r>
          </w:p>
          <w:p w:rsidR="00C03BB4" w:rsidRDefault="004266D0">
            <w:pPr>
              <w:rPr>
                <w:sz w:val="20"/>
              </w:rPr>
            </w:pPr>
            <w:r>
              <w:rPr>
                <w:sz w:val="20"/>
              </w:rPr>
              <w:t>781-347-9039</w:t>
            </w:r>
          </w:p>
        </w:tc>
      </w:tr>
      <w:tr w:rsidR="00C03BB4">
        <w:tc>
          <w:tcPr>
            <w:tcW w:w="3672" w:type="dxa"/>
          </w:tcPr>
          <w:p w:rsidR="00C03BB4" w:rsidRDefault="00C03BB4">
            <w:pPr>
              <w:rPr>
                <w:sz w:val="20"/>
              </w:rPr>
            </w:pPr>
            <w:r>
              <w:rPr>
                <w:b/>
                <w:sz w:val="20"/>
              </w:rPr>
              <w:t>Date of Request</w:t>
            </w:r>
            <w:r>
              <w:rPr>
                <w:sz w:val="20"/>
              </w:rPr>
              <w:t>:</w:t>
            </w:r>
          </w:p>
          <w:p w:rsidR="00C03BB4" w:rsidRDefault="00FB5588">
            <w:pPr>
              <w:rPr>
                <w:sz w:val="20"/>
              </w:rPr>
            </w:pPr>
            <w:r>
              <w:rPr>
                <w:sz w:val="20"/>
              </w:rPr>
              <w:t>2/8/2018</w:t>
            </w:r>
          </w:p>
        </w:tc>
        <w:tc>
          <w:tcPr>
            <w:tcW w:w="3672" w:type="dxa"/>
          </w:tcPr>
          <w:p w:rsidR="00C03BB4" w:rsidRDefault="00C03BB4">
            <w:pPr>
              <w:rPr>
                <w:sz w:val="20"/>
              </w:rPr>
            </w:pPr>
            <w:r>
              <w:rPr>
                <w:b/>
                <w:sz w:val="20"/>
              </w:rPr>
              <w:t>Affected EDI Transaction Set #(s)</w:t>
            </w:r>
            <w:r>
              <w:rPr>
                <w:sz w:val="20"/>
              </w:rPr>
              <w:t>:</w:t>
            </w:r>
          </w:p>
          <w:p w:rsidR="00C03BB4" w:rsidRDefault="00BD5FFD">
            <w:pPr>
              <w:rPr>
                <w:sz w:val="20"/>
              </w:rPr>
            </w:pPr>
            <w:r>
              <w:rPr>
                <w:sz w:val="20"/>
              </w:rPr>
              <w:t>810</w:t>
            </w:r>
            <w:r w:rsidR="00600051">
              <w:rPr>
                <w:sz w:val="20"/>
              </w:rPr>
              <w:t>LDC</w:t>
            </w:r>
          </w:p>
        </w:tc>
        <w:tc>
          <w:tcPr>
            <w:tcW w:w="3672" w:type="dxa"/>
            <w:tcBorders>
              <w:bottom w:val="nil"/>
            </w:tcBorders>
          </w:tcPr>
          <w:p w:rsidR="00C03BB4" w:rsidRDefault="00C03BB4">
            <w:pPr>
              <w:rPr>
                <w:sz w:val="20"/>
              </w:rPr>
            </w:pPr>
            <w:r>
              <w:rPr>
                <w:b/>
                <w:sz w:val="20"/>
              </w:rPr>
              <w:t>E-Mail Address</w:t>
            </w:r>
            <w:r>
              <w:rPr>
                <w:sz w:val="20"/>
              </w:rPr>
              <w:t>:</w:t>
            </w:r>
          </w:p>
          <w:p w:rsidR="00C03BB4" w:rsidRDefault="00FF2D0E">
            <w:pPr>
              <w:rPr>
                <w:sz w:val="20"/>
              </w:rPr>
            </w:pPr>
            <w:hyperlink r:id="rId8" w:history="1">
              <w:r w:rsidR="004266D0" w:rsidRPr="001869B1">
                <w:rPr>
                  <w:rStyle w:val="Hyperlink"/>
                  <w:sz w:val="20"/>
                </w:rPr>
                <w:t>mneibert@energyservicesgroup.net</w:t>
              </w:r>
            </w:hyperlink>
          </w:p>
        </w:tc>
      </w:tr>
      <w:tr w:rsidR="00C03BB4">
        <w:tc>
          <w:tcPr>
            <w:tcW w:w="3672" w:type="dxa"/>
          </w:tcPr>
          <w:p w:rsidR="00C03BB4" w:rsidRDefault="00C03BB4">
            <w:pPr>
              <w:rPr>
                <w:sz w:val="20"/>
              </w:rPr>
            </w:pPr>
            <w:r>
              <w:rPr>
                <w:b/>
                <w:sz w:val="20"/>
              </w:rPr>
              <w:t>Requested Priority</w:t>
            </w:r>
            <w:r>
              <w:rPr>
                <w:sz w:val="20"/>
              </w:rPr>
              <w:t xml:space="preserve"> (emergency/high/low):</w:t>
            </w:r>
            <w:r w:rsidR="00600051">
              <w:rPr>
                <w:sz w:val="20"/>
              </w:rPr>
              <w:t xml:space="preserve"> L</w:t>
            </w:r>
            <w:r w:rsidR="004266D0">
              <w:rPr>
                <w:sz w:val="20"/>
              </w:rPr>
              <w:t>ow</w:t>
            </w:r>
          </w:p>
        </w:tc>
        <w:tc>
          <w:tcPr>
            <w:tcW w:w="3672" w:type="dxa"/>
          </w:tcPr>
          <w:p w:rsidR="00C03BB4" w:rsidRDefault="00C03BB4">
            <w:pPr>
              <w:rPr>
                <w:sz w:val="20"/>
              </w:rPr>
            </w:pPr>
            <w:r>
              <w:rPr>
                <w:b/>
                <w:sz w:val="20"/>
              </w:rPr>
              <w:t>Requested Implementation Date</w:t>
            </w:r>
            <w:r>
              <w:rPr>
                <w:sz w:val="20"/>
              </w:rPr>
              <w:t>:</w:t>
            </w:r>
          </w:p>
          <w:p w:rsidR="00C03BB4" w:rsidRDefault="00600051">
            <w:pPr>
              <w:rPr>
                <w:sz w:val="20"/>
              </w:rPr>
            </w:pPr>
            <w:r>
              <w:rPr>
                <w:sz w:val="20"/>
              </w:rPr>
              <w:t>N/A – Admin Only</w:t>
            </w:r>
            <w:r w:rsidR="00402555">
              <w:rPr>
                <w:sz w:val="20"/>
              </w:rPr>
              <w:t xml:space="preserve"> (already live)</w:t>
            </w:r>
          </w:p>
        </w:tc>
        <w:tc>
          <w:tcPr>
            <w:tcW w:w="3672" w:type="dxa"/>
            <w:tcBorders>
              <w:top w:val="single" w:sz="6" w:space="0" w:color="auto"/>
              <w:bottom w:val="single" w:sz="12" w:space="0" w:color="auto"/>
            </w:tcBorders>
            <w:shd w:val="pct10" w:color="auto" w:fill="auto"/>
          </w:tcPr>
          <w:p w:rsidR="00C03BB4" w:rsidRDefault="00C03BB4">
            <w:pPr>
              <w:rPr>
                <w:sz w:val="20"/>
              </w:rPr>
            </w:pPr>
            <w:r>
              <w:rPr>
                <w:b/>
                <w:sz w:val="20"/>
              </w:rPr>
              <w:t>Status</w:t>
            </w:r>
            <w:r>
              <w:rPr>
                <w:sz w:val="20"/>
              </w:rPr>
              <w:t>:</w:t>
            </w:r>
          </w:p>
          <w:p w:rsidR="00C03BB4" w:rsidRDefault="008E5D24">
            <w:pPr>
              <w:rPr>
                <w:sz w:val="20"/>
              </w:rPr>
            </w:pPr>
            <w:r>
              <w:rPr>
                <w:sz w:val="20"/>
              </w:rPr>
              <w:t>APPROVED</w:t>
            </w:r>
            <w:r w:rsidR="00600051">
              <w:rPr>
                <w:sz w:val="20"/>
              </w:rPr>
              <w:t xml:space="preserve"> / Implemented into </w:t>
            </w:r>
            <w:r w:rsidR="00600051" w:rsidRPr="00600051">
              <w:rPr>
                <w:sz w:val="20"/>
              </w:rPr>
              <w:t>IG810LDCv6-</w:t>
            </w:r>
            <w:r w:rsidR="00600051">
              <w:rPr>
                <w:sz w:val="20"/>
              </w:rPr>
              <w:t>5</w:t>
            </w:r>
            <w:r w:rsidR="00600051" w:rsidRPr="00600051">
              <w:rPr>
                <w:sz w:val="20"/>
              </w:rPr>
              <w:t>.docx</w:t>
            </w:r>
          </w:p>
        </w:tc>
      </w:tr>
    </w:tbl>
    <w:p w:rsidR="00C03BB4" w:rsidRDefault="00C03BB4"/>
    <w:p w:rsidR="00C03BB4" w:rsidRDefault="00C03BB4">
      <w:pPr>
        <w:pBdr>
          <w:top w:val="single" w:sz="6" w:space="1" w:color="auto"/>
          <w:left w:val="single" w:sz="6" w:space="1" w:color="auto"/>
          <w:bottom w:val="single" w:sz="6" w:space="0" w:color="auto"/>
          <w:right w:val="single" w:sz="6" w:space="1" w:color="auto"/>
        </w:pBdr>
        <w:rPr>
          <w:sz w:val="18"/>
        </w:rPr>
      </w:pPr>
      <w:r>
        <w:rPr>
          <w:b/>
          <w:sz w:val="22"/>
        </w:rPr>
        <w:t xml:space="preserve">Brief Explanation </w:t>
      </w:r>
      <w:r>
        <w:rPr>
          <w:sz w:val="18"/>
        </w:rPr>
        <w:t xml:space="preserve">(This will be copied into the description in the Change Control Summary Spreadsheet): </w:t>
      </w:r>
    </w:p>
    <w:p w:rsidR="00C03BB4" w:rsidRDefault="004266D0">
      <w:pPr>
        <w:pBdr>
          <w:top w:val="single" w:sz="6" w:space="1" w:color="auto"/>
          <w:left w:val="single" w:sz="6" w:space="1" w:color="auto"/>
          <w:bottom w:val="single" w:sz="6" w:space="0" w:color="auto"/>
          <w:right w:val="single" w:sz="6" w:space="1" w:color="auto"/>
        </w:pBdr>
        <w:rPr>
          <w:sz w:val="18"/>
        </w:rPr>
      </w:pPr>
      <w:r>
        <w:rPr>
          <w:sz w:val="18"/>
        </w:rPr>
        <w:t>Incorporate Cit</w:t>
      </w:r>
      <w:r w:rsidR="00BD5FFD">
        <w:rPr>
          <w:sz w:val="18"/>
        </w:rPr>
        <w:t>i</w:t>
      </w:r>
      <w:r>
        <w:rPr>
          <w:sz w:val="18"/>
        </w:rPr>
        <w:t>zens and Wellsboro into regional IGs.</w:t>
      </w:r>
    </w:p>
    <w:p w:rsidR="00C03BB4" w:rsidRDefault="00C03BB4">
      <w:pPr>
        <w:pBdr>
          <w:top w:val="single" w:sz="6" w:space="1" w:color="auto"/>
          <w:left w:val="single" w:sz="6" w:space="1" w:color="auto"/>
          <w:bottom w:val="single" w:sz="6" w:space="0" w:color="auto"/>
          <w:right w:val="single" w:sz="6" w:space="1" w:color="auto"/>
        </w:pBdr>
        <w:rPr>
          <w:sz w:val="18"/>
        </w:rPr>
      </w:pPr>
    </w:p>
    <w:p w:rsidR="00C03BB4" w:rsidRDefault="00C03BB4">
      <w:pPr>
        <w:pBdr>
          <w:top w:val="single" w:sz="6" w:space="1" w:color="auto"/>
          <w:left w:val="single" w:sz="6" w:space="1" w:color="auto"/>
          <w:bottom w:val="single" w:sz="6" w:space="0" w:color="auto"/>
          <w:right w:val="single" w:sz="6" w:space="1" w:color="auto"/>
        </w:pBdr>
        <w:rPr>
          <w:sz w:val="18"/>
        </w:rPr>
      </w:pPr>
    </w:p>
    <w:p w:rsidR="00C03BB4" w:rsidRDefault="00C03BB4">
      <w:pPr>
        <w:pBdr>
          <w:top w:val="single" w:sz="6" w:space="1" w:color="auto"/>
          <w:left w:val="single" w:sz="6" w:space="1" w:color="auto"/>
          <w:bottom w:val="single" w:sz="6" w:space="0" w:color="auto"/>
          <w:right w:val="single" w:sz="6" w:space="1" w:color="auto"/>
        </w:pBdr>
        <w:rPr>
          <w:sz w:val="18"/>
        </w:rPr>
      </w:pPr>
    </w:p>
    <w:p w:rsidR="00C03BB4" w:rsidRDefault="00C03BB4">
      <w:pPr>
        <w:pBdr>
          <w:top w:val="single" w:sz="6" w:space="1" w:color="auto"/>
          <w:left w:val="single" w:sz="6" w:space="1" w:color="auto"/>
          <w:bottom w:val="single" w:sz="6" w:space="0" w:color="auto"/>
          <w:right w:val="single" w:sz="6" w:space="1" w:color="auto"/>
        </w:pBdr>
      </w:pPr>
      <w:r>
        <w:rPr>
          <w:b/>
          <w:sz w:val="22"/>
        </w:rPr>
        <w:t xml:space="preserve">Detail </w:t>
      </w:r>
      <w:proofErr w:type="gramStart"/>
      <w:r>
        <w:rPr>
          <w:b/>
          <w:sz w:val="22"/>
        </w:rPr>
        <w:t>Explanation</w:t>
      </w:r>
      <w:r>
        <w:t xml:space="preserve">  </w:t>
      </w:r>
      <w:r>
        <w:rPr>
          <w:sz w:val="18"/>
        </w:rPr>
        <w:t>(</w:t>
      </w:r>
      <w:proofErr w:type="gramEnd"/>
      <w:r>
        <w:rPr>
          <w:sz w:val="18"/>
        </w:rPr>
        <w:t>Exactly what change is required? To which EDEWG Standards? Why?):</w:t>
      </w:r>
      <w:r>
        <w:t xml:space="preserve"> </w:t>
      </w:r>
    </w:p>
    <w:p w:rsidR="00BC1F2C" w:rsidRDefault="00BD5FFD">
      <w:pPr>
        <w:pBdr>
          <w:top w:val="single" w:sz="6" w:space="1" w:color="auto"/>
          <w:left w:val="single" w:sz="6" w:space="1" w:color="auto"/>
          <w:bottom w:val="single" w:sz="6" w:space="0" w:color="auto"/>
          <w:right w:val="single" w:sz="6" w:space="1" w:color="auto"/>
        </w:pBdr>
        <w:rPr>
          <w:sz w:val="18"/>
          <w:szCs w:val="18"/>
        </w:rPr>
      </w:pPr>
      <w:r>
        <w:rPr>
          <w:sz w:val="18"/>
          <w:szCs w:val="18"/>
        </w:rPr>
        <w:t>Update Pennsylvania Notes</w:t>
      </w:r>
      <w:r w:rsidR="00BC1F2C">
        <w:rPr>
          <w:sz w:val="18"/>
          <w:szCs w:val="18"/>
        </w:rPr>
        <w:t xml:space="preserve"> pages 9 </w:t>
      </w:r>
      <w:r>
        <w:rPr>
          <w:sz w:val="18"/>
          <w:szCs w:val="18"/>
        </w:rPr>
        <w:t>to add that Citizens and Wellsboro support Dual and Rate Ready</w:t>
      </w:r>
      <w:r w:rsidR="007F1878">
        <w:rPr>
          <w:sz w:val="18"/>
          <w:szCs w:val="18"/>
        </w:rPr>
        <w:t xml:space="preserve">.  </w:t>
      </w:r>
    </w:p>
    <w:p w:rsidR="00F3724A" w:rsidRDefault="00F3724A">
      <w:pPr>
        <w:pBdr>
          <w:top w:val="single" w:sz="6" w:space="1" w:color="auto"/>
          <w:left w:val="single" w:sz="6" w:space="1" w:color="auto"/>
          <w:bottom w:val="single" w:sz="6" w:space="0" w:color="auto"/>
          <w:right w:val="single" w:sz="6" w:space="1" w:color="auto"/>
        </w:pBdr>
        <w:rPr>
          <w:sz w:val="18"/>
          <w:szCs w:val="18"/>
        </w:rPr>
      </w:pPr>
      <w:r>
        <w:rPr>
          <w:sz w:val="18"/>
          <w:szCs w:val="18"/>
        </w:rPr>
        <w:t>Update Pennsylvania Notes pages 11 – 14 with Citizens, Wellsboro practices.</w:t>
      </w:r>
    </w:p>
    <w:p w:rsidR="00BC1F2C" w:rsidRDefault="00BC1F2C">
      <w:pPr>
        <w:pBdr>
          <w:top w:val="single" w:sz="6" w:space="1" w:color="auto"/>
          <w:left w:val="single" w:sz="6" w:space="1" w:color="auto"/>
          <w:bottom w:val="single" w:sz="6" w:space="0" w:color="auto"/>
          <w:right w:val="single" w:sz="6" w:space="1" w:color="auto"/>
        </w:pBdr>
        <w:rPr>
          <w:sz w:val="18"/>
          <w:szCs w:val="18"/>
        </w:rPr>
      </w:pPr>
      <w:r>
        <w:rPr>
          <w:sz w:val="18"/>
          <w:szCs w:val="18"/>
        </w:rPr>
        <w:t>Update Rate Ready Practices in Pennsylvania table on page 14.</w:t>
      </w:r>
    </w:p>
    <w:p w:rsidR="00C03BB4" w:rsidRPr="007E33C2" w:rsidRDefault="00BC1F2C">
      <w:pPr>
        <w:pBdr>
          <w:top w:val="single" w:sz="6" w:space="1" w:color="auto"/>
          <w:left w:val="single" w:sz="6" w:space="1" w:color="auto"/>
          <w:bottom w:val="single" w:sz="6" w:space="0" w:color="auto"/>
          <w:right w:val="single" w:sz="6" w:space="1" w:color="auto"/>
        </w:pBdr>
        <w:rPr>
          <w:sz w:val="18"/>
          <w:szCs w:val="18"/>
        </w:rPr>
      </w:pPr>
      <w:r>
        <w:rPr>
          <w:sz w:val="18"/>
          <w:szCs w:val="18"/>
        </w:rPr>
        <w:t>(See pages 1 and 2)</w:t>
      </w:r>
    </w:p>
    <w:p w:rsidR="00C03BB4" w:rsidRPr="007E33C2" w:rsidRDefault="00C03BB4">
      <w:pPr>
        <w:pBdr>
          <w:top w:val="single" w:sz="6" w:space="1" w:color="auto"/>
          <w:left w:val="single" w:sz="6" w:space="1" w:color="auto"/>
          <w:bottom w:val="single" w:sz="6" w:space="0" w:color="auto"/>
          <w:right w:val="single" w:sz="6" w:space="1" w:color="auto"/>
        </w:pBdr>
        <w:rPr>
          <w:sz w:val="18"/>
          <w:szCs w:val="18"/>
        </w:rPr>
      </w:pPr>
    </w:p>
    <w:p w:rsidR="00C03BB4" w:rsidRPr="007E33C2" w:rsidRDefault="00C03BB4">
      <w:pPr>
        <w:pBdr>
          <w:top w:val="single" w:sz="6" w:space="1" w:color="auto"/>
          <w:left w:val="single" w:sz="6" w:space="1" w:color="auto"/>
          <w:bottom w:val="single" w:sz="6" w:space="0" w:color="auto"/>
          <w:right w:val="single" w:sz="6" w:space="1" w:color="auto"/>
        </w:pBdr>
        <w:rPr>
          <w:sz w:val="18"/>
          <w:szCs w:val="18"/>
        </w:rPr>
      </w:pPr>
    </w:p>
    <w:p w:rsidR="00C03BB4" w:rsidRPr="007E33C2" w:rsidRDefault="00C03BB4">
      <w:pPr>
        <w:pBdr>
          <w:top w:val="single" w:sz="6" w:space="1" w:color="auto"/>
          <w:left w:val="single" w:sz="6" w:space="1" w:color="auto"/>
          <w:bottom w:val="single" w:sz="6" w:space="0" w:color="auto"/>
          <w:right w:val="single" w:sz="6" w:space="1" w:color="auto"/>
        </w:pBdr>
        <w:rPr>
          <w:sz w:val="18"/>
          <w:szCs w:val="18"/>
        </w:rPr>
      </w:pPr>
    </w:p>
    <w:p w:rsidR="00C03BB4" w:rsidRDefault="00C03BB4">
      <w:pPr>
        <w:jc w:val="center"/>
        <w:rPr>
          <w:b/>
          <w:sz w:val="22"/>
        </w:rPr>
      </w:pPr>
    </w:p>
    <w:p w:rsidR="00C03BB4" w:rsidRDefault="00C03BB4">
      <w:pPr>
        <w:jc w:val="center"/>
        <w:rPr>
          <w:b/>
        </w:rPr>
      </w:pPr>
      <w:r>
        <w:rPr>
          <w:b/>
        </w:rPr>
        <w:t>For Change Control Manager Use Only:</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72"/>
        <w:gridCol w:w="3672"/>
        <w:gridCol w:w="3672"/>
      </w:tblGrid>
      <w:tr w:rsidR="00C03BB4">
        <w:tc>
          <w:tcPr>
            <w:tcW w:w="3672" w:type="dxa"/>
          </w:tcPr>
          <w:p w:rsidR="00C03BB4" w:rsidRDefault="00C03BB4">
            <w:pPr>
              <w:rPr>
                <w:sz w:val="20"/>
              </w:rPr>
            </w:pPr>
            <w:r>
              <w:rPr>
                <w:sz w:val="20"/>
              </w:rPr>
              <w:t>Date of EDEWG Discussion:</w:t>
            </w:r>
          </w:p>
          <w:p w:rsidR="00C03BB4" w:rsidRDefault="00402555">
            <w:pPr>
              <w:rPr>
                <w:sz w:val="20"/>
              </w:rPr>
            </w:pPr>
            <w:r>
              <w:rPr>
                <w:sz w:val="20"/>
              </w:rPr>
              <w:t>5</w:t>
            </w:r>
            <w:r w:rsidR="00600051">
              <w:rPr>
                <w:sz w:val="20"/>
              </w:rPr>
              <w:t>/</w:t>
            </w:r>
            <w:r>
              <w:rPr>
                <w:sz w:val="20"/>
              </w:rPr>
              <w:t>3</w:t>
            </w:r>
            <w:r w:rsidR="00600051">
              <w:rPr>
                <w:sz w:val="20"/>
              </w:rPr>
              <w:t>/2018</w:t>
            </w:r>
          </w:p>
        </w:tc>
        <w:tc>
          <w:tcPr>
            <w:tcW w:w="3672" w:type="dxa"/>
          </w:tcPr>
          <w:p w:rsidR="00C03BB4" w:rsidRDefault="00C03BB4">
            <w:pPr>
              <w:rPr>
                <w:sz w:val="20"/>
              </w:rPr>
            </w:pPr>
            <w:r>
              <w:rPr>
                <w:sz w:val="20"/>
              </w:rPr>
              <w:t xml:space="preserve">Expected Implementation Date:    </w:t>
            </w:r>
          </w:p>
          <w:p w:rsidR="00C03BB4" w:rsidRDefault="00600051">
            <w:pPr>
              <w:rPr>
                <w:sz w:val="20"/>
              </w:rPr>
            </w:pPr>
            <w:r>
              <w:rPr>
                <w:sz w:val="20"/>
              </w:rPr>
              <w:t>N/A – Admin Only</w:t>
            </w:r>
          </w:p>
        </w:tc>
        <w:tc>
          <w:tcPr>
            <w:tcW w:w="3672" w:type="dxa"/>
          </w:tcPr>
          <w:p w:rsidR="00C03BB4" w:rsidRDefault="00C03BB4">
            <w:pPr>
              <w:rPr>
                <w:sz w:val="20"/>
              </w:rPr>
            </w:pPr>
          </w:p>
          <w:p w:rsidR="00C03BB4" w:rsidRDefault="00C03BB4">
            <w:pPr>
              <w:rPr>
                <w:sz w:val="20"/>
              </w:rPr>
            </w:pPr>
          </w:p>
        </w:tc>
      </w:tr>
    </w:tbl>
    <w:p w:rsidR="00C03BB4" w:rsidRDefault="00C03BB4">
      <w:pPr>
        <w:rPr>
          <w:sz w:val="16"/>
        </w:rPr>
      </w:pPr>
    </w:p>
    <w:p w:rsidR="00C03BB4" w:rsidRDefault="00C03BB4">
      <w:r>
        <w:rPr>
          <w:b/>
        </w:rPr>
        <w:t>EDEWG Discussion and Resolution</w:t>
      </w:r>
      <w:r>
        <w:t>:</w:t>
      </w:r>
    </w:p>
    <w:p w:rsidR="00402555" w:rsidRDefault="00600051" w:rsidP="00600051">
      <w:pPr>
        <w:pBdr>
          <w:top w:val="single" w:sz="6" w:space="1" w:color="auto"/>
          <w:left w:val="single" w:sz="6" w:space="1" w:color="auto"/>
          <w:bottom w:val="single" w:sz="6" w:space="0" w:color="auto"/>
          <w:right w:val="single" w:sz="6" w:space="1" w:color="auto"/>
        </w:pBdr>
        <w:rPr>
          <w:sz w:val="16"/>
          <w:szCs w:val="16"/>
        </w:rPr>
      </w:pPr>
      <w:r>
        <w:rPr>
          <w:sz w:val="16"/>
          <w:szCs w:val="16"/>
        </w:rPr>
        <w:t xml:space="preserve">2/15/2018:  Brandon Siegel:  </w:t>
      </w:r>
      <w:r w:rsidR="00402555">
        <w:rPr>
          <w:sz w:val="16"/>
          <w:szCs w:val="16"/>
        </w:rPr>
        <w:t xml:space="preserve">Reviewed CC &amp; placed into temporary hold pending completion of all C&amp;W change requests </w:t>
      </w:r>
    </w:p>
    <w:p w:rsidR="00600051" w:rsidRPr="007E33C2" w:rsidRDefault="00600051" w:rsidP="00600051">
      <w:pPr>
        <w:pBdr>
          <w:top w:val="single" w:sz="6" w:space="1" w:color="auto"/>
          <w:left w:val="single" w:sz="6" w:space="1" w:color="auto"/>
          <w:bottom w:val="single" w:sz="6" w:space="0" w:color="auto"/>
          <w:right w:val="single" w:sz="6" w:space="1" w:color="auto"/>
        </w:pBdr>
        <w:rPr>
          <w:sz w:val="16"/>
          <w:szCs w:val="16"/>
        </w:rPr>
      </w:pPr>
      <w:r>
        <w:rPr>
          <w:sz w:val="16"/>
          <w:szCs w:val="16"/>
        </w:rPr>
        <w:t xml:space="preserve">2/15/2018:  Brandon Siegel:  Incorporated into </w:t>
      </w:r>
      <w:r w:rsidRPr="00600051">
        <w:rPr>
          <w:sz w:val="16"/>
          <w:szCs w:val="16"/>
        </w:rPr>
        <w:t>IG810LDCv6-5.docx</w:t>
      </w:r>
    </w:p>
    <w:p w:rsidR="00C03BB4" w:rsidRPr="007E33C2" w:rsidRDefault="00402555">
      <w:pPr>
        <w:pBdr>
          <w:top w:val="single" w:sz="6" w:space="1" w:color="auto"/>
          <w:left w:val="single" w:sz="6" w:space="1" w:color="auto"/>
          <w:bottom w:val="single" w:sz="6" w:space="0" w:color="auto"/>
          <w:right w:val="single" w:sz="6" w:space="1" w:color="auto"/>
        </w:pBdr>
        <w:rPr>
          <w:sz w:val="16"/>
          <w:szCs w:val="16"/>
        </w:rPr>
      </w:pPr>
      <w:r>
        <w:rPr>
          <w:sz w:val="16"/>
          <w:szCs w:val="16"/>
        </w:rPr>
        <w:t>4/5//2018:  Brandon Siegel:  C&amp;W change requests finalized, assigned #145 &amp; placed on May meeting agenda.</w:t>
      </w:r>
    </w:p>
    <w:p w:rsidR="008E5D24" w:rsidRDefault="008E5D24" w:rsidP="008E5D24">
      <w:pPr>
        <w:pBdr>
          <w:top w:val="single" w:sz="6" w:space="1" w:color="auto"/>
          <w:left w:val="single" w:sz="6" w:space="1" w:color="auto"/>
          <w:bottom w:val="single" w:sz="6" w:space="0" w:color="auto"/>
          <w:right w:val="single" w:sz="6" w:space="1" w:color="auto"/>
        </w:pBdr>
        <w:rPr>
          <w:sz w:val="16"/>
          <w:szCs w:val="16"/>
        </w:rPr>
      </w:pPr>
      <w:r>
        <w:rPr>
          <w:sz w:val="16"/>
          <w:szCs w:val="16"/>
        </w:rPr>
        <w:t>5/3/2018:  Brandon Siegel:  EDEWG approved without revision, already implemented into IGs.</w:t>
      </w:r>
    </w:p>
    <w:p w:rsidR="00C03BB4" w:rsidRPr="007E33C2" w:rsidRDefault="00C03BB4">
      <w:pPr>
        <w:pBdr>
          <w:top w:val="single" w:sz="6" w:space="1" w:color="auto"/>
          <w:left w:val="single" w:sz="6" w:space="1" w:color="auto"/>
          <w:bottom w:val="single" w:sz="6" w:space="0" w:color="auto"/>
          <w:right w:val="single" w:sz="6" w:space="1" w:color="auto"/>
        </w:pBdr>
        <w:rPr>
          <w:sz w:val="16"/>
          <w:szCs w:val="16"/>
        </w:rPr>
      </w:pPr>
      <w:bookmarkStart w:id="0" w:name="_GoBack"/>
      <w:bookmarkEnd w:id="0"/>
    </w:p>
    <w:p w:rsidR="00C03BB4" w:rsidRDefault="00C03BB4">
      <w:pPr>
        <w:jc w:val="center"/>
        <w:rPr>
          <w:b/>
          <w:sz w:val="22"/>
        </w:rPr>
      </w:pPr>
    </w:p>
    <w:p w:rsidR="00C03BB4" w:rsidRDefault="00C03BB4">
      <w:pPr>
        <w:rPr>
          <w:b/>
          <w:i/>
          <w:sz w:val="18"/>
          <w:u w:val="single"/>
        </w:rPr>
      </w:pPr>
      <w:r>
        <w:rPr>
          <w:b/>
          <w:i/>
          <w:sz w:val="18"/>
          <w:u w:val="single"/>
        </w:rPr>
        <w:t>Priority Classifications</w:t>
      </w:r>
    </w:p>
    <w:p w:rsidR="00C03BB4" w:rsidRDefault="00C03BB4">
      <w:pPr>
        <w:tabs>
          <w:tab w:val="left" w:pos="1908"/>
          <w:tab w:val="left" w:pos="11016"/>
        </w:tabs>
        <w:rPr>
          <w:i/>
          <w:sz w:val="1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08"/>
        <w:gridCol w:w="9090"/>
      </w:tblGrid>
      <w:tr w:rsidR="00C03BB4">
        <w:tc>
          <w:tcPr>
            <w:tcW w:w="1908" w:type="dxa"/>
          </w:tcPr>
          <w:p w:rsidR="00C03BB4" w:rsidRDefault="00C03BB4">
            <w:pPr>
              <w:rPr>
                <w:i/>
                <w:sz w:val="18"/>
              </w:rPr>
            </w:pPr>
            <w:r>
              <w:rPr>
                <w:i/>
                <w:sz w:val="18"/>
              </w:rPr>
              <w:t>Emergency Priority</w:t>
            </w:r>
          </w:p>
        </w:tc>
        <w:tc>
          <w:tcPr>
            <w:tcW w:w="9090" w:type="dxa"/>
          </w:tcPr>
          <w:p w:rsidR="00C03BB4" w:rsidRDefault="00C03BB4">
            <w:pPr>
              <w:rPr>
                <w:i/>
                <w:sz w:val="18"/>
              </w:rPr>
            </w:pPr>
            <w:r>
              <w:rPr>
                <w:i/>
                <w:sz w:val="18"/>
              </w:rPr>
              <w:t>Implemented within 10 days or otherwise directed by EDEWG</w:t>
            </w:r>
          </w:p>
        </w:tc>
      </w:tr>
      <w:tr w:rsidR="00C03BB4">
        <w:tc>
          <w:tcPr>
            <w:tcW w:w="1908" w:type="dxa"/>
          </w:tcPr>
          <w:p w:rsidR="00C03BB4" w:rsidRDefault="00C03BB4">
            <w:pPr>
              <w:rPr>
                <w:i/>
                <w:sz w:val="18"/>
              </w:rPr>
            </w:pPr>
            <w:r>
              <w:rPr>
                <w:i/>
                <w:sz w:val="18"/>
              </w:rPr>
              <w:t>High Priority</w:t>
            </w:r>
          </w:p>
        </w:tc>
        <w:tc>
          <w:tcPr>
            <w:tcW w:w="9090" w:type="dxa"/>
          </w:tcPr>
          <w:p w:rsidR="00C03BB4" w:rsidRDefault="00C03BB4">
            <w:pPr>
              <w:rPr>
                <w:i/>
                <w:sz w:val="18"/>
              </w:rPr>
            </w:pPr>
            <w:r>
              <w:rPr>
                <w:i/>
                <w:sz w:val="18"/>
              </w:rPr>
              <w:t>Changes / Enhancements implemented with 30 days. The next release, or as otherwise directed by EDEWG</w:t>
            </w:r>
          </w:p>
        </w:tc>
      </w:tr>
      <w:tr w:rsidR="00C03BB4">
        <w:tc>
          <w:tcPr>
            <w:tcW w:w="1908" w:type="dxa"/>
          </w:tcPr>
          <w:p w:rsidR="00C03BB4" w:rsidRDefault="00C03BB4">
            <w:pPr>
              <w:rPr>
                <w:i/>
                <w:sz w:val="18"/>
              </w:rPr>
            </w:pPr>
            <w:r>
              <w:rPr>
                <w:i/>
                <w:sz w:val="18"/>
              </w:rPr>
              <w:t>Low Priority</w:t>
            </w:r>
          </w:p>
        </w:tc>
        <w:tc>
          <w:tcPr>
            <w:tcW w:w="9090" w:type="dxa"/>
          </w:tcPr>
          <w:p w:rsidR="00C03BB4" w:rsidRDefault="00C03BB4">
            <w:pPr>
              <w:rPr>
                <w:i/>
                <w:sz w:val="18"/>
              </w:rPr>
            </w:pPr>
            <w:r>
              <w:rPr>
                <w:i/>
                <w:sz w:val="18"/>
              </w:rPr>
              <w:t>Changes / Enhancements implemented no earlier than 90 days, Future Release, or as otherwise directed by EDEWG</w:t>
            </w:r>
          </w:p>
        </w:tc>
      </w:tr>
    </w:tbl>
    <w:p w:rsidR="00C03BB4" w:rsidRDefault="00C03BB4">
      <w:pPr>
        <w:rPr>
          <w:sz w:val="20"/>
        </w:rPr>
      </w:pPr>
    </w:p>
    <w:p w:rsidR="00BC1E8D" w:rsidRDefault="00BC1E8D" w:rsidP="00BC1E8D">
      <w:pPr>
        <w:jc w:val="center"/>
        <w:rPr>
          <w:b/>
          <w:i/>
          <w:sz w:val="20"/>
        </w:rPr>
      </w:pPr>
      <w:r>
        <w:rPr>
          <w:b/>
          <w:i/>
          <w:sz w:val="20"/>
        </w:rPr>
        <w:t xml:space="preserve">Please submit this form via e-mail to both the PUC at </w:t>
      </w:r>
      <w:hyperlink r:id="rId9" w:history="1">
        <w:r w:rsidRPr="00464B26">
          <w:rPr>
            <w:rStyle w:val="Hyperlink"/>
            <w:sz w:val="20"/>
          </w:rPr>
          <w:t>jmccracken@pa.gov</w:t>
        </w:r>
      </w:hyperlink>
      <w:r>
        <w:rPr>
          <w:b/>
          <w:i/>
          <w:sz w:val="20"/>
        </w:rPr>
        <w:t xml:space="preserve"> and </w:t>
      </w:r>
      <w:hyperlink r:id="rId10" w:history="1">
        <w:r w:rsidRPr="00C229BE">
          <w:rPr>
            <w:rStyle w:val="Hyperlink"/>
            <w:sz w:val="20"/>
          </w:rPr>
          <w:t>lyalcin@pa.gov</w:t>
        </w:r>
      </w:hyperlink>
      <w:r>
        <w:rPr>
          <w:b/>
          <w:i/>
          <w:sz w:val="20"/>
        </w:rPr>
        <w:t xml:space="preserve"> and to the </w:t>
      </w:r>
    </w:p>
    <w:p w:rsidR="00C03BB4" w:rsidRDefault="00BC1E8D" w:rsidP="00BC1E8D">
      <w:pPr>
        <w:jc w:val="center"/>
        <w:rPr>
          <w:b/>
          <w:i/>
          <w:sz w:val="20"/>
        </w:rPr>
      </w:pPr>
      <w:r>
        <w:rPr>
          <w:b/>
          <w:i/>
          <w:sz w:val="20"/>
        </w:rPr>
        <w:t xml:space="preserve">Change Control Manager, Brandon Siegel at </w:t>
      </w:r>
      <w:hyperlink r:id="rId11" w:history="1">
        <w:r>
          <w:rPr>
            <w:rStyle w:val="Hyperlink"/>
            <w:sz w:val="20"/>
          </w:rPr>
          <w:t>brandon.siegel@intelometry.com</w:t>
        </w:r>
      </w:hyperlink>
      <w:r>
        <w:rPr>
          <w:b/>
          <w:i/>
          <w:sz w:val="20"/>
        </w:rPr>
        <w:t xml:space="preserve">  </w:t>
      </w:r>
    </w:p>
    <w:p w:rsidR="00BC1F2C" w:rsidRDefault="00C03BB4">
      <w:pPr>
        <w:jc w:val="center"/>
        <w:rPr>
          <w:sz w:val="22"/>
        </w:rPr>
      </w:pPr>
      <w:r>
        <w:rPr>
          <w:i/>
          <w:sz w:val="20"/>
        </w:rPr>
        <w:t>Your request will be evaluated and prioritized at an upcoming EDEWG meeting or conference call.</w:t>
      </w:r>
      <w:r>
        <w:rPr>
          <w:sz w:val="22"/>
        </w:rPr>
        <w:t xml:space="preserve"> </w:t>
      </w:r>
    </w:p>
    <w:p w:rsidR="00BC1F2C" w:rsidRDefault="00BC1F2C">
      <w:pPr>
        <w:jc w:val="center"/>
        <w:rPr>
          <w:sz w:val="22"/>
        </w:rPr>
      </w:pPr>
      <w:r>
        <w:rPr>
          <w:sz w:val="22"/>
        </w:rPr>
        <w:br w:type="page"/>
      </w:r>
    </w:p>
    <w:p w:rsidR="00BC1F2C" w:rsidRDefault="00BC1F2C" w:rsidP="00BC1F2C">
      <w:pPr>
        <w:pStyle w:val="Heading1"/>
        <w:numPr>
          <w:ilvl w:val="0"/>
          <w:numId w:val="0"/>
        </w:numPr>
        <w:ind w:left="720"/>
        <w:jc w:val="center"/>
        <w:rPr>
          <w:rFonts w:ascii="Times New Roman" w:hAnsi="Times New Roman"/>
          <w:i/>
          <w:sz w:val="24"/>
        </w:rPr>
      </w:pPr>
      <w:bookmarkStart w:id="1" w:name="_Toc477596061"/>
      <w:r>
        <w:rPr>
          <w:rFonts w:ascii="Times New Roman" w:hAnsi="Times New Roman"/>
          <w:i/>
          <w:sz w:val="24"/>
        </w:rPr>
        <w:t>Pennsylvania Notes</w:t>
      </w:r>
      <w:bookmarkEnd w:id="1"/>
    </w:p>
    <w:tbl>
      <w:tblPr>
        <w:tblW w:w="103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963"/>
        <w:gridCol w:w="180"/>
        <w:gridCol w:w="8192"/>
      </w:tblGrid>
      <w:tr w:rsidR="00BC1F2C" w:rsidTr="00BC1F2C">
        <w:trPr>
          <w:trHeight w:val="530"/>
        </w:trPr>
        <w:tc>
          <w:tcPr>
            <w:tcW w:w="1962" w:type="dxa"/>
            <w:tcBorders>
              <w:top w:val="dotted" w:sz="4" w:space="0" w:color="auto"/>
              <w:left w:val="dotted" w:sz="4" w:space="0" w:color="auto"/>
              <w:bottom w:val="dotted" w:sz="4" w:space="0" w:color="auto"/>
              <w:right w:val="single" w:sz="6" w:space="0" w:color="auto"/>
            </w:tcBorders>
            <w:hideMark/>
          </w:tcPr>
          <w:p w:rsidR="00BC1F2C" w:rsidRDefault="00BC1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Billing Information:</w:t>
            </w:r>
          </w:p>
        </w:tc>
        <w:tc>
          <w:tcPr>
            <w:tcW w:w="180" w:type="dxa"/>
            <w:tcBorders>
              <w:top w:val="dotted" w:sz="4" w:space="0" w:color="auto"/>
              <w:left w:val="nil"/>
              <w:bottom w:val="dotted" w:sz="4" w:space="0" w:color="auto"/>
              <w:right w:val="nil"/>
            </w:tcBorders>
          </w:tcPr>
          <w:p w:rsidR="00BC1F2C" w:rsidRDefault="00BC1F2C">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hideMark/>
          </w:tcPr>
          <w:p w:rsidR="00BC1F2C" w:rsidRDefault="00BC1F2C" w:rsidP="00BC1F2C">
            <w:pPr>
              <w:numPr>
                <w:ilvl w:val="0"/>
                <w:numId w:val="2"/>
              </w:numPr>
              <w:rPr>
                <w:snapToGrid w:val="0"/>
              </w:rPr>
            </w:pPr>
            <w:r>
              <w:rPr>
                <w:snapToGrid w:val="0"/>
              </w:rPr>
              <w:t>Duquesne – Supports Rate Ready and Bill Ready</w:t>
            </w:r>
          </w:p>
          <w:p w:rsidR="00BC1F2C" w:rsidRDefault="00BC1F2C" w:rsidP="00BC1F2C">
            <w:pPr>
              <w:numPr>
                <w:ilvl w:val="0"/>
                <w:numId w:val="2"/>
              </w:numPr>
              <w:rPr>
                <w:snapToGrid w:val="0"/>
              </w:rPr>
            </w:pPr>
            <w:r>
              <w:rPr>
                <w:snapToGrid w:val="0"/>
              </w:rPr>
              <w:t>First Energy (</w:t>
            </w:r>
            <w:proofErr w:type="spellStart"/>
            <w:r>
              <w:rPr>
                <w:snapToGrid w:val="0"/>
              </w:rPr>
              <w:t>MetEd</w:t>
            </w:r>
            <w:proofErr w:type="spellEnd"/>
            <w:r>
              <w:rPr>
                <w:snapToGrid w:val="0"/>
              </w:rPr>
              <w:t xml:space="preserve">, </w:t>
            </w:r>
            <w:proofErr w:type="spellStart"/>
            <w:r>
              <w:rPr>
                <w:snapToGrid w:val="0"/>
              </w:rPr>
              <w:t>Penelec</w:t>
            </w:r>
            <w:proofErr w:type="spellEnd"/>
            <w:r>
              <w:rPr>
                <w:snapToGrid w:val="0"/>
              </w:rPr>
              <w:t>, Penn Power, West Penn Power) – Supports Rate Ready and Bill Ready.   All operating companies follow First Energy rules</w:t>
            </w:r>
          </w:p>
          <w:p w:rsidR="00BC1F2C" w:rsidRDefault="00BC1F2C" w:rsidP="00BC1F2C">
            <w:pPr>
              <w:numPr>
                <w:ilvl w:val="0"/>
                <w:numId w:val="2"/>
              </w:numPr>
              <w:rPr>
                <w:snapToGrid w:val="0"/>
              </w:rPr>
            </w:pPr>
            <w:r>
              <w:rPr>
                <w:snapToGrid w:val="0"/>
              </w:rPr>
              <w:t>PECO – Supports Bill Ready Only.</w:t>
            </w:r>
          </w:p>
          <w:p w:rsidR="00BC1F2C" w:rsidRDefault="00BC1F2C" w:rsidP="00BC1F2C">
            <w:pPr>
              <w:numPr>
                <w:ilvl w:val="0"/>
                <w:numId w:val="2"/>
              </w:numPr>
              <w:rPr>
                <w:snapToGrid w:val="0"/>
              </w:rPr>
            </w:pPr>
            <w:r>
              <w:rPr>
                <w:snapToGrid w:val="0"/>
              </w:rPr>
              <w:t>PPL EU – Supports Rate Ready, Bill Ready, and EGS Consolidated Billing.</w:t>
            </w:r>
          </w:p>
          <w:p w:rsidR="00BC1F2C" w:rsidRPr="00BC1F2C" w:rsidRDefault="00BC1F2C" w:rsidP="00BC1F2C">
            <w:pPr>
              <w:numPr>
                <w:ilvl w:val="0"/>
                <w:numId w:val="2"/>
              </w:numPr>
              <w:rPr>
                <w:b/>
                <w:snapToGrid w:val="0"/>
                <w:u w:val="single"/>
              </w:rPr>
            </w:pPr>
            <w:r>
              <w:rPr>
                <w:snapToGrid w:val="0"/>
              </w:rPr>
              <w:t>UGI – Supports Rate Ready Only.</w:t>
            </w:r>
          </w:p>
          <w:p w:rsidR="00BC1F2C" w:rsidRPr="00BC1F2C" w:rsidRDefault="00BC1F2C" w:rsidP="00BC1F2C">
            <w:pPr>
              <w:numPr>
                <w:ilvl w:val="0"/>
                <w:numId w:val="2"/>
              </w:numPr>
              <w:rPr>
                <w:b/>
                <w:snapToGrid w:val="0"/>
                <w:u w:val="single"/>
              </w:rPr>
            </w:pPr>
            <w:r w:rsidRPr="00BC1F2C">
              <w:rPr>
                <w:snapToGrid w:val="0"/>
                <w:color w:val="FF0000"/>
              </w:rPr>
              <w:t>Citizens – Supports Dual and Rate Ready</w:t>
            </w:r>
          </w:p>
          <w:p w:rsidR="00BC1F2C" w:rsidRDefault="00BC1F2C" w:rsidP="00BC1F2C">
            <w:pPr>
              <w:numPr>
                <w:ilvl w:val="0"/>
                <w:numId w:val="2"/>
              </w:numPr>
              <w:rPr>
                <w:b/>
                <w:snapToGrid w:val="0"/>
                <w:u w:val="single"/>
              </w:rPr>
            </w:pPr>
            <w:r w:rsidRPr="00BC1F2C">
              <w:rPr>
                <w:snapToGrid w:val="0"/>
                <w:color w:val="FF0000"/>
              </w:rPr>
              <w:t>Wellsboro – Supports Dual and Rate Ready</w:t>
            </w:r>
          </w:p>
        </w:tc>
      </w:tr>
    </w:tbl>
    <w:p w:rsidR="00F3724A" w:rsidRDefault="00F3724A">
      <w:pPr>
        <w:jc w:val="center"/>
        <w:rPr>
          <w:sz w:val="22"/>
        </w:rPr>
      </w:pPr>
    </w:p>
    <w:tbl>
      <w:tblPr>
        <w:tblW w:w="103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963"/>
        <w:gridCol w:w="180"/>
        <w:gridCol w:w="8192"/>
      </w:tblGrid>
      <w:tr w:rsidR="00F3724A" w:rsidTr="00F3724A">
        <w:trPr>
          <w:trHeight w:val="530"/>
        </w:trPr>
        <w:tc>
          <w:tcPr>
            <w:tcW w:w="1963" w:type="dxa"/>
            <w:tcBorders>
              <w:top w:val="dotted" w:sz="4" w:space="0" w:color="auto"/>
              <w:left w:val="dotted" w:sz="4" w:space="0" w:color="auto"/>
              <w:bottom w:val="dotted" w:sz="4" w:space="0" w:color="auto"/>
              <w:right w:val="single" w:sz="6" w:space="0" w:color="auto"/>
            </w:tcBorders>
            <w:hideMark/>
          </w:tcPr>
          <w:p w:rsidR="00F3724A" w:rsidRDefault="00F37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Pr>
                <w:snapToGrid w:val="0"/>
              </w:rPr>
              <w:t xml:space="preserve">Changing Due Dates on Rate </w:t>
            </w:r>
            <w:proofErr w:type="gramStart"/>
            <w:r>
              <w:rPr>
                <w:snapToGrid w:val="0"/>
              </w:rPr>
              <w:t>Ready  Bills</w:t>
            </w:r>
            <w:proofErr w:type="gramEnd"/>
          </w:p>
        </w:tc>
        <w:tc>
          <w:tcPr>
            <w:tcW w:w="180" w:type="dxa"/>
            <w:tcBorders>
              <w:top w:val="dotted" w:sz="4" w:space="0" w:color="auto"/>
              <w:left w:val="nil"/>
              <w:bottom w:val="dotted" w:sz="4" w:space="0" w:color="auto"/>
              <w:right w:val="nil"/>
            </w:tcBorders>
          </w:tcPr>
          <w:p w:rsidR="00F3724A" w:rsidRDefault="00F3724A">
            <w:pPr>
              <w:pStyle w:val="Heading1"/>
              <w:rPr>
                <w:rFonts w:ascii="Times New Roman" w:hAnsi="Times New Roman"/>
                <w:b w:val="0"/>
                <w:sz w:val="20"/>
              </w:rPr>
            </w:pPr>
          </w:p>
        </w:tc>
        <w:tc>
          <w:tcPr>
            <w:tcW w:w="8192" w:type="dxa"/>
            <w:tcBorders>
              <w:top w:val="dotted" w:sz="4" w:space="0" w:color="auto"/>
              <w:left w:val="nil"/>
              <w:bottom w:val="dotted" w:sz="4" w:space="0" w:color="auto"/>
              <w:right w:val="dotted" w:sz="4" w:space="0" w:color="auto"/>
            </w:tcBorders>
            <w:hideMark/>
          </w:tcPr>
          <w:p w:rsidR="00F3724A" w:rsidRDefault="00F3724A">
            <w:pPr>
              <w:rPr>
                <w:snapToGrid w:val="0"/>
              </w:rPr>
            </w:pPr>
            <w:r>
              <w:rPr>
                <w:snapToGrid w:val="0"/>
              </w:rPr>
              <w:t>A change in a due date will either result in a cancel/re-bill or sending of a duplicate 810.</w:t>
            </w:r>
          </w:p>
          <w:p w:rsidR="00F3724A" w:rsidRDefault="00F3724A" w:rsidP="00F3724A">
            <w:pPr>
              <w:numPr>
                <w:ilvl w:val="0"/>
                <w:numId w:val="3"/>
              </w:numPr>
              <w:rPr>
                <w:snapToGrid w:val="0"/>
              </w:rPr>
            </w:pPr>
            <w:r>
              <w:rPr>
                <w:snapToGrid w:val="0"/>
              </w:rPr>
              <w:t>Duquesne – Will cancel and re-bill if due date changes</w:t>
            </w:r>
          </w:p>
          <w:p w:rsidR="00F3724A" w:rsidRDefault="00F3724A" w:rsidP="00F3724A">
            <w:pPr>
              <w:numPr>
                <w:ilvl w:val="0"/>
                <w:numId w:val="3"/>
              </w:numPr>
              <w:rPr>
                <w:snapToGrid w:val="0"/>
              </w:rPr>
            </w:pPr>
            <w:r>
              <w:rPr>
                <w:snapToGrid w:val="0"/>
              </w:rPr>
              <w:t>First Energy – Will cancel and re-bill if due date changes</w:t>
            </w:r>
          </w:p>
          <w:p w:rsidR="00F3724A" w:rsidRDefault="00F3724A" w:rsidP="00F3724A">
            <w:pPr>
              <w:numPr>
                <w:ilvl w:val="0"/>
                <w:numId w:val="3"/>
              </w:numPr>
              <w:rPr>
                <w:snapToGrid w:val="0"/>
              </w:rPr>
            </w:pPr>
            <w:r>
              <w:rPr>
                <w:snapToGrid w:val="0"/>
              </w:rPr>
              <w:t>UGI – Will cancel and re-bill if due date changes</w:t>
            </w:r>
          </w:p>
          <w:p w:rsidR="00F3724A" w:rsidRDefault="00F3724A" w:rsidP="00F3724A">
            <w:pPr>
              <w:numPr>
                <w:ilvl w:val="0"/>
                <w:numId w:val="3"/>
              </w:numPr>
              <w:rPr>
                <w:snapToGrid w:val="0"/>
              </w:rPr>
            </w:pPr>
            <w:r>
              <w:rPr>
                <w:snapToGrid w:val="0"/>
              </w:rPr>
              <w:t>PECO – Does not support Rate Ready Billing</w:t>
            </w:r>
          </w:p>
          <w:p w:rsidR="00F3724A" w:rsidRDefault="00F3724A" w:rsidP="00F3724A">
            <w:pPr>
              <w:numPr>
                <w:ilvl w:val="0"/>
                <w:numId w:val="3"/>
              </w:numPr>
            </w:pPr>
            <w:r>
              <w:rPr>
                <w:snapToGrid w:val="0"/>
              </w:rPr>
              <w:t xml:space="preserve">PPL EU – </w:t>
            </w:r>
            <w:r>
              <w:t xml:space="preserve">Supplier payment is based on the date the bill was issued, not based on due date.  In the event a due date change </w:t>
            </w:r>
            <w:proofErr w:type="gramStart"/>
            <w:r>
              <w:t>actually impacts</w:t>
            </w:r>
            <w:proofErr w:type="gramEnd"/>
            <w:r>
              <w:t xml:space="preserve"> the supplier, PPL EU will cancel/re-bill the account.</w:t>
            </w:r>
          </w:p>
          <w:p w:rsidR="00F3724A" w:rsidRPr="00F3724A" w:rsidRDefault="00F3724A" w:rsidP="00F3724A">
            <w:pPr>
              <w:numPr>
                <w:ilvl w:val="0"/>
                <w:numId w:val="3"/>
              </w:numPr>
              <w:rPr>
                <w:color w:val="FF0000"/>
              </w:rPr>
            </w:pPr>
            <w:r w:rsidRPr="00F3724A">
              <w:rPr>
                <w:color w:val="FF0000"/>
              </w:rPr>
              <w:t>Citizens – Due Dates do not change</w:t>
            </w:r>
          </w:p>
          <w:p w:rsidR="00F3724A" w:rsidRDefault="00F3724A" w:rsidP="00F3724A">
            <w:pPr>
              <w:numPr>
                <w:ilvl w:val="0"/>
                <w:numId w:val="3"/>
              </w:numPr>
            </w:pPr>
            <w:r w:rsidRPr="00F3724A">
              <w:rPr>
                <w:color w:val="FF0000"/>
              </w:rPr>
              <w:t>Wellsboro – Due Dates do not change</w:t>
            </w:r>
          </w:p>
        </w:tc>
      </w:tr>
      <w:tr w:rsidR="00F3724A" w:rsidTr="00F3724A">
        <w:trPr>
          <w:trHeight w:val="530"/>
        </w:trPr>
        <w:tc>
          <w:tcPr>
            <w:tcW w:w="1963" w:type="dxa"/>
            <w:tcBorders>
              <w:top w:val="dotted" w:sz="4" w:space="0" w:color="auto"/>
              <w:left w:val="dotted" w:sz="4" w:space="0" w:color="auto"/>
              <w:bottom w:val="dotted" w:sz="4" w:space="0" w:color="auto"/>
              <w:right w:val="single" w:sz="6" w:space="0" w:color="auto"/>
            </w:tcBorders>
            <w:hideMark/>
          </w:tcPr>
          <w:p w:rsidR="00F3724A" w:rsidRDefault="00F37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Pr>
                <w:snapToGrid w:val="0"/>
              </w:rPr>
              <w:t>Budget Billing</w:t>
            </w:r>
          </w:p>
        </w:tc>
        <w:tc>
          <w:tcPr>
            <w:tcW w:w="180" w:type="dxa"/>
            <w:tcBorders>
              <w:top w:val="dotted" w:sz="4" w:space="0" w:color="auto"/>
              <w:left w:val="nil"/>
              <w:bottom w:val="dotted" w:sz="4" w:space="0" w:color="auto"/>
              <w:right w:val="nil"/>
            </w:tcBorders>
          </w:tcPr>
          <w:p w:rsidR="00F3724A" w:rsidRDefault="00F3724A">
            <w:pPr>
              <w:pStyle w:val="Heading1"/>
              <w:rPr>
                <w:rFonts w:ascii="Times New Roman" w:hAnsi="Times New Roman"/>
                <w:b w:val="0"/>
                <w:sz w:val="20"/>
              </w:rPr>
            </w:pPr>
          </w:p>
        </w:tc>
        <w:tc>
          <w:tcPr>
            <w:tcW w:w="8192" w:type="dxa"/>
            <w:tcBorders>
              <w:top w:val="dotted" w:sz="4" w:space="0" w:color="auto"/>
              <w:left w:val="nil"/>
              <w:bottom w:val="dotted" w:sz="4" w:space="0" w:color="auto"/>
              <w:right w:val="dotted" w:sz="4" w:space="0" w:color="auto"/>
            </w:tcBorders>
          </w:tcPr>
          <w:p w:rsidR="00F3724A" w:rsidRDefault="00F3724A" w:rsidP="00F3724A">
            <w:pPr>
              <w:pStyle w:val="Heading6"/>
              <w:keepNext/>
              <w:spacing w:before="0" w:after="0"/>
              <w:rPr>
                <w:snapToGrid w:val="0"/>
              </w:rPr>
            </w:pPr>
            <w:r w:rsidRPr="00F3724A">
              <w:rPr>
                <w:b/>
                <w:i w:val="0"/>
                <w:snapToGrid w:val="0"/>
                <w:sz w:val="20"/>
              </w:rPr>
              <w:t>Duquesne</w:t>
            </w:r>
            <w:r>
              <w:rPr>
                <w:snapToGrid w:val="0"/>
              </w:rPr>
              <w:t xml:space="preserve">  </w:t>
            </w:r>
          </w:p>
          <w:p w:rsidR="00F3724A" w:rsidRDefault="00F3724A" w:rsidP="00F3724A">
            <w:pPr>
              <w:pStyle w:val="ListParagraph"/>
              <w:numPr>
                <w:ilvl w:val="0"/>
                <w:numId w:val="4"/>
              </w:numPr>
              <w:rPr>
                <w:b/>
                <w:i/>
                <w:snapToGrid w:val="0"/>
              </w:rPr>
            </w:pPr>
            <w:r>
              <w:rPr>
                <w:snapToGrid w:val="0"/>
                <w:color w:val="000000"/>
              </w:rPr>
              <w:t>Rate Ready - Provides option for budget billing for both LDC and ESP charges to all residential customers.  The budget amounts are based on the average usage over the previous 12- month period.</w:t>
            </w:r>
          </w:p>
          <w:p w:rsidR="00F3724A" w:rsidRDefault="00F3724A" w:rsidP="00F3724A">
            <w:pPr>
              <w:pStyle w:val="ListParagraph"/>
              <w:numPr>
                <w:ilvl w:val="0"/>
                <w:numId w:val="5"/>
              </w:numPr>
              <w:ind w:left="360"/>
              <w:rPr>
                <w:b/>
                <w:i/>
                <w:snapToGrid w:val="0"/>
              </w:rPr>
            </w:pPr>
            <w:r>
              <w:rPr>
                <w:snapToGrid w:val="0"/>
              </w:rPr>
              <w:t>B</w:t>
            </w:r>
            <w:r>
              <w:rPr>
                <w:snapToGrid w:val="0"/>
                <w:color w:val="000000"/>
              </w:rPr>
              <w:t>ill Ready –</w:t>
            </w:r>
            <w:r>
              <w:rPr>
                <w:b/>
                <w:i/>
                <w:snapToGrid w:val="0"/>
              </w:rPr>
              <w:t xml:space="preserve"> </w:t>
            </w:r>
            <w:r>
              <w:rPr>
                <w:snapToGrid w:val="0"/>
              </w:rPr>
              <w:t xml:space="preserve">Duquesne will only calculate a budget for the distribution charges. The ESP has the option to budget their charges in the 810 </w:t>
            </w:r>
            <w:proofErr w:type="gramStart"/>
            <w:r>
              <w:rPr>
                <w:snapToGrid w:val="0"/>
              </w:rPr>
              <w:t>invoice</w:t>
            </w:r>
            <w:proofErr w:type="gramEnd"/>
            <w:r>
              <w:rPr>
                <w:snapToGrid w:val="0"/>
              </w:rPr>
              <w:t>. The Supplier will be paid on the amount sent in the bill ready 810. The ESP will be responsible for maintaining the customer’s budget bill balance for ESP charges. The customer must contact the ESP directly regarding budget bill of ESP charges.</w:t>
            </w:r>
          </w:p>
          <w:p w:rsidR="00F3724A" w:rsidRDefault="00F3724A">
            <w:pPr>
              <w:pStyle w:val="ListParagraph"/>
              <w:ind w:left="360"/>
              <w:rPr>
                <w:snapToGrid w:val="0"/>
              </w:rPr>
            </w:pPr>
          </w:p>
          <w:p w:rsidR="00F3724A" w:rsidRDefault="00F3724A" w:rsidP="00F3724A">
            <w:pPr>
              <w:pStyle w:val="Heading6"/>
              <w:keepNext/>
              <w:spacing w:before="0" w:after="0"/>
              <w:rPr>
                <w:snapToGrid w:val="0"/>
              </w:rPr>
            </w:pPr>
            <w:r w:rsidRPr="00F3724A">
              <w:rPr>
                <w:b/>
                <w:i w:val="0"/>
                <w:snapToGrid w:val="0"/>
                <w:sz w:val="20"/>
              </w:rPr>
              <w:t>PECO</w:t>
            </w:r>
          </w:p>
          <w:p w:rsidR="00F3724A" w:rsidRDefault="00F3724A">
            <w:pPr>
              <w:rPr>
                <w:rFonts w:ascii="Times New Roman" w:hAnsi="Times New Roman"/>
                <w:snapToGrid w:val="0"/>
              </w:rPr>
            </w:pPr>
            <w:r>
              <w:rPr>
                <w:snapToGrid w:val="0"/>
              </w:rPr>
              <w:t>PECO’s process for LDC Consolidated Billing:</w:t>
            </w:r>
          </w:p>
          <w:p w:rsidR="00F3724A" w:rsidRDefault="00F3724A" w:rsidP="00F3724A">
            <w:pPr>
              <w:pStyle w:val="ListParagraph"/>
              <w:numPr>
                <w:ilvl w:val="0"/>
                <w:numId w:val="6"/>
              </w:numPr>
              <w:rPr>
                <w:snapToGrid w:val="0"/>
              </w:rPr>
            </w:pPr>
            <w:r>
              <w:rPr>
                <w:snapToGrid w:val="0"/>
              </w:rPr>
              <w:t>The ESP enrolls the customer</w:t>
            </w:r>
            <w:proofErr w:type="gramStart"/>
            <w:r>
              <w:rPr>
                <w:snapToGrid w:val="0"/>
              </w:rPr>
              <w:t xml:space="preserve">   (</w:t>
            </w:r>
            <w:proofErr w:type="gramEnd"/>
            <w:r>
              <w:rPr>
                <w:snapToGrid w:val="0"/>
              </w:rPr>
              <w:t xml:space="preserve">814 Enrollment Request) </w:t>
            </w:r>
          </w:p>
          <w:p w:rsidR="00F3724A" w:rsidRDefault="00F3724A" w:rsidP="00F3724A">
            <w:pPr>
              <w:pStyle w:val="ListParagraph"/>
              <w:numPr>
                <w:ilvl w:val="0"/>
                <w:numId w:val="6"/>
              </w:numPr>
              <w:rPr>
                <w:snapToGrid w:val="0"/>
              </w:rPr>
            </w:pPr>
            <w:r>
              <w:rPr>
                <w:snapToGrid w:val="0"/>
              </w:rPr>
              <w:t>PECO responds and informs the ESP if the customer is budget billed using the LDC Budget Billing Status on the 814 Enrollment Response</w:t>
            </w:r>
          </w:p>
          <w:p w:rsidR="00F3724A" w:rsidRDefault="00F3724A" w:rsidP="00F3724A">
            <w:pPr>
              <w:pStyle w:val="ListParagraph"/>
              <w:numPr>
                <w:ilvl w:val="0"/>
                <w:numId w:val="6"/>
              </w:numPr>
              <w:rPr>
                <w:snapToGrid w:val="0"/>
              </w:rPr>
            </w:pPr>
            <w:r>
              <w:rPr>
                <w:snapToGrid w:val="0"/>
              </w:rPr>
              <w:t xml:space="preserve">PECO passes the total usage to the </w:t>
            </w:r>
            <w:proofErr w:type="gramStart"/>
            <w:r>
              <w:rPr>
                <w:snapToGrid w:val="0"/>
              </w:rPr>
              <w:t>ESP  on</w:t>
            </w:r>
            <w:proofErr w:type="gramEnd"/>
            <w:r>
              <w:rPr>
                <w:snapToGrid w:val="0"/>
              </w:rPr>
              <w:t xml:space="preserve"> the 867</w:t>
            </w:r>
          </w:p>
          <w:p w:rsidR="00F3724A" w:rsidRDefault="00F3724A" w:rsidP="00F3724A">
            <w:pPr>
              <w:pStyle w:val="ListParagraph"/>
              <w:numPr>
                <w:ilvl w:val="0"/>
                <w:numId w:val="6"/>
              </w:numPr>
              <w:rPr>
                <w:snapToGrid w:val="0"/>
              </w:rPr>
            </w:pPr>
            <w:r>
              <w:rPr>
                <w:snapToGrid w:val="0"/>
              </w:rPr>
              <w:t xml:space="preserve">The ESP passes their total charges (not budgeted charges) to </w:t>
            </w:r>
            <w:proofErr w:type="gramStart"/>
            <w:r>
              <w:rPr>
                <w:snapToGrid w:val="0"/>
              </w:rPr>
              <w:t>PECO  on</w:t>
            </w:r>
            <w:proofErr w:type="gramEnd"/>
            <w:r>
              <w:rPr>
                <w:snapToGrid w:val="0"/>
              </w:rPr>
              <w:t xml:space="preserve"> the 810</w:t>
            </w:r>
          </w:p>
          <w:p w:rsidR="00F3724A" w:rsidRDefault="00F3724A" w:rsidP="00F3724A">
            <w:pPr>
              <w:pStyle w:val="ListParagraph"/>
              <w:numPr>
                <w:ilvl w:val="0"/>
                <w:numId w:val="6"/>
              </w:numPr>
              <w:rPr>
                <w:snapToGrid w:val="0"/>
              </w:rPr>
            </w:pPr>
            <w:r>
              <w:rPr>
                <w:snapToGrid w:val="0"/>
              </w:rPr>
              <w:t>PECO calculates the customer’s budget bill for both the ESP and LDC portion of the bill.</w:t>
            </w:r>
          </w:p>
          <w:p w:rsidR="00F3724A" w:rsidRDefault="00F3724A" w:rsidP="00F3724A">
            <w:pPr>
              <w:pStyle w:val="ListParagraph"/>
              <w:numPr>
                <w:ilvl w:val="0"/>
                <w:numId w:val="6"/>
              </w:numPr>
              <w:rPr>
                <w:snapToGrid w:val="0"/>
              </w:rPr>
            </w:pPr>
            <w:r>
              <w:rPr>
                <w:snapToGrid w:val="0"/>
              </w:rPr>
              <w:t>PECO pays (in 20-25 days) the ESP for the ESP’s total undisputed dollars (not the customer’s budgeted dollars).</w:t>
            </w:r>
          </w:p>
          <w:p w:rsidR="00F3724A" w:rsidRDefault="00F3724A" w:rsidP="00F3724A">
            <w:pPr>
              <w:pStyle w:val="ListParagraph"/>
              <w:numPr>
                <w:ilvl w:val="0"/>
                <w:numId w:val="6"/>
              </w:numPr>
              <w:rPr>
                <w:snapToGrid w:val="0"/>
              </w:rPr>
            </w:pPr>
            <w:r>
              <w:rPr>
                <w:snapToGrid w:val="0"/>
              </w:rPr>
              <w:t>The Budget is between the PECO and the Customer.</w:t>
            </w:r>
          </w:p>
          <w:p w:rsidR="00F3724A" w:rsidRDefault="00F3724A">
            <w:pPr>
              <w:pStyle w:val="Heading6"/>
              <w:tabs>
                <w:tab w:val="left" w:pos="720"/>
              </w:tabs>
              <w:rPr>
                <w:snapToGrid w:val="0"/>
              </w:rPr>
            </w:pPr>
          </w:p>
          <w:p w:rsidR="00F3724A" w:rsidRPr="00F3724A" w:rsidRDefault="00F3724A" w:rsidP="00F3724A">
            <w:pPr>
              <w:pStyle w:val="Heading6"/>
              <w:keepNext/>
              <w:spacing w:before="0" w:after="0"/>
              <w:rPr>
                <w:b/>
                <w:i w:val="0"/>
                <w:snapToGrid w:val="0"/>
                <w:sz w:val="20"/>
              </w:rPr>
            </w:pPr>
            <w:r w:rsidRPr="00F3724A">
              <w:rPr>
                <w:b/>
                <w:i w:val="0"/>
                <w:snapToGrid w:val="0"/>
                <w:sz w:val="20"/>
              </w:rPr>
              <w:t xml:space="preserve">PPL EU  </w:t>
            </w:r>
          </w:p>
          <w:p w:rsidR="00F3724A" w:rsidRPr="00F3724A" w:rsidRDefault="00F3724A" w:rsidP="00F3724A">
            <w:pPr>
              <w:pStyle w:val="Heading6"/>
              <w:keepNext/>
              <w:spacing w:before="0" w:after="0"/>
              <w:rPr>
                <w:i w:val="0"/>
                <w:sz w:val="20"/>
              </w:rPr>
            </w:pPr>
            <w:r w:rsidRPr="00F3724A">
              <w:rPr>
                <w:i w:val="0"/>
                <w:sz w:val="20"/>
              </w:rPr>
              <w:t xml:space="preserve">PPL EU handles the budget with the customer directly, including supplier charges.  The supplier is expected to send actual charges in Bill Ready and will be paid based on actual charges for both Bill Ready and Rate Ready.  A customer may not be on budget billing with PPL EU for EGS </w:t>
            </w:r>
            <w:r w:rsidRPr="00F3724A">
              <w:rPr>
                <w:i w:val="0"/>
                <w:sz w:val="20"/>
              </w:rPr>
              <w:lastRenderedPageBreak/>
              <w:t>Consolidated Billing</w:t>
            </w:r>
          </w:p>
          <w:p w:rsidR="00F3724A" w:rsidRDefault="00F3724A">
            <w:pPr>
              <w:rPr>
                <w:rFonts w:ascii="Times New Roman" w:hAnsi="Times New Roman"/>
                <w:snapToGrid w:val="0"/>
                <w:color w:val="000000"/>
              </w:rPr>
            </w:pPr>
          </w:p>
          <w:p w:rsidR="00F3724A" w:rsidRDefault="00F3724A">
            <w:pPr>
              <w:rPr>
                <w:snapToGrid w:val="0"/>
              </w:rPr>
            </w:pPr>
            <w:r w:rsidRPr="00F3724A">
              <w:rPr>
                <w:rFonts w:ascii="Times New Roman" w:hAnsi="Times New Roman"/>
                <w:b/>
                <w:snapToGrid w:val="0"/>
                <w:sz w:val="20"/>
              </w:rPr>
              <w:t>UGI</w:t>
            </w:r>
          </w:p>
          <w:p w:rsidR="00F3724A" w:rsidRPr="00F3724A" w:rsidRDefault="00F3724A" w:rsidP="00F3724A">
            <w:pPr>
              <w:numPr>
                <w:ilvl w:val="0"/>
                <w:numId w:val="7"/>
              </w:numPr>
              <w:rPr>
                <w:rFonts w:ascii="Times New Roman" w:hAnsi="Times New Roman"/>
                <w:snapToGrid w:val="0"/>
                <w:color w:val="000000"/>
                <w:sz w:val="20"/>
              </w:rPr>
            </w:pPr>
            <w:r w:rsidRPr="00F3724A">
              <w:rPr>
                <w:rFonts w:ascii="Times New Roman" w:hAnsi="Times New Roman"/>
                <w:snapToGrid w:val="0"/>
                <w:color w:val="000000"/>
                <w:sz w:val="20"/>
              </w:rPr>
              <w:t>Contact UGI supplier information for details on budget billing.</w:t>
            </w:r>
          </w:p>
          <w:p w:rsidR="00F3724A" w:rsidRDefault="00F3724A">
            <w:pPr>
              <w:rPr>
                <w:snapToGrid w:val="0"/>
              </w:rPr>
            </w:pPr>
          </w:p>
          <w:p w:rsidR="00F3724A" w:rsidRPr="00F3724A" w:rsidRDefault="00F3724A" w:rsidP="00F3724A">
            <w:pPr>
              <w:rPr>
                <w:rFonts w:ascii="Times New Roman" w:hAnsi="Times New Roman"/>
                <w:b/>
                <w:snapToGrid w:val="0"/>
                <w:sz w:val="20"/>
              </w:rPr>
            </w:pPr>
            <w:r w:rsidRPr="00F3724A">
              <w:rPr>
                <w:rFonts w:ascii="Times New Roman" w:hAnsi="Times New Roman"/>
                <w:b/>
                <w:snapToGrid w:val="0"/>
                <w:sz w:val="20"/>
              </w:rPr>
              <w:t xml:space="preserve">First Energy </w:t>
            </w:r>
          </w:p>
          <w:p w:rsidR="00F3724A" w:rsidRPr="00F3724A" w:rsidRDefault="00F3724A" w:rsidP="00F3724A">
            <w:pPr>
              <w:numPr>
                <w:ilvl w:val="0"/>
                <w:numId w:val="8"/>
              </w:numPr>
              <w:rPr>
                <w:rFonts w:ascii="Times New Roman" w:hAnsi="Times New Roman"/>
                <w:snapToGrid w:val="0"/>
                <w:color w:val="000000"/>
                <w:sz w:val="20"/>
              </w:rPr>
            </w:pPr>
            <w:r w:rsidRPr="00F3724A">
              <w:rPr>
                <w:rFonts w:ascii="Times New Roman" w:hAnsi="Times New Roman"/>
                <w:snapToGrid w:val="0"/>
                <w:color w:val="000000"/>
                <w:sz w:val="20"/>
              </w:rPr>
              <w:t>Rate Ready – FirstEnergy will automatically budget ESP charges when customer is on budget billing with FirstEnergy.   Supplier will be paid on actual charges.</w:t>
            </w:r>
          </w:p>
          <w:p w:rsidR="00F3724A" w:rsidRPr="00F3724A" w:rsidRDefault="00F3724A" w:rsidP="00F3724A">
            <w:pPr>
              <w:numPr>
                <w:ilvl w:val="0"/>
                <w:numId w:val="8"/>
              </w:numPr>
              <w:rPr>
                <w:b/>
                <w:snapToGrid w:val="0"/>
              </w:rPr>
            </w:pPr>
            <w:r w:rsidRPr="00F3724A">
              <w:rPr>
                <w:rFonts w:ascii="Times New Roman" w:hAnsi="Times New Roman"/>
                <w:snapToGrid w:val="0"/>
                <w:color w:val="000000"/>
                <w:sz w:val="20"/>
              </w:rPr>
              <w:t xml:space="preserve">Bill Ready – FirstEnergy does not budget automatically budget bill ESP charges under bill ready.   The ESP has the option to budget their charges and send a ‘budgeted’ amount in the bill ready 810 </w:t>
            </w:r>
            <w:proofErr w:type="gramStart"/>
            <w:r w:rsidRPr="00F3724A">
              <w:rPr>
                <w:rFonts w:ascii="Times New Roman" w:hAnsi="Times New Roman"/>
                <w:snapToGrid w:val="0"/>
                <w:color w:val="000000"/>
                <w:sz w:val="20"/>
              </w:rPr>
              <w:t>invoice</w:t>
            </w:r>
            <w:proofErr w:type="gramEnd"/>
            <w:r w:rsidRPr="00F3724A">
              <w:rPr>
                <w:rFonts w:ascii="Times New Roman" w:hAnsi="Times New Roman"/>
                <w:snapToGrid w:val="0"/>
                <w:color w:val="000000"/>
                <w:sz w:val="20"/>
              </w:rPr>
              <w:t xml:space="preserve">.   Supplier will be paid on the amount sent in the bill ready </w:t>
            </w:r>
            <w:proofErr w:type="gramStart"/>
            <w:r w:rsidRPr="00F3724A">
              <w:rPr>
                <w:rFonts w:ascii="Times New Roman" w:hAnsi="Times New Roman"/>
                <w:snapToGrid w:val="0"/>
                <w:color w:val="000000"/>
                <w:sz w:val="20"/>
              </w:rPr>
              <w:t>810  The</w:t>
            </w:r>
            <w:proofErr w:type="gramEnd"/>
            <w:r w:rsidRPr="00F3724A">
              <w:rPr>
                <w:rFonts w:ascii="Times New Roman" w:hAnsi="Times New Roman"/>
                <w:snapToGrid w:val="0"/>
                <w:color w:val="000000"/>
                <w:sz w:val="20"/>
              </w:rPr>
              <w:t xml:space="preserve"> ESP will be responsible for maintaining the customer’s budget bill balance for ESP charges.   The customer must contact the ESP directly regarding budget bill of ESP charges.</w:t>
            </w:r>
          </w:p>
          <w:p w:rsidR="00F3724A" w:rsidRPr="00F3724A" w:rsidRDefault="00F3724A" w:rsidP="00F3724A">
            <w:pPr>
              <w:rPr>
                <w:rFonts w:ascii="Times New Roman" w:hAnsi="Times New Roman"/>
                <w:snapToGrid w:val="0"/>
                <w:color w:val="FF0000"/>
                <w:sz w:val="20"/>
              </w:rPr>
            </w:pPr>
          </w:p>
          <w:p w:rsidR="00F3724A" w:rsidRPr="00F3724A" w:rsidRDefault="00F3724A" w:rsidP="00F3724A">
            <w:pPr>
              <w:rPr>
                <w:rFonts w:ascii="Times New Roman" w:hAnsi="Times New Roman"/>
                <w:snapToGrid w:val="0"/>
                <w:color w:val="FF0000"/>
                <w:sz w:val="20"/>
              </w:rPr>
            </w:pPr>
            <w:r w:rsidRPr="00F3724A">
              <w:rPr>
                <w:rFonts w:ascii="Times New Roman" w:hAnsi="Times New Roman"/>
                <w:b/>
                <w:snapToGrid w:val="0"/>
                <w:color w:val="FF0000"/>
                <w:sz w:val="20"/>
              </w:rPr>
              <w:t>Citizens</w:t>
            </w:r>
            <w:r w:rsidR="00FB5588">
              <w:rPr>
                <w:rFonts w:ascii="Times New Roman" w:hAnsi="Times New Roman"/>
                <w:b/>
                <w:snapToGrid w:val="0"/>
                <w:color w:val="FF0000"/>
                <w:sz w:val="20"/>
              </w:rPr>
              <w:t xml:space="preserve"> &amp; Wellsboro</w:t>
            </w:r>
          </w:p>
          <w:p w:rsidR="00F3724A" w:rsidRPr="00F3724A" w:rsidRDefault="00F3724A" w:rsidP="00FB5588">
            <w:pPr>
              <w:numPr>
                <w:ilvl w:val="0"/>
                <w:numId w:val="10"/>
              </w:numPr>
              <w:rPr>
                <w:rFonts w:ascii="Times New Roman" w:hAnsi="Times New Roman"/>
                <w:snapToGrid w:val="0"/>
                <w:color w:val="FF0000"/>
                <w:sz w:val="20"/>
              </w:rPr>
            </w:pPr>
            <w:r w:rsidRPr="00F3724A">
              <w:rPr>
                <w:rFonts w:ascii="Times New Roman" w:hAnsi="Times New Roman"/>
                <w:snapToGrid w:val="0"/>
                <w:color w:val="FF0000"/>
                <w:sz w:val="20"/>
              </w:rPr>
              <w:t>Citizens supports Budget Billing</w:t>
            </w:r>
            <w:r w:rsidR="00FB5588">
              <w:rPr>
                <w:rFonts w:ascii="Times New Roman" w:hAnsi="Times New Roman"/>
                <w:snapToGrid w:val="0"/>
                <w:color w:val="FF0000"/>
                <w:sz w:val="20"/>
              </w:rPr>
              <w:t xml:space="preserve">.  </w:t>
            </w:r>
            <w:r w:rsidR="00FB5588" w:rsidRPr="00FB5588">
              <w:rPr>
                <w:rFonts w:ascii="Times New Roman" w:hAnsi="Times New Roman"/>
                <w:snapToGrid w:val="0"/>
                <w:color w:val="FF0000"/>
                <w:sz w:val="20"/>
              </w:rPr>
              <w:t xml:space="preserve">Budget EGS charges when customer is setup on budget with EDC </w:t>
            </w:r>
            <w:proofErr w:type="gramStart"/>
            <w:r w:rsidR="00FB5588" w:rsidRPr="00FB5588">
              <w:rPr>
                <w:rFonts w:ascii="Times New Roman" w:hAnsi="Times New Roman"/>
                <w:snapToGrid w:val="0"/>
                <w:color w:val="FF0000"/>
                <w:sz w:val="20"/>
              </w:rPr>
              <w:t>&amp;  remit</w:t>
            </w:r>
            <w:proofErr w:type="gramEnd"/>
            <w:r w:rsidR="00FB5588" w:rsidRPr="00FB5588">
              <w:rPr>
                <w:rFonts w:ascii="Times New Roman" w:hAnsi="Times New Roman"/>
                <w:snapToGrid w:val="0"/>
                <w:color w:val="FF0000"/>
                <w:sz w:val="20"/>
              </w:rPr>
              <w:t xml:space="preserve"> payment based on customer payment.</w:t>
            </w:r>
          </w:p>
          <w:p w:rsidR="00F3724A" w:rsidRPr="00F3724A" w:rsidRDefault="00F3724A" w:rsidP="00F3724A">
            <w:pPr>
              <w:rPr>
                <w:rFonts w:ascii="Times New Roman" w:hAnsi="Times New Roman"/>
                <w:snapToGrid w:val="0"/>
                <w:color w:val="000000"/>
                <w:sz w:val="20"/>
              </w:rPr>
            </w:pPr>
          </w:p>
        </w:tc>
      </w:tr>
      <w:tr w:rsidR="00F3724A" w:rsidTr="00F3724A">
        <w:trPr>
          <w:trHeight w:val="530"/>
        </w:trPr>
        <w:tc>
          <w:tcPr>
            <w:tcW w:w="1963" w:type="dxa"/>
            <w:tcBorders>
              <w:top w:val="dotted" w:sz="4" w:space="0" w:color="auto"/>
              <w:left w:val="dotted" w:sz="4" w:space="0" w:color="auto"/>
              <w:bottom w:val="dotted" w:sz="4" w:space="0" w:color="auto"/>
              <w:right w:val="single" w:sz="6" w:space="0" w:color="auto"/>
            </w:tcBorders>
            <w:hideMark/>
          </w:tcPr>
          <w:p w:rsidR="00F3724A" w:rsidRPr="000620FA" w:rsidRDefault="00F37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olor w:val="000000"/>
                <w:sz w:val="20"/>
              </w:rPr>
            </w:pPr>
            <w:r w:rsidRPr="000620FA">
              <w:rPr>
                <w:rFonts w:ascii="Times New Roman" w:hAnsi="Times New Roman"/>
                <w:color w:val="000000"/>
                <w:sz w:val="20"/>
              </w:rPr>
              <w:lastRenderedPageBreak/>
              <w:t>Rate Ready EDC – Re-Bill Process for Tax Rate Change</w:t>
            </w:r>
          </w:p>
          <w:p w:rsidR="00F3724A" w:rsidRPr="000620FA" w:rsidRDefault="00F37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olor w:val="000000"/>
                <w:sz w:val="20"/>
              </w:rPr>
            </w:pPr>
          </w:p>
        </w:tc>
        <w:tc>
          <w:tcPr>
            <w:tcW w:w="180" w:type="dxa"/>
            <w:tcBorders>
              <w:top w:val="dotted" w:sz="4" w:space="0" w:color="auto"/>
              <w:left w:val="nil"/>
              <w:bottom w:val="dotted" w:sz="4" w:space="0" w:color="auto"/>
              <w:right w:val="nil"/>
            </w:tcBorders>
          </w:tcPr>
          <w:p w:rsidR="00F3724A" w:rsidRPr="00F3724A" w:rsidRDefault="00F3724A">
            <w:pPr>
              <w:pStyle w:val="Heading1"/>
              <w:rPr>
                <w:rFonts w:ascii="Times New Roman" w:hAnsi="Times New Roman"/>
                <w:b w:val="0"/>
                <w:sz w:val="20"/>
              </w:rPr>
            </w:pPr>
          </w:p>
        </w:tc>
        <w:tc>
          <w:tcPr>
            <w:tcW w:w="8192" w:type="dxa"/>
            <w:tcBorders>
              <w:top w:val="dotted" w:sz="4" w:space="0" w:color="auto"/>
              <w:left w:val="nil"/>
              <w:bottom w:val="dotted" w:sz="4" w:space="0" w:color="auto"/>
              <w:right w:val="dotted" w:sz="4" w:space="0" w:color="auto"/>
            </w:tcBorders>
          </w:tcPr>
          <w:p w:rsidR="00F3724A" w:rsidRPr="00F3724A" w:rsidRDefault="00F3724A" w:rsidP="00F3724A">
            <w:pPr>
              <w:pStyle w:val="Footer"/>
              <w:rPr>
                <w:rFonts w:ascii="Times New Roman" w:hAnsi="Times New Roman"/>
                <w:color w:val="000000"/>
                <w:sz w:val="20"/>
              </w:rPr>
            </w:pPr>
            <w:r w:rsidRPr="00F3724A">
              <w:rPr>
                <w:rFonts w:ascii="Times New Roman" w:hAnsi="Times New Roman"/>
                <w:color w:val="000000"/>
                <w:sz w:val="20"/>
              </w:rPr>
              <w:t>Process for each Rate Ready LDC when there is a re-bill situation across a change in the tax rate for ESP charges.</w:t>
            </w:r>
          </w:p>
          <w:p w:rsidR="00F3724A" w:rsidRDefault="00F3724A" w:rsidP="00F3724A">
            <w:pPr>
              <w:pStyle w:val="Footer"/>
              <w:rPr>
                <w:color w:val="000000"/>
              </w:rPr>
            </w:pPr>
          </w:p>
          <w:p w:rsidR="00F3724A" w:rsidRPr="00F3724A" w:rsidRDefault="00F3724A" w:rsidP="00F3724A">
            <w:pPr>
              <w:pStyle w:val="Footer"/>
              <w:rPr>
                <w:rFonts w:ascii="Times New Roman" w:hAnsi="Times New Roman"/>
                <w:color w:val="000000"/>
                <w:sz w:val="20"/>
              </w:rPr>
            </w:pPr>
            <w:r w:rsidRPr="00F3724A">
              <w:rPr>
                <w:rFonts w:ascii="Times New Roman" w:hAnsi="Times New Roman"/>
                <w:b/>
                <w:color w:val="000000"/>
                <w:sz w:val="20"/>
              </w:rPr>
              <w:t>Duquesne Light</w:t>
            </w:r>
            <w:r w:rsidRPr="009F6631">
              <w:rPr>
                <w:color w:val="000000"/>
              </w:rPr>
              <w:t xml:space="preserve"> –</w:t>
            </w:r>
            <w:r w:rsidRPr="00975400">
              <w:rPr>
                <w:color w:val="000000"/>
              </w:rPr>
              <w:t xml:space="preserve"> </w:t>
            </w:r>
            <w:r w:rsidRPr="00F3724A">
              <w:rPr>
                <w:rFonts w:ascii="Times New Roman" w:hAnsi="Times New Roman"/>
                <w:color w:val="000000"/>
                <w:sz w:val="20"/>
              </w:rPr>
              <w:t xml:space="preserve">This rate is effective for </w:t>
            </w:r>
            <w:proofErr w:type="gramStart"/>
            <w:r w:rsidRPr="00F3724A">
              <w:rPr>
                <w:rFonts w:ascii="Times New Roman" w:hAnsi="Times New Roman"/>
                <w:color w:val="000000"/>
                <w:sz w:val="20"/>
              </w:rPr>
              <w:t>a period of time</w:t>
            </w:r>
            <w:proofErr w:type="gramEnd"/>
            <w:r w:rsidRPr="00F3724A">
              <w:rPr>
                <w:rFonts w:ascii="Times New Roman" w:hAnsi="Times New Roman"/>
                <w:color w:val="000000"/>
                <w:sz w:val="20"/>
              </w:rPr>
              <w:t xml:space="preserve"> until a new rate is provided with a new effective date.  Any cancel/re-bill uses the rate with the effective date for the period being canceled and re-billed.  State sales tax is hardcoded into our programming, so if that were to change and we had to cancel/re-bill, the new value would be used no matter the </w:t>
            </w:r>
            <w:proofErr w:type="gramStart"/>
            <w:r w:rsidRPr="00F3724A">
              <w:rPr>
                <w:rFonts w:ascii="Times New Roman" w:hAnsi="Times New Roman"/>
                <w:color w:val="000000"/>
                <w:sz w:val="20"/>
              </w:rPr>
              <w:t>time period</w:t>
            </w:r>
            <w:proofErr w:type="gramEnd"/>
            <w:r w:rsidRPr="00F3724A">
              <w:rPr>
                <w:rFonts w:ascii="Times New Roman" w:hAnsi="Times New Roman"/>
                <w:color w:val="000000"/>
                <w:sz w:val="20"/>
              </w:rPr>
              <w:t xml:space="preserve"> the bill was for. </w:t>
            </w:r>
          </w:p>
          <w:p w:rsidR="00F3724A" w:rsidRPr="009F6631" w:rsidRDefault="00F3724A" w:rsidP="00F3724A">
            <w:pPr>
              <w:pStyle w:val="Footer"/>
              <w:rPr>
                <w:color w:val="000000"/>
              </w:rPr>
            </w:pPr>
          </w:p>
          <w:p w:rsidR="00F3724A" w:rsidRPr="00F3724A" w:rsidRDefault="00F3724A" w:rsidP="00F3724A">
            <w:pPr>
              <w:pStyle w:val="Footer"/>
              <w:rPr>
                <w:rFonts w:ascii="Times New Roman" w:hAnsi="Times New Roman"/>
                <w:b/>
                <w:color w:val="000000"/>
                <w:sz w:val="20"/>
              </w:rPr>
            </w:pPr>
            <w:r w:rsidRPr="00F3724A">
              <w:rPr>
                <w:rFonts w:ascii="Times New Roman" w:hAnsi="Times New Roman"/>
                <w:b/>
                <w:color w:val="000000"/>
                <w:sz w:val="20"/>
              </w:rPr>
              <w:t xml:space="preserve">First Energy – </w:t>
            </w:r>
            <w:r w:rsidRPr="00F3724A">
              <w:rPr>
                <w:rFonts w:ascii="Times New Roman" w:hAnsi="Times New Roman"/>
                <w:color w:val="000000"/>
                <w:sz w:val="20"/>
              </w:rPr>
              <w:t>The cancel/re-bill uses the tax rate effective for the period being canceled and re-billed.</w:t>
            </w:r>
          </w:p>
          <w:p w:rsidR="00F3724A" w:rsidRPr="00F3724A" w:rsidRDefault="00F3724A" w:rsidP="00F3724A">
            <w:pPr>
              <w:pStyle w:val="Footer"/>
              <w:rPr>
                <w:rFonts w:ascii="Times New Roman" w:hAnsi="Times New Roman"/>
                <w:b/>
                <w:color w:val="000000"/>
                <w:sz w:val="20"/>
              </w:rPr>
            </w:pPr>
          </w:p>
          <w:p w:rsidR="00F3724A" w:rsidRPr="00F3724A" w:rsidRDefault="00F3724A" w:rsidP="00F3724A">
            <w:pPr>
              <w:rPr>
                <w:rFonts w:ascii="Times New Roman" w:hAnsi="Times New Roman"/>
                <w:color w:val="000000"/>
                <w:sz w:val="20"/>
              </w:rPr>
            </w:pPr>
            <w:r w:rsidRPr="00F3724A">
              <w:rPr>
                <w:rFonts w:ascii="Times New Roman" w:hAnsi="Times New Roman"/>
                <w:b/>
                <w:color w:val="000000"/>
                <w:sz w:val="20"/>
              </w:rPr>
              <w:t xml:space="preserve">PPLEU – </w:t>
            </w:r>
            <w:r w:rsidRPr="00F3724A">
              <w:rPr>
                <w:rFonts w:ascii="Times New Roman" w:hAnsi="Times New Roman"/>
                <w:color w:val="000000"/>
                <w:sz w:val="20"/>
              </w:rPr>
              <w:t>Any cancel /re-bill would use the tax rate in effect at the current time.  For GRT we would use the percentage that is currently stored when generating informational messages on the customer's bill.</w:t>
            </w:r>
          </w:p>
          <w:p w:rsidR="00F3724A" w:rsidRPr="00F3724A" w:rsidRDefault="00F3724A" w:rsidP="00F3724A">
            <w:pPr>
              <w:rPr>
                <w:rFonts w:ascii="Times New Roman" w:hAnsi="Times New Roman"/>
                <w:b/>
                <w:color w:val="000000"/>
                <w:sz w:val="20"/>
              </w:rPr>
            </w:pPr>
          </w:p>
          <w:p w:rsidR="00F3724A" w:rsidRDefault="00F3724A" w:rsidP="00F3724A">
            <w:pPr>
              <w:pStyle w:val="Heading6"/>
              <w:tabs>
                <w:tab w:val="left" w:pos="720"/>
              </w:tabs>
              <w:ind w:left="17"/>
              <w:rPr>
                <w:i w:val="0"/>
                <w:color w:val="000000"/>
                <w:sz w:val="20"/>
              </w:rPr>
            </w:pPr>
            <w:r w:rsidRPr="00F3724A">
              <w:rPr>
                <w:b/>
                <w:i w:val="0"/>
                <w:color w:val="000000"/>
                <w:sz w:val="20"/>
              </w:rPr>
              <w:t xml:space="preserve">UGI – </w:t>
            </w:r>
            <w:r w:rsidRPr="00F3724A">
              <w:rPr>
                <w:i w:val="0"/>
                <w:color w:val="000000"/>
                <w:sz w:val="20"/>
              </w:rPr>
              <w:t xml:space="preserve">Gross receipts tax (GRT), along with any other state taxes the supplier is recovering, is embedded in the rates the Supplier provides UGI for use in rate ready billing.  This rate is effective for </w:t>
            </w:r>
            <w:proofErr w:type="gramStart"/>
            <w:r w:rsidRPr="00F3724A">
              <w:rPr>
                <w:i w:val="0"/>
                <w:color w:val="000000"/>
                <w:sz w:val="20"/>
              </w:rPr>
              <w:t>a period of time</w:t>
            </w:r>
            <w:proofErr w:type="gramEnd"/>
            <w:r w:rsidRPr="00F3724A">
              <w:rPr>
                <w:i w:val="0"/>
                <w:color w:val="000000"/>
                <w:sz w:val="20"/>
              </w:rPr>
              <w:t xml:space="preserve"> until a new rate is provided with a new effective date.  Any cancel/re-bill uses the rate with the effective date for the period being canceled and re-billed. State sales tax is hardcoded into our programming, so if that were to change and we had to cancel/re-bill, the new rate would be used even for older periods of time.</w:t>
            </w:r>
          </w:p>
          <w:p w:rsidR="00C37567" w:rsidRPr="00C37567" w:rsidRDefault="00C37567" w:rsidP="00C37567"/>
          <w:p w:rsidR="00692EE8" w:rsidRPr="00692EE8" w:rsidRDefault="000620FA" w:rsidP="00692EE8">
            <w:pPr>
              <w:pStyle w:val="Footer"/>
              <w:rPr>
                <w:rFonts w:ascii="Times New Roman" w:hAnsi="Times New Roman"/>
                <w:b/>
                <w:color w:val="FF0000"/>
                <w:sz w:val="20"/>
              </w:rPr>
            </w:pPr>
            <w:r w:rsidRPr="00692EE8">
              <w:rPr>
                <w:rFonts w:ascii="Times New Roman" w:hAnsi="Times New Roman"/>
                <w:b/>
                <w:color w:val="FF0000"/>
                <w:sz w:val="20"/>
              </w:rPr>
              <w:t xml:space="preserve">Citizens </w:t>
            </w:r>
            <w:r w:rsidR="00C37567" w:rsidRPr="00692EE8">
              <w:rPr>
                <w:rFonts w:ascii="Times New Roman" w:hAnsi="Times New Roman"/>
                <w:b/>
                <w:color w:val="FF0000"/>
                <w:sz w:val="20"/>
              </w:rPr>
              <w:t>–</w:t>
            </w:r>
            <w:r w:rsidRPr="00692EE8">
              <w:rPr>
                <w:color w:val="FF0000"/>
              </w:rPr>
              <w:t xml:space="preserve"> </w:t>
            </w:r>
            <w:r w:rsidR="00692EE8" w:rsidRPr="00692EE8">
              <w:rPr>
                <w:rFonts w:ascii="Times New Roman" w:hAnsi="Times New Roman"/>
                <w:color w:val="FF0000"/>
                <w:sz w:val="20"/>
              </w:rPr>
              <w:t>The cancel/re-bill uses the tax rate effective for the period being canceled and re-billed.</w:t>
            </w:r>
          </w:p>
          <w:p w:rsidR="00C37567" w:rsidRPr="00692EE8" w:rsidRDefault="00C37567" w:rsidP="000620FA">
            <w:pPr>
              <w:rPr>
                <w:color w:val="FF0000"/>
              </w:rPr>
            </w:pPr>
          </w:p>
          <w:p w:rsidR="00692EE8" w:rsidRPr="00692EE8" w:rsidRDefault="00C37567" w:rsidP="00692EE8">
            <w:pPr>
              <w:pStyle w:val="Footer"/>
              <w:rPr>
                <w:rFonts w:ascii="Times New Roman" w:hAnsi="Times New Roman"/>
                <w:b/>
                <w:color w:val="FF0000"/>
                <w:sz w:val="20"/>
              </w:rPr>
            </w:pPr>
            <w:r w:rsidRPr="00692EE8">
              <w:rPr>
                <w:rFonts w:ascii="Times New Roman" w:hAnsi="Times New Roman"/>
                <w:b/>
                <w:color w:val="FF0000"/>
                <w:sz w:val="20"/>
              </w:rPr>
              <w:t>Wellsboro</w:t>
            </w:r>
            <w:r w:rsidRPr="00692EE8">
              <w:rPr>
                <w:color w:val="FF0000"/>
              </w:rPr>
              <w:t xml:space="preserve"> - </w:t>
            </w:r>
            <w:r w:rsidR="00692EE8" w:rsidRPr="00692EE8">
              <w:rPr>
                <w:rFonts w:ascii="Times New Roman" w:hAnsi="Times New Roman"/>
                <w:color w:val="FF0000"/>
                <w:sz w:val="20"/>
              </w:rPr>
              <w:t>The cancel/re-bill uses the tax rate effective for the period being canceled and re-billed.</w:t>
            </w:r>
          </w:p>
          <w:p w:rsidR="00C37567" w:rsidRDefault="00C37567" w:rsidP="000620FA"/>
          <w:p w:rsidR="00C37567" w:rsidRPr="000620FA" w:rsidRDefault="00C37567" w:rsidP="000620FA"/>
          <w:p w:rsidR="00F3724A" w:rsidRPr="00F3724A" w:rsidRDefault="00F3724A" w:rsidP="00F3724A">
            <w:pPr>
              <w:pStyle w:val="Heading6"/>
              <w:tabs>
                <w:tab w:val="left" w:pos="720"/>
              </w:tabs>
              <w:ind w:firstLine="17"/>
              <w:rPr>
                <w:snapToGrid w:val="0"/>
              </w:rPr>
            </w:pPr>
          </w:p>
        </w:tc>
      </w:tr>
      <w:tr w:rsidR="00F3724A" w:rsidTr="00F3724A">
        <w:trPr>
          <w:trHeight w:val="530"/>
        </w:trPr>
        <w:tc>
          <w:tcPr>
            <w:tcW w:w="1963" w:type="dxa"/>
            <w:tcBorders>
              <w:top w:val="dotted" w:sz="4" w:space="0" w:color="auto"/>
              <w:left w:val="dotted" w:sz="4" w:space="0" w:color="auto"/>
              <w:bottom w:val="dotted" w:sz="4" w:space="0" w:color="auto"/>
              <w:right w:val="single" w:sz="6" w:space="0" w:color="auto"/>
            </w:tcBorders>
            <w:hideMark/>
          </w:tcPr>
          <w:p w:rsidR="00F3724A" w:rsidRPr="000620FA" w:rsidRDefault="00F37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olor w:val="000000"/>
                <w:sz w:val="20"/>
              </w:rPr>
            </w:pPr>
            <w:r w:rsidRPr="000620FA">
              <w:rPr>
                <w:rFonts w:ascii="Times New Roman" w:hAnsi="Times New Roman"/>
                <w:color w:val="000000"/>
                <w:sz w:val="20"/>
              </w:rPr>
              <w:t>Rate Ready LDC – Re-Bill Process for Tax Exemption Percentage Change</w:t>
            </w:r>
          </w:p>
        </w:tc>
        <w:tc>
          <w:tcPr>
            <w:tcW w:w="180" w:type="dxa"/>
            <w:tcBorders>
              <w:top w:val="dotted" w:sz="4" w:space="0" w:color="auto"/>
              <w:left w:val="nil"/>
              <w:bottom w:val="dotted" w:sz="4" w:space="0" w:color="auto"/>
              <w:right w:val="nil"/>
            </w:tcBorders>
          </w:tcPr>
          <w:p w:rsidR="00F3724A" w:rsidRPr="00F3724A" w:rsidRDefault="00F3724A">
            <w:pPr>
              <w:pStyle w:val="Heading1"/>
              <w:rPr>
                <w:rFonts w:ascii="Times New Roman" w:hAnsi="Times New Roman"/>
                <w:b w:val="0"/>
                <w:sz w:val="20"/>
              </w:rPr>
            </w:pPr>
          </w:p>
        </w:tc>
        <w:tc>
          <w:tcPr>
            <w:tcW w:w="8192" w:type="dxa"/>
            <w:tcBorders>
              <w:top w:val="dotted" w:sz="4" w:space="0" w:color="auto"/>
              <w:left w:val="nil"/>
              <w:bottom w:val="dotted" w:sz="4" w:space="0" w:color="auto"/>
              <w:right w:val="dotted" w:sz="4" w:space="0" w:color="auto"/>
            </w:tcBorders>
          </w:tcPr>
          <w:p w:rsidR="00F3724A" w:rsidRPr="000620FA" w:rsidRDefault="00F3724A" w:rsidP="000620FA">
            <w:pPr>
              <w:pStyle w:val="Footer"/>
              <w:rPr>
                <w:rFonts w:ascii="Times New Roman" w:hAnsi="Times New Roman"/>
                <w:color w:val="000000"/>
                <w:sz w:val="20"/>
              </w:rPr>
            </w:pPr>
            <w:r w:rsidRPr="000620FA">
              <w:rPr>
                <w:rFonts w:ascii="Times New Roman" w:hAnsi="Times New Roman"/>
                <w:color w:val="000000"/>
                <w:sz w:val="20"/>
              </w:rPr>
              <w:t>Process for each Rate Ready LDC when there is a re-bill situation across a change in the ESP tax exemption percentage.</w:t>
            </w:r>
          </w:p>
          <w:p w:rsidR="00F3724A" w:rsidRPr="000620FA" w:rsidRDefault="00F3724A" w:rsidP="000620FA">
            <w:pPr>
              <w:pStyle w:val="Footer"/>
              <w:rPr>
                <w:rFonts w:ascii="Times New Roman" w:hAnsi="Times New Roman"/>
                <w:color w:val="000000"/>
                <w:sz w:val="20"/>
              </w:rPr>
            </w:pPr>
          </w:p>
          <w:p w:rsidR="00F3724A" w:rsidRPr="000620FA" w:rsidRDefault="00F3724A" w:rsidP="000620FA">
            <w:pPr>
              <w:pStyle w:val="Footer"/>
              <w:rPr>
                <w:rFonts w:ascii="Times New Roman" w:hAnsi="Times New Roman"/>
                <w:color w:val="000000"/>
                <w:sz w:val="20"/>
              </w:rPr>
            </w:pPr>
            <w:r w:rsidRPr="000620FA">
              <w:rPr>
                <w:rFonts w:ascii="Times New Roman" w:hAnsi="Times New Roman"/>
                <w:b/>
                <w:color w:val="000000"/>
                <w:sz w:val="20"/>
              </w:rPr>
              <w:t>Duquesne Light</w:t>
            </w:r>
            <w:r w:rsidRPr="000620FA">
              <w:rPr>
                <w:rFonts w:ascii="Times New Roman" w:hAnsi="Times New Roman"/>
                <w:color w:val="000000"/>
                <w:sz w:val="20"/>
              </w:rPr>
              <w:t xml:space="preserve"> – When the ESP changes tax exemption percentage, Duquesne will execute a cancel / re-bill, and the new value would be used no matter the </w:t>
            </w:r>
            <w:proofErr w:type="gramStart"/>
            <w:r w:rsidRPr="000620FA">
              <w:rPr>
                <w:rFonts w:ascii="Times New Roman" w:hAnsi="Times New Roman"/>
                <w:color w:val="000000"/>
                <w:sz w:val="20"/>
              </w:rPr>
              <w:t>time period</w:t>
            </w:r>
            <w:proofErr w:type="gramEnd"/>
            <w:r w:rsidRPr="000620FA">
              <w:rPr>
                <w:rFonts w:ascii="Times New Roman" w:hAnsi="Times New Roman"/>
                <w:color w:val="000000"/>
                <w:sz w:val="20"/>
              </w:rPr>
              <w:t xml:space="preserve"> the bill was for.</w:t>
            </w:r>
          </w:p>
          <w:p w:rsidR="00F3724A" w:rsidRPr="000620FA" w:rsidRDefault="00F3724A" w:rsidP="000620FA">
            <w:pPr>
              <w:pStyle w:val="Footer"/>
              <w:rPr>
                <w:rFonts w:ascii="Times New Roman" w:hAnsi="Times New Roman"/>
                <w:color w:val="000000"/>
                <w:sz w:val="20"/>
              </w:rPr>
            </w:pPr>
          </w:p>
          <w:p w:rsidR="00F3724A" w:rsidRPr="000620FA" w:rsidRDefault="00F3724A" w:rsidP="000620FA">
            <w:pPr>
              <w:pStyle w:val="Footer"/>
              <w:rPr>
                <w:rFonts w:ascii="Times New Roman" w:hAnsi="Times New Roman"/>
                <w:color w:val="000000"/>
                <w:sz w:val="20"/>
              </w:rPr>
            </w:pPr>
            <w:r w:rsidRPr="000620FA">
              <w:rPr>
                <w:rFonts w:ascii="Times New Roman" w:hAnsi="Times New Roman"/>
                <w:b/>
                <w:color w:val="000000"/>
                <w:sz w:val="20"/>
              </w:rPr>
              <w:lastRenderedPageBreak/>
              <w:t>First Energy</w:t>
            </w:r>
            <w:r w:rsidRPr="000620FA">
              <w:rPr>
                <w:rFonts w:ascii="Times New Roman" w:hAnsi="Times New Roman"/>
                <w:color w:val="000000"/>
                <w:sz w:val="20"/>
              </w:rPr>
              <w:t xml:space="preserve"> – The cancel/re-bill uses the tax exemption percentage effective for the period being canceled and re-billed.</w:t>
            </w:r>
          </w:p>
          <w:p w:rsidR="00F3724A" w:rsidRPr="000620FA" w:rsidRDefault="00F3724A" w:rsidP="000620FA">
            <w:pPr>
              <w:pStyle w:val="Footer"/>
              <w:rPr>
                <w:rFonts w:ascii="Times New Roman" w:hAnsi="Times New Roman"/>
                <w:color w:val="000000"/>
                <w:sz w:val="20"/>
              </w:rPr>
            </w:pPr>
          </w:p>
          <w:p w:rsidR="00F3724A" w:rsidRPr="000620FA" w:rsidRDefault="00F3724A" w:rsidP="000620FA">
            <w:pPr>
              <w:pStyle w:val="Footer"/>
              <w:rPr>
                <w:rFonts w:ascii="Times New Roman" w:hAnsi="Times New Roman"/>
                <w:color w:val="000000"/>
                <w:sz w:val="20"/>
              </w:rPr>
            </w:pPr>
            <w:r w:rsidRPr="000620FA">
              <w:rPr>
                <w:rFonts w:ascii="Times New Roman" w:hAnsi="Times New Roman"/>
                <w:b/>
                <w:color w:val="000000"/>
                <w:sz w:val="20"/>
              </w:rPr>
              <w:t xml:space="preserve">PPLEU </w:t>
            </w:r>
            <w:r w:rsidRPr="000620FA">
              <w:rPr>
                <w:rFonts w:ascii="Times New Roman" w:hAnsi="Times New Roman"/>
                <w:color w:val="000000"/>
                <w:sz w:val="20"/>
              </w:rPr>
              <w:t>–stores a single field on the customer account for the taxable percentage for the supplier.  Any cancel /re-bill would use the tax rate in effect at the current time.</w:t>
            </w:r>
          </w:p>
          <w:p w:rsidR="00F3724A" w:rsidRPr="000620FA" w:rsidRDefault="00F3724A" w:rsidP="000620FA">
            <w:pPr>
              <w:pStyle w:val="Footer"/>
              <w:rPr>
                <w:rFonts w:ascii="Times New Roman" w:hAnsi="Times New Roman"/>
                <w:color w:val="000000"/>
                <w:sz w:val="20"/>
              </w:rPr>
            </w:pPr>
          </w:p>
          <w:p w:rsidR="00F3724A" w:rsidRPr="000620FA" w:rsidRDefault="00F3724A" w:rsidP="000620FA">
            <w:pPr>
              <w:pStyle w:val="Footer"/>
              <w:rPr>
                <w:rFonts w:ascii="Times New Roman" w:hAnsi="Times New Roman"/>
                <w:color w:val="000000"/>
                <w:sz w:val="20"/>
              </w:rPr>
            </w:pPr>
            <w:r w:rsidRPr="000620FA">
              <w:rPr>
                <w:rFonts w:ascii="Times New Roman" w:hAnsi="Times New Roman"/>
                <w:b/>
                <w:color w:val="000000"/>
                <w:sz w:val="20"/>
              </w:rPr>
              <w:t>UGI</w:t>
            </w:r>
            <w:r w:rsidRPr="000620FA">
              <w:rPr>
                <w:rFonts w:ascii="Times New Roman" w:hAnsi="Times New Roman"/>
                <w:color w:val="000000"/>
                <w:sz w:val="20"/>
              </w:rPr>
              <w:t xml:space="preserve"> – stores a single field on the customer account for the taxable percentage for the supplier.   If the supplier changed this percentage and UGI canceled/re-billed, the new value would be used no matter the </w:t>
            </w:r>
            <w:proofErr w:type="gramStart"/>
            <w:r w:rsidRPr="000620FA">
              <w:rPr>
                <w:rFonts w:ascii="Times New Roman" w:hAnsi="Times New Roman"/>
                <w:color w:val="000000"/>
                <w:sz w:val="20"/>
              </w:rPr>
              <w:t>time period</w:t>
            </w:r>
            <w:proofErr w:type="gramEnd"/>
            <w:r w:rsidRPr="000620FA">
              <w:rPr>
                <w:rFonts w:ascii="Times New Roman" w:hAnsi="Times New Roman"/>
                <w:color w:val="000000"/>
                <w:sz w:val="20"/>
              </w:rPr>
              <w:t xml:space="preserve"> the bill was for.</w:t>
            </w:r>
          </w:p>
          <w:p w:rsidR="00F3724A" w:rsidRDefault="00F3724A" w:rsidP="000620FA">
            <w:pPr>
              <w:pStyle w:val="Footer"/>
              <w:rPr>
                <w:rFonts w:ascii="Times New Roman" w:hAnsi="Times New Roman"/>
                <w:color w:val="000000"/>
                <w:sz w:val="20"/>
              </w:rPr>
            </w:pPr>
          </w:p>
          <w:p w:rsidR="00692EE8" w:rsidRPr="00692EE8" w:rsidRDefault="00C37567" w:rsidP="00692EE8">
            <w:pPr>
              <w:pStyle w:val="Footer"/>
              <w:rPr>
                <w:rFonts w:ascii="Times New Roman" w:hAnsi="Times New Roman"/>
                <w:color w:val="FF0000"/>
                <w:sz w:val="20"/>
              </w:rPr>
            </w:pPr>
            <w:r w:rsidRPr="00692EE8">
              <w:rPr>
                <w:rFonts w:ascii="Times New Roman" w:hAnsi="Times New Roman"/>
                <w:b/>
                <w:color w:val="FF0000"/>
                <w:sz w:val="20"/>
              </w:rPr>
              <w:t>Citizens –</w:t>
            </w:r>
            <w:r w:rsidRPr="00692EE8">
              <w:rPr>
                <w:color w:val="FF0000"/>
              </w:rPr>
              <w:t xml:space="preserve"> </w:t>
            </w:r>
            <w:r w:rsidR="00692EE8" w:rsidRPr="00692EE8">
              <w:rPr>
                <w:rFonts w:ascii="Times New Roman" w:hAnsi="Times New Roman"/>
                <w:color w:val="FF0000"/>
                <w:sz w:val="20"/>
              </w:rPr>
              <w:t>The cancel/re-bill uses the tax exemption percentage effective for the period being canceled and re-billed.</w:t>
            </w:r>
          </w:p>
          <w:p w:rsidR="00C37567" w:rsidRDefault="00C37567" w:rsidP="00C37567"/>
          <w:p w:rsidR="00C37567" w:rsidRDefault="00C37567" w:rsidP="00C37567"/>
          <w:p w:rsidR="00692EE8" w:rsidRPr="00692EE8" w:rsidRDefault="00C37567" w:rsidP="00692EE8">
            <w:pPr>
              <w:pStyle w:val="Footer"/>
              <w:rPr>
                <w:rFonts w:ascii="Times New Roman" w:hAnsi="Times New Roman"/>
                <w:color w:val="FF0000"/>
                <w:sz w:val="20"/>
              </w:rPr>
            </w:pPr>
            <w:r w:rsidRPr="00C37567">
              <w:rPr>
                <w:rFonts w:ascii="Times New Roman" w:hAnsi="Times New Roman"/>
                <w:b/>
                <w:color w:val="FF0000"/>
                <w:sz w:val="20"/>
              </w:rPr>
              <w:t>Wellsboro</w:t>
            </w:r>
            <w:r>
              <w:t xml:space="preserve"> </w:t>
            </w:r>
            <w:r w:rsidR="00692EE8" w:rsidRPr="00692EE8">
              <w:rPr>
                <w:rFonts w:ascii="Times New Roman" w:hAnsi="Times New Roman"/>
                <w:b/>
                <w:color w:val="FF0000"/>
                <w:sz w:val="20"/>
              </w:rPr>
              <w:t>–</w:t>
            </w:r>
            <w:r w:rsidR="00692EE8" w:rsidRPr="00692EE8">
              <w:rPr>
                <w:color w:val="FF0000"/>
              </w:rPr>
              <w:t xml:space="preserve"> </w:t>
            </w:r>
            <w:r w:rsidR="00692EE8" w:rsidRPr="00692EE8">
              <w:rPr>
                <w:rFonts w:ascii="Times New Roman" w:hAnsi="Times New Roman"/>
                <w:color w:val="FF0000"/>
                <w:sz w:val="20"/>
              </w:rPr>
              <w:t>The cancel/re-bill uses the tax exemption percentage effective for the period being canceled and re-billed.</w:t>
            </w:r>
          </w:p>
          <w:p w:rsidR="00C37567" w:rsidRPr="000620FA" w:rsidRDefault="00C37567" w:rsidP="000620FA">
            <w:pPr>
              <w:pStyle w:val="Footer"/>
              <w:rPr>
                <w:rFonts w:ascii="Times New Roman" w:hAnsi="Times New Roman"/>
                <w:color w:val="000000"/>
                <w:sz w:val="20"/>
              </w:rPr>
            </w:pPr>
          </w:p>
        </w:tc>
      </w:tr>
    </w:tbl>
    <w:p w:rsidR="005D4909" w:rsidRDefault="00BC1F2C">
      <w:pPr>
        <w:jc w:val="center"/>
      </w:pPr>
      <w:r>
        <w:rPr>
          <w:sz w:val="22"/>
        </w:rPr>
        <w:lastRenderedPageBreak/>
        <w:br w:type="page"/>
      </w:r>
    </w:p>
    <w:tbl>
      <w:tblPr>
        <w:tblpPr w:leftFromText="180" w:rightFromText="180" w:vertAnchor="page" w:horzAnchor="margin" w:tblpY="1354"/>
        <w:tblW w:w="104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638"/>
        <w:gridCol w:w="1350"/>
        <w:gridCol w:w="1350"/>
        <w:gridCol w:w="1440"/>
        <w:gridCol w:w="1530"/>
        <w:gridCol w:w="1530"/>
        <w:gridCol w:w="1640"/>
      </w:tblGrid>
      <w:tr w:rsidR="005D4909" w:rsidTr="005D4909">
        <w:tc>
          <w:tcPr>
            <w:tcW w:w="1638" w:type="dxa"/>
            <w:tcBorders>
              <w:top w:val="single" w:sz="2" w:space="0" w:color="auto"/>
              <w:left w:val="single" w:sz="2" w:space="0" w:color="auto"/>
              <w:bottom w:val="single" w:sz="2" w:space="0" w:color="auto"/>
              <w:right w:val="single" w:sz="2" w:space="0" w:color="auto"/>
            </w:tcBorders>
            <w:shd w:val="pct15" w:color="auto" w:fill="FFFFFF"/>
            <w:hideMark/>
          </w:tcPr>
          <w:p w:rsidR="005D4909" w:rsidRDefault="005D4909" w:rsidP="005D4909">
            <w:pPr>
              <w:rPr>
                <w:b/>
              </w:rPr>
            </w:pPr>
            <w:r>
              <w:rPr>
                <w:b/>
              </w:rPr>
              <w:t>Description of Rate Ready Business Practice</w:t>
            </w:r>
          </w:p>
        </w:tc>
        <w:tc>
          <w:tcPr>
            <w:tcW w:w="1350" w:type="dxa"/>
            <w:tcBorders>
              <w:top w:val="single" w:sz="2" w:space="0" w:color="auto"/>
              <w:left w:val="single" w:sz="2" w:space="0" w:color="auto"/>
              <w:bottom w:val="single" w:sz="2" w:space="0" w:color="auto"/>
              <w:right w:val="single" w:sz="2" w:space="0" w:color="auto"/>
            </w:tcBorders>
            <w:shd w:val="pct15" w:color="auto" w:fill="FFFFFF"/>
            <w:hideMark/>
          </w:tcPr>
          <w:p w:rsidR="005D4909" w:rsidRDefault="005D4909" w:rsidP="005D4909">
            <w:pPr>
              <w:rPr>
                <w:b/>
              </w:rPr>
            </w:pPr>
            <w:r>
              <w:rPr>
                <w:b/>
              </w:rPr>
              <w:t>Duquesne</w:t>
            </w:r>
          </w:p>
        </w:tc>
        <w:tc>
          <w:tcPr>
            <w:tcW w:w="1350" w:type="dxa"/>
            <w:tcBorders>
              <w:top w:val="single" w:sz="2" w:space="0" w:color="auto"/>
              <w:left w:val="single" w:sz="2" w:space="0" w:color="auto"/>
              <w:bottom w:val="single" w:sz="2" w:space="0" w:color="auto"/>
              <w:right w:val="single" w:sz="2" w:space="0" w:color="auto"/>
            </w:tcBorders>
            <w:shd w:val="pct15" w:color="auto" w:fill="FFFFFF"/>
            <w:hideMark/>
          </w:tcPr>
          <w:p w:rsidR="005D4909" w:rsidRDefault="005D4909" w:rsidP="005D4909">
            <w:pPr>
              <w:rPr>
                <w:b/>
              </w:rPr>
            </w:pPr>
            <w:r>
              <w:rPr>
                <w:b/>
              </w:rPr>
              <w:t>First Energy</w:t>
            </w:r>
          </w:p>
        </w:tc>
        <w:tc>
          <w:tcPr>
            <w:tcW w:w="1440" w:type="dxa"/>
            <w:tcBorders>
              <w:top w:val="single" w:sz="2" w:space="0" w:color="auto"/>
              <w:left w:val="single" w:sz="2" w:space="0" w:color="auto"/>
              <w:bottom w:val="single" w:sz="2" w:space="0" w:color="auto"/>
              <w:right w:val="single" w:sz="2" w:space="0" w:color="auto"/>
            </w:tcBorders>
            <w:shd w:val="pct15" w:color="auto" w:fill="FFFFFF"/>
            <w:hideMark/>
          </w:tcPr>
          <w:p w:rsidR="005D4909" w:rsidRDefault="005D4909" w:rsidP="005D4909">
            <w:pPr>
              <w:rPr>
                <w:b/>
              </w:rPr>
            </w:pPr>
            <w:r>
              <w:rPr>
                <w:b/>
              </w:rPr>
              <w:t>UGI</w:t>
            </w:r>
          </w:p>
        </w:tc>
        <w:tc>
          <w:tcPr>
            <w:tcW w:w="1530" w:type="dxa"/>
            <w:tcBorders>
              <w:top w:val="single" w:sz="2" w:space="0" w:color="auto"/>
              <w:left w:val="single" w:sz="2" w:space="0" w:color="auto"/>
              <w:bottom w:val="single" w:sz="2" w:space="0" w:color="auto"/>
              <w:right w:val="single" w:sz="2" w:space="0" w:color="auto"/>
            </w:tcBorders>
            <w:shd w:val="pct15" w:color="auto" w:fill="FFFFFF"/>
            <w:hideMark/>
          </w:tcPr>
          <w:p w:rsidR="005D4909" w:rsidRDefault="005D4909" w:rsidP="005D4909">
            <w:pPr>
              <w:rPr>
                <w:b/>
              </w:rPr>
            </w:pPr>
            <w:r>
              <w:rPr>
                <w:b/>
              </w:rPr>
              <w:t>PPL EU</w:t>
            </w:r>
          </w:p>
        </w:tc>
        <w:tc>
          <w:tcPr>
            <w:tcW w:w="1530" w:type="dxa"/>
            <w:tcBorders>
              <w:top w:val="single" w:sz="2" w:space="0" w:color="auto"/>
              <w:left w:val="single" w:sz="2" w:space="0" w:color="auto"/>
              <w:bottom w:val="single" w:sz="2" w:space="0" w:color="auto"/>
              <w:right w:val="single" w:sz="2" w:space="0" w:color="auto"/>
            </w:tcBorders>
            <w:shd w:val="pct15" w:color="auto" w:fill="FFFFFF"/>
          </w:tcPr>
          <w:p w:rsidR="005D4909" w:rsidRDefault="005D4909" w:rsidP="005D4909">
            <w:pPr>
              <w:rPr>
                <w:b/>
              </w:rPr>
            </w:pPr>
            <w:r>
              <w:rPr>
                <w:b/>
              </w:rPr>
              <w:t>Citizens</w:t>
            </w:r>
          </w:p>
        </w:tc>
        <w:tc>
          <w:tcPr>
            <w:tcW w:w="1640" w:type="dxa"/>
            <w:tcBorders>
              <w:top w:val="single" w:sz="2" w:space="0" w:color="auto"/>
              <w:left w:val="single" w:sz="2" w:space="0" w:color="auto"/>
              <w:bottom w:val="single" w:sz="2" w:space="0" w:color="auto"/>
              <w:right w:val="single" w:sz="2" w:space="0" w:color="auto"/>
            </w:tcBorders>
            <w:shd w:val="pct15" w:color="auto" w:fill="FFFFFF"/>
          </w:tcPr>
          <w:p w:rsidR="005D4909" w:rsidRDefault="005D4909" w:rsidP="005D4909">
            <w:pPr>
              <w:rPr>
                <w:b/>
              </w:rPr>
            </w:pPr>
            <w:r>
              <w:rPr>
                <w:b/>
              </w:rPr>
              <w:t>Wellsboro</w:t>
            </w:r>
          </w:p>
        </w:tc>
      </w:tr>
      <w:tr w:rsidR="005D4909" w:rsidTr="005D4909">
        <w:tc>
          <w:tcPr>
            <w:tcW w:w="1638" w:type="dxa"/>
            <w:tcBorders>
              <w:top w:val="single" w:sz="2" w:space="0" w:color="auto"/>
              <w:left w:val="single" w:sz="2" w:space="0" w:color="auto"/>
              <w:bottom w:val="single" w:sz="2" w:space="0" w:color="auto"/>
              <w:right w:val="single" w:sz="2" w:space="0" w:color="auto"/>
            </w:tcBorders>
            <w:hideMark/>
          </w:tcPr>
          <w:p w:rsidR="005D4909" w:rsidRDefault="005D4909" w:rsidP="005D4909">
            <w:pPr>
              <w:pStyle w:val="Header"/>
              <w:tabs>
                <w:tab w:val="left" w:pos="720"/>
              </w:tabs>
            </w:pPr>
            <w:r>
              <w:t>Sends “N” (No allowance or charge indicator in SAC01) for Late Payment Charges</w:t>
            </w:r>
          </w:p>
        </w:tc>
        <w:tc>
          <w:tcPr>
            <w:tcW w:w="1350" w:type="dxa"/>
            <w:tcBorders>
              <w:top w:val="single" w:sz="2" w:space="0" w:color="auto"/>
              <w:left w:val="single" w:sz="2" w:space="0" w:color="auto"/>
              <w:bottom w:val="single" w:sz="2" w:space="0" w:color="auto"/>
              <w:right w:val="single" w:sz="2" w:space="0" w:color="auto"/>
            </w:tcBorders>
            <w:hideMark/>
          </w:tcPr>
          <w:p w:rsidR="005D4909" w:rsidRDefault="005D4909" w:rsidP="005D4909">
            <w:r>
              <w:t>Does not support ESP Late Payment Charge</w:t>
            </w:r>
          </w:p>
        </w:tc>
        <w:tc>
          <w:tcPr>
            <w:tcW w:w="1350" w:type="dxa"/>
            <w:tcBorders>
              <w:top w:val="single" w:sz="2" w:space="0" w:color="auto"/>
              <w:left w:val="single" w:sz="2" w:space="0" w:color="auto"/>
              <w:bottom w:val="single" w:sz="2" w:space="0" w:color="auto"/>
              <w:right w:val="single" w:sz="2" w:space="0" w:color="auto"/>
            </w:tcBorders>
            <w:hideMark/>
          </w:tcPr>
          <w:p w:rsidR="005D4909" w:rsidRDefault="005D4909" w:rsidP="005D4909">
            <w:r>
              <w:t>Does not support ESP Late Payment Charge</w:t>
            </w:r>
          </w:p>
        </w:tc>
        <w:tc>
          <w:tcPr>
            <w:tcW w:w="1440" w:type="dxa"/>
            <w:tcBorders>
              <w:top w:val="single" w:sz="2" w:space="0" w:color="auto"/>
              <w:left w:val="single" w:sz="2" w:space="0" w:color="auto"/>
              <w:bottom w:val="single" w:sz="2" w:space="0" w:color="auto"/>
              <w:right w:val="single" w:sz="2" w:space="0" w:color="auto"/>
            </w:tcBorders>
            <w:hideMark/>
          </w:tcPr>
          <w:p w:rsidR="005D4909" w:rsidRDefault="005D4909" w:rsidP="005D4909">
            <w:r>
              <w:t>Does not support ESP Late Payment Charge</w:t>
            </w:r>
          </w:p>
        </w:tc>
        <w:tc>
          <w:tcPr>
            <w:tcW w:w="1530" w:type="dxa"/>
            <w:tcBorders>
              <w:top w:val="single" w:sz="2" w:space="0" w:color="auto"/>
              <w:left w:val="single" w:sz="2" w:space="0" w:color="auto"/>
              <w:bottom w:val="single" w:sz="2" w:space="0" w:color="auto"/>
              <w:right w:val="single" w:sz="2" w:space="0" w:color="auto"/>
            </w:tcBorders>
            <w:hideMark/>
          </w:tcPr>
          <w:p w:rsidR="005D4909" w:rsidRDefault="005D4909" w:rsidP="005D4909">
            <w:r>
              <w:t>Does not support ESP Late Payment Charge</w:t>
            </w:r>
          </w:p>
        </w:tc>
        <w:tc>
          <w:tcPr>
            <w:tcW w:w="1530" w:type="dxa"/>
            <w:tcBorders>
              <w:top w:val="single" w:sz="2" w:space="0" w:color="auto"/>
              <w:left w:val="single" w:sz="2" w:space="0" w:color="auto"/>
              <w:bottom w:val="single" w:sz="2" w:space="0" w:color="auto"/>
              <w:right w:val="single" w:sz="2" w:space="0" w:color="auto"/>
            </w:tcBorders>
          </w:tcPr>
          <w:p w:rsidR="005D4909" w:rsidRPr="005D4909" w:rsidRDefault="005D4909" w:rsidP="005D4909">
            <w:pPr>
              <w:rPr>
                <w:color w:val="FF0000"/>
              </w:rPr>
            </w:pPr>
            <w:r w:rsidRPr="005D4909">
              <w:rPr>
                <w:color w:val="FF0000"/>
              </w:rPr>
              <w:t>Yes, Supports Late Payment Charge</w:t>
            </w:r>
          </w:p>
          <w:p w:rsidR="005D4909" w:rsidRDefault="005D4909" w:rsidP="005D4909"/>
        </w:tc>
        <w:tc>
          <w:tcPr>
            <w:tcW w:w="1640" w:type="dxa"/>
            <w:tcBorders>
              <w:top w:val="single" w:sz="2" w:space="0" w:color="auto"/>
              <w:left w:val="single" w:sz="2" w:space="0" w:color="auto"/>
              <w:bottom w:val="single" w:sz="2" w:space="0" w:color="auto"/>
              <w:right w:val="single" w:sz="2" w:space="0" w:color="auto"/>
            </w:tcBorders>
          </w:tcPr>
          <w:p w:rsidR="005D4909" w:rsidRPr="005D4909" w:rsidRDefault="005D4909" w:rsidP="005D4909">
            <w:pPr>
              <w:rPr>
                <w:color w:val="FF0000"/>
              </w:rPr>
            </w:pPr>
            <w:r w:rsidRPr="005D4909">
              <w:rPr>
                <w:color w:val="FF0000"/>
              </w:rPr>
              <w:t>Yes, Supports Late Payment Charge</w:t>
            </w:r>
          </w:p>
          <w:p w:rsidR="005D4909" w:rsidRDefault="005D4909" w:rsidP="005D4909"/>
        </w:tc>
      </w:tr>
      <w:tr w:rsidR="005D4909" w:rsidTr="005D4909">
        <w:tc>
          <w:tcPr>
            <w:tcW w:w="1638" w:type="dxa"/>
            <w:tcBorders>
              <w:top w:val="single" w:sz="2" w:space="0" w:color="auto"/>
              <w:left w:val="single" w:sz="2" w:space="0" w:color="auto"/>
              <w:bottom w:val="single" w:sz="2" w:space="0" w:color="auto"/>
              <w:right w:val="single" w:sz="2" w:space="0" w:color="auto"/>
            </w:tcBorders>
            <w:hideMark/>
          </w:tcPr>
          <w:p w:rsidR="005D4909" w:rsidRDefault="005D4909" w:rsidP="005D4909">
            <w:r>
              <w:t>Sends “N” (No allowance or charge indicator in SAC01) for Adjustments</w:t>
            </w:r>
          </w:p>
        </w:tc>
        <w:tc>
          <w:tcPr>
            <w:tcW w:w="1350" w:type="dxa"/>
            <w:tcBorders>
              <w:top w:val="single" w:sz="2" w:space="0" w:color="auto"/>
              <w:left w:val="single" w:sz="2" w:space="0" w:color="auto"/>
              <w:bottom w:val="single" w:sz="2" w:space="0" w:color="auto"/>
              <w:right w:val="single" w:sz="2" w:space="0" w:color="auto"/>
            </w:tcBorders>
            <w:hideMark/>
          </w:tcPr>
          <w:p w:rsidR="005D4909" w:rsidRDefault="005D4909" w:rsidP="005D4909">
            <w:r>
              <w:t>Yes</w:t>
            </w:r>
          </w:p>
        </w:tc>
        <w:tc>
          <w:tcPr>
            <w:tcW w:w="1350" w:type="dxa"/>
            <w:tcBorders>
              <w:top w:val="single" w:sz="2" w:space="0" w:color="auto"/>
              <w:left w:val="single" w:sz="2" w:space="0" w:color="auto"/>
              <w:bottom w:val="single" w:sz="2" w:space="0" w:color="auto"/>
              <w:right w:val="single" w:sz="2" w:space="0" w:color="auto"/>
            </w:tcBorders>
            <w:hideMark/>
          </w:tcPr>
          <w:p w:rsidR="005D4909" w:rsidRDefault="005D4909" w:rsidP="005D4909">
            <w:r>
              <w:t>Does not apply adjustments to supplier charges</w:t>
            </w:r>
          </w:p>
        </w:tc>
        <w:tc>
          <w:tcPr>
            <w:tcW w:w="1440" w:type="dxa"/>
            <w:tcBorders>
              <w:top w:val="single" w:sz="2" w:space="0" w:color="auto"/>
              <w:left w:val="single" w:sz="2" w:space="0" w:color="auto"/>
              <w:bottom w:val="single" w:sz="2" w:space="0" w:color="auto"/>
              <w:right w:val="single" w:sz="2" w:space="0" w:color="auto"/>
            </w:tcBorders>
            <w:hideMark/>
          </w:tcPr>
          <w:p w:rsidR="005D4909" w:rsidRDefault="005D4909" w:rsidP="005D4909">
            <w:r>
              <w:t>Yes</w:t>
            </w:r>
          </w:p>
        </w:tc>
        <w:tc>
          <w:tcPr>
            <w:tcW w:w="1530" w:type="dxa"/>
            <w:tcBorders>
              <w:top w:val="single" w:sz="2" w:space="0" w:color="auto"/>
              <w:left w:val="single" w:sz="2" w:space="0" w:color="auto"/>
              <w:bottom w:val="single" w:sz="2" w:space="0" w:color="auto"/>
              <w:right w:val="single" w:sz="2" w:space="0" w:color="auto"/>
            </w:tcBorders>
            <w:hideMark/>
          </w:tcPr>
          <w:p w:rsidR="005D4909" w:rsidRDefault="005D4909" w:rsidP="005D4909">
            <w:r>
              <w:t>Does not apply adjustments to supplier charges</w:t>
            </w:r>
          </w:p>
        </w:tc>
        <w:tc>
          <w:tcPr>
            <w:tcW w:w="1530" w:type="dxa"/>
            <w:tcBorders>
              <w:top w:val="single" w:sz="2" w:space="0" w:color="auto"/>
              <w:left w:val="single" w:sz="2" w:space="0" w:color="auto"/>
              <w:bottom w:val="single" w:sz="2" w:space="0" w:color="auto"/>
              <w:right w:val="single" w:sz="2" w:space="0" w:color="auto"/>
            </w:tcBorders>
          </w:tcPr>
          <w:p w:rsidR="005D4909" w:rsidRPr="005D4909" w:rsidRDefault="005D4909" w:rsidP="005D4909">
            <w:pPr>
              <w:rPr>
                <w:color w:val="FF0000"/>
              </w:rPr>
            </w:pPr>
            <w:r w:rsidRPr="005D4909">
              <w:rPr>
                <w:color w:val="FF0000"/>
              </w:rPr>
              <w:t>Yes, supports adjustments</w:t>
            </w:r>
          </w:p>
          <w:p w:rsidR="005D4909" w:rsidRDefault="005D4909" w:rsidP="005D4909"/>
        </w:tc>
        <w:tc>
          <w:tcPr>
            <w:tcW w:w="1640" w:type="dxa"/>
            <w:tcBorders>
              <w:top w:val="single" w:sz="2" w:space="0" w:color="auto"/>
              <w:left w:val="single" w:sz="2" w:space="0" w:color="auto"/>
              <w:bottom w:val="single" w:sz="2" w:space="0" w:color="auto"/>
              <w:right w:val="single" w:sz="2" w:space="0" w:color="auto"/>
            </w:tcBorders>
          </w:tcPr>
          <w:p w:rsidR="005D4909" w:rsidRPr="005D4909" w:rsidRDefault="005D4909" w:rsidP="005D4909">
            <w:pPr>
              <w:rPr>
                <w:color w:val="FF0000"/>
              </w:rPr>
            </w:pPr>
            <w:r w:rsidRPr="005D4909">
              <w:rPr>
                <w:color w:val="FF0000"/>
              </w:rPr>
              <w:t>Yes, supports adjustments</w:t>
            </w:r>
          </w:p>
          <w:p w:rsidR="005D4909" w:rsidRDefault="005D4909" w:rsidP="005D4909"/>
        </w:tc>
      </w:tr>
      <w:tr w:rsidR="005D4909" w:rsidTr="005D4909">
        <w:tc>
          <w:tcPr>
            <w:tcW w:w="1638" w:type="dxa"/>
            <w:tcBorders>
              <w:top w:val="single" w:sz="2" w:space="0" w:color="auto"/>
              <w:left w:val="single" w:sz="2" w:space="0" w:color="auto"/>
              <w:bottom w:val="single" w:sz="2" w:space="0" w:color="auto"/>
              <w:right w:val="single" w:sz="2" w:space="0" w:color="auto"/>
            </w:tcBorders>
            <w:hideMark/>
          </w:tcPr>
          <w:p w:rsidR="005D4909" w:rsidRDefault="005D4909" w:rsidP="005D4909">
            <w:r>
              <w:t>Sends signed amount in SAC05 for credited Adjustments</w:t>
            </w:r>
          </w:p>
        </w:tc>
        <w:tc>
          <w:tcPr>
            <w:tcW w:w="1350" w:type="dxa"/>
            <w:tcBorders>
              <w:top w:val="single" w:sz="2" w:space="0" w:color="auto"/>
              <w:left w:val="single" w:sz="2" w:space="0" w:color="auto"/>
              <w:bottom w:val="single" w:sz="2" w:space="0" w:color="auto"/>
              <w:right w:val="single" w:sz="2" w:space="0" w:color="auto"/>
            </w:tcBorders>
            <w:hideMark/>
          </w:tcPr>
          <w:p w:rsidR="005D4909" w:rsidRDefault="005D4909" w:rsidP="005D4909">
            <w:r>
              <w:t>Yes</w:t>
            </w:r>
          </w:p>
        </w:tc>
        <w:tc>
          <w:tcPr>
            <w:tcW w:w="1350" w:type="dxa"/>
            <w:tcBorders>
              <w:top w:val="single" w:sz="2" w:space="0" w:color="auto"/>
              <w:left w:val="single" w:sz="2" w:space="0" w:color="auto"/>
              <w:bottom w:val="single" w:sz="2" w:space="0" w:color="auto"/>
              <w:right w:val="single" w:sz="2" w:space="0" w:color="auto"/>
            </w:tcBorders>
            <w:hideMark/>
          </w:tcPr>
          <w:p w:rsidR="005D4909" w:rsidRDefault="005D4909" w:rsidP="005D4909">
            <w:r>
              <w:t>N/A</w:t>
            </w:r>
          </w:p>
        </w:tc>
        <w:tc>
          <w:tcPr>
            <w:tcW w:w="1440" w:type="dxa"/>
            <w:tcBorders>
              <w:top w:val="single" w:sz="2" w:space="0" w:color="auto"/>
              <w:left w:val="single" w:sz="2" w:space="0" w:color="auto"/>
              <w:bottom w:val="single" w:sz="2" w:space="0" w:color="auto"/>
              <w:right w:val="single" w:sz="2" w:space="0" w:color="auto"/>
            </w:tcBorders>
            <w:hideMark/>
          </w:tcPr>
          <w:p w:rsidR="005D4909" w:rsidRDefault="005D4909" w:rsidP="005D4909">
            <w:r>
              <w:t>Yes</w:t>
            </w:r>
          </w:p>
        </w:tc>
        <w:tc>
          <w:tcPr>
            <w:tcW w:w="1530" w:type="dxa"/>
            <w:tcBorders>
              <w:top w:val="single" w:sz="2" w:space="0" w:color="auto"/>
              <w:left w:val="single" w:sz="2" w:space="0" w:color="auto"/>
              <w:bottom w:val="single" w:sz="2" w:space="0" w:color="auto"/>
              <w:right w:val="single" w:sz="2" w:space="0" w:color="auto"/>
            </w:tcBorders>
            <w:hideMark/>
          </w:tcPr>
          <w:p w:rsidR="005D4909" w:rsidRDefault="005D4909" w:rsidP="005D4909">
            <w:r>
              <w:t>N/A</w:t>
            </w:r>
          </w:p>
        </w:tc>
        <w:tc>
          <w:tcPr>
            <w:tcW w:w="1530" w:type="dxa"/>
            <w:tcBorders>
              <w:top w:val="single" w:sz="2" w:space="0" w:color="auto"/>
              <w:left w:val="single" w:sz="2" w:space="0" w:color="auto"/>
              <w:bottom w:val="single" w:sz="2" w:space="0" w:color="auto"/>
              <w:right w:val="single" w:sz="2" w:space="0" w:color="auto"/>
            </w:tcBorders>
          </w:tcPr>
          <w:p w:rsidR="005D4909" w:rsidRPr="005D4909" w:rsidRDefault="005D4909" w:rsidP="005D4909">
            <w:pPr>
              <w:rPr>
                <w:color w:val="FF0000"/>
              </w:rPr>
            </w:pPr>
            <w:r w:rsidRPr="005D4909">
              <w:rPr>
                <w:color w:val="FF0000"/>
              </w:rPr>
              <w:t>N/A</w:t>
            </w:r>
          </w:p>
        </w:tc>
        <w:tc>
          <w:tcPr>
            <w:tcW w:w="1640" w:type="dxa"/>
            <w:tcBorders>
              <w:top w:val="single" w:sz="2" w:space="0" w:color="auto"/>
              <w:left w:val="single" w:sz="2" w:space="0" w:color="auto"/>
              <w:bottom w:val="single" w:sz="2" w:space="0" w:color="auto"/>
              <w:right w:val="single" w:sz="2" w:space="0" w:color="auto"/>
            </w:tcBorders>
          </w:tcPr>
          <w:p w:rsidR="005D4909" w:rsidRPr="005D4909" w:rsidRDefault="005D4909" w:rsidP="005D4909">
            <w:pPr>
              <w:rPr>
                <w:color w:val="FF0000"/>
              </w:rPr>
            </w:pPr>
            <w:r w:rsidRPr="005D4909">
              <w:rPr>
                <w:color w:val="FF0000"/>
              </w:rPr>
              <w:t>N/A</w:t>
            </w:r>
          </w:p>
          <w:p w:rsidR="005D4909" w:rsidRPr="005D4909" w:rsidRDefault="005D4909" w:rsidP="005D4909">
            <w:pPr>
              <w:rPr>
                <w:color w:val="FF0000"/>
              </w:rPr>
            </w:pPr>
          </w:p>
        </w:tc>
      </w:tr>
      <w:tr w:rsidR="005D4909" w:rsidTr="005D4909">
        <w:tc>
          <w:tcPr>
            <w:tcW w:w="1638" w:type="dxa"/>
            <w:tcBorders>
              <w:top w:val="single" w:sz="2" w:space="0" w:color="auto"/>
              <w:left w:val="single" w:sz="2" w:space="0" w:color="auto"/>
              <w:bottom w:val="single" w:sz="2" w:space="0" w:color="auto"/>
              <w:right w:val="single" w:sz="2" w:space="0" w:color="auto"/>
            </w:tcBorders>
            <w:hideMark/>
          </w:tcPr>
          <w:p w:rsidR="005D4909" w:rsidRDefault="005D4909" w:rsidP="005D4909">
            <w:r>
              <w:t xml:space="preserve">What cross reference number is supported on a cancel 810 – the original 867 </w:t>
            </w:r>
            <w:proofErr w:type="spellStart"/>
            <w:r>
              <w:t>xref</w:t>
            </w:r>
            <w:proofErr w:type="spellEnd"/>
            <w:r>
              <w:t xml:space="preserve"> or the cancel 867 </w:t>
            </w:r>
            <w:proofErr w:type="spellStart"/>
            <w:r>
              <w:t>xref</w:t>
            </w:r>
            <w:proofErr w:type="spellEnd"/>
            <w:r>
              <w:t>?</w:t>
            </w:r>
          </w:p>
        </w:tc>
        <w:tc>
          <w:tcPr>
            <w:tcW w:w="1350" w:type="dxa"/>
            <w:tcBorders>
              <w:top w:val="single" w:sz="2" w:space="0" w:color="auto"/>
              <w:left w:val="single" w:sz="2" w:space="0" w:color="auto"/>
              <w:bottom w:val="single" w:sz="2" w:space="0" w:color="auto"/>
              <w:right w:val="single" w:sz="2" w:space="0" w:color="auto"/>
            </w:tcBorders>
            <w:hideMark/>
          </w:tcPr>
          <w:p w:rsidR="005D4909" w:rsidRDefault="005D4909" w:rsidP="005D4909">
            <w:r>
              <w:t>BIG05=Cancel 867 BPT02</w:t>
            </w:r>
          </w:p>
          <w:p w:rsidR="005D4909" w:rsidRDefault="005D4909" w:rsidP="005D4909">
            <w:r>
              <w:t>REF*OI = BIG02 from original 810</w:t>
            </w:r>
          </w:p>
        </w:tc>
        <w:tc>
          <w:tcPr>
            <w:tcW w:w="1350" w:type="dxa"/>
            <w:tcBorders>
              <w:top w:val="single" w:sz="2" w:space="0" w:color="auto"/>
              <w:left w:val="single" w:sz="2" w:space="0" w:color="auto"/>
              <w:bottom w:val="single" w:sz="2" w:space="0" w:color="auto"/>
              <w:right w:val="single" w:sz="2" w:space="0" w:color="auto"/>
            </w:tcBorders>
            <w:hideMark/>
          </w:tcPr>
          <w:p w:rsidR="005D4909" w:rsidRDefault="005D4909" w:rsidP="005D4909">
            <w:r>
              <w:t>BIG05= Original 867 BPT02</w:t>
            </w:r>
          </w:p>
          <w:p w:rsidR="005D4909" w:rsidRDefault="005D4909" w:rsidP="005D4909">
            <w:r>
              <w:t>REF*OI = BIG02 from original 810</w:t>
            </w:r>
          </w:p>
        </w:tc>
        <w:tc>
          <w:tcPr>
            <w:tcW w:w="1440" w:type="dxa"/>
            <w:tcBorders>
              <w:top w:val="single" w:sz="2" w:space="0" w:color="auto"/>
              <w:left w:val="single" w:sz="2" w:space="0" w:color="auto"/>
              <w:bottom w:val="single" w:sz="2" w:space="0" w:color="auto"/>
              <w:right w:val="single" w:sz="2" w:space="0" w:color="auto"/>
            </w:tcBorders>
            <w:hideMark/>
          </w:tcPr>
          <w:p w:rsidR="005D4909" w:rsidRDefault="005D4909" w:rsidP="005D4909">
            <w:r>
              <w:t>BIG05= Original 867 BPT02</w:t>
            </w:r>
          </w:p>
          <w:p w:rsidR="005D4909" w:rsidRDefault="005D4909" w:rsidP="005D4909">
            <w:r>
              <w:t>REF*OI = BIG02 from original 810</w:t>
            </w:r>
          </w:p>
        </w:tc>
        <w:tc>
          <w:tcPr>
            <w:tcW w:w="1530" w:type="dxa"/>
            <w:tcBorders>
              <w:top w:val="single" w:sz="2" w:space="0" w:color="auto"/>
              <w:left w:val="single" w:sz="2" w:space="0" w:color="auto"/>
              <w:bottom w:val="single" w:sz="2" w:space="0" w:color="auto"/>
              <w:right w:val="single" w:sz="2" w:space="0" w:color="auto"/>
            </w:tcBorders>
            <w:hideMark/>
          </w:tcPr>
          <w:p w:rsidR="005D4909" w:rsidRDefault="005D4909" w:rsidP="005D4909">
            <w:r>
              <w:t>BIG05= Original 867 BPT02; REF*OI = BIG02 from original 810</w:t>
            </w:r>
          </w:p>
        </w:tc>
        <w:tc>
          <w:tcPr>
            <w:tcW w:w="1530" w:type="dxa"/>
            <w:tcBorders>
              <w:top w:val="single" w:sz="2" w:space="0" w:color="auto"/>
              <w:left w:val="single" w:sz="2" w:space="0" w:color="auto"/>
              <w:bottom w:val="single" w:sz="2" w:space="0" w:color="auto"/>
              <w:right w:val="single" w:sz="2" w:space="0" w:color="auto"/>
            </w:tcBorders>
          </w:tcPr>
          <w:p w:rsidR="005D4909" w:rsidRDefault="005D4909" w:rsidP="005D4909">
            <w:r>
              <w:rPr>
                <w:color w:val="FF0000"/>
              </w:rPr>
              <w:t>BIG05= Original 867 BPT02; REF*OI = BIG02 from original 810</w:t>
            </w:r>
          </w:p>
        </w:tc>
        <w:tc>
          <w:tcPr>
            <w:tcW w:w="1640" w:type="dxa"/>
            <w:tcBorders>
              <w:top w:val="single" w:sz="2" w:space="0" w:color="auto"/>
              <w:left w:val="single" w:sz="2" w:space="0" w:color="auto"/>
              <w:bottom w:val="single" w:sz="2" w:space="0" w:color="auto"/>
              <w:right w:val="single" w:sz="2" w:space="0" w:color="auto"/>
            </w:tcBorders>
          </w:tcPr>
          <w:p w:rsidR="005D4909" w:rsidRDefault="005D4909" w:rsidP="005D4909">
            <w:r>
              <w:rPr>
                <w:color w:val="FF0000"/>
              </w:rPr>
              <w:t>BIG05= Original 867 BPT02; REF*OI = BIG02 from original 810</w:t>
            </w:r>
          </w:p>
        </w:tc>
      </w:tr>
    </w:tbl>
    <w:p w:rsidR="00BC1F2C" w:rsidRDefault="00BC1F2C">
      <w:pPr>
        <w:jc w:val="center"/>
      </w:pPr>
    </w:p>
    <w:p w:rsidR="00C03BB4" w:rsidRDefault="00C03BB4" w:rsidP="005D4909">
      <w:pPr>
        <w:jc w:val="center"/>
      </w:pPr>
    </w:p>
    <w:sectPr w:rsidR="00C03BB4">
      <w:headerReference w:type="default" r:id="rId12"/>
      <w:footerReference w:type="default" r:id="rId13"/>
      <w:pgSz w:w="12240" w:h="15840" w:code="1"/>
      <w:pgMar w:top="720" w:right="720" w:bottom="720" w:left="720"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D0E" w:rsidRDefault="00FF2D0E">
      <w:r>
        <w:separator/>
      </w:r>
    </w:p>
  </w:endnote>
  <w:endnote w:type="continuationSeparator" w:id="0">
    <w:p w:rsidR="00FF2D0E" w:rsidRDefault="00FF2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BB4" w:rsidRDefault="00C03BB4">
    <w:pPr>
      <w:pStyle w:val="Footer"/>
      <w:jc w:val="center"/>
      <w:rPr>
        <w:sz w:val="20"/>
      </w:rPr>
    </w:pPr>
    <w:r>
      <w:rPr>
        <w:rStyle w:val="PageNumber"/>
      </w:rPr>
      <w:fldChar w:fldCharType="begin"/>
    </w:r>
    <w:r>
      <w:rPr>
        <w:rStyle w:val="PageNumber"/>
      </w:rPr>
      <w:instrText xml:space="preserve"> PAGE </w:instrText>
    </w:r>
    <w:r>
      <w:rPr>
        <w:rStyle w:val="PageNumber"/>
      </w:rPr>
      <w:fldChar w:fldCharType="separate"/>
    </w:r>
    <w:r w:rsidR="008E5D24">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D0E" w:rsidRDefault="00FF2D0E">
      <w:r>
        <w:separator/>
      </w:r>
    </w:p>
  </w:footnote>
  <w:footnote w:type="continuationSeparator" w:id="0">
    <w:p w:rsidR="00FF2D0E" w:rsidRDefault="00FF2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BB4" w:rsidRDefault="00C03BB4">
    <w:pPr>
      <w:pStyle w:val="Header"/>
      <w:jc w:val="center"/>
      <w:rPr>
        <w:sz w:val="20"/>
      </w:rPr>
    </w:pPr>
  </w:p>
  <w:p w:rsidR="00C03BB4" w:rsidRDefault="00C03BB4">
    <w:pPr>
      <w:pStyle w:val="Header"/>
      <w:jc w:val="center"/>
      <w:rPr>
        <w:sz w:val="20"/>
      </w:rPr>
    </w:pPr>
  </w:p>
  <w:p w:rsidR="00C03BB4" w:rsidRDefault="00C03BB4">
    <w:pPr>
      <w:pStyle w:val="Header"/>
      <w:jc w:val="center"/>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157674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CB69BD"/>
    <w:multiLevelType w:val="hybridMultilevel"/>
    <w:tmpl w:val="6A56E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664B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D8F20E3"/>
    <w:multiLevelType w:val="hybridMultilevel"/>
    <w:tmpl w:val="A52C0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1A0149"/>
    <w:multiLevelType w:val="hybridMultilevel"/>
    <w:tmpl w:val="345E75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522424A"/>
    <w:multiLevelType w:val="hybridMultilevel"/>
    <w:tmpl w:val="85905D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2DE75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6446FC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7"/>
  </w:num>
  <w:num w:numId="4">
    <w:abstractNumId w:val="5"/>
  </w:num>
  <w:num w:numId="5">
    <w:abstractNumId w:val="4"/>
  </w:num>
  <w:num w:numId="6">
    <w:abstractNumId w:val="6"/>
  </w:num>
  <w:num w:numId="7">
    <w:abstractNumId w:val="8"/>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5C7E"/>
    <w:rsid w:val="000620FA"/>
    <w:rsid w:val="00064BA4"/>
    <w:rsid w:val="00095C7E"/>
    <w:rsid w:val="00184910"/>
    <w:rsid w:val="002235AF"/>
    <w:rsid w:val="00261E40"/>
    <w:rsid w:val="003C4A55"/>
    <w:rsid w:val="00402555"/>
    <w:rsid w:val="00420C5C"/>
    <w:rsid w:val="004266D0"/>
    <w:rsid w:val="005D4909"/>
    <w:rsid w:val="005E3C3D"/>
    <w:rsid w:val="00600051"/>
    <w:rsid w:val="00601CF5"/>
    <w:rsid w:val="00692EE8"/>
    <w:rsid w:val="00735211"/>
    <w:rsid w:val="007E33C2"/>
    <w:rsid w:val="007F1878"/>
    <w:rsid w:val="00811FF6"/>
    <w:rsid w:val="008B6F33"/>
    <w:rsid w:val="008E4AB2"/>
    <w:rsid w:val="008E5D24"/>
    <w:rsid w:val="0096157D"/>
    <w:rsid w:val="009767C8"/>
    <w:rsid w:val="00A85D57"/>
    <w:rsid w:val="00AA30E3"/>
    <w:rsid w:val="00AC0243"/>
    <w:rsid w:val="00B721EB"/>
    <w:rsid w:val="00B911A0"/>
    <w:rsid w:val="00BC1E8D"/>
    <w:rsid w:val="00BC1F2C"/>
    <w:rsid w:val="00BD5FFD"/>
    <w:rsid w:val="00C03BB4"/>
    <w:rsid w:val="00C37567"/>
    <w:rsid w:val="00CD2E6B"/>
    <w:rsid w:val="00CD3FC8"/>
    <w:rsid w:val="00D460A3"/>
    <w:rsid w:val="00DC40FB"/>
    <w:rsid w:val="00DE3E89"/>
    <w:rsid w:val="00DE495D"/>
    <w:rsid w:val="00EC2A64"/>
    <w:rsid w:val="00EE2FA0"/>
    <w:rsid w:val="00F3136E"/>
    <w:rsid w:val="00F3724A"/>
    <w:rsid w:val="00F80D17"/>
    <w:rsid w:val="00FB5588"/>
    <w:rsid w:val="00FC6434"/>
    <w:rsid w:val="00FF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88BC3B"/>
  <w15:chartTrackingRefBased/>
  <w15:docId w15:val="{A0B64B47-50E6-4D5F-90F7-970B6C50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1"/>
      </w:numPr>
      <w:spacing w:before="240" w:after="60"/>
      <w:outlineLvl w:val="0"/>
    </w:pPr>
    <w:rPr>
      <w:b/>
      <w:kern w:val="28"/>
      <w:sz w:val="28"/>
    </w:rPr>
  </w:style>
  <w:style w:type="paragraph" w:styleId="Heading2">
    <w:name w:val="heading 2"/>
    <w:basedOn w:val="Normal"/>
    <w:next w:val="Normal"/>
    <w:qFormat/>
    <w:pPr>
      <w:keepNext/>
      <w:numPr>
        <w:ilvl w:val="1"/>
        <w:numId w:val="1"/>
      </w:numPr>
      <w:spacing w:before="240" w:after="60"/>
      <w:outlineLvl w:val="1"/>
    </w:pPr>
    <w:rPr>
      <w:b/>
      <w:i/>
    </w:rPr>
  </w:style>
  <w:style w:type="paragraph" w:styleId="Heading3">
    <w:name w:val="heading 3"/>
    <w:basedOn w:val="Normal"/>
    <w:next w:val="Normal"/>
    <w:qFormat/>
    <w:pPr>
      <w:keepNext/>
      <w:numPr>
        <w:ilvl w:val="2"/>
        <w:numId w:val="1"/>
      </w:numPr>
      <w:spacing w:before="240" w:after="60"/>
      <w:outlineLvl w:val="2"/>
    </w:pPr>
  </w:style>
  <w:style w:type="paragraph" w:styleId="Heading4">
    <w:name w:val="heading 4"/>
    <w:basedOn w:val="Normal"/>
    <w:next w:val="Normal"/>
    <w:qFormat/>
    <w:pPr>
      <w:keepNext/>
      <w:numPr>
        <w:ilvl w:val="3"/>
        <w:numId w:val="1"/>
      </w:numPr>
      <w:spacing w:before="240" w:after="60"/>
      <w:outlineLvl w:val="3"/>
    </w:pPr>
    <w:rPr>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pBdr>
        <w:top w:val="single" w:sz="6" w:space="1" w:color="auto"/>
        <w:left w:val="single" w:sz="6" w:space="1" w:color="auto"/>
        <w:bottom w:val="single" w:sz="6" w:space="1" w:color="auto"/>
        <w:right w:val="single" w:sz="6" w:space="1" w:color="auto"/>
      </w:pBdr>
      <w:shd w:val="pct5" w:color="auto" w:fill="auto"/>
      <w:jc w:val="center"/>
    </w:pPr>
    <w:rPr>
      <w:b/>
      <w:sz w:val="32"/>
    </w:rPr>
  </w:style>
  <w:style w:type="character" w:styleId="Hyperlink">
    <w:name w:val="Hyperlink"/>
    <w:rPr>
      <w:color w:val="0000FF"/>
      <w:u w:val="single"/>
    </w:rPr>
  </w:style>
  <w:style w:type="character" w:customStyle="1" w:styleId="HeaderChar">
    <w:name w:val="Header Char"/>
    <w:link w:val="Header"/>
    <w:rsid w:val="00BC1F2C"/>
    <w:rPr>
      <w:rFonts w:ascii="Arial" w:hAnsi="Arial"/>
      <w:sz w:val="24"/>
    </w:rPr>
  </w:style>
  <w:style w:type="paragraph" w:styleId="ListParagraph">
    <w:name w:val="List Paragraph"/>
    <w:basedOn w:val="Normal"/>
    <w:uiPriority w:val="34"/>
    <w:qFormat/>
    <w:rsid w:val="00F3724A"/>
    <w:pPr>
      <w:ind w:left="720"/>
      <w:contextualSpacing/>
    </w:pPr>
    <w:rPr>
      <w:rFonts w:ascii="Times New Roman" w:hAnsi="Times New Roman"/>
      <w:sz w:val="20"/>
    </w:rPr>
  </w:style>
  <w:style w:type="character" w:customStyle="1" w:styleId="FooterChar">
    <w:name w:val="Footer Char"/>
    <w:link w:val="Footer"/>
    <w:rsid w:val="00F3724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77218">
      <w:bodyDiv w:val="1"/>
      <w:marLeft w:val="0"/>
      <w:marRight w:val="0"/>
      <w:marTop w:val="0"/>
      <w:marBottom w:val="0"/>
      <w:divBdr>
        <w:top w:val="none" w:sz="0" w:space="0" w:color="auto"/>
        <w:left w:val="none" w:sz="0" w:space="0" w:color="auto"/>
        <w:bottom w:val="none" w:sz="0" w:space="0" w:color="auto"/>
        <w:right w:val="none" w:sz="0" w:space="0" w:color="auto"/>
      </w:divBdr>
    </w:div>
    <w:div w:id="761606795">
      <w:bodyDiv w:val="1"/>
      <w:marLeft w:val="0"/>
      <w:marRight w:val="0"/>
      <w:marTop w:val="0"/>
      <w:marBottom w:val="0"/>
      <w:divBdr>
        <w:top w:val="none" w:sz="0" w:space="0" w:color="auto"/>
        <w:left w:val="none" w:sz="0" w:space="0" w:color="auto"/>
        <w:bottom w:val="none" w:sz="0" w:space="0" w:color="auto"/>
        <w:right w:val="none" w:sz="0" w:space="0" w:color="auto"/>
      </w:divBdr>
    </w:div>
    <w:div w:id="872349935">
      <w:bodyDiv w:val="1"/>
      <w:marLeft w:val="0"/>
      <w:marRight w:val="0"/>
      <w:marTop w:val="0"/>
      <w:marBottom w:val="0"/>
      <w:divBdr>
        <w:top w:val="none" w:sz="0" w:space="0" w:color="auto"/>
        <w:left w:val="none" w:sz="0" w:space="0" w:color="auto"/>
        <w:bottom w:val="none" w:sz="0" w:space="0" w:color="auto"/>
        <w:right w:val="none" w:sz="0" w:space="0" w:color="auto"/>
      </w:divBdr>
    </w:div>
    <w:div w:id="12671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eibert@energyservicesgroup.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uc.pa.gov/electric/electric_edewg_download.asp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andon.siegel@intelometry.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yalcin@pa.gov" TargetMode="External"/><Relationship Id="rId4" Type="http://schemas.openxmlformats.org/officeDocument/2006/relationships/webSettings" Target="webSettings.xml"/><Relationship Id="rId9" Type="http://schemas.openxmlformats.org/officeDocument/2006/relationships/hyperlink" Target="mailto:jmccracken@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EDEWG Standards Change Request</vt:lpstr>
    </vt:vector>
  </TitlesOfParts>
  <Company>Pennsylvania Power and Light</Company>
  <LinksUpToDate>false</LinksUpToDate>
  <CharactersWithSpaces>9960</CharactersWithSpaces>
  <SharedDoc>false</SharedDoc>
  <HLinks>
    <vt:vector size="30" baseType="variant">
      <vt:variant>
        <vt:i4>6946823</vt:i4>
      </vt:variant>
      <vt:variant>
        <vt:i4>12</vt:i4>
      </vt:variant>
      <vt:variant>
        <vt:i4>0</vt:i4>
      </vt:variant>
      <vt:variant>
        <vt:i4>5</vt:i4>
      </vt:variant>
      <vt:variant>
        <vt:lpwstr>mailto:brandon.siegel@intelometry.com</vt:lpwstr>
      </vt:variant>
      <vt:variant>
        <vt:lpwstr/>
      </vt:variant>
      <vt:variant>
        <vt:i4>5439600</vt:i4>
      </vt:variant>
      <vt:variant>
        <vt:i4>9</vt:i4>
      </vt:variant>
      <vt:variant>
        <vt:i4>0</vt:i4>
      </vt:variant>
      <vt:variant>
        <vt:i4>5</vt:i4>
      </vt:variant>
      <vt:variant>
        <vt:lpwstr>mailto:lyalcin@pa.gov</vt:lpwstr>
      </vt:variant>
      <vt:variant>
        <vt:lpwstr/>
      </vt:variant>
      <vt:variant>
        <vt:i4>3080209</vt:i4>
      </vt:variant>
      <vt:variant>
        <vt:i4>6</vt:i4>
      </vt:variant>
      <vt:variant>
        <vt:i4>0</vt:i4>
      </vt:variant>
      <vt:variant>
        <vt:i4>5</vt:i4>
      </vt:variant>
      <vt:variant>
        <vt:lpwstr>mailto:jmccracken@pa.gov</vt:lpwstr>
      </vt:variant>
      <vt:variant>
        <vt:lpwstr/>
      </vt:variant>
      <vt:variant>
        <vt:i4>1048608</vt:i4>
      </vt:variant>
      <vt:variant>
        <vt:i4>3</vt:i4>
      </vt:variant>
      <vt:variant>
        <vt:i4>0</vt:i4>
      </vt:variant>
      <vt:variant>
        <vt:i4>5</vt:i4>
      </vt:variant>
      <vt:variant>
        <vt:lpwstr>mailto:mneibert@energyservicesgroup.net</vt:lpwstr>
      </vt:variant>
      <vt:variant>
        <vt:lpwstr/>
      </vt:variant>
      <vt:variant>
        <vt:i4>2949235</vt:i4>
      </vt:variant>
      <vt:variant>
        <vt:i4>0</vt:i4>
      </vt:variant>
      <vt:variant>
        <vt:i4>0</vt:i4>
      </vt:variant>
      <vt:variant>
        <vt:i4>5</vt:i4>
      </vt:variant>
      <vt:variant>
        <vt:lpwstr>http://www.puc.pa.gov/electric/electric_edewg_download.aspx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Standards Change Request</dc:title>
  <dc:subject/>
  <dc:creator>MARINO</dc:creator>
  <cp:keywords/>
  <dc:description/>
  <cp:lastModifiedBy>Brandon S Siegel</cp:lastModifiedBy>
  <cp:revision>5</cp:revision>
  <dcterms:created xsi:type="dcterms:W3CDTF">2018-04-06T00:40:00Z</dcterms:created>
  <dcterms:modified xsi:type="dcterms:W3CDTF">2018-05-03T20:42:00Z</dcterms:modified>
</cp:coreProperties>
</file>