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26C3" w14:textId="0791DA13" w:rsidR="00C03BB4" w:rsidRDefault="00C03BB4">
      <w:pPr>
        <w:pStyle w:val="Title"/>
        <w:rPr>
          <w:sz w:val="28"/>
        </w:rPr>
      </w:pPr>
      <w:r>
        <w:rPr>
          <w:sz w:val="28"/>
        </w:rPr>
        <w:t xml:space="preserve">EDEWG Change Request </w:t>
      </w:r>
      <w:r w:rsidR="000B2394">
        <w:rPr>
          <w:sz w:val="28"/>
        </w:rPr>
        <w:t>#15</w:t>
      </w:r>
      <w:r w:rsidR="009A0A61">
        <w:rPr>
          <w:sz w:val="28"/>
        </w:rPr>
        <w:t>9</w:t>
      </w:r>
    </w:p>
    <w:p w14:paraId="3C97EED7"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14:paraId="2BB28C71" w14:textId="77777777" w:rsidR="00D10059"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D10059" w:rsidRPr="00B23298">
          <w:rPr>
            <w:rStyle w:val="Hyperlink"/>
            <w:sz w:val="20"/>
          </w:rPr>
          <w:t>http://www.puc.pa.gov/electric/electric_edewg_download.aspx</w:t>
        </w:r>
      </w:hyperlink>
    </w:p>
    <w:p w14:paraId="7BC298D3" w14:textId="77777777" w:rsidR="00C03BB4" w:rsidRDefault="00C03BB4" w:rsidP="00D10059">
      <w:pPr>
        <w:pBdr>
          <w:top w:val="single" w:sz="6" w:space="1" w:color="auto"/>
          <w:left w:val="single" w:sz="6" w:space="1" w:color="auto"/>
          <w:bottom w:val="single" w:sz="6" w:space="1" w:color="auto"/>
          <w:right w:val="single" w:sz="6" w:space="1" w:color="auto"/>
        </w:pBdr>
        <w:shd w:val="pct5" w:color="auto" w:fill="auto"/>
        <w:rPr>
          <w:sz w:val="20"/>
        </w:rPr>
      </w:pPr>
      <w:r>
        <w:rPr>
          <w:sz w:val="20"/>
        </w:rPr>
        <w:t xml:space="preserve"> </w:t>
      </w:r>
    </w:p>
    <w:p w14:paraId="736DC552" w14:textId="77777777"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5EE7556D" w14:textId="77777777">
        <w:tc>
          <w:tcPr>
            <w:tcW w:w="3672" w:type="dxa"/>
          </w:tcPr>
          <w:p w14:paraId="5537BF91" w14:textId="77777777" w:rsidR="00C03BB4" w:rsidRDefault="00C03BB4">
            <w:pPr>
              <w:rPr>
                <w:sz w:val="20"/>
              </w:rPr>
            </w:pPr>
            <w:r>
              <w:rPr>
                <w:b/>
                <w:sz w:val="20"/>
              </w:rPr>
              <w:t>Requester’s Name</w:t>
            </w:r>
            <w:r>
              <w:rPr>
                <w:sz w:val="20"/>
              </w:rPr>
              <w:t xml:space="preserve">: </w:t>
            </w:r>
          </w:p>
          <w:p w14:paraId="56BD035A" w14:textId="2305406E" w:rsidR="00C03BB4" w:rsidRDefault="009A0A61">
            <w:pPr>
              <w:rPr>
                <w:sz w:val="20"/>
              </w:rPr>
            </w:pPr>
            <w:r>
              <w:rPr>
                <w:sz w:val="20"/>
              </w:rPr>
              <w:t>Kim Wall</w:t>
            </w:r>
          </w:p>
        </w:tc>
        <w:tc>
          <w:tcPr>
            <w:tcW w:w="3672" w:type="dxa"/>
          </w:tcPr>
          <w:p w14:paraId="2C368031" w14:textId="160B001D" w:rsidR="00C03BB4" w:rsidRDefault="00C03BB4">
            <w:pPr>
              <w:rPr>
                <w:sz w:val="20"/>
              </w:rPr>
            </w:pPr>
            <w:r>
              <w:rPr>
                <w:b/>
                <w:sz w:val="20"/>
              </w:rPr>
              <w:t>EDC/EGS Name</w:t>
            </w:r>
            <w:r>
              <w:rPr>
                <w:sz w:val="20"/>
              </w:rPr>
              <w:t>:</w:t>
            </w:r>
            <w:r w:rsidR="00DA2BD9">
              <w:rPr>
                <w:sz w:val="20"/>
              </w:rPr>
              <w:t xml:space="preserve">  </w:t>
            </w:r>
          </w:p>
          <w:p w14:paraId="41E0B23D" w14:textId="39C0019F" w:rsidR="00C03BB4" w:rsidRDefault="009A0A61">
            <w:pPr>
              <w:rPr>
                <w:sz w:val="20"/>
              </w:rPr>
            </w:pPr>
            <w:r>
              <w:rPr>
                <w:sz w:val="20"/>
              </w:rPr>
              <w:t>Hansen Technologies</w:t>
            </w:r>
          </w:p>
        </w:tc>
        <w:tc>
          <w:tcPr>
            <w:tcW w:w="3672" w:type="dxa"/>
          </w:tcPr>
          <w:p w14:paraId="00E624C5" w14:textId="77777777" w:rsidR="00C03BB4" w:rsidRDefault="00C03BB4" w:rsidP="009A0A61">
            <w:pPr>
              <w:rPr>
                <w:sz w:val="20"/>
              </w:rPr>
            </w:pPr>
            <w:r>
              <w:rPr>
                <w:b/>
                <w:sz w:val="20"/>
              </w:rPr>
              <w:t>Phone #</w:t>
            </w:r>
            <w:r>
              <w:rPr>
                <w:sz w:val="20"/>
              </w:rPr>
              <w:t xml:space="preserve">: </w:t>
            </w:r>
          </w:p>
          <w:p w14:paraId="21F569C4" w14:textId="5D888CD7" w:rsidR="009A0A61" w:rsidRDefault="009A0A61" w:rsidP="009A0A61">
            <w:pPr>
              <w:rPr>
                <w:sz w:val="20"/>
              </w:rPr>
            </w:pPr>
            <w:r>
              <w:rPr>
                <w:sz w:val="20"/>
              </w:rPr>
              <w:t>484-235-5879</w:t>
            </w:r>
          </w:p>
        </w:tc>
      </w:tr>
      <w:tr w:rsidR="00C03BB4" w14:paraId="7D02FD0C" w14:textId="77777777">
        <w:tc>
          <w:tcPr>
            <w:tcW w:w="3672" w:type="dxa"/>
          </w:tcPr>
          <w:p w14:paraId="6BC50C8A" w14:textId="77777777" w:rsidR="00C03BB4" w:rsidRDefault="00C03BB4">
            <w:pPr>
              <w:rPr>
                <w:sz w:val="20"/>
              </w:rPr>
            </w:pPr>
            <w:r>
              <w:rPr>
                <w:b/>
                <w:sz w:val="20"/>
              </w:rPr>
              <w:t>Date of Request</w:t>
            </w:r>
            <w:r>
              <w:rPr>
                <w:sz w:val="20"/>
              </w:rPr>
              <w:t>:</w:t>
            </w:r>
          </w:p>
          <w:p w14:paraId="017EF117" w14:textId="3A0A8745" w:rsidR="00C03BB4" w:rsidRDefault="009A0A61">
            <w:pPr>
              <w:rPr>
                <w:sz w:val="20"/>
              </w:rPr>
            </w:pPr>
            <w:r>
              <w:rPr>
                <w:sz w:val="20"/>
              </w:rPr>
              <w:t>12/</w:t>
            </w:r>
            <w:r w:rsidR="005D775D">
              <w:rPr>
                <w:sz w:val="20"/>
              </w:rPr>
              <w:t>11</w:t>
            </w:r>
            <w:r>
              <w:rPr>
                <w:sz w:val="20"/>
              </w:rPr>
              <w:t>/2020</w:t>
            </w:r>
          </w:p>
        </w:tc>
        <w:tc>
          <w:tcPr>
            <w:tcW w:w="3672" w:type="dxa"/>
          </w:tcPr>
          <w:p w14:paraId="7DF3A2A5" w14:textId="77777777" w:rsidR="00C03BB4" w:rsidRDefault="00C03BB4">
            <w:pPr>
              <w:rPr>
                <w:sz w:val="20"/>
              </w:rPr>
            </w:pPr>
            <w:r>
              <w:rPr>
                <w:b/>
                <w:sz w:val="20"/>
              </w:rPr>
              <w:t>Affected EDI Transaction Set #(s)</w:t>
            </w:r>
            <w:r>
              <w:rPr>
                <w:sz w:val="20"/>
              </w:rPr>
              <w:t>:</w:t>
            </w:r>
          </w:p>
          <w:p w14:paraId="06B382FD" w14:textId="3360989A" w:rsidR="00C03BB4" w:rsidRDefault="009A0A61">
            <w:pPr>
              <w:rPr>
                <w:sz w:val="20"/>
              </w:rPr>
            </w:pPr>
            <w:r>
              <w:rPr>
                <w:sz w:val="20"/>
              </w:rPr>
              <w:t>810 Rate Ready</w:t>
            </w:r>
          </w:p>
        </w:tc>
        <w:tc>
          <w:tcPr>
            <w:tcW w:w="3672" w:type="dxa"/>
            <w:tcBorders>
              <w:bottom w:val="nil"/>
            </w:tcBorders>
          </w:tcPr>
          <w:p w14:paraId="2FB4EA45" w14:textId="77777777" w:rsidR="00C03BB4" w:rsidRDefault="00C03BB4">
            <w:pPr>
              <w:rPr>
                <w:sz w:val="20"/>
              </w:rPr>
            </w:pPr>
            <w:r>
              <w:rPr>
                <w:b/>
                <w:sz w:val="20"/>
              </w:rPr>
              <w:t>E-Mail Address</w:t>
            </w:r>
            <w:r>
              <w:rPr>
                <w:sz w:val="20"/>
              </w:rPr>
              <w:t>:</w:t>
            </w:r>
          </w:p>
          <w:p w14:paraId="4A8C220C" w14:textId="7A6AC4AC" w:rsidR="00C03BB4" w:rsidRDefault="009A0A61">
            <w:pPr>
              <w:rPr>
                <w:sz w:val="20"/>
              </w:rPr>
            </w:pPr>
            <w:r>
              <w:rPr>
                <w:sz w:val="20"/>
              </w:rPr>
              <w:t>kim.wall@hansencx.com</w:t>
            </w:r>
          </w:p>
        </w:tc>
      </w:tr>
      <w:tr w:rsidR="00C03BB4" w14:paraId="61AB46F1" w14:textId="77777777">
        <w:tc>
          <w:tcPr>
            <w:tcW w:w="3672" w:type="dxa"/>
          </w:tcPr>
          <w:p w14:paraId="76B2BBA1" w14:textId="48E72BE0" w:rsidR="00C03BB4" w:rsidRDefault="00C03BB4">
            <w:pPr>
              <w:rPr>
                <w:sz w:val="20"/>
              </w:rPr>
            </w:pPr>
            <w:r>
              <w:rPr>
                <w:b/>
                <w:sz w:val="20"/>
              </w:rPr>
              <w:t>Requested Priority</w:t>
            </w:r>
            <w:r>
              <w:rPr>
                <w:sz w:val="20"/>
              </w:rPr>
              <w:t xml:space="preserve"> (emergency/high/low):</w:t>
            </w:r>
            <w:r w:rsidR="00DA2BD9">
              <w:rPr>
                <w:sz w:val="20"/>
              </w:rPr>
              <w:t xml:space="preserve">  </w:t>
            </w:r>
            <w:r w:rsidR="009A0A61">
              <w:rPr>
                <w:sz w:val="20"/>
              </w:rPr>
              <w:t>n/a</w:t>
            </w:r>
          </w:p>
        </w:tc>
        <w:tc>
          <w:tcPr>
            <w:tcW w:w="3672" w:type="dxa"/>
          </w:tcPr>
          <w:p w14:paraId="41D4FC82" w14:textId="77777777" w:rsidR="00C03BB4" w:rsidRDefault="00C03BB4">
            <w:pPr>
              <w:rPr>
                <w:sz w:val="20"/>
              </w:rPr>
            </w:pPr>
            <w:r>
              <w:rPr>
                <w:b/>
                <w:sz w:val="20"/>
              </w:rPr>
              <w:t>Requested Implementation Date</w:t>
            </w:r>
            <w:r>
              <w:rPr>
                <w:sz w:val="20"/>
              </w:rPr>
              <w:t>:</w:t>
            </w:r>
          </w:p>
          <w:p w14:paraId="22E7EC28" w14:textId="11E94BCB" w:rsidR="00C03BB4" w:rsidRDefault="00863B50">
            <w:pPr>
              <w:rPr>
                <w:sz w:val="20"/>
              </w:rPr>
            </w:pPr>
            <w:r>
              <w:rPr>
                <w:sz w:val="20"/>
              </w:rPr>
              <w:t>N/A – Admin Only</w:t>
            </w:r>
          </w:p>
        </w:tc>
        <w:tc>
          <w:tcPr>
            <w:tcW w:w="3672" w:type="dxa"/>
            <w:tcBorders>
              <w:top w:val="single" w:sz="6" w:space="0" w:color="auto"/>
              <w:bottom w:val="single" w:sz="12" w:space="0" w:color="auto"/>
            </w:tcBorders>
            <w:shd w:val="pct10" w:color="auto" w:fill="auto"/>
          </w:tcPr>
          <w:p w14:paraId="365B87B5" w14:textId="77777777" w:rsidR="00C03BB4" w:rsidRDefault="00C03BB4">
            <w:pPr>
              <w:rPr>
                <w:sz w:val="20"/>
              </w:rPr>
            </w:pPr>
            <w:r>
              <w:rPr>
                <w:b/>
                <w:sz w:val="20"/>
              </w:rPr>
              <w:t>Status</w:t>
            </w:r>
            <w:r>
              <w:rPr>
                <w:sz w:val="20"/>
              </w:rPr>
              <w:t>:</w:t>
            </w:r>
          </w:p>
          <w:p w14:paraId="70720809" w14:textId="087D8E04" w:rsidR="00C03BB4" w:rsidRDefault="0029070D">
            <w:pPr>
              <w:rPr>
                <w:sz w:val="20"/>
              </w:rPr>
            </w:pPr>
            <w:r>
              <w:rPr>
                <w:sz w:val="20"/>
              </w:rPr>
              <w:t>APROVED</w:t>
            </w:r>
            <w:r w:rsidR="00863B50">
              <w:rPr>
                <w:sz w:val="20"/>
              </w:rPr>
              <w:t xml:space="preserve"> / </w:t>
            </w:r>
            <w:r>
              <w:rPr>
                <w:sz w:val="20"/>
              </w:rPr>
              <w:t>Redlined into IG</w:t>
            </w:r>
          </w:p>
        </w:tc>
      </w:tr>
    </w:tbl>
    <w:p w14:paraId="02CD6731" w14:textId="0DAD24C5" w:rsidR="00C03BB4" w:rsidRDefault="009A0A61">
      <w:r>
        <w:tab/>
      </w:r>
    </w:p>
    <w:p w14:paraId="1CFC7BE6" w14:textId="77777777" w:rsidR="00C03BB4" w:rsidRDefault="00C03BB4">
      <w:pPr>
        <w:pBdr>
          <w:top w:val="single" w:sz="6" w:space="1" w:color="auto"/>
          <w:left w:val="single" w:sz="6" w:space="1"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14:paraId="1D29E9C5" w14:textId="0AD0F729" w:rsidR="00C03BB4" w:rsidRDefault="009A0A61">
      <w:pPr>
        <w:pBdr>
          <w:top w:val="single" w:sz="6" w:space="1" w:color="auto"/>
          <w:left w:val="single" w:sz="6" w:space="1" w:color="auto"/>
          <w:bottom w:val="single" w:sz="6" w:space="0" w:color="auto"/>
          <w:right w:val="single" w:sz="6" w:space="1" w:color="auto"/>
        </w:pBdr>
        <w:rPr>
          <w:sz w:val="18"/>
        </w:rPr>
      </w:pPr>
      <w:r>
        <w:rPr>
          <w:sz w:val="18"/>
        </w:rPr>
        <w:t>Add information to Pennsylvania Notes section to explain how excess generation is handled for Rate Ready accounts.</w:t>
      </w:r>
    </w:p>
    <w:p w14:paraId="6ED5FA7D" w14:textId="5F39C1A6" w:rsidR="00C03BB4" w:rsidRDefault="00C03BB4">
      <w:pPr>
        <w:pBdr>
          <w:top w:val="single" w:sz="6" w:space="1" w:color="auto"/>
          <w:left w:val="single" w:sz="6" w:space="1" w:color="auto"/>
          <w:bottom w:val="single" w:sz="6" w:space="0" w:color="auto"/>
          <w:right w:val="single" w:sz="6" w:space="1" w:color="auto"/>
        </w:pBdr>
        <w:rPr>
          <w:sz w:val="18"/>
        </w:rPr>
      </w:pPr>
    </w:p>
    <w:p w14:paraId="21F784EC" w14:textId="77777777" w:rsidR="00C03BB4" w:rsidRDefault="00C03BB4">
      <w:pPr>
        <w:pBdr>
          <w:top w:val="single" w:sz="6" w:space="1" w:color="auto"/>
          <w:left w:val="single" w:sz="6" w:space="1" w:color="auto"/>
          <w:bottom w:val="single" w:sz="6" w:space="0" w:color="auto"/>
          <w:right w:val="single" w:sz="6" w:space="1" w:color="auto"/>
        </w:pBdr>
        <w:rPr>
          <w:sz w:val="18"/>
        </w:rPr>
      </w:pPr>
    </w:p>
    <w:p w14:paraId="35E3C4EB" w14:textId="08AB8985" w:rsidR="00C03BB4" w:rsidRPr="007E33C2" w:rsidRDefault="00C03BB4">
      <w:pPr>
        <w:pBdr>
          <w:top w:val="single" w:sz="6" w:space="1" w:color="auto"/>
          <w:left w:val="single" w:sz="6" w:space="1" w:color="auto"/>
          <w:bottom w:val="single" w:sz="6" w:space="0" w:color="auto"/>
          <w:right w:val="single" w:sz="6" w:space="1" w:color="auto"/>
        </w:pBdr>
        <w:rPr>
          <w:sz w:val="18"/>
          <w:szCs w:val="18"/>
        </w:rPr>
      </w:pPr>
      <w:r>
        <w:rPr>
          <w:b/>
          <w:sz w:val="22"/>
        </w:rPr>
        <w:t>Detail Explanation</w:t>
      </w:r>
      <w:r>
        <w:t xml:space="preserve">  </w:t>
      </w:r>
      <w:r>
        <w:rPr>
          <w:sz w:val="18"/>
        </w:rPr>
        <w:t>(Exactly what change is required? To which EDEWG Standards? Why?):</w:t>
      </w:r>
    </w:p>
    <w:p w14:paraId="7E063F23" w14:textId="6A0F7C76" w:rsidR="00C03BB4" w:rsidRPr="007E33C2" w:rsidRDefault="009A0A61">
      <w:pPr>
        <w:pBdr>
          <w:top w:val="single" w:sz="6" w:space="1" w:color="auto"/>
          <w:left w:val="single" w:sz="6" w:space="1" w:color="auto"/>
          <w:bottom w:val="single" w:sz="6" w:space="0" w:color="auto"/>
          <w:right w:val="single" w:sz="6" w:space="1" w:color="auto"/>
        </w:pBdr>
        <w:rPr>
          <w:sz w:val="18"/>
          <w:szCs w:val="18"/>
        </w:rPr>
      </w:pPr>
      <w:r>
        <w:rPr>
          <w:sz w:val="18"/>
          <w:szCs w:val="18"/>
        </w:rPr>
        <w:t>There are 4 different methods of handling excess generation for Rate Ready so I thought it would be helpful to the market to explain the variances in the implementation guide.  See next page for details.</w:t>
      </w:r>
    </w:p>
    <w:p w14:paraId="702F117D" w14:textId="45C6F6B0" w:rsidR="0067007D" w:rsidRDefault="0067007D">
      <w:pPr>
        <w:pBdr>
          <w:top w:val="single" w:sz="6" w:space="1" w:color="auto"/>
          <w:left w:val="single" w:sz="6" w:space="1" w:color="auto"/>
          <w:bottom w:val="single" w:sz="6" w:space="0" w:color="auto"/>
          <w:right w:val="single" w:sz="6" w:space="1" w:color="auto"/>
        </w:pBdr>
        <w:rPr>
          <w:sz w:val="18"/>
          <w:szCs w:val="18"/>
        </w:rPr>
      </w:pPr>
    </w:p>
    <w:p w14:paraId="4066CF83" w14:textId="7A25F197" w:rsidR="0067007D" w:rsidRDefault="0067007D">
      <w:pPr>
        <w:pBdr>
          <w:top w:val="single" w:sz="6" w:space="1" w:color="auto"/>
          <w:left w:val="single" w:sz="6" w:space="1" w:color="auto"/>
          <w:bottom w:val="single" w:sz="6" w:space="0" w:color="auto"/>
          <w:right w:val="single" w:sz="6" w:space="1" w:color="auto"/>
        </w:pBdr>
        <w:rPr>
          <w:sz w:val="18"/>
          <w:szCs w:val="18"/>
        </w:rPr>
      </w:pPr>
      <w:r>
        <w:rPr>
          <w:sz w:val="18"/>
          <w:szCs w:val="18"/>
        </w:rPr>
        <w:t>Example:</w:t>
      </w:r>
    </w:p>
    <w:p w14:paraId="358FB852" w14:textId="7A174140" w:rsidR="0067007D" w:rsidRDefault="0067007D" w:rsidP="0067007D">
      <w:pPr>
        <w:pBdr>
          <w:top w:val="single" w:sz="6" w:space="1" w:color="auto"/>
          <w:left w:val="single" w:sz="6" w:space="1" w:color="auto"/>
          <w:bottom w:val="single" w:sz="6" w:space="0" w:color="auto"/>
          <w:right w:val="single" w:sz="6" w:space="1" w:color="auto"/>
        </w:pBdr>
        <w:ind w:firstLine="720"/>
        <w:rPr>
          <w:sz w:val="18"/>
          <w:szCs w:val="18"/>
        </w:rPr>
      </w:pPr>
      <w:r>
        <w:rPr>
          <w:sz w:val="18"/>
          <w:szCs w:val="18"/>
        </w:rPr>
        <w:t>Consumption    Generation   Net</w:t>
      </w:r>
    </w:p>
    <w:p w14:paraId="04D5569E" w14:textId="46BFAFD1" w:rsidR="0067007D" w:rsidRDefault="0067007D">
      <w:pPr>
        <w:pBdr>
          <w:top w:val="single" w:sz="6" w:space="1" w:color="auto"/>
          <w:left w:val="single" w:sz="6" w:space="1" w:color="auto"/>
          <w:bottom w:val="single" w:sz="6" w:space="0" w:color="auto"/>
          <w:right w:val="single" w:sz="6" w:space="1" w:color="auto"/>
        </w:pBdr>
        <w:rPr>
          <w:sz w:val="18"/>
          <w:szCs w:val="18"/>
        </w:rPr>
      </w:pPr>
      <w:r>
        <w:rPr>
          <w:sz w:val="18"/>
          <w:szCs w:val="18"/>
        </w:rPr>
        <w:t>Month 1</w:t>
      </w:r>
      <w:r>
        <w:rPr>
          <w:sz w:val="18"/>
          <w:szCs w:val="18"/>
        </w:rPr>
        <w:tab/>
        <w:t xml:space="preserve">      500</w:t>
      </w:r>
      <w:r>
        <w:rPr>
          <w:sz w:val="18"/>
          <w:szCs w:val="18"/>
        </w:rPr>
        <w:tab/>
        <w:t xml:space="preserve">               600</w:t>
      </w:r>
      <w:r>
        <w:rPr>
          <w:sz w:val="18"/>
          <w:szCs w:val="18"/>
        </w:rPr>
        <w:tab/>
        <w:t xml:space="preserve">   -100</w:t>
      </w:r>
      <w:r>
        <w:rPr>
          <w:sz w:val="18"/>
          <w:szCs w:val="18"/>
        </w:rPr>
        <w:tab/>
        <w:t xml:space="preserve"> </w:t>
      </w:r>
    </w:p>
    <w:p w14:paraId="1916FAE5" w14:textId="6706908D" w:rsidR="0067007D" w:rsidRDefault="0067007D" w:rsidP="0067007D">
      <w:pPr>
        <w:pBdr>
          <w:top w:val="single" w:sz="6" w:space="1" w:color="auto"/>
          <w:left w:val="single" w:sz="6" w:space="1" w:color="auto"/>
          <w:bottom w:val="single" w:sz="6" w:space="0" w:color="auto"/>
          <w:right w:val="single" w:sz="6" w:space="1" w:color="auto"/>
        </w:pBdr>
        <w:rPr>
          <w:sz w:val="18"/>
          <w:szCs w:val="18"/>
        </w:rPr>
      </w:pPr>
      <w:r>
        <w:rPr>
          <w:sz w:val="18"/>
          <w:szCs w:val="18"/>
        </w:rPr>
        <w:t>Month 2</w:t>
      </w:r>
      <w:r>
        <w:rPr>
          <w:sz w:val="18"/>
          <w:szCs w:val="18"/>
        </w:rPr>
        <w:tab/>
        <w:t xml:space="preserve">      750</w:t>
      </w:r>
      <w:r>
        <w:rPr>
          <w:sz w:val="18"/>
          <w:szCs w:val="18"/>
        </w:rPr>
        <w:tab/>
        <w:t xml:space="preserve">               500</w:t>
      </w:r>
      <w:r>
        <w:rPr>
          <w:sz w:val="18"/>
          <w:szCs w:val="18"/>
        </w:rPr>
        <w:tab/>
        <w:t xml:space="preserve">   250</w:t>
      </w:r>
      <w:r>
        <w:rPr>
          <w:sz w:val="18"/>
          <w:szCs w:val="18"/>
        </w:rPr>
        <w:tab/>
        <w:t xml:space="preserve"> </w:t>
      </w:r>
    </w:p>
    <w:p w14:paraId="2BE9DD95" w14:textId="21A3DE50" w:rsidR="0067007D" w:rsidRDefault="0067007D">
      <w:pPr>
        <w:pBdr>
          <w:top w:val="single" w:sz="6" w:space="1" w:color="auto"/>
          <w:left w:val="single" w:sz="6" w:space="1" w:color="auto"/>
          <w:bottom w:val="single" w:sz="6" w:space="0" w:color="auto"/>
          <w:right w:val="single" w:sz="6" w:space="1" w:color="auto"/>
        </w:pBdr>
        <w:rPr>
          <w:sz w:val="18"/>
          <w:szCs w:val="18"/>
        </w:rPr>
      </w:pPr>
    </w:p>
    <w:p w14:paraId="7CF2A1AA" w14:textId="590598B1" w:rsidR="0067007D" w:rsidRDefault="0067007D">
      <w:pPr>
        <w:pBdr>
          <w:top w:val="single" w:sz="6" w:space="1" w:color="auto"/>
          <w:left w:val="single" w:sz="6" w:space="1" w:color="auto"/>
          <w:bottom w:val="single" w:sz="6" w:space="0" w:color="auto"/>
          <w:right w:val="single" w:sz="6" w:space="1" w:color="auto"/>
        </w:pBdr>
        <w:rPr>
          <w:sz w:val="18"/>
          <w:szCs w:val="18"/>
        </w:rPr>
      </w:pPr>
      <w:r>
        <w:rPr>
          <w:sz w:val="18"/>
          <w:szCs w:val="18"/>
        </w:rPr>
        <w:tab/>
      </w:r>
      <w:r>
        <w:rPr>
          <w:sz w:val="18"/>
          <w:szCs w:val="18"/>
        </w:rPr>
        <w:tab/>
        <w:t>867 BB Loop</w:t>
      </w:r>
      <w:r>
        <w:rPr>
          <w:sz w:val="18"/>
          <w:szCs w:val="18"/>
        </w:rPr>
        <w:tab/>
        <w:t>810 kWh</w:t>
      </w:r>
      <w:r>
        <w:rPr>
          <w:sz w:val="18"/>
          <w:szCs w:val="18"/>
        </w:rPr>
        <w:tab/>
      </w:r>
      <w:r>
        <w:rPr>
          <w:sz w:val="18"/>
          <w:szCs w:val="18"/>
        </w:rPr>
        <w:tab/>
        <w:t>Comments</w:t>
      </w:r>
    </w:p>
    <w:p w14:paraId="09238C24" w14:textId="6162298B" w:rsidR="005D775D" w:rsidRDefault="005D775D">
      <w:pPr>
        <w:pBdr>
          <w:top w:val="single" w:sz="6" w:space="1" w:color="auto"/>
          <w:left w:val="single" w:sz="6" w:space="1" w:color="auto"/>
          <w:bottom w:val="single" w:sz="6" w:space="0" w:color="auto"/>
          <w:right w:val="single" w:sz="6" w:space="1" w:color="auto"/>
        </w:pBdr>
        <w:rPr>
          <w:sz w:val="18"/>
          <w:szCs w:val="18"/>
        </w:rPr>
      </w:pPr>
      <w:r>
        <w:rPr>
          <w:sz w:val="18"/>
          <w:szCs w:val="18"/>
        </w:rPr>
        <w:t>Cit/Wells</w:t>
      </w:r>
      <w:r>
        <w:rPr>
          <w:sz w:val="18"/>
          <w:szCs w:val="18"/>
        </w:rPr>
        <w:tab/>
      </w:r>
      <w:r>
        <w:rPr>
          <w:sz w:val="18"/>
          <w:szCs w:val="18"/>
        </w:rPr>
        <w:tab/>
        <w:t>150</w:t>
      </w:r>
      <w:r>
        <w:rPr>
          <w:sz w:val="18"/>
          <w:szCs w:val="18"/>
        </w:rPr>
        <w:tab/>
      </w:r>
      <w:r>
        <w:rPr>
          <w:sz w:val="18"/>
          <w:szCs w:val="18"/>
        </w:rPr>
        <w:tab/>
        <w:t>150</w:t>
      </w:r>
      <w:r>
        <w:rPr>
          <w:sz w:val="18"/>
          <w:szCs w:val="18"/>
        </w:rPr>
        <w:tab/>
      </w:r>
      <w:r>
        <w:rPr>
          <w:sz w:val="18"/>
          <w:szCs w:val="18"/>
        </w:rPr>
        <w:tab/>
        <w:t>They bank excess generation and apply it for rate ready</w:t>
      </w:r>
    </w:p>
    <w:p w14:paraId="07233CD7" w14:textId="250698E0" w:rsidR="0067007D" w:rsidRDefault="0067007D">
      <w:pPr>
        <w:pBdr>
          <w:top w:val="single" w:sz="6" w:space="1" w:color="auto"/>
          <w:left w:val="single" w:sz="6" w:space="1" w:color="auto"/>
          <w:bottom w:val="single" w:sz="6" w:space="0" w:color="auto"/>
          <w:right w:val="single" w:sz="6" w:space="1" w:color="auto"/>
        </w:pBdr>
        <w:rPr>
          <w:sz w:val="18"/>
          <w:szCs w:val="18"/>
        </w:rPr>
      </w:pPr>
      <w:r>
        <w:rPr>
          <w:sz w:val="18"/>
          <w:szCs w:val="18"/>
        </w:rPr>
        <w:t>DQE</w:t>
      </w:r>
      <w:r>
        <w:rPr>
          <w:sz w:val="18"/>
          <w:szCs w:val="18"/>
        </w:rPr>
        <w:tab/>
      </w:r>
      <w:r>
        <w:rPr>
          <w:sz w:val="18"/>
          <w:szCs w:val="18"/>
        </w:rPr>
        <w:tab/>
        <w:t>150</w:t>
      </w:r>
      <w:r>
        <w:rPr>
          <w:sz w:val="18"/>
          <w:szCs w:val="18"/>
        </w:rPr>
        <w:tab/>
      </w:r>
      <w:r>
        <w:rPr>
          <w:sz w:val="18"/>
          <w:szCs w:val="18"/>
        </w:rPr>
        <w:tab/>
        <w:t>150</w:t>
      </w:r>
      <w:r>
        <w:rPr>
          <w:sz w:val="18"/>
          <w:szCs w:val="18"/>
        </w:rPr>
        <w:tab/>
      </w:r>
      <w:r>
        <w:rPr>
          <w:sz w:val="18"/>
          <w:szCs w:val="18"/>
        </w:rPr>
        <w:tab/>
        <w:t>They bank excess generation and apply it for rate ready</w:t>
      </w:r>
    </w:p>
    <w:p w14:paraId="4FFDFA8E" w14:textId="1186845C" w:rsidR="0067007D" w:rsidRDefault="0067007D">
      <w:pPr>
        <w:pBdr>
          <w:top w:val="single" w:sz="6" w:space="1" w:color="auto"/>
          <w:left w:val="single" w:sz="6" w:space="1" w:color="auto"/>
          <w:bottom w:val="single" w:sz="6" w:space="0" w:color="auto"/>
          <w:right w:val="single" w:sz="6" w:space="1" w:color="auto"/>
        </w:pBdr>
        <w:rPr>
          <w:sz w:val="18"/>
          <w:szCs w:val="18"/>
        </w:rPr>
      </w:pPr>
      <w:r>
        <w:rPr>
          <w:sz w:val="18"/>
          <w:szCs w:val="18"/>
        </w:rPr>
        <w:t>FE</w:t>
      </w:r>
      <w:r>
        <w:rPr>
          <w:sz w:val="18"/>
          <w:szCs w:val="18"/>
        </w:rPr>
        <w:tab/>
      </w:r>
      <w:r>
        <w:rPr>
          <w:sz w:val="18"/>
          <w:szCs w:val="18"/>
        </w:rPr>
        <w:tab/>
        <w:t>750</w:t>
      </w:r>
      <w:r>
        <w:rPr>
          <w:sz w:val="18"/>
          <w:szCs w:val="18"/>
        </w:rPr>
        <w:tab/>
      </w:r>
      <w:r>
        <w:rPr>
          <w:sz w:val="18"/>
          <w:szCs w:val="18"/>
        </w:rPr>
        <w:tab/>
        <w:t>750</w:t>
      </w:r>
      <w:r>
        <w:rPr>
          <w:sz w:val="18"/>
          <w:szCs w:val="18"/>
        </w:rPr>
        <w:tab/>
      </w:r>
      <w:r>
        <w:rPr>
          <w:sz w:val="18"/>
          <w:szCs w:val="18"/>
        </w:rPr>
        <w:tab/>
        <w:t>They disregard all generation in BB Loop and rate ready</w:t>
      </w:r>
    </w:p>
    <w:p w14:paraId="70907B16" w14:textId="6C378126" w:rsidR="0067007D" w:rsidRDefault="0067007D">
      <w:pPr>
        <w:pBdr>
          <w:top w:val="single" w:sz="6" w:space="1" w:color="auto"/>
          <w:left w:val="single" w:sz="6" w:space="1" w:color="auto"/>
          <w:bottom w:val="single" w:sz="6" w:space="0" w:color="auto"/>
          <w:right w:val="single" w:sz="6" w:space="1" w:color="auto"/>
        </w:pBdr>
        <w:rPr>
          <w:sz w:val="18"/>
          <w:szCs w:val="18"/>
        </w:rPr>
      </w:pPr>
      <w:r>
        <w:rPr>
          <w:sz w:val="18"/>
          <w:szCs w:val="18"/>
        </w:rPr>
        <w:t>PPL</w:t>
      </w:r>
      <w:r>
        <w:rPr>
          <w:sz w:val="18"/>
          <w:szCs w:val="18"/>
        </w:rPr>
        <w:tab/>
      </w:r>
      <w:r>
        <w:rPr>
          <w:sz w:val="18"/>
          <w:szCs w:val="18"/>
        </w:rPr>
        <w:tab/>
        <w:t>150</w:t>
      </w:r>
      <w:r>
        <w:rPr>
          <w:sz w:val="18"/>
          <w:szCs w:val="18"/>
        </w:rPr>
        <w:tab/>
      </w:r>
      <w:r>
        <w:rPr>
          <w:sz w:val="18"/>
          <w:szCs w:val="18"/>
        </w:rPr>
        <w:tab/>
        <w:t>250</w:t>
      </w:r>
      <w:r>
        <w:rPr>
          <w:sz w:val="18"/>
          <w:szCs w:val="18"/>
        </w:rPr>
        <w:tab/>
      </w:r>
      <w:r>
        <w:rPr>
          <w:sz w:val="18"/>
          <w:szCs w:val="18"/>
        </w:rPr>
        <w:tab/>
        <w:t>They bank excess generation for 867 BB Loop, but not rate ready</w:t>
      </w:r>
    </w:p>
    <w:p w14:paraId="2862789B" w14:textId="7B410355" w:rsidR="0067007D" w:rsidRDefault="0067007D">
      <w:pPr>
        <w:pBdr>
          <w:top w:val="single" w:sz="6" w:space="1" w:color="auto"/>
          <w:left w:val="single" w:sz="6" w:space="1" w:color="auto"/>
          <w:bottom w:val="single" w:sz="6" w:space="0" w:color="auto"/>
          <w:right w:val="single" w:sz="6" w:space="1" w:color="auto"/>
        </w:pBdr>
        <w:rPr>
          <w:sz w:val="18"/>
          <w:szCs w:val="18"/>
        </w:rPr>
      </w:pPr>
      <w:r>
        <w:rPr>
          <w:sz w:val="18"/>
          <w:szCs w:val="18"/>
        </w:rPr>
        <w:t>UGI</w:t>
      </w:r>
      <w:r>
        <w:rPr>
          <w:sz w:val="18"/>
          <w:szCs w:val="18"/>
        </w:rPr>
        <w:tab/>
      </w:r>
      <w:r>
        <w:rPr>
          <w:sz w:val="18"/>
          <w:szCs w:val="18"/>
        </w:rPr>
        <w:tab/>
        <w:t>250</w:t>
      </w:r>
      <w:r>
        <w:rPr>
          <w:sz w:val="18"/>
          <w:szCs w:val="18"/>
        </w:rPr>
        <w:tab/>
      </w:r>
      <w:r>
        <w:rPr>
          <w:sz w:val="18"/>
          <w:szCs w:val="18"/>
        </w:rPr>
        <w:tab/>
        <w:t>250</w:t>
      </w:r>
      <w:r>
        <w:rPr>
          <w:sz w:val="18"/>
          <w:szCs w:val="18"/>
        </w:rPr>
        <w:tab/>
      </w:r>
      <w:r>
        <w:rPr>
          <w:sz w:val="18"/>
          <w:szCs w:val="18"/>
        </w:rPr>
        <w:tab/>
        <w:t>They do not bank excess generation for 867 BB Loop or rate ready</w:t>
      </w:r>
    </w:p>
    <w:p w14:paraId="094F40A6" w14:textId="77777777" w:rsidR="0067007D" w:rsidRPr="007E33C2" w:rsidRDefault="0067007D">
      <w:pPr>
        <w:pBdr>
          <w:top w:val="single" w:sz="6" w:space="1" w:color="auto"/>
          <w:left w:val="single" w:sz="6" w:space="1" w:color="auto"/>
          <w:bottom w:val="single" w:sz="6" w:space="0" w:color="auto"/>
          <w:right w:val="single" w:sz="6" w:space="1" w:color="auto"/>
        </w:pBdr>
        <w:rPr>
          <w:sz w:val="18"/>
          <w:szCs w:val="18"/>
        </w:rPr>
      </w:pPr>
    </w:p>
    <w:p w14:paraId="36DC4134" w14:textId="77777777"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14:paraId="3ABE451A" w14:textId="39B6D2BC" w:rsidR="00C03BB4" w:rsidRDefault="00C03BB4">
      <w:pPr>
        <w:jc w:val="center"/>
        <w:rPr>
          <w:b/>
          <w:sz w:val="22"/>
        </w:rPr>
      </w:pPr>
    </w:p>
    <w:p w14:paraId="47865157" w14:textId="06EB583E" w:rsidR="0067007D" w:rsidRDefault="0067007D">
      <w:pPr>
        <w:jc w:val="center"/>
        <w:rPr>
          <w:b/>
          <w:sz w:val="22"/>
        </w:rPr>
      </w:pPr>
    </w:p>
    <w:p w14:paraId="0DA4E9A4" w14:textId="77777777" w:rsidR="0067007D" w:rsidRDefault="0067007D">
      <w:pPr>
        <w:jc w:val="center"/>
        <w:rPr>
          <w:b/>
          <w:sz w:val="22"/>
        </w:rPr>
      </w:pPr>
    </w:p>
    <w:p w14:paraId="306DCEC9" w14:textId="77777777"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35201F4D" w14:textId="77777777">
        <w:tc>
          <w:tcPr>
            <w:tcW w:w="3672" w:type="dxa"/>
          </w:tcPr>
          <w:p w14:paraId="7FA2D4C6" w14:textId="77777777" w:rsidR="00C03BB4" w:rsidRDefault="00C03BB4">
            <w:pPr>
              <w:rPr>
                <w:sz w:val="20"/>
              </w:rPr>
            </w:pPr>
            <w:r>
              <w:rPr>
                <w:sz w:val="20"/>
              </w:rPr>
              <w:t>Date of EDEWG Discussion:</w:t>
            </w:r>
          </w:p>
          <w:p w14:paraId="24C9B561" w14:textId="2F9E8305" w:rsidR="00C03BB4" w:rsidRDefault="00863B50">
            <w:pPr>
              <w:rPr>
                <w:sz w:val="20"/>
              </w:rPr>
            </w:pPr>
            <w:r>
              <w:rPr>
                <w:sz w:val="20"/>
              </w:rPr>
              <w:t>1/7/2021</w:t>
            </w:r>
          </w:p>
        </w:tc>
        <w:tc>
          <w:tcPr>
            <w:tcW w:w="3672" w:type="dxa"/>
          </w:tcPr>
          <w:p w14:paraId="6940110B" w14:textId="77777777" w:rsidR="00C03BB4" w:rsidRDefault="00C03BB4">
            <w:pPr>
              <w:rPr>
                <w:sz w:val="20"/>
              </w:rPr>
            </w:pPr>
            <w:r>
              <w:rPr>
                <w:sz w:val="20"/>
              </w:rPr>
              <w:t xml:space="preserve">Expected Implementation Date:    </w:t>
            </w:r>
          </w:p>
          <w:p w14:paraId="59DAC5C9" w14:textId="7D841CCA" w:rsidR="00C03BB4" w:rsidRDefault="00863B50">
            <w:pPr>
              <w:rPr>
                <w:sz w:val="20"/>
              </w:rPr>
            </w:pPr>
            <w:r>
              <w:rPr>
                <w:sz w:val="20"/>
              </w:rPr>
              <w:t>N/A</w:t>
            </w:r>
          </w:p>
        </w:tc>
        <w:tc>
          <w:tcPr>
            <w:tcW w:w="3672" w:type="dxa"/>
          </w:tcPr>
          <w:p w14:paraId="38E29459" w14:textId="77777777" w:rsidR="00C03BB4" w:rsidRDefault="00C03BB4">
            <w:pPr>
              <w:rPr>
                <w:sz w:val="20"/>
              </w:rPr>
            </w:pPr>
          </w:p>
          <w:p w14:paraId="6761FC7C" w14:textId="77777777" w:rsidR="00C03BB4" w:rsidRDefault="00C03BB4">
            <w:pPr>
              <w:rPr>
                <w:sz w:val="20"/>
              </w:rPr>
            </w:pPr>
          </w:p>
        </w:tc>
      </w:tr>
    </w:tbl>
    <w:p w14:paraId="2C5DA949" w14:textId="77777777" w:rsidR="00C03BB4" w:rsidRDefault="00C03BB4">
      <w:pPr>
        <w:rPr>
          <w:sz w:val="16"/>
        </w:rPr>
      </w:pPr>
    </w:p>
    <w:p w14:paraId="203426F8" w14:textId="77777777" w:rsidR="00C03BB4" w:rsidRDefault="00C03BB4">
      <w:r>
        <w:rPr>
          <w:b/>
        </w:rPr>
        <w:t>EDEWG Discussion and Resolution</w:t>
      </w:r>
      <w:r>
        <w:t>:</w:t>
      </w:r>
    </w:p>
    <w:p w14:paraId="23A2F1B0" w14:textId="1BF7A55D" w:rsidR="00C03BB4" w:rsidRPr="007E33C2" w:rsidRDefault="00863B50">
      <w:pPr>
        <w:pBdr>
          <w:top w:val="single" w:sz="6" w:space="1" w:color="auto"/>
          <w:left w:val="single" w:sz="6" w:space="1" w:color="auto"/>
          <w:bottom w:val="single" w:sz="6" w:space="0" w:color="auto"/>
          <w:right w:val="single" w:sz="6" w:space="1" w:color="auto"/>
        </w:pBdr>
        <w:rPr>
          <w:sz w:val="16"/>
          <w:szCs w:val="16"/>
        </w:rPr>
      </w:pPr>
      <w:r>
        <w:rPr>
          <w:sz w:val="16"/>
          <w:szCs w:val="16"/>
        </w:rPr>
        <w:t>1/6/2021 – Brandon Siegel:  added to tracking, assigned #159 and placed on January 2021 meeting agenda.</w:t>
      </w:r>
    </w:p>
    <w:p w14:paraId="3D1EC37B" w14:textId="1A976F36" w:rsidR="00C03BB4" w:rsidRDefault="000201DB">
      <w:pPr>
        <w:pBdr>
          <w:top w:val="single" w:sz="6" w:space="1" w:color="auto"/>
          <w:left w:val="single" w:sz="6" w:space="1" w:color="auto"/>
          <w:bottom w:val="single" w:sz="6" w:space="0" w:color="auto"/>
          <w:right w:val="single" w:sz="6" w:space="1" w:color="auto"/>
        </w:pBdr>
        <w:rPr>
          <w:sz w:val="16"/>
          <w:szCs w:val="16"/>
        </w:rPr>
      </w:pPr>
      <w:r>
        <w:rPr>
          <w:sz w:val="16"/>
          <w:szCs w:val="16"/>
        </w:rPr>
        <w:t>1/7/2021 – Brandon Siegel:  EDEWG approved EDI CC #159 without revision for incorporation in next version update to IG.</w:t>
      </w:r>
    </w:p>
    <w:p w14:paraId="603E17A7" w14:textId="648FFB88" w:rsidR="00C03BB4" w:rsidRPr="007E33C2" w:rsidRDefault="000201DB">
      <w:pPr>
        <w:pBdr>
          <w:top w:val="single" w:sz="6" w:space="1" w:color="auto"/>
          <w:left w:val="single" w:sz="6" w:space="1" w:color="auto"/>
          <w:bottom w:val="single" w:sz="6" w:space="0" w:color="auto"/>
          <w:right w:val="single" w:sz="6" w:space="1" w:color="auto"/>
        </w:pBdr>
        <w:rPr>
          <w:sz w:val="16"/>
          <w:szCs w:val="16"/>
        </w:rPr>
      </w:pPr>
      <w:r>
        <w:rPr>
          <w:sz w:val="16"/>
          <w:szCs w:val="16"/>
        </w:rPr>
        <w:t>1/12/2021 – Brandon Siegel:  Incorporated into IG810LDCv6-7.docx</w:t>
      </w:r>
    </w:p>
    <w:p w14:paraId="491E56EE" w14:textId="77777777" w:rsidR="00C03BB4" w:rsidRDefault="00C03BB4">
      <w:pPr>
        <w:jc w:val="center"/>
        <w:rPr>
          <w:b/>
          <w:sz w:val="22"/>
        </w:rPr>
      </w:pPr>
    </w:p>
    <w:p w14:paraId="2BF9CC91" w14:textId="77777777" w:rsidR="00C03BB4" w:rsidRDefault="00C03BB4">
      <w:pPr>
        <w:rPr>
          <w:b/>
          <w:i/>
          <w:sz w:val="18"/>
          <w:u w:val="single"/>
        </w:rPr>
      </w:pPr>
      <w:r>
        <w:rPr>
          <w:b/>
          <w:i/>
          <w:sz w:val="18"/>
          <w:u w:val="single"/>
        </w:rPr>
        <w:t>Priority Classifications</w:t>
      </w:r>
    </w:p>
    <w:p w14:paraId="2929A3EE" w14:textId="77777777"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14:paraId="389C2C1D" w14:textId="77777777">
        <w:tc>
          <w:tcPr>
            <w:tcW w:w="1908" w:type="dxa"/>
          </w:tcPr>
          <w:p w14:paraId="3D829F5A" w14:textId="77777777" w:rsidR="00C03BB4" w:rsidRDefault="00C03BB4">
            <w:pPr>
              <w:rPr>
                <w:i/>
                <w:sz w:val="18"/>
              </w:rPr>
            </w:pPr>
            <w:r>
              <w:rPr>
                <w:i/>
                <w:sz w:val="18"/>
              </w:rPr>
              <w:t>Emergency Priority</w:t>
            </w:r>
          </w:p>
        </w:tc>
        <w:tc>
          <w:tcPr>
            <w:tcW w:w="9090" w:type="dxa"/>
          </w:tcPr>
          <w:p w14:paraId="57281AE2" w14:textId="77777777" w:rsidR="00C03BB4" w:rsidRDefault="00C03BB4">
            <w:pPr>
              <w:rPr>
                <w:i/>
                <w:sz w:val="18"/>
              </w:rPr>
            </w:pPr>
            <w:r>
              <w:rPr>
                <w:i/>
                <w:sz w:val="18"/>
              </w:rPr>
              <w:t>Implemented within 10 days or otherwise directed by EDEWG</w:t>
            </w:r>
          </w:p>
        </w:tc>
      </w:tr>
      <w:tr w:rsidR="00C03BB4" w14:paraId="2F466B30" w14:textId="77777777">
        <w:tc>
          <w:tcPr>
            <w:tcW w:w="1908" w:type="dxa"/>
          </w:tcPr>
          <w:p w14:paraId="5A553079" w14:textId="77777777" w:rsidR="00C03BB4" w:rsidRDefault="00C03BB4">
            <w:pPr>
              <w:rPr>
                <w:i/>
                <w:sz w:val="18"/>
              </w:rPr>
            </w:pPr>
            <w:r>
              <w:rPr>
                <w:i/>
                <w:sz w:val="18"/>
              </w:rPr>
              <w:t>High Priority</w:t>
            </w:r>
          </w:p>
        </w:tc>
        <w:tc>
          <w:tcPr>
            <w:tcW w:w="9090" w:type="dxa"/>
          </w:tcPr>
          <w:p w14:paraId="113166EE" w14:textId="77777777" w:rsidR="00C03BB4" w:rsidRDefault="00C03BB4">
            <w:pPr>
              <w:rPr>
                <w:i/>
                <w:sz w:val="18"/>
              </w:rPr>
            </w:pPr>
            <w:r>
              <w:rPr>
                <w:i/>
                <w:sz w:val="18"/>
              </w:rPr>
              <w:t>Changes / Enhancements implemented with 30 days. The next release, or as otherwise directed by EDEWG</w:t>
            </w:r>
          </w:p>
        </w:tc>
      </w:tr>
      <w:tr w:rsidR="00C03BB4" w14:paraId="5CB5B542" w14:textId="77777777">
        <w:tc>
          <w:tcPr>
            <w:tcW w:w="1908" w:type="dxa"/>
          </w:tcPr>
          <w:p w14:paraId="3B8AE927" w14:textId="77777777" w:rsidR="00C03BB4" w:rsidRDefault="00C03BB4">
            <w:pPr>
              <w:rPr>
                <w:i/>
                <w:sz w:val="18"/>
              </w:rPr>
            </w:pPr>
            <w:r>
              <w:rPr>
                <w:i/>
                <w:sz w:val="18"/>
              </w:rPr>
              <w:t>Low Priority</w:t>
            </w:r>
          </w:p>
        </w:tc>
        <w:tc>
          <w:tcPr>
            <w:tcW w:w="9090" w:type="dxa"/>
          </w:tcPr>
          <w:p w14:paraId="5B1F5967" w14:textId="77777777" w:rsidR="00C03BB4" w:rsidRDefault="00C03BB4">
            <w:pPr>
              <w:rPr>
                <w:i/>
                <w:sz w:val="18"/>
              </w:rPr>
            </w:pPr>
            <w:r>
              <w:rPr>
                <w:i/>
                <w:sz w:val="18"/>
              </w:rPr>
              <w:t>Changes / Enhancements implemented no earlier than 90 days, Future Release, or as otherwise directed by EDEWG</w:t>
            </w:r>
          </w:p>
        </w:tc>
      </w:tr>
    </w:tbl>
    <w:p w14:paraId="41F793F2" w14:textId="77777777" w:rsidR="00C03BB4" w:rsidRDefault="00C03BB4">
      <w:pPr>
        <w:rPr>
          <w:sz w:val="20"/>
        </w:rPr>
      </w:pPr>
    </w:p>
    <w:p w14:paraId="51F38521" w14:textId="77777777" w:rsidR="00BC1E8D" w:rsidRDefault="00BC1E8D" w:rsidP="00BC1E8D">
      <w:pPr>
        <w:jc w:val="center"/>
        <w:rPr>
          <w:b/>
          <w:i/>
          <w:sz w:val="20"/>
        </w:rPr>
      </w:pPr>
      <w:r>
        <w:rPr>
          <w:b/>
          <w:i/>
          <w:sz w:val="20"/>
        </w:rPr>
        <w:t xml:space="preserve">Please submit this form via e-mail to both the PUC at </w:t>
      </w:r>
      <w:hyperlink r:id="rId8" w:history="1">
        <w:r w:rsidRPr="00464B26">
          <w:rPr>
            <w:rStyle w:val="Hyperlink"/>
            <w:sz w:val="20"/>
          </w:rPr>
          <w:t>jmccracken@pa.gov</w:t>
        </w:r>
      </w:hyperlink>
      <w:r>
        <w:rPr>
          <w:b/>
          <w:i/>
          <w:sz w:val="20"/>
        </w:rPr>
        <w:t xml:space="preserve"> and </w:t>
      </w:r>
      <w:hyperlink r:id="rId9" w:history="1">
        <w:r w:rsidRPr="00C229BE">
          <w:rPr>
            <w:rStyle w:val="Hyperlink"/>
            <w:sz w:val="20"/>
          </w:rPr>
          <w:t>lyalcin@pa.gov</w:t>
        </w:r>
      </w:hyperlink>
      <w:r>
        <w:rPr>
          <w:b/>
          <w:i/>
          <w:sz w:val="20"/>
        </w:rPr>
        <w:t xml:space="preserve"> and to the </w:t>
      </w:r>
    </w:p>
    <w:p w14:paraId="06471124" w14:textId="77777777" w:rsidR="00C03BB4" w:rsidRDefault="00BC1E8D" w:rsidP="00BC1E8D">
      <w:pPr>
        <w:jc w:val="center"/>
        <w:rPr>
          <w:b/>
          <w:i/>
          <w:sz w:val="20"/>
        </w:rPr>
      </w:pPr>
      <w:r>
        <w:rPr>
          <w:b/>
          <w:i/>
          <w:sz w:val="20"/>
        </w:rPr>
        <w:t xml:space="preserve">Change Control Manager, Brandon Siegel at </w:t>
      </w:r>
      <w:hyperlink r:id="rId10" w:history="1">
        <w:r>
          <w:rPr>
            <w:rStyle w:val="Hyperlink"/>
            <w:sz w:val="20"/>
          </w:rPr>
          <w:t>brandon.siegel@intelometry.com</w:t>
        </w:r>
      </w:hyperlink>
      <w:r>
        <w:rPr>
          <w:b/>
          <w:i/>
          <w:sz w:val="20"/>
        </w:rPr>
        <w:t xml:space="preserve">  </w:t>
      </w:r>
    </w:p>
    <w:p w14:paraId="6F6956DC" w14:textId="7BCE1678" w:rsidR="00C03BB4" w:rsidRDefault="00C03BB4">
      <w:pPr>
        <w:jc w:val="center"/>
        <w:rPr>
          <w:sz w:val="22"/>
        </w:rPr>
      </w:pPr>
      <w:r>
        <w:rPr>
          <w:i/>
          <w:sz w:val="20"/>
        </w:rPr>
        <w:t>Your request will be evaluated and prioritized at an upcoming EDEWG meeting or conference call.</w:t>
      </w:r>
      <w:r>
        <w:rPr>
          <w:sz w:val="22"/>
        </w:rPr>
        <w:t xml:space="preserve"> </w:t>
      </w:r>
    </w:p>
    <w:p w14:paraId="33DBC7B7" w14:textId="77777777" w:rsidR="009A0A61" w:rsidRDefault="009A0A61">
      <w:pPr>
        <w:rPr>
          <w:sz w:val="22"/>
        </w:rPr>
      </w:pPr>
    </w:p>
    <w:p w14:paraId="6196ADA2" w14:textId="77777777" w:rsidR="009A0A61" w:rsidRDefault="009A0A61">
      <w:pPr>
        <w:rPr>
          <w:sz w:val="22"/>
        </w:rPr>
      </w:pPr>
      <w:r>
        <w:rPr>
          <w:sz w:val="22"/>
        </w:rPr>
        <w:br w:type="page"/>
      </w:r>
    </w:p>
    <w:p w14:paraId="2C410590" w14:textId="54692803" w:rsidR="009A0A61" w:rsidRDefault="009A0A61">
      <w:pPr>
        <w:rPr>
          <w:sz w:val="22"/>
        </w:rPr>
      </w:pPr>
      <w:r>
        <w:rPr>
          <w:sz w:val="22"/>
        </w:rPr>
        <w:lastRenderedPageBreak/>
        <w:t>Please add the following to the Pennsylvania Notes section of the 810 Rate Ready Implementation Guide</w:t>
      </w:r>
    </w:p>
    <w:p w14:paraId="6130CE69" w14:textId="286B6B63" w:rsidR="009A0A61" w:rsidRDefault="009A0A61">
      <w:pPr>
        <w:rPr>
          <w:sz w:val="22"/>
        </w:rPr>
      </w:pPr>
    </w:p>
    <w:p w14:paraId="3C037541" w14:textId="6BB6129B" w:rsidR="009A0A61" w:rsidRDefault="009A0A61">
      <w:pPr>
        <w:rPr>
          <w:sz w:val="22"/>
        </w:rPr>
      </w:pPr>
    </w:p>
    <w:p w14:paraId="42F4B5E6" w14:textId="77777777" w:rsidR="009A0A61" w:rsidRDefault="009A0A61">
      <w:pPr>
        <w:rPr>
          <w:sz w:val="22"/>
        </w:rPr>
      </w:pPr>
    </w:p>
    <w:p w14:paraId="44370AD7" w14:textId="5A8CCBDC" w:rsidR="007F1E7B" w:rsidRDefault="007F1E7B">
      <w:pPr>
        <w:jc w:val="center"/>
        <w:rPr>
          <w:sz w:val="22"/>
        </w:rPr>
      </w:pPr>
    </w:p>
    <w:p w14:paraId="667598ED" w14:textId="4878B7E1" w:rsidR="0067007D" w:rsidRDefault="0067007D">
      <w:pPr>
        <w:jc w:val="center"/>
        <w:rPr>
          <w:sz w:val="22"/>
        </w:rPr>
      </w:pPr>
    </w:p>
    <w:tbl>
      <w:tblPr>
        <w:tblW w:w="10335" w:type="dxa"/>
        <w:tblCellMar>
          <w:left w:w="0" w:type="dxa"/>
          <w:right w:w="0" w:type="dxa"/>
        </w:tblCellMar>
        <w:tblLook w:val="04A0" w:firstRow="1" w:lastRow="0" w:firstColumn="1" w:lastColumn="0" w:noHBand="0" w:noVBand="1"/>
      </w:tblPr>
      <w:tblGrid>
        <w:gridCol w:w="1961"/>
        <w:gridCol w:w="194"/>
        <w:gridCol w:w="8180"/>
      </w:tblGrid>
      <w:tr w:rsidR="005D775D" w14:paraId="4DBA9AD7" w14:textId="77777777" w:rsidTr="005D775D">
        <w:trPr>
          <w:trHeight w:val="530"/>
        </w:trPr>
        <w:tc>
          <w:tcPr>
            <w:tcW w:w="1962" w:type="dxa"/>
            <w:tcBorders>
              <w:top w:val="dotted" w:sz="8" w:space="0" w:color="auto"/>
              <w:left w:val="dotted" w:sz="8" w:space="0" w:color="auto"/>
              <w:bottom w:val="dotted" w:sz="8" w:space="0" w:color="auto"/>
              <w:right w:val="single" w:sz="8" w:space="0" w:color="auto"/>
            </w:tcBorders>
            <w:tcMar>
              <w:top w:w="0" w:type="dxa"/>
              <w:left w:w="72" w:type="dxa"/>
              <w:bottom w:w="0" w:type="dxa"/>
              <w:right w:w="72" w:type="dxa"/>
            </w:tcMar>
            <w:hideMark/>
          </w:tcPr>
          <w:p w14:paraId="34DE2B66" w14:textId="77777777" w:rsidR="005D775D" w:rsidRDefault="005D775D">
            <w:pPr>
              <w:pStyle w:val="xmsonormal"/>
              <w:jc w:val="right"/>
            </w:pPr>
            <w:bookmarkStart w:id="0" w:name="_Hlk61365288"/>
            <w:r>
              <w:rPr>
                <w:rFonts w:ascii="Times New Roman" w:hAnsi="Times New Roman" w:cs="Times New Roman"/>
                <w:sz w:val="20"/>
                <w:szCs w:val="20"/>
              </w:rPr>
              <w:t>Rate Ready LDC Handling of Excess Generation for Net Metered Customers</w:t>
            </w:r>
          </w:p>
        </w:tc>
        <w:tc>
          <w:tcPr>
            <w:tcW w:w="180" w:type="dxa"/>
            <w:tcBorders>
              <w:top w:val="dotted" w:sz="8" w:space="0" w:color="auto"/>
              <w:left w:val="nil"/>
              <w:bottom w:val="dotted" w:sz="8" w:space="0" w:color="auto"/>
              <w:right w:val="nil"/>
            </w:tcBorders>
            <w:tcMar>
              <w:top w:w="0" w:type="dxa"/>
              <w:left w:w="72" w:type="dxa"/>
              <w:bottom w:w="0" w:type="dxa"/>
              <w:right w:w="72" w:type="dxa"/>
            </w:tcMar>
            <w:hideMark/>
          </w:tcPr>
          <w:p w14:paraId="4A33ABCA" w14:textId="77777777" w:rsidR="005D775D" w:rsidRDefault="005D775D" w:rsidP="005D775D">
            <w:pPr>
              <w:pStyle w:val="Heading1"/>
              <w:numPr>
                <w:ilvl w:val="0"/>
                <w:numId w:val="0"/>
              </w:numPr>
            </w:pPr>
            <w:r>
              <w:rPr>
                <w:rFonts w:ascii="Times New Roman" w:hAnsi="Times New Roman"/>
                <w:b w:val="0"/>
                <w:bCs/>
                <w:sz w:val="20"/>
              </w:rPr>
              <w:t> </w:t>
            </w:r>
          </w:p>
        </w:tc>
        <w:tc>
          <w:tcPr>
            <w:tcW w:w="8190" w:type="dxa"/>
            <w:tcBorders>
              <w:top w:val="dotted" w:sz="8" w:space="0" w:color="auto"/>
              <w:left w:val="nil"/>
              <w:bottom w:val="dotted" w:sz="8" w:space="0" w:color="auto"/>
              <w:right w:val="dotted" w:sz="8" w:space="0" w:color="auto"/>
            </w:tcBorders>
            <w:tcMar>
              <w:top w:w="0" w:type="dxa"/>
              <w:left w:w="72" w:type="dxa"/>
              <w:bottom w:w="0" w:type="dxa"/>
              <w:right w:w="72" w:type="dxa"/>
            </w:tcMar>
            <w:hideMark/>
          </w:tcPr>
          <w:p w14:paraId="3B524604" w14:textId="77777777" w:rsidR="005D775D" w:rsidRDefault="005D775D">
            <w:pPr>
              <w:pStyle w:val="xmsofooter"/>
              <w:rPr>
                <w:rFonts w:ascii="Times New Roman" w:hAnsi="Times New Roman" w:cs="Times New Roman"/>
                <w:sz w:val="20"/>
                <w:szCs w:val="20"/>
              </w:rPr>
            </w:pPr>
            <w:r>
              <w:rPr>
                <w:rFonts w:ascii="Times New Roman" w:hAnsi="Times New Roman" w:cs="Times New Roman"/>
                <w:sz w:val="20"/>
                <w:szCs w:val="20"/>
              </w:rPr>
              <w:t>Process for each Rate Ready LDC when a customer has excess generation.</w:t>
            </w:r>
          </w:p>
          <w:p w14:paraId="5E54D4ED" w14:textId="77777777" w:rsidR="005D775D" w:rsidRDefault="005D775D">
            <w:pPr>
              <w:pStyle w:val="xmsofooter"/>
              <w:rPr>
                <w:rFonts w:ascii="Times New Roman" w:hAnsi="Times New Roman" w:cs="Times New Roman"/>
                <w:sz w:val="20"/>
                <w:szCs w:val="20"/>
              </w:rPr>
            </w:pPr>
            <w:r>
              <w:rPr>
                <w:rFonts w:ascii="Times New Roman" w:hAnsi="Times New Roman" w:cs="Times New Roman"/>
                <w:sz w:val="20"/>
                <w:szCs w:val="20"/>
              </w:rPr>
              <w:t> </w:t>
            </w:r>
          </w:p>
          <w:p w14:paraId="77798141" w14:textId="77777777" w:rsidR="005D775D" w:rsidRDefault="005D775D">
            <w:pPr>
              <w:pStyle w:val="xmsofooter"/>
              <w:rPr>
                <w:rFonts w:ascii="Times New Roman" w:hAnsi="Times New Roman" w:cs="Times New Roman"/>
                <w:sz w:val="20"/>
                <w:szCs w:val="20"/>
              </w:rPr>
            </w:pPr>
            <w:r>
              <w:rPr>
                <w:rFonts w:ascii="Times New Roman" w:hAnsi="Times New Roman" w:cs="Times New Roman"/>
                <w:b/>
                <w:bCs/>
                <w:sz w:val="20"/>
                <w:szCs w:val="20"/>
              </w:rPr>
              <w:t>Duquesne Light</w:t>
            </w:r>
            <w:r>
              <w:rPr>
                <w:rFonts w:ascii="Times New Roman" w:hAnsi="Times New Roman" w:cs="Times New Roman"/>
                <w:sz w:val="20"/>
                <w:szCs w:val="20"/>
              </w:rPr>
              <w:t xml:space="preserve"> – Current period Excess Generation is reflected in the 867 BB Loop and the Rate Ready 810.  Excess generation from a prior period is carried over to subsequent periods for Rate Ready and the kWh billed will match the kWh in the 867 BB Loop.</w:t>
            </w:r>
          </w:p>
          <w:p w14:paraId="0B608FCE" w14:textId="77777777" w:rsidR="005D775D" w:rsidRDefault="005D775D">
            <w:pPr>
              <w:pStyle w:val="xmsofooter"/>
              <w:rPr>
                <w:rFonts w:ascii="Times New Roman" w:hAnsi="Times New Roman" w:cs="Times New Roman"/>
                <w:sz w:val="20"/>
                <w:szCs w:val="20"/>
              </w:rPr>
            </w:pPr>
            <w:r>
              <w:rPr>
                <w:rFonts w:ascii="Times New Roman" w:hAnsi="Times New Roman" w:cs="Times New Roman"/>
                <w:sz w:val="20"/>
                <w:szCs w:val="20"/>
              </w:rPr>
              <w:t> </w:t>
            </w:r>
          </w:p>
          <w:p w14:paraId="1279889D" w14:textId="77777777" w:rsidR="005D775D" w:rsidRDefault="005D775D">
            <w:pPr>
              <w:pStyle w:val="xmsofooter"/>
              <w:rPr>
                <w:rFonts w:ascii="Times New Roman" w:hAnsi="Times New Roman" w:cs="Times New Roman"/>
                <w:sz w:val="20"/>
                <w:szCs w:val="20"/>
              </w:rPr>
            </w:pPr>
            <w:r>
              <w:rPr>
                <w:rFonts w:ascii="Times New Roman" w:hAnsi="Times New Roman" w:cs="Times New Roman"/>
                <w:b/>
                <w:bCs/>
                <w:sz w:val="20"/>
                <w:szCs w:val="20"/>
              </w:rPr>
              <w:t>FirstEnergy</w:t>
            </w:r>
            <w:r>
              <w:rPr>
                <w:rFonts w:ascii="Times New Roman" w:hAnsi="Times New Roman" w:cs="Times New Roman"/>
                <w:sz w:val="20"/>
                <w:szCs w:val="20"/>
              </w:rPr>
              <w:t xml:space="preserve"> – </w:t>
            </w:r>
            <w:r>
              <w:rPr>
                <w:rFonts w:ascii="Times New Roman" w:hAnsi="Times New Roman" w:cs="Times New Roman"/>
                <w:color w:val="262B31"/>
                <w:sz w:val="20"/>
                <w:szCs w:val="20"/>
              </w:rPr>
              <w:t>Generation is disregarded for both the 867 BB Loop and the 810 Rate Ready; both will only reflect Consumption for the period.  See PA EDEWG Change Control #150 for more details.</w:t>
            </w:r>
          </w:p>
          <w:p w14:paraId="5B7A9A0B" w14:textId="77777777" w:rsidR="005D775D" w:rsidRDefault="005D775D">
            <w:pPr>
              <w:pStyle w:val="xmsofooter"/>
              <w:rPr>
                <w:rFonts w:ascii="Times New Roman" w:hAnsi="Times New Roman" w:cs="Times New Roman"/>
                <w:sz w:val="20"/>
                <w:szCs w:val="20"/>
              </w:rPr>
            </w:pPr>
            <w:r>
              <w:rPr>
                <w:rFonts w:ascii="Times New Roman" w:hAnsi="Times New Roman" w:cs="Times New Roman"/>
                <w:sz w:val="20"/>
                <w:szCs w:val="20"/>
              </w:rPr>
              <w:t> </w:t>
            </w:r>
          </w:p>
          <w:p w14:paraId="09747BE1" w14:textId="77777777" w:rsidR="005D775D" w:rsidRDefault="005D775D">
            <w:pPr>
              <w:pStyle w:val="xmsofooter"/>
              <w:rPr>
                <w:rFonts w:ascii="Times New Roman" w:hAnsi="Times New Roman" w:cs="Times New Roman"/>
                <w:sz w:val="20"/>
                <w:szCs w:val="20"/>
              </w:rPr>
            </w:pPr>
            <w:r>
              <w:rPr>
                <w:rFonts w:ascii="Times New Roman" w:hAnsi="Times New Roman" w:cs="Times New Roman"/>
                <w:b/>
                <w:bCs/>
                <w:sz w:val="20"/>
                <w:szCs w:val="20"/>
              </w:rPr>
              <w:t>PPLEU</w:t>
            </w:r>
            <w:r>
              <w:rPr>
                <w:rFonts w:ascii="Times New Roman" w:hAnsi="Times New Roman" w:cs="Times New Roman"/>
                <w:sz w:val="20"/>
                <w:szCs w:val="20"/>
              </w:rPr>
              <w:t xml:space="preserve"> – </w:t>
            </w:r>
            <w:r>
              <w:rPr>
                <w:rFonts w:ascii="Times New Roman" w:hAnsi="Times New Roman" w:cs="Times New Roman"/>
                <w:color w:val="262B31"/>
                <w:sz w:val="20"/>
                <w:szCs w:val="20"/>
              </w:rPr>
              <w:t xml:space="preserve">Current period Excess Generation is reflected in the 867 BB Loop and 810.  </w:t>
            </w:r>
            <w:r>
              <w:rPr>
                <w:rFonts w:ascii="Times New Roman" w:hAnsi="Times New Roman" w:cs="Times New Roman"/>
                <w:sz w:val="20"/>
                <w:szCs w:val="20"/>
              </w:rPr>
              <w:t>Excess generation from a prior period is not carried over to subsequent periods for Rate Ready</w:t>
            </w:r>
            <w:r>
              <w:rPr>
                <w:rFonts w:ascii="Times New Roman" w:hAnsi="Times New Roman" w:cs="Times New Roman"/>
                <w:color w:val="262B31"/>
                <w:sz w:val="20"/>
                <w:szCs w:val="20"/>
              </w:rPr>
              <w:t xml:space="preserve">; </w:t>
            </w:r>
            <w:r>
              <w:rPr>
                <w:rFonts w:ascii="Times New Roman" w:hAnsi="Times New Roman" w:cs="Times New Roman"/>
                <w:sz w:val="20"/>
                <w:szCs w:val="20"/>
              </w:rPr>
              <w:t>the kWh billed to the customer will not match the kWh in the 867 BB Loop and instead will reflect the net for the period.</w:t>
            </w:r>
          </w:p>
          <w:p w14:paraId="54C11F15" w14:textId="77777777" w:rsidR="005D775D" w:rsidRDefault="005D775D">
            <w:pPr>
              <w:pStyle w:val="xmsofooter"/>
              <w:rPr>
                <w:rFonts w:ascii="Times New Roman" w:hAnsi="Times New Roman" w:cs="Times New Roman"/>
                <w:sz w:val="20"/>
                <w:szCs w:val="20"/>
              </w:rPr>
            </w:pPr>
            <w:r>
              <w:rPr>
                <w:rFonts w:ascii="Times New Roman" w:hAnsi="Times New Roman" w:cs="Times New Roman"/>
                <w:sz w:val="20"/>
                <w:szCs w:val="20"/>
              </w:rPr>
              <w:t> </w:t>
            </w:r>
          </w:p>
          <w:p w14:paraId="0FD25940" w14:textId="77777777" w:rsidR="005D775D" w:rsidRDefault="005D775D">
            <w:pPr>
              <w:pStyle w:val="xmsofooter"/>
              <w:rPr>
                <w:rFonts w:ascii="Times New Roman" w:hAnsi="Times New Roman" w:cs="Times New Roman"/>
                <w:sz w:val="20"/>
                <w:szCs w:val="20"/>
              </w:rPr>
            </w:pPr>
            <w:r>
              <w:rPr>
                <w:rFonts w:ascii="Times New Roman" w:hAnsi="Times New Roman" w:cs="Times New Roman"/>
                <w:b/>
                <w:bCs/>
                <w:sz w:val="20"/>
                <w:szCs w:val="20"/>
              </w:rPr>
              <w:t>UGI</w:t>
            </w:r>
            <w:r>
              <w:rPr>
                <w:rFonts w:ascii="Times New Roman" w:hAnsi="Times New Roman" w:cs="Times New Roman"/>
                <w:sz w:val="20"/>
                <w:szCs w:val="20"/>
              </w:rPr>
              <w:t xml:space="preserve"> – </w:t>
            </w:r>
            <w:r>
              <w:rPr>
                <w:rFonts w:ascii="Times New Roman" w:hAnsi="Times New Roman" w:cs="Times New Roman"/>
                <w:color w:val="262B31"/>
                <w:sz w:val="20"/>
                <w:szCs w:val="20"/>
              </w:rPr>
              <w:t xml:space="preserve">Current period Excess Generation is reflected in the 867 BB Loop and 810.  </w:t>
            </w:r>
            <w:r>
              <w:rPr>
                <w:rFonts w:ascii="Times New Roman" w:hAnsi="Times New Roman" w:cs="Times New Roman"/>
                <w:sz w:val="20"/>
                <w:szCs w:val="20"/>
              </w:rPr>
              <w:t>Excess generation from a prior period is not carried over to subsequent periods on either the 867 or the 810 Rate Ready. The kWh billed will match the kWh in the 867 BB Loop.</w:t>
            </w:r>
          </w:p>
          <w:p w14:paraId="13B69FF4" w14:textId="77777777" w:rsidR="005D775D" w:rsidRDefault="005D775D">
            <w:pPr>
              <w:pStyle w:val="xmsofooter"/>
              <w:rPr>
                <w:rFonts w:ascii="Times New Roman" w:hAnsi="Times New Roman" w:cs="Times New Roman"/>
                <w:sz w:val="20"/>
                <w:szCs w:val="20"/>
              </w:rPr>
            </w:pPr>
            <w:r>
              <w:rPr>
                <w:rFonts w:ascii="Times New Roman" w:hAnsi="Times New Roman" w:cs="Times New Roman"/>
                <w:sz w:val="20"/>
                <w:szCs w:val="20"/>
              </w:rPr>
              <w:t> </w:t>
            </w:r>
          </w:p>
          <w:p w14:paraId="602313DA" w14:textId="77777777" w:rsidR="005D775D" w:rsidRDefault="005D775D">
            <w:pPr>
              <w:pStyle w:val="xmsofooter"/>
              <w:rPr>
                <w:rFonts w:ascii="Times New Roman" w:hAnsi="Times New Roman" w:cs="Times New Roman"/>
                <w:sz w:val="20"/>
                <w:szCs w:val="20"/>
              </w:rPr>
            </w:pPr>
            <w:r>
              <w:rPr>
                <w:rFonts w:ascii="Times New Roman" w:hAnsi="Times New Roman" w:cs="Times New Roman"/>
                <w:b/>
                <w:bCs/>
                <w:sz w:val="20"/>
                <w:szCs w:val="20"/>
              </w:rPr>
              <w:t>Citizens &amp; Wellsboro –</w:t>
            </w:r>
            <w:r>
              <w:rPr>
                <w:rFonts w:ascii="Times New Roman" w:hAnsi="Times New Roman" w:cs="Times New Roman"/>
                <w:sz w:val="20"/>
                <w:szCs w:val="20"/>
              </w:rPr>
              <w:t xml:space="preserve"> At the time this section was written there were no production shopping accounts to verify. However, the understanding is that Current period Excess Generation is reflected in the 867 BB Loop and the Rate Ready 810.  Excess generation from a prior period is carried over to subsequent periods for Rate Ready and the kWh billed will match the kWh in the 867 BB Loop.</w:t>
            </w:r>
          </w:p>
          <w:p w14:paraId="3CBD8596" w14:textId="77777777" w:rsidR="005D775D" w:rsidRDefault="005D775D">
            <w:pPr>
              <w:pStyle w:val="xmsofooter"/>
              <w:rPr>
                <w:rFonts w:ascii="Times New Roman" w:hAnsi="Times New Roman" w:cs="Times New Roman"/>
                <w:sz w:val="20"/>
                <w:szCs w:val="20"/>
              </w:rPr>
            </w:pPr>
            <w:r>
              <w:rPr>
                <w:rFonts w:ascii="Times New Roman" w:hAnsi="Times New Roman" w:cs="Times New Roman"/>
                <w:sz w:val="20"/>
                <w:szCs w:val="20"/>
              </w:rPr>
              <w:t> </w:t>
            </w:r>
          </w:p>
        </w:tc>
      </w:tr>
      <w:bookmarkEnd w:id="0"/>
    </w:tbl>
    <w:p w14:paraId="5A330F46" w14:textId="77777777" w:rsidR="0067007D" w:rsidRDefault="0067007D">
      <w:pPr>
        <w:jc w:val="center"/>
        <w:rPr>
          <w:sz w:val="22"/>
        </w:rPr>
      </w:pPr>
    </w:p>
    <w:sectPr w:rsidR="0067007D">
      <w:headerReference w:type="default" r:id="rId11"/>
      <w:footerReference w:type="default" r:id="rId12"/>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ABD7C" w14:textId="77777777" w:rsidR="00F32CE7" w:rsidRDefault="00F32CE7">
      <w:r>
        <w:separator/>
      </w:r>
    </w:p>
  </w:endnote>
  <w:endnote w:type="continuationSeparator" w:id="0">
    <w:p w14:paraId="6CAF9CE7" w14:textId="77777777" w:rsidR="00F32CE7" w:rsidRDefault="00F3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8B55" w14:textId="77777777" w:rsidR="00C03BB4" w:rsidRDefault="00C03BB4">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D1005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6961" w14:textId="77777777" w:rsidR="00F32CE7" w:rsidRDefault="00F32CE7">
      <w:r>
        <w:separator/>
      </w:r>
    </w:p>
  </w:footnote>
  <w:footnote w:type="continuationSeparator" w:id="0">
    <w:p w14:paraId="40F8274B" w14:textId="77777777" w:rsidR="00F32CE7" w:rsidRDefault="00F3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1384" w14:textId="77777777" w:rsidR="00C03BB4" w:rsidRDefault="00C03BB4">
    <w:pPr>
      <w:pStyle w:val="Header"/>
      <w:jc w:val="center"/>
      <w:rPr>
        <w:sz w:val="20"/>
      </w:rPr>
    </w:pPr>
  </w:p>
  <w:p w14:paraId="336BA365" w14:textId="77777777" w:rsidR="00C03BB4" w:rsidRDefault="00C03BB4">
    <w:pPr>
      <w:pStyle w:val="Header"/>
      <w:jc w:val="center"/>
      <w:rPr>
        <w:sz w:val="20"/>
      </w:rPr>
    </w:pPr>
  </w:p>
  <w:p w14:paraId="436817A8" w14:textId="77777777" w:rsidR="00C03BB4" w:rsidRDefault="00C03BB4">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216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48E7A1A"/>
    <w:multiLevelType w:val="singleLevel"/>
    <w:tmpl w:val="20D262C8"/>
    <w:lvl w:ilvl="0">
      <w:start w:val="3"/>
      <w:numFmt w:val="decimal"/>
      <w:lvlText w:val="%1"/>
      <w:lvlJc w:val="left"/>
      <w:pPr>
        <w:tabs>
          <w:tab w:val="num" w:pos="2520"/>
        </w:tabs>
        <w:ind w:left="2520" w:hanging="360"/>
      </w:pPr>
      <w:rPr>
        <w:rFonts w:hint="default"/>
        <w:b/>
      </w:rPr>
    </w:lvl>
  </w:abstractNum>
  <w:abstractNum w:abstractNumId="2" w15:restartNumberingAfterBreak="0">
    <w:nsid w:val="053A3241"/>
    <w:multiLevelType w:val="singleLevel"/>
    <w:tmpl w:val="40ECE7FA"/>
    <w:lvl w:ilvl="0">
      <w:start w:val="3"/>
      <w:numFmt w:val="decimal"/>
      <w:lvlText w:val="%1"/>
      <w:lvlJc w:val="left"/>
      <w:pPr>
        <w:tabs>
          <w:tab w:val="num" w:pos="2520"/>
        </w:tabs>
        <w:ind w:left="2520" w:hanging="360"/>
      </w:pPr>
      <w:rPr>
        <w:rFonts w:hint="default"/>
        <w:b/>
      </w:rPr>
    </w:lvl>
  </w:abstractNum>
  <w:abstractNum w:abstractNumId="3" w15:restartNumberingAfterBreak="0">
    <w:nsid w:val="678F2187"/>
    <w:multiLevelType w:val="singleLevel"/>
    <w:tmpl w:val="EB722D44"/>
    <w:lvl w:ilvl="0">
      <w:start w:val="3"/>
      <w:numFmt w:val="decimal"/>
      <w:lvlText w:val="%1"/>
      <w:lvlJc w:val="left"/>
      <w:pPr>
        <w:tabs>
          <w:tab w:val="num" w:pos="2520"/>
        </w:tabs>
        <w:ind w:left="2520" w:hanging="360"/>
      </w:pPr>
      <w:rPr>
        <w:rFonts w:hint="default"/>
        <w:b/>
      </w:rPr>
    </w:lvl>
  </w:abstractNum>
  <w:abstractNum w:abstractNumId="4" w15:restartNumberingAfterBreak="0">
    <w:nsid w:val="69634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AF4530"/>
    <w:multiLevelType w:val="singleLevel"/>
    <w:tmpl w:val="2AEAAF40"/>
    <w:lvl w:ilvl="0">
      <w:start w:val="3"/>
      <w:numFmt w:val="decimal"/>
      <w:lvlText w:val="%1"/>
      <w:lvlJc w:val="left"/>
      <w:pPr>
        <w:tabs>
          <w:tab w:val="num" w:pos="2520"/>
        </w:tabs>
        <w:ind w:left="2520" w:hanging="360"/>
      </w:pPr>
      <w:rPr>
        <w:rFonts w:hint="default"/>
        <w:b/>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7E"/>
    <w:rsid w:val="000201DB"/>
    <w:rsid w:val="00064BA4"/>
    <w:rsid w:val="00095C7E"/>
    <w:rsid w:val="000B0C7C"/>
    <w:rsid w:val="000B2394"/>
    <w:rsid w:val="00132F14"/>
    <w:rsid w:val="0017352A"/>
    <w:rsid w:val="002235AF"/>
    <w:rsid w:val="002256AC"/>
    <w:rsid w:val="002435C4"/>
    <w:rsid w:val="00247582"/>
    <w:rsid w:val="00261E40"/>
    <w:rsid w:val="0029070D"/>
    <w:rsid w:val="002B4ED9"/>
    <w:rsid w:val="003C4A55"/>
    <w:rsid w:val="003E7AAC"/>
    <w:rsid w:val="00420C5C"/>
    <w:rsid w:val="00534067"/>
    <w:rsid w:val="00545B5F"/>
    <w:rsid w:val="005D775D"/>
    <w:rsid w:val="005E3C3D"/>
    <w:rsid w:val="00650383"/>
    <w:rsid w:val="0067007D"/>
    <w:rsid w:val="006A6EDD"/>
    <w:rsid w:val="00735211"/>
    <w:rsid w:val="00746068"/>
    <w:rsid w:val="007E33C2"/>
    <w:rsid w:val="007F1E7B"/>
    <w:rsid w:val="00811FF6"/>
    <w:rsid w:val="00826000"/>
    <w:rsid w:val="00863B50"/>
    <w:rsid w:val="00956FEC"/>
    <w:rsid w:val="009A0A61"/>
    <w:rsid w:val="00A44250"/>
    <w:rsid w:val="00A61DFF"/>
    <w:rsid w:val="00A7756A"/>
    <w:rsid w:val="00AA30E3"/>
    <w:rsid w:val="00AC0243"/>
    <w:rsid w:val="00B23AC3"/>
    <w:rsid w:val="00B429C5"/>
    <w:rsid w:val="00B721EB"/>
    <w:rsid w:val="00B911A0"/>
    <w:rsid w:val="00BC1E8D"/>
    <w:rsid w:val="00C03BB4"/>
    <w:rsid w:val="00CD3FC8"/>
    <w:rsid w:val="00D10059"/>
    <w:rsid w:val="00D43737"/>
    <w:rsid w:val="00DA2BD9"/>
    <w:rsid w:val="00DE495D"/>
    <w:rsid w:val="00EC2A64"/>
    <w:rsid w:val="00EE2FA0"/>
    <w:rsid w:val="00F23C0F"/>
    <w:rsid w:val="00F3136E"/>
    <w:rsid w:val="00F32CE7"/>
    <w:rsid w:val="00F34DA1"/>
    <w:rsid w:val="00F8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F5712"/>
  <w15:chartTrackingRefBased/>
  <w15:docId w15:val="{E260D6D1-2D96-4E72-B6D8-39423DB1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ind w:left="144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paragraph" w:customStyle="1" w:styleId="Element">
    <w:name w:val="Element"/>
    <w:basedOn w:val="Normal"/>
    <w:rsid w:val="007F1E7B"/>
    <w:pPr>
      <w:spacing w:before="60"/>
      <w:ind w:right="144"/>
    </w:pPr>
    <w:rPr>
      <w:sz w:val="20"/>
    </w:rPr>
  </w:style>
  <w:style w:type="paragraph" w:customStyle="1" w:styleId="Definition">
    <w:name w:val="Definition"/>
    <w:basedOn w:val="Normal"/>
    <w:rsid w:val="007F1E7B"/>
    <w:pPr>
      <w:spacing w:after="60"/>
      <w:ind w:right="144"/>
    </w:pPr>
    <w:rPr>
      <w:sz w:val="16"/>
    </w:rPr>
  </w:style>
  <w:style w:type="paragraph" w:customStyle="1" w:styleId="xmsonormal">
    <w:name w:val="x_msonormal"/>
    <w:basedOn w:val="Normal"/>
    <w:rsid w:val="009A0A61"/>
    <w:rPr>
      <w:rFonts w:ascii="Calibri" w:eastAsiaTheme="minorHAnsi" w:hAnsi="Calibri" w:cs="Calibri"/>
      <w:sz w:val="22"/>
      <w:szCs w:val="22"/>
    </w:rPr>
  </w:style>
  <w:style w:type="paragraph" w:customStyle="1" w:styleId="xmsofooter">
    <w:name w:val="x_msofooter"/>
    <w:basedOn w:val="Normal"/>
    <w:rsid w:val="009A0A61"/>
    <w:rPr>
      <w:rFonts w:ascii="Calibri" w:eastAsiaTheme="minorHAnsi" w:hAnsi="Calibri" w:cs="Calibri"/>
      <w:sz w:val="22"/>
      <w:szCs w:val="22"/>
    </w:rPr>
  </w:style>
  <w:style w:type="paragraph" w:styleId="BalloonText">
    <w:name w:val="Balloon Text"/>
    <w:basedOn w:val="Normal"/>
    <w:link w:val="BalloonTextChar"/>
    <w:rsid w:val="0029070D"/>
    <w:rPr>
      <w:rFonts w:ascii="Segoe UI" w:hAnsi="Segoe UI" w:cs="Segoe UI"/>
      <w:sz w:val="18"/>
      <w:szCs w:val="18"/>
    </w:rPr>
  </w:style>
  <w:style w:type="character" w:customStyle="1" w:styleId="BalloonTextChar">
    <w:name w:val="Balloon Text Char"/>
    <w:basedOn w:val="DefaultParagraphFont"/>
    <w:link w:val="BalloonText"/>
    <w:rsid w:val="00290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1511">
      <w:bodyDiv w:val="1"/>
      <w:marLeft w:val="0"/>
      <w:marRight w:val="0"/>
      <w:marTop w:val="0"/>
      <w:marBottom w:val="0"/>
      <w:divBdr>
        <w:top w:val="none" w:sz="0" w:space="0" w:color="auto"/>
        <w:left w:val="none" w:sz="0" w:space="0" w:color="auto"/>
        <w:bottom w:val="none" w:sz="0" w:space="0" w:color="auto"/>
        <w:right w:val="none" w:sz="0" w:space="0" w:color="auto"/>
      </w:divBdr>
    </w:div>
    <w:div w:id="203757983">
      <w:bodyDiv w:val="1"/>
      <w:marLeft w:val="0"/>
      <w:marRight w:val="0"/>
      <w:marTop w:val="0"/>
      <w:marBottom w:val="0"/>
      <w:divBdr>
        <w:top w:val="none" w:sz="0" w:space="0" w:color="auto"/>
        <w:left w:val="none" w:sz="0" w:space="0" w:color="auto"/>
        <w:bottom w:val="none" w:sz="0" w:space="0" w:color="auto"/>
        <w:right w:val="none" w:sz="0" w:space="0" w:color="auto"/>
      </w:divBdr>
    </w:div>
    <w:div w:id="1075975130">
      <w:bodyDiv w:val="1"/>
      <w:marLeft w:val="0"/>
      <w:marRight w:val="0"/>
      <w:marTop w:val="0"/>
      <w:marBottom w:val="0"/>
      <w:divBdr>
        <w:top w:val="none" w:sz="0" w:space="0" w:color="auto"/>
        <w:left w:val="none" w:sz="0" w:space="0" w:color="auto"/>
        <w:bottom w:val="none" w:sz="0" w:space="0" w:color="auto"/>
        <w:right w:val="none" w:sz="0" w:space="0" w:color="auto"/>
      </w:divBdr>
    </w:div>
    <w:div w:id="1448886204">
      <w:bodyDiv w:val="1"/>
      <w:marLeft w:val="0"/>
      <w:marRight w:val="0"/>
      <w:marTop w:val="0"/>
      <w:marBottom w:val="0"/>
      <w:divBdr>
        <w:top w:val="none" w:sz="0" w:space="0" w:color="auto"/>
        <w:left w:val="none" w:sz="0" w:space="0" w:color="auto"/>
        <w:bottom w:val="none" w:sz="0" w:space="0" w:color="auto"/>
        <w:right w:val="none" w:sz="0" w:space="0" w:color="auto"/>
      </w:divBdr>
    </w:div>
    <w:div w:id="20423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pa.gov/electric/electric_edewg_download.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andon.siegel@intelometry.com" TargetMode="External"/><Relationship Id="rId4" Type="http://schemas.openxmlformats.org/officeDocument/2006/relationships/webSettings" Target="webSettings.xml"/><Relationship Id="rId9" Type="http://schemas.openxmlformats.org/officeDocument/2006/relationships/hyperlink" Target="mailto:lyalcin@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4470</CharactersWithSpaces>
  <SharedDoc>false</SharedDoc>
  <HLinks>
    <vt:vector size="24" baseType="variant">
      <vt:variant>
        <vt:i4>6946823</vt:i4>
      </vt:variant>
      <vt:variant>
        <vt:i4>9</vt:i4>
      </vt:variant>
      <vt:variant>
        <vt:i4>0</vt:i4>
      </vt:variant>
      <vt:variant>
        <vt:i4>5</vt:i4>
      </vt:variant>
      <vt:variant>
        <vt:lpwstr>mailto:brandon.siegel@intelometry.com</vt:lpwstr>
      </vt:variant>
      <vt:variant>
        <vt:lpwstr/>
      </vt:variant>
      <vt:variant>
        <vt:i4>5439600</vt:i4>
      </vt:variant>
      <vt:variant>
        <vt:i4>6</vt:i4>
      </vt:variant>
      <vt:variant>
        <vt:i4>0</vt:i4>
      </vt:variant>
      <vt:variant>
        <vt:i4>5</vt:i4>
      </vt:variant>
      <vt:variant>
        <vt:lpwstr>mailto:lyalcin@pa.gov</vt:lpwstr>
      </vt:variant>
      <vt:variant>
        <vt:lpwstr/>
      </vt:variant>
      <vt:variant>
        <vt:i4>3080209</vt:i4>
      </vt:variant>
      <vt:variant>
        <vt:i4>3</vt:i4>
      </vt:variant>
      <vt:variant>
        <vt:i4>0</vt:i4>
      </vt:variant>
      <vt:variant>
        <vt:i4>5</vt:i4>
      </vt:variant>
      <vt:variant>
        <vt:lpwstr>mailto:jmccracken@pa.gov</vt:lpwstr>
      </vt:variant>
      <vt:variant>
        <vt:lpwstr/>
      </vt:variant>
      <vt:variant>
        <vt:i4>2949235</vt:i4>
      </vt:variant>
      <vt:variant>
        <vt:i4>0</vt:i4>
      </vt:variant>
      <vt:variant>
        <vt:i4>0</vt:i4>
      </vt:variant>
      <vt:variant>
        <vt:i4>5</vt:i4>
      </vt:variant>
      <vt:variant>
        <vt:lpwstr>http://www.puc.pa.gov/electric/electric_edewg_download.aspx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cp:lastModifiedBy>Brandon Siegel</cp:lastModifiedBy>
  <cp:revision>8</cp:revision>
  <cp:lastPrinted>2412-01-01T04:59:00Z</cp:lastPrinted>
  <dcterms:created xsi:type="dcterms:W3CDTF">2020-12-09T15:27:00Z</dcterms:created>
  <dcterms:modified xsi:type="dcterms:W3CDTF">2021-01-12T22:45:00Z</dcterms:modified>
</cp:coreProperties>
</file>