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DC19" w14:textId="3A5326EA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A22150">
        <w:rPr>
          <w:sz w:val="28"/>
        </w:rPr>
        <w:t>#166</w:t>
      </w:r>
    </w:p>
    <w:p w14:paraId="3FD7DC1A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3FD7DC1B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14:paraId="3FD7DC1C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3FD7DC23" w14:textId="77777777">
        <w:tc>
          <w:tcPr>
            <w:tcW w:w="3672" w:type="dxa"/>
          </w:tcPr>
          <w:p w14:paraId="3FD7DC1D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3FD7DC1E" w14:textId="77777777" w:rsidR="00C03BB4" w:rsidRPr="00C50157" w:rsidRDefault="00C519B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Cheryl Oehler</w:t>
            </w:r>
          </w:p>
        </w:tc>
        <w:tc>
          <w:tcPr>
            <w:tcW w:w="3672" w:type="dxa"/>
          </w:tcPr>
          <w:p w14:paraId="3FD7DC1F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3FD7DC20" w14:textId="77777777" w:rsidR="00C03BB4" w:rsidRPr="00C50157" w:rsidRDefault="00C519B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PPL Electric Utilities</w:t>
            </w:r>
          </w:p>
        </w:tc>
        <w:tc>
          <w:tcPr>
            <w:tcW w:w="3672" w:type="dxa"/>
          </w:tcPr>
          <w:p w14:paraId="3FD7DC21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14:paraId="3FD7DC22" w14:textId="36D372B7" w:rsidR="00C03BB4" w:rsidRPr="00C50157" w:rsidRDefault="003F2E8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610</w:t>
            </w:r>
            <w:r w:rsidR="00C56D44">
              <w:rPr>
                <w:rFonts w:ascii="Calibri" w:hAnsi="Calibri" w:cs="Calibri"/>
                <w:sz w:val="20"/>
              </w:rPr>
              <w:t xml:space="preserve"> 984-5200</w:t>
            </w:r>
          </w:p>
        </w:tc>
      </w:tr>
      <w:tr w:rsidR="00C03BB4" w14:paraId="3FD7DC2A" w14:textId="77777777">
        <w:tc>
          <w:tcPr>
            <w:tcW w:w="3672" w:type="dxa"/>
          </w:tcPr>
          <w:p w14:paraId="3FD7DC24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3FD7DC25" w14:textId="203157C6" w:rsidR="00C03BB4" w:rsidRPr="00C50157" w:rsidRDefault="008E00E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1/5/2022</w:t>
            </w:r>
          </w:p>
        </w:tc>
        <w:tc>
          <w:tcPr>
            <w:tcW w:w="3672" w:type="dxa"/>
          </w:tcPr>
          <w:p w14:paraId="3FD7DC26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3FD7DC27" w14:textId="7B4C9CD8" w:rsidR="00C03BB4" w:rsidRPr="00C50157" w:rsidRDefault="00A15EF6" w:rsidP="005478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814</w:t>
            </w:r>
            <w:r w:rsidR="00A22150">
              <w:rPr>
                <w:rFonts w:ascii="Calibri" w:hAnsi="Calibri" w:cs="Calibri"/>
                <w:sz w:val="20"/>
              </w:rPr>
              <w:t xml:space="preserve"> Change</w:t>
            </w:r>
          </w:p>
        </w:tc>
        <w:tc>
          <w:tcPr>
            <w:tcW w:w="3672" w:type="dxa"/>
            <w:tcBorders>
              <w:bottom w:val="nil"/>
            </w:tcBorders>
          </w:tcPr>
          <w:p w14:paraId="3FD7DC28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3FD7DC29" w14:textId="77777777" w:rsidR="00C03BB4" w:rsidRPr="00C50157" w:rsidRDefault="00C519B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ctoehler@pplweb.com</w:t>
            </w:r>
          </w:p>
        </w:tc>
      </w:tr>
      <w:tr w:rsidR="00C03BB4" w14:paraId="3FD7DC30" w14:textId="77777777">
        <w:tc>
          <w:tcPr>
            <w:tcW w:w="3672" w:type="dxa"/>
          </w:tcPr>
          <w:p w14:paraId="3FD7DC2B" w14:textId="77777777" w:rsidR="00C03BB4" w:rsidRPr="00C50157" w:rsidRDefault="00C03BB4">
            <w:pPr>
              <w:rPr>
                <w:rFonts w:ascii="Calibri" w:hAnsi="Calibri" w:cs="Calibri"/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243C02">
              <w:rPr>
                <w:sz w:val="20"/>
              </w:rPr>
              <w:t xml:space="preserve">  </w:t>
            </w:r>
            <w:r w:rsidR="00C519BD">
              <w:rPr>
                <w:sz w:val="20"/>
              </w:rPr>
              <w:t>Low</w:t>
            </w:r>
          </w:p>
        </w:tc>
        <w:tc>
          <w:tcPr>
            <w:tcW w:w="3672" w:type="dxa"/>
          </w:tcPr>
          <w:p w14:paraId="3FD7DC2C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3FD7DC2D" w14:textId="45369F19" w:rsidR="00C03BB4" w:rsidRPr="00C50157" w:rsidRDefault="00C56D4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2022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3FD7DC2E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3FD7DC2F" w14:textId="678C91EC" w:rsidR="00C03BB4" w:rsidRPr="00C50157" w:rsidRDefault="00DE084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INCORPORATED in </w:t>
            </w:r>
            <w:r w:rsidRPr="00DE0844">
              <w:rPr>
                <w:rFonts w:ascii="Calibri" w:hAnsi="Calibri" w:cs="Calibri"/>
                <w:sz w:val="20"/>
              </w:rPr>
              <w:t>IG814Cv6-9</w:t>
            </w:r>
            <w:r>
              <w:rPr>
                <w:rFonts w:ascii="Calibri" w:hAnsi="Calibri" w:cs="Calibri"/>
                <w:sz w:val="20"/>
              </w:rPr>
              <w:t>.docx</w:t>
            </w:r>
          </w:p>
        </w:tc>
      </w:tr>
    </w:tbl>
    <w:p w14:paraId="3FD7DC31" w14:textId="77777777" w:rsidR="00C03BB4" w:rsidRDefault="00C03BB4"/>
    <w:p w14:paraId="3FD7DC32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256923D7" w14:textId="6F1582C6" w:rsidR="00244770" w:rsidRPr="00A22150" w:rsidRDefault="00244770" w:rsidP="0024477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Cs w:val="24"/>
        </w:rPr>
      </w:pPr>
      <w:r w:rsidRPr="00A22150">
        <w:rPr>
          <w:rFonts w:asciiTheme="minorHAnsi" w:hAnsiTheme="minorHAnsi" w:cstheme="minorHAnsi"/>
          <w:szCs w:val="24"/>
        </w:rPr>
        <w:t xml:space="preserve">On the 814 Change Response, add a new Rejection Reason Code (REF*7G) of B39 – </w:t>
      </w:r>
      <w:r w:rsidR="00A22150">
        <w:rPr>
          <w:rFonts w:asciiTheme="minorHAnsi" w:hAnsiTheme="minorHAnsi" w:cstheme="minorHAnsi"/>
          <w:szCs w:val="24"/>
        </w:rPr>
        <w:t xml:space="preserve">“Unable to process </w:t>
      </w:r>
      <w:r w:rsidR="002F43A2">
        <w:rPr>
          <w:rFonts w:asciiTheme="minorHAnsi" w:hAnsiTheme="minorHAnsi" w:cstheme="minorHAnsi"/>
          <w:szCs w:val="24"/>
        </w:rPr>
        <w:t xml:space="preserve">request </w:t>
      </w:r>
      <w:r w:rsidR="00A22150">
        <w:rPr>
          <w:rFonts w:asciiTheme="minorHAnsi" w:hAnsiTheme="minorHAnsi" w:cstheme="minorHAnsi"/>
          <w:szCs w:val="24"/>
        </w:rPr>
        <w:t>due to pending drop”.</w:t>
      </w:r>
    </w:p>
    <w:p w14:paraId="3FD7DC35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14:paraId="3FD7DC36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243C02">
        <w:rPr>
          <w:b/>
          <w:sz w:val="22"/>
        </w:rPr>
        <w:t>Explanation</w:t>
      </w:r>
      <w:r w:rsidR="00243C02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14:paraId="3FD7DC39" w14:textId="02BB6098" w:rsidR="00A74E8F" w:rsidRPr="00A22150" w:rsidRDefault="005670F5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b/>
          <w:bCs/>
          <w:szCs w:val="24"/>
        </w:rPr>
      </w:pPr>
      <w:r w:rsidRPr="00A22150">
        <w:rPr>
          <w:rFonts w:asciiTheme="minorHAnsi" w:hAnsiTheme="minorHAnsi" w:cstheme="minorHAnsi"/>
          <w:szCs w:val="24"/>
        </w:rPr>
        <w:t>Add B39 – Invalid Rate C</w:t>
      </w:r>
      <w:r w:rsidR="00930C21" w:rsidRPr="00A22150">
        <w:rPr>
          <w:rFonts w:asciiTheme="minorHAnsi" w:hAnsiTheme="minorHAnsi" w:cstheme="minorHAnsi"/>
          <w:szCs w:val="24"/>
        </w:rPr>
        <w:t>hange</w:t>
      </w:r>
      <w:r w:rsidR="00AC03E6" w:rsidRPr="00A22150">
        <w:rPr>
          <w:rFonts w:asciiTheme="minorHAnsi" w:hAnsiTheme="minorHAnsi" w:cstheme="minorHAnsi"/>
          <w:szCs w:val="24"/>
        </w:rPr>
        <w:t xml:space="preserve"> </w:t>
      </w:r>
      <w:r w:rsidR="00930C21" w:rsidRPr="00A22150">
        <w:rPr>
          <w:rFonts w:asciiTheme="minorHAnsi" w:hAnsiTheme="minorHAnsi" w:cstheme="minorHAnsi"/>
          <w:szCs w:val="24"/>
        </w:rPr>
        <w:t xml:space="preserve">Acct </w:t>
      </w:r>
      <w:r w:rsidR="00E845E9" w:rsidRPr="00A22150">
        <w:rPr>
          <w:rFonts w:asciiTheme="minorHAnsi" w:hAnsiTheme="minorHAnsi" w:cstheme="minorHAnsi"/>
          <w:szCs w:val="24"/>
        </w:rPr>
        <w:t>H</w:t>
      </w:r>
      <w:r w:rsidR="00930C21" w:rsidRPr="00A22150">
        <w:rPr>
          <w:rFonts w:asciiTheme="minorHAnsi" w:hAnsiTheme="minorHAnsi" w:cstheme="minorHAnsi"/>
          <w:szCs w:val="24"/>
        </w:rPr>
        <w:t xml:space="preserve">as Pending Drop rejection response code in the 814C Implementation Guide for 814 </w:t>
      </w:r>
      <w:r w:rsidR="00AC03E6" w:rsidRPr="00A22150">
        <w:rPr>
          <w:rFonts w:asciiTheme="minorHAnsi" w:hAnsiTheme="minorHAnsi" w:cstheme="minorHAnsi"/>
          <w:szCs w:val="24"/>
        </w:rPr>
        <w:t>Change Reject Response.</w:t>
      </w:r>
      <w:r w:rsidR="00A22150">
        <w:rPr>
          <w:rFonts w:asciiTheme="minorHAnsi" w:hAnsiTheme="minorHAnsi" w:cstheme="minorHAnsi"/>
          <w:szCs w:val="24"/>
        </w:rPr>
        <w:t xml:space="preserve">  </w:t>
      </w:r>
      <w:r w:rsidR="00A22150" w:rsidRPr="00A22150">
        <w:rPr>
          <w:rFonts w:asciiTheme="minorHAnsi" w:hAnsiTheme="minorHAnsi" w:cstheme="minorHAnsi"/>
          <w:szCs w:val="24"/>
        </w:rPr>
        <w:t xml:space="preserve">This rejection code is used when rejecting EGS requested rate changes or bill method changes on accounts  that already have a pending drop.   PPL is sending a code in production on the 814 Change transaction that is not included in the 814C Implementation Guide for EDEWG.  </w:t>
      </w:r>
      <w:r w:rsidR="00A22150">
        <w:rPr>
          <w:rFonts w:asciiTheme="minorHAnsi" w:hAnsiTheme="minorHAnsi" w:cstheme="minorHAnsi"/>
          <w:szCs w:val="24"/>
        </w:rPr>
        <w:t xml:space="preserve">  </w:t>
      </w:r>
      <w:r w:rsidR="00A22150" w:rsidRPr="00A22150">
        <w:rPr>
          <w:rFonts w:asciiTheme="minorHAnsi" w:hAnsiTheme="minorHAnsi" w:cstheme="minorHAnsi"/>
          <w:szCs w:val="24"/>
        </w:rPr>
        <w:t>Note: the code is being used for the 814 Drop</w:t>
      </w:r>
    </w:p>
    <w:p w14:paraId="072317E6" w14:textId="77777777" w:rsidR="00EE162F" w:rsidRPr="00A22150" w:rsidRDefault="00EE162F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Cs w:val="24"/>
        </w:rPr>
      </w:pPr>
    </w:p>
    <w:p w14:paraId="59BD4215" w14:textId="77777777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ST*814*0013</w:t>
      </w:r>
    </w:p>
    <w:p w14:paraId="4C9D0E4C" w14:textId="77777777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BGN*11*20211207171206790623*20211104***213080008489675</w:t>
      </w:r>
    </w:p>
    <w:p w14:paraId="403A5E50" w14:textId="77777777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N1*8S*PPL ELECTRIC UTILITIES*9*007909427AC**41</w:t>
      </w:r>
    </w:p>
    <w:p w14:paraId="1A4101B3" w14:textId="41FAADD5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N1*SJ*xxxxxxxxxxx*1*080311127**40</w:t>
      </w:r>
    </w:p>
    <w:p w14:paraId="4AEAF350" w14:textId="232EF706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N1*8R*xxxxxxxxxxxxxxxxxx</w:t>
      </w:r>
    </w:p>
    <w:p w14:paraId="32852240" w14:textId="77777777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LIN*213080008489675*SH*EL*SH*CE</w:t>
      </w:r>
    </w:p>
    <w:p w14:paraId="387FB117" w14:textId="77777777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ASI*U*001</w:t>
      </w:r>
    </w:p>
    <w:p w14:paraId="15B98FE8" w14:textId="77777777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REF*7G*</w:t>
      </w:r>
      <w:r w:rsidRPr="00A22150">
        <w:rPr>
          <w:rFonts w:asciiTheme="minorHAnsi" w:hAnsiTheme="minorHAnsi" w:cstheme="minorHAnsi"/>
          <w:sz w:val="18"/>
          <w:szCs w:val="18"/>
          <w:highlight w:val="yellow"/>
        </w:rPr>
        <w:t>B39</w:t>
      </w:r>
    </w:p>
    <w:p w14:paraId="0AD274E0" w14:textId="77777777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REF*11*1684252</w:t>
      </w:r>
    </w:p>
    <w:p w14:paraId="46DA74B0" w14:textId="1828CE87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REF*12*xxxxxxxxxx</w:t>
      </w:r>
    </w:p>
    <w:p w14:paraId="70B4F689" w14:textId="45BB706F" w:rsidR="00EE162F" w:rsidRPr="00A22150" w:rsidRDefault="00EE162F" w:rsidP="00EE162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</w:rPr>
      </w:pPr>
      <w:r w:rsidRPr="00A22150">
        <w:rPr>
          <w:rFonts w:asciiTheme="minorHAnsi" w:hAnsiTheme="minorHAnsi" w:cstheme="minorHAnsi"/>
          <w:sz w:val="18"/>
          <w:szCs w:val="18"/>
        </w:rPr>
        <w:t>SE*11*0013</w:t>
      </w:r>
    </w:p>
    <w:p w14:paraId="2857C23F" w14:textId="316D4FBD" w:rsidR="00AC03E6" w:rsidRDefault="00AC03E6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4998D89B" w14:textId="39F9FA70" w:rsidR="00937D45" w:rsidRDefault="00937D45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  <w:r>
        <w:rPr>
          <w:noProof/>
        </w:rPr>
        <w:lastRenderedPageBreak/>
        <w:drawing>
          <wp:inline distT="0" distB="0" distL="0" distR="0" wp14:anchorId="460979C5" wp14:editId="7BB1D17E">
            <wp:extent cx="3909010" cy="442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0977" cy="443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2A910" w14:textId="05D0A3AD" w:rsidR="00AC03E6" w:rsidRDefault="00AC03E6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3023E509" w14:textId="6C166528" w:rsidR="0011793D" w:rsidRDefault="0011793D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4E7461FC" w14:textId="77777777" w:rsidR="007651D7" w:rsidRDefault="007651D7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6107A6BE" w14:textId="5ABD92A2" w:rsidR="007651D7" w:rsidRDefault="007651D7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3FD7DC3A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3FD7DC3B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3FD7DC3C" w14:textId="77777777" w:rsidR="00C03BB4" w:rsidRDefault="00C03BB4">
      <w:pPr>
        <w:jc w:val="center"/>
        <w:rPr>
          <w:b/>
          <w:sz w:val="22"/>
        </w:rPr>
      </w:pPr>
    </w:p>
    <w:p w14:paraId="3FD7DC3D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3FD7DC44" w14:textId="77777777">
        <w:tc>
          <w:tcPr>
            <w:tcW w:w="3672" w:type="dxa"/>
          </w:tcPr>
          <w:p w14:paraId="3FD7DC3E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3FD7DC3F" w14:textId="121E063A" w:rsidR="00C03BB4" w:rsidRDefault="00A22150">
            <w:pPr>
              <w:rPr>
                <w:sz w:val="20"/>
              </w:rPr>
            </w:pPr>
            <w:r>
              <w:rPr>
                <w:sz w:val="20"/>
              </w:rPr>
              <w:t>1/6/2022</w:t>
            </w:r>
          </w:p>
        </w:tc>
        <w:tc>
          <w:tcPr>
            <w:tcW w:w="3672" w:type="dxa"/>
          </w:tcPr>
          <w:p w14:paraId="3FD7DC40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3FD7DC41" w14:textId="4E11B806" w:rsidR="00C03BB4" w:rsidRDefault="00A22150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672" w:type="dxa"/>
          </w:tcPr>
          <w:p w14:paraId="3FD7DC42" w14:textId="77777777" w:rsidR="00C03BB4" w:rsidRDefault="00C03BB4">
            <w:pPr>
              <w:rPr>
                <w:sz w:val="20"/>
              </w:rPr>
            </w:pPr>
          </w:p>
          <w:p w14:paraId="3FD7DC43" w14:textId="77777777" w:rsidR="00C03BB4" w:rsidRDefault="00C03BB4">
            <w:pPr>
              <w:rPr>
                <w:sz w:val="20"/>
              </w:rPr>
            </w:pPr>
          </w:p>
        </w:tc>
      </w:tr>
    </w:tbl>
    <w:p w14:paraId="3FD7DC45" w14:textId="77777777" w:rsidR="00C03BB4" w:rsidRDefault="00C03BB4">
      <w:pPr>
        <w:rPr>
          <w:sz w:val="16"/>
        </w:rPr>
      </w:pPr>
    </w:p>
    <w:p w14:paraId="3FD7DC46" w14:textId="77777777" w:rsidR="00C03BB4" w:rsidRDefault="00C03BB4">
      <w:r>
        <w:rPr>
          <w:b/>
        </w:rPr>
        <w:t>EDEWG Discussion and Resolution</w:t>
      </w:r>
      <w:r>
        <w:t>:</w:t>
      </w:r>
    </w:p>
    <w:p w14:paraId="3FD7DC47" w14:textId="7CA3C30D" w:rsidR="00C03BB4" w:rsidRDefault="00A2215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1/6/2022 – Brandon Siegel:  Received request, added to Change Control log, assigned #166 and placed on January 2022 meeting agenda.</w:t>
      </w:r>
    </w:p>
    <w:p w14:paraId="317ED52A" w14:textId="676468CD" w:rsidR="00DE0844" w:rsidRDefault="00DE08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1/6/2022 – Brandon Siegel:  EDEWG reviewed and approved EDI CC #166 for incorporation into next IG version update.</w:t>
      </w:r>
    </w:p>
    <w:p w14:paraId="3FD7DC49" w14:textId="0765A974" w:rsidR="00C03BB4" w:rsidRPr="007E33C2" w:rsidRDefault="00DE08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1/27/2022 – Brandon Siegel:  </w:t>
      </w:r>
      <w:r w:rsidRPr="00DE0844">
        <w:rPr>
          <w:sz w:val="16"/>
          <w:szCs w:val="16"/>
        </w:rPr>
        <w:t>INCORPORATED in IG814Cv6-9.docx</w:t>
      </w:r>
    </w:p>
    <w:p w14:paraId="3FD7DC4A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3FD7DC4B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3FD7DC4C" w14:textId="77777777" w:rsidR="00C03BB4" w:rsidRDefault="00C03BB4">
      <w:pPr>
        <w:jc w:val="center"/>
        <w:rPr>
          <w:b/>
          <w:sz w:val="22"/>
        </w:rPr>
      </w:pPr>
    </w:p>
    <w:p w14:paraId="3FD7DC4D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3FD7DC4E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3FD7DC51" w14:textId="77777777">
        <w:tc>
          <w:tcPr>
            <w:tcW w:w="1908" w:type="dxa"/>
          </w:tcPr>
          <w:p w14:paraId="3FD7DC4F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3FD7DC50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3FD7DC54" w14:textId="77777777">
        <w:tc>
          <w:tcPr>
            <w:tcW w:w="1908" w:type="dxa"/>
          </w:tcPr>
          <w:p w14:paraId="3FD7DC52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3FD7DC53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3FD7DC57" w14:textId="77777777">
        <w:tc>
          <w:tcPr>
            <w:tcW w:w="1908" w:type="dxa"/>
          </w:tcPr>
          <w:p w14:paraId="3FD7DC55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3FD7DC56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3FD7DC58" w14:textId="77777777" w:rsidR="00C03BB4" w:rsidRDefault="00C03BB4">
      <w:pPr>
        <w:rPr>
          <w:sz w:val="20"/>
        </w:rPr>
      </w:pPr>
    </w:p>
    <w:p w14:paraId="3FD7DC59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9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10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3FD7DC5A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1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3FD7DC5B" w14:textId="77777777" w:rsidR="00C03BB4" w:rsidRDefault="00C03BB4">
      <w:pPr>
        <w:jc w:val="center"/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sectPr w:rsidR="00C03BB4">
      <w:headerReference w:type="default" r:id="rId12"/>
      <w:footerReference w:type="default" r:id="rId13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A19A" w14:textId="77777777" w:rsidR="00C04D9E" w:rsidRDefault="00C04D9E">
      <w:r>
        <w:separator/>
      </w:r>
    </w:p>
  </w:endnote>
  <w:endnote w:type="continuationSeparator" w:id="0">
    <w:p w14:paraId="157B7C01" w14:textId="77777777" w:rsidR="00C04D9E" w:rsidRDefault="00C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DC63" w14:textId="0ED772E4" w:rsidR="00C03BB4" w:rsidRDefault="00CB35B1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5F42FB" wp14:editId="681A942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28848bb8e988faf16323ac0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06711" w14:textId="0480565F" w:rsidR="00CB35B1" w:rsidRPr="00CB35B1" w:rsidRDefault="00DE0844" w:rsidP="00CB35B1">
                          <w:pP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F42FB" id="_x0000_t202" coordsize="21600,21600" o:spt="202" path="m,l,21600r21600,l21600,xe">
              <v:stroke joinstyle="miter"/>
              <v:path gradientshapeok="t" o:connecttype="rect"/>
            </v:shapetype>
            <v:shape id="MSIPCMf28848bb8e988faf16323ac0" o:spid="_x0000_s1026" type="#_x0000_t202" alt="{&quot;HashCode&quot;:2047872101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76A06711" w14:textId="0480565F" w:rsidR="00CB35B1" w:rsidRPr="00CB35B1" w:rsidRDefault="00DE0844" w:rsidP="00CB35B1">
                    <w:pPr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3BB4">
      <w:rPr>
        <w:rStyle w:val="PageNumber"/>
      </w:rPr>
      <w:fldChar w:fldCharType="begin"/>
    </w:r>
    <w:r w:rsidR="00C03BB4">
      <w:rPr>
        <w:rStyle w:val="PageNumber"/>
      </w:rPr>
      <w:instrText xml:space="preserve"> PAGE </w:instrText>
    </w:r>
    <w:r w:rsidR="00C03BB4">
      <w:rPr>
        <w:rStyle w:val="PageNumber"/>
      </w:rPr>
      <w:fldChar w:fldCharType="separate"/>
    </w:r>
    <w:r w:rsidR="00685317">
      <w:rPr>
        <w:rStyle w:val="PageNumber"/>
        <w:noProof/>
      </w:rPr>
      <w:t>1</w:t>
    </w:r>
    <w:r w:rsidR="00C03BB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AEF9" w14:textId="77777777" w:rsidR="00C04D9E" w:rsidRDefault="00C04D9E">
      <w:r>
        <w:separator/>
      </w:r>
    </w:p>
  </w:footnote>
  <w:footnote w:type="continuationSeparator" w:id="0">
    <w:p w14:paraId="48F193C9" w14:textId="77777777" w:rsidR="00C04D9E" w:rsidRDefault="00C0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DC60" w14:textId="77777777" w:rsidR="00C03BB4" w:rsidRDefault="00C03BB4">
    <w:pPr>
      <w:pStyle w:val="Header"/>
      <w:jc w:val="center"/>
      <w:rPr>
        <w:sz w:val="20"/>
      </w:rPr>
    </w:pPr>
  </w:p>
  <w:p w14:paraId="3FD7DC61" w14:textId="77777777" w:rsidR="00C03BB4" w:rsidRDefault="00C03BB4">
    <w:pPr>
      <w:pStyle w:val="Header"/>
      <w:jc w:val="center"/>
      <w:rPr>
        <w:sz w:val="20"/>
      </w:rPr>
    </w:pPr>
  </w:p>
  <w:p w14:paraId="3FD7DC62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93455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64BA4"/>
    <w:rsid w:val="00095C7E"/>
    <w:rsid w:val="000C7E6E"/>
    <w:rsid w:val="000F07BA"/>
    <w:rsid w:val="000F6608"/>
    <w:rsid w:val="00111B67"/>
    <w:rsid w:val="0011793D"/>
    <w:rsid w:val="00122E61"/>
    <w:rsid w:val="0013277C"/>
    <w:rsid w:val="00136DB4"/>
    <w:rsid w:val="0022159D"/>
    <w:rsid w:val="002235AF"/>
    <w:rsid w:val="002268F6"/>
    <w:rsid w:val="00243C02"/>
    <w:rsid w:val="00244770"/>
    <w:rsid w:val="00261E40"/>
    <w:rsid w:val="0029644E"/>
    <w:rsid w:val="002F43A2"/>
    <w:rsid w:val="00363194"/>
    <w:rsid w:val="003853A8"/>
    <w:rsid w:val="003B31BE"/>
    <w:rsid w:val="003C4A55"/>
    <w:rsid w:val="003F2E83"/>
    <w:rsid w:val="0040664C"/>
    <w:rsid w:val="00420C5C"/>
    <w:rsid w:val="004229D7"/>
    <w:rsid w:val="00515496"/>
    <w:rsid w:val="0054781F"/>
    <w:rsid w:val="005670F5"/>
    <w:rsid w:val="005E3C3D"/>
    <w:rsid w:val="00685317"/>
    <w:rsid w:val="006C59FD"/>
    <w:rsid w:val="006D0A84"/>
    <w:rsid w:val="006E4B60"/>
    <w:rsid w:val="00735211"/>
    <w:rsid w:val="007651D7"/>
    <w:rsid w:val="007E33C2"/>
    <w:rsid w:val="00811FF6"/>
    <w:rsid w:val="0081625E"/>
    <w:rsid w:val="008303A5"/>
    <w:rsid w:val="008E00E6"/>
    <w:rsid w:val="00930C21"/>
    <w:rsid w:val="00937D45"/>
    <w:rsid w:val="009D0882"/>
    <w:rsid w:val="00A15EF6"/>
    <w:rsid w:val="00A22150"/>
    <w:rsid w:val="00A24B3A"/>
    <w:rsid w:val="00A52549"/>
    <w:rsid w:val="00A74E8F"/>
    <w:rsid w:val="00A85D57"/>
    <w:rsid w:val="00AA30E3"/>
    <w:rsid w:val="00AC0243"/>
    <w:rsid w:val="00AC03E6"/>
    <w:rsid w:val="00AC2D7E"/>
    <w:rsid w:val="00B027FD"/>
    <w:rsid w:val="00B51DB0"/>
    <w:rsid w:val="00B721EB"/>
    <w:rsid w:val="00B838AE"/>
    <w:rsid w:val="00B911A0"/>
    <w:rsid w:val="00BA21BB"/>
    <w:rsid w:val="00BC1E8D"/>
    <w:rsid w:val="00C03BB4"/>
    <w:rsid w:val="00C04D9E"/>
    <w:rsid w:val="00C50157"/>
    <w:rsid w:val="00C519BD"/>
    <w:rsid w:val="00C56D44"/>
    <w:rsid w:val="00C715F6"/>
    <w:rsid w:val="00CA4C77"/>
    <w:rsid w:val="00CB35B1"/>
    <w:rsid w:val="00CD3FC8"/>
    <w:rsid w:val="00DE0844"/>
    <w:rsid w:val="00DE495D"/>
    <w:rsid w:val="00E845E9"/>
    <w:rsid w:val="00EC2A64"/>
    <w:rsid w:val="00EE162F"/>
    <w:rsid w:val="00EE2FA0"/>
    <w:rsid w:val="00F3136E"/>
    <w:rsid w:val="00F80D17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7DC19"/>
  <w15:docId w15:val="{8B6531A2-A4BA-472B-92F7-96225F5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.siegel@intelometr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yalci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ccracken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2826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creator>MARINO</dc:creator>
  <cp:lastModifiedBy>Yalcin, Lee</cp:lastModifiedBy>
  <cp:revision>2</cp:revision>
  <cp:lastPrinted>2254-05-16T19:52:00Z</cp:lastPrinted>
  <dcterms:created xsi:type="dcterms:W3CDTF">2023-09-14T12:57:00Z</dcterms:created>
  <dcterms:modified xsi:type="dcterms:W3CDTF">2023-09-14T12:57:00Z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8e74a-db15-49f1-980d-3d74f2e3ff07_Enabled">
    <vt:lpwstr>true</vt:lpwstr>
  </property>
  <property fmtid="{D5CDD505-2E9C-101B-9397-08002B2CF9AE}" pid="3" name="MSIP_Label_e0c8e74a-db15-49f1-980d-3d74f2e3ff07_SetDate">
    <vt:lpwstr>2022-01-05T23:55:53Z</vt:lpwstr>
  </property>
  <property fmtid="{D5CDD505-2E9C-101B-9397-08002B2CF9AE}" pid="4" name="MSIP_Label_e0c8e74a-db15-49f1-980d-3d74f2e3ff07_Method">
    <vt:lpwstr>Privileged</vt:lpwstr>
  </property>
  <property fmtid="{D5CDD505-2E9C-101B-9397-08002B2CF9AE}" pid="5" name="MSIP_Label_e0c8e74a-db15-49f1-980d-3d74f2e3ff07_Name">
    <vt:lpwstr>376d9127-3fad-41bb7-827b-657efc89d923</vt:lpwstr>
  </property>
  <property fmtid="{D5CDD505-2E9C-101B-9397-08002B2CF9AE}" pid="6" name="MSIP_Label_e0c8e74a-db15-49f1-980d-3d74f2e3ff07_SiteId">
    <vt:lpwstr>25b79aa0-07c6-4d65-9c80-df92aacdc157</vt:lpwstr>
  </property>
  <property fmtid="{D5CDD505-2E9C-101B-9397-08002B2CF9AE}" pid="7" name="MSIP_Label_e0c8e74a-db15-49f1-980d-3d74f2e3ff07_ActionId">
    <vt:lpwstr>74683fec-b672-4714-b4c3-aca9ea88c9fd</vt:lpwstr>
  </property>
  <property fmtid="{D5CDD505-2E9C-101B-9397-08002B2CF9AE}" pid="8" name="MSIP_Label_e0c8e74a-db15-49f1-980d-3d74f2e3ff07_ContentBits">
    <vt:lpwstr>2</vt:lpwstr>
  </property>
</Properties>
</file>