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8D" w:rsidRPr="00DD598D" w:rsidRDefault="00DD598D" w:rsidP="00DD598D">
      <w:pPr>
        <w:jc w:val="center"/>
        <w:rPr>
          <w:rFonts w:cstheme="minorHAnsi"/>
          <w:b/>
          <w:sz w:val="24"/>
          <w:szCs w:val="24"/>
        </w:rPr>
      </w:pPr>
      <w:bookmarkStart w:id="0" w:name="_GoBack"/>
      <w:bookmarkEnd w:id="0"/>
      <w:r w:rsidRPr="00DD598D">
        <w:rPr>
          <w:rFonts w:cstheme="minorHAnsi"/>
          <w:b/>
          <w:sz w:val="24"/>
          <w:szCs w:val="24"/>
        </w:rPr>
        <w:t>RMI T</w:t>
      </w:r>
      <w:r w:rsidR="00777647">
        <w:rPr>
          <w:rFonts w:cstheme="minorHAnsi"/>
          <w:b/>
          <w:sz w:val="24"/>
          <w:szCs w:val="24"/>
        </w:rPr>
        <w:t>echnical Conference – November 17</w:t>
      </w:r>
      <w:r w:rsidRPr="00DD598D">
        <w:rPr>
          <w:rFonts w:cstheme="minorHAnsi"/>
          <w:b/>
          <w:sz w:val="24"/>
          <w:szCs w:val="24"/>
        </w:rPr>
        <w:t>, 2011</w:t>
      </w:r>
    </w:p>
    <w:p w:rsidR="00DD598D" w:rsidRPr="00DD598D" w:rsidRDefault="00DD598D" w:rsidP="00DD598D">
      <w:pPr>
        <w:jc w:val="center"/>
        <w:rPr>
          <w:rFonts w:cstheme="minorHAnsi"/>
          <w:b/>
          <w:sz w:val="24"/>
          <w:szCs w:val="24"/>
        </w:rPr>
      </w:pPr>
    </w:p>
    <w:p w:rsidR="00DD598D" w:rsidRPr="00DD598D" w:rsidRDefault="00DD598D" w:rsidP="00DD598D">
      <w:pPr>
        <w:jc w:val="center"/>
        <w:rPr>
          <w:rFonts w:cstheme="minorHAnsi"/>
          <w:b/>
          <w:sz w:val="24"/>
          <w:szCs w:val="24"/>
        </w:rPr>
      </w:pPr>
      <w:r w:rsidRPr="00DD598D">
        <w:rPr>
          <w:rFonts w:cstheme="minorHAnsi"/>
          <w:b/>
          <w:sz w:val="24"/>
          <w:szCs w:val="24"/>
        </w:rPr>
        <w:t xml:space="preserve">Submit all deliverables to </w:t>
      </w:r>
      <w:hyperlink r:id="rId7" w:history="1">
        <w:r w:rsidRPr="00DD598D">
          <w:rPr>
            <w:rStyle w:val="Hyperlink"/>
            <w:rFonts w:cstheme="minorHAnsi"/>
            <w:b/>
            <w:sz w:val="24"/>
            <w:szCs w:val="24"/>
          </w:rPr>
          <w:t>ra-rmi@pa.gov</w:t>
        </w:r>
      </w:hyperlink>
      <w:r w:rsidRPr="00DD598D">
        <w:rPr>
          <w:rFonts w:cstheme="minorHAnsi"/>
          <w:b/>
          <w:sz w:val="24"/>
          <w:szCs w:val="24"/>
        </w:rPr>
        <w:t xml:space="preserve"> </w:t>
      </w:r>
    </w:p>
    <w:p w:rsidR="00DD598D" w:rsidRPr="00DD598D" w:rsidRDefault="00DD598D" w:rsidP="00DD598D">
      <w:pPr>
        <w:jc w:val="center"/>
        <w:rPr>
          <w:rFonts w:cstheme="minorHAnsi"/>
          <w:b/>
          <w:sz w:val="24"/>
          <w:szCs w:val="24"/>
        </w:rPr>
      </w:pPr>
    </w:p>
    <w:p w:rsidR="00DD598D" w:rsidRPr="00DD598D" w:rsidRDefault="00DD598D" w:rsidP="00DD598D">
      <w:pPr>
        <w:jc w:val="center"/>
        <w:rPr>
          <w:rFonts w:cstheme="minorHAnsi"/>
          <w:b/>
          <w:sz w:val="24"/>
          <w:szCs w:val="24"/>
        </w:rPr>
      </w:pPr>
      <w:r w:rsidRPr="00DD598D">
        <w:rPr>
          <w:rFonts w:cstheme="minorHAnsi"/>
          <w:b/>
          <w:sz w:val="24"/>
          <w:szCs w:val="24"/>
        </w:rPr>
        <w:t>All discussion documents/deliverables available at</w:t>
      </w:r>
    </w:p>
    <w:p w:rsidR="00DD598D" w:rsidRPr="00DD598D" w:rsidRDefault="00DD598D" w:rsidP="00DD598D">
      <w:pPr>
        <w:jc w:val="center"/>
        <w:rPr>
          <w:rFonts w:cstheme="minorHAnsi"/>
          <w:b/>
          <w:sz w:val="24"/>
          <w:szCs w:val="24"/>
        </w:rPr>
      </w:pPr>
      <w:r w:rsidRPr="00DD598D">
        <w:rPr>
          <w:rFonts w:cstheme="minorHAnsi"/>
          <w:b/>
          <w:sz w:val="24"/>
          <w:szCs w:val="24"/>
        </w:rPr>
        <w:t xml:space="preserve"> </w:t>
      </w:r>
      <w:hyperlink r:id="rId8" w:history="1">
        <w:r w:rsidRPr="00DD598D">
          <w:rPr>
            <w:rStyle w:val="Hyperlink"/>
            <w:rFonts w:cstheme="minorHAnsi"/>
            <w:b/>
            <w:sz w:val="24"/>
            <w:szCs w:val="24"/>
          </w:rPr>
          <w:t>RMI Discussion Documents &amp; Deliverables</w:t>
        </w:r>
      </w:hyperlink>
    </w:p>
    <w:p w:rsidR="00DD598D" w:rsidRPr="00DD598D" w:rsidRDefault="00DD598D" w:rsidP="00DD598D">
      <w:pPr>
        <w:jc w:val="center"/>
        <w:rPr>
          <w:rFonts w:cstheme="minorHAnsi"/>
          <w:b/>
          <w:sz w:val="24"/>
          <w:szCs w:val="24"/>
        </w:rPr>
      </w:pPr>
    </w:p>
    <w:p w:rsidR="00DD598D" w:rsidRPr="00DD598D" w:rsidRDefault="00DD598D" w:rsidP="00DD598D">
      <w:pPr>
        <w:jc w:val="center"/>
        <w:rPr>
          <w:rFonts w:cstheme="minorHAnsi"/>
          <w:b/>
          <w:sz w:val="24"/>
          <w:szCs w:val="24"/>
        </w:rPr>
      </w:pPr>
      <w:r w:rsidRPr="00DD598D">
        <w:rPr>
          <w:rFonts w:cstheme="minorHAnsi"/>
          <w:b/>
          <w:sz w:val="24"/>
          <w:szCs w:val="24"/>
          <w:highlight w:val="yellow"/>
        </w:rPr>
        <w:t>Action Items highlighted in yellow</w:t>
      </w:r>
    </w:p>
    <w:p w:rsidR="00DD598D" w:rsidRPr="00DD598D" w:rsidRDefault="00DD598D" w:rsidP="008F062E">
      <w:pPr>
        <w:jc w:val="center"/>
        <w:rPr>
          <w:rFonts w:cstheme="minorHAnsi"/>
          <w:b/>
          <w:sz w:val="24"/>
          <w:szCs w:val="24"/>
        </w:rPr>
      </w:pPr>
    </w:p>
    <w:p w:rsidR="00B31005" w:rsidRPr="00DD598D" w:rsidRDefault="00B31005" w:rsidP="00B31005">
      <w:pPr>
        <w:rPr>
          <w:rFonts w:cstheme="minorHAnsi"/>
          <w:sz w:val="24"/>
          <w:szCs w:val="24"/>
        </w:rPr>
      </w:pPr>
    </w:p>
    <w:p w:rsidR="00706B1A" w:rsidRDefault="00DD598D" w:rsidP="00B31005">
      <w:pPr>
        <w:rPr>
          <w:rFonts w:cstheme="minorHAnsi"/>
          <w:sz w:val="24"/>
          <w:szCs w:val="24"/>
        </w:rPr>
      </w:pPr>
      <w:r>
        <w:rPr>
          <w:rFonts w:cstheme="minorHAnsi"/>
          <w:b/>
          <w:sz w:val="24"/>
          <w:szCs w:val="24"/>
        </w:rPr>
        <w:t>Organizational Issues</w:t>
      </w:r>
      <w:r>
        <w:rPr>
          <w:rFonts w:cstheme="minorHAnsi"/>
          <w:sz w:val="24"/>
          <w:szCs w:val="24"/>
        </w:rPr>
        <w:t xml:space="preserve"> – Karen Moury</w:t>
      </w:r>
    </w:p>
    <w:p w:rsidR="00DD598D" w:rsidRPr="00DD598D" w:rsidRDefault="00DD598D" w:rsidP="00B31005">
      <w:pPr>
        <w:rPr>
          <w:rFonts w:cstheme="minorHAnsi"/>
          <w:sz w:val="24"/>
          <w:szCs w:val="24"/>
        </w:rPr>
      </w:pPr>
    </w:p>
    <w:p w:rsidR="00706B1A" w:rsidRPr="00DD598D" w:rsidRDefault="001004F7" w:rsidP="00DD598D">
      <w:pPr>
        <w:pStyle w:val="ListParagraph"/>
        <w:numPr>
          <w:ilvl w:val="0"/>
          <w:numId w:val="27"/>
        </w:numPr>
        <w:rPr>
          <w:rFonts w:cstheme="minorHAnsi"/>
          <w:sz w:val="24"/>
          <w:szCs w:val="24"/>
        </w:rPr>
      </w:pPr>
      <w:r w:rsidRPr="00DD598D">
        <w:rPr>
          <w:rFonts w:cstheme="minorHAnsi"/>
          <w:sz w:val="24"/>
          <w:szCs w:val="24"/>
        </w:rPr>
        <w:t xml:space="preserve">Post En Banc Hearing Comments </w:t>
      </w:r>
      <w:r w:rsidR="00DD598D">
        <w:rPr>
          <w:rFonts w:cstheme="minorHAnsi"/>
          <w:sz w:val="24"/>
          <w:szCs w:val="24"/>
        </w:rPr>
        <w:t xml:space="preserve">Due </w:t>
      </w:r>
      <w:r w:rsidRPr="00DD598D">
        <w:rPr>
          <w:rFonts w:cstheme="minorHAnsi"/>
          <w:sz w:val="24"/>
          <w:szCs w:val="24"/>
        </w:rPr>
        <w:t>11/23/11</w:t>
      </w:r>
    </w:p>
    <w:p w:rsidR="0006362E" w:rsidRPr="00DD598D" w:rsidRDefault="0006362E" w:rsidP="0006362E">
      <w:pPr>
        <w:rPr>
          <w:rFonts w:cstheme="minorHAnsi"/>
          <w:sz w:val="24"/>
          <w:szCs w:val="24"/>
        </w:rPr>
      </w:pPr>
    </w:p>
    <w:p w:rsidR="001E6B3F" w:rsidRPr="00876E32" w:rsidRDefault="001E6B3F" w:rsidP="00876E32">
      <w:pPr>
        <w:pStyle w:val="ListParagraph"/>
        <w:numPr>
          <w:ilvl w:val="0"/>
          <w:numId w:val="34"/>
        </w:numPr>
        <w:ind w:left="360"/>
        <w:rPr>
          <w:rFonts w:cstheme="minorHAnsi"/>
          <w:i/>
          <w:sz w:val="24"/>
          <w:szCs w:val="24"/>
        </w:rPr>
      </w:pPr>
      <w:r w:rsidRPr="00876E32">
        <w:rPr>
          <w:rFonts w:cstheme="minorHAnsi"/>
          <w:sz w:val="24"/>
          <w:szCs w:val="24"/>
          <w:u w:val="single"/>
        </w:rPr>
        <w:t>Moury</w:t>
      </w:r>
      <w:r w:rsidRPr="00876E32">
        <w:rPr>
          <w:rFonts w:cstheme="minorHAnsi"/>
          <w:sz w:val="24"/>
          <w:szCs w:val="24"/>
        </w:rPr>
        <w:t xml:space="preserve">: Informal comments for Staff review for preparation of intermediate work plan.  Submit to </w:t>
      </w:r>
      <w:hyperlink r:id="rId9" w:history="1">
        <w:r w:rsidRPr="00876E32">
          <w:rPr>
            <w:rStyle w:val="Hyperlink"/>
            <w:rFonts w:cstheme="minorHAnsi"/>
            <w:sz w:val="24"/>
            <w:szCs w:val="24"/>
          </w:rPr>
          <w:t>ra-rmi@pa.gov</w:t>
        </w:r>
      </w:hyperlink>
      <w:r w:rsidRPr="00876E32">
        <w:rPr>
          <w:rFonts w:cstheme="minorHAnsi"/>
          <w:sz w:val="24"/>
          <w:szCs w:val="24"/>
        </w:rPr>
        <w:t xml:space="preserve"> </w:t>
      </w:r>
      <w:r w:rsidR="00876E32" w:rsidRPr="00876E32">
        <w:rPr>
          <w:rFonts w:cstheme="minorHAnsi"/>
          <w:sz w:val="24"/>
          <w:szCs w:val="24"/>
        </w:rPr>
        <w:t xml:space="preserve">(not Secretary’s Bureau) </w:t>
      </w:r>
      <w:r w:rsidRPr="00876E32">
        <w:rPr>
          <w:rFonts w:cstheme="minorHAnsi"/>
          <w:sz w:val="24"/>
          <w:szCs w:val="24"/>
        </w:rPr>
        <w:t xml:space="preserve">by 11/23/11.  </w:t>
      </w:r>
      <w:r w:rsidR="00876E32" w:rsidRPr="00876E32">
        <w:rPr>
          <w:rFonts w:cstheme="minorHAnsi"/>
          <w:sz w:val="24"/>
          <w:szCs w:val="24"/>
        </w:rPr>
        <w:t>Informal comments will be posted on RMI website.</w:t>
      </w:r>
    </w:p>
    <w:p w:rsidR="001E6B3F" w:rsidRPr="00DD598D" w:rsidRDefault="001E6B3F" w:rsidP="0006362E">
      <w:pPr>
        <w:rPr>
          <w:rFonts w:cstheme="minorHAnsi"/>
          <w:sz w:val="24"/>
          <w:szCs w:val="24"/>
        </w:rPr>
      </w:pPr>
    </w:p>
    <w:p w:rsidR="001004F7" w:rsidRPr="00DD598D" w:rsidRDefault="001004F7" w:rsidP="00DD598D">
      <w:pPr>
        <w:pStyle w:val="ListParagraph"/>
        <w:numPr>
          <w:ilvl w:val="0"/>
          <w:numId w:val="27"/>
        </w:numPr>
        <w:rPr>
          <w:rFonts w:cstheme="minorHAnsi"/>
          <w:sz w:val="24"/>
          <w:szCs w:val="24"/>
        </w:rPr>
      </w:pPr>
      <w:r w:rsidRPr="00DD598D">
        <w:rPr>
          <w:rFonts w:cstheme="minorHAnsi"/>
          <w:sz w:val="24"/>
          <w:szCs w:val="24"/>
        </w:rPr>
        <w:t xml:space="preserve">Next En Banc Hearing </w:t>
      </w:r>
      <w:r w:rsidR="00DD598D">
        <w:rPr>
          <w:rFonts w:cstheme="minorHAnsi"/>
          <w:sz w:val="24"/>
          <w:szCs w:val="24"/>
        </w:rPr>
        <w:t xml:space="preserve">- </w:t>
      </w:r>
      <w:r w:rsidRPr="00DD598D">
        <w:rPr>
          <w:rFonts w:cstheme="minorHAnsi"/>
          <w:sz w:val="24"/>
          <w:szCs w:val="24"/>
        </w:rPr>
        <w:t>3/21/12</w:t>
      </w:r>
    </w:p>
    <w:p w:rsidR="0006362E" w:rsidRPr="00DD598D" w:rsidRDefault="0006362E" w:rsidP="0006362E">
      <w:pPr>
        <w:rPr>
          <w:rFonts w:cstheme="minorHAnsi"/>
          <w:sz w:val="24"/>
          <w:szCs w:val="24"/>
        </w:rPr>
      </w:pPr>
    </w:p>
    <w:p w:rsidR="001E6B3F" w:rsidRPr="00876E32" w:rsidRDefault="001E6B3F" w:rsidP="00876E32">
      <w:pPr>
        <w:pStyle w:val="ListParagraph"/>
        <w:numPr>
          <w:ilvl w:val="0"/>
          <w:numId w:val="34"/>
        </w:numPr>
        <w:ind w:left="360"/>
        <w:rPr>
          <w:rFonts w:cstheme="minorHAnsi"/>
          <w:sz w:val="24"/>
          <w:szCs w:val="24"/>
        </w:rPr>
      </w:pPr>
      <w:r w:rsidRPr="00876E32">
        <w:rPr>
          <w:rFonts w:cstheme="minorHAnsi"/>
          <w:sz w:val="24"/>
          <w:szCs w:val="24"/>
          <w:u w:val="single"/>
        </w:rPr>
        <w:t>Moury</w:t>
      </w:r>
      <w:r w:rsidRPr="00876E32">
        <w:rPr>
          <w:rFonts w:cstheme="minorHAnsi"/>
          <w:sz w:val="24"/>
          <w:szCs w:val="24"/>
        </w:rPr>
        <w:t>: En Banc 3 – 3/21/12 at 10 AM</w:t>
      </w:r>
      <w:r w:rsidR="00DD598D" w:rsidRPr="00876E32">
        <w:rPr>
          <w:rFonts w:cstheme="minorHAnsi"/>
          <w:sz w:val="24"/>
          <w:szCs w:val="24"/>
        </w:rPr>
        <w:t xml:space="preserve"> – 4 PM</w:t>
      </w:r>
      <w:r w:rsidRPr="00876E32">
        <w:rPr>
          <w:rFonts w:cstheme="minorHAnsi"/>
          <w:sz w:val="24"/>
          <w:szCs w:val="24"/>
        </w:rPr>
        <w:t xml:space="preserve">.  Long-range work plan with focus on end-state of default service.  Will </w:t>
      </w:r>
      <w:r w:rsidR="00DD598D" w:rsidRPr="00876E32">
        <w:rPr>
          <w:rFonts w:cstheme="minorHAnsi"/>
          <w:sz w:val="24"/>
          <w:szCs w:val="24"/>
        </w:rPr>
        <w:t xml:space="preserve">start </w:t>
      </w:r>
      <w:r w:rsidRPr="00876E32">
        <w:rPr>
          <w:rFonts w:cstheme="minorHAnsi"/>
          <w:sz w:val="24"/>
          <w:szCs w:val="24"/>
        </w:rPr>
        <w:t>focusing on those issues in</w:t>
      </w:r>
      <w:r w:rsidR="00DD598D" w:rsidRPr="00876E32">
        <w:rPr>
          <w:rFonts w:cstheme="minorHAnsi"/>
          <w:sz w:val="24"/>
          <w:szCs w:val="24"/>
        </w:rPr>
        <w:t xml:space="preserve"> RMI </w:t>
      </w:r>
      <w:r w:rsidR="00876E32">
        <w:rPr>
          <w:rFonts w:cstheme="minorHAnsi"/>
          <w:sz w:val="24"/>
          <w:szCs w:val="24"/>
        </w:rPr>
        <w:t>conference call</w:t>
      </w:r>
      <w:r w:rsidR="00DD598D" w:rsidRPr="00876E32">
        <w:rPr>
          <w:rFonts w:cstheme="minorHAnsi"/>
          <w:sz w:val="24"/>
          <w:szCs w:val="24"/>
        </w:rPr>
        <w:t>s</w:t>
      </w:r>
      <w:r w:rsidR="00876E32">
        <w:rPr>
          <w:rFonts w:cstheme="minorHAnsi"/>
          <w:sz w:val="24"/>
          <w:szCs w:val="24"/>
        </w:rPr>
        <w:t xml:space="preserve"> (CC)</w:t>
      </w:r>
      <w:r w:rsidR="00DD598D" w:rsidRPr="00876E32">
        <w:rPr>
          <w:rFonts w:cstheme="minorHAnsi"/>
          <w:sz w:val="24"/>
          <w:szCs w:val="24"/>
        </w:rPr>
        <w:t xml:space="preserve"> beginning</w:t>
      </w:r>
      <w:r w:rsidRPr="00876E32">
        <w:rPr>
          <w:rFonts w:cstheme="minorHAnsi"/>
          <w:sz w:val="24"/>
          <w:szCs w:val="24"/>
        </w:rPr>
        <w:t xml:space="preserve"> Jan. 2012.  </w:t>
      </w:r>
    </w:p>
    <w:p w:rsidR="0006362E" w:rsidRPr="00DD598D" w:rsidRDefault="0006362E" w:rsidP="0006362E">
      <w:pPr>
        <w:rPr>
          <w:rFonts w:cstheme="minorHAnsi"/>
          <w:sz w:val="24"/>
          <w:szCs w:val="24"/>
        </w:rPr>
      </w:pPr>
    </w:p>
    <w:p w:rsidR="00C171D2" w:rsidRPr="00DD598D" w:rsidRDefault="00C171D2" w:rsidP="00B31005">
      <w:pPr>
        <w:rPr>
          <w:rFonts w:cstheme="minorHAnsi"/>
          <w:sz w:val="24"/>
          <w:szCs w:val="24"/>
        </w:rPr>
      </w:pPr>
    </w:p>
    <w:p w:rsidR="00FF58B1" w:rsidRPr="00DD598D" w:rsidRDefault="00DD598D" w:rsidP="00AA5073">
      <w:pPr>
        <w:rPr>
          <w:rFonts w:cstheme="minorHAnsi"/>
          <w:sz w:val="24"/>
          <w:szCs w:val="24"/>
        </w:rPr>
      </w:pPr>
      <w:r>
        <w:rPr>
          <w:rFonts w:cstheme="minorHAnsi"/>
          <w:b/>
          <w:sz w:val="24"/>
          <w:szCs w:val="24"/>
        </w:rPr>
        <w:t>Consumer Education</w:t>
      </w:r>
      <w:r>
        <w:rPr>
          <w:rFonts w:cstheme="minorHAnsi"/>
          <w:sz w:val="24"/>
          <w:szCs w:val="24"/>
        </w:rPr>
        <w:t xml:space="preserve"> – Dave Hixson</w:t>
      </w:r>
    </w:p>
    <w:p w:rsidR="00DD598D" w:rsidRDefault="00DD598D" w:rsidP="00DD598D">
      <w:pPr>
        <w:rPr>
          <w:rFonts w:cstheme="minorHAnsi"/>
          <w:sz w:val="24"/>
          <w:szCs w:val="24"/>
        </w:rPr>
      </w:pPr>
    </w:p>
    <w:p w:rsidR="00FF58B1" w:rsidRDefault="008916E8" w:rsidP="00DD598D">
      <w:pPr>
        <w:pStyle w:val="ListParagraph"/>
        <w:numPr>
          <w:ilvl w:val="0"/>
          <w:numId w:val="28"/>
        </w:numPr>
        <w:rPr>
          <w:rFonts w:cstheme="minorHAnsi"/>
          <w:sz w:val="24"/>
          <w:szCs w:val="24"/>
        </w:rPr>
      </w:pPr>
      <w:r w:rsidRPr="00DD598D">
        <w:rPr>
          <w:rFonts w:cstheme="minorHAnsi"/>
          <w:sz w:val="24"/>
          <w:szCs w:val="24"/>
        </w:rPr>
        <w:t>Discussion of Staff Deliverables</w:t>
      </w:r>
    </w:p>
    <w:p w:rsidR="0039070E" w:rsidRPr="00DD598D" w:rsidRDefault="0039070E" w:rsidP="0039070E">
      <w:pPr>
        <w:pStyle w:val="ListParagraph"/>
        <w:rPr>
          <w:rFonts w:cstheme="minorHAnsi"/>
          <w:sz w:val="24"/>
          <w:szCs w:val="24"/>
        </w:rPr>
      </w:pPr>
    </w:p>
    <w:p w:rsidR="008916E8" w:rsidRPr="0039070E" w:rsidRDefault="00256DEF" w:rsidP="0039070E">
      <w:pPr>
        <w:pStyle w:val="ListParagraph"/>
        <w:numPr>
          <w:ilvl w:val="0"/>
          <w:numId w:val="29"/>
        </w:numPr>
        <w:rPr>
          <w:rFonts w:cstheme="minorHAnsi"/>
          <w:sz w:val="24"/>
          <w:szCs w:val="24"/>
        </w:rPr>
      </w:pPr>
      <w:hyperlink r:id="rId10" w:history="1">
        <w:r w:rsidR="00DD598D" w:rsidRPr="0039070E">
          <w:rPr>
            <w:rStyle w:val="Hyperlink"/>
            <w:rFonts w:cstheme="minorHAnsi"/>
            <w:sz w:val="24"/>
            <w:szCs w:val="24"/>
          </w:rPr>
          <w:t>EDC Tri-Fold DRAFT 2 - 11/15/11</w:t>
        </w:r>
      </w:hyperlink>
    </w:p>
    <w:p w:rsidR="008916E8" w:rsidRPr="0039070E" w:rsidRDefault="00256DEF" w:rsidP="0039070E">
      <w:pPr>
        <w:pStyle w:val="ListParagraph"/>
        <w:numPr>
          <w:ilvl w:val="0"/>
          <w:numId w:val="29"/>
        </w:numPr>
        <w:rPr>
          <w:rFonts w:cstheme="minorHAnsi"/>
          <w:sz w:val="24"/>
          <w:szCs w:val="24"/>
        </w:rPr>
      </w:pPr>
      <w:hyperlink r:id="rId11" w:history="1">
        <w:r w:rsidR="00DD598D" w:rsidRPr="0039070E">
          <w:rPr>
            <w:rStyle w:val="Hyperlink"/>
            <w:rFonts w:cstheme="minorHAnsi"/>
            <w:sz w:val="24"/>
            <w:szCs w:val="24"/>
          </w:rPr>
          <w:t>EDC Tri-Fold Size Comparison</w:t>
        </w:r>
      </w:hyperlink>
    </w:p>
    <w:p w:rsidR="0006362E" w:rsidRPr="00DD598D" w:rsidRDefault="0006362E" w:rsidP="008916E8">
      <w:pPr>
        <w:rPr>
          <w:rFonts w:cstheme="minorHAnsi"/>
          <w:sz w:val="24"/>
          <w:szCs w:val="24"/>
        </w:rPr>
      </w:pPr>
    </w:p>
    <w:p w:rsidR="00876E32" w:rsidRPr="00876E32" w:rsidRDefault="001E6B3F" w:rsidP="00876E32">
      <w:pPr>
        <w:pStyle w:val="ListParagraph"/>
        <w:numPr>
          <w:ilvl w:val="0"/>
          <w:numId w:val="29"/>
        </w:numPr>
        <w:ind w:left="360"/>
        <w:rPr>
          <w:rFonts w:cstheme="minorHAnsi"/>
          <w:sz w:val="24"/>
          <w:szCs w:val="24"/>
        </w:rPr>
      </w:pPr>
      <w:r w:rsidRPr="00876E32">
        <w:rPr>
          <w:rFonts w:cstheme="minorHAnsi"/>
          <w:sz w:val="24"/>
          <w:szCs w:val="24"/>
          <w:u w:val="single"/>
        </w:rPr>
        <w:t>Hixson</w:t>
      </w:r>
      <w:r w:rsidR="0039070E" w:rsidRPr="00876E32">
        <w:rPr>
          <w:rFonts w:cstheme="minorHAnsi"/>
          <w:sz w:val="24"/>
          <w:szCs w:val="24"/>
        </w:rPr>
        <w:t>:</w:t>
      </w:r>
      <w:r w:rsidR="00876E32">
        <w:rPr>
          <w:rFonts w:cstheme="minorHAnsi"/>
          <w:sz w:val="24"/>
          <w:szCs w:val="24"/>
        </w:rPr>
        <w:t xml:space="preserve"> See tri-fold size comparison.  Tri-fold combines electric distribution company (EDC) letter and FAQs sheet.  Incorporated suggestions and revised to match EDC letter and Commissioners’ postcard.  Removed municipality/co-ops reference.  Will remove word “material” from savings language in chart.  33 cents to print and mail the tri-fold.  4 million residential customers in PA.  </w:t>
      </w:r>
    </w:p>
    <w:p w:rsidR="00876E32" w:rsidRPr="00876E32" w:rsidRDefault="00876E32" w:rsidP="00876E32">
      <w:pPr>
        <w:pStyle w:val="ListParagraph"/>
        <w:numPr>
          <w:ilvl w:val="0"/>
          <w:numId w:val="29"/>
        </w:numPr>
        <w:ind w:left="360"/>
        <w:rPr>
          <w:rFonts w:cstheme="minorHAnsi"/>
          <w:sz w:val="24"/>
          <w:szCs w:val="24"/>
          <w:u w:val="single"/>
        </w:rPr>
      </w:pPr>
      <w:r>
        <w:rPr>
          <w:rFonts w:cstheme="minorHAnsi"/>
          <w:sz w:val="24"/>
          <w:szCs w:val="24"/>
          <w:u w:val="single"/>
        </w:rPr>
        <w:t>Office of Consumer Advocate (OCA)</w:t>
      </w:r>
      <w:r>
        <w:rPr>
          <w:rFonts w:cstheme="minorHAnsi"/>
          <w:sz w:val="24"/>
          <w:szCs w:val="24"/>
        </w:rPr>
        <w:t xml:space="preserve">: Remove “material” from savings language.  </w:t>
      </w:r>
    </w:p>
    <w:p w:rsidR="00876E32" w:rsidRPr="00876E32" w:rsidRDefault="00876E32" w:rsidP="00876E32">
      <w:pPr>
        <w:pStyle w:val="ListParagraph"/>
        <w:numPr>
          <w:ilvl w:val="0"/>
          <w:numId w:val="29"/>
        </w:numPr>
        <w:ind w:left="360"/>
        <w:rPr>
          <w:rFonts w:cstheme="minorHAnsi"/>
          <w:sz w:val="24"/>
          <w:szCs w:val="24"/>
          <w:u w:val="single"/>
        </w:rPr>
      </w:pPr>
      <w:r>
        <w:rPr>
          <w:rFonts w:cstheme="minorHAnsi"/>
          <w:sz w:val="24"/>
          <w:szCs w:val="24"/>
          <w:u w:val="single"/>
        </w:rPr>
        <w:t>AARP</w:t>
      </w:r>
      <w:r w:rsidRPr="00876E32">
        <w:rPr>
          <w:rFonts w:cstheme="minorHAnsi"/>
          <w:sz w:val="24"/>
          <w:szCs w:val="24"/>
        </w:rPr>
        <w:t>:</w:t>
      </w:r>
      <w:r>
        <w:rPr>
          <w:rFonts w:cstheme="minorHAnsi"/>
          <w:sz w:val="24"/>
          <w:szCs w:val="24"/>
        </w:rPr>
        <w:t xml:space="preserve"> Printing and mailing to all residential customers is costly.  20-30% of EDC distribution customers have shopped.  Why should they pay for this?  Remove 30/60/90 reference.  Misleading calculation.  Document should emphasize variety of offers.  Support use of price-to-compare (PTC).  Include more education about default service (DS), PTC and EDC obligation to serve.</w:t>
      </w:r>
    </w:p>
    <w:p w:rsidR="00876E32" w:rsidRPr="00876E32" w:rsidRDefault="00876E32" w:rsidP="00876E32">
      <w:pPr>
        <w:pStyle w:val="ListParagraph"/>
        <w:numPr>
          <w:ilvl w:val="0"/>
          <w:numId w:val="29"/>
        </w:numPr>
        <w:ind w:left="360"/>
        <w:rPr>
          <w:rFonts w:cstheme="minorHAnsi"/>
          <w:sz w:val="24"/>
          <w:szCs w:val="24"/>
          <w:u w:val="single"/>
        </w:rPr>
      </w:pPr>
      <w:r>
        <w:rPr>
          <w:rFonts w:cstheme="minorHAnsi"/>
          <w:sz w:val="24"/>
          <w:szCs w:val="24"/>
          <w:u w:val="single"/>
        </w:rPr>
        <w:lastRenderedPageBreak/>
        <w:t>EDCs</w:t>
      </w:r>
      <w:r>
        <w:rPr>
          <w:rFonts w:cstheme="minorHAnsi"/>
          <w:sz w:val="24"/>
          <w:szCs w:val="24"/>
        </w:rPr>
        <w:t xml:space="preserve">: Tri-fold is cheaper than letter.  May be more effective – more exciting.  EDCs would like to review once more to provide feedback.  </w:t>
      </w:r>
    </w:p>
    <w:p w:rsidR="005B7284" w:rsidRPr="00DD598D" w:rsidRDefault="005B7284" w:rsidP="00CB179D">
      <w:pPr>
        <w:rPr>
          <w:rFonts w:cstheme="minorHAnsi"/>
          <w:sz w:val="24"/>
          <w:szCs w:val="24"/>
        </w:rPr>
      </w:pPr>
    </w:p>
    <w:p w:rsidR="005F73AD" w:rsidRDefault="00256DEF" w:rsidP="0039070E">
      <w:pPr>
        <w:pStyle w:val="ListParagraph"/>
        <w:numPr>
          <w:ilvl w:val="0"/>
          <w:numId w:val="31"/>
        </w:numPr>
        <w:ind w:left="1440"/>
        <w:rPr>
          <w:rFonts w:cstheme="minorHAnsi"/>
          <w:sz w:val="24"/>
          <w:szCs w:val="24"/>
        </w:rPr>
      </w:pPr>
      <w:hyperlink r:id="rId12" w:history="1">
        <w:r w:rsidR="0039070E" w:rsidRPr="0039070E">
          <w:rPr>
            <w:rStyle w:val="Hyperlink"/>
            <w:rFonts w:cstheme="minorHAnsi"/>
            <w:sz w:val="24"/>
            <w:szCs w:val="24"/>
          </w:rPr>
          <w:t>Staff Revised FAQs - 11/10/11</w:t>
        </w:r>
      </w:hyperlink>
    </w:p>
    <w:p w:rsidR="0039070E" w:rsidRPr="0039070E" w:rsidRDefault="0039070E" w:rsidP="0039070E">
      <w:pPr>
        <w:pStyle w:val="ListParagraph"/>
        <w:ind w:left="1440"/>
        <w:rPr>
          <w:rFonts w:cstheme="minorHAnsi"/>
          <w:sz w:val="24"/>
          <w:szCs w:val="24"/>
        </w:rPr>
      </w:pPr>
    </w:p>
    <w:p w:rsidR="00C5164C" w:rsidRDefault="005F73AD" w:rsidP="00C5164C">
      <w:pPr>
        <w:pStyle w:val="ListParagraph"/>
        <w:numPr>
          <w:ilvl w:val="0"/>
          <w:numId w:val="31"/>
        </w:numPr>
        <w:ind w:left="360"/>
        <w:rPr>
          <w:rFonts w:cstheme="minorHAnsi"/>
          <w:sz w:val="24"/>
          <w:szCs w:val="24"/>
        </w:rPr>
      </w:pPr>
      <w:r w:rsidRPr="00876E32">
        <w:rPr>
          <w:rFonts w:cstheme="minorHAnsi"/>
          <w:sz w:val="24"/>
          <w:szCs w:val="24"/>
          <w:u w:val="single"/>
        </w:rPr>
        <w:t>Hixson</w:t>
      </w:r>
      <w:r w:rsidR="00C5164C">
        <w:rPr>
          <w:rFonts w:cstheme="minorHAnsi"/>
          <w:sz w:val="24"/>
          <w:szCs w:val="24"/>
        </w:rPr>
        <w:t>: Removed information regarding municipalities/co-ops.  Included question regarding what happens if you don’t switch.  3</w:t>
      </w:r>
      <w:r w:rsidR="00C5164C" w:rsidRPr="00C5164C">
        <w:rPr>
          <w:rFonts w:cstheme="minorHAnsi"/>
          <w:sz w:val="24"/>
          <w:szCs w:val="24"/>
          <w:vertAlign w:val="superscript"/>
        </w:rPr>
        <w:t>rd</w:t>
      </w:r>
      <w:r w:rsidR="00C5164C">
        <w:rPr>
          <w:rFonts w:cstheme="minorHAnsi"/>
          <w:sz w:val="24"/>
          <w:szCs w:val="24"/>
        </w:rPr>
        <w:t xml:space="preserve"> FAQ made consistent with tri-fold and Commissioner </w:t>
      </w:r>
      <w:proofErr w:type="gramStart"/>
      <w:r w:rsidR="00C5164C">
        <w:rPr>
          <w:rFonts w:cstheme="minorHAnsi"/>
          <w:sz w:val="24"/>
          <w:szCs w:val="24"/>
        </w:rPr>
        <w:t>postcard</w:t>
      </w:r>
      <w:proofErr w:type="gramEnd"/>
      <w:r w:rsidR="00C5164C">
        <w:rPr>
          <w:rFonts w:cstheme="minorHAnsi"/>
          <w:sz w:val="24"/>
          <w:szCs w:val="24"/>
        </w:rPr>
        <w:t xml:space="preserve">.  FAQs would come from EDCs with letter as customer mailing.  </w:t>
      </w:r>
    </w:p>
    <w:p w:rsidR="00C5164C" w:rsidRDefault="00C5164C" w:rsidP="00C5164C">
      <w:pPr>
        <w:pStyle w:val="ListParagraph"/>
        <w:numPr>
          <w:ilvl w:val="0"/>
          <w:numId w:val="31"/>
        </w:numPr>
        <w:ind w:left="360"/>
        <w:rPr>
          <w:rFonts w:cstheme="minorHAnsi"/>
          <w:sz w:val="24"/>
          <w:szCs w:val="24"/>
        </w:rPr>
      </w:pPr>
      <w:r>
        <w:rPr>
          <w:rFonts w:cstheme="minorHAnsi"/>
          <w:sz w:val="24"/>
          <w:szCs w:val="24"/>
          <w:u w:val="single"/>
        </w:rPr>
        <w:t>Moury</w:t>
      </w:r>
      <w:r>
        <w:rPr>
          <w:rFonts w:cstheme="minorHAnsi"/>
          <w:sz w:val="24"/>
          <w:szCs w:val="24"/>
        </w:rPr>
        <w:t xml:space="preserve">: </w:t>
      </w:r>
      <w:r w:rsidR="006A0897">
        <w:rPr>
          <w:rFonts w:cstheme="minorHAnsi"/>
          <w:sz w:val="24"/>
          <w:szCs w:val="24"/>
        </w:rPr>
        <w:t>Will try to standardize as much as possible for use by EDCs, electric generation suppliers (EGSs), etc. for use in mailings, websites, etc.  Would mail tri-fold in spring and FAQs in fall.  Commissioners’ postcard would go out in early 2012.  May/June for first EDC mailing.  Will provide direction on Commissioners’ postcard via Secretarial Letter.  Possibly address EDC letter, tri-fold and FAQs in intermediate work plan tentative order.  Will provide direction on Comm. postcard ASAP.</w:t>
      </w:r>
    </w:p>
    <w:p w:rsidR="00936F8E" w:rsidRDefault="00936F8E" w:rsidP="00C5164C">
      <w:pPr>
        <w:pStyle w:val="ListParagraph"/>
        <w:numPr>
          <w:ilvl w:val="0"/>
          <w:numId w:val="31"/>
        </w:numPr>
        <w:ind w:left="360"/>
        <w:rPr>
          <w:rFonts w:cstheme="minorHAnsi"/>
          <w:sz w:val="24"/>
          <w:szCs w:val="24"/>
        </w:rPr>
      </w:pPr>
      <w:r>
        <w:rPr>
          <w:rFonts w:cstheme="minorHAnsi"/>
          <w:sz w:val="24"/>
          <w:szCs w:val="24"/>
          <w:u w:val="single"/>
        </w:rPr>
        <w:t>Commissioner Witmer’s Office</w:t>
      </w:r>
      <w:r>
        <w:rPr>
          <w:rFonts w:cstheme="minorHAnsi"/>
          <w:sz w:val="24"/>
          <w:szCs w:val="24"/>
        </w:rPr>
        <w:t xml:space="preserve">: Q3 of FAWs – remove negative connotation and make positive (e.g. “Is it easy to choose a supplier?” </w:t>
      </w:r>
      <w:r>
        <w:rPr>
          <w:rFonts w:cstheme="minorHAnsi"/>
          <w:i/>
          <w:sz w:val="24"/>
          <w:szCs w:val="24"/>
        </w:rPr>
        <w:t>“Yes.”</w:t>
      </w:r>
      <w:r>
        <w:rPr>
          <w:rFonts w:cstheme="minorHAnsi"/>
          <w:sz w:val="24"/>
          <w:szCs w:val="24"/>
        </w:rPr>
        <w:t>)  Consider moving Qs 3 and 4 to top.</w:t>
      </w:r>
    </w:p>
    <w:p w:rsidR="006A0897" w:rsidRDefault="006A0897" w:rsidP="00C5164C">
      <w:pPr>
        <w:pStyle w:val="ListParagraph"/>
        <w:numPr>
          <w:ilvl w:val="0"/>
          <w:numId w:val="31"/>
        </w:numPr>
        <w:ind w:left="360"/>
        <w:rPr>
          <w:rFonts w:cstheme="minorHAnsi"/>
          <w:sz w:val="24"/>
          <w:szCs w:val="24"/>
        </w:rPr>
      </w:pPr>
      <w:r>
        <w:rPr>
          <w:rFonts w:cstheme="minorHAnsi"/>
          <w:sz w:val="24"/>
          <w:szCs w:val="24"/>
          <w:u w:val="single"/>
        </w:rPr>
        <w:t>EDCs</w:t>
      </w:r>
      <w:r>
        <w:rPr>
          <w:rFonts w:cstheme="minorHAnsi"/>
          <w:sz w:val="24"/>
          <w:szCs w:val="24"/>
        </w:rPr>
        <w:t xml:space="preserve">: </w:t>
      </w:r>
      <w:r w:rsidR="00936F8E">
        <w:rPr>
          <w:rFonts w:cstheme="minorHAnsi"/>
          <w:sz w:val="24"/>
          <w:szCs w:val="24"/>
        </w:rPr>
        <w:t xml:space="preserve">Want to ensure mailings are coordinated with other EDC mailings and consumer education products.  Need directives ASAP.  Possibly replace EDC mailings with these deliverables.  </w:t>
      </w:r>
    </w:p>
    <w:p w:rsidR="00936F8E" w:rsidRPr="00C5164C" w:rsidRDefault="00936F8E" w:rsidP="00C5164C">
      <w:pPr>
        <w:pStyle w:val="ListParagraph"/>
        <w:numPr>
          <w:ilvl w:val="0"/>
          <w:numId w:val="31"/>
        </w:numPr>
        <w:ind w:left="360"/>
        <w:rPr>
          <w:rFonts w:cstheme="minorHAnsi"/>
          <w:sz w:val="24"/>
          <w:szCs w:val="24"/>
        </w:rPr>
      </w:pPr>
      <w:r>
        <w:rPr>
          <w:rFonts w:cstheme="minorHAnsi"/>
          <w:sz w:val="24"/>
          <w:szCs w:val="24"/>
          <w:u w:val="single"/>
        </w:rPr>
        <w:t>EGSs</w:t>
      </w:r>
      <w:r w:rsidRPr="00936F8E">
        <w:rPr>
          <w:rFonts w:cstheme="minorHAnsi"/>
          <w:sz w:val="24"/>
          <w:szCs w:val="24"/>
        </w:rPr>
        <w:t>:</w:t>
      </w:r>
      <w:r>
        <w:rPr>
          <w:rFonts w:cstheme="minorHAnsi"/>
          <w:sz w:val="24"/>
          <w:szCs w:val="24"/>
        </w:rPr>
        <w:t xml:space="preserve"> Found FirstEnergy (FE) mailings to be effective way of introducing generic information with specific retail offers to customers.  Worthwhile to have additional discussion going into 2012 to maximize value of mailings.  </w:t>
      </w:r>
    </w:p>
    <w:p w:rsidR="00E83B48" w:rsidRPr="00DD598D" w:rsidRDefault="00E83B48" w:rsidP="00CB179D">
      <w:pPr>
        <w:rPr>
          <w:rFonts w:cstheme="minorHAnsi"/>
          <w:sz w:val="24"/>
          <w:szCs w:val="24"/>
        </w:rPr>
      </w:pPr>
    </w:p>
    <w:p w:rsidR="002A0C39" w:rsidRPr="00DD598D" w:rsidRDefault="002A0C39" w:rsidP="00CB179D">
      <w:pPr>
        <w:rPr>
          <w:rFonts w:cstheme="minorHAnsi"/>
          <w:sz w:val="24"/>
          <w:szCs w:val="24"/>
        </w:rPr>
      </w:pPr>
    </w:p>
    <w:p w:rsidR="00D900FE" w:rsidRPr="001C6C88" w:rsidRDefault="001C6C88" w:rsidP="00CB179D">
      <w:pPr>
        <w:rPr>
          <w:rFonts w:cstheme="minorHAnsi"/>
          <w:sz w:val="24"/>
          <w:szCs w:val="24"/>
        </w:rPr>
      </w:pPr>
      <w:r>
        <w:rPr>
          <w:rFonts w:cstheme="minorHAnsi"/>
          <w:b/>
          <w:sz w:val="24"/>
          <w:szCs w:val="24"/>
        </w:rPr>
        <w:t>EGS/EDC Coordination Platform</w:t>
      </w:r>
      <w:r>
        <w:rPr>
          <w:rFonts w:cstheme="minorHAnsi"/>
          <w:sz w:val="24"/>
          <w:szCs w:val="24"/>
        </w:rPr>
        <w:t xml:space="preserve"> – Kirk House &amp; Matt Wurst</w:t>
      </w:r>
    </w:p>
    <w:p w:rsidR="001C6C88" w:rsidRDefault="001C6C88" w:rsidP="001C6C88">
      <w:pPr>
        <w:rPr>
          <w:rFonts w:cstheme="minorHAnsi"/>
          <w:sz w:val="24"/>
          <w:szCs w:val="24"/>
        </w:rPr>
      </w:pPr>
    </w:p>
    <w:p w:rsidR="00C171D2" w:rsidRPr="001C6C88" w:rsidRDefault="008916E8" w:rsidP="001C6C88">
      <w:pPr>
        <w:pStyle w:val="ListParagraph"/>
        <w:numPr>
          <w:ilvl w:val="0"/>
          <w:numId w:val="26"/>
        </w:numPr>
        <w:rPr>
          <w:rFonts w:cstheme="minorHAnsi"/>
          <w:sz w:val="24"/>
          <w:szCs w:val="24"/>
        </w:rPr>
      </w:pPr>
      <w:r w:rsidRPr="001C6C88">
        <w:rPr>
          <w:rFonts w:cstheme="minorHAnsi"/>
          <w:sz w:val="24"/>
          <w:szCs w:val="24"/>
        </w:rPr>
        <w:t>Credit Standards</w:t>
      </w:r>
    </w:p>
    <w:p w:rsidR="008916E8" w:rsidRPr="00DD598D" w:rsidRDefault="008916E8" w:rsidP="001C6C88">
      <w:pPr>
        <w:pStyle w:val="ListParagraph"/>
        <w:numPr>
          <w:ilvl w:val="0"/>
          <w:numId w:val="31"/>
        </w:numPr>
        <w:ind w:left="1440"/>
        <w:rPr>
          <w:rFonts w:cstheme="minorHAnsi"/>
          <w:sz w:val="24"/>
          <w:szCs w:val="24"/>
        </w:rPr>
      </w:pPr>
      <w:r w:rsidRPr="00DD598D">
        <w:rPr>
          <w:rFonts w:cstheme="minorHAnsi"/>
          <w:sz w:val="24"/>
          <w:szCs w:val="24"/>
        </w:rPr>
        <w:t xml:space="preserve">Define the Risk </w:t>
      </w:r>
      <w:r w:rsidR="00A15079" w:rsidRPr="00DD598D">
        <w:rPr>
          <w:rFonts w:cstheme="minorHAnsi"/>
          <w:sz w:val="24"/>
          <w:szCs w:val="24"/>
        </w:rPr>
        <w:t>– Discussion of FE Deliverable</w:t>
      </w:r>
    </w:p>
    <w:p w:rsidR="00E83B48" w:rsidRPr="00DD598D" w:rsidRDefault="00256DEF" w:rsidP="00E83B48">
      <w:pPr>
        <w:ind w:left="720"/>
        <w:rPr>
          <w:rFonts w:cstheme="minorHAnsi"/>
          <w:sz w:val="24"/>
          <w:szCs w:val="24"/>
        </w:rPr>
      </w:pPr>
      <w:hyperlink r:id="rId13" w:history="1">
        <w:r w:rsidR="001C6C88" w:rsidRPr="001C6C88">
          <w:rPr>
            <w:rStyle w:val="Hyperlink"/>
            <w:rFonts w:cstheme="minorHAnsi"/>
            <w:sz w:val="24"/>
            <w:szCs w:val="24"/>
          </w:rPr>
          <w:t>FirstEnergy Credit Standards Deliverable - 11/10/11</w:t>
        </w:r>
      </w:hyperlink>
    </w:p>
    <w:p w:rsidR="00E83B48" w:rsidRPr="00DD598D" w:rsidRDefault="00E83B48" w:rsidP="00E83B48">
      <w:pPr>
        <w:rPr>
          <w:rFonts w:cstheme="minorHAnsi"/>
          <w:sz w:val="24"/>
          <w:szCs w:val="24"/>
        </w:rPr>
      </w:pPr>
    </w:p>
    <w:p w:rsidR="00FA1C9F" w:rsidRDefault="00E83B48" w:rsidP="00F4765E">
      <w:pPr>
        <w:pStyle w:val="ListParagraph"/>
        <w:numPr>
          <w:ilvl w:val="0"/>
          <w:numId w:val="31"/>
        </w:numPr>
        <w:ind w:left="360"/>
        <w:rPr>
          <w:rFonts w:cstheme="minorHAnsi"/>
          <w:sz w:val="24"/>
          <w:szCs w:val="24"/>
        </w:rPr>
      </w:pPr>
      <w:r w:rsidRPr="00F4765E">
        <w:rPr>
          <w:rFonts w:cstheme="minorHAnsi"/>
          <w:sz w:val="24"/>
          <w:szCs w:val="24"/>
          <w:u w:val="single"/>
        </w:rPr>
        <w:t>House</w:t>
      </w:r>
      <w:r w:rsidRPr="00F4765E">
        <w:rPr>
          <w:rFonts w:cstheme="minorHAnsi"/>
          <w:sz w:val="24"/>
          <w:szCs w:val="24"/>
        </w:rPr>
        <w:t xml:space="preserve">: </w:t>
      </w:r>
      <w:r w:rsidR="00F4765E">
        <w:rPr>
          <w:rFonts w:cstheme="minorHAnsi"/>
          <w:sz w:val="24"/>
          <w:szCs w:val="24"/>
        </w:rPr>
        <w:t>Review FE Credit Standards Deliverable.  UGI vs. PA PUC (Commonwealth Court decision).  Credit requirements were designed around “perfect storm” risk.  Risk was unlikely to ever occur but still required credit protections.  How often has this happened?  Does formula protect against impact or entire exposure regardless of number of occurrences, etc?</w:t>
      </w:r>
    </w:p>
    <w:p w:rsidR="00F4765E" w:rsidRDefault="00F4765E" w:rsidP="00F4765E">
      <w:pPr>
        <w:pStyle w:val="ListParagraph"/>
        <w:numPr>
          <w:ilvl w:val="0"/>
          <w:numId w:val="31"/>
        </w:numPr>
        <w:ind w:left="360"/>
        <w:rPr>
          <w:rFonts w:cstheme="minorHAnsi"/>
          <w:sz w:val="24"/>
          <w:szCs w:val="24"/>
        </w:rPr>
      </w:pPr>
      <w:r>
        <w:rPr>
          <w:rFonts w:cstheme="minorHAnsi"/>
          <w:sz w:val="24"/>
          <w:szCs w:val="24"/>
          <w:u w:val="single"/>
        </w:rPr>
        <w:t>FE</w:t>
      </w:r>
      <w:r w:rsidRPr="00F4765E">
        <w:rPr>
          <w:rFonts w:cstheme="minorHAnsi"/>
          <w:sz w:val="24"/>
          <w:szCs w:val="24"/>
        </w:rPr>
        <w:t>:</w:t>
      </w:r>
      <w:r>
        <w:rPr>
          <w:rFonts w:cstheme="minorHAnsi"/>
          <w:sz w:val="24"/>
          <w:szCs w:val="24"/>
        </w:rPr>
        <w:t xml:space="preserve"> 2 main themes: 1. EDCs currently serving DS load; 2. PJM market mechanism in case of default.  Collect credit for market exposure for EDCs should EGS default or terminate large group of customers.  Credit formula looks at historical peaks, averages them to recognize changing load patterns, </w:t>
      </w:r>
      <w:proofErr w:type="gramStart"/>
      <w:r>
        <w:rPr>
          <w:rFonts w:cstheme="minorHAnsi"/>
          <w:sz w:val="24"/>
          <w:szCs w:val="24"/>
        </w:rPr>
        <w:t>gives</w:t>
      </w:r>
      <w:proofErr w:type="gramEnd"/>
      <w:r>
        <w:rPr>
          <w:rFonts w:cstheme="minorHAnsi"/>
          <w:sz w:val="24"/>
          <w:szCs w:val="24"/>
        </w:rPr>
        <w:t xml:space="preserve"> view of what LMPs can do during time of exposure (300% LMP), estimated number days of EDC exposure before bilateral contracts can be acquired.  In PJM defaults, PJM accumulates lot of expense – EDCs and load serving entities (LSEs) cover expenses.  Equation designed to modestly cover EDC exposure – averaged-value mechanism.  If supplier defaults and large amounts of DS load come back to EDC, defaults </w:t>
      </w:r>
      <w:r>
        <w:rPr>
          <w:rFonts w:cstheme="minorHAnsi"/>
          <w:sz w:val="24"/>
          <w:szCs w:val="24"/>
        </w:rPr>
        <w:lastRenderedPageBreak/>
        <w:t>the DS suppliers, can be cascading effect so EDC pulls both credit requirements.  Multiply LMP max by 300%.  Credit requirement based on 24-hours of 5-day exposure.  Single averaged peak x LMP x factor x #days of exposure.  Will supply example calculation.</w:t>
      </w:r>
    </w:p>
    <w:p w:rsidR="00F4765E" w:rsidRPr="00F4765E" w:rsidRDefault="00F4765E" w:rsidP="00F4765E">
      <w:pPr>
        <w:pStyle w:val="ListParagraph"/>
        <w:numPr>
          <w:ilvl w:val="0"/>
          <w:numId w:val="31"/>
        </w:numPr>
        <w:ind w:left="360"/>
        <w:rPr>
          <w:rFonts w:cstheme="minorHAnsi"/>
          <w:sz w:val="24"/>
          <w:szCs w:val="24"/>
        </w:rPr>
      </w:pPr>
      <w:r>
        <w:rPr>
          <w:rFonts w:cstheme="minorHAnsi"/>
          <w:sz w:val="24"/>
          <w:szCs w:val="24"/>
          <w:u w:val="single"/>
        </w:rPr>
        <w:t>EGSs</w:t>
      </w:r>
      <w:r w:rsidRPr="00F4765E">
        <w:rPr>
          <w:rFonts w:cstheme="minorHAnsi"/>
          <w:sz w:val="24"/>
          <w:szCs w:val="24"/>
        </w:rPr>
        <w:t>:</w:t>
      </w:r>
      <w:r>
        <w:rPr>
          <w:rFonts w:cstheme="minorHAnsi"/>
          <w:sz w:val="24"/>
          <w:szCs w:val="24"/>
        </w:rPr>
        <w:t xml:space="preserve"> Hypothetically, every EGS should post collateral with all other EGSs because, at times of default, EGSs would receive bill as market participant from PJM.  All market participants have to provide money to PJM in case of large default.  </w:t>
      </w:r>
      <w:r w:rsidR="00C42D66">
        <w:rPr>
          <w:rFonts w:cstheme="minorHAnsi"/>
          <w:sz w:val="24"/>
          <w:szCs w:val="24"/>
        </w:rPr>
        <w:t xml:space="preserve">Have collateral requirements with winning DS request for proposal (RFP) participants.  If DS supplier defaults, EDC has to buy.  If EGS defaults, EDC doesn’t have to do anything.  DS supplier does.  EGS commitment to PJM with FERC-approved rigorous collateral requirement does show EGSs’ ability to meet FE points.  </w:t>
      </w:r>
    </w:p>
    <w:p w:rsidR="00FA1C9F" w:rsidRDefault="00FA1C9F" w:rsidP="00E83B48">
      <w:pPr>
        <w:rPr>
          <w:rFonts w:cstheme="minorHAnsi"/>
          <w:sz w:val="24"/>
          <w:szCs w:val="24"/>
        </w:rPr>
      </w:pPr>
    </w:p>
    <w:p w:rsidR="008A14BE" w:rsidRPr="008A14BE" w:rsidRDefault="008A14BE" w:rsidP="008A14BE">
      <w:pPr>
        <w:jc w:val="center"/>
        <w:rPr>
          <w:rFonts w:cstheme="minorHAnsi"/>
          <w:b/>
          <w:sz w:val="24"/>
          <w:szCs w:val="24"/>
        </w:rPr>
      </w:pPr>
      <w:r w:rsidRPr="008A14BE">
        <w:rPr>
          <w:rFonts w:cstheme="minorHAnsi"/>
          <w:b/>
          <w:sz w:val="24"/>
          <w:szCs w:val="24"/>
          <w:highlight w:val="yellow"/>
        </w:rPr>
        <w:t>FirstEnergy to provide example risk calculation for 12/2/11 RMI CC.</w:t>
      </w:r>
    </w:p>
    <w:p w:rsidR="008A14BE" w:rsidRDefault="008A14BE" w:rsidP="00E83B48">
      <w:pPr>
        <w:rPr>
          <w:rFonts w:cstheme="minorHAnsi"/>
          <w:sz w:val="24"/>
          <w:szCs w:val="24"/>
        </w:rPr>
      </w:pPr>
    </w:p>
    <w:p w:rsidR="008A14BE" w:rsidRPr="00DD598D" w:rsidRDefault="008A14BE" w:rsidP="00E83B48">
      <w:pPr>
        <w:rPr>
          <w:rFonts w:cstheme="minorHAnsi"/>
          <w:sz w:val="24"/>
          <w:szCs w:val="24"/>
        </w:rPr>
      </w:pPr>
    </w:p>
    <w:p w:rsidR="00445C1F" w:rsidRPr="00445C1F" w:rsidRDefault="006A3F12" w:rsidP="00651EC5">
      <w:pPr>
        <w:pStyle w:val="ListParagraph"/>
        <w:numPr>
          <w:ilvl w:val="0"/>
          <w:numId w:val="35"/>
        </w:numPr>
        <w:ind w:left="360"/>
        <w:rPr>
          <w:rFonts w:cstheme="minorHAnsi"/>
          <w:sz w:val="24"/>
          <w:szCs w:val="24"/>
        </w:rPr>
      </w:pPr>
      <w:r w:rsidRPr="00445C1F">
        <w:rPr>
          <w:rFonts w:cstheme="minorHAnsi"/>
          <w:sz w:val="24"/>
          <w:szCs w:val="24"/>
          <w:u w:val="single"/>
        </w:rPr>
        <w:t>Wurst</w:t>
      </w:r>
      <w:r w:rsidRPr="00445C1F">
        <w:rPr>
          <w:rFonts w:cstheme="minorHAnsi"/>
          <w:sz w:val="24"/>
          <w:szCs w:val="24"/>
        </w:rPr>
        <w:t>: Appears that FE is under assumption that PUC only has static $250k bond with EGSs.  Annually, bond is amended to either be higher of $250k or 10% of gross sales.  Not static.</w:t>
      </w:r>
      <w:r w:rsidR="00445C1F" w:rsidRPr="00445C1F">
        <w:rPr>
          <w:rFonts w:cstheme="minorHAnsi"/>
          <w:sz w:val="24"/>
          <w:szCs w:val="24"/>
        </w:rPr>
        <w:t xml:space="preserve">  $250k might cover some difference between price customer guaranteed and what they got.  Bonds have to have language that it’s for beneficiary’s estate and GRT and to ensure delivery of electricity.  </w:t>
      </w:r>
      <w:r w:rsidR="00651EC5">
        <w:rPr>
          <w:rFonts w:cstheme="minorHAnsi"/>
          <w:sz w:val="24"/>
          <w:szCs w:val="24"/>
        </w:rPr>
        <w:t xml:space="preserve">See example on website -- </w:t>
      </w:r>
      <w:hyperlink r:id="rId14" w:history="1">
        <w:r w:rsidR="00651EC5" w:rsidRPr="00BB4A8C">
          <w:rPr>
            <w:rStyle w:val="Hyperlink"/>
            <w:rFonts w:cstheme="minorHAnsi"/>
            <w:sz w:val="24"/>
            <w:szCs w:val="24"/>
          </w:rPr>
          <w:t>http://www.puc.state.pa.us/general/onlineforms/pdf/EGS_Licen_App.pdf</w:t>
        </w:r>
      </w:hyperlink>
      <w:r w:rsidR="00651EC5">
        <w:rPr>
          <w:rFonts w:cstheme="minorHAnsi"/>
          <w:sz w:val="24"/>
          <w:szCs w:val="24"/>
        </w:rPr>
        <w:t xml:space="preserve"> </w:t>
      </w:r>
    </w:p>
    <w:p w:rsidR="008A14BE" w:rsidRDefault="008A14BE" w:rsidP="00E83B48">
      <w:pPr>
        <w:rPr>
          <w:rFonts w:cstheme="minorHAnsi"/>
          <w:sz w:val="24"/>
          <w:szCs w:val="24"/>
          <w:u w:val="single"/>
        </w:rPr>
      </w:pPr>
    </w:p>
    <w:p w:rsidR="006A3F12" w:rsidRPr="00445C1F" w:rsidRDefault="003E0EDC" w:rsidP="00445C1F">
      <w:pPr>
        <w:pStyle w:val="ListParagraph"/>
        <w:numPr>
          <w:ilvl w:val="0"/>
          <w:numId w:val="35"/>
        </w:numPr>
        <w:ind w:left="360"/>
        <w:rPr>
          <w:rFonts w:cstheme="minorHAnsi"/>
          <w:sz w:val="24"/>
          <w:szCs w:val="24"/>
        </w:rPr>
      </w:pPr>
      <w:r w:rsidRPr="00445C1F">
        <w:rPr>
          <w:rFonts w:cstheme="minorHAnsi"/>
          <w:sz w:val="24"/>
          <w:szCs w:val="24"/>
          <w:u w:val="single"/>
        </w:rPr>
        <w:t>House</w:t>
      </w:r>
      <w:r w:rsidRPr="00445C1F">
        <w:rPr>
          <w:rFonts w:cstheme="minorHAnsi"/>
          <w:sz w:val="24"/>
          <w:szCs w:val="24"/>
        </w:rPr>
        <w:t>: Cost for non-compliance on supplier tariff obligations.  Self-explanatory.</w:t>
      </w:r>
    </w:p>
    <w:p w:rsidR="003E0EDC" w:rsidRPr="00DD598D" w:rsidRDefault="003E0EDC" w:rsidP="00E83B48">
      <w:pPr>
        <w:rPr>
          <w:rFonts w:cstheme="minorHAnsi"/>
          <w:sz w:val="24"/>
          <w:szCs w:val="24"/>
        </w:rPr>
      </w:pPr>
      <w:r w:rsidRPr="00DD598D">
        <w:rPr>
          <w:rFonts w:cstheme="minorHAnsi"/>
          <w:i/>
          <w:sz w:val="24"/>
          <w:szCs w:val="24"/>
        </w:rPr>
        <w:t>No comments.</w:t>
      </w:r>
    </w:p>
    <w:p w:rsidR="003E0EDC" w:rsidRPr="00DD598D" w:rsidRDefault="003E0EDC" w:rsidP="00E83B48">
      <w:pPr>
        <w:rPr>
          <w:rFonts w:cstheme="minorHAnsi"/>
          <w:sz w:val="24"/>
          <w:szCs w:val="24"/>
        </w:rPr>
      </w:pPr>
    </w:p>
    <w:p w:rsidR="00A15079" w:rsidRPr="00DD598D" w:rsidRDefault="00A15079" w:rsidP="008A14BE">
      <w:pPr>
        <w:pStyle w:val="ListParagraph"/>
        <w:numPr>
          <w:ilvl w:val="0"/>
          <w:numId w:val="31"/>
        </w:numPr>
        <w:ind w:left="1440"/>
        <w:rPr>
          <w:rFonts w:cstheme="minorHAnsi"/>
          <w:sz w:val="24"/>
          <w:szCs w:val="24"/>
        </w:rPr>
      </w:pPr>
      <w:r w:rsidRPr="00DD598D">
        <w:rPr>
          <w:rFonts w:cstheme="minorHAnsi"/>
          <w:sz w:val="24"/>
          <w:szCs w:val="24"/>
        </w:rPr>
        <w:t>Specific Examples of Acceptable Instruments – Discussion of RESA Deliverable</w:t>
      </w:r>
    </w:p>
    <w:p w:rsidR="00A15079" w:rsidRDefault="00256DEF" w:rsidP="008916E8">
      <w:pPr>
        <w:ind w:left="720"/>
        <w:rPr>
          <w:rFonts w:cstheme="minorHAnsi"/>
          <w:sz w:val="24"/>
          <w:szCs w:val="24"/>
        </w:rPr>
      </w:pPr>
      <w:hyperlink r:id="rId15" w:history="1">
        <w:r w:rsidR="008A14BE" w:rsidRPr="008A14BE">
          <w:rPr>
            <w:rStyle w:val="Hyperlink"/>
            <w:rFonts w:cstheme="minorHAnsi"/>
            <w:sz w:val="24"/>
            <w:szCs w:val="24"/>
          </w:rPr>
          <w:t>RESA Response to Credit Standards Inquiry - 11/14/11</w:t>
        </w:r>
      </w:hyperlink>
    </w:p>
    <w:p w:rsidR="008A14BE" w:rsidRPr="00DD598D" w:rsidRDefault="008A14BE" w:rsidP="008916E8">
      <w:pPr>
        <w:ind w:left="720"/>
        <w:rPr>
          <w:rFonts w:cstheme="minorHAnsi"/>
          <w:sz w:val="24"/>
          <w:szCs w:val="24"/>
        </w:rPr>
      </w:pPr>
    </w:p>
    <w:p w:rsidR="0006362E" w:rsidRPr="008906DF" w:rsidRDefault="003E0EDC" w:rsidP="008906DF">
      <w:pPr>
        <w:pStyle w:val="ListParagraph"/>
        <w:numPr>
          <w:ilvl w:val="0"/>
          <w:numId w:val="31"/>
        </w:numPr>
        <w:ind w:left="360"/>
        <w:rPr>
          <w:rFonts w:cstheme="minorHAnsi"/>
          <w:sz w:val="24"/>
          <w:szCs w:val="24"/>
        </w:rPr>
      </w:pPr>
      <w:r w:rsidRPr="008906DF">
        <w:rPr>
          <w:rFonts w:cstheme="minorHAnsi"/>
          <w:sz w:val="24"/>
          <w:szCs w:val="24"/>
          <w:u w:val="single"/>
        </w:rPr>
        <w:t>House</w:t>
      </w:r>
      <w:r w:rsidRPr="008906DF">
        <w:rPr>
          <w:rFonts w:cstheme="minorHAnsi"/>
          <w:sz w:val="24"/>
          <w:szCs w:val="24"/>
        </w:rPr>
        <w:t>: Comments on RESA credit standards deliverable?  Staff will review.</w:t>
      </w:r>
    </w:p>
    <w:p w:rsidR="003E0EDC" w:rsidRPr="00DD598D" w:rsidRDefault="003E0EDC" w:rsidP="00CB179D">
      <w:pPr>
        <w:rPr>
          <w:rFonts w:cstheme="minorHAnsi"/>
          <w:i/>
          <w:sz w:val="24"/>
          <w:szCs w:val="24"/>
        </w:rPr>
      </w:pPr>
      <w:r w:rsidRPr="00DD598D">
        <w:rPr>
          <w:rFonts w:cstheme="minorHAnsi"/>
          <w:i/>
          <w:sz w:val="24"/>
          <w:szCs w:val="24"/>
        </w:rPr>
        <w:t>No comments.</w:t>
      </w:r>
    </w:p>
    <w:p w:rsidR="003E0EDC" w:rsidRPr="00DD598D" w:rsidRDefault="003E0EDC" w:rsidP="00CB179D">
      <w:pPr>
        <w:rPr>
          <w:rFonts w:cstheme="minorHAnsi"/>
          <w:sz w:val="24"/>
          <w:szCs w:val="24"/>
        </w:rPr>
      </w:pPr>
    </w:p>
    <w:p w:rsidR="003E0EDC" w:rsidRPr="00DD598D" w:rsidRDefault="003E0EDC" w:rsidP="00CB179D">
      <w:pPr>
        <w:rPr>
          <w:rFonts w:cstheme="minorHAnsi"/>
          <w:b/>
          <w:sz w:val="24"/>
          <w:szCs w:val="24"/>
        </w:rPr>
      </w:pPr>
    </w:p>
    <w:p w:rsidR="00C171D2" w:rsidRDefault="008A14BE" w:rsidP="00CB179D">
      <w:pPr>
        <w:rPr>
          <w:rFonts w:cstheme="minorHAnsi"/>
          <w:sz w:val="24"/>
          <w:szCs w:val="24"/>
        </w:rPr>
      </w:pPr>
      <w:r>
        <w:rPr>
          <w:rFonts w:cstheme="minorHAnsi"/>
          <w:b/>
          <w:sz w:val="24"/>
          <w:szCs w:val="24"/>
        </w:rPr>
        <w:t>Retail Opt-in Auctions</w:t>
      </w:r>
      <w:r>
        <w:rPr>
          <w:rFonts w:cstheme="minorHAnsi"/>
          <w:sz w:val="24"/>
          <w:szCs w:val="24"/>
        </w:rPr>
        <w:t xml:space="preserve"> – Karen Moury</w:t>
      </w:r>
    </w:p>
    <w:p w:rsidR="00366434" w:rsidRPr="008A14BE" w:rsidRDefault="00366434" w:rsidP="00CB179D">
      <w:pPr>
        <w:rPr>
          <w:rFonts w:cstheme="minorHAnsi"/>
          <w:sz w:val="24"/>
          <w:szCs w:val="24"/>
        </w:rPr>
      </w:pPr>
    </w:p>
    <w:p w:rsidR="00C171D2" w:rsidRPr="00DD598D" w:rsidRDefault="00C171D2" w:rsidP="00366434">
      <w:pPr>
        <w:pStyle w:val="ListParagraph"/>
        <w:numPr>
          <w:ilvl w:val="0"/>
          <w:numId w:val="32"/>
        </w:numPr>
        <w:ind w:left="720"/>
        <w:rPr>
          <w:rFonts w:cstheme="minorHAnsi"/>
          <w:sz w:val="24"/>
          <w:szCs w:val="24"/>
        </w:rPr>
      </w:pPr>
      <w:r w:rsidRPr="00DD598D">
        <w:rPr>
          <w:rFonts w:cstheme="minorHAnsi"/>
          <w:sz w:val="24"/>
          <w:szCs w:val="24"/>
        </w:rPr>
        <w:t>Status Update</w:t>
      </w:r>
    </w:p>
    <w:p w:rsidR="003E0EDC" w:rsidRPr="00DD598D" w:rsidRDefault="003E0EDC" w:rsidP="003E0EDC">
      <w:pPr>
        <w:rPr>
          <w:rFonts w:cstheme="minorHAnsi"/>
          <w:sz w:val="24"/>
          <w:szCs w:val="24"/>
        </w:rPr>
      </w:pPr>
    </w:p>
    <w:p w:rsidR="00BC7E8B" w:rsidRDefault="003E0EDC" w:rsidP="008906DF">
      <w:pPr>
        <w:pStyle w:val="ListParagraph"/>
        <w:numPr>
          <w:ilvl w:val="0"/>
          <w:numId w:val="31"/>
        </w:numPr>
        <w:ind w:left="360"/>
        <w:rPr>
          <w:rFonts w:cstheme="minorHAnsi"/>
          <w:sz w:val="24"/>
          <w:szCs w:val="24"/>
        </w:rPr>
      </w:pPr>
      <w:r w:rsidRPr="008906DF">
        <w:rPr>
          <w:rFonts w:cstheme="minorHAnsi"/>
          <w:sz w:val="24"/>
          <w:szCs w:val="24"/>
          <w:u w:val="single"/>
        </w:rPr>
        <w:t>Moury</w:t>
      </w:r>
      <w:r w:rsidRPr="008906DF">
        <w:rPr>
          <w:rFonts w:cstheme="minorHAnsi"/>
          <w:sz w:val="24"/>
          <w:szCs w:val="24"/>
        </w:rPr>
        <w:t xml:space="preserve">: </w:t>
      </w:r>
      <w:r w:rsidR="008906DF">
        <w:rPr>
          <w:rFonts w:cstheme="minorHAnsi"/>
          <w:sz w:val="24"/>
          <w:szCs w:val="24"/>
        </w:rPr>
        <w:t xml:space="preserve">Subgroup to convene 1 more time to work on non-consensus issues.  Provide status update as deliverable by 11/30/11 for 12/2/11 RMI CC.  Possible way of handling retail opt-in auctions and customer referral programs: Bifurcate programs from rest of DS plan provisions.  Have those 2 issues be addressed in separate consolidated on-the-record proceedings presided over by ALJ.  Have that come to Commission while DS plans are still being litigated.  Have auction and referral programs approved and dumped back into DS plan proceedings.  EDCs who haven’t filed DS plans by that time will be asked to file those parts for proceeding.  Still working out timing issues.  </w:t>
      </w:r>
    </w:p>
    <w:p w:rsidR="008906DF" w:rsidRDefault="008906DF" w:rsidP="008906DF">
      <w:pPr>
        <w:pStyle w:val="ListParagraph"/>
        <w:numPr>
          <w:ilvl w:val="0"/>
          <w:numId w:val="31"/>
        </w:numPr>
        <w:ind w:left="360"/>
        <w:rPr>
          <w:rFonts w:cstheme="minorHAnsi"/>
          <w:sz w:val="24"/>
          <w:szCs w:val="24"/>
        </w:rPr>
      </w:pPr>
      <w:r>
        <w:rPr>
          <w:rFonts w:cstheme="minorHAnsi"/>
          <w:sz w:val="24"/>
          <w:szCs w:val="24"/>
          <w:u w:val="single"/>
        </w:rPr>
        <w:lastRenderedPageBreak/>
        <w:t>House</w:t>
      </w:r>
      <w:r w:rsidRPr="008906DF">
        <w:rPr>
          <w:rFonts w:cstheme="minorHAnsi"/>
          <w:sz w:val="24"/>
          <w:szCs w:val="24"/>
        </w:rPr>
        <w:t>:</w:t>
      </w:r>
      <w:r>
        <w:rPr>
          <w:rFonts w:cstheme="minorHAnsi"/>
          <w:sz w:val="24"/>
          <w:szCs w:val="24"/>
        </w:rPr>
        <w:t xml:space="preserve"> Would provide as much uniformity as possible.  2 programs would be certified up to Commission without ALJ initial decision in order to expedite.  Customer referral program in 2 pieces: 1. New mover/new service concept; 2. CR program modeled after NY program.  1</w:t>
      </w:r>
      <w:r w:rsidRPr="008906DF">
        <w:rPr>
          <w:rFonts w:cstheme="minorHAnsi"/>
          <w:sz w:val="24"/>
          <w:szCs w:val="24"/>
          <w:vertAlign w:val="superscript"/>
        </w:rPr>
        <w:t>st</w:t>
      </w:r>
      <w:r>
        <w:rPr>
          <w:rFonts w:cstheme="minorHAnsi"/>
          <w:sz w:val="24"/>
          <w:szCs w:val="24"/>
        </w:rPr>
        <w:t xml:space="preserve"> might go in intermediate work plan tentative order.  2</w:t>
      </w:r>
      <w:r w:rsidRPr="008906DF">
        <w:rPr>
          <w:rFonts w:cstheme="minorHAnsi"/>
          <w:sz w:val="24"/>
          <w:szCs w:val="24"/>
          <w:vertAlign w:val="superscript"/>
        </w:rPr>
        <w:t>nd</w:t>
      </w:r>
      <w:r>
        <w:rPr>
          <w:rFonts w:cstheme="minorHAnsi"/>
          <w:sz w:val="24"/>
          <w:szCs w:val="24"/>
        </w:rPr>
        <w:t xml:space="preserve"> would be in litigated proceeding.  </w:t>
      </w:r>
    </w:p>
    <w:p w:rsidR="008906DF" w:rsidRDefault="008906DF" w:rsidP="008906DF">
      <w:pPr>
        <w:pStyle w:val="ListParagraph"/>
        <w:numPr>
          <w:ilvl w:val="0"/>
          <w:numId w:val="31"/>
        </w:numPr>
        <w:ind w:left="360"/>
        <w:rPr>
          <w:rFonts w:cstheme="minorHAnsi"/>
          <w:sz w:val="24"/>
          <w:szCs w:val="24"/>
        </w:rPr>
      </w:pPr>
      <w:r>
        <w:rPr>
          <w:rFonts w:cstheme="minorHAnsi"/>
          <w:sz w:val="24"/>
          <w:szCs w:val="24"/>
          <w:u w:val="single"/>
        </w:rPr>
        <w:t>OCA</w:t>
      </w:r>
      <w:r w:rsidRPr="008906DF">
        <w:rPr>
          <w:rFonts w:cstheme="minorHAnsi"/>
          <w:sz w:val="24"/>
          <w:szCs w:val="24"/>
        </w:rPr>
        <w:t>:</w:t>
      </w:r>
      <w:r>
        <w:rPr>
          <w:rFonts w:cstheme="minorHAnsi"/>
          <w:sz w:val="24"/>
          <w:szCs w:val="24"/>
        </w:rPr>
        <w:t xml:space="preserve"> By statute, DS cases must be done in 9 months.  Commission gets 2 months for consideration of record.  ALJ gets 6 weeks.  About 2-3 months to litigate.  Could run into timing issues.  Voluntary extensions a possibility?</w:t>
      </w:r>
    </w:p>
    <w:p w:rsidR="008906DF" w:rsidRPr="008906DF" w:rsidRDefault="008906DF" w:rsidP="008906DF">
      <w:pPr>
        <w:pStyle w:val="ListParagraph"/>
        <w:numPr>
          <w:ilvl w:val="0"/>
          <w:numId w:val="31"/>
        </w:numPr>
        <w:ind w:left="360"/>
        <w:rPr>
          <w:rFonts w:cstheme="minorHAnsi"/>
          <w:sz w:val="24"/>
          <w:szCs w:val="24"/>
        </w:rPr>
      </w:pPr>
      <w:r>
        <w:rPr>
          <w:rFonts w:cstheme="minorHAnsi"/>
          <w:sz w:val="24"/>
          <w:szCs w:val="24"/>
          <w:u w:val="single"/>
        </w:rPr>
        <w:t>EGSs</w:t>
      </w:r>
      <w:r w:rsidRPr="008906DF">
        <w:rPr>
          <w:rFonts w:cstheme="minorHAnsi"/>
          <w:sz w:val="24"/>
          <w:szCs w:val="24"/>
        </w:rPr>
        <w:t>:</w:t>
      </w:r>
      <w:r>
        <w:rPr>
          <w:rFonts w:cstheme="minorHAnsi"/>
          <w:sz w:val="24"/>
          <w:szCs w:val="24"/>
        </w:rPr>
        <w:t xml:space="preserve"> Retail opt-in auction subgroup to have call on 11/21/11.  Litigation direction is beneficial.  Allows parties to reduce litigation costs and expeditiously resolve issues with 2 programs.  Need more details.</w:t>
      </w:r>
    </w:p>
    <w:p w:rsidR="00BC7E8B" w:rsidRDefault="00BC7E8B" w:rsidP="003E0EDC">
      <w:pPr>
        <w:rPr>
          <w:rFonts w:cstheme="minorHAnsi"/>
          <w:sz w:val="24"/>
          <w:szCs w:val="24"/>
        </w:rPr>
      </w:pPr>
    </w:p>
    <w:p w:rsidR="008906DF" w:rsidRPr="008906DF" w:rsidRDefault="008906DF" w:rsidP="008906DF">
      <w:pPr>
        <w:jc w:val="center"/>
        <w:rPr>
          <w:rFonts w:cstheme="minorHAnsi"/>
          <w:b/>
          <w:sz w:val="24"/>
          <w:szCs w:val="24"/>
        </w:rPr>
      </w:pPr>
      <w:r w:rsidRPr="008906DF">
        <w:rPr>
          <w:rFonts w:cstheme="minorHAnsi"/>
          <w:b/>
          <w:sz w:val="24"/>
          <w:szCs w:val="24"/>
          <w:highlight w:val="yellow"/>
        </w:rPr>
        <w:t>Retail Opt-in Auction Subgroup to provide status update – due 11/30/11 for 12/2/11 RMI CC.</w:t>
      </w:r>
    </w:p>
    <w:p w:rsidR="00366434" w:rsidRDefault="00366434" w:rsidP="003E0EDC">
      <w:pPr>
        <w:rPr>
          <w:rFonts w:cstheme="minorHAnsi"/>
          <w:sz w:val="24"/>
          <w:szCs w:val="24"/>
        </w:rPr>
      </w:pPr>
    </w:p>
    <w:p w:rsidR="008906DF" w:rsidRDefault="008906DF" w:rsidP="003E0EDC">
      <w:pPr>
        <w:rPr>
          <w:rFonts w:cstheme="minorHAnsi"/>
          <w:sz w:val="24"/>
          <w:szCs w:val="24"/>
        </w:rPr>
      </w:pPr>
    </w:p>
    <w:p w:rsidR="00366434" w:rsidRPr="00366434" w:rsidRDefault="00366434" w:rsidP="003E0EDC">
      <w:pPr>
        <w:rPr>
          <w:rFonts w:cstheme="minorHAnsi"/>
          <w:sz w:val="24"/>
          <w:szCs w:val="24"/>
        </w:rPr>
      </w:pPr>
      <w:r>
        <w:rPr>
          <w:rFonts w:cstheme="minorHAnsi"/>
          <w:b/>
          <w:sz w:val="24"/>
          <w:szCs w:val="24"/>
        </w:rPr>
        <w:t>Other</w:t>
      </w:r>
      <w:r>
        <w:rPr>
          <w:rFonts w:cstheme="minorHAnsi"/>
          <w:sz w:val="24"/>
          <w:szCs w:val="24"/>
        </w:rPr>
        <w:t xml:space="preserve"> – Karen Moury</w:t>
      </w:r>
    </w:p>
    <w:p w:rsidR="00366434" w:rsidRPr="00DD598D" w:rsidRDefault="00366434" w:rsidP="003E0EDC">
      <w:pPr>
        <w:rPr>
          <w:rFonts w:cstheme="minorHAnsi"/>
          <w:sz w:val="24"/>
          <w:szCs w:val="24"/>
        </w:rPr>
      </w:pPr>
    </w:p>
    <w:p w:rsidR="00BC7E8B" w:rsidRPr="00DD598D" w:rsidRDefault="00BC7E8B" w:rsidP="003E0EDC">
      <w:pPr>
        <w:rPr>
          <w:rFonts w:cstheme="minorHAnsi"/>
          <w:sz w:val="24"/>
          <w:szCs w:val="24"/>
        </w:rPr>
      </w:pPr>
      <w:r w:rsidRPr="00DD598D">
        <w:rPr>
          <w:rFonts w:cstheme="minorHAnsi"/>
          <w:sz w:val="24"/>
          <w:szCs w:val="24"/>
          <w:u w:val="single"/>
        </w:rPr>
        <w:t>Moury</w:t>
      </w:r>
      <w:r w:rsidRPr="00DD598D">
        <w:rPr>
          <w:rFonts w:cstheme="minorHAnsi"/>
          <w:sz w:val="24"/>
          <w:szCs w:val="24"/>
        </w:rPr>
        <w:t xml:space="preserve">: </w:t>
      </w:r>
      <w:r w:rsidR="008906DF">
        <w:rPr>
          <w:rFonts w:cstheme="minorHAnsi"/>
          <w:sz w:val="24"/>
          <w:szCs w:val="24"/>
        </w:rPr>
        <w:t xml:space="preserve">DS plan final order expected at 12/15/11 Public Meeting.  </w:t>
      </w:r>
      <w:proofErr w:type="gramStart"/>
      <w:r w:rsidR="008906DF">
        <w:rPr>
          <w:rFonts w:cstheme="minorHAnsi"/>
          <w:sz w:val="24"/>
          <w:szCs w:val="24"/>
        </w:rPr>
        <w:t>Will coordinate with intermediate work plan – also at 12/15/11 PM.</w:t>
      </w:r>
      <w:proofErr w:type="gramEnd"/>
      <w:r w:rsidR="008906DF">
        <w:rPr>
          <w:rFonts w:cstheme="minorHAnsi"/>
          <w:sz w:val="24"/>
          <w:szCs w:val="24"/>
        </w:rPr>
        <w:t xml:space="preserve">  </w:t>
      </w:r>
      <w:r w:rsidR="00EB010C" w:rsidRPr="00DD598D">
        <w:rPr>
          <w:rFonts w:cstheme="minorHAnsi"/>
          <w:sz w:val="24"/>
          <w:szCs w:val="24"/>
        </w:rPr>
        <w:t xml:space="preserve">  </w:t>
      </w:r>
    </w:p>
    <w:p w:rsidR="00C171D2" w:rsidRPr="00DD598D" w:rsidRDefault="00C171D2" w:rsidP="00CB179D">
      <w:pPr>
        <w:rPr>
          <w:rFonts w:cstheme="minorHAnsi"/>
          <w:sz w:val="24"/>
          <w:szCs w:val="24"/>
        </w:rPr>
      </w:pPr>
    </w:p>
    <w:p w:rsidR="00366434" w:rsidRDefault="00366434" w:rsidP="00CB179D">
      <w:pPr>
        <w:rPr>
          <w:rFonts w:cstheme="minorHAnsi"/>
          <w:b/>
          <w:sz w:val="24"/>
          <w:szCs w:val="24"/>
        </w:rPr>
      </w:pPr>
    </w:p>
    <w:p w:rsidR="00C171D2" w:rsidRPr="00366434" w:rsidRDefault="00C171D2" w:rsidP="00CB179D">
      <w:pPr>
        <w:rPr>
          <w:rFonts w:cstheme="minorHAnsi"/>
          <w:sz w:val="24"/>
          <w:szCs w:val="24"/>
        </w:rPr>
      </w:pPr>
      <w:r w:rsidRPr="00DD598D">
        <w:rPr>
          <w:rFonts w:cstheme="minorHAnsi"/>
          <w:b/>
          <w:sz w:val="24"/>
          <w:szCs w:val="24"/>
        </w:rPr>
        <w:t>Next Meeting</w:t>
      </w:r>
      <w:r w:rsidR="00366434">
        <w:rPr>
          <w:rFonts w:cstheme="minorHAnsi"/>
          <w:sz w:val="24"/>
          <w:szCs w:val="24"/>
        </w:rPr>
        <w:t xml:space="preserve"> – Karen Moury</w:t>
      </w:r>
    </w:p>
    <w:p w:rsidR="00D900FE" w:rsidRPr="00DD598D" w:rsidRDefault="00D900FE" w:rsidP="00CB179D">
      <w:pPr>
        <w:rPr>
          <w:rFonts w:cstheme="minorHAnsi"/>
          <w:sz w:val="24"/>
          <w:szCs w:val="24"/>
        </w:rPr>
      </w:pPr>
    </w:p>
    <w:p w:rsidR="002C74D1" w:rsidRDefault="00EB010C" w:rsidP="002C74D1">
      <w:pPr>
        <w:rPr>
          <w:rFonts w:cstheme="minorHAnsi"/>
          <w:sz w:val="24"/>
          <w:szCs w:val="24"/>
        </w:rPr>
      </w:pPr>
      <w:r w:rsidRPr="00DD598D">
        <w:rPr>
          <w:rFonts w:cstheme="minorHAnsi"/>
          <w:sz w:val="24"/>
          <w:szCs w:val="24"/>
          <w:u w:val="single"/>
        </w:rPr>
        <w:t>Moury</w:t>
      </w:r>
      <w:r w:rsidRPr="00DD598D">
        <w:rPr>
          <w:rFonts w:cstheme="minorHAnsi"/>
          <w:sz w:val="24"/>
          <w:szCs w:val="24"/>
        </w:rPr>
        <w:t xml:space="preserve">: 11/30/11 RMI CC canceled.  </w:t>
      </w:r>
      <w:proofErr w:type="gramStart"/>
      <w:r w:rsidRPr="00DD598D">
        <w:rPr>
          <w:rFonts w:cstheme="minorHAnsi"/>
          <w:sz w:val="24"/>
          <w:szCs w:val="24"/>
        </w:rPr>
        <w:t>Brief call on Fri. 12/2/11 at 10 AM.</w:t>
      </w:r>
      <w:proofErr w:type="gramEnd"/>
      <w:r w:rsidRPr="00DD598D">
        <w:rPr>
          <w:rFonts w:cstheme="minorHAnsi"/>
          <w:sz w:val="24"/>
          <w:szCs w:val="24"/>
        </w:rPr>
        <w:t xml:space="preserve">  Main topic is retail opt-in auctions.  </w:t>
      </w:r>
      <w:proofErr w:type="gramStart"/>
      <w:r w:rsidRPr="00DD598D">
        <w:rPr>
          <w:rFonts w:cstheme="minorHAnsi"/>
          <w:sz w:val="24"/>
          <w:szCs w:val="24"/>
        </w:rPr>
        <w:t>May touch on consumer education.</w:t>
      </w:r>
      <w:proofErr w:type="gramEnd"/>
      <w:r w:rsidRPr="00DD598D">
        <w:rPr>
          <w:rFonts w:cstheme="minorHAnsi"/>
          <w:sz w:val="24"/>
          <w:szCs w:val="24"/>
        </w:rPr>
        <w:t xml:space="preserve">  </w:t>
      </w:r>
    </w:p>
    <w:p w:rsidR="00366434" w:rsidRDefault="00366434" w:rsidP="002C74D1">
      <w:pPr>
        <w:rPr>
          <w:rFonts w:cstheme="minorHAnsi"/>
          <w:sz w:val="24"/>
          <w:szCs w:val="24"/>
        </w:rPr>
      </w:pPr>
    </w:p>
    <w:p w:rsidR="00366434" w:rsidRDefault="00366434" w:rsidP="002C74D1">
      <w:pPr>
        <w:rPr>
          <w:rFonts w:cstheme="minorHAnsi"/>
          <w:sz w:val="24"/>
          <w:szCs w:val="24"/>
        </w:rPr>
      </w:pPr>
    </w:p>
    <w:p w:rsidR="00366434" w:rsidRDefault="00366434" w:rsidP="002C74D1">
      <w:pPr>
        <w:rPr>
          <w:rFonts w:cstheme="minorHAnsi"/>
          <w:b/>
          <w:sz w:val="24"/>
          <w:szCs w:val="24"/>
        </w:rPr>
      </w:pPr>
      <w:r>
        <w:rPr>
          <w:rFonts w:cstheme="minorHAnsi"/>
          <w:b/>
          <w:sz w:val="24"/>
          <w:szCs w:val="24"/>
        </w:rPr>
        <w:t>Deliverables:</w:t>
      </w:r>
    </w:p>
    <w:p w:rsidR="00366434" w:rsidRDefault="00366434" w:rsidP="00366434">
      <w:pPr>
        <w:pStyle w:val="ListParagraph"/>
        <w:numPr>
          <w:ilvl w:val="0"/>
          <w:numId w:val="33"/>
        </w:numPr>
        <w:rPr>
          <w:rFonts w:cstheme="minorHAnsi"/>
          <w:sz w:val="24"/>
          <w:szCs w:val="24"/>
        </w:rPr>
      </w:pPr>
      <w:r>
        <w:rPr>
          <w:rFonts w:cstheme="minorHAnsi"/>
          <w:sz w:val="24"/>
          <w:szCs w:val="24"/>
        </w:rPr>
        <w:t>FirstEnergy - E</w:t>
      </w:r>
      <w:r w:rsidRPr="00366434">
        <w:rPr>
          <w:rFonts w:cstheme="minorHAnsi"/>
          <w:sz w:val="24"/>
          <w:szCs w:val="24"/>
        </w:rPr>
        <w:t>xample risk</w:t>
      </w:r>
      <w:r w:rsidR="008906DF">
        <w:rPr>
          <w:rFonts w:cstheme="minorHAnsi"/>
          <w:sz w:val="24"/>
          <w:szCs w:val="24"/>
        </w:rPr>
        <w:t xml:space="preserve"> calculation due 11/30/11 for 12/2/11 RMI CC.</w:t>
      </w:r>
    </w:p>
    <w:p w:rsidR="008906DF" w:rsidRPr="00366434" w:rsidRDefault="008906DF" w:rsidP="00366434">
      <w:pPr>
        <w:pStyle w:val="ListParagraph"/>
        <w:numPr>
          <w:ilvl w:val="0"/>
          <w:numId w:val="33"/>
        </w:numPr>
        <w:rPr>
          <w:rFonts w:cstheme="minorHAnsi"/>
          <w:sz w:val="24"/>
          <w:szCs w:val="24"/>
        </w:rPr>
      </w:pPr>
      <w:r>
        <w:rPr>
          <w:rFonts w:cstheme="minorHAnsi"/>
          <w:sz w:val="24"/>
          <w:szCs w:val="24"/>
        </w:rPr>
        <w:t>Retail Opt-in Auction Subgroup – Status update due 11/30/11 for 12/2/11 RMI CC.</w:t>
      </w:r>
    </w:p>
    <w:sectPr w:rsidR="008906DF" w:rsidRPr="00366434" w:rsidSect="00D30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A42"/>
    <w:multiLevelType w:val="hybridMultilevel"/>
    <w:tmpl w:val="7DD01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7A4F"/>
    <w:multiLevelType w:val="hybridMultilevel"/>
    <w:tmpl w:val="93D8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80C59"/>
    <w:multiLevelType w:val="hybridMultilevel"/>
    <w:tmpl w:val="C07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E1C10"/>
    <w:multiLevelType w:val="hybridMultilevel"/>
    <w:tmpl w:val="98BE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E380F"/>
    <w:multiLevelType w:val="hybridMultilevel"/>
    <w:tmpl w:val="4166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F432F"/>
    <w:multiLevelType w:val="hybridMultilevel"/>
    <w:tmpl w:val="2AAA17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8C548E"/>
    <w:multiLevelType w:val="hybridMultilevel"/>
    <w:tmpl w:val="230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2742E"/>
    <w:multiLevelType w:val="hybridMultilevel"/>
    <w:tmpl w:val="C25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F5E96"/>
    <w:multiLevelType w:val="hybridMultilevel"/>
    <w:tmpl w:val="DDC8D6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FB71E8"/>
    <w:multiLevelType w:val="hybridMultilevel"/>
    <w:tmpl w:val="5A92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C01B3"/>
    <w:multiLevelType w:val="hybridMultilevel"/>
    <w:tmpl w:val="15E07C5C"/>
    <w:lvl w:ilvl="0" w:tplc="5E789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A41A79"/>
    <w:multiLevelType w:val="hybridMultilevel"/>
    <w:tmpl w:val="6F96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3103A"/>
    <w:multiLevelType w:val="hybridMultilevel"/>
    <w:tmpl w:val="5810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1336F"/>
    <w:multiLevelType w:val="hybridMultilevel"/>
    <w:tmpl w:val="F280AB90"/>
    <w:lvl w:ilvl="0" w:tplc="28A00A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56BB6"/>
    <w:multiLevelType w:val="hybridMultilevel"/>
    <w:tmpl w:val="D318FD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0922F8"/>
    <w:multiLevelType w:val="hybridMultilevel"/>
    <w:tmpl w:val="84B0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050DB"/>
    <w:multiLevelType w:val="hybridMultilevel"/>
    <w:tmpl w:val="D498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159EA"/>
    <w:multiLevelType w:val="hybridMultilevel"/>
    <w:tmpl w:val="701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31E5A"/>
    <w:multiLevelType w:val="hybridMultilevel"/>
    <w:tmpl w:val="464C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31A07"/>
    <w:multiLevelType w:val="hybridMultilevel"/>
    <w:tmpl w:val="456E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60CBD"/>
    <w:multiLevelType w:val="hybridMultilevel"/>
    <w:tmpl w:val="C630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56A19"/>
    <w:multiLevelType w:val="hybridMultilevel"/>
    <w:tmpl w:val="062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6A381E"/>
    <w:multiLevelType w:val="hybridMultilevel"/>
    <w:tmpl w:val="1272EB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DB066C"/>
    <w:multiLevelType w:val="hybridMultilevel"/>
    <w:tmpl w:val="1C983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86D27"/>
    <w:multiLevelType w:val="hybridMultilevel"/>
    <w:tmpl w:val="D666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37A87"/>
    <w:multiLevelType w:val="hybridMultilevel"/>
    <w:tmpl w:val="4204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A6393"/>
    <w:multiLevelType w:val="hybridMultilevel"/>
    <w:tmpl w:val="89680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41BEA"/>
    <w:multiLevelType w:val="hybridMultilevel"/>
    <w:tmpl w:val="3570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9357E"/>
    <w:multiLevelType w:val="hybridMultilevel"/>
    <w:tmpl w:val="6622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A660AD"/>
    <w:multiLevelType w:val="hybridMultilevel"/>
    <w:tmpl w:val="47F0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C1B84"/>
    <w:multiLevelType w:val="hybridMultilevel"/>
    <w:tmpl w:val="EE82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C482E"/>
    <w:multiLevelType w:val="hybridMultilevel"/>
    <w:tmpl w:val="C1F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480684"/>
    <w:multiLevelType w:val="hybridMultilevel"/>
    <w:tmpl w:val="304E7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555344"/>
    <w:multiLevelType w:val="hybridMultilevel"/>
    <w:tmpl w:val="FAB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C0931"/>
    <w:multiLevelType w:val="hybridMultilevel"/>
    <w:tmpl w:val="D5EC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4"/>
  </w:num>
  <w:num w:numId="4">
    <w:abstractNumId w:val="5"/>
  </w:num>
  <w:num w:numId="5">
    <w:abstractNumId w:val="14"/>
  </w:num>
  <w:num w:numId="6">
    <w:abstractNumId w:val="22"/>
  </w:num>
  <w:num w:numId="7">
    <w:abstractNumId w:val="8"/>
  </w:num>
  <w:num w:numId="8">
    <w:abstractNumId w:val="15"/>
  </w:num>
  <w:num w:numId="9">
    <w:abstractNumId w:val="26"/>
  </w:num>
  <w:num w:numId="10">
    <w:abstractNumId w:val="7"/>
  </w:num>
  <w:num w:numId="11">
    <w:abstractNumId w:val="0"/>
  </w:num>
  <w:num w:numId="12">
    <w:abstractNumId w:val="25"/>
  </w:num>
  <w:num w:numId="13">
    <w:abstractNumId w:val="21"/>
  </w:num>
  <w:num w:numId="14">
    <w:abstractNumId w:val="29"/>
  </w:num>
  <w:num w:numId="15">
    <w:abstractNumId w:val="16"/>
  </w:num>
  <w:num w:numId="16">
    <w:abstractNumId w:val="9"/>
  </w:num>
  <w:num w:numId="17">
    <w:abstractNumId w:val="31"/>
  </w:num>
  <w:num w:numId="18">
    <w:abstractNumId w:val="17"/>
  </w:num>
  <w:num w:numId="19">
    <w:abstractNumId w:val="1"/>
  </w:num>
  <w:num w:numId="20">
    <w:abstractNumId w:val="23"/>
  </w:num>
  <w:num w:numId="21">
    <w:abstractNumId w:val="28"/>
  </w:num>
  <w:num w:numId="22">
    <w:abstractNumId w:val="12"/>
  </w:num>
  <w:num w:numId="23">
    <w:abstractNumId w:val="27"/>
  </w:num>
  <w:num w:numId="24">
    <w:abstractNumId w:val="6"/>
  </w:num>
  <w:num w:numId="25">
    <w:abstractNumId w:val="20"/>
  </w:num>
  <w:num w:numId="26">
    <w:abstractNumId w:val="13"/>
  </w:num>
  <w:num w:numId="27">
    <w:abstractNumId w:val="2"/>
  </w:num>
  <w:num w:numId="28">
    <w:abstractNumId w:val="30"/>
  </w:num>
  <w:num w:numId="29">
    <w:abstractNumId w:val="32"/>
  </w:num>
  <w:num w:numId="30">
    <w:abstractNumId w:val="3"/>
  </w:num>
  <w:num w:numId="31">
    <w:abstractNumId w:val="19"/>
  </w:num>
  <w:num w:numId="32">
    <w:abstractNumId w:val="10"/>
  </w:num>
  <w:num w:numId="33">
    <w:abstractNumId w:val="34"/>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A2"/>
    <w:rsid w:val="00032D53"/>
    <w:rsid w:val="0006362E"/>
    <w:rsid w:val="000C1D27"/>
    <w:rsid w:val="001004F7"/>
    <w:rsid w:val="001A3678"/>
    <w:rsid w:val="001C6C88"/>
    <w:rsid w:val="001D1D81"/>
    <w:rsid w:val="001E6B3F"/>
    <w:rsid w:val="002007D0"/>
    <w:rsid w:val="00212373"/>
    <w:rsid w:val="00226AA2"/>
    <w:rsid w:val="0024188F"/>
    <w:rsid w:val="00243B35"/>
    <w:rsid w:val="002523BD"/>
    <w:rsid w:val="00256DEF"/>
    <w:rsid w:val="00290E21"/>
    <w:rsid w:val="002A0C39"/>
    <w:rsid w:val="002A5AC5"/>
    <w:rsid w:val="002B35E3"/>
    <w:rsid w:val="002C74D1"/>
    <w:rsid w:val="002F43A3"/>
    <w:rsid w:val="00315BEC"/>
    <w:rsid w:val="00331FDB"/>
    <w:rsid w:val="00341988"/>
    <w:rsid w:val="003450F0"/>
    <w:rsid w:val="00350652"/>
    <w:rsid w:val="00363FCC"/>
    <w:rsid w:val="00366434"/>
    <w:rsid w:val="00384693"/>
    <w:rsid w:val="00386BE7"/>
    <w:rsid w:val="0039070E"/>
    <w:rsid w:val="00395F9B"/>
    <w:rsid w:val="003B7987"/>
    <w:rsid w:val="003E0EDC"/>
    <w:rsid w:val="003E14E2"/>
    <w:rsid w:val="003E44F7"/>
    <w:rsid w:val="00445C1F"/>
    <w:rsid w:val="00467915"/>
    <w:rsid w:val="00472865"/>
    <w:rsid w:val="004926EA"/>
    <w:rsid w:val="004B03A8"/>
    <w:rsid w:val="00511A42"/>
    <w:rsid w:val="005208B9"/>
    <w:rsid w:val="005217C1"/>
    <w:rsid w:val="005401EF"/>
    <w:rsid w:val="005427B2"/>
    <w:rsid w:val="00580613"/>
    <w:rsid w:val="005B7284"/>
    <w:rsid w:val="005D3B43"/>
    <w:rsid w:val="005F73AD"/>
    <w:rsid w:val="00620C61"/>
    <w:rsid w:val="006405FD"/>
    <w:rsid w:val="006406F0"/>
    <w:rsid w:val="00646FD4"/>
    <w:rsid w:val="0065058A"/>
    <w:rsid w:val="00651EC5"/>
    <w:rsid w:val="00652504"/>
    <w:rsid w:val="00653ADF"/>
    <w:rsid w:val="006A0897"/>
    <w:rsid w:val="006A3F12"/>
    <w:rsid w:val="00703D1F"/>
    <w:rsid w:val="00705BCC"/>
    <w:rsid w:val="00706B1A"/>
    <w:rsid w:val="00777647"/>
    <w:rsid w:val="007A263F"/>
    <w:rsid w:val="0082544B"/>
    <w:rsid w:val="00834F99"/>
    <w:rsid w:val="00847579"/>
    <w:rsid w:val="00857997"/>
    <w:rsid w:val="008646CE"/>
    <w:rsid w:val="00876E32"/>
    <w:rsid w:val="00876F58"/>
    <w:rsid w:val="00882A0F"/>
    <w:rsid w:val="00883819"/>
    <w:rsid w:val="008906DF"/>
    <w:rsid w:val="008916E8"/>
    <w:rsid w:val="008A14BE"/>
    <w:rsid w:val="008D03B4"/>
    <w:rsid w:val="008E7F8D"/>
    <w:rsid w:val="008F062E"/>
    <w:rsid w:val="00902E36"/>
    <w:rsid w:val="00911EB9"/>
    <w:rsid w:val="00936F8E"/>
    <w:rsid w:val="009913F5"/>
    <w:rsid w:val="009F47B0"/>
    <w:rsid w:val="00A00E46"/>
    <w:rsid w:val="00A15079"/>
    <w:rsid w:val="00A355BB"/>
    <w:rsid w:val="00A44526"/>
    <w:rsid w:val="00A6579B"/>
    <w:rsid w:val="00A70283"/>
    <w:rsid w:val="00A82988"/>
    <w:rsid w:val="00AA5073"/>
    <w:rsid w:val="00AB59BD"/>
    <w:rsid w:val="00AC2DAD"/>
    <w:rsid w:val="00AC68A5"/>
    <w:rsid w:val="00B31005"/>
    <w:rsid w:val="00B539F3"/>
    <w:rsid w:val="00B67911"/>
    <w:rsid w:val="00B718D6"/>
    <w:rsid w:val="00B82220"/>
    <w:rsid w:val="00B83E7D"/>
    <w:rsid w:val="00B91042"/>
    <w:rsid w:val="00BC7E8B"/>
    <w:rsid w:val="00C060B4"/>
    <w:rsid w:val="00C171D2"/>
    <w:rsid w:val="00C37A4E"/>
    <w:rsid w:val="00C40299"/>
    <w:rsid w:val="00C42D66"/>
    <w:rsid w:val="00C5164C"/>
    <w:rsid w:val="00C525E4"/>
    <w:rsid w:val="00C54DD7"/>
    <w:rsid w:val="00CB179D"/>
    <w:rsid w:val="00D24D3B"/>
    <w:rsid w:val="00D24F9B"/>
    <w:rsid w:val="00D30280"/>
    <w:rsid w:val="00D310D3"/>
    <w:rsid w:val="00D74444"/>
    <w:rsid w:val="00D900FE"/>
    <w:rsid w:val="00DB45AB"/>
    <w:rsid w:val="00DD25B7"/>
    <w:rsid w:val="00DD598D"/>
    <w:rsid w:val="00DE70EE"/>
    <w:rsid w:val="00E00FFC"/>
    <w:rsid w:val="00E71E9D"/>
    <w:rsid w:val="00E83B48"/>
    <w:rsid w:val="00E91469"/>
    <w:rsid w:val="00EA62B0"/>
    <w:rsid w:val="00EB010C"/>
    <w:rsid w:val="00ED0FF0"/>
    <w:rsid w:val="00F058B0"/>
    <w:rsid w:val="00F206AF"/>
    <w:rsid w:val="00F4765E"/>
    <w:rsid w:val="00F567A2"/>
    <w:rsid w:val="00F61FB9"/>
    <w:rsid w:val="00FA1C9F"/>
    <w:rsid w:val="00FC3597"/>
    <w:rsid w:val="00FD146B"/>
    <w:rsid w:val="00FD266E"/>
    <w:rsid w:val="00FD4FC0"/>
    <w:rsid w:val="00FF5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electric/Retail_Markets_Investigation_Discussion_Documents.aspx" TargetMode="External"/><Relationship Id="rId13" Type="http://schemas.openxmlformats.org/officeDocument/2006/relationships/hyperlink" Target="http://www.puc.state.pa.us/electric/PDF/RetailMI/DD-FE_Credit_Standards_111011.pdf" TargetMode="External"/><Relationship Id="rId3" Type="http://schemas.openxmlformats.org/officeDocument/2006/relationships/styles" Target="styles.xml"/><Relationship Id="rId7" Type="http://schemas.openxmlformats.org/officeDocument/2006/relationships/hyperlink" Target="mailto:ra-rmi@pa.gov" TargetMode="External"/><Relationship Id="rId12" Type="http://schemas.openxmlformats.org/officeDocument/2006/relationships/hyperlink" Target="http://www.puc.state.pa.us/electric/docs/RMI/DD-Staff_Revised_FAQ_11101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state.pa.us/electric/pdf/RetailMI/EDC_tri-fold_comparison.jpg" TargetMode="External"/><Relationship Id="rId5" Type="http://schemas.openxmlformats.org/officeDocument/2006/relationships/settings" Target="settings.xml"/><Relationship Id="rId15" Type="http://schemas.openxmlformats.org/officeDocument/2006/relationships/hyperlink" Target="http://www.puc.state.pa.us/electric/docs/RMI/DD-RESA_Response_Credit_Standards_Inquiry.docx" TargetMode="External"/><Relationship Id="rId10" Type="http://schemas.openxmlformats.org/officeDocument/2006/relationships/hyperlink" Target="http://www.puc.state.pa.us/electric/pdf/RetailMI/EDC_tri-fold_2.pdf" TargetMode="External"/><Relationship Id="rId4" Type="http://schemas.microsoft.com/office/2007/relationships/stylesWithEffects" Target="stylesWithEffects.xml"/><Relationship Id="rId9" Type="http://schemas.openxmlformats.org/officeDocument/2006/relationships/hyperlink" Target="mailto:ra-rmi@pa.gov" TargetMode="External"/><Relationship Id="rId14" Type="http://schemas.openxmlformats.org/officeDocument/2006/relationships/hyperlink" Target="http://www.puc.state.pa.us/general/onlineforms/pdf/EGS_Licen_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7E3C-9096-4921-9FD2-07ED2D6E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2011-09-26T17:06:00Z</cp:lastPrinted>
  <dcterms:created xsi:type="dcterms:W3CDTF">2011-11-23T22:03:00Z</dcterms:created>
  <dcterms:modified xsi:type="dcterms:W3CDTF">2011-11-23T22:03:00Z</dcterms:modified>
</cp:coreProperties>
</file>