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FC" w:rsidRDefault="00AF4BFC" w:rsidP="00E67256">
      <w:pPr>
        <w:spacing w:after="0" w:line="240" w:lineRule="auto"/>
        <w:rPr>
          <w:rFonts w:ascii="Times New Roman" w:hAnsi="Times New Roman" w:cs="Times New Roman"/>
          <w:b/>
          <w:sz w:val="24"/>
          <w:szCs w:val="24"/>
        </w:rPr>
      </w:pPr>
      <w:bookmarkStart w:id="0" w:name="_GoBack"/>
      <w:bookmarkEnd w:id="0"/>
      <w:r w:rsidRPr="001B648D">
        <w:rPr>
          <w:rFonts w:ascii="Times New Roman" w:hAnsi="Times New Roman" w:cs="Times New Roman"/>
          <w:b/>
          <w:sz w:val="24"/>
          <w:szCs w:val="24"/>
        </w:rPr>
        <w:t xml:space="preserve">Circle No or Yes.  If yes, identify the </w:t>
      </w:r>
      <w:r w:rsidR="00B342C8">
        <w:rPr>
          <w:rFonts w:ascii="Times New Roman" w:hAnsi="Times New Roman" w:cs="Times New Roman"/>
          <w:b/>
          <w:sz w:val="24"/>
          <w:szCs w:val="24"/>
        </w:rPr>
        <w:t xml:space="preserve">document, section, and </w:t>
      </w:r>
      <w:r w:rsidRPr="001B648D">
        <w:rPr>
          <w:rFonts w:ascii="Times New Roman" w:hAnsi="Times New Roman" w:cs="Times New Roman"/>
          <w:b/>
          <w:sz w:val="24"/>
          <w:szCs w:val="24"/>
        </w:rPr>
        <w:t>page number containing the item</w:t>
      </w:r>
      <w:r w:rsidR="00B342C8">
        <w:rPr>
          <w:rFonts w:ascii="Times New Roman" w:hAnsi="Times New Roman" w:cs="Times New Roman"/>
          <w:b/>
          <w:sz w:val="24"/>
          <w:szCs w:val="24"/>
        </w:rPr>
        <w:t xml:space="preserve"> as found within the filing</w:t>
      </w:r>
      <w:r w:rsidRPr="001B648D">
        <w:rPr>
          <w:rFonts w:ascii="Times New Roman" w:hAnsi="Times New Roman" w:cs="Times New Roman"/>
          <w:b/>
          <w:sz w:val="24"/>
          <w:szCs w:val="24"/>
        </w:rPr>
        <w:t>.</w:t>
      </w:r>
    </w:p>
    <w:p w:rsidR="0082070E" w:rsidRDefault="0082070E" w:rsidP="001B648D">
      <w:pPr>
        <w:spacing w:after="0" w:line="240" w:lineRule="auto"/>
        <w:jc w:val="center"/>
        <w:rPr>
          <w:rFonts w:ascii="Times New Roman" w:hAnsi="Times New Roman" w:cs="Times New Roman"/>
          <w:sz w:val="24"/>
          <w:szCs w:val="24"/>
          <w:u w:val="single"/>
        </w:rPr>
      </w:pPr>
    </w:p>
    <w:tbl>
      <w:tblPr>
        <w:tblStyle w:val="TableGrid"/>
        <w:tblW w:w="10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685"/>
        <w:gridCol w:w="180"/>
        <w:gridCol w:w="360"/>
        <w:gridCol w:w="180"/>
        <w:gridCol w:w="450"/>
        <w:gridCol w:w="180"/>
        <w:gridCol w:w="1980"/>
      </w:tblGrid>
      <w:tr w:rsidR="0082070E" w:rsidTr="003172B7">
        <w:trPr>
          <w:cantSplit/>
          <w:trHeight w:val="354"/>
        </w:trPr>
        <w:tc>
          <w:tcPr>
            <w:tcW w:w="6865" w:type="dxa"/>
            <w:gridSpan w:val="2"/>
            <w:vAlign w:val="center"/>
          </w:tcPr>
          <w:p w:rsidR="00E51999" w:rsidRDefault="00B1620C" w:rsidP="00B1620C">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Transmittal letter with caption and s</w:t>
            </w:r>
            <w:r w:rsidR="00E51999">
              <w:rPr>
                <w:rFonts w:ascii="Times New Roman" w:hAnsi="Times New Roman" w:cs="Times New Roman"/>
                <w:sz w:val="24"/>
                <w:szCs w:val="24"/>
              </w:rPr>
              <w:t xml:space="preserve">tatement that </w:t>
            </w:r>
            <w:r w:rsidR="005D249B">
              <w:rPr>
                <w:rFonts w:ascii="Times New Roman" w:hAnsi="Times New Roman" w:cs="Times New Roman"/>
                <w:sz w:val="24"/>
                <w:szCs w:val="24"/>
              </w:rPr>
              <w:t xml:space="preserve">the </w:t>
            </w:r>
            <w:r w:rsidR="00E51999">
              <w:rPr>
                <w:rFonts w:ascii="Times New Roman" w:hAnsi="Times New Roman" w:cs="Times New Roman"/>
                <w:sz w:val="24"/>
                <w:szCs w:val="24"/>
              </w:rPr>
              <w:t xml:space="preserve">filing is pursuant to </w:t>
            </w:r>
            <w:r w:rsidR="00E51999" w:rsidRPr="00814F84">
              <w:rPr>
                <w:rFonts w:ascii="Times New Roman" w:hAnsi="Times New Roman" w:cs="Times New Roman"/>
                <w:sz w:val="24"/>
                <w:szCs w:val="24"/>
              </w:rPr>
              <w:t>66 Pa. C.S. § 1329</w:t>
            </w:r>
            <w:r w:rsidR="00E51999">
              <w:rPr>
                <w:rFonts w:ascii="Times New Roman" w:hAnsi="Times New Roman" w:cs="Times New Roman"/>
                <w:sz w:val="24"/>
                <w:szCs w:val="24"/>
              </w:rPr>
              <w:t>.</w:t>
            </w:r>
            <w:r w:rsidR="00E51999" w:rsidRPr="006A670F">
              <w:rPr>
                <w:rFonts w:ascii="Times New Roman" w:hAnsi="Times New Roman" w:cs="Times New Roman"/>
                <w:sz w:val="24"/>
                <w:szCs w:val="24"/>
              </w:rPr>
              <w:t xml:space="preserve"> </w:t>
            </w:r>
          </w:p>
        </w:tc>
        <w:tc>
          <w:tcPr>
            <w:tcW w:w="540" w:type="dxa"/>
            <w:gridSpan w:val="2"/>
            <w:vAlign w:val="center"/>
          </w:tcPr>
          <w:p w:rsidR="00E51999" w:rsidRDefault="00E51999"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E51999" w:rsidRDefault="00E51999"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E51999" w:rsidRDefault="00E51999">
            <w:pPr>
              <w:jc w:val="center"/>
              <w:rPr>
                <w:rFonts w:ascii="Times New Roman" w:hAnsi="Times New Roman" w:cs="Times New Roman"/>
                <w:sz w:val="24"/>
                <w:szCs w:val="24"/>
              </w:rPr>
            </w:pPr>
          </w:p>
        </w:tc>
      </w:tr>
      <w:tr w:rsidR="00E51999" w:rsidTr="003172B7">
        <w:trPr>
          <w:cantSplit/>
          <w:trHeight w:val="676"/>
        </w:trPr>
        <w:tc>
          <w:tcPr>
            <w:tcW w:w="6865" w:type="dxa"/>
            <w:gridSpan w:val="2"/>
            <w:vAlign w:val="center"/>
          </w:tcPr>
          <w:p w:rsidR="00E51999" w:rsidRDefault="004C602B">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V</w:t>
            </w:r>
            <w:r w:rsidR="00E51999" w:rsidRPr="00301741">
              <w:rPr>
                <w:rFonts w:ascii="Times New Roman" w:hAnsi="Times New Roman" w:cs="Times New Roman"/>
                <w:sz w:val="24"/>
                <w:szCs w:val="24"/>
              </w:rPr>
              <w:t xml:space="preserve">erification form </w:t>
            </w:r>
            <w:r w:rsidR="00E51999">
              <w:rPr>
                <w:rFonts w:ascii="Times New Roman" w:hAnsi="Times New Roman" w:cs="Times New Roman"/>
                <w:sz w:val="24"/>
                <w:szCs w:val="24"/>
              </w:rPr>
              <w:t xml:space="preserve">that is </w:t>
            </w:r>
            <w:r w:rsidR="00E51999" w:rsidRPr="00301741">
              <w:rPr>
                <w:rFonts w:ascii="Times New Roman" w:hAnsi="Times New Roman" w:cs="Times New Roman"/>
                <w:sz w:val="24"/>
                <w:szCs w:val="24"/>
              </w:rPr>
              <w:t>sign</w:t>
            </w:r>
            <w:r w:rsidR="00E51999">
              <w:rPr>
                <w:rFonts w:ascii="Times New Roman" w:hAnsi="Times New Roman" w:cs="Times New Roman"/>
                <w:sz w:val="24"/>
                <w:szCs w:val="24"/>
              </w:rPr>
              <w:t>ed</w:t>
            </w:r>
            <w:r w:rsidR="00B1620C">
              <w:rPr>
                <w:rFonts w:ascii="Times New Roman" w:hAnsi="Times New Roman" w:cs="Times New Roman"/>
                <w:sz w:val="24"/>
                <w:szCs w:val="24"/>
              </w:rPr>
              <w:t xml:space="preserve"> by an officer of the company</w:t>
            </w:r>
            <w:r w:rsidR="00E51999" w:rsidRPr="00301741">
              <w:rPr>
                <w:rFonts w:ascii="Times New Roman" w:hAnsi="Times New Roman" w:cs="Times New Roman"/>
                <w:sz w:val="24"/>
                <w:szCs w:val="24"/>
              </w:rPr>
              <w:t>, date</w:t>
            </w:r>
            <w:r w:rsidR="00E51999">
              <w:rPr>
                <w:rFonts w:ascii="Times New Roman" w:hAnsi="Times New Roman" w:cs="Times New Roman"/>
                <w:sz w:val="24"/>
                <w:szCs w:val="24"/>
              </w:rPr>
              <w:t>d</w:t>
            </w:r>
            <w:r w:rsidR="00E51999" w:rsidRPr="00301741">
              <w:rPr>
                <w:rFonts w:ascii="Times New Roman" w:hAnsi="Times New Roman" w:cs="Times New Roman"/>
                <w:sz w:val="24"/>
                <w:szCs w:val="24"/>
              </w:rPr>
              <w:t>, and accurately references the case.</w:t>
            </w:r>
          </w:p>
        </w:tc>
        <w:tc>
          <w:tcPr>
            <w:tcW w:w="540" w:type="dxa"/>
            <w:gridSpan w:val="2"/>
            <w:vAlign w:val="center"/>
          </w:tcPr>
          <w:p w:rsidR="00E51999" w:rsidRDefault="00E51999"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E51999" w:rsidRDefault="00E51999"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E51999" w:rsidRDefault="00E51999" w:rsidP="001B648D">
            <w:pPr>
              <w:jc w:val="center"/>
              <w:rPr>
                <w:rFonts w:ascii="Times New Roman" w:hAnsi="Times New Roman" w:cs="Times New Roman"/>
                <w:sz w:val="24"/>
                <w:szCs w:val="24"/>
              </w:rPr>
            </w:pPr>
          </w:p>
        </w:tc>
      </w:tr>
      <w:tr w:rsidR="001C2587" w:rsidTr="003172B7">
        <w:trPr>
          <w:cantSplit/>
          <w:trHeight w:val="838"/>
        </w:trPr>
        <w:tc>
          <w:tcPr>
            <w:tcW w:w="6865" w:type="dxa"/>
            <w:gridSpan w:val="2"/>
            <w:vAlign w:val="center"/>
          </w:tcPr>
          <w:p w:rsidR="005D249B" w:rsidRPr="00D334AF" w:rsidRDefault="001C2587" w:rsidP="00612675">
            <w:pPr>
              <w:pStyle w:val="ListParagraph"/>
              <w:numPr>
                <w:ilvl w:val="0"/>
                <w:numId w:val="2"/>
              </w:numPr>
              <w:ind w:left="360"/>
              <w:contextualSpacing w:val="0"/>
              <w:rPr>
                <w:rFonts w:ascii="Times New Roman" w:hAnsi="Times New Roman" w:cs="Times New Roman"/>
                <w:sz w:val="24"/>
                <w:szCs w:val="24"/>
              </w:rPr>
            </w:pPr>
            <w:r w:rsidRPr="00D334AF">
              <w:rPr>
                <w:rFonts w:ascii="Times New Roman" w:hAnsi="Times New Roman" w:cs="Times New Roman"/>
                <w:sz w:val="24"/>
                <w:szCs w:val="24"/>
              </w:rPr>
              <w:t xml:space="preserve">Certificate of Service indicating that a complete copy of the application with exhibits was served by registered or certified mail, return receipt requested, upon the </w:t>
            </w:r>
            <w:r w:rsidR="00D334AF" w:rsidRPr="00E67256">
              <w:rPr>
                <w:rFonts w:ascii="Times New Roman" w:hAnsi="Times New Roman" w:cs="Times New Roman"/>
                <w:sz w:val="24"/>
                <w:szCs w:val="24"/>
              </w:rPr>
              <w:t>statutory advocates (OCA, OSBA) and the Bureau of Investigation and Enforcement.</w:t>
            </w:r>
            <w:r w:rsidR="00F23FC1">
              <w:rPr>
                <w:rStyle w:val="FootnoteReference"/>
                <w:rFonts w:ascii="Times New Roman" w:hAnsi="Times New Roman" w:cs="Times New Roman"/>
                <w:sz w:val="24"/>
                <w:szCs w:val="24"/>
              </w:rPr>
              <w:footnoteReference w:id="1"/>
            </w:r>
          </w:p>
        </w:tc>
        <w:tc>
          <w:tcPr>
            <w:tcW w:w="540" w:type="dxa"/>
            <w:gridSpan w:val="2"/>
            <w:vAlign w:val="center"/>
          </w:tcPr>
          <w:p w:rsidR="001C2587" w:rsidRPr="008F0CDB" w:rsidRDefault="00D334AF" w:rsidP="00406BE5">
            <w:pPr>
              <w:rPr>
                <w:rFonts w:ascii="Times New Roman" w:hAnsi="Times New Roman" w:cs="Times New Roman"/>
                <w:sz w:val="24"/>
                <w:szCs w:val="24"/>
              </w:rPr>
            </w:pPr>
            <w:r w:rsidRPr="00E67256">
              <w:rPr>
                <w:rFonts w:ascii="Times New Roman" w:hAnsi="Times New Roman" w:cs="Times New Roman"/>
                <w:sz w:val="24"/>
                <w:szCs w:val="24"/>
              </w:rPr>
              <w:t>No</w:t>
            </w:r>
          </w:p>
        </w:tc>
        <w:tc>
          <w:tcPr>
            <w:tcW w:w="630" w:type="dxa"/>
            <w:gridSpan w:val="2"/>
            <w:vAlign w:val="center"/>
          </w:tcPr>
          <w:p w:rsidR="001C2587" w:rsidRPr="008F0CDB" w:rsidRDefault="00D334AF" w:rsidP="00406BE5">
            <w:pPr>
              <w:rPr>
                <w:rFonts w:ascii="Times New Roman" w:hAnsi="Times New Roman" w:cs="Times New Roman"/>
                <w:sz w:val="24"/>
                <w:szCs w:val="24"/>
              </w:rPr>
            </w:pPr>
            <w:r w:rsidRPr="00E67256">
              <w:rPr>
                <w:rFonts w:ascii="Times New Roman" w:hAnsi="Times New Roman" w:cs="Times New Roman"/>
                <w:sz w:val="24"/>
                <w:szCs w:val="24"/>
              </w:rPr>
              <w:t>Yes</w:t>
            </w:r>
          </w:p>
        </w:tc>
        <w:tc>
          <w:tcPr>
            <w:tcW w:w="1980" w:type="dxa"/>
            <w:vAlign w:val="center"/>
          </w:tcPr>
          <w:p w:rsidR="001C2587" w:rsidRPr="00D334AF" w:rsidRDefault="001C2587" w:rsidP="001B648D">
            <w:pPr>
              <w:jc w:val="center"/>
              <w:rPr>
                <w:rFonts w:ascii="Times New Roman" w:hAnsi="Times New Roman" w:cs="Times New Roman"/>
                <w:sz w:val="24"/>
                <w:szCs w:val="24"/>
              </w:rPr>
            </w:pPr>
          </w:p>
        </w:tc>
      </w:tr>
      <w:tr w:rsidR="00406BE5" w:rsidTr="003172B7">
        <w:trPr>
          <w:cantSplit/>
          <w:trHeight w:val="676"/>
        </w:trPr>
        <w:tc>
          <w:tcPr>
            <w:tcW w:w="6865" w:type="dxa"/>
            <w:gridSpan w:val="2"/>
            <w:vAlign w:val="center"/>
          </w:tcPr>
          <w:p w:rsidR="00406BE5" w:rsidRPr="00AC29F6" w:rsidRDefault="00406BE5">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Provide electronic working documents (i.e., Excel spreadsheets) for all the filing’s schedules, studies, and working papers.</w:t>
            </w:r>
          </w:p>
        </w:tc>
        <w:tc>
          <w:tcPr>
            <w:tcW w:w="540" w:type="dxa"/>
            <w:gridSpan w:val="2"/>
            <w:vAlign w:val="center"/>
          </w:tcPr>
          <w:p w:rsidR="00406BE5" w:rsidRDefault="00406BE5"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406BE5" w:rsidRDefault="00406BE5"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406BE5" w:rsidRDefault="00406BE5" w:rsidP="001B648D">
            <w:pPr>
              <w:jc w:val="center"/>
              <w:rPr>
                <w:rFonts w:ascii="Times New Roman" w:hAnsi="Times New Roman" w:cs="Times New Roman"/>
                <w:sz w:val="24"/>
                <w:szCs w:val="24"/>
              </w:rPr>
            </w:pPr>
          </w:p>
        </w:tc>
      </w:tr>
      <w:tr w:rsidR="001C2587" w:rsidTr="003172B7">
        <w:trPr>
          <w:cantSplit/>
          <w:trHeight w:val="676"/>
        </w:trPr>
        <w:tc>
          <w:tcPr>
            <w:tcW w:w="6865" w:type="dxa"/>
            <w:gridSpan w:val="2"/>
            <w:vAlign w:val="center"/>
          </w:tcPr>
          <w:p w:rsidR="001C2587" w:rsidRDefault="001C2587">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t>Provide copies of two appraisals performed by separate utility valuation experts establishing the system’s fair market value.</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6A670F" w:rsidRDefault="001C2587" w:rsidP="00C44B9A">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 xml:space="preserve">State the purchase price of the </w:t>
            </w:r>
            <w:r w:rsidR="00C04184">
              <w:rPr>
                <w:rFonts w:ascii="Times New Roman" w:hAnsi="Times New Roman" w:cs="Times New Roman"/>
                <w:sz w:val="24"/>
                <w:szCs w:val="24"/>
              </w:rPr>
              <w:t>seller</w:t>
            </w:r>
            <w:r>
              <w:rPr>
                <w:rFonts w:ascii="Times New Roman" w:hAnsi="Times New Roman" w:cs="Times New Roman"/>
                <w:sz w:val="24"/>
                <w:szCs w:val="24"/>
              </w:rPr>
              <w:t xml:space="preserve"> as agreed to by the </w:t>
            </w:r>
            <w:r w:rsidR="00C04184">
              <w:rPr>
                <w:rFonts w:ascii="Times New Roman" w:hAnsi="Times New Roman" w:cs="Times New Roman"/>
                <w:sz w:val="24"/>
                <w:szCs w:val="24"/>
              </w:rPr>
              <w:t>buyer</w:t>
            </w:r>
            <w:r>
              <w:rPr>
                <w:rFonts w:ascii="Times New Roman" w:hAnsi="Times New Roman" w:cs="Times New Roman"/>
                <w:sz w:val="24"/>
                <w:szCs w:val="24"/>
              </w:rPr>
              <w:t xml:space="preserve"> and </w:t>
            </w:r>
            <w:r w:rsidR="00C04184">
              <w:rPr>
                <w:rFonts w:ascii="Times New Roman" w:hAnsi="Times New Roman" w:cs="Times New Roman"/>
                <w:sz w:val="24"/>
                <w:szCs w:val="24"/>
              </w:rPr>
              <w:t>seller</w:t>
            </w:r>
            <w:r>
              <w:rPr>
                <w:rFonts w:ascii="Times New Roman" w:hAnsi="Times New Roman" w:cs="Times New Roman"/>
                <w:sz w:val="24"/>
                <w:szCs w:val="24"/>
              </w:rPr>
              <w:t>.</w:t>
            </w:r>
            <w:r w:rsidR="00612675">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Default="001C2587" w:rsidP="00C44B9A">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t xml:space="preserve">Provide a verification statement that one utility valuation expert was selected by the </w:t>
            </w:r>
            <w:r w:rsidR="00C04184">
              <w:rPr>
                <w:rFonts w:ascii="Times New Roman" w:hAnsi="Times New Roman" w:cs="Times New Roman"/>
                <w:sz w:val="24"/>
                <w:szCs w:val="24"/>
              </w:rPr>
              <w:t>buyer</w:t>
            </w:r>
            <w:r w:rsidRPr="00AC29F6">
              <w:rPr>
                <w:rFonts w:ascii="Times New Roman" w:hAnsi="Times New Roman" w:cs="Times New Roman"/>
                <w:sz w:val="24"/>
                <w:szCs w:val="24"/>
              </w:rPr>
              <w:t xml:space="preserve"> and the other utility valuation expert was selected by the </w:t>
            </w:r>
            <w:r w:rsidR="00C04184">
              <w:rPr>
                <w:rFonts w:ascii="Times New Roman" w:hAnsi="Times New Roman" w:cs="Times New Roman"/>
                <w:sz w:val="24"/>
                <w:szCs w:val="24"/>
              </w:rPr>
              <w:t>seller</w:t>
            </w:r>
            <w:r w:rsidRPr="00AC29F6">
              <w:rPr>
                <w:rFonts w:ascii="Times New Roman" w:hAnsi="Times New Roman" w:cs="Times New Roman"/>
                <w:sz w:val="24"/>
                <w:szCs w:val="24"/>
              </w:rPr>
              <w:t xml:space="preserve">.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AC29F6" w:rsidRDefault="001C2587" w:rsidP="00612675">
            <w:pPr>
              <w:pStyle w:val="ListParagraph"/>
              <w:numPr>
                <w:ilvl w:val="0"/>
                <w:numId w:val="2"/>
              </w:numPr>
              <w:ind w:left="360"/>
              <w:contextualSpacing w:val="0"/>
              <w:rPr>
                <w:rFonts w:ascii="Times New Roman" w:hAnsi="Times New Roman" w:cs="Times New Roman"/>
                <w:sz w:val="24"/>
                <w:szCs w:val="24"/>
              </w:rPr>
            </w:pPr>
            <w:r w:rsidRPr="00406BE5">
              <w:rPr>
                <w:rFonts w:ascii="Times New Roman" w:hAnsi="Times New Roman" w:cs="Times New Roman"/>
                <w:sz w:val="24"/>
                <w:szCs w:val="24"/>
              </w:rPr>
              <w:t xml:space="preserve">State the </w:t>
            </w:r>
            <w:r w:rsidR="00C04184">
              <w:rPr>
                <w:rFonts w:ascii="Times New Roman" w:hAnsi="Times New Roman" w:cs="Times New Roman"/>
                <w:sz w:val="24"/>
                <w:szCs w:val="24"/>
              </w:rPr>
              <w:t xml:space="preserve">total </w:t>
            </w:r>
            <w:r w:rsidRPr="00406BE5">
              <w:rPr>
                <w:rFonts w:ascii="Times New Roman" w:hAnsi="Times New Roman" w:cs="Times New Roman"/>
                <w:sz w:val="24"/>
                <w:szCs w:val="24"/>
              </w:rPr>
              <w:t>fees paid to the utility valuation experts for providing the completed appraisals for the acquisition and provide documentation</w:t>
            </w:r>
            <w:r w:rsidR="00C04184">
              <w:rPr>
                <w:rFonts w:ascii="Times New Roman" w:hAnsi="Times New Roman" w:cs="Times New Roman"/>
                <w:sz w:val="24"/>
                <w:szCs w:val="24"/>
              </w:rPr>
              <w:t>, i.e., the valuation service agreement and all associated invoices,</w:t>
            </w:r>
            <w:r w:rsidRPr="00406BE5">
              <w:rPr>
                <w:rFonts w:ascii="Times New Roman" w:hAnsi="Times New Roman" w:cs="Times New Roman"/>
                <w:sz w:val="24"/>
                <w:szCs w:val="24"/>
              </w:rPr>
              <w:t xml:space="preserve"> justifying the subject fee amounts.</w:t>
            </w:r>
          </w:p>
        </w:tc>
        <w:tc>
          <w:tcPr>
            <w:tcW w:w="540" w:type="dxa"/>
            <w:gridSpan w:val="2"/>
            <w:vAlign w:val="center"/>
          </w:tcPr>
          <w:p w:rsidR="001C2587" w:rsidRPr="008F0CDB" w:rsidRDefault="001C2587" w:rsidP="00406BE5">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Pr="008F0CDB" w:rsidRDefault="001C2587" w:rsidP="00406BE5">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Pr="008F0CDB" w:rsidRDefault="001C2587" w:rsidP="00406BE5">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AC29F6" w:rsidRDefault="001C2587" w:rsidP="006A670F">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t xml:space="preserve">Provide a verification statement that the utility valuation expert has no affiliation with the buyer or seller as </w:t>
            </w:r>
            <w:r>
              <w:rPr>
                <w:rFonts w:ascii="Times New Roman" w:hAnsi="Times New Roman" w:cs="Times New Roman"/>
                <w:sz w:val="24"/>
                <w:szCs w:val="24"/>
              </w:rPr>
              <w:t>specified</w:t>
            </w:r>
            <w:r w:rsidRPr="00AC29F6">
              <w:rPr>
                <w:rFonts w:ascii="Times New Roman" w:hAnsi="Times New Roman" w:cs="Times New Roman"/>
                <w:sz w:val="24"/>
                <w:szCs w:val="24"/>
              </w:rPr>
              <w:t xml:space="preserve"> in 66 Pa. C.S. § 1329.</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AC29F6" w:rsidRDefault="001C2587" w:rsidP="006A670F">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t xml:space="preserve">Provide a verification statement that the appraisals performed by the utility valuation </w:t>
            </w:r>
            <w:proofErr w:type="gramStart"/>
            <w:r w:rsidRPr="00AC29F6">
              <w:rPr>
                <w:rFonts w:ascii="Times New Roman" w:hAnsi="Times New Roman" w:cs="Times New Roman"/>
                <w:sz w:val="24"/>
                <w:szCs w:val="24"/>
              </w:rPr>
              <w:t>experts</w:t>
            </w:r>
            <w:proofErr w:type="gramEnd"/>
            <w:r w:rsidRPr="00AC29F6">
              <w:rPr>
                <w:rFonts w:ascii="Times New Roman" w:hAnsi="Times New Roman" w:cs="Times New Roman"/>
                <w:sz w:val="24"/>
                <w:szCs w:val="24"/>
              </w:rPr>
              <w:t xml:space="preserve"> determined fair market value in compliance with the Uniform Standards of Professional Appraisal Practice, employing the cost, market and income approaches.</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AC29F6" w:rsidRDefault="001C2587" w:rsidP="006A670F">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lastRenderedPageBreak/>
              <w:t>State the ratemaking rate base as required in 66 Pa. C.S. § 1329</w:t>
            </w:r>
            <w:r>
              <w:rPr>
                <w:rFonts w:ascii="Times New Roman" w:hAnsi="Times New Roman" w:cs="Times New Roman"/>
                <w:sz w:val="24"/>
                <w:szCs w:val="24"/>
              </w:rPr>
              <w:t xml:space="preserve"> and specify whether it is based on either the fair market value determined by the valuation experts or the asset purchase price</w:t>
            </w:r>
            <w:r w:rsidRPr="00AC29F6">
              <w:rPr>
                <w:rFonts w:ascii="Times New Roman" w:hAnsi="Times New Roman" w:cs="Times New Roman"/>
                <w:sz w:val="24"/>
                <w:szCs w:val="24"/>
              </w:rPr>
              <w:t>.</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676"/>
        </w:trPr>
        <w:tc>
          <w:tcPr>
            <w:tcW w:w="6865" w:type="dxa"/>
            <w:gridSpan w:val="2"/>
            <w:vAlign w:val="center"/>
          </w:tcPr>
          <w:p w:rsidR="001C2587" w:rsidRPr="00AC29F6" w:rsidRDefault="001C2587">
            <w:pPr>
              <w:pStyle w:val="ListParagraph"/>
              <w:numPr>
                <w:ilvl w:val="0"/>
                <w:numId w:val="2"/>
              </w:numPr>
              <w:ind w:left="360"/>
              <w:contextualSpacing w:val="0"/>
              <w:rPr>
                <w:rFonts w:ascii="Times New Roman" w:hAnsi="Times New Roman" w:cs="Times New Roman"/>
                <w:sz w:val="24"/>
                <w:szCs w:val="24"/>
              </w:rPr>
            </w:pPr>
            <w:r w:rsidRPr="00AC29F6">
              <w:rPr>
                <w:rFonts w:ascii="Times New Roman" w:hAnsi="Times New Roman" w:cs="Times New Roman"/>
                <w:sz w:val="24"/>
                <w:szCs w:val="24"/>
              </w:rPr>
              <w:t xml:space="preserve">Quantify the transaction and closing costs incurred by the </w:t>
            </w:r>
            <w:r w:rsidR="00C04184" w:rsidRPr="006B05FB">
              <w:rPr>
                <w:rFonts w:ascii="Times New Roman" w:hAnsi="Times New Roman" w:cs="Times New Roman"/>
                <w:sz w:val="24"/>
                <w:szCs w:val="24"/>
              </w:rPr>
              <w:t>buyer</w:t>
            </w:r>
            <w:r w:rsidRPr="00AC29F6">
              <w:rPr>
                <w:rFonts w:ascii="Times New Roman" w:hAnsi="Times New Roman" w:cs="Times New Roman"/>
                <w:sz w:val="24"/>
                <w:szCs w:val="24"/>
              </w:rPr>
              <w:t xml:space="preserve"> that will be included in its rate base.</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865" w:type="dxa"/>
            <w:gridSpan w:val="2"/>
            <w:vAlign w:val="center"/>
          </w:tcPr>
          <w:p w:rsidR="001C2587" w:rsidRPr="006A670F" w:rsidDel="00155E6E" w:rsidRDefault="001C2587">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 xml:space="preserve">Provide a proposed tariff containing a rate equal to the existing rates of the </w:t>
            </w:r>
            <w:r w:rsidR="00C04184">
              <w:rPr>
                <w:rFonts w:ascii="Times New Roman" w:hAnsi="Times New Roman" w:cs="Times New Roman"/>
                <w:sz w:val="24"/>
                <w:szCs w:val="24"/>
              </w:rPr>
              <w:t>seller</w:t>
            </w:r>
            <w:r>
              <w:rPr>
                <w:rFonts w:ascii="Times New Roman" w:hAnsi="Times New Roman" w:cs="Times New Roman"/>
                <w:sz w:val="24"/>
                <w:szCs w:val="24"/>
              </w:rPr>
              <w:t xml:space="preserve"> at the time of the acquisition and a rate stabilization plan, if applicable to the acquisition.</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865" w:type="dxa"/>
            <w:gridSpan w:val="2"/>
            <w:vAlign w:val="center"/>
          </w:tcPr>
          <w:p w:rsidR="001C2587" w:rsidRPr="00AC29F6" w:rsidRDefault="001C2587" w:rsidP="006A670F">
            <w:pPr>
              <w:pStyle w:val="ListParagraph"/>
              <w:numPr>
                <w:ilvl w:val="0"/>
                <w:numId w:val="2"/>
              </w:numPr>
              <w:ind w:left="360"/>
              <w:contextualSpacing w:val="0"/>
              <w:rPr>
                <w:rFonts w:ascii="Times New Roman" w:hAnsi="Times New Roman" w:cs="Times New Roman"/>
                <w:sz w:val="24"/>
                <w:szCs w:val="24"/>
              </w:rPr>
            </w:pPr>
            <w:r w:rsidRPr="00783ADA">
              <w:rPr>
                <w:rFonts w:ascii="Times New Roman" w:hAnsi="Times New Roman" w:cs="Times New Roman"/>
                <w:sz w:val="24"/>
                <w:szCs w:val="24"/>
              </w:rPr>
              <w:t>Provide direct testimony</w:t>
            </w:r>
            <w:r>
              <w:rPr>
                <w:rFonts w:ascii="Times New Roman" w:hAnsi="Times New Roman" w:cs="Times New Roman"/>
                <w:sz w:val="24"/>
                <w:szCs w:val="24"/>
              </w:rPr>
              <w:t xml:space="preserve"> for the application</w:t>
            </w:r>
            <w:r w:rsidRPr="00783ADA">
              <w:rPr>
                <w:rFonts w:ascii="Times New Roman" w:hAnsi="Times New Roman" w:cs="Times New Roman"/>
                <w:sz w:val="24"/>
                <w:szCs w:val="24"/>
              </w:rPr>
              <w:t>.</w:t>
            </w:r>
            <w:r>
              <w:rPr>
                <w:rFonts w:ascii="Times New Roman" w:hAnsi="Times New Roman" w:cs="Times New Roman"/>
                <w:sz w:val="24"/>
                <w:szCs w:val="24"/>
              </w:rPr>
              <w:t xml:space="preserve">  </w:t>
            </w:r>
          </w:p>
        </w:tc>
        <w:tc>
          <w:tcPr>
            <w:tcW w:w="54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Yes</w:t>
            </w:r>
          </w:p>
        </w:tc>
        <w:tc>
          <w:tcPr>
            <w:tcW w:w="1980" w:type="dxa"/>
            <w:vAlign w:val="center"/>
          </w:tcPr>
          <w:p w:rsidR="001C2587" w:rsidRDefault="001C2587" w:rsidP="001B648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7808D8" w:rsidRDefault="001C2587" w:rsidP="006A670F">
            <w:pPr>
              <w:pStyle w:val="ListParagraph"/>
              <w:numPr>
                <w:ilvl w:val="0"/>
                <w:numId w:val="2"/>
              </w:numPr>
              <w:ind w:left="360"/>
              <w:contextualSpacing w:val="0"/>
              <w:rPr>
                <w:rFonts w:ascii="Times New Roman" w:hAnsi="Times New Roman" w:cs="Times New Roman"/>
                <w:sz w:val="24"/>
                <w:szCs w:val="24"/>
              </w:rPr>
            </w:pPr>
            <w:r w:rsidRPr="007808D8">
              <w:rPr>
                <w:rFonts w:ascii="Times New Roman" w:hAnsi="Times New Roman" w:cs="Times New Roman"/>
                <w:sz w:val="24"/>
                <w:szCs w:val="24"/>
              </w:rPr>
              <w:t>Plant in Service</w:t>
            </w:r>
            <w:r>
              <w:rPr>
                <w:rFonts w:ascii="Times New Roman" w:hAnsi="Times New Roman" w:cs="Times New Roman"/>
                <w:sz w:val="24"/>
                <w:szCs w:val="24"/>
              </w:rPr>
              <w:t>.</w:t>
            </w:r>
          </w:p>
          <w:p w:rsidR="001C2587" w:rsidRDefault="00E011AB" w:rsidP="001B648D">
            <w:pPr>
              <w:pStyle w:val="ListParagraph"/>
              <w:numPr>
                <w:ilvl w:val="1"/>
                <w:numId w:val="7"/>
              </w:numPr>
              <w:ind w:left="1080"/>
              <w:contextualSpacing w:val="0"/>
              <w:rPr>
                <w:rFonts w:ascii="Times New Roman" w:hAnsi="Times New Roman" w:cs="Times New Roman"/>
                <w:sz w:val="24"/>
                <w:szCs w:val="24"/>
              </w:rPr>
            </w:pPr>
            <w:r>
              <w:rPr>
                <w:rFonts w:ascii="Times New Roman" w:hAnsi="Times New Roman" w:cs="Times New Roman"/>
                <w:sz w:val="24"/>
                <w:szCs w:val="24"/>
              </w:rPr>
              <w:t>Provide an inventory of the used and useful plant assets to be transferred.  Identify separately any utility plant that is held for future use</w:t>
            </w:r>
            <w:r w:rsidR="001C2587" w:rsidRPr="007808D8">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E011AB" w:rsidRPr="00E011AB" w:rsidRDefault="00E011AB" w:rsidP="0003621F">
            <w:pPr>
              <w:pStyle w:val="ListParagraph"/>
              <w:numPr>
                <w:ilvl w:val="1"/>
                <w:numId w:val="7"/>
              </w:numPr>
              <w:spacing w:before="240"/>
              <w:ind w:left="1080"/>
              <w:contextualSpacing w:val="0"/>
              <w:rPr>
                <w:rFonts w:ascii="Times New Roman" w:hAnsi="Times New Roman" w:cs="Times New Roman"/>
                <w:sz w:val="24"/>
                <w:szCs w:val="24"/>
              </w:rPr>
            </w:pPr>
            <w:r>
              <w:rPr>
                <w:rFonts w:ascii="Times New Roman" w:hAnsi="Times New Roman" w:cs="Times New Roman"/>
                <w:sz w:val="24"/>
                <w:szCs w:val="24"/>
              </w:rPr>
              <w:t>Provide a list of all non-depreciable property such as land and rights-of-way.</w:t>
            </w:r>
          </w:p>
        </w:tc>
        <w:tc>
          <w:tcPr>
            <w:tcW w:w="54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783ADA" w:rsidRDefault="001C2587" w:rsidP="001B648D">
            <w:pPr>
              <w:pStyle w:val="ListParagraph"/>
              <w:numPr>
                <w:ilvl w:val="1"/>
                <w:numId w:val="7"/>
              </w:numPr>
              <w:ind w:left="1080"/>
              <w:contextualSpacing w:val="0"/>
              <w:rPr>
                <w:rFonts w:ascii="Times New Roman" w:hAnsi="Times New Roman" w:cs="Times New Roman"/>
                <w:sz w:val="24"/>
                <w:szCs w:val="24"/>
              </w:rPr>
            </w:pPr>
            <w:r>
              <w:rPr>
                <w:rFonts w:ascii="Times New Roman" w:hAnsi="Times New Roman" w:cs="Times New Roman"/>
                <w:sz w:val="24"/>
                <w:szCs w:val="24"/>
              </w:rPr>
              <w:t>State the DEP-</w:t>
            </w:r>
            <w:r w:rsidRPr="007808D8">
              <w:rPr>
                <w:rFonts w:ascii="Times New Roman" w:hAnsi="Times New Roman" w:cs="Times New Roman"/>
                <w:sz w:val="24"/>
                <w:szCs w:val="24"/>
              </w:rPr>
              <w:t>permitted productive or treatment capacity of sources or treatment facility and the pipe sizes and material used for construction for all transmission and distribution or collection facilities.</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1B648D">
            <w:pPr>
              <w:pStyle w:val="ListParagraph"/>
              <w:numPr>
                <w:ilvl w:val="1"/>
                <w:numId w:val="7"/>
              </w:numPr>
              <w:ind w:left="1080"/>
              <w:contextualSpacing w:val="0"/>
              <w:rPr>
                <w:rFonts w:ascii="Times New Roman" w:hAnsi="Times New Roman" w:cs="Times New Roman"/>
                <w:sz w:val="24"/>
                <w:szCs w:val="24"/>
              </w:rPr>
            </w:pPr>
            <w:r>
              <w:rPr>
                <w:rFonts w:ascii="Times New Roman" w:hAnsi="Times New Roman" w:cs="Times New Roman"/>
                <w:sz w:val="24"/>
                <w:szCs w:val="24"/>
              </w:rPr>
              <w:t>State t</w:t>
            </w:r>
            <w:r w:rsidRPr="007808D8">
              <w:rPr>
                <w:rFonts w:ascii="Times New Roman" w:hAnsi="Times New Roman" w:cs="Times New Roman"/>
                <w:sz w:val="24"/>
                <w:szCs w:val="24"/>
              </w:rPr>
              <w:t>he elevations of major facilities and service areas</w:t>
            </w:r>
            <w:r>
              <w:rPr>
                <w:rFonts w:ascii="Times New Roman" w:hAnsi="Times New Roman" w:cs="Times New Roman"/>
                <w:sz w:val="24"/>
                <w:szCs w:val="24"/>
              </w:rPr>
              <w:t>.</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BC6118">
            <w:pPr>
              <w:pStyle w:val="ListParagraph"/>
              <w:numPr>
                <w:ilvl w:val="1"/>
                <w:numId w:val="7"/>
              </w:numPr>
              <w:ind w:left="1080"/>
              <w:contextualSpacing w:val="0"/>
              <w:rPr>
                <w:rFonts w:ascii="Times New Roman" w:hAnsi="Times New Roman" w:cs="Times New Roman"/>
                <w:sz w:val="24"/>
                <w:szCs w:val="24"/>
              </w:rPr>
            </w:pPr>
            <w:r>
              <w:rPr>
                <w:rFonts w:ascii="Times New Roman" w:hAnsi="Times New Roman" w:cs="Times New Roman"/>
                <w:sz w:val="24"/>
                <w:szCs w:val="24"/>
              </w:rPr>
              <w:t>State t</w:t>
            </w:r>
            <w:r w:rsidRPr="00F35882">
              <w:rPr>
                <w:rFonts w:ascii="Times New Roman" w:hAnsi="Times New Roman" w:cs="Times New Roman"/>
                <w:sz w:val="24"/>
                <w:szCs w:val="24"/>
              </w:rPr>
              <w:t>he approximate time schedule for installation of the various component facilities.</w:t>
            </w:r>
          </w:p>
        </w:tc>
        <w:tc>
          <w:tcPr>
            <w:tcW w:w="54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1"/>
                <w:numId w:val="7"/>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State the tentative journal entries for booking the acquisition. </w:t>
            </w:r>
          </w:p>
        </w:tc>
        <w:tc>
          <w:tcPr>
            <w:tcW w:w="54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7D390D">
            <w:pP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7808D8" w:rsidRDefault="001C2587" w:rsidP="006A670F">
            <w:pPr>
              <w:pStyle w:val="ListParagraph"/>
              <w:numPr>
                <w:ilvl w:val="0"/>
                <w:numId w:val="2"/>
              </w:numPr>
              <w:ind w:left="360"/>
              <w:contextualSpacing w:val="0"/>
              <w:rPr>
                <w:rFonts w:ascii="Times New Roman" w:hAnsi="Times New Roman" w:cs="Times New Roman"/>
                <w:sz w:val="24"/>
                <w:szCs w:val="24"/>
              </w:rPr>
            </w:pPr>
            <w:r w:rsidRPr="007808D8">
              <w:rPr>
                <w:rFonts w:ascii="Times New Roman" w:hAnsi="Times New Roman" w:cs="Times New Roman"/>
                <w:sz w:val="24"/>
                <w:szCs w:val="24"/>
              </w:rPr>
              <w:t xml:space="preserve">Map of Service Area.  </w:t>
            </w:r>
            <w:r>
              <w:rPr>
                <w:rFonts w:ascii="Times New Roman" w:hAnsi="Times New Roman" w:cs="Times New Roman"/>
                <w:sz w:val="24"/>
                <w:szCs w:val="24"/>
              </w:rPr>
              <w:t>Provide a</w:t>
            </w:r>
            <w:r w:rsidRPr="007808D8">
              <w:rPr>
                <w:rFonts w:ascii="Times New Roman" w:hAnsi="Times New Roman" w:cs="Times New Roman"/>
                <w:sz w:val="24"/>
                <w:szCs w:val="24"/>
              </w:rPr>
              <w:t xml:space="preserve"> </w:t>
            </w:r>
            <w:r>
              <w:rPr>
                <w:rFonts w:ascii="Times New Roman" w:hAnsi="Times New Roman" w:cs="Times New Roman"/>
                <w:sz w:val="24"/>
                <w:szCs w:val="24"/>
              </w:rPr>
              <w:t xml:space="preserve">scalable </w:t>
            </w:r>
            <w:r w:rsidRPr="007808D8">
              <w:rPr>
                <w:rFonts w:ascii="Times New Roman" w:hAnsi="Times New Roman" w:cs="Times New Roman"/>
                <w:sz w:val="24"/>
                <w:szCs w:val="24"/>
              </w:rPr>
              <w:t xml:space="preserve">map or plan of suitable scale highlighting the boundaries of the proposed service area, </w:t>
            </w:r>
            <w:r>
              <w:rPr>
                <w:rFonts w:ascii="Times New Roman" w:hAnsi="Times New Roman" w:cs="Times New Roman"/>
                <w:sz w:val="24"/>
                <w:szCs w:val="24"/>
              </w:rPr>
              <w:t xml:space="preserve">that </w:t>
            </w:r>
            <w:r w:rsidRPr="007808D8">
              <w:rPr>
                <w:rFonts w:ascii="Times New Roman" w:hAnsi="Times New Roman" w:cs="Times New Roman"/>
                <w:sz w:val="24"/>
                <w:szCs w:val="24"/>
              </w:rPr>
              <w:t>includ</w:t>
            </w:r>
            <w:r>
              <w:rPr>
                <w:rFonts w:ascii="Times New Roman" w:hAnsi="Times New Roman" w:cs="Times New Roman"/>
                <w:sz w:val="24"/>
                <w:szCs w:val="24"/>
              </w:rPr>
              <w:t>es</w:t>
            </w:r>
            <w:r w:rsidRPr="007808D8">
              <w:rPr>
                <w:rFonts w:ascii="Times New Roman" w:hAnsi="Times New Roman" w:cs="Times New Roman"/>
                <w:sz w:val="24"/>
                <w:szCs w:val="24"/>
              </w:rPr>
              <w:t>:</w:t>
            </w:r>
          </w:p>
          <w:p w:rsidR="001C2587"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The extent of the proposed service area with any existing adjoining service area</w:t>
            </w:r>
            <w:r w:rsidR="005D249B">
              <w:rPr>
                <w:rFonts w:ascii="Times New Roman" w:hAnsi="Times New Roman" w:cs="Times New Roman"/>
                <w:sz w:val="24"/>
                <w:szCs w:val="24"/>
              </w:rPr>
              <w:t>s</w:t>
            </w:r>
            <w:r>
              <w:rPr>
                <w:rFonts w:ascii="Times New Roman" w:hAnsi="Times New Roman" w:cs="Times New Roman"/>
                <w:sz w:val="24"/>
                <w:szCs w:val="24"/>
              </w:rPr>
              <w:t xml:space="preserve"> identified.</w:t>
            </w:r>
            <w:r w:rsidRPr="00550CBB">
              <w:t xml:space="preserve"> </w:t>
            </w:r>
            <w:r>
              <w:t xml:space="preserve"> </w:t>
            </w:r>
          </w:p>
        </w:tc>
        <w:tc>
          <w:tcPr>
            <w:tcW w:w="540" w:type="dxa"/>
            <w:gridSpan w:val="2"/>
            <w:vAlign w:val="bottom"/>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bottom"/>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bottom"/>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7808D8" w:rsidRDefault="001C2587" w:rsidP="00BC6118">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A n</w:t>
            </w:r>
            <w:r w:rsidRPr="00550CBB">
              <w:rPr>
                <w:rFonts w:ascii="Times New Roman" w:hAnsi="Times New Roman" w:cs="Times New Roman"/>
                <w:sz w:val="24"/>
                <w:szCs w:val="24"/>
              </w:rPr>
              <w:t xml:space="preserve">orth arrow depicting map orientation.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A g</w:t>
            </w:r>
            <w:r w:rsidRPr="00550CBB">
              <w:rPr>
                <w:rFonts w:ascii="Times New Roman" w:hAnsi="Times New Roman" w:cs="Times New Roman"/>
                <w:sz w:val="24"/>
                <w:szCs w:val="24"/>
              </w:rPr>
              <w:t xml:space="preserve">raphic scale.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A w</w:t>
            </w:r>
            <w:r w:rsidRPr="007808D8">
              <w:rPr>
                <w:rFonts w:ascii="Times New Roman" w:hAnsi="Times New Roman" w:cs="Times New Roman"/>
                <w:sz w:val="24"/>
                <w:szCs w:val="24"/>
              </w:rPr>
              <w:t xml:space="preserve">ritten description </w:t>
            </w:r>
            <w:r>
              <w:rPr>
                <w:rFonts w:ascii="Times New Roman" w:hAnsi="Times New Roman" w:cs="Times New Roman"/>
                <w:sz w:val="24"/>
                <w:szCs w:val="24"/>
              </w:rPr>
              <w:t xml:space="preserve">of </w:t>
            </w:r>
            <w:r w:rsidRPr="007808D8">
              <w:rPr>
                <w:rFonts w:ascii="Times New Roman" w:hAnsi="Times New Roman" w:cs="Times New Roman"/>
                <w:sz w:val="24"/>
                <w:szCs w:val="24"/>
              </w:rPr>
              <w:t xml:space="preserve">the boundaries </w:t>
            </w:r>
            <w:r>
              <w:rPr>
                <w:rFonts w:ascii="Times New Roman" w:hAnsi="Times New Roman" w:cs="Times New Roman"/>
                <w:sz w:val="24"/>
                <w:szCs w:val="24"/>
              </w:rPr>
              <w:t xml:space="preserve">for the service territory </w:t>
            </w:r>
            <w:r w:rsidRPr="007808D8">
              <w:rPr>
                <w:rFonts w:ascii="Times New Roman" w:hAnsi="Times New Roman" w:cs="Times New Roman"/>
                <w:sz w:val="24"/>
                <w:szCs w:val="24"/>
              </w:rPr>
              <w:t>utilizing bearing angles and distances.</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Size of the </w:t>
            </w:r>
            <w:r w:rsidRPr="003C7CDB">
              <w:rPr>
                <w:rFonts w:ascii="Times New Roman" w:hAnsi="Times New Roman" w:cs="Times New Roman"/>
                <w:sz w:val="24"/>
                <w:szCs w:val="24"/>
              </w:rPr>
              <w:t>service territory area in terms of acres or square miles.</w:t>
            </w:r>
            <w:r w:rsidRPr="006A670F">
              <w:rPr>
                <w:rFonts w:ascii="Times New Roman" w:hAnsi="Times New Roman" w:cs="Times New Roman"/>
                <w:sz w:val="24"/>
                <w:szCs w:val="24"/>
              </w:rPr>
              <w:t xml:space="preserv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Identification and depiction of all municipal boundaries relative to the service area.</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Identification and depiction of all private and public roads</w:t>
            </w:r>
            <w:r w:rsidRPr="007808D8">
              <w:rPr>
                <w:rFonts w:ascii="Times New Roman" w:hAnsi="Times New Roman" w:cs="Times New Roman"/>
                <w:sz w:val="24"/>
                <w:szCs w:val="24"/>
              </w:rPr>
              <w:t xml:space="preserve"> relative to the service area.</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CB4A6B">
            <w:pPr>
              <w:pStyle w:val="ListParagraph"/>
              <w:numPr>
                <w:ilvl w:val="0"/>
                <w:numId w:val="11"/>
              </w:numPr>
              <w:ind w:left="1080"/>
              <w:contextualSpacing w:val="0"/>
              <w:rPr>
                <w:rFonts w:ascii="Times New Roman" w:hAnsi="Times New Roman" w:cs="Times New Roman"/>
                <w:sz w:val="24"/>
                <w:szCs w:val="24"/>
              </w:rPr>
            </w:pPr>
            <w:r>
              <w:rPr>
                <w:rFonts w:ascii="Times New Roman" w:hAnsi="Times New Roman" w:cs="Times New Roman"/>
                <w:sz w:val="24"/>
                <w:szCs w:val="24"/>
              </w:rPr>
              <w:t>Depiction of t</w:t>
            </w:r>
            <w:r w:rsidRPr="007808D8">
              <w:rPr>
                <w:rFonts w:ascii="Times New Roman" w:hAnsi="Times New Roman" w:cs="Times New Roman"/>
                <w:sz w:val="24"/>
                <w:szCs w:val="24"/>
              </w:rPr>
              <w:t>he location or route of the waterworks or wastewater collection, treatment or disposal facilities.</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43454B">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Customers.</w:t>
            </w:r>
          </w:p>
          <w:p w:rsidR="001C2587" w:rsidRDefault="001C2587">
            <w:pPr>
              <w:pStyle w:val="ListParagraph"/>
              <w:numPr>
                <w:ilvl w:val="1"/>
                <w:numId w:val="12"/>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State </w:t>
            </w:r>
            <w:r w:rsidRPr="006B13DD">
              <w:rPr>
                <w:rFonts w:ascii="Times New Roman" w:hAnsi="Times New Roman" w:cs="Times New Roman"/>
                <w:sz w:val="24"/>
                <w:szCs w:val="24"/>
              </w:rPr>
              <w:t xml:space="preserve">the </w:t>
            </w:r>
            <w:r w:rsidR="00C04184">
              <w:rPr>
                <w:rFonts w:ascii="Times New Roman" w:hAnsi="Times New Roman" w:cs="Times New Roman"/>
                <w:sz w:val="24"/>
                <w:szCs w:val="24"/>
              </w:rPr>
              <w:t>seller</w:t>
            </w:r>
            <w:r>
              <w:rPr>
                <w:rFonts w:ascii="Times New Roman" w:hAnsi="Times New Roman" w:cs="Times New Roman"/>
                <w:sz w:val="24"/>
                <w:szCs w:val="24"/>
              </w:rPr>
              <w:t xml:space="preserve">’s </w:t>
            </w:r>
            <w:r w:rsidRPr="006B13DD">
              <w:rPr>
                <w:rFonts w:ascii="Times New Roman" w:hAnsi="Times New Roman" w:cs="Times New Roman"/>
                <w:sz w:val="24"/>
                <w:szCs w:val="24"/>
              </w:rPr>
              <w:t xml:space="preserve">actual number of customers by class and </w:t>
            </w:r>
            <w:r>
              <w:rPr>
                <w:rFonts w:ascii="Times New Roman" w:hAnsi="Times New Roman" w:cs="Times New Roman"/>
                <w:sz w:val="24"/>
                <w:szCs w:val="24"/>
              </w:rPr>
              <w:t xml:space="preserve">quantify the </w:t>
            </w:r>
            <w:r w:rsidRPr="006B13DD">
              <w:rPr>
                <w:rFonts w:ascii="Times New Roman" w:hAnsi="Times New Roman" w:cs="Times New Roman"/>
                <w:sz w:val="24"/>
                <w:szCs w:val="24"/>
              </w:rPr>
              <w:t xml:space="preserve">related consumption or gallons treated in the current calendar year and future number of connections anticipated for the next 10 years.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C04184">
            <w:pPr>
              <w:pStyle w:val="ListParagraph"/>
              <w:numPr>
                <w:ilvl w:val="1"/>
                <w:numId w:val="12"/>
              </w:numPr>
              <w:ind w:left="1080"/>
              <w:contextualSpacing w:val="0"/>
              <w:rPr>
                <w:rFonts w:ascii="Times New Roman" w:hAnsi="Times New Roman" w:cs="Times New Roman"/>
                <w:sz w:val="24"/>
                <w:szCs w:val="24"/>
              </w:rPr>
            </w:pPr>
            <w:r>
              <w:rPr>
                <w:rFonts w:ascii="Times New Roman" w:hAnsi="Times New Roman" w:cs="Times New Roman"/>
                <w:sz w:val="24"/>
                <w:szCs w:val="24"/>
              </w:rPr>
              <w:t>Buyer</w:t>
            </w:r>
            <w:r w:rsidR="001C2587" w:rsidRPr="00C41FD0">
              <w:rPr>
                <w:rFonts w:ascii="Times New Roman" w:hAnsi="Times New Roman" w:cs="Times New Roman"/>
                <w:sz w:val="24"/>
                <w:szCs w:val="24"/>
              </w:rPr>
              <w:t xml:space="preserve"> shall demonstrate its ability to provide adequate water supply, treatment, storage and distribution or adequate wastewater collection, treatment or disposal capacity to meet present and future customer demands.  </w:t>
            </w:r>
          </w:p>
        </w:tc>
        <w:tc>
          <w:tcPr>
            <w:tcW w:w="54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1B648D">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Pr="001B648D" w:rsidRDefault="001C2587" w:rsidP="001B648D">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C41FD0" w:rsidRDefault="001C2587" w:rsidP="006A670F">
            <w:pPr>
              <w:pStyle w:val="ListParagraph"/>
              <w:numPr>
                <w:ilvl w:val="1"/>
                <w:numId w:val="12"/>
              </w:numPr>
              <w:ind w:left="1080"/>
              <w:contextualSpacing w:val="0"/>
              <w:rPr>
                <w:rFonts w:ascii="Times New Roman" w:hAnsi="Times New Roman" w:cs="Times New Roman"/>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acquisitions, quantify the number of public and private fire hydrants.</w:t>
            </w:r>
            <w:r w:rsidRPr="0082070E">
              <w:rPr>
                <w:color w:val="000000" w:themeColor="text1"/>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6A670F">
            <w:pPr>
              <w:pStyle w:val="ListParagraph"/>
              <w:numPr>
                <w:ilvl w:val="0"/>
                <w:numId w:val="2"/>
              </w:numPr>
              <w:ind w:left="360"/>
              <w:contextualSpacing w:val="0"/>
              <w:rPr>
                <w:rFonts w:ascii="Times New Roman" w:hAnsi="Times New Roman" w:cs="Times New Roman"/>
                <w:sz w:val="24"/>
                <w:szCs w:val="24"/>
              </w:rPr>
            </w:pPr>
            <w:r>
              <w:rPr>
                <w:rFonts w:ascii="Times New Roman" w:hAnsi="Times New Roman" w:cs="Times New Roman"/>
                <w:sz w:val="24"/>
                <w:szCs w:val="24"/>
              </w:rPr>
              <w:t>Rates.</w:t>
            </w:r>
          </w:p>
          <w:p w:rsidR="001C2587" w:rsidRPr="001B648D" w:rsidRDefault="001C2587">
            <w:pPr>
              <w:pStyle w:val="ListParagraph"/>
              <w:numPr>
                <w:ilvl w:val="0"/>
                <w:numId w:val="13"/>
              </w:numPr>
              <w:ind w:left="1080"/>
              <w:contextualSpacing w:val="0"/>
              <w:rPr>
                <w:rFonts w:ascii="Times New Roman" w:hAnsi="Times New Roman" w:cs="Times New Roman"/>
                <w:sz w:val="24"/>
                <w:szCs w:val="24"/>
              </w:rPr>
            </w:pPr>
            <w:r w:rsidRPr="00530866">
              <w:rPr>
                <w:rFonts w:ascii="Times New Roman" w:hAnsi="Times New Roman" w:cs="Times New Roman"/>
                <w:sz w:val="24"/>
                <w:szCs w:val="24"/>
              </w:rPr>
              <w:t xml:space="preserve">State the current rates of the </w:t>
            </w:r>
            <w:r w:rsidR="00C04184">
              <w:rPr>
                <w:rFonts w:ascii="Times New Roman" w:hAnsi="Times New Roman" w:cs="Times New Roman"/>
                <w:sz w:val="24"/>
                <w:szCs w:val="24"/>
              </w:rPr>
              <w:t>seller</w:t>
            </w:r>
            <w:r w:rsidRPr="00530866">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pPr>
              <w:pStyle w:val="ListParagraph"/>
              <w:numPr>
                <w:ilvl w:val="0"/>
                <w:numId w:val="13"/>
              </w:numPr>
              <w:ind w:left="1080"/>
              <w:contextualSpacing w:val="0"/>
              <w:rPr>
                <w:rFonts w:ascii="Times New Roman" w:hAnsi="Times New Roman" w:cs="Times New Roman"/>
                <w:sz w:val="24"/>
                <w:szCs w:val="24"/>
              </w:rPr>
            </w:pPr>
            <w:r>
              <w:rPr>
                <w:rFonts w:ascii="Times New Roman" w:hAnsi="Times New Roman" w:cs="Times New Roman"/>
                <w:sz w:val="24"/>
                <w:szCs w:val="24"/>
              </w:rPr>
              <w:t>Provide a copy of the sell</w:t>
            </w:r>
            <w:r w:rsidR="00C04184">
              <w:rPr>
                <w:rFonts w:ascii="Times New Roman" w:hAnsi="Times New Roman" w:cs="Times New Roman"/>
                <w:sz w:val="24"/>
                <w:szCs w:val="24"/>
              </w:rPr>
              <w:t>er</w:t>
            </w:r>
            <w:r>
              <w:rPr>
                <w:rFonts w:ascii="Times New Roman" w:hAnsi="Times New Roman" w:cs="Times New Roman"/>
                <w:sz w:val="24"/>
                <w:szCs w:val="24"/>
              </w:rPr>
              <w:t xml:space="preserve">’s current rules and </w:t>
            </w:r>
            <w:r w:rsidRPr="00814FCF">
              <w:rPr>
                <w:rFonts w:ascii="Times New Roman" w:hAnsi="Times New Roman" w:cs="Times New Roman"/>
                <w:sz w:val="24"/>
                <w:szCs w:val="24"/>
              </w:rPr>
              <w:t>regulations</w:t>
            </w:r>
            <w:r>
              <w:rPr>
                <w:rFonts w:ascii="Times New Roman" w:hAnsi="Times New Roman" w:cs="Times New Roman"/>
                <w:sz w:val="24"/>
                <w:szCs w:val="24"/>
              </w:rPr>
              <w:t xml:space="preserve"> for service.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814FCF">
            <w:pPr>
              <w:pStyle w:val="ListParagraph"/>
              <w:numPr>
                <w:ilvl w:val="0"/>
                <w:numId w:val="13"/>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Provide a proposed tariff or tariff supplement showing the </w:t>
            </w:r>
            <w:r w:rsidRPr="00D955DD">
              <w:rPr>
                <w:rFonts w:ascii="Times New Roman" w:hAnsi="Times New Roman" w:cs="Times New Roman"/>
                <w:sz w:val="24"/>
                <w:szCs w:val="24"/>
              </w:rPr>
              <w:t>rates, proposed ru</w:t>
            </w:r>
            <w:r>
              <w:rPr>
                <w:rFonts w:ascii="Times New Roman" w:hAnsi="Times New Roman" w:cs="Times New Roman"/>
                <w:sz w:val="24"/>
                <w:szCs w:val="24"/>
              </w:rPr>
              <w:t>les, and conditions of service.</w:t>
            </w:r>
            <w:r w:rsidRPr="00814FCF">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814FCF">
            <w:pPr>
              <w:pStyle w:val="ListParagraph"/>
              <w:numPr>
                <w:ilvl w:val="0"/>
                <w:numId w:val="13"/>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Provide a copy of the notification sent to affected </w:t>
            </w:r>
            <w:r w:rsidRPr="00D955DD">
              <w:rPr>
                <w:rFonts w:ascii="Times New Roman" w:hAnsi="Times New Roman" w:cs="Times New Roman"/>
                <w:sz w:val="24"/>
                <w:szCs w:val="24"/>
              </w:rPr>
              <w:t xml:space="preserve">customers </w:t>
            </w:r>
            <w:r>
              <w:rPr>
                <w:rFonts w:ascii="Times New Roman" w:hAnsi="Times New Roman" w:cs="Times New Roman"/>
                <w:sz w:val="24"/>
                <w:szCs w:val="24"/>
              </w:rPr>
              <w:t xml:space="preserve">describing </w:t>
            </w:r>
            <w:r w:rsidRPr="00D955DD">
              <w:rPr>
                <w:rFonts w:ascii="Times New Roman" w:hAnsi="Times New Roman" w:cs="Times New Roman"/>
                <w:sz w:val="24"/>
                <w:szCs w:val="24"/>
              </w:rPr>
              <w:t xml:space="preserve">the filing and the </w:t>
            </w:r>
            <w:r>
              <w:rPr>
                <w:rFonts w:ascii="Times New Roman" w:hAnsi="Times New Roman" w:cs="Times New Roman"/>
                <w:sz w:val="24"/>
                <w:szCs w:val="24"/>
              </w:rPr>
              <w:t xml:space="preserve">proposed </w:t>
            </w:r>
            <w:r w:rsidRPr="00D955DD">
              <w:rPr>
                <w:rFonts w:ascii="Times New Roman" w:hAnsi="Times New Roman" w:cs="Times New Roman"/>
                <w:sz w:val="24"/>
                <w:szCs w:val="24"/>
              </w:rPr>
              <w:t>rates.</w:t>
            </w:r>
            <w:r w:rsidRPr="008054A5">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26739" w:rsidRDefault="001C2587" w:rsidP="00814FCF">
            <w:pPr>
              <w:pStyle w:val="ListParagraph"/>
              <w:numPr>
                <w:ilvl w:val="0"/>
                <w:numId w:val="2"/>
              </w:numPr>
              <w:ind w:left="360"/>
              <w:contextualSpacing w:val="0"/>
              <w:rPr>
                <w:rFonts w:ascii="Times New Roman" w:hAnsi="Times New Roman" w:cs="Times New Roman"/>
                <w:sz w:val="24"/>
                <w:szCs w:val="24"/>
              </w:rPr>
            </w:pPr>
            <w:r w:rsidRPr="00426739">
              <w:rPr>
                <w:rFonts w:ascii="Times New Roman" w:hAnsi="Times New Roman" w:cs="Times New Roman"/>
                <w:sz w:val="24"/>
                <w:szCs w:val="24"/>
              </w:rPr>
              <w:t>Cost of Service.</w:t>
            </w:r>
          </w:p>
          <w:p w:rsidR="001C2587" w:rsidRDefault="001C2587" w:rsidP="00814FCF">
            <w:pPr>
              <w:pStyle w:val="ListParagraph"/>
              <w:numPr>
                <w:ilvl w:val="1"/>
                <w:numId w:val="14"/>
              </w:numPr>
              <w:ind w:left="1080"/>
              <w:contextualSpacing w:val="0"/>
              <w:rPr>
                <w:rFonts w:ascii="Times New Roman" w:hAnsi="Times New Roman" w:cs="Times New Roman"/>
                <w:sz w:val="24"/>
                <w:szCs w:val="24"/>
              </w:rPr>
            </w:pPr>
            <w:r w:rsidRPr="00AF3C76">
              <w:rPr>
                <w:rFonts w:ascii="Times New Roman" w:hAnsi="Times New Roman" w:cs="Times New Roman"/>
                <w:sz w:val="24"/>
                <w:szCs w:val="24"/>
              </w:rPr>
              <w:t>Provide a copy of the seller’s audited financial statement fo</w:t>
            </w:r>
            <w:r>
              <w:rPr>
                <w:rFonts w:ascii="Times New Roman" w:hAnsi="Times New Roman" w:cs="Times New Roman"/>
                <w:sz w:val="24"/>
                <w:szCs w:val="24"/>
              </w:rPr>
              <w:t>r</w:t>
            </w:r>
            <w:r w:rsidRPr="00AF3C76">
              <w:rPr>
                <w:rFonts w:ascii="Times New Roman" w:hAnsi="Times New Roman" w:cs="Times New Roman"/>
                <w:sz w:val="24"/>
                <w:szCs w:val="24"/>
              </w:rPr>
              <w:t xml:space="preserve"> the previous two years.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814FCF">
            <w:pPr>
              <w:pStyle w:val="ListParagraph"/>
              <w:numPr>
                <w:ilvl w:val="1"/>
                <w:numId w:val="14"/>
              </w:numPr>
              <w:ind w:left="1080"/>
              <w:contextualSpacing w:val="0"/>
              <w:rPr>
                <w:rFonts w:ascii="Times New Roman" w:hAnsi="Times New Roman" w:cs="Times New Roman"/>
                <w:sz w:val="24"/>
                <w:szCs w:val="24"/>
              </w:rPr>
            </w:pPr>
            <w:r w:rsidRPr="00426739">
              <w:rPr>
                <w:rFonts w:ascii="Times New Roman" w:hAnsi="Times New Roman" w:cs="Times New Roman"/>
                <w:sz w:val="24"/>
                <w:szCs w:val="24"/>
              </w:rPr>
              <w:t xml:space="preserve">Provide </w:t>
            </w:r>
            <w:r>
              <w:rPr>
                <w:rFonts w:ascii="Times New Roman" w:hAnsi="Times New Roman" w:cs="Times New Roman"/>
                <w:sz w:val="24"/>
                <w:szCs w:val="24"/>
              </w:rPr>
              <w:t xml:space="preserve">a </w:t>
            </w:r>
            <w:r w:rsidRPr="00426739">
              <w:rPr>
                <w:rFonts w:ascii="Times New Roman" w:hAnsi="Times New Roman" w:cs="Times New Roman"/>
                <w:sz w:val="24"/>
                <w:szCs w:val="24"/>
              </w:rPr>
              <w:t>cop</w:t>
            </w:r>
            <w:r>
              <w:rPr>
                <w:rFonts w:ascii="Times New Roman" w:hAnsi="Times New Roman" w:cs="Times New Roman"/>
                <w:sz w:val="24"/>
                <w:szCs w:val="24"/>
              </w:rPr>
              <w:t>y</w:t>
            </w:r>
            <w:r w:rsidRPr="00426739">
              <w:rPr>
                <w:rFonts w:ascii="Times New Roman" w:hAnsi="Times New Roman" w:cs="Times New Roman"/>
                <w:sz w:val="24"/>
                <w:szCs w:val="24"/>
              </w:rPr>
              <w:t xml:space="preserve"> of the seller’s </w:t>
            </w:r>
            <w:r>
              <w:rPr>
                <w:rFonts w:ascii="Times New Roman" w:hAnsi="Times New Roman" w:cs="Times New Roman"/>
                <w:sz w:val="24"/>
                <w:szCs w:val="24"/>
              </w:rPr>
              <w:t xml:space="preserve">adopted budget from </w:t>
            </w:r>
            <w:r w:rsidRPr="00426739">
              <w:rPr>
                <w:rFonts w:ascii="Times New Roman" w:hAnsi="Times New Roman" w:cs="Times New Roman"/>
                <w:sz w:val="24"/>
                <w:szCs w:val="24"/>
              </w:rPr>
              <w:t xml:space="preserve">the previous two years.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26739" w:rsidRDefault="001C2587" w:rsidP="00814FCF">
            <w:pPr>
              <w:pStyle w:val="ListParagraph"/>
              <w:numPr>
                <w:ilvl w:val="1"/>
                <w:numId w:val="14"/>
              </w:numPr>
              <w:ind w:left="1080"/>
              <w:contextualSpacing w:val="0"/>
              <w:rPr>
                <w:rFonts w:ascii="Times New Roman" w:hAnsi="Times New Roman" w:cs="Times New Roman"/>
                <w:sz w:val="24"/>
                <w:szCs w:val="24"/>
              </w:rPr>
            </w:pPr>
            <w:r>
              <w:rPr>
                <w:rFonts w:ascii="Times New Roman" w:hAnsi="Times New Roman" w:cs="Times New Roman"/>
                <w:sz w:val="24"/>
                <w:szCs w:val="24"/>
              </w:rPr>
              <w:t xml:space="preserve">If the seller is a municipal authority, provide a copy of the most recent annual report filed with the Commonwealth’s Department of </w:t>
            </w:r>
            <w:r w:rsidRPr="00A33949">
              <w:rPr>
                <w:rFonts w:ascii="Times New Roman" w:hAnsi="Times New Roman" w:cs="Times New Roman"/>
                <w:sz w:val="24"/>
                <w:szCs w:val="24"/>
              </w:rPr>
              <w:t xml:space="preserve">Community </w:t>
            </w:r>
            <w:r>
              <w:rPr>
                <w:rFonts w:ascii="Times New Roman" w:hAnsi="Times New Roman" w:cs="Times New Roman"/>
                <w:sz w:val="24"/>
                <w:szCs w:val="24"/>
              </w:rPr>
              <w:t xml:space="preserve">and Economic Development.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814FCF">
            <w:pPr>
              <w:pStyle w:val="ListParagraph"/>
              <w:numPr>
                <w:ilvl w:val="1"/>
                <w:numId w:val="14"/>
              </w:numPr>
              <w:ind w:left="1080"/>
              <w:contextualSpacing w:val="0"/>
              <w:rPr>
                <w:rFonts w:ascii="Times New Roman" w:hAnsi="Times New Roman" w:cs="Times New Roman"/>
                <w:sz w:val="24"/>
                <w:szCs w:val="24"/>
              </w:rPr>
            </w:pPr>
            <w:r>
              <w:rPr>
                <w:rFonts w:ascii="Times New Roman" w:hAnsi="Times New Roman" w:cs="Times New Roman"/>
                <w:sz w:val="24"/>
                <w:szCs w:val="24"/>
              </w:rPr>
              <w:t>Provide calculations quantifying the projected revenues and expenses for the acquisition.</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pPr>
              <w:pStyle w:val="ListParagraph"/>
              <w:numPr>
                <w:ilvl w:val="1"/>
                <w:numId w:val="14"/>
              </w:numPr>
              <w:ind w:left="1080"/>
              <w:contextualSpacing w:val="0"/>
              <w:rPr>
                <w:rFonts w:ascii="Times New Roman" w:hAnsi="Times New Roman" w:cs="Times New Roman"/>
                <w:sz w:val="24"/>
                <w:szCs w:val="24"/>
              </w:rPr>
            </w:pPr>
            <w:r w:rsidRPr="000556DB">
              <w:rPr>
                <w:rFonts w:ascii="Times New Roman" w:hAnsi="Times New Roman" w:cs="Times New Roman"/>
                <w:sz w:val="24"/>
                <w:szCs w:val="24"/>
              </w:rPr>
              <w:t xml:space="preserve">State whether </w:t>
            </w:r>
            <w:r w:rsidR="00D519A4">
              <w:rPr>
                <w:rFonts w:ascii="Times New Roman" w:hAnsi="Times New Roman" w:cs="Times New Roman"/>
                <w:sz w:val="24"/>
                <w:szCs w:val="24"/>
              </w:rPr>
              <w:t>the sell</w:t>
            </w:r>
            <w:r w:rsidR="00C04184">
              <w:rPr>
                <w:rFonts w:ascii="Times New Roman" w:hAnsi="Times New Roman" w:cs="Times New Roman"/>
                <w:sz w:val="24"/>
                <w:szCs w:val="24"/>
              </w:rPr>
              <w:t>er</w:t>
            </w:r>
            <w:r w:rsidR="00D519A4">
              <w:rPr>
                <w:rFonts w:ascii="Times New Roman" w:hAnsi="Times New Roman" w:cs="Times New Roman"/>
                <w:sz w:val="24"/>
                <w:szCs w:val="24"/>
              </w:rPr>
              <w:t xml:space="preserve"> has</w:t>
            </w:r>
            <w:r>
              <w:rPr>
                <w:rFonts w:ascii="Times New Roman" w:hAnsi="Times New Roman" w:cs="Times New Roman"/>
                <w:sz w:val="24"/>
                <w:szCs w:val="24"/>
              </w:rPr>
              <w:t xml:space="preserve"> any outstanding loans on the utility plant and identify the nature, terms, and payment history.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814FCF">
            <w:pPr>
              <w:pStyle w:val="ListParagraph"/>
              <w:numPr>
                <w:ilvl w:val="0"/>
                <w:numId w:val="2"/>
              </w:numPr>
              <w:ind w:left="360"/>
              <w:contextualSpacing w:val="0"/>
              <w:rPr>
                <w:rFonts w:ascii="Times New Roman" w:hAnsi="Times New Roman" w:cs="Times New Roman"/>
                <w:color w:val="000000" w:themeColor="text1"/>
                <w:sz w:val="24"/>
                <w:szCs w:val="24"/>
              </w:rPr>
            </w:pPr>
            <w:r w:rsidRPr="00814FCF">
              <w:rPr>
                <w:rFonts w:ascii="Times New Roman" w:hAnsi="Times New Roman" w:cs="Times New Roman"/>
                <w:sz w:val="24"/>
                <w:szCs w:val="24"/>
              </w:rPr>
              <w:t>Proof</w:t>
            </w:r>
            <w:r w:rsidRPr="0082070E">
              <w:rPr>
                <w:rFonts w:ascii="Times New Roman" w:hAnsi="Times New Roman" w:cs="Times New Roman"/>
                <w:color w:val="000000" w:themeColor="text1"/>
                <w:sz w:val="24"/>
                <w:szCs w:val="24"/>
              </w:rPr>
              <w:t xml:space="preserve"> of Compliance.  P</w:t>
            </w:r>
            <w:r>
              <w:rPr>
                <w:rFonts w:ascii="Times New Roman" w:hAnsi="Times New Roman" w:cs="Times New Roman"/>
                <w:color w:val="000000" w:themeColor="text1"/>
                <w:sz w:val="24"/>
                <w:szCs w:val="24"/>
              </w:rPr>
              <w:t>rovide p</w:t>
            </w:r>
            <w:r w:rsidRPr="0082070E">
              <w:rPr>
                <w:rFonts w:ascii="Times New Roman" w:hAnsi="Times New Roman" w:cs="Times New Roman"/>
                <w:color w:val="000000" w:themeColor="text1"/>
                <w:sz w:val="24"/>
                <w:szCs w:val="24"/>
              </w:rPr>
              <w:t>roof of compliance with applicable design, construction and operation standards of DEP or of the county health department, or both, including:</w:t>
            </w:r>
          </w:p>
          <w:p w:rsidR="001C2587" w:rsidRPr="0082070E"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acquisitions, provide copies of the public water supply/water quality management permits for the utility plant.</w:t>
            </w:r>
            <w:r w:rsidRPr="0082070E">
              <w:rPr>
                <w:color w:val="000000" w:themeColor="text1"/>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wastewater </w:t>
            </w:r>
            <w:r w:rsidRPr="0082070E">
              <w:rPr>
                <w:rFonts w:ascii="Times New Roman" w:hAnsi="Times New Roman" w:cs="Times New Roman"/>
                <w:color w:val="000000" w:themeColor="text1"/>
                <w:sz w:val="24"/>
                <w:szCs w:val="24"/>
              </w:rPr>
              <w:t>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provide copies of the </w:t>
            </w:r>
            <w:r w:rsidR="007A76A0">
              <w:rPr>
                <w:rFonts w:ascii="Times New Roman" w:hAnsi="Times New Roman" w:cs="Times New Roman"/>
                <w:color w:val="000000" w:themeColor="text1"/>
                <w:sz w:val="24"/>
                <w:szCs w:val="24"/>
              </w:rPr>
              <w:t xml:space="preserve">water quality management and </w:t>
            </w:r>
            <w:r w:rsidRPr="0082070E">
              <w:rPr>
                <w:rFonts w:ascii="Times New Roman" w:hAnsi="Times New Roman" w:cs="Times New Roman"/>
                <w:color w:val="000000" w:themeColor="text1"/>
                <w:sz w:val="24"/>
                <w:szCs w:val="24"/>
              </w:rPr>
              <w:t xml:space="preserve">National Pollution Discharge Elimination System (NPDES) permits for the utility plant.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795758">
              <w:rPr>
                <w:rFonts w:ascii="Times New Roman" w:hAnsi="Times New Roman" w:cs="Times New Roman"/>
                <w:b/>
                <w:color w:val="000000" w:themeColor="text1"/>
                <w:sz w:val="24"/>
                <w:szCs w:val="24"/>
              </w:rPr>
              <w:t>wastewater</w:t>
            </w:r>
            <w:r w:rsidRPr="0082070E">
              <w:rPr>
                <w:rFonts w:ascii="Times New Roman" w:hAnsi="Times New Roman" w:cs="Times New Roman"/>
                <w:color w:val="000000" w:themeColor="text1"/>
                <w:sz w:val="24"/>
                <w:szCs w:val="24"/>
              </w:rPr>
              <w:t xml:space="preserve"> system</w:t>
            </w:r>
            <w:r w:rsidRPr="004D33DD">
              <w:rPr>
                <w:rFonts w:ascii="Times New Roman" w:hAnsi="Times New Roman" w:cs="Times New Roman"/>
                <w:color w:val="000000" w:themeColor="text1"/>
                <w:sz w:val="24"/>
                <w:szCs w:val="24"/>
              </w:rPr>
              <w:t xml:space="preserve"> </w:t>
            </w:r>
            <w:r w:rsidRPr="0082070E">
              <w:rPr>
                <w:rFonts w:ascii="Times New Roman" w:hAnsi="Times New Roman" w:cs="Times New Roman"/>
                <w:color w:val="000000" w:themeColor="text1"/>
                <w:sz w:val="24"/>
                <w:szCs w:val="24"/>
              </w:rPr>
              <w:t xml:space="preserve">acquisitions, provide a copy of the Chapter 94 Municipal </w:t>
            </w:r>
            <w:proofErr w:type="spellStart"/>
            <w:r w:rsidRPr="0082070E">
              <w:rPr>
                <w:rFonts w:ascii="Times New Roman" w:hAnsi="Times New Roman" w:cs="Times New Roman"/>
                <w:color w:val="000000" w:themeColor="text1"/>
                <w:sz w:val="24"/>
                <w:szCs w:val="24"/>
              </w:rPr>
              <w:t>Wasteload</w:t>
            </w:r>
            <w:proofErr w:type="spellEnd"/>
            <w:r w:rsidRPr="0082070E">
              <w:rPr>
                <w:rFonts w:ascii="Times New Roman" w:hAnsi="Times New Roman" w:cs="Times New Roman"/>
                <w:color w:val="000000" w:themeColor="text1"/>
                <w:sz w:val="24"/>
                <w:szCs w:val="24"/>
              </w:rPr>
              <w:t xml:space="preserve"> Management Report that was most recently submitted to DEP.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Valid </w:t>
            </w:r>
            <w:r w:rsidR="006B05FB">
              <w:rPr>
                <w:rFonts w:ascii="Times New Roman" w:hAnsi="Times New Roman" w:cs="Times New Roman"/>
                <w:color w:val="000000" w:themeColor="text1"/>
                <w:sz w:val="24"/>
                <w:szCs w:val="24"/>
              </w:rPr>
              <w:t xml:space="preserve">buyer’s </w:t>
            </w:r>
            <w:r w:rsidRPr="004D33DD">
              <w:rPr>
                <w:rFonts w:ascii="Times New Roman" w:hAnsi="Times New Roman" w:cs="Times New Roman"/>
                <w:color w:val="000000" w:themeColor="text1"/>
                <w:sz w:val="24"/>
                <w:szCs w:val="24"/>
              </w:rPr>
              <w:t xml:space="preserve">certified operators’ certificates appropriate to the facilities being </w:t>
            </w:r>
            <w:r w:rsidR="006B05FB">
              <w:rPr>
                <w:rFonts w:ascii="Times New Roman" w:hAnsi="Times New Roman" w:cs="Times New Roman"/>
                <w:color w:val="000000" w:themeColor="text1"/>
                <w:sz w:val="24"/>
                <w:szCs w:val="24"/>
              </w:rPr>
              <w:t>acquired</w:t>
            </w:r>
            <w:r w:rsidRPr="004D33DD">
              <w:rPr>
                <w:rFonts w:ascii="Times New Roman" w:hAnsi="Times New Roman" w:cs="Times New Roman"/>
                <w:color w:val="000000" w:themeColor="text1"/>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6B05FB" w:rsidRDefault="001C2587" w:rsidP="007A76A0">
            <w:pPr>
              <w:pStyle w:val="ListParagraph"/>
              <w:numPr>
                <w:ilvl w:val="0"/>
                <w:numId w:val="15"/>
              </w:numPr>
              <w:ind w:left="1080"/>
              <w:contextualSpacing w:val="0"/>
              <w:rPr>
                <w:rFonts w:ascii="Times New Roman" w:hAnsi="Times New Roman" w:cs="Times New Roman"/>
                <w:color w:val="000000" w:themeColor="text1"/>
                <w:sz w:val="24"/>
                <w:szCs w:val="24"/>
              </w:rPr>
            </w:pPr>
            <w:r w:rsidRPr="006B05FB">
              <w:rPr>
                <w:rFonts w:ascii="Times New Roman" w:hAnsi="Times New Roman" w:cs="Times New Roman"/>
                <w:color w:val="000000" w:themeColor="text1"/>
                <w:sz w:val="24"/>
                <w:szCs w:val="24"/>
              </w:rPr>
              <w:t xml:space="preserve">Provide documentation evidencing a 5-year compliance history with DEP with an explanation of each violation for </w:t>
            </w:r>
            <w:r w:rsidR="006B05FB" w:rsidRPr="00C44B9A">
              <w:rPr>
                <w:rFonts w:ascii="Times New Roman" w:hAnsi="Times New Roman" w:cs="Times New Roman"/>
                <w:color w:val="000000" w:themeColor="text1"/>
                <w:sz w:val="24"/>
                <w:szCs w:val="24"/>
              </w:rPr>
              <w:t xml:space="preserve">the seller’s </w:t>
            </w:r>
            <w:r w:rsidRPr="006B05FB">
              <w:rPr>
                <w:rFonts w:ascii="Times New Roman" w:hAnsi="Times New Roman" w:cs="Times New Roman"/>
                <w:color w:val="000000" w:themeColor="text1"/>
                <w:sz w:val="24"/>
                <w:szCs w:val="24"/>
              </w:rPr>
              <w:t>utilities that have been providing service</w:t>
            </w:r>
            <w:r w:rsidR="007A76A0" w:rsidRPr="006B05FB">
              <w:rPr>
                <w:rFonts w:ascii="Times New Roman" w:hAnsi="Times New Roman" w:cs="Times New Roman"/>
                <w:color w:val="000000" w:themeColor="text1"/>
                <w:sz w:val="24"/>
                <w:szCs w:val="24"/>
              </w:rPr>
              <w:t xml:space="preserve"> as well as provide a copy of any </w:t>
            </w:r>
            <w:r w:rsidR="00984564" w:rsidRPr="006B05FB">
              <w:rPr>
                <w:rFonts w:ascii="Times New Roman" w:hAnsi="Times New Roman" w:cs="Times New Roman"/>
                <w:color w:val="000000" w:themeColor="text1"/>
                <w:sz w:val="24"/>
                <w:szCs w:val="24"/>
              </w:rPr>
              <w:t xml:space="preserve">DEP-approved </w:t>
            </w:r>
            <w:r w:rsidR="007A76A0" w:rsidRPr="006B05FB">
              <w:rPr>
                <w:rFonts w:ascii="Times New Roman" w:hAnsi="Times New Roman" w:cs="Times New Roman"/>
                <w:color w:val="000000" w:themeColor="text1"/>
                <w:sz w:val="24"/>
                <w:szCs w:val="24"/>
              </w:rPr>
              <w:t>corrective action plan</w:t>
            </w:r>
            <w:r w:rsidR="00BF6451" w:rsidRPr="006B05FB">
              <w:rPr>
                <w:rFonts w:ascii="Times New Roman" w:hAnsi="Times New Roman" w:cs="Times New Roman"/>
                <w:color w:val="000000" w:themeColor="text1"/>
                <w:sz w:val="24"/>
                <w:szCs w:val="24"/>
              </w:rPr>
              <w:t>s</w:t>
            </w:r>
            <w:r w:rsidRPr="006B05FB">
              <w:rPr>
                <w:rFonts w:ascii="Times New Roman" w:hAnsi="Times New Roman" w:cs="Times New Roman"/>
                <w:color w:val="000000" w:themeColor="text1"/>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6B05FB" w:rsidRDefault="001C2587">
            <w:pPr>
              <w:pStyle w:val="ListParagraph"/>
              <w:numPr>
                <w:ilvl w:val="0"/>
                <w:numId w:val="15"/>
              </w:numPr>
              <w:ind w:left="1080"/>
              <w:contextualSpacing w:val="0"/>
              <w:rPr>
                <w:rFonts w:ascii="Times New Roman" w:hAnsi="Times New Roman" w:cs="Times New Roman"/>
                <w:color w:val="000000" w:themeColor="text1"/>
                <w:sz w:val="24"/>
                <w:szCs w:val="24"/>
              </w:rPr>
            </w:pPr>
            <w:r w:rsidRPr="006B05FB">
              <w:rPr>
                <w:rFonts w:ascii="Times New Roman" w:hAnsi="Times New Roman" w:cs="Times New Roman"/>
                <w:color w:val="000000" w:themeColor="text1"/>
                <w:sz w:val="24"/>
                <w:szCs w:val="24"/>
              </w:rPr>
              <w:t>Provide documentation evidencing a 5-year compliance history with DEP of other utilities owned or operated, or both, by the buyer, including affiliates, and their officers and parent corporations with regard to the provision of utility service.</w:t>
            </w:r>
            <w:r w:rsidR="00DC6D65" w:rsidRPr="006B05FB">
              <w:rPr>
                <w:rStyle w:val="FootnoteReference"/>
                <w:rFonts w:ascii="Times New Roman" w:hAnsi="Times New Roman" w:cs="Times New Roman"/>
                <w:color w:val="000000" w:themeColor="text1"/>
                <w:sz w:val="24"/>
                <w:szCs w:val="24"/>
              </w:rPr>
              <w:footnoteReference w:id="4"/>
            </w:r>
            <w:r w:rsidRPr="006B05FB">
              <w:rPr>
                <w:rFonts w:ascii="Times New Roman" w:hAnsi="Times New Roman" w:cs="Times New Roman"/>
                <w:color w:val="000000" w:themeColor="text1"/>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Provide </w:t>
            </w:r>
            <w:r w:rsidR="007A76A0">
              <w:rPr>
                <w:rFonts w:ascii="Times New Roman" w:hAnsi="Times New Roman" w:cs="Times New Roman"/>
                <w:color w:val="000000" w:themeColor="text1"/>
                <w:sz w:val="24"/>
                <w:szCs w:val="24"/>
              </w:rPr>
              <w:t xml:space="preserve">a </w:t>
            </w:r>
            <w:r w:rsidRPr="004D33DD">
              <w:rPr>
                <w:rFonts w:ascii="Times New Roman" w:hAnsi="Times New Roman" w:cs="Times New Roman"/>
                <w:color w:val="000000" w:themeColor="text1"/>
                <w:sz w:val="24"/>
                <w:szCs w:val="24"/>
              </w:rPr>
              <w:t xml:space="preserve">statement clarifying whether the acquired plant will be physically interconnected to the buyer’s system or be operated as a standalone system.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Provide a statement that explains how the acquisition will fit into the current operations of the buyer.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Provide a statement that identifies the staff, district or division of the buyer that will operate and manage the acquisition.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Provide a statement quantifying the distance in miles the acquisition is from the buyer’s existing system or facilities.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5"/>
              </w:numPr>
              <w:ind w:left="1080"/>
              <w:contextualSpacing w:val="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Provide a statement that identifies all planned physical, operational and managerial changes of the buyer that will occur after closing and state the timeframe and cost for each.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4D33DD">
            <w:pPr>
              <w:pStyle w:val="ListParagraph"/>
              <w:numPr>
                <w:ilvl w:val="0"/>
                <w:numId w:val="2"/>
              </w:numPr>
              <w:ind w:left="360"/>
              <w:contextualSpacing w:val="0"/>
              <w:rPr>
                <w:rFonts w:ascii="Times New Roman" w:hAnsi="Times New Roman" w:cs="Times New Roman"/>
                <w:sz w:val="24"/>
                <w:szCs w:val="24"/>
              </w:rPr>
            </w:pPr>
            <w:r w:rsidRPr="004D33DD">
              <w:rPr>
                <w:rFonts w:ascii="Times New Roman" w:hAnsi="Times New Roman" w:cs="Times New Roman"/>
                <w:color w:val="000000" w:themeColor="text1"/>
                <w:sz w:val="24"/>
                <w:szCs w:val="24"/>
              </w:rPr>
              <w:t>Affected</w:t>
            </w:r>
            <w:r w:rsidRPr="00773BF6">
              <w:rPr>
                <w:rFonts w:ascii="Times New Roman" w:hAnsi="Times New Roman" w:cs="Times New Roman"/>
                <w:sz w:val="24"/>
                <w:szCs w:val="24"/>
              </w:rPr>
              <w:t xml:space="preserve"> </w:t>
            </w:r>
            <w:r>
              <w:rPr>
                <w:rFonts w:ascii="Times New Roman" w:hAnsi="Times New Roman" w:cs="Times New Roman"/>
                <w:sz w:val="24"/>
                <w:szCs w:val="24"/>
              </w:rPr>
              <w:t>P</w:t>
            </w:r>
            <w:r w:rsidRPr="00773BF6">
              <w:rPr>
                <w:rFonts w:ascii="Times New Roman" w:hAnsi="Times New Roman" w:cs="Times New Roman"/>
                <w:sz w:val="24"/>
                <w:szCs w:val="24"/>
              </w:rPr>
              <w:t xml:space="preserve">ersons. </w:t>
            </w:r>
            <w:r>
              <w:rPr>
                <w:rFonts w:ascii="Times New Roman" w:hAnsi="Times New Roman" w:cs="Times New Roman"/>
                <w:sz w:val="24"/>
                <w:szCs w:val="24"/>
              </w:rPr>
              <w:t xml:space="preserve"> State t</w:t>
            </w:r>
            <w:r w:rsidRPr="00773BF6">
              <w:rPr>
                <w:rFonts w:ascii="Times New Roman" w:hAnsi="Times New Roman" w:cs="Times New Roman"/>
                <w:sz w:val="24"/>
                <w:szCs w:val="24"/>
              </w:rPr>
              <w:t xml:space="preserve">he identity of </w:t>
            </w:r>
            <w:r>
              <w:rPr>
                <w:rFonts w:ascii="Times New Roman" w:hAnsi="Times New Roman" w:cs="Times New Roman"/>
                <w:sz w:val="24"/>
                <w:szCs w:val="24"/>
              </w:rPr>
              <w:t xml:space="preserve">all </w:t>
            </w:r>
            <w:r w:rsidRPr="00773BF6">
              <w:rPr>
                <w:rFonts w:ascii="Times New Roman" w:hAnsi="Times New Roman" w:cs="Times New Roman"/>
                <w:sz w:val="24"/>
                <w:szCs w:val="24"/>
              </w:rPr>
              <w:t>public utilities, municipalities, municipal authorities, cooperatives and associations which provide public water service or wastewater collection, treatment or disposal service within each municipality, or a municipality directly adjacent to the municipalit</w:t>
            </w:r>
            <w:r>
              <w:rPr>
                <w:rFonts w:ascii="Times New Roman" w:hAnsi="Times New Roman" w:cs="Times New Roman"/>
                <w:sz w:val="24"/>
                <w:szCs w:val="24"/>
              </w:rPr>
              <w: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w:t>
            </w:r>
            <w:r w:rsidRPr="00773BF6">
              <w:rPr>
                <w:rFonts w:ascii="Times New Roman" w:hAnsi="Times New Roman" w:cs="Times New Roman"/>
                <w:sz w:val="24"/>
                <w:szCs w:val="24"/>
              </w:rPr>
              <w:t xml:space="preserve">, in which the applicant seeks to provide service that abuts or is situated within </w:t>
            </w:r>
            <w:r>
              <w:rPr>
                <w:rFonts w:ascii="Times New Roman" w:hAnsi="Times New Roman" w:cs="Times New Roman"/>
                <w:sz w:val="24"/>
                <w:szCs w:val="24"/>
              </w:rPr>
              <w:t>one</w:t>
            </w:r>
            <w:r w:rsidRPr="00773BF6">
              <w:rPr>
                <w:rFonts w:ascii="Times New Roman" w:hAnsi="Times New Roman" w:cs="Times New Roman"/>
                <w:sz w:val="24"/>
                <w:szCs w:val="24"/>
              </w:rPr>
              <w:t xml:space="preserve"> mile of the applicant’s proposed facilities.</w:t>
            </w:r>
            <w:r w:rsidRPr="00773BF6">
              <w:t xml:space="preserve"> </w:t>
            </w:r>
            <w: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4D33DD">
            <w:pPr>
              <w:pStyle w:val="ListParagraph"/>
              <w:numPr>
                <w:ilvl w:val="0"/>
                <w:numId w:val="2"/>
              </w:numPr>
              <w:ind w:left="360"/>
              <w:contextualSpacing w:val="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Other requirements.  Demonstrate compliance with the following:</w:t>
            </w:r>
          </w:p>
          <w:p w:rsidR="001C2587" w:rsidRPr="0082070E" w:rsidRDefault="001C2587" w:rsidP="004D33DD">
            <w:pPr>
              <w:pStyle w:val="ListParagraph"/>
              <w:numPr>
                <w:ilvl w:val="1"/>
                <w:numId w:val="16"/>
              </w:numPr>
              <w:ind w:left="108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wastewater </w:t>
            </w:r>
            <w:r w:rsidRPr="0082070E">
              <w:rPr>
                <w:rFonts w:ascii="Times New Roman" w:hAnsi="Times New Roman" w:cs="Times New Roman"/>
                <w:color w:val="000000" w:themeColor="text1"/>
                <w:sz w:val="24"/>
                <w:szCs w:val="24"/>
              </w:rPr>
              <w:t>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demonstrate compliance with the DEP-approved Act 537 Official Sewage Facilities Plans for the affected municipalities (including the extent of the requested service territory).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4D33DD">
            <w:pPr>
              <w:pStyle w:val="ListParagraph"/>
              <w:numPr>
                <w:ilvl w:val="1"/>
                <w:numId w:val="16"/>
              </w:numPr>
              <w:ind w:left="108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wastewater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provide a copy of the DEP-approved Act 537 Official Sewage Facilities Plans for the affected municipalities.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4D33DD">
            <w:pPr>
              <w:pStyle w:val="ListParagraph"/>
              <w:numPr>
                <w:ilvl w:val="1"/>
                <w:numId w:val="16"/>
              </w:numPr>
              <w:ind w:left="108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wastewater</w:t>
            </w:r>
            <w:r w:rsidRPr="0082070E">
              <w:rPr>
                <w:b/>
                <w:color w:val="000000" w:themeColor="text1"/>
              </w:rPr>
              <w:t xml:space="preserve"> </w:t>
            </w:r>
            <w:r w:rsidRPr="0082070E">
              <w:rPr>
                <w:rFonts w:ascii="Times New Roman" w:hAnsi="Times New Roman" w:cs="Times New Roman"/>
                <w:color w:val="000000" w:themeColor="text1"/>
                <w:sz w:val="24"/>
                <w:szCs w:val="24"/>
              </w:rPr>
              <w:t xml:space="preserve">system acquisitions, state the method of water service being provided in the requested </w:t>
            </w:r>
            <w:r w:rsidR="007A76A0">
              <w:rPr>
                <w:rFonts w:ascii="Times New Roman" w:hAnsi="Times New Roman" w:cs="Times New Roman"/>
                <w:color w:val="000000" w:themeColor="text1"/>
                <w:sz w:val="24"/>
                <w:szCs w:val="24"/>
              </w:rPr>
              <w:t xml:space="preserve">wastewater service </w:t>
            </w:r>
            <w:r w:rsidRPr="0082070E">
              <w:rPr>
                <w:rFonts w:ascii="Times New Roman" w:hAnsi="Times New Roman" w:cs="Times New Roman"/>
                <w:color w:val="000000" w:themeColor="text1"/>
                <w:sz w:val="24"/>
                <w:szCs w:val="24"/>
              </w:rPr>
              <w:t>territory (i.e., public water or private wells) and identify the name of water utility, if applicable.</w:t>
            </w:r>
            <w:r w:rsidRPr="0082070E">
              <w:rPr>
                <w:color w:val="000000" w:themeColor="text1"/>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2070E" w:rsidRDefault="001C2587" w:rsidP="00844738">
            <w:pPr>
              <w:pStyle w:val="ListParagraph"/>
              <w:numPr>
                <w:ilvl w:val="1"/>
                <w:numId w:val="16"/>
              </w:numPr>
              <w:ind w:left="1080"/>
              <w:rPr>
                <w:rFonts w:ascii="Times New Roman" w:hAnsi="Times New Roman" w:cs="Times New Roman"/>
                <w:color w:val="000000" w:themeColor="text1"/>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water </w:t>
            </w:r>
            <w:r w:rsidRPr="0082070E">
              <w:rPr>
                <w:rFonts w:ascii="Times New Roman" w:hAnsi="Times New Roman" w:cs="Times New Roman"/>
                <w:color w:val="000000" w:themeColor="text1"/>
                <w:sz w:val="24"/>
                <w:szCs w:val="24"/>
              </w:rPr>
              <w:t>system acquisitions, state the method of wastewater service being provided in the requested</w:t>
            </w:r>
            <w:r w:rsidR="007A76A0">
              <w:rPr>
                <w:rFonts w:ascii="Times New Roman" w:hAnsi="Times New Roman" w:cs="Times New Roman"/>
                <w:color w:val="000000" w:themeColor="text1"/>
                <w:sz w:val="24"/>
                <w:szCs w:val="24"/>
              </w:rPr>
              <w:t xml:space="preserve"> water service</w:t>
            </w:r>
            <w:r w:rsidRPr="0082070E">
              <w:rPr>
                <w:rFonts w:ascii="Times New Roman" w:hAnsi="Times New Roman" w:cs="Times New Roman"/>
                <w:color w:val="000000" w:themeColor="text1"/>
                <w:sz w:val="24"/>
                <w:szCs w:val="24"/>
              </w:rPr>
              <w:t xml:space="preserve"> territory (i.e., public wastewater or private on-lot) and identify the name of wastewater utility, if applicable.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750C2" w:rsidRDefault="001C2587" w:rsidP="00844738">
            <w:pPr>
              <w:pStyle w:val="ListParagraph"/>
              <w:numPr>
                <w:ilvl w:val="1"/>
                <w:numId w:val="16"/>
              </w:numPr>
              <w:ind w:left="1080"/>
              <w:rPr>
                <w:rFonts w:ascii="Times New Roman" w:hAnsi="Times New Roman" w:cs="Times New Roman"/>
                <w:color w:val="00B0F0"/>
                <w:sz w:val="24"/>
                <w:szCs w:val="24"/>
              </w:rPr>
            </w:pPr>
            <w:r w:rsidRPr="009B00DF">
              <w:rPr>
                <w:rFonts w:ascii="Times New Roman" w:hAnsi="Times New Roman" w:cs="Times New Roman"/>
                <w:sz w:val="24"/>
                <w:szCs w:val="24"/>
              </w:rPr>
              <w:t xml:space="preserve">Provide </w:t>
            </w:r>
            <w:r w:rsidR="00405A6E">
              <w:rPr>
                <w:rFonts w:ascii="Times New Roman" w:hAnsi="Times New Roman" w:cs="Times New Roman"/>
                <w:sz w:val="24"/>
                <w:szCs w:val="24"/>
              </w:rPr>
              <w:t xml:space="preserve">evidence the filing </w:t>
            </w:r>
            <w:r w:rsidR="007904AD">
              <w:rPr>
                <w:rFonts w:ascii="Times New Roman" w:hAnsi="Times New Roman" w:cs="Times New Roman"/>
                <w:sz w:val="24"/>
                <w:szCs w:val="24"/>
              </w:rPr>
              <w:t>is consistent w</w:t>
            </w:r>
            <w:r w:rsidR="00405A6E">
              <w:rPr>
                <w:rFonts w:ascii="Times New Roman" w:hAnsi="Times New Roman" w:cs="Times New Roman"/>
                <w:sz w:val="24"/>
                <w:szCs w:val="24"/>
              </w:rPr>
              <w:t>ith</w:t>
            </w:r>
            <w:r w:rsidRPr="009B00DF">
              <w:rPr>
                <w:rFonts w:ascii="Times New Roman" w:hAnsi="Times New Roman" w:cs="Times New Roman"/>
                <w:sz w:val="24"/>
                <w:szCs w:val="24"/>
              </w:rPr>
              <w:t xml:space="preserve"> the affected municipality and county’s comprehensive plans.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4D33DD">
            <w:pPr>
              <w:pStyle w:val="ListParagraph"/>
              <w:numPr>
                <w:ilvl w:val="0"/>
                <w:numId w:val="2"/>
              </w:numPr>
              <w:ind w:left="360"/>
              <w:contextualSpacing w:val="0"/>
              <w:rPr>
                <w:rFonts w:ascii="Times New Roman" w:hAnsi="Times New Roman" w:cs="Times New Roman"/>
                <w:sz w:val="24"/>
                <w:szCs w:val="24"/>
              </w:rPr>
            </w:pPr>
            <w:r w:rsidRPr="004D33DD">
              <w:rPr>
                <w:rFonts w:ascii="Times New Roman" w:hAnsi="Times New Roman" w:cs="Times New Roman"/>
                <w:color w:val="000000" w:themeColor="text1"/>
                <w:sz w:val="24"/>
                <w:szCs w:val="24"/>
              </w:rPr>
              <w:t>Verification</w:t>
            </w:r>
            <w:r>
              <w:rPr>
                <w:rFonts w:ascii="Times New Roman" w:hAnsi="Times New Roman" w:cs="Times New Roman"/>
                <w:sz w:val="24"/>
                <w:szCs w:val="24"/>
              </w:rPr>
              <w:t>.</w:t>
            </w:r>
          </w:p>
          <w:p w:rsidR="001C2587" w:rsidRPr="001B648D" w:rsidRDefault="001C2587" w:rsidP="004D33DD">
            <w:pPr>
              <w:pStyle w:val="ListParagraph"/>
              <w:numPr>
                <w:ilvl w:val="0"/>
                <w:numId w:val="17"/>
              </w:numPr>
              <w:ind w:left="1080"/>
              <w:rPr>
                <w:rFonts w:ascii="Times New Roman" w:hAnsi="Times New Roman" w:cs="Times New Roman"/>
                <w:sz w:val="24"/>
                <w:szCs w:val="24"/>
              </w:rPr>
            </w:pP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water </w:t>
            </w:r>
            <w:r w:rsidRPr="0082070E">
              <w:rPr>
                <w:rFonts w:ascii="Times New Roman" w:hAnsi="Times New Roman" w:cs="Times New Roman"/>
                <w:color w:val="000000" w:themeColor="text1"/>
                <w:sz w:val="24"/>
                <w:szCs w:val="24"/>
              </w:rPr>
              <w:t xml:space="preserve">system acquisitions, provide a verification that the water sources and customers are metered in accordance with 52 Pa. Code § 65.7 (relating to metered service).  If unmetered water service is currently provided, the applicant shall provide a metering plan to the Commission.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7"/>
              </w:numPr>
              <w:ind w:left="108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Include a statement that there is no affiliation between the buyer and seller.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4D33DD" w:rsidRDefault="001C2587" w:rsidP="004D33DD">
            <w:pPr>
              <w:pStyle w:val="ListParagraph"/>
              <w:numPr>
                <w:ilvl w:val="0"/>
                <w:numId w:val="17"/>
              </w:numPr>
              <w:ind w:left="1080"/>
              <w:rPr>
                <w:rFonts w:ascii="Times New Roman" w:hAnsi="Times New Roman" w:cs="Times New Roman"/>
                <w:color w:val="000000" w:themeColor="text1"/>
                <w:sz w:val="24"/>
                <w:szCs w:val="24"/>
              </w:rPr>
            </w:pPr>
            <w:r w:rsidRPr="004D33DD">
              <w:rPr>
                <w:rFonts w:ascii="Times New Roman" w:hAnsi="Times New Roman" w:cs="Times New Roman"/>
                <w:color w:val="000000" w:themeColor="text1"/>
                <w:sz w:val="24"/>
                <w:szCs w:val="24"/>
              </w:rPr>
              <w:t xml:space="preserve">Include a statement that the agreement was conducted at arm’s length.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4D33DD">
            <w:pPr>
              <w:pStyle w:val="ListParagraph"/>
              <w:numPr>
                <w:ilvl w:val="0"/>
                <w:numId w:val="17"/>
              </w:numPr>
              <w:ind w:left="1080"/>
              <w:rPr>
                <w:rFonts w:ascii="Times New Roman" w:hAnsi="Times New Roman" w:cs="Times New Roman"/>
                <w:sz w:val="24"/>
                <w:szCs w:val="24"/>
              </w:rPr>
            </w:pPr>
            <w:r w:rsidRPr="004D33DD">
              <w:rPr>
                <w:rFonts w:ascii="Times New Roman" w:hAnsi="Times New Roman" w:cs="Times New Roman"/>
                <w:color w:val="000000" w:themeColor="text1"/>
                <w:sz w:val="24"/>
                <w:szCs w:val="24"/>
              </w:rPr>
              <w:t>Include</w:t>
            </w:r>
            <w:r>
              <w:rPr>
                <w:rFonts w:ascii="Times New Roman" w:hAnsi="Times New Roman" w:cs="Times New Roman"/>
                <w:sz w:val="24"/>
                <w:szCs w:val="24"/>
              </w:rPr>
              <w:t xml:space="preserve"> a s</w:t>
            </w:r>
            <w:r w:rsidRPr="00ED246F">
              <w:rPr>
                <w:rFonts w:ascii="Times New Roman" w:hAnsi="Times New Roman" w:cs="Times New Roman"/>
                <w:sz w:val="24"/>
                <w:szCs w:val="24"/>
              </w:rPr>
              <w:t>tate</w:t>
            </w:r>
            <w:r>
              <w:rPr>
                <w:rFonts w:ascii="Times New Roman" w:hAnsi="Times New Roman" w:cs="Times New Roman"/>
                <w:sz w:val="24"/>
                <w:szCs w:val="24"/>
              </w:rPr>
              <w:t xml:space="preserve">ment explaining how the customers will benefit from the ownership.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4D33DD">
            <w:pPr>
              <w:pStyle w:val="ListParagraph"/>
              <w:numPr>
                <w:ilvl w:val="0"/>
                <w:numId w:val="2"/>
              </w:numPr>
              <w:ind w:left="360"/>
              <w:contextualSpacing w:val="0"/>
              <w:rPr>
                <w:rFonts w:ascii="Times New Roman" w:hAnsi="Times New Roman" w:cs="Times New Roman"/>
                <w:sz w:val="24"/>
                <w:szCs w:val="24"/>
              </w:rPr>
            </w:pPr>
            <w:r w:rsidRPr="004D33DD">
              <w:rPr>
                <w:rFonts w:ascii="Times New Roman" w:hAnsi="Times New Roman" w:cs="Times New Roman"/>
                <w:color w:val="000000" w:themeColor="text1"/>
                <w:sz w:val="24"/>
                <w:szCs w:val="24"/>
              </w:rPr>
              <w:t>Asset</w:t>
            </w:r>
            <w:r w:rsidRPr="008A724D">
              <w:rPr>
                <w:rFonts w:ascii="Times New Roman" w:hAnsi="Times New Roman" w:cs="Times New Roman"/>
                <w:sz w:val="24"/>
                <w:szCs w:val="24"/>
              </w:rPr>
              <w:t xml:space="preserve"> Purchase Agreement</w:t>
            </w:r>
            <w:r>
              <w:rPr>
                <w:rFonts w:ascii="Times New Roman" w:hAnsi="Times New Roman" w:cs="Times New Roman"/>
                <w:sz w:val="24"/>
                <w:szCs w:val="24"/>
              </w:rPr>
              <w:t xml:space="preserve"> (APA).</w:t>
            </w:r>
          </w:p>
          <w:p w:rsidR="001C2587" w:rsidRPr="001B648D" w:rsidRDefault="001C2587" w:rsidP="004F39F5">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Provide a copy of the APA that is signed by all parties.</w:t>
            </w:r>
            <w:r w:rsidRPr="008A724D">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8A724D" w:rsidRDefault="001C2587" w:rsidP="00C2051B">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APA</w:t>
            </w:r>
            <w:r w:rsidRPr="005F1EFA">
              <w:rPr>
                <w:rFonts w:ascii="Times New Roman" w:hAnsi="Times New Roman" w:cs="Times New Roman"/>
                <w:sz w:val="24"/>
                <w:szCs w:val="24"/>
              </w:rPr>
              <w:t xml:space="preserve"> </w:t>
            </w:r>
            <w:r w:rsidR="00C2051B">
              <w:rPr>
                <w:rFonts w:ascii="Times New Roman" w:hAnsi="Times New Roman" w:cs="Times New Roman"/>
                <w:sz w:val="24"/>
                <w:szCs w:val="24"/>
              </w:rPr>
              <w:t xml:space="preserve">clearly </w:t>
            </w:r>
            <w:r w:rsidRPr="005F1EFA">
              <w:rPr>
                <w:rFonts w:ascii="Times New Roman" w:hAnsi="Times New Roman" w:cs="Times New Roman"/>
                <w:sz w:val="24"/>
                <w:szCs w:val="24"/>
              </w:rPr>
              <w:t>states the purchase price</w:t>
            </w:r>
            <w:r>
              <w:rPr>
                <w:rFonts w:ascii="Times New Roman" w:hAnsi="Times New Roman" w:cs="Times New Roman"/>
                <w:sz w:val="24"/>
                <w:szCs w:val="24"/>
              </w:rPr>
              <w:t xml:space="preserve"> and terms</w:t>
            </w:r>
            <w:r w:rsidRPr="005F1EFA">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4D33DD">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 xml:space="preserve">APA clearly states whether all assets or only a portion of the assets are to be purchased (e.g., water treatment and </w:t>
            </w:r>
            <w:r w:rsidRPr="004A5589">
              <w:rPr>
                <w:rFonts w:ascii="Times New Roman" w:hAnsi="Times New Roman" w:cs="Times New Roman"/>
                <w:sz w:val="24"/>
                <w:szCs w:val="24"/>
              </w:rPr>
              <w:t xml:space="preserve">distribution </w:t>
            </w:r>
            <w:r>
              <w:rPr>
                <w:rFonts w:ascii="Times New Roman" w:hAnsi="Times New Roman" w:cs="Times New Roman"/>
                <w:sz w:val="24"/>
                <w:szCs w:val="24"/>
              </w:rPr>
              <w:t>or wastewater collection and treatment).</w:t>
            </w:r>
            <w:r w:rsidRPr="001B648D">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4D33DD">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APA adequately describes the assets to be acquired.</w:t>
            </w:r>
            <w:r w:rsidRPr="008A724D">
              <w:t xml:space="preserve"> </w:t>
            </w:r>
            <w: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Pr="001B648D" w:rsidRDefault="001C2587" w:rsidP="004D33DD">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 xml:space="preserve">APA </w:t>
            </w:r>
            <w:r w:rsidRPr="00DA209E">
              <w:rPr>
                <w:rFonts w:ascii="Times New Roman" w:hAnsi="Times New Roman" w:cs="Times New Roman"/>
                <w:sz w:val="24"/>
                <w:szCs w:val="24"/>
              </w:rPr>
              <w:t xml:space="preserve">adequately </w:t>
            </w:r>
            <w:r w:rsidRPr="008A724D">
              <w:rPr>
                <w:rFonts w:ascii="Times New Roman" w:hAnsi="Times New Roman" w:cs="Times New Roman"/>
                <w:sz w:val="24"/>
                <w:szCs w:val="24"/>
              </w:rPr>
              <w:t>describ</w:t>
            </w:r>
            <w:r>
              <w:rPr>
                <w:rFonts w:ascii="Times New Roman" w:hAnsi="Times New Roman" w:cs="Times New Roman"/>
                <w:sz w:val="24"/>
                <w:szCs w:val="24"/>
              </w:rPr>
              <w:t>es</w:t>
            </w:r>
            <w:r w:rsidRPr="008A724D">
              <w:rPr>
                <w:rFonts w:ascii="Times New Roman" w:hAnsi="Times New Roman" w:cs="Times New Roman"/>
                <w:sz w:val="24"/>
                <w:szCs w:val="24"/>
              </w:rPr>
              <w:t xml:space="preserve"> the assets to be </w:t>
            </w:r>
            <w:r>
              <w:rPr>
                <w:rFonts w:ascii="Times New Roman" w:hAnsi="Times New Roman" w:cs="Times New Roman"/>
                <w:sz w:val="24"/>
                <w:szCs w:val="24"/>
              </w:rPr>
              <w:t>excluded</w:t>
            </w:r>
            <w:r w:rsidRPr="008A724D">
              <w:rPr>
                <w:rFonts w:ascii="Times New Roman" w:hAnsi="Times New Roman" w:cs="Times New Roman"/>
                <w:sz w:val="24"/>
                <w:szCs w:val="24"/>
              </w:rPr>
              <w:t>.</w:t>
            </w:r>
            <w:r>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r w:rsidR="001C2587" w:rsidTr="003172B7">
        <w:trPr>
          <w:cantSplit/>
          <w:trHeight w:val="469"/>
        </w:trPr>
        <w:tc>
          <w:tcPr>
            <w:tcW w:w="6685" w:type="dxa"/>
            <w:vAlign w:val="center"/>
          </w:tcPr>
          <w:p w:rsidR="001C2587" w:rsidRDefault="001C2587" w:rsidP="004D33DD">
            <w:pPr>
              <w:pStyle w:val="ListParagraph"/>
              <w:numPr>
                <w:ilvl w:val="1"/>
                <w:numId w:val="18"/>
              </w:numPr>
              <w:ind w:left="1080"/>
              <w:rPr>
                <w:rFonts w:ascii="Times New Roman" w:hAnsi="Times New Roman" w:cs="Times New Roman"/>
                <w:sz w:val="24"/>
                <w:szCs w:val="24"/>
              </w:rPr>
            </w:pPr>
            <w:r>
              <w:rPr>
                <w:rFonts w:ascii="Times New Roman" w:hAnsi="Times New Roman" w:cs="Times New Roman"/>
                <w:sz w:val="24"/>
                <w:szCs w:val="24"/>
              </w:rPr>
              <w:t>APA</w:t>
            </w:r>
            <w:r w:rsidRPr="00706D93">
              <w:rPr>
                <w:rFonts w:ascii="Times New Roman" w:hAnsi="Times New Roman" w:cs="Times New Roman"/>
                <w:sz w:val="24"/>
                <w:szCs w:val="24"/>
              </w:rPr>
              <w:t xml:space="preserve"> contains a copy </w:t>
            </w:r>
            <w:r>
              <w:rPr>
                <w:rFonts w:ascii="Times New Roman" w:hAnsi="Times New Roman" w:cs="Times New Roman"/>
                <w:sz w:val="24"/>
                <w:szCs w:val="24"/>
              </w:rPr>
              <w:t>of all agreements to be assumed by the buyer as part of the acquisition.</w:t>
            </w:r>
            <w:r w:rsidRPr="001B648D">
              <w:rPr>
                <w:rFonts w:ascii="Times New Roman" w:hAnsi="Times New Roman" w:cs="Times New Roman"/>
                <w:sz w:val="24"/>
                <w:szCs w:val="24"/>
              </w:rPr>
              <w:t xml:space="preserve">  </w:t>
            </w:r>
          </w:p>
        </w:tc>
        <w:tc>
          <w:tcPr>
            <w:tcW w:w="54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No</w:t>
            </w:r>
          </w:p>
        </w:tc>
        <w:tc>
          <w:tcPr>
            <w:tcW w:w="63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Yes</w:t>
            </w:r>
          </w:p>
        </w:tc>
        <w:tc>
          <w:tcPr>
            <w:tcW w:w="2160" w:type="dxa"/>
            <w:gridSpan w:val="2"/>
            <w:vAlign w:val="center"/>
          </w:tcPr>
          <w:p w:rsidR="001C2587" w:rsidRDefault="001C2587" w:rsidP="00D44A52">
            <w:pPr>
              <w:jc w:val="center"/>
              <w:rPr>
                <w:rFonts w:ascii="Times New Roman" w:hAnsi="Times New Roman" w:cs="Times New Roman"/>
                <w:sz w:val="24"/>
                <w:szCs w:val="24"/>
              </w:rPr>
            </w:pPr>
            <w:r>
              <w:rPr>
                <w:rFonts w:ascii="Times New Roman" w:hAnsi="Times New Roman" w:cs="Times New Roman"/>
                <w:sz w:val="24"/>
                <w:szCs w:val="24"/>
              </w:rPr>
              <w:t>Page No.  ______</w:t>
            </w:r>
          </w:p>
        </w:tc>
      </w:tr>
    </w:tbl>
    <w:p w:rsidR="00E67256" w:rsidRDefault="00E67256" w:rsidP="001B648D">
      <w:pPr>
        <w:spacing w:after="0" w:line="240" w:lineRule="auto"/>
        <w:rPr>
          <w:rFonts w:ascii="Times New Roman" w:hAnsi="Times New Roman" w:cs="Times New Roman"/>
          <w:i/>
          <w:sz w:val="24"/>
          <w:szCs w:val="24"/>
        </w:rPr>
      </w:pPr>
    </w:p>
    <w:p w:rsidR="009866A2" w:rsidRPr="00E67256" w:rsidRDefault="00D334AF" w:rsidP="001B648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Notes: </w:t>
      </w:r>
    </w:p>
    <w:p w:rsidR="00AA641C" w:rsidRPr="003172B7" w:rsidRDefault="00AA641C" w:rsidP="00E67256">
      <w:pPr>
        <w:spacing w:line="240" w:lineRule="auto"/>
        <w:rPr>
          <w:rFonts w:ascii="Times New Roman" w:hAnsi="Times New Roman" w:cs="Times New Roman"/>
          <w:i/>
          <w:sz w:val="24"/>
          <w:szCs w:val="24"/>
        </w:rPr>
      </w:pPr>
      <w:r w:rsidRPr="003172B7">
        <w:rPr>
          <w:rFonts w:ascii="Times New Roman" w:hAnsi="Times New Roman" w:cs="Times New Roman"/>
          <w:i/>
          <w:sz w:val="24"/>
          <w:szCs w:val="24"/>
        </w:rPr>
        <w:t xml:space="preserve">All information disclosed within this application is considered public information unless specifically labeled confidential.  Applicants are responsible for disclosing to the Secretary’s Bureau that which is privileged or confidential information and not otherwise available to the public.  </w:t>
      </w:r>
      <w:r w:rsidRPr="003172B7">
        <w:rPr>
          <w:rFonts w:ascii="Times New Roman" w:hAnsi="Times New Roman" w:cs="Times New Roman"/>
          <w:b/>
          <w:i/>
          <w:sz w:val="24"/>
          <w:szCs w:val="24"/>
        </w:rPr>
        <w:t xml:space="preserve">Submit one copy of all confidential information, on documents stamped CONFIDENTIAL at the top in clear and conspicuous letters, in a separate envelope </w:t>
      </w:r>
      <w:r w:rsidRPr="003172B7">
        <w:rPr>
          <w:rFonts w:ascii="Times New Roman" w:hAnsi="Times New Roman" w:cs="Times New Roman"/>
          <w:b/>
          <w:i/>
          <w:sz w:val="24"/>
          <w:szCs w:val="24"/>
          <w:u w:val="single"/>
        </w:rPr>
        <w:t>(but still attached to the application)</w:t>
      </w:r>
      <w:r w:rsidRPr="003172B7">
        <w:rPr>
          <w:rFonts w:ascii="Times New Roman" w:hAnsi="Times New Roman" w:cs="Times New Roman"/>
          <w:b/>
          <w:i/>
          <w:sz w:val="24"/>
          <w:szCs w:val="24"/>
        </w:rPr>
        <w:t xml:space="preserve"> to the Secretary's Office along with the Application</w:t>
      </w:r>
      <w:r w:rsidRPr="003172B7">
        <w:rPr>
          <w:rFonts w:ascii="Times New Roman" w:hAnsi="Times New Roman" w:cs="Times New Roman"/>
          <w:i/>
          <w:sz w:val="24"/>
          <w:szCs w:val="24"/>
        </w:rPr>
        <w:t xml:space="preserve">.  </w:t>
      </w:r>
    </w:p>
    <w:p w:rsidR="007F61D6" w:rsidRDefault="00AA641C" w:rsidP="00E67256">
      <w:pPr>
        <w:spacing w:line="240" w:lineRule="auto"/>
        <w:rPr>
          <w:rFonts w:ascii="Times New Roman" w:hAnsi="Times New Roman" w:cs="Times New Roman"/>
          <w:i/>
          <w:sz w:val="24"/>
          <w:szCs w:val="24"/>
        </w:rPr>
      </w:pPr>
      <w:r w:rsidRPr="003172B7">
        <w:rPr>
          <w:rFonts w:ascii="Times New Roman" w:hAnsi="Times New Roman" w:cs="Times New Roman"/>
          <w:i/>
          <w:sz w:val="24"/>
          <w:szCs w:val="24"/>
        </w:rPr>
        <w:t>If</w:t>
      </w:r>
      <w:r w:rsidR="00D334AF">
        <w:rPr>
          <w:rFonts w:ascii="Times New Roman" w:hAnsi="Times New Roman" w:cs="Times New Roman"/>
          <w:i/>
          <w:sz w:val="24"/>
          <w:szCs w:val="24"/>
        </w:rPr>
        <w:t xml:space="preserve"> </w:t>
      </w:r>
      <w:r w:rsidRPr="003172B7">
        <w:rPr>
          <w:rFonts w:ascii="Times New Roman" w:hAnsi="Times New Roman" w:cs="Times New Roman"/>
          <w:i/>
          <w:sz w:val="24"/>
          <w:szCs w:val="24"/>
        </w:rPr>
        <w:t>you e-file your application, separately mail in any confidential information specifically identifying that you have e-filed the application.  Be sure to specify the Applicant’s name, and provide the e-filing confirmation page.</w:t>
      </w:r>
    </w:p>
    <w:p w:rsidR="00D334AF" w:rsidRDefault="00D334AF" w:rsidP="00D334AF">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Once the application is reviewed and accepted as filed, the Commission will issue a secretarial letter instructing the Applicant to publish notice in local newspapers of general circulation and to serve the following: </w:t>
      </w:r>
    </w:p>
    <w:p w:rsidR="00D334AF" w:rsidRPr="00E67256" w:rsidRDefault="00D334AF" w:rsidP="00C44B9A">
      <w:pPr>
        <w:pStyle w:val="ListParagraph"/>
        <w:numPr>
          <w:ilvl w:val="0"/>
          <w:numId w:val="19"/>
        </w:numPr>
        <w:spacing w:before="240" w:line="240" w:lineRule="auto"/>
        <w:ind w:left="792"/>
        <w:contextualSpacing w:val="0"/>
        <w:rPr>
          <w:rFonts w:ascii="Times New Roman" w:hAnsi="Times New Roman" w:cs="Times New Roman"/>
          <w:i/>
          <w:sz w:val="24"/>
          <w:szCs w:val="24"/>
        </w:rPr>
      </w:pPr>
      <w:r w:rsidRPr="00E67256">
        <w:rPr>
          <w:rFonts w:ascii="Times New Roman" w:hAnsi="Times New Roman" w:cs="Times New Roman"/>
          <w:i/>
          <w:sz w:val="24"/>
          <w:szCs w:val="24"/>
        </w:rPr>
        <w:t>each city, borough, town, township, county and related planning office which is included whole or in part in the proposed service area;</w:t>
      </w:r>
    </w:p>
    <w:p w:rsidR="00D334AF" w:rsidRPr="00E67256" w:rsidRDefault="00D334AF" w:rsidP="00C44B9A">
      <w:pPr>
        <w:pStyle w:val="ListParagraph"/>
        <w:numPr>
          <w:ilvl w:val="0"/>
          <w:numId w:val="19"/>
        </w:numPr>
        <w:spacing w:before="240" w:line="240" w:lineRule="auto"/>
        <w:ind w:left="792"/>
        <w:contextualSpacing w:val="0"/>
        <w:rPr>
          <w:rFonts w:ascii="Times New Roman" w:hAnsi="Times New Roman" w:cs="Times New Roman"/>
          <w:i/>
          <w:sz w:val="24"/>
          <w:szCs w:val="24"/>
        </w:rPr>
      </w:pPr>
      <w:r w:rsidRPr="00E67256">
        <w:rPr>
          <w:rFonts w:ascii="Times New Roman" w:hAnsi="Times New Roman" w:cs="Times New Roman"/>
          <w:i/>
          <w:sz w:val="24"/>
          <w:szCs w:val="24"/>
        </w:rPr>
        <w:t xml:space="preserve">a water or wastewater utility, municipal corporation or authority which provides water or wastewater collection, treatment or disposal service to the public and whose service area abuts or is within 1 mile of the service area proposed in the application; and </w:t>
      </w:r>
    </w:p>
    <w:p w:rsidR="00D334AF" w:rsidRPr="00E67256" w:rsidRDefault="00D334AF" w:rsidP="00C44B9A">
      <w:pPr>
        <w:pStyle w:val="ListParagraph"/>
        <w:numPr>
          <w:ilvl w:val="0"/>
          <w:numId w:val="19"/>
        </w:numPr>
        <w:spacing w:before="240" w:line="240" w:lineRule="auto"/>
        <w:ind w:left="792"/>
        <w:contextualSpacing w:val="0"/>
        <w:rPr>
          <w:i/>
        </w:rPr>
      </w:pPr>
      <w:proofErr w:type="gramStart"/>
      <w:r w:rsidRPr="00E67256">
        <w:rPr>
          <w:rFonts w:ascii="Times New Roman" w:hAnsi="Times New Roman" w:cs="Times New Roman"/>
          <w:i/>
          <w:sz w:val="24"/>
          <w:szCs w:val="24"/>
        </w:rPr>
        <w:t>the</w:t>
      </w:r>
      <w:proofErr w:type="gramEnd"/>
      <w:r w:rsidRPr="00E67256">
        <w:rPr>
          <w:rFonts w:ascii="Times New Roman" w:hAnsi="Times New Roman" w:cs="Times New Roman"/>
          <w:i/>
          <w:sz w:val="24"/>
          <w:szCs w:val="24"/>
        </w:rPr>
        <w:t xml:space="preserve"> Department of Environmental Protection’s central and regional offices.  </w:t>
      </w:r>
    </w:p>
    <w:sectPr w:rsidR="00D334AF" w:rsidRPr="00E67256" w:rsidSect="00E672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F7" w:rsidRDefault="00866AF7" w:rsidP="007808D8">
      <w:pPr>
        <w:spacing w:after="0" w:line="240" w:lineRule="auto"/>
      </w:pPr>
      <w:r>
        <w:separator/>
      </w:r>
    </w:p>
  </w:endnote>
  <w:endnote w:type="continuationSeparator" w:id="0">
    <w:p w:rsidR="00866AF7" w:rsidRDefault="00866AF7" w:rsidP="0078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871716"/>
      <w:docPartObj>
        <w:docPartGallery w:val="Page Numbers (Bottom of Page)"/>
        <w:docPartUnique/>
      </w:docPartObj>
    </w:sdtPr>
    <w:sdtEndPr>
      <w:rPr>
        <w:noProof/>
      </w:rPr>
    </w:sdtEndPr>
    <w:sdtContent>
      <w:p w:rsidR="00312498" w:rsidRDefault="00312498" w:rsidP="00312498">
        <w:pPr>
          <w:pStyle w:val="Footer"/>
          <w:jc w:val="right"/>
        </w:pPr>
      </w:p>
      <w:p w:rsidR="00065E0B" w:rsidRDefault="00065E0B">
        <w:pPr>
          <w:pStyle w:val="Footer"/>
          <w:jc w:val="center"/>
        </w:pPr>
        <w:r w:rsidRPr="00065E0B">
          <w:rPr>
            <w:rFonts w:ascii="Times New Roman" w:hAnsi="Times New Roman" w:cs="Times New Roman"/>
            <w:sz w:val="24"/>
            <w:szCs w:val="24"/>
          </w:rPr>
          <w:fldChar w:fldCharType="begin"/>
        </w:r>
        <w:r w:rsidRPr="00065E0B">
          <w:rPr>
            <w:rFonts w:ascii="Times New Roman" w:hAnsi="Times New Roman" w:cs="Times New Roman"/>
            <w:sz w:val="24"/>
            <w:szCs w:val="24"/>
          </w:rPr>
          <w:instrText xml:space="preserve"> PAGE   \* MERGEFORMAT </w:instrText>
        </w:r>
        <w:r w:rsidRPr="00065E0B">
          <w:rPr>
            <w:rFonts w:ascii="Times New Roman" w:hAnsi="Times New Roman" w:cs="Times New Roman"/>
            <w:sz w:val="24"/>
            <w:szCs w:val="24"/>
          </w:rPr>
          <w:fldChar w:fldCharType="separate"/>
        </w:r>
        <w:r w:rsidR="00BA72E6">
          <w:rPr>
            <w:rFonts w:ascii="Times New Roman" w:hAnsi="Times New Roman" w:cs="Times New Roman"/>
            <w:noProof/>
            <w:sz w:val="24"/>
            <w:szCs w:val="24"/>
          </w:rPr>
          <w:t>1</w:t>
        </w:r>
        <w:r w:rsidRPr="00065E0B">
          <w:rPr>
            <w:rFonts w:ascii="Times New Roman" w:hAnsi="Times New Roman" w:cs="Times New Roman"/>
            <w:noProof/>
            <w:sz w:val="24"/>
            <w:szCs w:val="24"/>
          </w:rPr>
          <w:fldChar w:fldCharType="end"/>
        </w:r>
      </w:p>
    </w:sdtContent>
  </w:sdt>
  <w:p w:rsidR="00065E0B" w:rsidRDefault="00065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F7" w:rsidRDefault="00866AF7" w:rsidP="007808D8">
      <w:pPr>
        <w:spacing w:after="0" w:line="240" w:lineRule="auto"/>
      </w:pPr>
      <w:r>
        <w:separator/>
      </w:r>
    </w:p>
  </w:footnote>
  <w:footnote w:type="continuationSeparator" w:id="0">
    <w:p w:rsidR="00866AF7" w:rsidRDefault="00866AF7" w:rsidP="007808D8">
      <w:pPr>
        <w:spacing w:after="0" w:line="240" w:lineRule="auto"/>
      </w:pPr>
      <w:r>
        <w:continuationSeparator/>
      </w:r>
    </w:p>
  </w:footnote>
  <w:footnote w:id="1">
    <w:p w:rsidR="00F23FC1" w:rsidRPr="00E67256" w:rsidRDefault="00F23FC1">
      <w:pPr>
        <w:pStyle w:val="FootnoteText"/>
        <w:rPr>
          <w:rFonts w:ascii="Times New Roman" w:hAnsi="Times New Roman" w:cs="Times New Roman"/>
          <w:sz w:val="24"/>
          <w:szCs w:val="24"/>
        </w:rPr>
      </w:pPr>
      <w:r>
        <w:rPr>
          <w:rStyle w:val="FootnoteReference"/>
        </w:rPr>
        <w:footnoteRef/>
      </w:r>
      <w:r>
        <w:t xml:space="preserve"> </w:t>
      </w:r>
      <w:r w:rsidR="00E67256">
        <w:rPr>
          <w:i/>
        </w:rPr>
        <w:t xml:space="preserve">See Notes on last page of this Checklist; </w:t>
      </w:r>
      <w:r>
        <w:rPr>
          <w:rFonts w:ascii="Times New Roman" w:hAnsi="Times New Roman" w:cs="Times New Roman"/>
          <w:sz w:val="24"/>
          <w:szCs w:val="24"/>
        </w:rPr>
        <w:t xml:space="preserve">Filers </w:t>
      </w:r>
      <w:r w:rsidR="00E67256">
        <w:rPr>
          <w:rFonts w:ascii="Times New Roman" w:hAnsi="Times New Roman" w:cs="Times New Roman"/>
          <w:sz w:val="24"/>
          <w:szCs w:val="24"/>
        </w:rPr>
        <w:t>will</w:t>
      </w:r>
      <w:r>
        <w:rPr>
          <w:rFonts w:ascii="Times New Roman" w:hAnsi="Times New Roman" w:cs="Times New Roman"/>
          <w:sz w:val="24"/>
          <w:szCs w:val="24"/>
        </w:rPr>
        <w:t xml:space="preserve"> be instructed to also serve other parties when the application is accepted. </w:t>
      </w:r>
    </w:p>
  </w:footnote>
  <w:footnote w:id="2">
    <w:p w:rsidR="00612675" w:rsidRDefault="00612675">
      <w:pPr>
        <w:pStyle w:val="FootnoteText"/>
      </w:pPr>
      <w:r>
        <w:rPr>
          <w:rStyle w:val="FootnoteReference"/>
        </w:rPr>
        <w:footnoteRef/>
      </w:r>
      <w:r>
        <w:t xml:space="preserve"> </w:t>
      </w:r>
      <w:r w:rsidR="006B05FB" w:rsidRPr="00C44B9A">
        <w:rPr>
          <w:rFonts w:ascii="Times New Roman" w:hAnsi="Times New Roman" w:cs="Times New Roman"/>
          <w:sz w:val="24"/>
          <w:szCs w:val="24"/>
        </w:rPr>
        <w:t>“</w:t>
      </w:r>
      <w:proofErr w:type="gramStart"/>
      <w:r w:rsidR="006B05FB" w:rsidRPr="00C44B9A">
        <w:rPr>
          <w:rFonts w:ascii="Times New Roman" w:hAnsi="Times New Roman" w:cs="Times New Roman"/>
          <w:sz w:val="24"/>
          <w:szCs w:val="24"/>
        </w:rPr>
        <w:t>seller</w:t>
      </w:r>
      <w:proofErr w:type="gramEnd"/>
      <w:r w:rsidR="006B05FB" w:rsidRPr="00C44B9A">
        <w:rPr>
          <w:rFonts w:ascii="Times New Roman" w:hAnsi="Times New Roman" w:cs="Times New Roman"/>
          <w:sz w:val="24"/>
          <w:szCs w:val="24"/>
        </w:rPr>
        <w:t>”</w:t>
      </w:r>
      <w:r w:rsidRPr="00C44B9A">
        <w:rPr>
          <w:rFonts w:ascii="Times New Roman" w:hAnsi="Times New Roman" w:cs="Times New Roman"/>
          <w:sz w:val="24"/>
          <w:szCs w:val="24"/>
        </w:rPr>
        <w:t xml:space="preserve"> refers to the selling municipality; </w:t>
      </w:r>
      <w:r w:rsidR="006B05FB" w:rsidRPr="00C44B9A">
        <w:rPr>
          <w:rFonts w:ascii="Times New Roman" w:hAnsi="Times New Roman" w:cs="Times New Roman"/>
          <w:sz w:val="24"/>
          <w:szCs w:val="24"/>
        </w:rPr>
        <w:t>“buyer”</w:t>
      </w:r>
      <w:r w:rsidRPr="00C44B9A">
        <w:rPr>
          <w:rFonts w:ascii="Times New Roman" w:hAnsi="Times New Roman" w:cs="Times New Roman"/>
          <w:sz w:val="24"/>
          <w:szCs w:val="24"/>
        </w:rPr>
        <w:t xml:space="preserve"> refers to the acquiring entity.</w:t>
      </w:r>
      <w:r>
        <w:t xml:space="preserve">   </w:t>
      </w:r>
    </w:p>
  </w:footnote>
  <w:footnote w:id="3">
    <w:p w:rsidR="00E011AB" w:rsidRDefault="00E011AB">
      <w:pPr>
        <w:pStyle w:val="FootnoteText"/>
      </w:pPr>
      <w:r>
        <w:rPr>
          <w:rStyle w:val="FootnoteReference"/>
        </w:rPr>
        <w:footnoteRef/>
      </w:r>
      <w:r>
        <w:t xml:space="preserve"> The inventory is to be developed from available records, maps, </w:t>
      </w:r>
      <w:proofErr w:type="gramStart"/>
      <w:r>
        <w:t>work</w:t>
      </w:r>
      <w:proofErr w:type="gramEnd"/>
      <w:r>
        <w:t xml:space="preserve"> orders, debt issue closing documents funding construction projects, and other sources to ensure an accurate listing of utility plant by utility account.</w:t>
      </w:r>
    </w:p>
  </w:footnote>
  <w:footnote w:id="4">
    <w:p w:rsidR="00DC6D65" w:rsidRPr="00E67256" w:rsidRDefault="00DC6D65">
      <w:pPr>
        <w:pStyle w:val="FootnoteText"/>
        <w:rPr>
          <w:rFonts w:ascii="Times New Roman" w:hAnsi="Times New Roman" w:cs="Times New Roman"/>
          <w:sz w:val="24"/>
          <w:szCs w:val="24"/>
        </w:rPr>
      </w:pPr>
      <w:r>
        <w:rPr>
          <w:rStyle w:val="FootnoteReference"/>
        </w:rPr>
        <w:footnoteRef/>
      </w:r>
      <w:r>
        <w:t xml:space="preserve"> </w:t>
      </w:r>
      <w:r w:rsidRPr="00E67256">
        <w:rPr>
          <w:rFonts w:ascii="Times New Roman" w:hAnsi="Times New Roman" w:cs="Times New Roman"/>
          <w:sz w:val="24"/>
          <w:szCs w:val="24"/>
        </w:rPr>
        <w:t xml:space="preserve">Regarding Checklist Item </w:t>
      </w:r>
      <w:r w:rsidR="00AD4D05">
        <w:rPr>
          <w:rFonts w:ascii="Times New Roman" w:hAnsi="Times New Roman" w:cs="Times New Roman"/>
          <w:sz w:val="24"/>
          <w:szCs w:val="24"/>
        </w:rPr>
        <w:t>20</w:t>
      </w:r>
      <w:r w:rsidRPr="00E67256">
        <w:rPr>
          <w:rFonts w:ascii="Times New Roman" w:hAnsi="Times New Roman" w:cs="Times New Roman"/>
          <w:sz w:val="24"/>
          <w:szCs w:val="24"/>
        </w:rPr>
        <w:t xml:space="preserve">(f), Class A public utilities need only submit compliance history for operations in the neighboring areas or a statement attesting to their compliance with this item.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46" w:rsidRPr="00C04184" w:rsidRDefault="00E67256" w:rsidP="00C04184">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0418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80E8DA" wp14:editId="4471D640">
              <wp:simplePos x="0" y="0"/>
              <wp:positionH relativeFrom="column">
                <wp:posOffset>5120640</wp:posOffset>
              </wp:positionH>
              <wp:positionV relativeFrom="paragraph">
                <wp:posOffset>-257695</wp:posOffset>
              </wp:positionV>
              <wp:extent cx="1096991" cy="216131"/>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991" cy="216131"/>
                      </a:xfrm>
                      <a:prstGeom prst="rect">
                        <a:avLst/>
                      </a:prstGeom>
                      <a:solidFill>
                        <a:srgbClr val="FFFFFF"/>
                      </a:solidFill>
                      <a:ln w="9525">
                        <a:noFill/>
                        <a:miter lim="800000"/>
                        <a:headEnd/>
                        <a:tailEnd/>
                      </a:ln>
                    </wps:spPr>
                    <wps:txbx>
                      <w:txbxContent>
                        <w:p w:rsidR="00E67256" w:rsidRPr="00E67256" w:rsidRDefault="00E67256" w:rsidP="0003621F">
                          <w:pPr>
                            <w:spacing w:line="240" w:lineRule="auto"/>
                            <w:rPr>
                              <w:rFonts w:ascii="Times New Roman" w:hAnsi="Times New Roman" w:cs="Times New Roman"/>
                              <w:sz w:val="20"/>
                              <w:szCs w:val="20"/>
                            </w:rPr>
                          </w:pPr>
                          <w:proofErr w:type="gramStart"/>
                          <w:r w:rsidRPr="00E67256">
                            <w:rPr>
                              <w:rFonts w:ascii="Times New Roman" w:hAnsi="Times New Roman" w:cs="Times New Roman"/>
                              <w:sz w:val="20"/>
                              <w:szCs w:val="20"/>
                            </w:rPr>
                            <w:t xml:space="preserve">Revised </w:t>
                          </w:r>
                          <w:r w:rsidR="006B05FB">
                            <w:rPr>
                              <w:rFonts w:ascii="Times New Roman" w:hAnsi="Times New Roman" w:cs="Times New Roman"/>
                              <w:sz w:val="20"/>
                              <w:szCs w:val="20"/>
                            </w:rPr>
                            <w:t xml:space="preserve"> </w:t>
                          </w:r>
                          <w:r w:rsidR="0003621F">
                            <w:rPr>
                              <w:rFonts w:ascii="Times New Roman" w:hAnsi="Times New Roman" w:cs="Times New Roman"/>
                              <w:sz w:val="20"/>
                              <w:szCs w:val="20"/>
                            </w:rPr>
                            <w:t>3</w:t>
                          </w:r>
                          <w:proofErr w:type="gramEnd"/>
                          <w:r w:rsidR="0003621F">
                            <w:rPr>
                              <w:rFonts w:ascii="Times New Roman" w:hAnsi="Times New Roman" w:cs="Times New Roman"/>
                              <w:sz w:val="20"/>
                              <w:szCs w:val="20"/>
                            </w:rPr>
                            <w:t>/17</w:t>
                          </w:r>
                          <w:r w:rsidR="006B05FB">
                            <w:rPr>
                              <w:rFonts w:ascii="Times New Roman" w:hAnsi="Times New Roman" w:cs="Times New Roman"/>
                              <w:sz w:val="20"/>
                              <w:szCs w:val="20"/>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2pt;margin-top:-20.3pt;width:86.4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" stroked="f">
              <v:textbox>
                <w:txbxContent>
                  <w:p w:rsidR="00E67256" w:rsidRPr="00E67256" w:rsidRDefault="00E67256" w:rsidP="0003621F">
                    <w:pPr>
                      <w:spacing w:line="240" w:lineRule="auto"/>
                      <w:rPr>
                        <w:rFonts w:ascii="Times New Roman" w:hAnsi="Times New Roman" w:cs="Times New Roman"/>
                        <w:sz w:val="20"/>
                        <w:szCs w:val="20"/>
                      </w:rPr>
                    </w:pPr>
                    <w:r w:rsidRPr="00E67256">
                      <w:rPr>
                        <w:rFonts w:ascii="Times New Roman" w:hAnsi="Times New Roman" w:cs="Times New Roman"/>
                        <w:sz w:val="20"/>
                        <w:szCs w:val="20"/>
                      </w:rPr>
                      <w:t xml:space="preserve">Revised </w:t>
                    </w:r>
                    <w:r w:rsidR="006B05FB">
                      <w:rPr>
                        <w:rFonts w:ascii="Times New Roman" w:hAnsi="Times New Roman" w:cs="Times New Roman"/>
                        <w:sz w:val="20"/>
                        <w:szCs w:val="20"/>
                      </w:rPr>
                      <w:t xml:space="preserve"> </w:t>
                    </w:r>
                    <w:r w:rsidR="0003621F">
                      <w:rPr>
                        <w:rFonts w:ascii="Times New Roman" w:hAnsi="Times New Roman" w:cs="Times New Roman"/>
                        <w:sz w:val="20"/>
                        <w:szCs w:val="20"/>
                      </w:rPr>
                      <w:t>3/17</w:t>
                    </w:r>
                    <w:r w:rsidR="006B05FB">
                      <w:rPr>
                        <w:rFonts w:ascii="Times New Roman" w:hAnsi="Times New Roman" w:cs="Times New Roman"/>
                        <w:sz w:val="20"/>
                        <w:szCs w:val="20"/>
                      </w:rPr>
                      <w:t>/17</w:t>
                    </w:r>
                  </w:p>
                </w:txbxContent>
              </v:textbox>
            </v:shape>
          </w:pict>
        </mc:Fallback>
      </mc:AlternateContent>
    </w:r>
    <w:r w:rsidR="00E36446" w:rsidRPr="00C04184">
      <w:rPr>
        <w:rFonts w:ascii="Times New Roman" w:hAnsi="Times New Roman" w:cs="Times New Roman"/>
        <w:sz w:val="24"/>
        <w:szCs w:val="24"/>
      </w:rPr>
      <w:t>Pennsylvania Public Utility Commission</w:t>
    </w:r>
  </w:p>
  <w:p w:rsidR="007808D8" w:rsidRPr="00612675" w:rsidRDefault="00E343C7" w:rsidP="00C04184">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04184">
      <w:rPr>
        <w:rFonts w:ascii="Times New Roman" w:hAnsi="Times New Roman" w:cs="Times New Roman"/>
        <w:sz w:val="24"/>
        <w:szCs w:val="24"/>
      </w:rPr>
      <w:t xml:space="preserve">66 Pa. C.S. § 1329 </w:t>
    </w:r>
    <w:r w:rsidR="007808D8" w:rsidRPr="00C04184">
      <w:rPr>
        <w:rFonts w:ascii="Times New Roman" w:hAnsi="Times New Roman" w:cs="Times New Roman"/>
        <w:sz w:val="24"/>
        <w:szCs w:val="24"/>
      </w:rPr>
      <w:t xml:space="preserve">Application </w:t>
    </w:r>
    <w:r w:rsidR="00474D27" w:rsidRPr="00C04184">
      <w:rPr>
        <w:rFonts w:ascii="Times New Roman" w:hAnsi="Times New Roman" w:cs="Times New Roman"/>
        <w:sz w:val="24"/>
        <w:szCs w:val="24"/>
      </w:rPr>
      <w:t xml:space="preserve">Filing </w:t>
    </w:r>
    <w:r w:rsidR="007808D8" w:rsidRPr="00C04184">
      <w:rPr>
        <w:rFonts w:ascii="Times New Roman" w:hAnsi="Times New Roman" w:cs="Times New Roman"/>
        <w:sz w:val="24"/>
        <w:szCs w:val="24"/>
      </w:rPr>
      <w:t>Check</w:t>
    </w:r>
    <w:r w:rsidR="00A765D8" w:rsidRPr="00C04184">
      <w:rPr>
        <w:rFonts w:ascii="Times New Roman" w:hAnsi="Times New Roman" w:cs="Times New Roman"/>
        <w:sz w:val="24"/>
        <w:szCs w:val="24"/>
      </w:rPr>
      <w:t>l</w:t>
    </w:r>
    <w:r w:rsidR="007808D8" w:rsidRPr="00C04184">
      <w:rPr>
        <w:rFonts w:ascii="Times New Roman" w:hAnsi="Times New Roman" w:cs="Times New Roman"/>
        <w:sz w:val="24"/>
        <w:szCs w:val="24"/>
      </w:rPr>
      <w:t>ist</w:t>
    </w:r>
    <w:r w:rsidR="00DD3DB9" w:rsidRPr="00C04184">
      <w:rPr>
        <w:rFonts w:ascii="Times New Roman" w:hAnsi="Times New Roman" w:cs="Times New Roman"/>
        <w:sz w:val="24"/>
        <w:szCs w:val="24"/>
      </w:rPr>
      <w:t xml:space="preserve"> – Water/Wastewater</w:t>
    </w:r>
  </w:p>
  <w:p w:rsidR="00E36446" w:rsidRPr="001B648D" w:rsidRDefault="00E36446" w:rsidP="001B648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A38"/>
    <w:multiLevelType w:val="hybridMultilevel"/>
    <w:tmpl w:val="BA029478"/>
    <w:lvl w:ilvl="0" w:tplc="0409000F">
      <w:start w:val="1"/>
      <w:numFmt w:val="decimal"/>
      <w:lvlText w:val="%1."/>
      <w:lvlJc w:val="left"/>
      <w:pPr>
        <w:ind w:left="720" w:hanging="360"/>
      </w:pPr>
    </w:lvl>
    <w:lvl w:ilvl="1" w:tplc="3852323A">
      <w:start w:val="1"/>
      <w:numFmt w:val="lowerLetter"/>
      <w:lvlText w:val="%2."/>
      <w:lvlJc w:val="left"/>
      <w:pPr>
        <w:ind w:left="135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C3CD0"/>
    <w:multiLevelType w:val="hybridMultilevel"/>
    <w:tmpl w:val="A73656D0"/>
    <w:lvl w:ilvl="0" w:tplc="65806F6C">
      <w:start w:val="1"/>
      <w:numFmt w:val="decimal"/>
      <w:lvlText w:val="%1."/>
      <w:lvlJc w:val="left"/>
      <w:pPr>
        <w:ind w:left="720" w:hanging="360"/>
      </w:pPr>
      <w:rPr>
        <w:rFonts w:hint="default"/>
      </w:rPr>
    </w:lvl>
    <w:lvl w:ilvl="1" w:tplc="AD8EBF3A">
      <w:start w:val="1"/>
      <w:numFmt w:val="lowerLetter"/>
      <w:lvlText w:val="%2."/>
      <w:lvlJc w:val="left"/>
      <w:pPr>
        <w:ind w:left="1440" w:hanging="360"/>
      </w:pPr>
      <w:rPr>
        <w:rFonts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16F76"/>
    <w:multiLevelType w:val="hybridMultilevel"/>
    <w:tmpl w:val="94C4D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57B27"/>
    <w:multiLevelType w:val="hybridMultilevel"/>
    <w:tmpl w:val="C3F64806"/>
    <w:lvl w:ilvl="0" w:tplc="18245F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C3B4A"/>
    <w:multiLevelType w:val="hybridMultilevel"/>
    <w:tmpl w:val="AAA65662"/>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1EA84737"/>
    <w:multiLevelType w:val="hybridMultilevel"/>
    <w:tmpl w:val="584AAAEA"/>
    <w:lvl w:ilvl="0" w:tplc="ECAC0280">
      <w:start w:val="1"/>
      <w:numFmt w:val="lowerLetter"/>
      <w:lvlText w:val="%1."/>
      <w:lvlJc w:val="left"/>
      <w:pPr>
        <w:ind w:left="1440" w:hanging="360"/>
      </w:pPr>
      <w:rPr>
        <w:rFonts w:hint="default"/>
      </w:rPr>
    </w:lvl>
    <w:lvl w:ilvl="1" w:tplc="04090019">
      <w:start w:val="1"/>
      <w:numFmt w:val="lowerLetter"/>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75BA1"/>
    <w:multiLevelType w:val="hybridMultilevel"/>
    <w:tmpl w:val="9EB2C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03312"/>
    <w:multiLevelType w:val="hybridMultilevel"/>
    <w:tmpl w:val="CA942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052FEF"/>
    <w:multiLevelType w:val="hybridMultilevel"/>
    <w:tmpl w:val="5E66F960"/>
    <w:lvl w:ilvl="0" w:tplc="1460E770">
      <w:start w:val="1"/>
      <w:numFmt w:val="lowerLetter"/>
      <w:lvlText w:val="%1."/>
      <w:lvlJc w:val="left"/>
      <w:pPr>
        <w:ind w:left="144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71922"/>
    <w:multiLevelType w:val="hybridMultilevel"/>
    <w:tmpl w:val="4CC0C818"/>
    <w:lvl w:ilvl="0" w:tplc="3A6255DC">
      <w:start w:val="1"/>
      <w:numFmt w:val="lowerLetter"/>
      <w:lvlText w:val="%1."/>
      <w:lvlJc w:val="left"/>
      <w:pPr>
        <w:ind w:left="1440" w:hanging="360"/>
      </w:pPr>
      <w:rPr>
        <w:rFonts w:hint="default"/>
        <w:color w:val="000000" w:themeColor="text1"/>
      </w:rPr>
    </w:lvl>
    <w:lvl w:ilvl="1" w:tplc="3FC27B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E5BF8"/>
    <w:multiLevelType w:val="hybridMultilevel"/>
    <w:tmpl w:val="5B006D82"/>
    <w:lvl w:ilvl="0" w:tplc="55225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921A6"/>
    <w:multiLevelType w:val="hybridMultilevel"/>
    <w:tmpl w:val="2932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60E76"/>
    <w:multiLevelType w:val="hybridMultilevel"/>
    <w:tmpl w:val="F81C0A68"/>
    <w:lvl w:ilvl="0" w:tplc="369EA630">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40BEF"/>
    <w:multiLevelType w:val="hybridMultilevel"/>
    <w:tmpl w:val="5B006D82"/>
    <w:lvl w:ilvl="0" w:tplc="55225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93C2C"/>
    <w:multiLevelType w:val="hybridMultilevel"/>
    <w:tmpl w:val="4A58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D2942"/>
    <w:multiLevelType w:val="hybridMultilevel"/>
    <w:tmpl w:val="0DF4C80E"/>
    <w:lvl w:ilvl="0" w:tplc="AD8EBF3A">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C61B2"/>
    <w:multiLevelType w:val="hybridMultilevel"/>
    <w:tmpl w:val="5B006D82"/>
    <w:lvl w:ilvl="0" w:tplc="55225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0E1EB4"/>
    <w:multiLevelType w:val="hybridMultilevel"/>
    <w:tmpl w:val="20165D22"/>
    <w:lvl w:ilvl="0" w:tplc="D9D2EFB0">
      <w:start w:val="1"/>
      <w:numFmt w:val="lowerLetter"/>
      <w:lvlText w:val="%1."/>
      <w:lvlJc w:val="left"/>
      <w:pPr>
        <w:ind w:left="1440" w:hanging="360"/>
      </w:pPr>
      <w:rPr>
        <w:rFonts w:hint="default"/>
      </w:rPr>
    </w:lvl>
    <w:lvl w:ilvl="1" w:tplc="18245F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C0066"/>
    <w:multiLevelType w:val="hybridMultilevel"/>
    <w:tmpl w:val="0158EA6A"/>
    <w:lvl w:ilvl="0" w:tplc="3FC27B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4"/>
  </w:num>
  <w:num w:numId="5">
    <w:abstractNumId w:val="2"/>
  </w:num>
  <w:num w:numId="6">
    <w:abstractNumId w:val="16"/>
  </w:num>
  <w:num w:numId="7">
    <w:abstractNumId w:val="1"/>
  </w:num>
  <w:num w:numId="8">
    <w:abstractNumId w:val="13"/>
  </w:num>
  <w:num w:numId="9">
    <w:abstractNumId w:val="10"/>
  </w:num>
  <w:num w:numId="10">
    <w:abstractNumId w:val="12"/>
  </w:num>
  <w:num w:numId="11">
    <w:abstractNumId w:val="15"/>
  </w:num>
  <w:num w:numId="12">
    <w:abstractNumId w:val="9"/>
  </w:num>
  <w:num w:numId="13">
    <w:abstractNumId w:val="18"/>
  </w:num>
  <w:num w:numId="14">
    <w:abstractNumId w:val="17"/>
  </w:num>
  <w:num w:numId="15">
    <w:abstractNumId w:val="3"/>
  </w:num>
  <w:num w:numId="16">
    <w:abstractNumId w:val="5"/>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87"/>
    <w:rsid w:val="00001A53"/>
    <w:rsid w:val="0000418C"/>
    <w:rsid w:val="00014F47"/>
    <w:rsid w:val="0003621F"/>
    <w:rsid w:val="00041175"/>
    <w:rsid w:val="00051476"/>
    <w:rsid w:val="000556DB"/>
    <w:rsid w:val="00065E0B"/>
    <w:rsid w:val="000758BF"/>
    <w:rsid w:val="00077176"/>
    <w:rsid w:val="00077719"/>
    <w:rsid w:val="000804E9"/>
    <w:rsid w:val="00081525"/>
    <w:rsid w:val="000866AE"/>
    <w:rsid w:val="00086CA2"/>
    <w:rsid w:val="00092790"/>
    <w:rsid w:val="000C49E7"/>
    <w:rsid w:val="000D182E"/>
    <w:rsid w:val="000D1C0A"/>
    <w:rsid w:val="000D49BA"/>
    <w:rsid w:val="000F1504"/>
    <w:rsid w:val="000F44F8"/>
    <w:rsid w:val="00100CDC"/>
    <w:rsid w:val="00102303"/>
    <w:rsid w:val="0012322F"/>
    <w:rsid w:val="0012342F"/>
    <w:rsid w:val="0013583F"/>
    <w:rsid w:val="00144EFA"/>
    <w:rsid w:val="00150A34"/>
    <w:rsid w:val="00155E6E"/>
    <w:rsid w:val="0016446E"/>
    <w:rsid w:val="00173C6C"/>
    <w:rsid w:val="00173C97"/>
    <w:rsid w:val="001750C2"/>
    <w:rsid w:val="00176C32"/>
    <w:rsid w:val="001B06FD"/>
    <w:rsid w:val="001B648D"/>
    <w:rsid w:val="001C2587"/>
    <w:rsid w:val="001C31B2"/>
    <w:rsid w:val="001C79AA"/>
    <w:rsid w:val="001E1236"/>
    <w:rsid w:val="001E600E"/>
    <w:rsid w:val="001F3E36"/>
    <w:rsid w:val="001F4594"/>
    <w:rsid w:val="001F7C7D"/>
    <w:rsid w:val="002432B6"/>
    <w:rsid w:val="0025758D"/>
    <w:rsid w:val="0027759D"/>
    <w:rsid w:val="002913D3"/>
    <w:rsid w:val="002933DD"/>
    <w:rsid w:val="002A50E9"/>
    <w:rsid w:val="002B7F82"/>
    <w:rsid w:val="002D0B59"/>
    <w:rsid w:val="002E1E46"/>
    <w:rsid w:val="002E738D"/>
    <w:rsid w:val="00301741"/>
    <w:rsid w:val="00312498"/>
    <w:rsid w:val="003172B7"/>
    <w:rsid w:val="00323B57"/>
    <w:rsid w:val="00364BF1"/>
    <w:rsid w:val="003A126E"/>
    <w:rsid w:val="003A5BCA"/>
    <w:rsid w:val="003C7CDB"/>
    <w:rsid w:val="00405A6E"/>
    <w:rsid w:val="00406BE5"/>
    <w:rsid w:val="00407E3C"/>
    <w:rsid w:val="00415814"/>
    <w:rsid w:val="00422EF9"/>
    <w:rsid w:val="00426739"/>
    <w:rsid w:val="0043454B"/>
    <w:rsid w:val="00437EB0"/>
    <w:rsid w:val="00461798"/>
    <w:rsid w:val="00474D27"/>
    <w:rsid w:val="00485FE8"/>
    <w:rsid w:val="0049637E"/>
    <w:rsid w:val="0049786F"/>
    <w:rsid w:val="004A5589"/>
    <w:rsid w:val="004B3385"/>
    <w:rsid w:val="004C602B"/>
    <w:rsid w:val="004D2056"/>
    <w:rsid w:val="004D33DD"/>
    <w:rsid w:val="004E2380"/>
    <w:rsid w:val="004F39F5"/>
    <w:rsid w:val="00500EC8"/>
    <w:rsid w:val="00502ECA"/>
    <w:rsid w:val="005125A1"/>
    <w:rsid w:val="00513F8F"/>
    <w:rsid w:val="00530866"/>
    <w:rsid w:val="00532AE7"/>
    <w:rsid w:val="00540100"/>
    <w:rsid w:val="00550CBB"/>
    <w:rsid w:val="00553310"/>
    <w:rsid w:val="00556C2A"/>
    <w:rsid w:val="005806AD"/>
    <w:rsid w:val="0058314B"/>
    <w:rsid w:val="005911A6"/>
    <w:rsid w:val="0059462C"/>
    <w:rsid w:val="005D249B"/>
    <w:rsid w:val="005D5941"/>
    <w:rsid w:val="005E09A1"/>
    <w:rsid w:val="005E2534"/>
    <w:rsid w:val="005E63AB"/>
    <w:rsid w:val="005F1EFA"/>
    <w:rsid w:val="00607270"/>
    <w:rsid w:val="00612675"/>
    <w:rsid w:val="006A670F"/>
    <w:rsid w:val="006B05FB"/>
    <w:rsid w:val="006B13DD"/>
    <w:rsid w:val="006C1A50"/>
    <w:rsid w:val="006E083D"/>
    <w:rsid w:val="00705A03"/>
    <w:rsid w:val="00706D93"/>
    <w:rsid w:val="00711DD2"/>
    <w:rsid w:val="00721636"/>
    <w:rsid w:val="0072239E"/>
    <w:rsid w:val="00726773"/>
    <w:rsid w:val="00726FCF"/>
    <w:rsid w:val="00730264"/>
    <w:rsid w:val="00732630"/>
    <w:rsid w:val="007517B1"/>
    <w:rsid w:val="00751E55"/>
    <w:rsid w:val="00752333"/>
    <w:rsid w:val="00762ED9"/>
    <w:rsid w:val="007655C2"/>
    <w:rsid w:val="00766F8D"/>
    <w:rsid w:val="00773BF6"/>
    <w:rsid w:val="00774B39"/>
    <w:rsid w:val="007808D8"/>
    <w:rsid w:val="00783921"/>
    <w:rsid w:val="00783ADA"/>
    <w:rsid w:val="007904AD"/>
    <w:rsid w:val="00790F04"/>
    <w:rsid w:val="00795758"/>
    <w:rsid w:val="007A76A0"/>
    <w:rsid w:val="007C29FA"/>
    <w:rsid w:val="007D390D"/>
    <w:rsid w:val="007E5135"/>
    <w:rsid w:val="007E7674"/>
    <w:rsid w:val="007F51D1"/>
    <w:rsid w:val="007F61D6"/>
    <w:rsid w:val="007F6F01"/>
    <w:rsid w:val="00802511"/>
    <w:rsid w:val="008054A5"/>
    <w:rsid w:val="0081487B"/>
    <w:rsid w:val="00814F84"/>
    <w:rsid w:val="00814FCF"/>
    <w:rsid w:val="0082070E"/>
    <w:rsid w:val="00823987"/>
    <w:rsid w:val="008251A5"/>
    <w:rsid w:val="00844738"/>
    <w:rsid w:val="0085098B"/>
    <w:rsid w:val="00853370"/>
    <w:rsid w:val="008573D9"/>
    <w:rsid w:val="00866AF7"/>
    <w:rsid w:val="0087144A"/>
    <w:rsid w:val="00874513"/>
    <w:rsid w:val="0088588F"/>
    <w:rsid w:val="008962F9"/>
    <w:rsid w:val="008A6E5B"/>
    <w:rsid w:val="008A724D"/>
    <w:rsid w:val="008B3287"/>
    <w:rsid w:val="008C2D74"/>
    <w:rsid w:val="008D0E92"/>
    <w:rsid w:val="008F0CDB"/>
    <w:rsid w:val="008F6D10"/>
    <w:rsid w:val="00936616"/>
    <w:rsid w:val="00984564"/>
    <w:rsid w:val="009866A2"/>
    <w:rsid w:val="009917BC"/>
    <w:rsid w:val="009A4BA0"/>
    <w:rsid w:val="009B00DF"/>
    <w:rsid w:val="009B515E"/>
    <w:rsid w:val="009B6E95"/>
    <w:rsid w:val="009C1B1D"/>
    <w:rsid w:val="009E00CF"/>
    <w:rsid w:val="009E054D"/>
    <w:rsid w:val="009F4B2D"/>
    <w:rsid w:val="00A0352C"/>
    <w:rsid w:val="00A07C28"/>
    <w:rsid w:val="00A119A1"/>
    <w:rsid w:val="00A13F6E"/>
    <w:rsid w:val="00A16F35"/>
    <w:rsid w:val="00A33949"/>
    <w:rsid w:val="00A35B06"/>
    <w:rsid w:val="00A36875"/>
    <w:rsid w:val="00A43553"/>
    <w:rsid w:val="00A62574"/>
    <w:rsid w:val="00A7023E"/>
    <w:rsid w:val="00A765D8"/>
    <w:rsid w:val="00AA379A"/>
    <w:rsid w:val="00AA641C"/>
    <w:rsid w:val="00AB1C12"/>
    <w:rsid w:val="00AB2D30"/>
    <w:rsid w:val="00AB70F5"/>
    <w:rsid w:val="00AC29F6"/>
    <w:rsid w:val="00AC3974"/>
    <w:rsid w:val="00AD0DD0"/>
    <w:rsid w:val="00AD2E1A"/>
    <w:rsid w:val="00AD3473"/>
    <w:rsid w:val="00AD3F43"/>
    <w:rsid w:val="00AD4D05"/>
    <w:rsid w:val="00AD5F0A"/>
    <w:rsid w:val="00AE0A43"/>
    <w:rsid w:val="00AF3C76"/>
    <w:rsid w:val="00AF4BFC"/>
    <w:rsid w:val="00AF4DE6"/>
    <w:rsid w:val="00B04475"/>
    <w:rsid w:val="00B1620C"/>
    <w:rsid w:val="00B23FE9"/>
    <w:rsid w:val="00B25EA8"/>
    <w:rsid w:val="00B342C8"/>
    <w:rsid w:val="00B4747B"/>
    <w:rsid w:val="00B475B1"/>
    <w:rsid w:val="00B776B6"/>
    <w:rsid w:val="00B839CA"/>
    <w:rsid w:val="00B87420"/>
    <w:rsid w:val="00BA4135"/>
    <w:rsid w:val="00BA72E6"/>
    <w:rsid w:val="00BC6118"/>
    <w:rsid w:val="00BF6451"/>
    <w:rsid w:val="00BF7A80"/>
    <w:rsid w:val="00C04184"/>
    <w:rsid w:val="00C2051B"/>
    <w:rsid w:val="00C22DF2"/>
    <w:rsid w:val="00C41FD0"/>
    <w:rsid w:val="00C44B9A"/>
    <w:rsid w:val="00C54FEA"/>
    <w:rsid w:val="00C66B70"/>
    <w:rsid w:val="00C80B75"/>
    <w:rsid w:val="00C850C8"/>
    <w:rsid w:val="00CA42F5"/>
    <w:rsid w:val="00CB4A6B"/>
    <w:rsid w:val="00CC4F8E"/>
    <w:rsid w:val="00CD1A71"/>
    <w:rsid w:val="00D00297"/>
    <w:rsid w:val="00D06298"/>
    <w:rsid w:val="00D0763E"/>
    <w:rsid w:val="00D13EEE"/>
    <w:rsid w:val="00D227C4"/>
    <w:rsid w:val="00D24B7C"/>
    <w:rsid w:val="00D3114D"/>
    <w:rsid w:val="00D334AF"/>
    <w:rsid w:val="00D33C11"/>
    <w:rsid w:val="00D36534"/>
    <w:rsid w:val="00D407D7"/>
    <w:rsid w:val="00D44A52"/>
    <w:rsid w:val="00D519A4"/>
    <w:rsid w:val="00D51FD6"/>
    <w:rsid w:val="00D955DD"/>
    <w:rsid w:val="00DA209E"/>
    <w:rsid w:val="00DC02ED"/>
    <w:rsid w:val="00DC6D65"/>
    <w:rsid w:val="00DD0F94"/>
    <w:rsid w:val="00DD3DB9"/>
    <w:rsid w:val="00DD6944"/>
    <w:rsid w:val="00DD78F0"/>
    <w:rsid w:val="00DE3788"/>
    <w:rsid w:val="00DF3368"/>
    <w:rsid w:val="00E011AB"/>
    <w:rsid w:val="00E10CE9"/>
    <w:rsid w:val="00E343C7"/>
    <w:rsid w:val="00E36446"/>
    <w:rsid w:val="00E51999"/>
    <w:rsid w:val="00E52FE4"/>
    <w:rsid w:val="00E66C41"/>
    <w:rsid w:val="00E67256"/>
    <w:rsid w:val="00E81D75"/>
    <w:rsid w:val="00E83714"/>
    <w:rsid w:val="00E86676"/>
    <w:rsid w:val="00E9498B"/>
    <w:rsid w:val="00EB48E7"/>
    <w:rsid w:val="00ED246F"/>
    <w:rsid w:val="00EE010E"/>
    <w:rsid w:val="00EE4AE6"/>
    <w:rsid w:val="00F01F69"/>
    <w:rsid w:val="00F23FC1"/>
    <w:rsid w:val="00F34BC4"/>
    <w:rsid w:val="00F35882"/>
    <w:rsid w:val="00F36A1B"/>
    <w:rsid w:val="00F61F3A"/>
    <w:rsid w:val="00F67804"/>
    <w:rsid w:val="00F67AC9"/>
    <w:rsid w:val="00F70A17"/>
    <w:rsid w:val="00F7536C"/>
    <w:rsid w:val="00F915F3"/>
    <w:rsid w:val="00FA0DCC"/>
    <w:rsid w:val="00FA5224"/>
    <w:rsid w:val="00FC2640"/>
    <w:rsid w:val="00FC52C2"/>
    <w:rsid w:val="00FE5E90"/>
    <w:rsid w:val="00FF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C8"/>
    <w:pPr>
      <w:ind w:left="720"/>
      <w:contextualSpacing/>
    </w:pPr>
  </w:style>
  <w:style w:type="paragraph" w:styleId="Header">
    <w:name w:val="header"/>
    <w:basedOn w:val="Normal"/>
    <w:link w:val="HeaderChar"/>
    <w:uiPriority w:val="99"/>
    <w:unhideWhenUsed/>
    <w:rsid w:val="0078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8D8"/>
  </w:style>
  <w:style w:type="paragraph" w:styleId="Footer">
    <w:name w:val="footer"/>
    <w:basedOn w:val="Normal"/>
    <w:link w:val="FooterChar"/>
    <w:uiPriority w:val="99"/>
    <w:unhideWhenUsed/>
    <w:rsid w:val="00780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8D8"/>
  </w:style>
  <w:style w:type="paragraph" w:styleId="BalloonText">
    <w:name w:val="Balloon Text"/>
    <w:basedOn w:val="Normal"/>
    <w:link w:val="BalloonTextChar"/>
    <w:uiPriority w:val="99"/>
    <w:semiHidden/>
    <w:unhideWhenUsed/>
    <w:rsid w:val="0055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BB"/>
    <w:rPr>
      <w:rFonts w:ascii="Tahoma" w:hAnsi="Tahoma" w:cs="Tahoma"/>
      <w:sz w:val="16"/>
      <w:szCs w:val="16"/>
    </w:rPr>
  </w:style>
  <w:style w:type="character" w:styleId="CommentReference">
    <w:name w:val="annotation reference"/>
    <w:basedOn w:val="DefaultParagraphFont"/>
    <w:uiPriority w:val="99"/>
    <w:semiHidden/>
    <w:unhideWhenUsed/>
    <w:rsid w:val="00DD3DB9"/>
    <w:rPr>
      <w:sz w:val="16"/>
      <w:szCs w:val="16"/>
    </w:rPr>
  </w:style>
  <w:style w:type="paragraph" w:styleId="CommentText">
    <w:name w:val="annotation text"/>
    <w:basedOn w:val="Normal"/>
    <w:link w:val="CommentTextChar"/>
    <w:uiPriority w:val="99"/>
    <w:semiHidden/>
    <w:unhideWhenUsed/>
    <w:rsid w:val="00DD3DB9"/>
    <w:pPr>
      <w:spacing w:line="240" w:lineRule="auto"/>
    </w:pPr>
    <w:rPr>
      <w:sz w:val="20"/>
      <w:szCs w:val="20"/>
    </w:rPr>
  </w:style>
  <w:style w:type="character" w:customStyle="1" w:styleId="CommentTextChar">
    <w:name w:val="Comment Text Char"/>
    <w:basedOn w:val="DefaultParagraphFont"/>
    <w:link w:val="CommentText"/>
    <w:uiPriority w:val="99"/>
    <w:semiHidden/>
    <w:rsid w:val="00DD3DB9"/>
    <w:rPr>
      <w:sz w:val="20"/>
      <w:szCs w:val="20"/>
    </w:rPr>
  </w:style>
  <w:style w:type="paragraph" w:styleId="CommentSubject">
    <w:name w:val="annotation subject"/>
    <w:basedOn w:val="CommentText"/>
    <w:next w:val="CommentText"/>
    <w:link w:val="CommentSubjectChar"/>
    <w:uiPriority w:val="99"/>
    <w:semiHidden/>
    <w:unhideWhenUsed/>
    <w:rsid w:val="00DD3DB9"/>
    <w:rPr>
      <w:b/>
      <w:bCs/>
    </w:rPr>
  </w:style>
  <w:style w:type="character" w:customStyle="1" w:styleId="CommentSubjectChar">
    <w:name w:val="Comment Subject Char"/>
    <w:basedOn w:val="CommentTextChar"/>
    <w:link w:val="CommentSubject"/>
    <w:uiPriority w:val="99"/>
    <w:semiHidden/>
    <w:rsid w:val="00DD3DB9"/>
    <w:rPr>
      <w:b/>
      <w:bCs/>
      <w:sz w:val="20"/>
      <w:szCs w:val="20"/>
    </w:rPr>
  </w:style>
  <w:style w:type="paragraph" w:styleId="Revision">
    <w:name w:val="Revision"/>
    <w:hidden/>
    <w:uiPriority w:val="99"/>
    <w:semiHidden/>
    <w:rsid w:val="00DD3DB9"/>
    <w:pPr>
      <w:spacing w:after="0" w:line="240" w:lineRule="auto"/>
    </w:pPr>
  </w:style>
  <w:style w:type="table" w:styleId="TableGrid">
    <w:name w:val="Table Grid"/>
    <w:basedOn w:val="TableNormal"/>
    <w:uiPriority w:val="59"/>
    <w:rsid w:val="0098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6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D65"/>
    <w:rPr>
      <w:sz w:val="20"/>
      <w:szCs w:val="20"/>
    </w:rPr>
  </w:style>
  <w:style w:type="character" w:styleId="FootnoteReference">
    <w:name w:val="footnote reference"/>
    <w:basedOn w:val="DefaultParagraphFont"/>
    <w:uiPriority w:val="99"/>
    <w:semiHidden/>
    <w:unhideWhenUsed/>
    <w:rsid w:val="00DC6D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C8"/>
    <w:pPr>
      <w:ind w:left="720"/>
      <w:contextualSpacing/>
    </w:pPr>
  </w:style>
  <w:style w:type="paragraph" w:styleId="Header">
    <w:name w:val="header"/>
    <w:basedOn w:val="Normal"/>
    <w:link w:val="HeaderChar"/>
    <w:uiPriority w:val="99"/>
    <w:unhideWhenUsed/>
    <w:rsid w:val="0078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8D8"/>
  </w:style>
  <w:style w:type="paragraph" w:styleId="Footer">
    <w:name w:val="footer"/>
    <w:basedOn w:val="Normal"/>
    <w:link w:val="FooterChar"/>
    <w:uiPriority w:val="99"/>
    <w:unhideWhenUsed/>
    <w:rsid w:val="00780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8D8"/>
  </w:style>
  <w:style w:type="paragraph" w:styleId="BalloonText">
    <w:name w:val="Balloon Text"/>
    <w:basedOn w:val="Normal"/>
    <w:link w:val="BalloonTextChar"/>
    <w:uiPriority w:val="99"/>
    <w:semiHidden/>
    <w:unhideWhenUsed/>
    <w:rsid w:val="0055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BB"/>
    <w:rPr>
      <w:rFonts w:ascii="Tahoma" w:hAnsi="Tahoma" w:cs="Tahoma"/>
      <w:sz w:val="16"/>
      <w:szCs w:val="16"/>
    </w:rPr>
  </w:style>
  <w:style w:type="character" w:styleId="CommentReference">
    <w:name w:val="annotation reference"/>
    <w:basedOn w:val="DefaultParagraphFont"/>
    <w:uiPriority w:val="99"/>
    <w:semiHidden/>
    <w:unhideWhenUsed/>
    <w:rsid w:val="00DD3DB9"/>
    <w:rPr>
      <w:sz w:val="16"/>
      <w:szCs w:val="16"/>
    </w:rPr>
  </w:style>
  <w:style w:type="paragraph" w:styleId="CommentText">
    <w:name w:val="annotation text"/>
    <w:basedOn w:val="Normal"/>
    <w:link w:val="CommentTextChar"/>
    <w:uiPriority w:val="99"/>
    <w:semiHidden/>
    <w:unhideWhenUsed/>
    <w:rsid w:val="00DD3DB9"/>
    <w:pPr>
      <w:spacing w:line="240" w:lineRule="auto"/>
    </w:pPr>
    <w:rPr>
      <w:sz w:val="20"/>
      <w:szCs w:val="20"/>
    </w:rPr>
  </w:style>
  <w:style w:type="character" w:customStyle="1" w:styleId="CommentTextChar">
    <w:name w:val="Comment Text Char"/>
    <w:basedOn w:val="DefaultParagraphFont"/>
    <w:link w:val="CommentText"/>
    <w:uiPriority w:val="99"/>
    <w:semiHidden/>
    <w:rsid w:val="00DD3DB9"/>
    <w:rPr>
      <w:sz w:val="20"/>
      <w:szCs w:val="20"/>
    </w:rPr>
  </w:style>
  <w:style w:type="paragraph" w:styleId="CommentSubject">
    <w:name w:val="annotation subject"/>
    <w:basedOn w:val="CommentText"/>
    <w:next w:val="CommentText"/>
    <w:link w:val="CommentSubjectChar"/>
    <w:uiPriority w:val="99"/>
    <w:semiHidden/>
    <w:unhideWhenUsed/>
    <w:rsid w:val="00DD3DB9"/>
    <w:rPr>
      <w:b/>
      <w:bCs/>
    </w:rPr>
  </w:style>
  <w:style w:type="character" w:customStyle="1" w:styleId="CommentSubjectChar">
    <w:name w:val="Comment Subject Char"/>
    <w:basedOn w:val="CommentTextChar"/>
    <w:link w:val="CommentSubject"/>
    <w:uiPriority w:val="99"/>
    <w:semiHidden/>
    <w:rsid w:val="00DD3DB9"/>
    <w:rPr>
      <w:b/>
      <w:bCs/>
      <w:sz w:val="20"/>
      <w:szCs w:val="20"/>
    </w:rPr>
  </w:style>
  <w:style w:type="paragraph" w:styleId="Revision">
    <w:name w:val="Revision"/>
    <w:hidden/>
    <w:uiPriority w:val="99"/>
    <w:semiHidden/>
    <w:rsid w:val="00DD3DB9"/>
    <w:pPr>
      <w:spacing w:after="0" w:line="240" w:lineRule="auto"/>
    </w:pPr>
  </w:style>
  <w:style w:type="table" w:styleId="TableGrid">
    <w:name w:val="Table Grid"/>
    <w:basedOn w:val="TableNormal"/>
    <w:uiPriority w:val="59"/>
    <w:rsid w:val="0098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6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D65"/>
    <w:rPr>
      <w:sz w:val="20"/>
      <w:szCs w:val="20"/>
    </w:rPr>
  </w:style>
  <w:style w:type="character" w:styleId="FootnoteReference">
    <w:name w:val="footnote reference"/>
    <w:basedOn w:val="DefaultParagraphFont"/>
    <w:uiPriority w:val="99"/>
    <w:semiHidden/>
    <w:unhideWhenUsed/>
    <w:rsid w:val="00DC6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0E83-CD97-4838-802B-8F293C94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1876</Words>
  <Characters>10696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Sean</dc:creator>
  <cp:lastModifiedBy>Page, Cyndi</cp:lastModifiedBy>
  <cp:revision>2</cp:revision>
  <cp:lastPrinted>2016-05-27T12:46:00Z</cp:lastPrinted>
  <dcterms:created xsi:type="dcterms:W3CDTF">2017-03-17T18:28:00Z</dcterms:created>
  <dcterms:modified xsi:type="dcterms:W3CDTF">2017-03-17T18:28:00Z</dcterms:modified>
</cp:coreProperties>
</file>