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A2" w:rsidRPr="005F5149" w:rsidRDefault="00E913A2" w:rsidP="00E913A2">
      <w:pPr>
        <w:pStyle w:val="Subtitle"/>
        <w:rPr>
          <w:rFonts w:ascii="Times New Roman" w:hAnsi="Times New Roman"/>
          <w:sz w:val="26"/>
          <w:szCs w:val="26"/>
        </w:rPr>
      </w:pPr>
      <w:r w:rsidRPr="005F5149">
        <w:rPr>
          <w:rFonts w:ascii="Times New Roman" w:hAnsi="Times New Roman"/>
          <w:sz w:val="26"/>
          <w:szCs w:val="26"/>
        </w:rPr>
        <w:t>PENNSYLVANIA</w:t>
      </w:r>
    </w:p>
    <w:p w:rsidR="00E913A2" w:rsidRPr="005F5149" w:rsidRDefault="00E913A2" w:rsidP="00E913A2">
      <w:pPr>
        <w:pStyle w:val="Subtitle"/>
        <w:rPr>
          <w:rFonts w:ascii="Times New Roman" w:hAnsi="Times New Roman"/>
          <w:sz w:val="26"/>
          <w:szCs w:val="26"/>
        </w:rPr>
      </w:pPr>
      <w:r w:rsidRPr="005F5149">
        <w:rPr>
          <w:rFonts w:ascii="Times New Roman" w:hAnsi="Times New Roman"/>
          <w:sz w:val="26"/>
          <w:szCs w:val="26"/>
        </w:rPr>
        <w:t>PUBLIC UTILITY COMMISSION</w:t>
      </w:r>
    </w:p>
    <w:p w:rsidR="00E913A2" w:rsidRPr="005F5149" w:rsidRDefault="00E913A2" w:rsidP="00E913A2">
      <w:pPr>
        <w:pStyle w:val="Subtitle"/>
        <w:rPr>
          <w:rFonts w:ascii="Times New Roman" w:hAnsi="Times New Roman"/>
          <w:sz w:val="26"/>
          <w:szCs w:val="26"/>
        </w:rPr>
      </w:pPr>
      <w:r w:rsidRPr="005F5149">
        <w:rPr>
          <w:rFonts w:ascii="Times New Roman" w:hAnsi="Times New Roman"/>
          <w:sz w:val="26"/>
          <w:szCs w:val="26"/>
        </w:rPr>
        <w:t>Harrisburg, PA 17105-3265</w:t>
      </w:r>
    </w:p>
    <w:p w:rsidR="00E913A2" w:rsidRDefault="00E913A2" w:rsidP="00E913A2">
      <w:pPr>
        <w:jc w:val="both"/>
        <w:rPr>
          <w:sz w:val="26"/>
          <w:szCs w:val="26"/>
        </w:rPr>
      </w:pPr>
    </w:p>
    <w:p w:rsidR="00E913A2" w:rsidRDefault="00E913A2" w:rsidP="00E913A2">
      <w:pPr>
        <w:jc w:val="both"/>
        <w:rPr>
          <w:sz w:val="26"/>
          <w:szCs w:val="26"/>
        </w:rPr>
      </w:pPr>
    </w:p>
    <w:p w:rsidR="00E913A2" w:rsidRDefault="00E913A2" w:rsidP="00E913A2">
      <w:pPr>
        <w:jc w:val="right"/>
        <w:rPr>
          <w:sz w:val="26"/>
          <w:szCs w:val="26"/>
        </w:rPr>
      </w:pPr>
      <w:r>
        <w:rPr>
          <w:sz w:val="26"/>
          <w:szCs w:val="26"/>
        </w:rPr>
        <w:t>Public Meeting held</w:t>
      </w:r>
      <w:r w:rsidRPr="005F5149">
        <w:rPr>
          <w:sz w:val="26"/>
          <w:szCs w:val="26"/>
        </w:rPr>
        <w:t xml:space="preserve"> </w:t>
      </w:r>
      <w:r w:rsidR="00B12D7A">
        <w:rPr>
          <w:sz w:val="26"/>
          <w:szCs w:val="26"/>
        </w:rPr>
        <w:t>July</w:t>
      </w:r>
      <w:r>
        <w:rPr>
          <w:sz w:val="26"/>
          <w:szCs w:val="26"/>
        </w:rPr>
        <w:t xml:space="preserve"> </w:t>
      </w:r>
      <w:r w:rsidR="00B12D7A">
        <w:rPr>
          <w:sz w:val="26"/>
          <w:szCs w:val="26"/>
        </w:rPr>
        <w:t>19</w:t>
      </w:r>
      <w:r>
        <w:rPr>
          <w:sz w:val="26"/>
          <w:szCs w:val="26"/>
        </w:rPr>
        <w:t>, 2012</w:t>
      </w:r>
    </w:p>
    <w:p w:rsidR="00E913A2" w:rsidRPr="005F5149" w:rsidRDefault="00E913A2" w:rsidP="00E913A2">
      <w:pPr>
        <w:jc w:val="right"/>
        <w:rPr>
          <w:sz w:val="26"/>
          <w:szCs w:val="26"/>
        </w:rPr>
      </w:pPr>
    </w:p>
    <w:p w:rsidR="00E913A2" w:rsidRDefault="00E913A2" w:rsidP="00E913A2">
      <w:pPr>
        <w:jc w:val="right"/>
        <w:rPr>
          <w:sz w:val="26"/>
          <w:szCs w:val="26"/>
        </w:rPr>
      </w:pPr>
    </w:p>
    <w:p w:rsidR="00E913A2" w:rsidRDefault="00E913A2" w:rsidP="00BB5F01">
      <w:pPr>
        <w:jc w:val="both"/>
        <w:rPr>
          <w:sz w:val="26"/>
          <w:szCs w:val="26"/>
        </w:rPr>
      </w:pPr>
      <w:r w:rsidRPr="005F5149">
        <w:rPr>
          <w:sz w:val="26"/>
          <w:szCs w:val="26"/>
        </w:rPr>
        <w:t>Commissioners Present:</w:t>
      </w:r>
    </w:p>
    <w:p w:rsidR="00E913A2" w:rsidRDefault="00E913A2" w:rsidP="00E913A2">
      <w:pPr>
        <w:jc w:val="both"/>
        <w:rPr>
          <w:sz w:val="26"/>
          <w:szCs w:val="26"/>
        </w:rPr>
      </w:pPr>
    </w:p>
    <w:p w:rsidR="00BB5F01" w:rsidRPr="005F5149" w:rsidRDefault="00BB5F01" w:rsidP="00E913A2">
      <w:pPr>
        <w:jc w:val="both"/>
        <w:rPr>
          <w:sz w:val="26"/>
          <w:szCs w:val="26"/>
        </w:rPr>
      </w:pPr>
    </w:p>
    <w:p w:rsidR="00E913A2" w:rsidRPr="005F5149" w:rsidRDefault="00E913A2" w:rsidP="00E913A2">
      <w:pPr>
        <w:spacing w:line="240" w:lineRule="auto"/>
        <w:ind w:left="187"/>
        <w:rPr>
          <w:sz w:val="26"/>
          <w:szCs w:val="26"/>
        </w:rPr>
      </w:pPr>
      <w:r>
        <w:rPr>
          <w:sz w:val="26"/>
          <w:szCs w:val="26"/>
        </w:rPr>
        <w:tab/>
      </w:r>
      <w:r w:rsidRPr="005F5149">
        <w:rPr>
          <w:sz w:val="26"/>
          <w:szCs w:val="26"/>
        </w:rPr>
        <w:t>Robert F. Powelson, Chairman</w:t>
      </w:r>
    </w:p>
    <w:p w:rsidR="00E913A2" w:rsidRPr="005F5149" w:rsidRDefault="00E913A2" w:rsidP="00E913A2">
      <w:pPr>
        <w:spacing w:line="240" w:lineRule="auto"/>
        <w:ind w:left="187"/>
        <w:rPr>
          <w:sz w:val="26"/>
          <w:szCs w:val="26"/>
        </w:rPr>
      </w:pPr>
      <w:r>
        <w:rPr>
          <w:sz w:val="26"/>
          <w:szCs w:val="26"/>
        </w:rPr>
        <w:tab/>
      </w:r>
      <w:r w:rsidRPr="005F5149">
        <w:rPr>
          <w:sz w:val="26"/>
          <w:szCs w:val="26"/>
        </w:rPr>
        <w:t>John F. Coleman, Jr., Vice Chairman</w:t>
      </w:r>
    </w:p>
    <w:p w:rsidR="00E913A2" w:rsidRPr="005F5149" w:rsidRDefault="00E913A2" w:rsidP="00E913A2">
      <w:pPr>
        <w:spacing w:line="240" w:lineRule="auto"/>
        <w:ind w:left="187"/>
        <w:rPr>
          <w:sz w:val="26"/>
          <w:szCs w:val="26"/>
        </w:rPr>
      </w:pPr>
      <w:r>
        <w:rPr>
          <w:sz w:val="26"/>
          <w:szCs w:val="26"/>
        </w:rPr>
        <w:tab/>
      </w:r>
      <w:r w:rsidRPr="005F5149">
        <w:rPr>
          <w:sz w:val="26"/>
          <w:szCs w:val="26"/>
        </w:rPr>
        <w:t>Wayne E. Gardner</w:t>
      </w:r>
    </w:p>
    <w:p w:rsidR="00E913A2" w:rsidRDefault="00E913A2" w:rsidP="00E913A2">
      <w:pPr>
        <w:spacing w:line="240" w:lineRule="auto"/>
        <w:ind w:left="187"/>
        <w:rPr>
          <w:sz w:val="26"/>
          <w:szCs w:val="26"/>
        </w:rPr>
      </w:pPr>
      <w:r>
        <w:rPr>
          <w:sz w:val="26"/>
          <w:szCs w:val="26"/>
        </w:rPr>
        <w:tab/>
      </w:r>
      <w:r w:rsidRPr="005F5149">
        <w:rPr>
          <w:sz w:val="26"/>
          <w:szCs w:val="26"/>
        </w:rPr>
        <w:t>James H. Cawley</w:t>
      </w:r>
      <w:r>
        <w:rPr>
          <w:sz w:val="26"/>
          <w:szCs w:val="26"/>
        </w:rPr>
        <w:t xml:space="preserve"> </w:t>
      </w:r>
    </w:p>
    <w:p w:rsidR="00E913A2" w:rsidRPr="005F5149" w:rsidRDefault="00E913A2" w:rsidP="00E913A2">
      <w:pPr>
        <w:spacing w:line="240" w:lineRule="auto"/>
        <w:ind w:left="187"/>
        <w:rPr>
          <w:sz w:val="26"/>
          <w:szCs w:val="26"/>
        </w:rPr>
      </w:pPr>
      <w:r>
        <w:rPr>
          <w:sz w:val="26"/>
          <w:szCs w:val="26"/>
        </w:rPr>
        <w:tab/>
      </w:r>
      <w:r w:rsidRPr="005F5149">
        <w:rPr>
          <w:sz w:val="26"/>
          <w:szCs w:val="26"/>
        </w:rPr>
        <w:t>Pamela A. Witmer</w:t>
      </w:r>
    </w:p>
    <w:p w:rsidR="00E913A2" w:rsidRDefault="00E913A2" w:rsidP="00E913A2">
      <w:pPr>
        <w:tabs>
          <w:tab w:val="left" w:pos="-720"/>
        </w:tabs>
        <w:suppressAutoHyphens/>
        <w:spacing w:line="240" w:lineRule="auto"/>
        <w:rPr>
          <w:spacing w:val="-3"/>
          <w:sz w:val="26"/>
          <w:szCs w:val="26"/>
        </w:rPr>
      </w:pPr>
    </w:p>
    <w:p w:rsidR="00E913A2" w:rsidRDefault="00E913A2" w:rsidP="00E913A2">
      <w:pPr>
        <w:tabs>
          <w:tab w:val="left" w:pos="-720"/>
        </w:tabs>
        <w:suppressAutoHyphens/>
        <w:spacing w:line="240" w:lineRule="auto"/>
        <w:rPr>
          <w:spacing w:val="-3"/>
          <w:sz w:val="26"/>
          <w:szCs w:val="26"/>
        </w:rPr>
      </w:pPr>
    </w:p>
    <w:p w:rsidR="00E913A2" w:rsidRDefault="00E913A2" w:rsidP="00E913A2">
      <w:pPr>
        <w:tabs>
          <w:tab w:val="left" w:pos="-720"/>
        </w:tabs>
        <w:suppressAutoHyphens/>
        <w:spacing w:line="240" w:lineRule="auto"/>
        <w:rPr>
          <w:spacing w:val="-3"/>
          <w:sz w:val="26"/>
          <w:szCs w:val="26"/>
        </w:rPr>
      </w:pPr>
    </w:p>
    <w:p w:rsidR="00E913A2" w:rsidRPr="005F5149" w:rsidRDefault="00E913A2" w:rsidP="00E913A2">
      <w:pPr>
        <w:tabs>
          <w:tab w:val="left" w:pos="-720"/>
        </w:tabs>
        <w:suppressAutoHyphens/>
        <w:spacing w:line="240" w:lineRule="auto"/>
        <w:rPr>
          <w:spacing w:val="-3"/>
          <w:sz w:val="26"/>
          <w:szCs w:val="26"/>
        </w:rPr>
      </w:pPr>
    </w:p>
    <w:p w:rsidR="00E913A2" w:rsidRPr="007A6CEF" w:rsidRDefault="00E913A2" w:rsidP="00BB5F01">
      <w:pPr>
        <w:spacing w:line="240" w:lineRule="auto"/>
        <w:contextualSpacing/>
        <w:jc w:val="both"/>
        <w:rPr>
          <w:sz w:val="26"/>
          <w:szCs w:val="26"/>
        </w:rPr>
      </w:pPr>
    </w:p>
    <w:p w:rsidR="00E913A2" w:rsidRPr="007A6CEF" w:rsidRDefault="00E913A2" w:rsidP="00E913A2">
      <w:pPr>
        <w:spacing w:line="240" w:lineRule="auto"/>
        <w:contextualSpacing/>
        <w:rPr>
          <w:sz w:val="26"/>
          <w:szCs w:val="26"/>
        </w:rPr>
      </w:pPr>
    </w:p>
    <w:p w:rsidR="00E913A2" w:rsidRPr="007A6CEF" w:rsidRDefault="00E913A2" w:rsidP="00E913A2">
      <w:pPr>
        <w:spacing w:line="240" w:lineRule="auto"/>
        <w:contextualSpacing/>
        <w:rPr>
          <w:sz w:val="26"/>
          <w:szCs w:val="26"/>
        </w:rPr>
      </w:pPr>
      <w:r>
        <w:rPr>
          <w:sz w:val="26"/>
          <w:szCs w:val="26"/>
        </w:rPr>
        <w:t xml:space="preserve">Petition of </w:t>
      </w:r>
      <w:r w:rsidRPr="007A6CEF">
        <w:rPr>
          <w:sz w:val="26"/>
          <w:szCs w:val="26"/>
        </w:rPr>
        <w:t>PPL Electric Utilities Corporation</w:t>
      </w:r>
      <w:r w:rsidRPr="007A6CEF">
        <w:rPr>
          <w:sz w:val="26"/>
          <w:szCs w:val="26"/>
        </w:rPr>
        <w:tab/>
      </w:r>
      <w:r>
        <w:rPr>
          <w:sz w:val="26"/>
          <w:szCs w:val="26"/>
        </w:rPr>
        <w:tab/>
      </w:r>
      <w:r w:rsidR="00943FB1">
        <w:rPr>
          <w:sz w:val="26"/>
          <w:szCs w:val="26"/>
        </w:rPr>
        <w:tab/>
        <w:t>P</w:t>
      </w:r>
      <w:r w:rsidRPr="007A6CEF">
        <w:rPr>
          <w:sz w:val="26"/>
          <w:szCs w:val="26"/>
        </w:rPr>
        <w:t>-2011-2256</w:t>
      </w:r>
      <w:r w:rsidR="00943FB1">
        <w:rPr>
          <w:sz w:val="26"/>
          <w:szCs w:val="26"/>
        </w:rPr>
        <w:t>365</w:t>
      </w:r>
    </w:p>
    <w:p w:rsidR="00E913A2" w:rsidRDefault="00E913A2" w:rsidP="00E913A2">
      <w:pPr>
        <w:spacing w:line="240" w:lineRule="auto"/>
        <w:contextualSpacing/>
        <w:rPr>
          <w:sz w:val="26"/>
          <w:szCs w:val="26"/>
        </w:rPr>
      </w:pPr>
      <w:r>
        <w:rPr>
          <w:sz w:val="26"/>
          <w:szCs w:val="26"/>
        </w:rPr>
        <w:t xml:space="preserve">For Approval to Implement a Reconciliation </w:t>
      </w:r>
    </w:p>
    <w:p w:rsidR="00E913A2" w:rsidRPr="007A6CEF" w:rsidRDefault="00E913A2" w:rsidP="00E913A2">
      <w:pPr>
        <w:spacing w:line="240" w:lineRule="auto"/>
        <w:contextualSpacing/>
        <w:rPr>
          <w:sz w:val="26"/>
          <w:szCs w:val="26"/>
        </w:rPr>
      </w:pPr>
      <w:r>
        <w:rPr>
          <w:sz w:val="26"/>
          <w:szCs w:val="26"/>
        </w:rPr>
        <w:t>Rider for Default Supply Service</w:t>
      </w:r>
      <w:r w:rsidRPr="007A6CEF">
        <w:rPr>
          <w:sz w:val="26"/>
          <w:szCs w:val="26"/>
        </w:rPr>
        <w:tab/>
      </w:r>
      <w:r w:rsidRPr="007A6CEF">
        <w:rPr>
          <w:sz w:val="26"/>
          <w:szCs w:val="26"/>
        </w:rPr>
        <w:tab/>
      </w:r>
      <w:r w:rsidRPr="007A6CEF">
        <w:rPr>
          <w:sz w:val="26"/>
          <w:szCs w:val="26"/>
        </w:rPr>
        <w:tab/>
      </w:r>
      <w:r w:rsidRPr="007A6CEF">
        <w:rPr>
          <w:sz w:val="26"/>
          <w:szCs w:val="26"/>
        </w:rPr>
        <w:tab/>
      </w:r>
      <w:r w:rsidRPr="007A6CEF">
        <w:rPr>
          <w:sz w:val="26"/>
          <w:szCs w:val="26"/>
        </w:rPr>
        <w:tab/>
      </w:r>
      <w:r w:rsidRPr="007A6CEF">
        <w:rPr>
          <w:sz w:val="26"/>
          <w:szCs w:val="26"/>
        </w:rPr>
        <w:tab/>
      </w:r>
      <w:r w:rsidRPr="007A6CEF">
        <w:rPr>
          <w:sz w:val="26"/>
          <w:szCs w:val="26"/>
        </w:rPr>
        <w:tab/>
      </w:r>
    </w:p>
    <w:p w:rsidR="00E913A2" w:rsidRPr="007A6CEF" w:rsidRDefault="00E913A2" w:rsidP="00E913A2">
      <w:pPr>
        <w:spacing w:line="240" w:lineRule="auto"/>
        <w:contextualSpacing/>
        <w:rPr>
          <w:sz w:val="26"/>
          <w:szCs w:val="26"/>
        </w:rPr>
      </w:pPr>
      <w:r w:rsidRPr="007A6CEF">
        <w:rPr>
          <w:sz w:val="26"/>
          <w:szCs w:val="26"/>
        </w:rPr>
        <w:tab/>
      </w:r>
      <w:r w:rsidRPr="007A6CEF">
        <w:rPr>
          <w:sz w:val="26"/>
          <w:szCs w:val="26"/>
        </w:rPr>
        <w:tab/>
      </w:r>
    </w:p>
    <w:p w:rsidR="00E913A2" w:rsidRPr="007A6CEF" w:rsidRDefault="00E913A2" w:rsidP="00E913A2">
      <w:pPr>
        <w:spacing w:line="240" w:lineRule="auto"/>
        <w:contextualSpacing/>
        <w:rPr>
          <w:sz w:val="26"/>
          <w:szCs w:val="26"/>
        </w:rPr>
      </w:pPr>
    </w:p>
    <w:p w:rsidR="00E913A2" w:rsidRPr="007A6CEF" w:rsidRDefault="00E913A2" w:rsidP="00E913A2">
      <w:pPr>
        <w:spacing w:line="240" w:lineRule="auto"/>
        <w:contextualSpacing/>
        <w:rPr>
          <w:sz w:val="26"/>
          <w:szCs w:val="26"/>
        </w:rPr>
      </w:pPr>
    </w:p>
    <w:p w:rsidR="00E7599F" w:rsidRPr="007C4E34" w:rsidRDefault="00E7599F" w:rsidP="00BB5F01">
      <w:pPr>
        <w:tabs>
          <w:tab w:val="left" w:pos="-720"/>
        </w:tabs>
        <w:suppressAutoHyphens/>
        <w:spacing w:line="240" w:lineRule="auto"/>
        <w:rPr>
          <w:b/>
          <w:bCs/>
          <w:szCs w:val="24"/>
        </w:rPr>
      </w:pPr>
    </w:p>
    <w:p w:rsidR="00E7599F" w:rsidRPr="007C4E34" w:rsidRDefault="00E7599F" w:rsidP="00BB5F01">
      <w:pPr>
        <w:widowControl w:val="0"/>
        <w:spacing w:line="240" w:lineRule="auto"/>
        <w:rPr>
          <w:b/>
          <w:bCs/>
          <w:szCs w:val="24"/>
        </w:rPr>
      </w:pPr>
    </w:p>
    <w:p w:rsidR="007C4E34" w:rsidRPr="007C4E34" w:rsidRDefault="007C4E34" w:rsidP="00BB5F01">
      <w:pPr>
        <w:widowControl w:val="0"/>
        <w:spacing w:line="240" w:lineRule="auto"/>
        <w:rPr>
          <w:b/>
          <w:bCs/>
          <w:szCs w:val="24"/>
        </w:rPr>
      </w:pPr>
    </w:p>
    <w:p w:rsidR="00E7599F" w:rsidRPr="007C4E34" w:rsidRDefault="00E7599F" w:rsidP="00E7599F">
      <w:pPr>
        <w:widowControl w:val="0"/>
        <w:spacing w:line="240" w:lineRule="auto"/>
        <w:rPr>
          <w:bCs/>
          <w:szCs w:val="24"/>
        </w:rPr>
      </w:pPr>
    </w:p>
    <w:p w:rsidR="00E7599F" w:rsidRPr="007C4E34" w:rsidRDefault="00E7599F" w:rsidP="00E7599F">
      <w:pPr>
        <w:widowControl w:val="0"/>
        <w:spacing w:line="240" w:lineRule="auto"/>
        <w:rPr>
          <w:bCs/>
          <w:szCs w:val="24"/>
        </w:rPr>
      </w:pPr>
    </w:p>
    <w:p w:rsidR="007C4E34" w:rsidRPr="007C4E34" w:rsidRDefault="007C4E34" w:rsidP="00BB5F01">
      <w:pPr>
        <w:spacing w:line="240" w:lineRule="auto"/>
        <w:contextualSpacing/>
        <w:rPr>
          <w:szCs w:val="24"/>
        </w:rPr>
      </w:pPr>
    </w:p>
    <w:p w:rsidR="00E7599F" w:rsidRPr="007C4E34" w:rsidRDefault="00E7599F" w:rsidP="00BB5F01">
      <w:pPr>
        <w:spacing w:line="240" w:lineRule="auto"/>
        <w:rPr>
          <w:szCs w:val="24"/>
        </w:rPr>
      </w:pPr>
    </w:p>
    <w:p w:rsidR="0018435C" w:rsidRDefault="0018435C" w:rsidP="0018435C">
      <w:pPr>
        <w:spacing w:line="240" w:lineRule="auto"/>
        <w:jc w:val="center"/>
        <w:rPr>
          <w:szCs w:val="24"/>
          <w:u w:val="single"/>
        </w:rPr>
        <w:sectPr w:rsidR="0018435C" w:rsidSect="00C763D7">
          <w:footerReference w:type="default" r:id="rId9"/>
          <w:footerReference w:type="first" r:id="rId10"/>
          <w:pgSz w:w="12240" w:h="15840"/>
          <w:pgMar w:top="1440" w:right="1440" w:bottom="1440" w:left="1440" w:header="720" w:footer="720" w:gutter="0"/>
          <w:cols w:space="720"/>
          <w:titlePg/>
          <w:docGrid w:linePitch="360"/>
        </w:sectPr>
      </w:pPr>
    </w:p>
    <w:p w:rsidR="0018435C" w:rsidRPr="005D6F28" w:rsidRDefault="009A4F6E" w:rsidP="0018435C">
      <w:pPr>
        <w:spacing w:line="240" w:lineRule="auto"/>
        <w:jc w:val="center"/>
        <w:rPr>
          <w:b/>
          <w:sz w:val="26"/>
          <w:szCs w:val="26"/>
        </w:rPr>
      </w:pPr>
      <w:r>
        <w:rPr>
          <w:b/>
          <w:sz w:val="26"/>
          <w:szCs w:val="26"/>
        </w:rPr>
        <w:lastRenderedPageBreak/>
        <w:br/>
      </w:r>
      <w:r w:rsidR="0018435C" w:rsidRPr="005D6F28">
        <w:rPr>
          <w:b/>
          <w:sz w:val="26"/>
          <w:szCs w:val="26"/>
        </w:rPr>
        <w:t>TABLE OF CONTENTS</w:t>
      </w:r>
    </w:p>
    <w:p w:rsidR="0018435C" w:rsidRDefault="0018435C" w:rsidP="0018435C">
      <w:pPr>
        <w:spacing w:line="240" w:lineRule="auto"/>
        <w:jc w:val="center"/>
        <w:rPr>
          <w:szCs w:val="24"/>
          <w:u w:val="single"/>
        </w:rPr>
      </w:pPr>
    </w:p>
    <w:p w:rsidR="00B14EDA" w:rsidRDefault="00754BBB">
      <w:pPr>
        <w:pStyle w:val="TOC1"/>
        <w:tabs>
          <w:tab w:val="left" w:pos="720"/>
          <w:tab w:val="right" w:leader="dot" w:pos="9350"/>
        </w:tabs>
        <w:rPr>
          <w:rFonts w:asciiTheme="minorHAnsi" w:eastAsiaTheme="minorEastAsia" w:hAnsiTheme="minorHAnsi" w:cstheme="minorBidi"/>
          <w:noProof/>
          <w:sz w:val="22"/>
          <w:szCs w:val="22"/>
        </w:rPr>
      </w:pPr>
      <w:r>
        <w:rPr>
          <w:szCs w:val="24"/>
          <w:u w:val="single"/>
        </w:rPr>
        <w:fldChar w:fldCharType="begin"/>
      </w:r>
      <w:r>
        <w:rPr>
          <w:szCs w:val="24"/>
          <w:u w:val="single"/>
        </w:rPr>
        <w:instrText xml:space="preserve"> TOC \h \z \t "Heading 1,1,Heading 2,2,Heading 3,3" </w:instrText>
      </w:r>
      <w:r>
        <w:rPr>
          <w:szCs w:val="24"/>
          <w:u w:val="single"/>
        </w:rPr>
        <w:fldChar w:fldCharType="separate"/>
      </w:r>
      <w:hyperlink w:anchor="_Toc329688380" w:history="1">
        <w:r w:rsidR="00B14EDA" w:rsidRPr="008105AD">
          <w:rPr>
            <w:rStyle w:val="Hyperlink"/>
            <w:noProof/>
          </w:rPr>
          <w:t>I.</w:t>
        </w:r>
        <w:r w:rsidR="00B14EDA">
          <w:rPr>
            <w:rFonts w:asciiTheme="minorHAnsi" w:eastAsiaTheme="minorEastAsia" w:hAnsiTheme="minorHAnsi" w:cstheme="minorBidi"/>
            <w:noProof/>
            <w:sz w:val="22"/>
            <w:szCs w:val="22"/>
          </w:rPr>
          <w:tab/>
        </w:r>
        <w:r w:rsidR="00B14EDA" w:rsidRPr="008105AD">
          <w:rPr>
            <w:rStyle w:val="Hyperlink"/>
            <w:noProof/>
          </w:rPr>
          <w:t>History of the Proceeding</w:t>
        </w:r>
        <w:r w:rsidR="00B14EDA">
          <w:rPr>
            <w:noProof/>
            <w:webHidden/>
          </w:rPr>
          <w:tab/>
        </w:r>
        <w:r w:rsidR="00B14EDA">
          <w:rPr>
            <w:noProof/>
            <w:webHidden/>
          </w:rPr>
          <w:fldChar w:fldCharType="begin"/>
        </w:r>
        <w:r w:rsidR="00B14EDA">
          <w:rPr>
            <w:noProof/>
            <w:webHidden/>
          </w:rPr>
          <w:instrText xml:space="preserve"> PAGEREF _Toc329688380 \h </w:instrText>
        </w:r>
        <w:r w:rsidR="00B14EDA">
          <w:rPr>
            <w:noProof/>
            <w:webHidden/>
          </w:rPr>
        </w:r>
        <w:r w:rsidR="00B14EDA">
          <w:rPr>
            <w:noProof/>
            <w:webHidden/>
          </w:rPr>
          <w:fldChar w:fldCharType="separate"/>
        </w:r>
        <w:r w:rsidR="00905934">
          <w:rPr>
            <w:noProof/>
            <w:webHidden/>
          </w:rPr>
          <w:t>2</w:t>
        </w:r>
        <w:r w:rsidR="00B14EDA">
          <w:rPr>
            <w:noProof/>
            <w:webHidden/>
          </w:rPr>
          <w:fldChar w:fldCharType="end"/>
        </w:r>
      </w:hyperlink>
    </w:p>
    <w:p w:rsidR="00B14EDA" w:rsidRDefault="0046193C">
      <w:pPr>
        <w:pStyle w:val="TOC1"/>
        <w:tabs>
          <w:tab w:val="left" w:pos="720"/>
          <w:tab w:val="right" w:leader="dot" w:pos="9350"/>
        </w:tabs>
        <w:rPr>
          <w:rFonts w:asciiTheme="minorHAnsi" w:eastAsiaTheme="minorEastAsia" w:hAnsiTheme="minorHAnsi" w:cstheme="minorBidi"/>
          <w:noProof/>
          <w:sz w:val="22"/>
          <w:szCs w:val="22"/>
        </w:rPr>
      </w:pPr>
      <w:hyperlink w:anchor="_Toc329688381" w:history="1">
        <w:r w:rsidR="00B14EDA" w:rsidRPr="008105AD">
          <w:rPr>
            <w:rStyle w:val="Hyperlink"/>
            <w:noProof/>
          </w:rPr>
          <w:t>II.</w:t>
        </w:r>
        <w:r w:rsidR="00B14EDA">
          <w:rPr>
            <w:rFonts w:asciiTheme="minorHAnsi" w:eastAsiaTheme="minorEastAsia" w:hAnsiTheme="minorHAnsi" w:cstheme="minorBidi"/>
            <w:noProof/>
            <w:sz w:val="22"/>
            <w:szCs w:val="22"/>
          </w:rPr>
          <w:tab/>
        </w:r>
        <w:r w:rsidR="00B14EDA" w:rsidRPr="008105AD">
          <w:rPr>
            <w:rStyle w:val="Hyperlink"/>
            <w:noProof/>
          </w:rPr>
          <w:t>Discussion</w:t>
        </w:r>
        <w:r w:rsidR="00B14EDA">
          <w:rPr>
            <w:noProof/>
            <w:webHidden/>
          </w:rPr>
          <w:tab/>
        </w:r>
        <w:r w:rsidR="00B14EDA">
          <w:rPr>
            <w:noProof/>
            <w:webHidden/>
          </w:rPr>
          <w:fldChar w:fldCharType="begin"/>
        </w:r>
        <w:r w:rsidR="00B14EDA">
          <w:rPr>
            <w:noProof/>
            <w:webHidden/>
          </w:rPr>
          <w:instrText xml:space="preserve"> PAGEREF _Toc329688381 \h </w:instrText>
        </w:r>
        <w:r w:rsidR="00B14EDA">
          <w:rPr>
            <w:noProof/>
            <w:webHidden/>
          </w:rPr>
        </w:r>
        <w:r w:rsidR="00B14EDA">
          <w:rPr>
            <w:noProof/>
            <w:webHidden/>
          </w:rPr>
          <w:fldChar w:fldCharType="separate"/>
        </w:r>
        <w:r w:rsidR="00905934">
          <w:rPr>
            <w:noProof/>
            <w:webHidden/>
          </w:rPr>
          <w:t>5</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382" w:history="1">
        <w:r w:rsidR="00B14EDA" w:rsidRPr="008105AD">
          <w:rPr>
            <w:rStyle w:val="Hyperlink"/>
            <w:noProof/>
          </w:rPr>
          <w:t>A.</w:t>
        </w:r>
        <w:r w:rsidR="00B14EDA">
          <w:rPr>
            <w:rFonts w:asciiTheme="minorHAnsi" w:eastAsiaTheme="minorEastAsia" w:hAnsiTheme="minorHAnsi" w:cstheme="minorBidi"/>
            <w:noProof/>
            <w:sz w:val="22"/>
            <w:szCs w:val="22"/>
          </w:rPr>
          <w:tab/>
        </w:r>
        <w:r w:rsidR="00B14EDA" w:rsidRPr="008105AD">
          <w:rPr>
            <w:rStyle w:val="Hyperlink"/>
            <w:noProof/>
          </w:rPr>
          <w:t>Burden of Proof</w:t>
        </w:r>
        <w:r w:rsidR="00B14EDA">
          <w:rPr>
            <w:noProof/>
            <w:webHidden/>
          </w:rPr>
          <w:tab/>
        </w:r>
        <w:r w:rsidR="00B14EDA">
          <w:rPr>
            <w:noProof/>
            <w:webHidden/>
          </w:rPr>
          <w:fldChar w:fldCharType="begin"/>
        </w:r>
        <w:r w:rsidR="00B14EDA">
          <w:rPr>
            <w:noProof/>
            <w:webHidden/>
          </w:rPr>
          <w:instrText xml:space="preserve"> PAGEREF _Toc329688382 \h </w:instrText>
        </w:r>
        <w:r w:rsidR="00B14EDA">
          <w:rPr>
            <w:noProof/>
            <w:webHidden/>
          </w:rPr>
        </w:r>
        <w:r w:rsidR="00B14EDA">
          <w:rPr>
            <w:noProof/>
            <w:webHidden/>
          </w:rPr>
          <w:fldChar w:fldCharType="separate"/>
        </w:r>
        <w:r w:rsidR="00905934">
          <w:rPr>
            <w:noProof/>
            <w:webHidden/>
          </w:rPr>
          <w:t>5</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383" w:history="1">
        <w:r w:rsidR="00B14EDA" w:rsidRPr="008105AD">
          <w:rPr>
            <w:rStyle w:val="Hyperlink"/>
            <w:noProof/>
          </w:rPr>
          <w:t>B.</w:t>
        </w:r>
        <w:r w:rsidR="00B14EDA">
          <w:rPr>
            <w:rFonts w:asciiTheme="minorHAnsi" w:eastAsiaTheme="minorEastAsia" w:hAnsiTheme="minorHAnsi" w:cstheme="minorBidi"/>
            <w:noProof/>
            <w:sz w:val="22"/>
            <w:szCs w:val="22"/>
          </w:rPr>
          <w:tab/>
        </w:r>
        <w:r w:rsidR="00B14EDA" w:rsidRPr="008105AD">
          <w:rPr>
            <w:rStyle w:val="Hyperlink"/>
            <w:noProof/>
          </w:rPr>
          <w:t>Introduction</w:t>
        </w:r>
        <w:r w:rsidR="00B14EDA">
          <w:rPr>
            <w:noProof/>
            <w:webHidden/>
          </w:rPr>
          <w:tab/>
        </w:r>
        <w:r w:rsidR="00B14EDA">
          <w:rPr>
            <w:noProof/>
            <w:webHidden/>
          </w:rPr>
          <w:fldChar w:fldCharType="begin"/>
        </w:r>
        <w:r w:rsidR="00B14EDA">
          <w:rPr>
            <w:noProof/>
            <w:webHidden/>
          </w:rPr>
          <w:instrText xml:space="preserve"> PAGEREF _Toc329688383 \h </w:instrText>
        </w:r>
        <w:r w:rsidR="00B14EDA">
          <w:rPr>
            <w:noProof/>
            <w:webHidden/>
          </w:rPr>
        </w:r>
        <w:r w:rsidR="00B14EDA">
          <w:rPr>
            <w:noProof/>
            <w:webHidden/>
          </w:rPr>
          <w:fldChar w:fldCharType="separate"/>
        </w:r>
        <w:r w:rsidR="00905934">
          <w:rPr>
            <w:noProof/>
            <w:webHidden/>
          </w:rPr>
          <w:t>7</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384" w:history="1">
        <w:r w:rsidR="00B14EDA" w:rsidRPr="008105AD">
          <w:rPr>
            <w:rStyle w:val="Hyperlink"/>
            <w:noProof/>
          </w:rPr>
          <w:t>C.</w:t>
        </w:r>
        <w:r w:rsidR="00B14EDA">
          <w:rPr>
            <w:rFonts w:asciiTheme="minorHAnsi" w:eastAsiaTheme="minorEastAsia" w:hAnsiTheme="minorHAnsi" w:cstheme="minorBidi"/>
            <w:noProof/>
            <w:sz w:val="22"/>
            <w:szCs w:val="22"/>
          </w:rPr>
          <w:tab/>
        </w:r>
        <w:r w:rsidR="00B14EDA" w:rsidRPr="008105AD">
          <w:rPr>
            <w:rStyle w:val="Hyperlink"/>
            <w:noProof/>
          </w:rPr>
          <w:t>Competitive Transition Rider (CTR)</w:t>
        </w:r>
        <w:r w:rsidR="00B14EDA">
          <w:rPr>
            <w:noProof/>
            <w:webHidden/>
          </w:rPr>
          <w:tab/>
        </w:r>
        <w:r w:rsidR="00B14EDA">
          <w:rPr>
            <w:noProof/>
            <w:webHidden/>
          </w:rPr>
          <w:fldChar w:fldCharType="begin"/>
        </w:r>
        <w:r w:rsidR="00B14EDA">
          <w:rPr>
            <w:noProof/>
            <w:webHidden/>
          </w:rPr>
          <w:instrText xml:space="preserve"> PAGEREF _Toc329688384 \h </w:instrText>
        </w:r>
        <w:r w:rsidR="00B14EDA">
          <w:rPr>
            <w:noProof/>
            <w:webHidden/>
          </w:rPr>
        </w:r>
        <w:r w:rsidR="00B14EDA">
          <w:rPr>
            <w:noProof/>
            <w:webHidden/>
          </w:rPr>
          <w:fldChar w:fldCharType="separate"/>
        </w:r>
        <w:r w:rsidR="00905934">
          <w:rPr>
            <w:noProof/>
            <w:webHidden/>
          </w:rPr>
          <w:t>12</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85" w:history="1">
        <w:r w:rsidR="00B14EDA" w:rsidRPr="008105AD">
          <w:rPr>
            <w:rStyle w:val="Hyperlink"/>
            <w:noProof/>
          </w:rPr>
          <w:t>1.</w:t>
        </w:r>
        <w:r w:rsidR="00B14EDA">
          <w:rPr>
            <w:rFonts w:asciiTheme="minorHAnsi" w:eastAsiaTheme="minorEastAsia" w:hAnsiTheme="minorHAnsi" w:cstheme="minorBidi"/>
            <w:noProof/>
            <w:sz w:val="22"/>
            <w:szCs w:val="22"/>
          </w:rPr>
          <w:tab/>
        </w:r>
        <w:r w:rsidR="00B14EDA" w:rsidRPr="008105AD">
          <w:rPr>
            <w:rStyle w:val="Hyperlink"/>
            <w:noProof/>
          </w:rPr>
          <w:t>Description</w:t>
        </w:r>
        <w:r w:rsidR="00B14EDA">
          <w:rPr>
            <w:noProof/>
            <w:webHidden/>
          </w:rPr>
          <w:tab/>
        </w:r>
        <w:r w:rsidR="00B14EDA">
          <w:rPr>
            <w:noProof/>
            <w:webHidden/>
          </w:rPr>
          <w:fldChar w:fldCharType="begin"/>
        </w:r>
        <w:r w:rsidR="00B14EDA">
          <w:rPr>
            <w:noProof/>
            <w:webHidden/>
          </w:rPr>
          <w:instrText xml:space="preserve"> PAGEREF _Toc329688385 \h </w:instrText>
        </w:r>
        <w:r w:rsidR="00B14EDA">
          <w:rPr>
            <w:noProof/>
            <w:webHidden/>
          </w:rPr>
        </w:r>
        <w:r w:rsidR="00B14EDA">
          <w:rPr>
            <w:noProof/>
            <w:webHidden/>
          </w:rPr>
          <w:fldChar w:fldCharType="separate"/>
        </w:r>
        <w:r w:rsidR="00905934">
          <w:rPr>
            <w:noProof/>
            <w:webHidden/>
          </w:rPr>
          <w:t>12</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86" w:history="1">
        <w:r w:rsidR="00B14EDA" w:rsidRPr="008105AD">
          <w:rPr>
            <w:rStyle w:val="Hyperlink"/>
            <w:noProof/>
          </w:rPr>
          <w:t>2.</w:t>
        </w:r>
        <w:r w:rsidR="00B14EDA">
          <w:rPr>
            <w:rFonts w:asciiTheme="minorHAnsi" w:eastAsiaTheme="minorEastAsia" w:hAnsiTheme="minorHAnsi" w:cstheme="minorBidi"/>
            <w:noProof/>
            <w:sz w:val="22"/>
            <w:szCs w:val="22"/>
          </w:rPr>
          <w:tab/>
        </w:r>
        <w:r w:rsidR="00B14EDA" w:rsidRPr="008105AD">
          <w:rPr>
            <w:rStyle w:val="Hyperlink"/>
            <w:noProof/>
          </w:rPr>
          <w:t>Positions of the Parties</w:t>
        </w:r>
        <w:r w:rsidR="00B14EDA">
          <w:rPr>
            <w:noProof/>
            <w:webHidden/>
          </w:rPr>
          <w:tab/>
        </w:r>
        <w:r w:rsidR="00B14EDA">
          <w:rPr>
            <w:noProof/>
            <w:webHidden/>
          </w:rPr>
          <w:fldChar w:fldCharType="begin"/>
        </w:r>
        <w:r w:rsidR="00B14EDA">
          <w:rPr>
            <w:noProof/>
            <w:webHidden/>
          </w:rPr>
          <w:instrText xml:space="preserve"> PAGEREF _Toc329688386 \h </w:instrText>
        </w:r>
        <w:r w:rsidR="00B14EDA">
          <w:rPr>
            <w:noProof/>
            <w:webHidden/>
          </w:rPr>
        </w:r>
        <w:r w:rsidR="00B14EDA">
          <w:rPr>
            <w:noProof/>
            <w:webHidden/>
          </w:rPr>
          <w:fldChar w:fldCharType="separate"/>
        </w:r>
        <w:r w:rsidR="00905934">
          <w:rPr>
            <w:noProof/>
            <w:webHidden/>
          </w:rPr>
          <w:t>12</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87" w:history="1">
        <w:r w:rsidR="00B14EDA" w:rsidRPr="008105AD">
          <w:rPr>
            <w:rStyle w:val="Hyperlink"/>
            <w:noProof/>
          </w:rPr>
          <w:t>3.</w:t>
        </w:r>
        <w:r w:rsidR="00B14EDA">
          <w:rPr>
            <w:rFonts w:asciiTheme="minorHAnsi" w:eastAsiaTheme="minorEastAsia" w:hAnsiTheme="minorHAnsi" w:cstheme="minorBidi"/>
            <w:noProof/>
            <w:sz w:val="22"/>
            <w:szCs w:val="22"/>
          </w:rPr>
          <w:tab/>
        </w:r>
        <w:r w:rsidR="00B14EDA" w:rsidRPr="008105AD">
          <w:rPr>
            <w:rStyle w:val="Hyperlink"/>
            <w:noProof/>
          </w:rPr>
          <w:t>ALJ’s Recommendation</w:t>
        </w:r>
        <w:r w:rsidR="00B14EDA">
          <w:rPr>
            <w:noProof/>
            <w:webHidden/>
          </w:rPr>
          <w:tab/>
        </w:r>
        <w:r w:rsidR="00B14EDA">
          <w:rPr>
            <w:noProof/>
            <w:webHidden/>
          </w:rPr>
          <w:fldChar w:fldCharType="begin"/>
        </w:r>
        <w:r w:rsidR="00B14EDA">
          <w:rPr>
            <w:noProof/>
            <w:webHidden/>
          </w:rPr>
          <w:instrText xml:space="preserve"> PAGEREF _Toc329688387 \h </w:instrText>
        </w:r>
        <w:r w:rsidR="00B14EDA">
          <w:rPr>
            <w:noProof/>
            <w:webHidden/>
          </w:rPr>
        </w:r>
        <w:r w:rsidR="00B14EDA">
          <w:rPr>
            <w:noProof/>
            <w:webHidden/>
          </w:rPr>
          <w:fldChar w:fldCharType="separate"/>
        </w:r>
        <w:r w:rsidR="00905934">
          <w:rPr>
            <w:noProof/>
            <w:webHidden/>
          </w:rPr>
          <w:t>16</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88" w:history="1">
        <w:r w:rsidR="00B14EDA" w:rsidRPr="008105AD">
          <w:rPr>
            <w:rStyle w:val="Hyperlink"/>
            <w:noProof/>
          </w:rPr>
          <w:t>4.</w:t>
        </w:r>
        <w:r w:rsidR="00B14EDA">
          <w:rPr>
            <w:rFonts w:asciiTheme="minorHAnsi" w:eastAsiaTheme="minorEastAsia" w:hAnsiTheme="minorHAnsi" w:cstheme="minorBidi"/>
            <w:noProof/>
            <w:sz w:val="22"/>
            <w:szCs w:val="22"/>
          </w:rPr>
          <w:tab/>
        </w:r>
        <w:r w:rsidR="00B14EDA" w:rsidRPr="008105AD">
          <w:rPr>
            <w:rStyle w:val="Hyperlink"/>
            <w:noProof/>
          </w:rPr>
          <w:t>Exceptions and Replies</w:t>
        </w:r>
        <w:r w:rsidR="00B14EDA">
          <w:rPr>
            <w:noProof/>
            <w:webHidden/>
          </w:rPr>
          <w:tab/>
        </w:r>
        <w:r w:rsidR="00B14EDA">
          <w:rPr>
            <w:noProof/>
            <w:webHidden/>
          </w:rPr>
          <w:fldChar w:fldCharType="begin"/>
        </w:r>
        <w:r w:rsidR="00B14EDA">
          <w:rPr>
            <w:noProof/>
            <w:webHidden/>
          </w:rPr>
          <w:instrText xml:space="preserve"> PAGEREF _Toc329688388 \h </w:instrText>
        </w:r>
        <w:r w:rsidR="00B14EDA">
          <w:rPr>
            <w:noProof/>
            <w:webHidden/>
          </w:rPr>
        </w:r>
        <w:r w:rsidR="00B14EDA">
          <w:rPr>
            <w:noProof/>
            <w:webHidden/>
          </w:rPr>
          <w:fldChar w:fldCharType="separate"/>
        </w:r>
        <w:r w:rsidR="00905934">
          <w:rPr>
            <w:noProof/>
            <w:webHidden/>
          </w:rPr>
          <w:t>17</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89" w:history="1">
        <w:r w:rsidR="00B14EDA" w:rsidRPr="008105AD">
          <w:rPr>
            <w:rStyle w:val="Hyperlink"/>
            <w:noProof/>
          </w:rPr>
          <w:t>5.</w:t>
        </w:r>
        <w:r w:rsidR="00B14EDA">
          <w:rPr>
            <w:rFonts w:asciiTheme="minorHAnsi" w:eastAsiaTheme="minorEastAsia" w:hAnsiTheme="minorHAnsi" w:cstheme="minorBidi"/>
            <w:noProof/>
            <w:sz w:val="22"/>
            <w:szCs w:val="22"/>
          </w:rPr>
          <w:tab/>
        </w:r>
        <w:r w:rsidR="00B14EDA" w:rsidRPr="008105AD">
          <w:rPr>
            <w:rStyle w:val="Hyperlink"/>
            <w:noProof/>
          </w:rPr>
          <w:t>Disposition</w:t>
        </w:r>
        <w:r w:rsidR="00B14EDA">
          <w:rPr>
            <w:noProof/>
            <w:webHidden/>
          </w:rPr>
          <w:tab/>
        </w:r>
        <w:r w:rsidR="00B14EDA">
          <w:rPr>
            <w:noProof/>
            <w:webHidden/>
          </w:rPr>
          <w:fldChar w:fldCharType="begin"/>
        </w:r>
        <w:r w:rsidR="00B14EDA">
          <w:rPr>
            <w:noProof/>
            <w:webHidden/>
          </w:rPr>
          <w:instrText xml:space="preserve"> PAGEREF _Toc329688389 \h </w:instrText>
        </w:r>
        <w:r w:rsidR="00B14EDA">
          <w:rPr>
            <w:noProof/>
            <w:webHidden/>
          </w:rPr>
        </w:r>
        <w:r w:rsidR="00B14EDA">
          <w:rPr>
            <w:noProof/>
            <w:webHidden/>
          </w:rPr>
          <w:fldChar w:fldCharType="separate"/>
        </w:r>
        <w:r w:rsidR="00905934">
          <w:rPr>
            <w:noProof/>
            <w:webHidden/>
          </w:rPr>
          <w:t>23</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390" w:history="1">
        <w:r w:rsidR="00B14EDA" w:rsidRPr="008105AD">
          <w:rPr>
            <w:rStyle w:val="Hyperlink"/>
            <w:noProof/>
          </w:rPr>
          <w:t>D.</w:t>
        </w:r>
        <w:r w:rsidR="00B14EDA">
          <w:rPr>
            <w:rFonts w:asciiTheme="minorHAnsi" w:eastAsiaTheme="minorEastAsia" w:hAnsiTheme="minorHAnsi" w:cstheme="minorBidi"/>
            <w:noProof/>
            <w:sz w:val="22"/>
            <w:szCs w:val="22"/>
          </w:rPr>
          <w:tab/>
        </w:r>
        <w:r w:rsidR="00B14EDA" w:rsidRPr="008105AD">
          <w:rPr>
            <w:rStyle w:val="Hyperlink"/>
            <w:noProof/>
          </w:rPr>
          <w:t>Reconciliation Rider (RR)</w:t>
        </w:r>
        <w:r w:rsidR="00B14EDA">
          <w:rPr>
            <w:noProof/>
            <w:webHidden/>
          </w:rPr>
          <w:tab/>
        </w:r>
        <w:r w:rsidR="00B14EDA">
          <w:rPr>
            <w:noProof/>
            <w:webHidden/>
          </w:rPr>
          <w:fldChar w:fldCharType="begin"/>
        </w:r>
        <w:r w:rsidR="00B14EDA">
          <w:rPr>
            <w:noProof/>
            <w:webHidden/>
          </w:rPr>
          <w:instrText xml:space="preserve"> PAGEREF _Toc329688390 \h </w:instrText>
        </w:r>
        <w:r w:rsidR="00B14EDA">
          <w:rPr>
            <w:noProof/>
            <w:webHidden/>
          </w:rPr>
        </w:r>
        <w:r w:rsidR="00B14EDA">
          <w:rPr>
            <w:noProof/>
            <w:webHidden/>
          </w:rPr>
          <w:fldChar w:fldCharType="separate"/>
        </w:r>
        <w:r w:rsidR="00905934">
          <w:rPr>
            <w:noProof/>
            <w:webHidden/>
          </w:rPr>
          <w:t>24</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1" w:history="1">
        <w:r w:rsidR="00B14EDA" w:rsidRPr="008105AD">
          <w:rPr>
            <w:rStyle w:val="Hyperlink"/>
            <w:noProof/>
          </w:rPr>
          <w:t>1.</w:t>
        </w:r>
        <w:r w:rsidR="00B14EDA">
          <w:rPr>
            <w:rFonts w:asciiTheme="minorHAnsi" w:eastAsiaTheme="minorEastAsia" w:hAnsiTheme="minorHAnsi" w:cstheme="minorBidi"/>
            <w:noProof/>
            <w:sz w:val="22"/>
            <w:szCs w:val="22"/>
          </w:rPr>
          <w:tab/>
        </w:r>
        <w:r w:rsidR="00B14EDA" w:rsidRPr="008105AD">
          <w:rPr>
            <w:rStyle w:val="Hyperlink"/>
            <w:noProof/>
          </w:rPr>
          <w:t>Description</w:t>
        </w:r>
        <w:r w:rsidR="00B14EDA">
          <w:rPr>
            <w:noProof/>
            <w:webHidden/>
          </w:rPr>
          <w:tab/>
        </w:r>
        <w:r w:rsidR="00B14EDA">
          <w:rPr>
            <w:noProof/>
            <w:webHidden/>
          </w:rPr>
          <w:fldChar w:fldCharType="begin"/>
        </w:r>
        <w:r w:rsidR="00B14EDA">
          <w:rPr>
            <w:noProof/>
            <w:webHidden/>
          </w:rPr>
          <w:instrText xml:space="preserve"> PAGEREF _Toc329688391 \h </w:instrText>
        </w:r>
        <w:r w:rsidR="00B14EDA">
          <w:rPr>
            <w:noProof/>
            <w:webHidden/>
          </w:rPr>
        </w:r>
        <w:r w:rsidR="00B14EDA">
          <w:rPr>
            <w:noProof/>
            <w:webHidden/>
          </w:rPr>
          <w:fldChar w:fldCharType="separate"/>
        </w:r>
        <w:r w:rsidR="00905934">
          <w:rPr>
            <w:noProof/>
            <w:webHidden/>
          </w:rPr>
          <w:t>24</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2" w:history="1">
        <w:r w:rsidR="00B14EDA" w:rsidRPr="008105AD">
          <w:rPr>
            <w:rStyle w:val="Hyperlink"/>
            <w:noProof/>
          </w:rPr>
          <w:t>2.</w:t>
        </w:r>
        <w:r w:rsidR="00B14EDA">
          <w:rPr>
            <w:rFonts w:asciiTheme="minorHAnsi" w:eastAsiaTheme="minorEastAsia" w:hAnsiTheme="minorHAnsi" w:cstheme="minorBidi"/>
            <w:noProof/>
            <w:sz w:val="22"/>
            <w:szCs w:val="22"/>
          </w:rPr>
          <w:tab/>
        </w:r>
        <w:r w:rsidR="00B14EDA" w:rsidRPr="008105AD">
          <w:rPr>
            <w:rStyle w:val="Hyperlink"/>
            <w:noProof/>
          </w:rPr>
          <w:t>Positions of the Parties</w:t>
        </w:r>
        <w:r w:rsidR="00B14EDA">
          <w:rPr>
            <w:noProof/>
            <w:webHidden/>
          </w:rPr>
          <w:tab/>
        </w:r>
        <w:r w:rsidR="00B14EDA">
          <w:rPr>
            <w:noProof/>
            <w:webHidden/>
          </w:rPr>
          <w:fldChar w:fldCharType="begin"/>
        </w:r>
        <w:r w:rsidR="00B14EDA">
          <w:rPr>
            <w:noProof/>
            <w:webHidden/>
          </w:rPr>
          <w:instrText xml:space="preserve"> PAGEREF _Toc329688392 \h </w:instrText>
        </w:r>
        <w:r w:rsidR="00B14EDA">
          <w:rPr>
            <w:noProof/>
            <w:webHidden/>
          </w:rPr>
        </w:r>
        <w:r w:rsidR="00B14EDA">
          <w:rPr>
            <w:noProof/>
            <w:webHidden/>
          </w:rPr>
          <w:fldChar w:fldCharType="separate"/>
        </w:r>
        <w:r w:rsidR="00905934">
          <w:rPr>
            <w:noProof/>
            <w:webHidden/>
          </w:rPr>
          <w:t>25</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3" w:history="1">
        <w:r w:rsidR="00B14EDA" w:rsidRPr="008105AD">
          <w:rPr>
            <w:rStyle w:val="Hyperlink"/>
            <w:noProof/>
          </w:rPr>
          <w:t>3.</w:t>
        </w:r>
        <w:r w:rsidR="00B14EDA">
          <w:rPr>
            <w:rFonts w:asciiTheme="minorHAnsi" w:eastAsiaTheme="minorEastAsia" w:hAnsiTheme="minorHAnsi" w:cstheme="minorBidi"/>
            <w:noProof/>
            <w:sz w:val="22"/>
            <w:szCs w:val="22"/>
          </w:rPr>
          <w:tab/>
        </w:r>
        <w:r w:rsidR="00B14EDA" w:rsidRPr="008105AD">
          <w:rPr>
            <w:rStyle w:val="Hyperlink"/>
            <w:noProof/>
          </w:rPr>
          <w:t>ALJ’s Recommendation</w:t>
        </w:r>
        <w:r w:rsidR="00B14EDA">
          <w:rPr>
            <w:noProof/>
            <w:webHidden/>
          </w:rPr>
          <w:tab/>
        </w:r>
        <w:r w:rsidR="00B14EDA">
          <w:rPr>
            <w:noProof/>
            <w:webHidden/>
          </w:rPr>
          <w:fldChar w:fldCharType="begin"/>
        </w:r>
        <w:r w:rsidR="00B14EDA">
          <w:rPr>
            <w:noProof/>
            <w:webHidden/>
          </w:rPr>
          <w:instrText xml:space="preserve"> PAGEREF _Toc329688393 \h </w:instrText>
        </w:r>
        <w:r w:rsidR="00B14EDA">
          <w:rPr>
            <w:noProof/>
            <w:webHidden/>
          </w:rPr>
        </w:r>
        <w:r w:rsidR="00B14EDA">
          <w:rPr>
            <w:noProof/>
            <w:webHidden/>
          </w:rPr>
          <w:fldChar w:fldCharType="separate"/>
        </w:r>
        <w:r w:rsidR="00905934">
          <w:rPr>
            <w:noProof/>
            <w:webHidden/>
          </w:rPr>
          <w:t>31</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4" w:history="1">
        <w:r w:rsidR="00B14EDA" w:rsidRPr="008105AD">
          <w:rPr>
            <w:rStyle w:val="Hyperlink"/>
            <w:noProof/>
          </w:rPr>
          <w:t>4.</w:t>
        </w:r>
        <w:r w:rsidR="00B14EDA">
          <w:rPr>
            <w:rFonts w:asciiTheme="minorHAnsi" w:eastAsiaTheme="minorEastAsia" w:hAnsiTheme="minorHAnsi" w:cstheme="minorBidi"/>
            <w:noProof/>
            <w:sz w:val="22"/>
            <w:szCs w:val="22"/>
          </w:rPr>
          <w:tab/>
        </w:r>
        <w:r w:rsidR="00B14EDA" w:rsidRPr="008105AD">
          <w:rPr>
            <w:rStyle w:val="Hyperlink"/>
            <w:noProof/>
          </w:rPr>
          <w:t>Exceptions and Replies</w:t>
        </w:r>
        <w:r w:rsidR="00B14EDA">
          <w:rPr>
            <w:noProof/>
            <w:webHidden/>
          </w:rPr>
          <w:tab/>
        </w:r>
        <w:r w:rsidR="00B14EDA">
          <w:rPr>
            <w:noProof/>
            <w:webHidden/>
          </w:rPr>
          <w:fldChar w:fldCharType="begin"/>
        </w:r>
        <w:r w:rsidR="00B14EDA">
          <w:rPr>
            <w:noProof/>
            <w:webHidden/>
          </w:rPr>
          <w:instrText xml:space="preserve"> PAGEREF _Toc329688394 \h </w:instrText>
        </w:r>
        <w:r w:rsidR="00B14EDA">
          <w:rPr>
            <w:noProof/>
            <w:webHidden/>
          </w:rPr>
        </w:r>
        <w:r w:rsidR="00B14EDA">
          <w:rPr>
            <w:noProof/>
            <w:webHidden/>
          </w:rPr>
          <w:fldChar w:fldCharType="separate"/>
        </w:r>
        <w:r w:rsidR="00905934">
          <w:rPr>
            <w:noProof/>
            <w:webHidden/>
          </w:rPr>
          <w:t>32</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5" w:history="1">
        <w:r w:rsidR="00B14EDA" w:rsidRPr="008105AD">
          <w:rPr>
            <w:rStyle w:val="Hyperlink"/>
            <w:noProof/>
          </w:rPr>
          <w:t>5.</w:t>
        </w:r>
        <w:r w:rsidR="00B14EDA">
          <w:rPr>
            <w:rFonts w:asciiTheme="minorHAnsi" w:eastAsiaTheme="minorEastAsia" w:hAnsiTheme="minorHAnsi" w:cstheme="minorBidi"/>
            <w:noProof/>
            <w:sz w:val="22"/>
            <w:szCs w:val="22"/>
          </w:rPr>
          <w:tab/>
        </w:r>
        <w:r w:rsidR="00B14EDA" w:rsidRPr="008105AD">
          <w:rPr>
            <w:rStyle w:val="Hyperlink"/>
            <w:noProof/>
          </w:rPr>
          <w:t>Disposition</w:t>
        </w:r>
        <w:r w:rsidR="00B14EDA">
          <w:rPr>
            <w:noProof/>
            <w:webHidden/>
          </w:rPr>
          <w:tab/>
        </w:r>
        <w:r w:rsidR="00B14EDA">
          <w:rPr>
            <w:noProof/>
            <w:webHidden/>
          </w:rPr>
          <w:fldChar w:fldCharType="begin"/>
        </w:r>
        <w:r w:rsidR="00B14EDA">
          <w:rPr>
            <w:noProof/>
            <w:webHidden/>
          </w:rPr>
          <w:instrText xml:space="preserve"> PAGEREF _Toc329688395 \h </w:instrText>
        </w:r>
        <w:r w:rsidR="00B14EDA">
          <w:rPr>
            <w:noProof/>
            <w:webHidden/>
          </w:rPr>
        </w:r>
        <w:r w:rsidR="00B14EDA">
          <w:rPr>
            <w:noProof/>
            <w:webHidden/>
          </w:rPr>
          <w:fldChar w:fldCharType="separate"/>
        </w:r>
        <w:r w:rsidR="00905934">
          <w:rPr>
            <w:noProof/>
            <w:webHidden/>
          </w:rPr>
          <w:t>37</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396" w:history="1">
        <w:r w:rsidR="00B14EDA" w:rsidRPr="008105AD">
          <w:rPr>
            <w:rStyle w:val="Hyperlink"/>
            <w:noProof/>
          </w:rPr>
          <w:t>E.</w:t>
        </w:r>
        <w:r w:rsidR="00B14EDA">
          <w:rPr>
            <w:rFonts w:asciiTheme="minorHAnsi" w:eastAsiaTheme="minorEastAsia" w:hAnsiTheme="minorHAnsi" w:cstheme="minorBidi"/>
            <w:noProof/>
            <w:sz w:val="22"/>
            <w:szCs w:val="22"/>
          </w:rPr>
          <w:tab/>
        </w:r>
        <w:r w:rsidR="00B14EDA" w:rsidRPr="008105AD">
          <w:rPr>
            <w:rStyle w:val="Hyperlink"/>
            <w:noProof/>
          </w:rPr>
          <w:t>Inclusion of the Residential and Small C&amp;I TOU program over and under collections in the RR and CTR rates applicable to the respective Residential and Small C&amp;I customer classes</w:t>
        </w:r>
        <w:r w:rsidR="00B14EDA">
          <w:rPr>
            <w:noProof/>
            <w:webHidden/>
          </w:rPr>
          <w:tab/>
        </w:r>
        <w:r w:rsidR="00B14EDA">
          <w:rPr>
            <w:noProof/>
            <w:webHidden/>
          </w:rPr>
          <w:fldChar w:fldCharType="begin"/>
        </w:r>
        <w:r w:rsidR="00B14EDA">
          <w:rPr>
            <w:noProof/>
            <w:webHidden/>
          </w:rPr>
          <w:instrText xml:space="preserve"> PAGEREF _Toc329688396 \h </w:instrText>
        </w:r>
        <w:r w:rsidR="00B14EDA">
          <w:rPr>
            <w:noProof/>
            <w:webHidden/>
          </w:rPr>
        </w:r>
        <w:r w:rsidR="00B14EDA">
          <w:rPr>
            <w:noProof/>
            <w:webHidden/>
          </w:rPr>
          <w:fldChar w:fldCharType="separate"/>
        </w:r>
        <w:r w:rsidR="00905934">
          <w:rPr>
            <w:noProof/>
            <w:webHidden/>
          </w:rPr>
          <w:t>39</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7" w:history="1">
        <w:r w:rsidR="00B14EDA" w:rsidRPr="008105AD">
          <w:rPr>
            <w:rStyle w:val="Hyperlink"/>
            <w:noProof/>
          </w:rPr>
          <w:t>1.</w:t>
        </w:r>
        <w:r w:rsidR="00B14EDA">
          <w:rPr>
            <w:rFonts w:asciiTheme="minorHAnsi" w:eastAsiaTheme="minorEastAsia" w:hAnsiTheme="minorHAnsi" w:cstheme="minorBidi"/>
            <w:noProof/>
            <w:sz w:val="22"/>
            <w:szCs w:val="22"/>
          </w:rPr>
          <w:tab/>
        </w:r>
        <w:r w:rsidR="00B14EDA" w:rsidRPr="008105AD">
          <w:rPr>
            <w:rStyle w:val="Hyperlink"/>
            <w:noProof/>
          </w:rPr>
          <w:t>Description</w:t>
        </w:r>
        <w:r w:rsidR="00B14EDA">
          <w:rPr>
            <w:noProof/>
            <w:webHidden/>
          </w:rPr>
          <w:tab/>
        </w:r>
        <w:r w:rsidR="00B14EDA">
          <w:rPr>
            <w:noProof/>
            <w:webHidden/>
          </w:rPr>
          <w:fldChar w:fldCharType="begin"/>
        </w:r>
        <w:r w:rsidR="00B14EDA">
          <w:rPr>
            <w:noProof/>
            <w:webHidden/>
          </w:rPr>
          <w:instrText xml:space="preserve"> PAGEREF _Toc329688397 \h </w:instrText>
        </w:r>
        <w:r w:rsidR="00B14EDA">
          <w:rPr>
            <w:noProof/>
            <w:webHidden/>
          </w:rPr>
        </w:r>
        <w:r w:rsidR="00B14EDA">
          <w:rPr>
            <w:noProof/>
            <w:webHidden/>
          </w:rPr>
          <w:fldChar w:fldCharType="separate"/>
        </w:r>
        <w:r w:rsidR="00905934">
          <w:rPr>
            <w:noProof/>
            <w:webHidden/>
          </w:rPr>
          <w:t>39</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8" w:history="1">
        <w:r w:rsidR="00B14EDA" w:rsidRPr="008105AD">
          <w:rPr>
            <w:rStyle w:val="Hyperlink"/>
            <w:noProof/>
          </w:rPr>
          <w:t>2.</w:t>
        </w:r>
        <w:r w:rsidR="00B14EDA">
          <w:rPr>
            <w:rFonts w:asciiTheme="minorHAnsi" w:eastAsiaTheme="minorEastAsia" w:hAnsiTheme="minorHAnsi" w:cstheme="minorBidi"/>
            <w:noProof/>
            <w:sz w:val="22"/>
            <w:szCs w:val="22"/>
          </w:rPr>
          <w:tab/>
        </w:r>
        <w:r w:rsidR="00B14EDA" w:rsidRPr="008105AD">
          <w:rPr>
            <w:rStyle w:val="Hyperlink"/>
            <w:noProof/>
          </w:rPr>
          <w:t>Positions of the Parties</w:t>
        </w:r>
        <w:r w:rsidR="00B14EDA">
          <w:rPr>
            <w:noProof/>
            <w:webHidden/>
          </w:rPr>
          <w:tab/>
        </w:r>
        <w:r w:rsidR="00B14EDA">
          <w:rPr>
            <w:noProof/>
            <w:webHidden/>
          </w:rPr>
          <w:fldChar w:fldCharType="begin"/>
        </w:r>
        <w:r w:rsidR="00B14EDA">
          <w:rPr>
            <w:noProof/>
            <w:webHidden/>
          </w:rPr>
          <w:instrText xml:space="preserve"> PAGEREF _Toc329688398 \h </w:instrText>
        </w:r>
        <w:r w:rsidR="00B14EDA">
          <w:rPr>
            <w:noProof/>
            <w:webHidden/>
          </w:rPr>
        </w:r>
        <w:r w:rsidR="00B14EDA">
          <w:rPr>
            <w:noProof/>
            <w:webHidden/>
          </w:rPr>
          <w:fldChar w:fldCharType="separate"/>
        </w:r>
        <w:r w:rsidR="00905934">
          <w:rPr>
            <w:noProof/>
            <w:webHidden/>
          </w:rPr>
          <w:t>40</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399" w:history="1">
        <w:r w:rsidR="00B14EDA" w:rsidRPr="008105AD">
          <w:rPr>
            <w:rStyle w:val="Hyperlink"/>
            <w:noProof/>
          </w:rPr>
          <w:t>3.</w:t>
        </w:r>
        <w:r w:rsidR="00B14EDA">
          <w:rPr>
            <w:rFonts w:asciiTheme="minorHAnsi" w:eastAsiaTheme="minorEastAsia" w:hAnsiTheme="minorHAnsi" w:cstheme="minorBidi"/>
            <w:noProof/>
            <w:sz w:val="22"/>
            <w:szCs w:val="22"/>
          </w:rPr>
          <w:tab/>
        </w:r>
        <w:r w:rsidR="00B14EDA" w:rsidRPr="008105AD">
          <w:rPr>
            <w:rStyle w:val="Hyperlink"/>
            <w:noProof/>
          </w:rPr>
          <w:t>ALJ’s Recommendation</w:t>
        </w:r>
        <w:r w:rsidR="00B14EDA">
          <w:rPr>
            <w:noProof/>
            <w:webHidden/>
          </w:rPr>
          <w:tab/>
        </w:r>
        <w:r w:rsidR="00B14EDA">
          <w:rPr>
            <w:noProof/>
            <w:webHidden/>
          </w:rPr>
          <w:fldChar w:fldCharType="begin"/>
        </w:r>
        <w:r w:rsidR="00B14EDA">
          <w:rPr>
            <w:noProof/>
            <w:webHidden/>
          </w:rPr>
          <w:instrText xml:space="preserve"> PAGEREF _Toc329688399 \h </w:instrText>
        </w:r>
        <w:r w:rsidR="00B14EDA">
          <w:rPr>
            <w:noProof/>
            <w:webHidden/>
          </w:rPr>
        </w:r>
        <w:r w:rsidR="00B14EDA">
          <w:rPr>
            <w:noProof/>
            <w:webHidden/>
          </w:rPr>
          <w:fldChar w:fldCharType="separate"/>
        </w:r>
        <w:r w:rsidR="00905934">
          <w:rPr>
            <w:noProof/>
            <w:webHidden/>
          </w:rPr>
          <w:t>42</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0" w:history="1">
        <w:r w:rsidR="00B14EDA" w:rsidRPr="008105AD">
          <w:rPr>
            <w:rStyle w:val="Hyperlink"/>
            <w:noProof/>
          </w:rPr>
          <w:t>4.</w:t>
        </w:r>
        <w:r w:rsidR="00B14EDA">
          <w:rPr>
            <w:rFonts w:asciiTheme="minorHAnsi" w:eastAsiaTheme="minorEastAsia" w:hAnsiTheme="minorHAnsi" w:cstheme="minorBidi"/>
            <w:noProof/>
            <w:sz w:val="22"/>
            <w:szCs w:val="22"/>
          </w:rPr>
          <w:tab/>
        </w:r>
        <w:r w:rsidR="00B14EDA" w:rsidRPr="008105AD">
          <w:rPr>
            <w:rStyle w:val="Hyperlink"/>
            <w:noProof/>
          </w:rPr>
          <w:t>Exceptions and Replies</w:t>
        </w:r>
        <w:r w:rsidR="00B14EDA">
          <w:rPr>
            <w:noProof/>
            <w:webHidden/>
          </w:rPr>
          <w:tab/>
        </w:r>
        <w:r w:rsidR="00B14EDA">
          <w:rPr>
            <w:noProof/>
            <w:webHidden/>
          </w:rPr>
          <w:fldChar w:fldCharType="begin"/>
        </w:r>
        <w:r w:rsidR="00B14EDA">
          <w:rPr>
            <w:noProof/>
            <w:webHidden/>
          </w:rPr>
          <w:instrText xml:space="preserve"> PAGEREF _Toc329688400 \h </w:instrText>
        </w:r>
        <w:r w:rsidR="00B14EDA">
          <w:rPr>
            <w:noProof/>
            <w:webHidden/>
          </w:rPr>
        </w:r>
        <w:r w:rsidR="00B14EDA">
          <w:rPr>
            <w:noProof/>
            <w:webHidden/>
          </w:rPr>
          <w:fldChar w:fldCharType="separate"/>
        </w:r>
        <w:r w:rsidR="00905934">
          <w:rPr>
            <w:noProof/>
            <w:webHidden/>
          </w:rPr>
          <w:t>43</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1" w:history="1">
        <w:r w:rsidR="00B14EDA" w:rsidRPr="008105AD">
          <w:rPr>
            <w:rStyle w:val="Hyperlink"/>
            <w:noProof/>
          </w:rPr>
          <w:t>5.</w:t>
        </w:r>
        <w:r w:rsidR="00B14EDA">
          <w:rPr>
            <w:rFonts w:asciiTheme="minorHAnsi" w:eastAsiaTheme="minorEastAsia" w:hAnsiTheme="minorHAnsi" w:cstheme="minorBidi"/>
            <w:noProof/>
            <w:sz w:val="22"/>
            <w:szCs w:val="22"/>
          </w:rPr>
          <w:tab/>
        </w:r>
        <w:r w:rsidR="00B14EDA" w:rsidRPr="008105AD">
          <w:rPr>
            <w:rStyle w:val="Hyperlink"/>
            <w:noProof/>
          </w:rPr>
          <w:t>Disposition</w:t>
        </w:r>
        <w:r w:rsidR="00B14EDA">
          <w:rPr>
            <w:noProof/>
            <w:webHidden/>
          </w:rPr>
          <w:tab/>
        </w:r>
        <w:r w:rsidR="00B14EDA">
          <w:rPr>
            <w:noProof/>
            <w:webHidden/>
          </w:rPr>
          <w:fldChar w:fldCharType="begin"/>
        </w:r>
        <w:r w:rsidR="00B14EDA">
          <w:rPr>
            <w:noProof/>
            <w:webHidden/>
          </w:rPr>
          <w:instrText xml:space="preserve"> PAGEREF _Toc329688401 \h </w:instrText>
        </w:r>
        <w:r w:rsidR="00B14EDA">
          <w:rPr>
            <w:noProof/>
            <w:webHidden/>
          </w:rPr>
        </w:r>
        <w:r w:rsidR="00B14EDA">
          <w:rPr>
            <w:noProof/>
            <w:webHidden/>
          </w:rPr>
          <w:fldChar w:fldCharType="separate"/>
        </w:r>
        <w:r w:rsidR="00905934">
          <w:rPr>
            <w:noProof/>
            <w:webHidden/>
          </w:rPr>
          <w:t>44</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402" w:history="1">
        <w:r w:rsidR="00B14EDA" w:rsidRPr="008105AD">
          <w:rPr>
            <w:rStyle w:val="Hyperlink"/>
            <w:noProof/>
          </w:rPr>
          <w:t>F.</w:t>
        </w:r>
        <w:r w:rsidR="00B14EDA">
          <w:rPr>
            <w:rFonts w:asciiTheme="minorHAnsi" w:eastAsiaTheme="minorEastAsia" w:hAnsiTheme="minorHAnsi" w:cstheme="minorBidi"/>
            <w:noProof/>
            <w:sz w:val="22"/>
            <w:szCs w:val="22"/>
          </w:rPr>
          <w:tab/>
        </w:r>
        <w:r w:rsidR="00B14EDA" w:rsidRPr="008105AD">
          <w:rPr>
            <w:rStyle w:val="Hyperlink"/>
            <w:noProof/>
          </w:rPr>
          <w:t>Ability to net the over and under collections of the respective GSC-1 and GSC-2 with the TSC reconciliations for each customer class.</w:t>
        </w:r>
        <w:r w:rsidR="00B14EDA">
          <w:rPr>
            <w:noProof/>
            <w:webHidden/>
          </w:rPr>
          <w:tab/>
        </w:r>
        <w:r w:rsidR="00B14EDA">
          <w:rPr>
            <w:noProof/>
            <w:webHidden/>
          </w:rPr>
          <w:fldChar w:fldCharType="begin"/>
        </w:r>
        <w:r w:rsidR="00B14EDA">
          <w:rPr>
            <w:noProof/>
            <w:webHidden/>
          </w:rPr>
          <w:instrText xml:space="preserve"> PAGEREF _Toc329688402 \h </w:instrText>
        </w:r>
        <w:r w:rsidR="00B14EDA">
          <w:rPr>
            <w:noProof/>
            <w:webHidden/>
          </w:rPr>
        </w:r>
        <w:r w:rsidR="00B14EDA">
          <w:rPr>
            <w:noProof/>
            <w:webHidden/>
          </w:rPr>
          <w:fldChar w:fldCharType="separate"/>
        </w:r>
        <w:r w:rsidR="00905934">
          <w:rPr>
            <w:noProof/>
            <w:webHidden/>
          </w:rPr>
          <w:t>45</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3" w:history="1">
        <w:r w:rsidR="00B14EDA" w:rsidRPr="008105AD">
          <w:rPr>
            <w:rStyle w:val="Hyperlink"/>
            <w:noProof/>
          </w:rPr>
          <w:t>1.</w:t>
        </w:r>
        <w:r w:rsidR="00B14EDA">
          <w:rPr>
            <w:rFonts w:asciiTheme="minorHAnsi" w:eastAsiaTheme="minorEastAsia" w:hAnsiTheme="minorHAnsi" w:cstheme="minorBidi"/>
            <w:noProof/>
            <w:sz w:val="22"/>
            <w:szCs w:val="22"/>
          </w:rPr>
          <w:tab/>
        </w:r>
        <w:r w:rsidR="00B14EDA" w:rsidRPr="008105AD">
          <w:rPr>
            <w:rStyle w:val="Hyperlink"/>
            <w:noProof/>
          </w:rPr>
          <w:t>Description</w:t>
        </w:r>
        <w:r w:rsidR="00B14EDA">
          <w:rPr>
            <w:noProof/>
            <w:webHidden/>
          </w:rPr>
          <w:tab/>
        </w:r>
        <w:r w:rsidR="00B14EDA">
          <w:rPr>
            <w:noProof/>
            <w:webHidden/>
          </w:rPr>
          <w:fldChar w:fldCharType="begin"/>
        </w:r>
        <w:r w:rsidR="00B14EDA">
          <w:rPr>
            <w:noProof/>
            <w:webHidden/>
          </w:rPr>
          <w:instrText xml:space="preserve"> PAGEREF _Toc329688403 \h </w:instrText>
        </w:r>
        <w:r w:rsidR="00B14EDA">
          <w:rPr>
            <w:noProof/>
            <w:webHidden/>
          </w:rPr>
        </w:r>
        <w:r w:rsidR="00B14EDA">
          <w:rPr>
            <w:noProof/>
            <w:webHidden/>
          </w:rPr>
          <w:fldChar w:fldCharType="separate"/>
        </w:r>
        <w:r w:rsidR="00905934">
          <w:rPr>
            <w:noProof/>
            <w:webHidden/>
          </w:rPr>
          <w:t>45</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4" w:history="1">
        <w:r w:rsidR="00B14EDA" w:rsidRPr="008105AD">
          <w:rPr>
            <w:rStyle w:val="Hyperlink"/>
            <w:noProof/>
          </w:rPr>
          <w:t>2.</w:t>
        </w:r>
        <w:r w:rsidR="00B14EDA">
          <w:rPr>
            <w:rFonts w:asciiTheme="minorHAnsi" w:eastAsiaTheme="minorEastAsia" w:hAnsiTheme="minorHAnsi" w:cstheme="minorBidi"/>
            <w:noProof/>
            <w:sz w:val="22"/>
            <w:szCs w:val="22"/>
          </w:rPr>
          <w:tab/>
        </w:r>
        <w:r w:rsidR="00B14EDA" w:rsidRPr="008105AD">
          <w:rPr>
            <w:rStyle w:val="Hyperlink"/>
            <w:noProof/>
          </w:rPr>
          <w:t>Recommended Decision</w:t>
        </w:r>
        <w:r w:rsidR="00B14EDA">
          <w:rPr>
            <w:noProof/>
            <w:webHidden/>
          </w:rPr>
          <w:tab/>
        </w:r>
        <w:r w:rsidR="00B14EDA">
          <w:rPr>
            <w:noProof/>
            <w:webHidden/>
          </w:rPr>
          <w:fldChar w:fldCharType="begin"/>
        </w:r>
        <w:r w:rsidR="00B14EDA">
          <w:rPr>
            <w:noProof/>
            <w:webHidden/>
          </w:rPr>
          <w:instrText xml:space="preserve"> PAGEREF _Toc329688404 \h </w:instrText>
        </w:r>
        <w:r w:rsidR="00B14EDA">
          <w:rPr>
            <w:noProof/>
            <w:webHidden/>
          </w:rPr>
        </w:r>
        <w:r w:rsidR="00B14EDA">
          <w:rPr>
            <w:noProof/>
            <w:webHidden/>
          </w:rPr>
          <w:fldChar w:fldCharType="separate"/>
        </w:r>
        <w:r w:rsidR="00905934">
          <w:rPr>
            <w:noProof/>
            <w:webHidden/>
          </w:rPr>
          <w:t>45</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5" w:history="1">
        <w:r w:rsidR="00B14EDA" w:rsidRPr="008105AD">
          <w:rPr>
            <w:rStyle w:val="Hyperlink"/>
            <w:noProof/>
          </w:rPr>
          <w:t>3.</w:t>
        </w:r>
        <w:r w:rsidR="00B14EDA">
          <w:rPr>
            <w:rFonts w:asciiTheme="minorHAnsi" w:eastAsiaTheme="minorEastAsia" w:hAnsiTheme="minorHAnsi" w:cstheme="minorBidi"/>
            <w:noProof/>
            <w:sz w:val="22"/>
            <w:szCs w:val="22"/>
          </w:rPr>
          <w:tab/>
        </w:r>
        <w:r w:rsidR="00B14EDA" w:rsidRPr="008105AD">
          <w:rPr>
            <w:rStyle w:val="Hyperlink"/>
            <w:noProof/>
          </w:rPr>
          <w:t>Exceptions and Replies</w:t>
        </w:r>
        <w:r w:rsidR="00B14EDA">
          <w:rPr>
            <w:noProof/>
            <w:webHidden/>
          </w:rPr>
          <w:tab/>
        </w:r>
        <w:r w:rsidR="00B14EDA">
          <w:rPr>
            <w:noProof/>
            <w:webHidden/>
          </w:rPr>
          <w:fldChar w:fldCharType="begin"/>
        </w:r>
        <w:r w:rsidR="00B14EDA">
          <w:rPr>
            <w:noProof/>
            <w:webHidden/>
          </w:rPr>
          <w:instrText xml:space="preserve"> PAGEREF _Toc329688405 \h </w:instrText>
        </w:r>
        <w:r w:rsidR="00B14EDA">
          <w:rPr>
            <w:noProof/>
            <w:webHidden/>
          </w:rPr>
        </w:r>
        <w:r w:rsidR="00B14EDA">
          <w:rPr>
            <w:noProof/>
            <w:webHidden/>
          </w:rPr>
          <w:fldChar w:fldCharType="separate"/>
        </w:r>
        <w:r w:rsidR="00905934">
          <w:rPr>
            <w:noProof/>
            <w:webHidden/>
          </w:rPr>
          <w:t>46</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6" w:history="1">
        <w:r w:rsidR="00B14EDA" w:rsidRPr="008105AD">
          <w:rPr>
            <w:rStyle w:val="Hyperlink"/>
            <w:noProof/>
          </w:rPr>
          <w:t>4.</w:t>
        </w:r>
        <w:r w:rsidR="00B14EDA">
          <w:rPr>
            <w:rFonts w:asciiTheme="minorHAnsi" w:eastAsiaTheme="minorEastAsia" w:hAnsiTheme="minorHAnsi" w:cstheme="minorBidi"/>
            <w:noProof/>
            <w:sz w:val="22"/>
            <w:szCs w:val="22"/>
          </w:rPr>
          <w:tab/>
        </w:r>
        <w:r w:rsidR="00B14EDA" w:rsidRPr="008105AD">
          <w:rPr>
            <w:rStyle w:val="Hyperlink"/>
            <w:noProof/>
          </w:rPr>
          <w:t>Disposition</w:t>
        </w:r>
        <w:r w:rsidR="00B14EDA">
          <w:rPr>
            <w:noProof/>
            <w:webHidden/>
          </w:rPr>
          <w:tab/>
        </w:r>
        <w:r w:rsidR="00B14EDA">
          <w:rPr>
            <w:noProof/>
            <w:webHidden/>
          </w:rPr>
          <w:fldChar w:fldCharType="begin"/>
        </w:r>
        <w:r w:rsidR="00B14EDA">
          <w:rPr>
            <w:noProof/>
            <w:webHidden/>
          </w:rPr>
          <w:instrText xml:space="preserve"> PAGEREF _Toc329688406 \h </w:instrText>
        </w:r>
        <w:r w:rsidR="00B14EDA">
          <w:rPr>
            <w:noProof/>
            <w:webHidden/>
          </w:rPr>
        </w:r>
        <w:r w:rsidR="00B14EDA">
          <w:rPr>
            <w:noProof/>
            <w:webHidden/>
          </w:rPr>
          <w:fldChar w:fldCharType="separate"/>
        </w:r>
        <w:r w:rsidR="00905934">
          <w:rPr>
            <w:noProof/>
            <w:webHidden/>
          </w:rPr>
          <w:t>46</w:t>
        </w:r>
        <w:r w:rsidR="00B14EDA">
          <w:rPr>
            <w:noProof/>
            <w:webHidden/>
          </w:rPr>
          <w:fldChar w:fldCharType="end"/>
        </w:r>
      </w:hyperlink>
    </w:p>
    <w:p w:rsidR="00B14EDA" w:rsidRDefault="0046193C">
      <w:pPr>
        <w:pStyle w:val="TOC2"/>
        <w:tabs>
          <w:tab w:val="left" w:pos="1440"/>
          <w:tab w:val="right" w:leader="dot" w:pos="9350"/>
        </w:tabs>
        <w:rPr>
          <w:rFonts w:asciiTheme="minorHAnsi" w:eastAsiaTheme="minorEastAsia" w:hAnsiTheme="minorHAnsi" w:cstheme="minorBidi"/>
          <w:noProof/>
          <w:sz w:val="22"/>
          <w:szCs w:val="22"/>
        </w:rPr>
      </w:pPr>
      <w:hyperlink w:anchor="_Toc329688407" w:history="1">
        <w:r w:rsidR="00B14EDA" w:rsidRPr="008105AD">
          <w:rPr>
            <w:rStyle w:val="Hyperlink"/>
            <w:noProof/>
          </w:rPr>
          <w:t>G.</w:t>
        </w:r>
        <w:r w:rsidR="00B14EDA">
          <w:rPr>
            <w:rFonts w:asciiTheme="minorHAnsi" w:eastAsiaTheme="minorEastAsia" w:hAnsiTheme="minorHAnsi" w:cstheme="minorBidi"/>
            <w:noProof/>
            <w:sz w:val="22"/>
            <w:szCs w:val="22"/>
          </w:rPr>
          <w:tab/>
        </w:r>
        <w:r w:rsidR="00B14EDA" w:rsidRPr="008105AD">
          <w:rPr>
            <w:rStyle w:val="Hyperlink"/>
            <w:noProof/>
          </w:rPr>
          <w:t>Interest Rate for Under Collections</w:t>
        </w:r>
        <w:r w:rsidR="00B14EDA">
          <w:rPr>
            <w:noProof/>
            <w:webHidden/>
          </w:rPr>
          <w:tab/>
        </w:r>
        <w:r w:rsidR="00B14EDA">
          <w:rPr>
            <w:noProof/>
            <w:webHidden/>
          </w:rPr>
          <w:fldChar w:fldCharType="begin"/>
        </w:r>
        <w:r w:rsidR="00B14EDA">
          <w:rPr>
            <w:noProof/>
            <w:webHidden/>
          </w:rPr>
          <w:instrText xml:space="preserve"> PAGEREF _Toc329688407 \h </w:instrText>
        </w:r>
        <w:r w:rsidR="00B14EDA">
          <w:rPr>
            <w:noProof/>
            <w:webHidden/>
          </w:rPr>
        </w:r>
        <w:r w:rsidR="00B14EDA">
          <w:rPr>
            <w:noProof/>
            <w:webHidden/>
          </w:rPr>
          <w:fldChar w:fldCharType="separate"/>
        </w:r>
        <w:r w:rsidR="00905934">
          <w:rPr>
            <w:noProof/>
            <w:webHidden/>
          </w:rPr>
          <w:t>46</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8" w:history="1">
        <w:r w:rsidR="00B14EDA" w:rsidRPr="008105AD">
          <w:rPr>
            <w:rStyle w:val="Hyperlink"/>
            <w:noProof/>
          </w:rPr>
          <w:t>1.</w:t>
        </w:r>
        <w:r w:rsidR="00B14EDA">
          <w:rPr>
            <w:rFonts w:asciiTheme="minorHAnsi" w:eastAsiaTheme="minorEastAsia" w:hAnsiTheme="minorHAnsi" w:cstheme="minorBidi"/>
            <w:noProof/>
            <w:sz w:val="22"/>
            <w:szCs w:val="22"/>
          </w:rPr>
          <w:tab/>
        </w:r>
        <w:r w:rsidR="00B14EDA" w:rsidRPr="008105AD">
          <w:rPr>
            <w:rStyle w:val="Hyperlink"/>
            <w:noProof/>
          </w:rPr>
          <w:t>Description</w:t>
        </w:r>
        <w:r w:rsidR="00B14EDA">
          <w:rPr>
            <w:noProof/>
            <w:webHidden/>
          </w:rPr>
          <w:tab/>
        </w:r>
        <w:r w:rsidR="00B14EDA">
          <w:rPr>
            <w:noProof/>
            <w:webHidden/>
          </w:rPr>
          <w:fldChar w:fldCharType="begin"/>
        </w:r>
        <w:r w:rsidR="00B14EDA">
          <w:rPr>
            <w:noProof/>
            <w:webHidden/>
          </w:rPr>
          <w:instrText xml:space="preserve"> PAGEREF _Toc329688408 \h </w:instrText>
        </w:r>
        <w:r w:rsidR="00B14EDA">
          <w:rPr>
            <w:noProof/>
            <w:webHidden/>
          </w:rPr>
        </w:r>
        <w:r w:rsidR="00B14EDA">
          <w:rPr>
            <w:noProof/>
            <w:webHidden/>
          </w:rPr>
          <w:fldChar w:fldCharType="separate"/>
        </w:r>
        <w:r w:rsidR="00905934">
          <w:rPr>
            <w:noProof/>
            <w:webHidden/>
          </w:rPr>
          <w:t>46</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09" w:history="1">
        <w:r w:rsidR="00B14EDA" w:rsidRPr="008105AD">
          <w:rPr>
            <w:rStyle w:val="Hyperlink"/>
            <w:noProof/>
          </w:rPr>
          <w:t>2.</w:t>
        </w:r>
        <w:r w:rsidR="00B14EDA">
          <w:rPr>
            <w:rFonts w:asciiTheme="minorHAnsi" w:eastAsiaTheme="minorEastAsia" w:hAnsiTheme="minorHAnsi" w:cstheme="minorBidi"/>
            <w:noProof/>
            <w:sz w:val="22"/>
            <w:szCs w:val="22"/>
          </w:rPr>
          <w:tab/>
        </w:r>
        <w:r w:rsidR="00B14EDA" w:rsidRPr="008105AD">
          <w:rPr>
            <w:rStyle w:val="Hyperlink"/>
            <w:noProof/>
          </w:rPr>
          <w:t>ALJ’s Recommendation</w:t>
        </w:r>
        <w:r w:rsidR="00B14EDA">
          <w:rPr>
            <w:noProof/>
            <w:webHidden/>
          </w:rPr>
          <w:tab/>
        </w:r>
        <w:r w:rsidR="00B14EDA">
          <w:rPr>
            <w:noProof/>
            <w:webHidden/>
          </w:rPr>
          <w:fldChar w:fldCharType="begin"/>
        </w:r>
        <w:r w:rsidR="00B14EDA">
          <w:rPr>
            <w:noProof/>
            <w:webHidden/>
          </w:rPr>
          <w:instrText xml:space="preserve"> PAGEREF _Toc329688409 \h </w:instrText>
        </w:r>
        <w:r w:rsidR="00B14EDA">
          <w:rPr>
            <w:noProof/>
            <w:webHidden/>
          </w:rPr>
        </w:r>
        <w:r w:rsidR="00B14EDA">
          <w:rPr>
            <w:noProof/>
            <w:webHidden/>
          </w:rPr>
          <w:fldChar w:fldCharType="separate"/>
        </w:r>
        <w:r w:rsidR="00905934">
          <w:rPr>
            <w:noProof/>
            <w:webHidden/>
          </w:rPr>
          <w:t>47</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10" w:history="1">
        <w:r w:rsidR="00B14EDA" w:rsidRPr="008105AD">
          <w:rPr>
            <w:rStyle w:val="Hyperlink"/>
            <w:noProof/>
          </w:rPr>
          <w:t>3.</w:t>
        </w:r>
        <w:r w:rsidR="00B14EDA">
          <w:rPr>
            <w:rFonts w:asciiTheme="minorHAnsi" w:eastAsiaTheme="minorEastAsia" w:hAnsiTheme="minorHAnsi" w:cstheme="minorBidi"/>
            <w:noProof/>
            <w:sz w:val="22"/>
            <w:szCs w:val="22"/>
          </w:rPr>
          <w:tab/>
        </w:r>
        <w:r w:rsidR="00B14EDA" w:rsidRPr="008105AD">
          <w:rPr>
            <w:rStyle w:val="Hyperlink"/>
            <w:noProof/>
          </w:rPr>
          <w:t>Exceptions and Replies</w:t>
        </w:r>
        <w:r w:rsidR="00B14EDA">
          <w:rPr>
            <w:noProof/>
            <w:webHidden/>
          </w:rPr>
          <w:tab/>
        </w:r>
        <w:r w:rsidR="00B14EDA">
          <w:rPr>
            <w:noProof/>
            <w:webHidden/>
          </w:rPr>
          <w:fldChar w:fldCharType="begin"/>
        </w:r>
        <w:r w:rsidR="00B14EDA">
          <w:rPr>
            <w:noProof/>
            <w:webHidden/>
          </w:rPr>
          <w:instrText xml:space="preserve"> PAGEREF _Toc329688410 \h </w:instrText>
        </w:r>
        <w:r w:rsidR="00B14EDA">
          <w:rPr>
            <w:noProof/>
            <w:webHidden/>
          </w:rPr>
        </w:r>
        <w:r w:rsidR="00B14EDA">
          <w:rPr>
            <w:noProof/>
            <w:webHidden/>
          </w:rPr>
          <w:fldChar w:fldCharType="separate"/>
        </w:r>
        <w:r w:rsidR="00905934">
          <w:rPr>
            <w:noProof/>
            <w:webHidden/>
          </w:rPr>
          <w:t>48</w:t>
        </w:r>
        <w:r w:rsidR="00B14EDA">
          <w:rPr>
            <w:noProof/>
            <w:webHidden/>
          </w:rPr>
          <w:fldChar w:fldCharType="end"/>
        </w:r>
      </w:hyperlink>
    </w:p>
    <w:p w:rsidR="00B14EDA" w:rsidRDefault="0046193C">
      <w:pPr>
        <w:pStyle w:val="TOC3"/>
        <w:tabs>
          <w:tab w:val="left" w:pos="1855"/>
          <w:tab w:val="right" w:leader="dot" w:pos="9350"/>
        </w:tabs>
        <w:rPr>
          <w:rFonts w:asciiTheme="minorHAnsi" w:eastAsiaTheme="minorEastAsia" w:hAnsiTheme="minorHAnsi" w:cstheme="minorBidi"/>
          <w:noProof/>
          <w:sz w:val="22"/>
          <w:szCs w:val="22"/>
        </w:rPr>
      </w:pPr>
      <w:hyperlink w:anchor="_Toc329688411" w:history="1">
        <w:r w:rsidR="00B14EDA" w:rsidRPr="008105AD">
          <w:rPr>
            <w:rStyle w:val="Hyperlink"/>
            <w:noProof/>
          </w:rPr>
          <w:t>4.</w:t>
        </w:r>
        <w:r w:rsidR="00B14EDA">
          <w:rPr>
            <w:rFonts w:asciiTheme="minorHAnsi" w:eastAsiaTheme="minorEastAsia" w:hAnsiTheme="minorHAnsi" w:cstheme="minorBidi"/>
            <w:noProof/>
            <w:sz w:val="22"/>
            <w:szCs w:val="22"/>
          </w:rPr>
          <w:tab/>
        </w:r>
        <w:r w:rsidR="00B14EDA" w:rsidRPr="008105AD">
          <w:rPr>
            <w:rStyle w:val="Hyperlink"/>
            <w:noProof/>
          </w:rPr>
          <w:t>Disposition</w:t>
        </w:r>
        <w:r w:rsidR="00B14EDA">
          <w:rPr>
            <w:noProof/>
            <w:webHidden/>
          </w:rPr>
          <w:tab/>
        </w:r>
        <w:r w:rsidR="00B14EDA">
          <w:rPr>
            <w:noProof/>
            <w:webHidden/>
          </w:rPr>
          <w:fldChar w:fldCharType="begin"/>
        </w:r>
        <w:r w:rsidR="00B14EDA">
          <w:rPr>
            <w:noProof/>
            <w:webHidden/>
          </w:rPr>
          <w:instrText xml:space="preserve"> PAGEREF _Toc329688411 \h </w:instrText>
        </w:r>
        <w:r w:rsidR="00B14EDA">
          <w:rPr>
            <w:noProof/>
            <w:webHidden/>
          </w:rPr>
        </w:r>
        <w:r w:rsidR="00B14EDA">
          <w:rPr>
            <w:noProof/>
            <w:webHidden/>
          </w:rPr>
          <w:fldChar w:fldCharType="separate"/>
        </w:r>
        <w:r w:rsidR="00905934">
          <w:rPr>
            <w:noProof/>
            <w:webHidden/>
          </w:rPr>
          <w:t>48</w:t>
        </w:r>
        <w:r w:rsidR="00B14EDA">
          <w:rPr>
            <w:noProof/>
            <w:webHidden/>
          </w:rPr>
          <w:fldChar w:fldCharType="end"/>
        </w:r>
      </w:hyperlink>
    </w:p>
    <w:p w:rsidR="00B14EDA" w:rsidRDefault="0046193C">
      <w:pPr>
        <w:pStyle w:val="TOC1"/>
        <w:tabs>
          <w:tab w:val="left" w:pos="720"/>
          <w:tab w:val="right" w:leader="dot" w:pos="9350"/>
        </w:tabs>
        <w:rPr>
          <w:rFonts w:asciiTheme="minorHAnsi" w:eastAsiaTheme="minorEastAsia" w:hAnsiTheme="minorHAnsi" w:cstheme="minorBidi"/>
          <w:noProof/>
          <w:sz w:val="22"/>
          <w:szCs w:val="22"/>
        </w:rPr>
      </w:pPr>
      <w:hyperlink w:anchor="_Toc329688412" w:history="1">
        <w:r w:rsidR="00B14EDA" w:rsidRPr="008105AD">
          <w:rPr>
            <w:rStyle w:val="Hyperlink"/>
            <w:noProof/>
          </w:rPr>
          <w:t>III.</w:t>
        </w:r>
        <w:r w:rsidR="00B14EDA">
          <w:rPr>
            <w:rFonts w:asciiTheme="minorHAnsi" w:eastAsiaTheme="minorEastAsia" w:hAnsiTheme="minorHAnsi" w:cstheme="minorBidi"/>
            <w:noProof/>
            <w:sz w:val="22"/>
            <w:szCs w:val="22"/>
          </w:rPr>
          <w:tab/>
        </w:r>
        <w:r w:rsidR="00B14EDA" w:rsidRPr="008105AD">
          <w:rPr>
            <w:rStyle w:val="Hyperlink"/>
            <w:noProof/>
          </w:rPr>
          <w:t>Conclusion</w:t>
        </w:r>
        <w:r w:rsidR="00B14EDA">
          <w:rPr>
            <w:noProof/>
            <w:webHidden/>
          </w:rPr>
          <w:tab/>
        </w:r>
        <w:r w:rsidR="00B14EDA">
          <w:rPr>
            <w:noProof/>
            <w:webHidden/>
          </w:rPr>
          <w:fldChar w:fldCharType="begin"/>
        </w:r>
        <w:r w:rsidR="00B14EDA">
          <w:rPr>
            <w:noProof/>
            <w:webHidden/>
          </w:rPr>
          <w:instrText xml:space="preserve"> PAGEREF _Toc329688412 \h </w:instrText>
        </w:r>
        <w:r w:rsidR="00B14EDA">
          <w:rPr>
            <w:noProof/>
            <w:webHidden/>
          </w:rPr>
        </w:r>
        <w:r w:rsidR="00B14EDA">
          <w:rPr>
            <w:noProof/>
            <w:webHidden/>
          </w:rPr>
          <w:fldChar w:fldCharType="separate"/>
        </w:r>
        <w:r w:rsidR="00905934">
          <w:rPr>
            <w:noProof/>
            <w:webHidden/>
          </w:rPr>
          <w:t>50</w:t>
        </w:r>
        <w:r w:rsidR="00B14EDA">
          <w:rPr>
            <w:noProof/>
            <w:webHidden/>
          </w:rPr>
          <w:fldChar w:fldCharType="end"/>
        </w:r>
      </w:hyperlink>
    </w:p>
    <w:p w:rsidR="0018435C" w:rsidRDefault="00754BBB" w:rsidP="0018435C">
      <w:pPr>
        <w:spacing w:line="240" w:lineRule="auto"/>
        <w:jc w:val="center"/>
        <w:rPr>
          <w:szCs w:val="24"/>
          <w:u w:val="single"/>
        </w:rPr>
      </w:pPr>
      <w:r>
        <w:rPr>
          <w:sz w:val="26"/>
          <w:szCs w:val="24"/>
          <w:u w:val="single"/>
        </w:rPr>
        <w:fldChar w:fldCharType="end"/>
      </w:r>
    </w:p>
    <w:p w:rsidR="0018435C" w:rsidRDefault="0018435C" w:rsidP="007C2F55">
      <w:pPr>
        <w:spacing w:line="240" w:lineRule="auto"/>
        <w:rPr>
          <w:szCs w:val="24"/>
          <w:u w:val="single"/>
        </w:rPr>
      </w:pPr>
    </w:p>
    <w:p w:rsidR="0018435C" w:rsidRDefault="0018435C" w:rsidP="0018435C">
      <w:pPr>
        <w:spacing w:line="240" w:lineRule="auto"/>
        <w:jc w:val="center"/>
        <w:rPr>
          <w:szCs w:val="24"/>
          <w:u w:val="single"/>
        </w:rPr>
      </w:pPr>
    </w:p>
    <w:p w:rsidR="0018435C" w:rsidRDefault="0018435C" w:rsidP="0018435C">
      <w:pPr>
        <w:spacing w:line="240" w:lineRule="auto"/>
        <w:jc w:val="center"/>
        <w:rPr>
          <w:szCs w:val="24"/>
          <w:u w:val="single"/>
        </w:rPr>
      </w:pPr>
    </w:p>
    <w:p w:rsidR="0018435C" w:rsidRDefault="0018435C" w:rsidP="0018435C">
      <w:pPr>
        <w:spacing w:line="240" w:lineRule="auto"/>
        <w:jc w:val="center"/>
        <w:rPr>
          <w:szCs w:val="24"/>
          <w:u w:val="single"/>
        </w:rPr>
      </w:pPr>
    </w:p>
    <w:p w:rsidR="0018435C" w:rsidRPr="0018435C" w:rsidRDefault="0018435C" w:rsidP="0018435C">
      <w:pPr>
        <w:spacing w:line="240" w:lineRule="auto"/>
        <w:jc w:val="center"/>
        <w:rPr>
          <w:szCs w:val="24"/>
          <w:u w:val="single"/>
        </w:rPr>
        <w:sectPr w:rsidR="0018435C" w:rsidRPr="0018435C" w:rsidSect="00487E4E">
          <w:footerReference w:type="first" r:id="rId11"/>
          <w:pgSz w:w="12240" w:h="15840"/>
          <w:pgMar w:top="1440" w:right="1440" w:bottom="1440" w:left="1440" w:header="720" w:footer="720" w:gutter="0"/>
          <w:pgNumType w:fmt="lowerRoman" w:start="1"/>
          <w:cols w:space="720"/>
          <w:titlePg/>
          <w:docGrid w:linePitch="360"/>
        </w:sectPr>
      </w:pPr>
    </w:p>
    <w:p w:rsidR="00BB5F01" w:rsidRPr="004C5CCF" w:rsidRDefault="00BB5F01" w:rsidP="00BB5F01">
      <w:pPr>
        <w:contextualSpacing/>
        <w:jc w:val="center"/>
        <w:rPr>
          <w:b/>
          <w:sz w:val="26"/>
          <w:szCs w:val="26"/>
        </w:rPr>
      </w:pPr>
      <w:r w:rsidRPr="004C5CCF">
        <w:rPr>
          <w:b/>
          <w:sz w:val="26"/>
          <w:szCs w:val="26"/>
        </w:rPr>
        <w:lastRenderedPageBreak/>
        <w:t>OPINION AND ORDER</w:t>
      </w:r>
    </w:p>
    <w:p w:rsidR="00BB5F01" w:rsidRPr="004C5CCF" w:rsidRDefault="00BB5F01" w:rsidP="00BB5F01">
      <w:pPr>
        <w:contextualSpacing/>
        <w:rPr>
          <w:b/>
          <w:sz w:val="26"/>
          <w:szCs w:val="26"/>
        </w:rPr>
      </w:pPr>
    </w:p>
    <w:p w:rsidR="00BB5F01" w:rsidRDefault="00BB5F01" w:rsidP="00BB5F01">
      <w:pPr>
        <w:contextualSpacing/>
        <w:rPr>
          <w:b/>
          <w:sz w:val="26"/>
          <w:szCs w:val="26"/>
        </w:rPr>
      </w:pPr>
      <w:r w:rsidRPr="004C5CCF">
        <w:rPr>
          <w:b/>
          <w:sz w:val="26"/>
          <w:szCs w:val="26"/>
        </w:rPr>
        <w:t>BY THE COMMISSION:</w:t>
      </w:r>
    </w:p>
    <w:p w:rsidR="00BB5F01" w:rsidRDefault="00BB5F01" w:rsidP="00BB5F01">
      <w:pPr>
        <w:contextualSpacing/>
        <w:rPr>
          <w:b/>
          <w:sz w:val="26"/>
          <w:szCs w:val="26"/>
        </w:rPr>
      </w:pPr>
    </w:p>
    <w:p w:rsidR="00BB5F01" w:rsidRDefault="00BB5F01" w:rsidP="00BB5F01">
      <w:pPr>
        <w:contextualSpacing/>
        <w:rPr>
          <w:sz w:val="26"/>
          <w:szCs w:val="26"/>
        </w:rPr>
      </w:pPr>
      <w:r>
        <w:rPr>
          <w:b/>
          <w:sz w:val="26"/>
          <w:szCs w:val="26"/>
        </w:rPr>
        <w:tab/>
      </w:r>
      <w:r>
        <w:rPr>
          <w:b/>
          <w:sz w:val="26"/>
          <w:szCs w:val="26"/>
        </w:rPr>
        <w:tab/>
      </w:r>
      <w:r>
        <w:rPr>
          <w:sz w:val="26"/>
          <w:szCs w:val="26"/>
        </w:rPr>
        <w:t>Before the Pennsylvania Public Utility Commission (Commission) for consideration and disposition is the Recommended Decision (R.D.) of Administrative Law Judge (ALJ) Susan D. Colwell, issued on April 4, 2012, regarding the above-captioned proceeding, and the Exceptions and Replies filed with respect thereto.</w:t>
      </w:r>
    </w:p>
    <w:p w:rsidR="00BB5F01" w:rsidRDefault="00BB5F01" w:rsidP="00BB5F01">
      <w:pPr>
        <w:contextualSpacing/>
        <w:rPr>
          <w:sz w:val="26"/>
          <w:szCs w:val="26"/>
        </w:rPr>
      </w:pPr>
    </w:p>
    <w:p w:rsidR="005D6F28" w:rsidRDefault="00BB5F01" w:rsidP="00BB5F01">
      <w:pPr>
        <w:contextualSpacing/>
        <w:rPr>
          <w:sz w:val="26"/>
          <w:szCs w:val="26"/>
        </w:rPr>
      </w:pPr>
      <w:r>
        <w:rPr>
          <w:sz w:val="26"/>
          <w:szCs w:val="26"/>
        </w:rPr>
        <w:tab/>
      </w:r>
      <w:r>
        <w:rPr>
          <w:sz w:val="26"/>
          <w:szCs w:val="26"/>
        </w:rPr>
        <w:tab/>
      </w:r>
      <w:r w:rsidRPr="00BB5F01">
        <w:rPr>
          <w:sz w:val="26"/>
          <w:szCs w:val="26"/>
        </w:rPr>
        <w:t xml:space="preserve">Exceptions to the Recommended Decision were filed by PPL Electric Utilities Corporation (PPL or Company), </w:t>
      </w:r>
      <w:r w:rsidR="008B4AC3">
        <w:rPr>
          <w:sz w:val="26"/>
          <w:szCs w:val="26"/>
        </w:rPr>
        <w:t xml:space="preserve">the Bureau of Investigation and Enforcement (I&amp;E), the Office of Consumer Advocate (OCA), the Office of Small Business Advocate (OSBA), the Retail Energy Supply Association (RESA), Dominion Retail, Inc. (Dominion) and the PP&amp;L Industrial Customer Alliance (PPLICA) </w:t>
      </w:r>
      <w:r w:rsidRPr="00BB5F01">
        <w:rPr>
          <w:sz w:val="26"/>
          <w:szCs w:val="26"/>
        </w:rPr>
        <w:t xml:space="preserve">on April 24, 2012.  </w:t>
      </w:r>
    </w:p>
    <w:p w:rsidR="005D6F28" w:rsidRDefault="005D6F28" w:rsidP="00BB5F01">
      <w:pPr>
        <w:contextualSpacing/>
        <w:rPr>
          <w:sz w:val="26"/>
          <w:szCs w:val="26"/>
        </w:rPr>
      </w:pPr>
    </w:p>
    <w:p w:rsidR="00BB5F01" w:rsidRPr="00BB5F01" w:rsidRDefault="005D6F28" w:rsidP="00BB5F01">
      <w:pPr>
        <w:contextualSpacing/>
        <w:rPr>
          <w:sz w:val="26"/>
          <w:szCs w:val="26"/>
        </w:rPr>
      </w:pPr>
      <w:r>
        <w:rPr>
          <w:sz w:val="26"/>
          <w:szCs w:val="26"/>
        </w:rPr>
        <w:tab/>
      </w:r>
      <w:r>
        <w:rPr>
          <w:sz w:val="26"/>
          <w:szCs w:val="26"/>
        </w:rPr>
        <w:tab/>
      </w:r>
      <w:r w:rsidR="008B4AC3">
        <w:rPr>
          <w:sz w:val="26"/>
          <w:szCs w:val="26"/>
        </w:rPr>
        <w:t xml:space="preserve">PPL, the OCA, the </w:t>
      </w:r>
      <w:r w:rsidR="00BB5F01" w:rsidRPr="00BB5F01">
        <w:rPr>
          <w:sz w:val="26"/>
          <w:szCs w:val="26"/>
        </w:rPr>
        <w:t>OSBA</w:t>
      </w:r>
      <w:r w:rsidR="008B4AC3">
        <w:rPr>
          <w:sz w:val="26"/>
          <w:szCs w:val="26"/>
        </w:rPr>
        <w:t>, RESA, Dominion, PPLICA and Wal-Mart Store</w:t>
      </w:r>
      <w:r w:rsidR="00266290">
        <w:rPr>
          <w:sz w:val="26"/>
          <w:szCs w:val="26"/>
        </w:rPr>
        <w:t>s East, LP and Sam</w:t>
      </w:r>
      <w:r w:rsidR="000964BB">
        <w:rPr>
          <w:sz w:val="26"/>
          <w:szCs w:val="26"/>
        </w:rPr>
        <w:t>’</w:t>
      </w:r>
      <w:r w:rsidR="00266290">
        <w:rPr>
          <w:sz w:val="26"/>
          <w:szCs w:val="26"/>
        </w:rPr>
        <w:t xml:space="preserve">s East, Inc. </w:t>
      </w:r>
      <w:r w:rsidR="008B4AC3">
        <w:rPr>
          <w:sz w:val="26"/>
          <w:szCs w:val="26"/>
        </w:rPr>
        <w:t>(Wal</w:t>
      </w:r>
      <w:r w:rsidR="00266290">
        <w:rPr>
          <w:sz w:val="26"/>
          <w:szCs w:val="26"/>
        </w:rPr>
        <w:t>-M</w:t>
      </w:r>
      <w:r w:rsidR="008B4AC3">
        <w:rPr>
          <w:sz w:val="26"/>
          <w:szCs w:val="26"/>
        </w:rPr>
        <w:t xml:space="preserve">art) </w:t>
      </w:r>
      <w:r w:rsidR="00BB5F01" w:rsidRPr="00BB5F01">
        <w:rPr>
          <w:sz w:val="26"/>
          <w:szCs w:val="26"/>
        </w:rPr>
        <w:t xml:space="preserve">filed Replies </w:t>
      </w:r>
      <w:r w:rsidR="00535C66">
        <w:rPr>
          <w:sz w:val="26"/>
          <w:szCs w:val="26"/>
        </w:rPr>
        <w:t>to Exceptions on May 4, 2012.</w:t>
      </w:r>
    </w:p>
    <w:p w:rsidR="00BB5F01" w:rsidRPr="00BB5F01" w:rsidRDefault="00BB5F01" w:rsidP="00BB5F01">
      <w:pPr>
        <w:jc w:val="center"/>
        <w:rPr>
          <w:sz w:val="26"/>
          <w:szCs w:val="26"/>
        </w:rPr>
      </w:pPr>
    </w:p>
    <w:p w:rsidR="00BF5181" w:rsidRDefault="00BF5181">
      <w:pPr>
        <w:autoSpaceDE/>
        <w:autoSpaceDN/>
        <w:jc w:val="center"/>
        <w:rPr>
          <w:rStyle w:val="Heading1Char"/>
        </w:rPr>
      </w:pPr>
      <w:bookmarkStart w:id="0" w:name="_Toc329245843"/>
      <w:r>
        <w:rPr>
          <w:rStyle w:val="Heading1Char"/>
        </w:rPr>
        <w:br w:type="page"/>
      </w:r>
    </w:p>
    <w:p w:rsidR="00BC146A" w:rsidRDefault="00BC146A" w:rsidP="00BB5F01">
      <w:pPr>
        <w:jc w:val="center"/>
        <w:rPr>
          <w:rStyle w:val="Heading1Char"/>
        </w:rPr>
        <w:sectPr w:rsidR="00BC146A" w:rsidSect="00BC146A">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pPr>
      <w:bookmarkStart w:id="1" w:name="_Toc329688380"/>
    </w:p>
    <w:p w:rsidR="007C4E34" w:rsidRPr="00BB5F01" w:rsidRDefault="00DF7E2A" w:rsidP="00BB5F01">
      <w:pPr>
        <w:jc w:val="center"/>
        <w:rPr>
          <w:b/>
          <w:sz w:val="26"/>
          <w:szCs w:val="26"/>
        </w:rPr>
      </w:pPr>
      <w:r w:rsidRPr="00D81F98">
        <w:rPr>
          <w:rStyle w:val="Heading1Char"/>
        </w:rPr>
        <w:lastRenderedPageBreak/>
        <w:t>I.</w:t>
      </w:r>
      <w:r w:rsidRPr="00D81F98">
        <w:rPr>
          <w:rStyle w:val="Heading1Char"/>
        </w:rPr>
        <w:tab/>
      </w:r>
      <w:r w:rsidR="00BB5F01" w:rsidRPr="00D81F98">
        <w:rPr>
          <w:rStyle w:val="Heading1Char"/>
        </w:rPr>
        <w:t>History of the Proceeding</w:t>
      </w:r>
      <w:bookmarkEnd w:id="0"/>
      <w:bookmarkEnd w:id="1"/>
      <w:r w:rsidR="005D6F28">
        <w:rPr>
          <w:rStyle w:val="FootnoteReference"/>
          <w:b/>
          <w:sz w:val="26"/>
          <w:szCs w:val="26"/>
        </w:rPr>
        <w:footnoteReference w:id="1"/>
      </w:r>
      <w:r w:rsidRPr="00BB5F01">
        <w:rPr>
          <w:b/>
          <w:sz w:val="26"/>
          <w:szCs w:val="26"/>
        </w:rPr>
        <w:fldChar w:fldCharType="begin"/>
      </w:r>
      <w:r w:rsidRPr="00BB5F01">
        <w:rPr>
          <w:b/>
          <w:sz w:val="26"/>
          <w:szCs w:val="26"/>
        </w:rPr>
        <w:instrText xml:space="preserve"> TC "</w:instrText>
      </w:r>
      <w:bookmarkStart w:id="2" w:name="_Toc329245148"/>
      <w:r w:rsidRPr="00BB5F01">
        <w:rPr>
          <w:b/>
          <w:sz w:val="26"/>
          <w:szCs w:val="26"/>
        </w:rPr>
        <w:instrText>I.</w:instrText>
      </w:r>
      <w:r w:rsidRPr="00BB5F01">
        <w:rPr>
          <w:b/>
          <w:sz w:val="26"/>
          <w:szCs w:val="26"/>
        </w:rPr>
        <w:tab/>
        <w:instrText>HISTORY OF THE PROCEEDING</w:instrText>
      </w:r>
      <w:bookmarkEnd w:id="2"/>
      <w:r w:rsidRPr="00BB5F01">
        <w:rPr>
          <w:b/>
          <w:sz w:val="26"/>
          <w:szCs w:val="26"/>
        </w:rPr>
        <w:instrText xml:space="preserve">" \f C \l "1" </w:instrText>
      </w:r>
      <w:r w:rsidRPr="00BB5F01">
        <w:rPr>
          <w:b/>
          <w:sz w:val="26"/>
          <w:szCs w:val="26"/>
        </w:rPr>
        <w:fldChar w:fldCharType="end"/>
      </w:r>
    </w:p>
    <w:p w:rsidR="00DF7E2A" w:rsidRPr="00BB5F01" w:rsidRDefault="00DF7E2A" w:rsidP="00BB5F01">
      <w:pPr>
        <w:jc w:val="center"/>
        <w:rPr>
          <w:sz w:val="26"/>
          <w:szCs w:val="26"/>
        </w:rPr>
      </w:pPr>
    </w:p>
    <w:p w:rsidR="00E7599F" w:rsidRPr="00BB5F01" w:rsidRDefault="00E7599F" w:rsidP="00BB5F01">
      <w:pPr>
        <w:rPr>
          <w:sz w:val="26"/>
          <w:szCs w:val="26"/>
        </w:rPr>
      </w:pPr>
      <w:r w:rsidRPr="00BB5F01">
        <w:rPr>
          <w:sz w:val="26"/>
          <w:szCs w:val="26"/>
        </w:rPr>
        <w:tab/>
      </w:r>
      <w:r w:rsidRPr="00BB5F01">
        <w:rPr>
          <w:sz w:val="26"/>
          <w:szCs w:val="26"/>
        </w:rPr>
        <w:tab/>
        <w:t xml:space="preserve">On August 3, 2011, PPL </w:t>
      </w:r>
      <w:r w:rsidR="005D6F28">
        <w:rPr>
          <w:sz w:val="26"/>
          <w:szCs w:val="26"/>
        </w:rPr>
        <w:t>filed a</w:t>
      </w:r>
      <w:r w:rsidRPr="00BB5F01">
        <w:rPr>
          <w:sz w:val="26"/>
          <w:szCs w:val="26"/>
        </w:rPr>
        <w:t xml:space="preserve"> Petition for Approval to Implement a Reconciliation Rider and Competitive Transition Rider for Default Supply Service</w:t>
      </w:r>
      <w:r w:rsidR="005D6F28">
        <w:rPr>
          <w:sz w:val="26"/>
          <w:szCs w:val="26"/>
        </w:rPr>
        <w:t xml:space="preserve"> (Petition)</w:t>
      </w:r>
      <w:r w:rsidRPr="00BB5F01">
        <w:rPr>
          <w:sz w:val="26"/>
          <w:szCs w:val="26"/>
        </w:rPr>
        <w:t>.  On Aug</w:t>
      </w:r>
      <w:r w:rsidR="005D6F28">
        <w:rPr>
          <w:sz w:val="26"/>
          <w:szCs w:val="26"/>
        </w:rPr>
        <w:t>ust 25, 2011, PPL filed</w:t>
      </w:r>
      <w:r w:rsidRPr="00BB5F01">
        <w:rPr>
          <w:sz w:val="26"/>
          <w:szCs w:val="26"/>
        </w:rPr>
        <w:t xml:space="preserve"> </w:t>
      </w:r>
      <w:r w:rsidR="005D6F28">
        <w:rPr>
          <w:sz w:val="26"/>
          <w:szCs w:val="26"/>
        </w:rPr>
        <w:t>an</w:t>
      </w:r>
      <w:r w:rsidRPr="00BB5F01">
        <w:rPr>
          <w:sz w:val="26"/>
          <w:szCs w:val="26"/>
        </w:rPr>
        <w:t xml:space="preserve"> Amended Petition for Approval to Implement a Reconciliation Rider </w:t>
      </w:r>
      <w:r w:rsidR="00361A6D">
        <w:rPr>
          <w:sz w:val="26"/>
          <w:szCs w:val="26"/>
        </w:rPr>
        <w:t xml:space="preserve">(RR) </w:t>
      </w:r>
      <w:r w:rsidRPr="00BB5F01">
        <w:rPr>
          <w:sz w:val="26"/>
          <w:szCs w:val="26"/>
        </w:rPr>
        <w:t xml:space="preserve">and Competitive Transition Rider </w:t>
      </w:r>
      <w:r w:rsidR="00361A6D">
        <w:rPr>
          <w:sz w:val="26"/>
          <w:szCs w:val="26"/>
        </w:rPr>
        <w:t xml:space="preserve">(CTR) </w:t>
      </w:r>
      <w:r w:rsidRPr="00BB5F01">
        <w:rPr>
          <w:sz w:val="26"/>
          <w:szCs w:val="26"/>
        </w:rPr>
        <w:t>for Default Supply Service</w:t>
      </w:r>
      <w:r w:rsidR="005D6F28">
        <w:rPr>
          <w:sz w:val="26"/>
          <w:szCs w:val="26"/>
        </w:rPr>
        <w:t>.</w:t>
      </w:r>
      <w:r w:rsidRPr="00BB5F01">
        <w:rPr>
          <w:sz w:val="26"/>
          <w:szCs w:val="26"/>
        </w:rPr>
        <w:t xml:space="preserve">   </w:t>
      </w:r>
    </w:p>
    <w:p w:rsidR="00E7599F" w:rsidRPr="00BB5F01" w:rsidRDefault="00E7599F" w:rsidP="00BB5F01">
      <w:pPr>
        <w:rPr>
          <w:sz w:val="26"/>
          <w:szCs w:val="26"/>
        </w:rPr>
      </w:pPr>
    </w:p>
    <w:p w:rsidR="00E7599F" w:rsidRPr="005D6F28" w:rsidRDefault="00E7599F" w:rsidP="00E7599F">
      <w:pPr>
        <w:rPr>
          <w:sz w:val="26"/>
          <w:szCs w:val="26"/>
        </w:rPr>
      </w:pPr>
      <w:r w:rsidRPr="007C4E34">
        <w:rPr>
          <w:szCs w:val="24"/>
        </w:rPr>
        <w:tab/>
      </w:r>
      <w:r w:rsidRPr="007C4E34">
        <w:rPr>
          <w:szCs w:val="24"/>
        </w:rPr>
        <w:tab/>
      </w:r>
      <w:r w:rsidRPr="005D6F28">
        <w:rPr>
          <w:sz w:val="26"/>
          <w:szCs w:val="26"/>
        </w:rPr>
        <w:t>Petitions to intervene were filed by the following entities on the specified dates:</w:t>
      </w:r>
      <w:r w:rsidR="005D6F28">
        <w:rPr>
          <w:sz w:val="26"/>
          <w:szCs w:val="26"/>
        </w:rPr>
        <w:t xml:space="preserve">  </w:t>
      </w:r>
      <w:r w:rsidRPr="005D6F28">
        <w:rPr>
          <w:sz w:val="26"/>
          <w:szCs w:val="26"/>
        </w:rPr>
        <w:t>Richards Energy Group, Inc. (REG) on September 1, 2011; RESA on September</w:t>
      </w:r>
      <w:r w:rsidR="00535C66">
        <w:rPr>
          <w:sz w:val="26"/>
          <w:szCs w:val="26"/>
        </w:rPr>
        <w:t> </w:t>
      </w:r>
      <w:r w:rsidRPr="005D6F28">
        <w:rPr>
          <w:sz w:val="26"/>
          <w:szCs w:val="26"/>
        </w:rPr>
        <w:t xml:space="preserve">14, 2011; Dominion </w:t>
      </w:r>
      <w:r w:rsidR="005360AA">
        <w:rPr>
          <w:sz w:val="26"/>
          <w:szCs w:val="26"/>
        </w:rPr>
        <w:t>on September 15, 2011 and</w:t>
      </w:r>
      <w:r w:rsidR="005D6F28">
        <w:rPr>
          <w:sz w:val="26"/>
          <w:szCs w:val="26"/>
        </w:rPr>
        <w:t xml:space="preserve"> Wal</w:t>
      </w:r>
      <w:r w:rsidR="00266290">
        <w:rPr>
          <w:sz w:val="26"/>
          <w:szCs w:val="26"/>
        </w:rPr>
        <w:t>-M</w:t>
      </w:r>
      <w:r w:rsidRPr="005D6F28">
        <w:rPr>
          <w:sz w:val="26"/>
          <w:szCs w:val="26"/>
        </w:rPr>
        <w:t>art on September 23, 2011</w:t>
      </w:r>
      <w:r w:rsidR="00535C66">
        <w:rPr>
          <w:sz w:val="26"/>
          <w:szCs w:val="26"/>
        </w:rPr>
        <w:t>.</w:t>
      </w:r>
      <w:r w:rsidRPr="005D6F28">
        <w:rPr>
          <w:rStyle w:val="FootnoteReference"/>
          <w:sz w:val="26"/>
          <w:szCs w:val="26"/>
        </w:rPr>
        <w:footnoteReference w:id="2"/>
      </w:r>
      <w:r w:rsidRPr="005D6F28">
        <w:rPr>
          <w:sz w:val="26"/>
          <w:szCs w:val="26"/>
        </w:rPr>
        <w:t xml:space="preserve">  </w:t>
      </w:r>
    </w:p>
    <w:p w:rsidR="00E7599F" w:rsidRPr="005D6F28" w:rsidRDefault="00E7599F" w:rsidP="00E7599F">
      <w:pPr>
        <w:rPr>
          <w:sz w:val="26"/>
          <w:szCs w:val="26"/>
        </w:rPr>
      </w:pPr>
    </w:p>
    <w:p w:rsidR="00E7599F" w:rsidRPr="005D6F28" w:rsidRDefault="00E7599F" w:rsidP="00E7599F">
      <w:pPr>
        <w:rPr>
          <w:sz w:val="26"/>
          <w:szCs w:val="26"/>
        </w:rPr>
      </w:pPr>
      <w:r w:rsidRPr="005D6F28">
        <w:rPr>
          <w:sz w:val="26"/>
          <w:szCs w:val="26"/>
        </w:rPr>
        <w:tab/>
      </w:r>
      <w:r w:rsidRPr="005D6F28">
        <w:rPr>
          <w:sz w:val="26"/>
          <w:szCs w:val="26"/>
        </w:rPr>
        <w:tab/>
        <w:t xml:space="preserve">Answers </w:t>
      </w:r>
      <w:r w:rsidR="004B6BEB">
        <w:rPr>
          <w:sz w:val="26"/>
          <w:szCs w:val="26"/>
        </w:rPr>
        <w:t>to the Petition were filed by PPLICA on</w:t>
      </w:r>
      <w:r w:rsidRPr="005D6F28">
        <w:rPr>
          <w:sz w:val="26"/>
          <w:szCs w:val="26"/>
        </w:rPr>
        <w:t xml:space="preserve"> August 24, 2011</w:t>
      </w:r>
      <w:r w:rsidR="007F04C7">
        <w:rPr>
          <w:sz w:val="26"/>
          <w:szCs w:val="26"/>
        </w:rPr>
        <w:t>,</w:t>
      </w:r>
      <w:r w:rsidRPr="005D6F28">
        <w:rPr>
          <w:sz w:val="26"/>
          <w:szCs w:val="26"/>
        </w:rPr>
        <w:t xml:space="preserve"> and</w:t>
      </w:r>
      <w:r w:rsidR="004B6BEB">
        <w:rPr>
          <w:sz w:val="26"/>
          <w:szCs w:val="26"/>
        </w:rPr>
        <w:t xml:space="preserve"> to the Amended Petition</w:t>
      </w:r>
      <w:r w:rsidRPr="005D6F28">
        <w:rPr>
          <w:sz w:val="26"/>
          <w:szCs w:val="26"/>
        </w:rPr>
        <w:t xml:space="preserve"> </w:t>
      </w:r>
      <w:r w:rsidR="004B6BEB">
        <w:rPr>
          <w:sz w:val="26"/>
          <w:szCs w:val="26"/>
        </w:rPr>
        <w:t>on September 19, 2011</w:t>
      </w:r>
      <w:r w:rsidRPr="005D6F28">
        <w:rPr>
          <w:sz w:val="26"/>
          <w:szCs w:val="26"/>
        </w:rPr>
        <w:t xml:space="preserve">; </w:t>
      </w:r>
      <w:r w:rsidR="004B6BEB">
        <w:rPr>
          <w:sz w:val="26"/>
          <w:szCs w:val="26"/>
        </w:rPr>
        <w:t>by the OSBA on</w:t>
      </w:r>
      <w:r w:rsidRPr="005D6F28">
        <w:rPr>
          <w:sz w:val="26"/>
          <w:szCs w:val="26"/>
        </w:rPr>
        <w:t xml:space="preserve"> September 14, 2011; </w:t>
      </w:r>
      <w:r w:rsidR="004B6BEB">
        <w:rPr>
          <w:sz w:val="26"/>
          <w:szCs w:val="26"/>
        </w:rPr>
        <w:t>by Dominion</w:t>
      </w:r>
      <w:r w:rsidRPr="005D6F28">
        <w:rPr>
          <w:sz w:val="26"/>
          <w:szCs w:val="26"/>
        </w:rPr>
        <w:t xml:space="preserve"> on August 12, 2011</w:t>
      </w:r>
      <w:r w:rsidR="00535C66">
        <w:rPr>
          <w:sz w:val="26"/>
          <w:szCs w:val="26"/>
        </w:rPr>
        <w:t>,</w:t>
      </w:r>
      <w:r w:rsidRPr="005D6F28">
        <w:rPr>
          <w:sz w:val="26"/>
          <w:szCs w:val="26"/>
        </w:rPr>
        <w:t xml:space="preserve"> and </w:t>
      </w:r>
      <w:r w:rsidR="004B6BEB">
        <w:rPr>
          <w:sz w:val="26"/>
          <w:szCs w:val="26"/>
        </w:rPr>
        <w:t xml:space="preserve">to the Amended Petition on </w:t>
      </w:r>
      <w:r w:rsidRPr="005D6F28">
        <w:rPr>
          <w:sz w:val="26"/>
          <w:szCs w:val="26"/>
        </w:rPr>
        <w:t>September 14, 2011; and</w:t>
      </w:r>
      <w:r w:rsidR="004B6BEB">
        <w:rPr>
          <w:sz w:val="26"/>
          <w:szCs w:val="26"/>
        </w:rPr>
        <w:t xml:space="preserve"> by</w:t>
      </w:r>
      <w:r w:rsidRPr="005D6F28">
        <w:rPr>
          <w:sz w:val="26"/>
          <w:szCs w:val="26"/>
        </w:rPr>
        <w:t xml:space="preserve"> RESA on August 23, 2011.  </w:t>
      </w:r>
    </w:p>
    <w:p w:rsidR="004B6BEB" w:rsidRDefault="00E7599F" w:rsidP="00E7599F">
      <w:pPr>
        <w:rPr>
          <w:sz w:val="26"/>
          <w:szCs w:val="26"/>
        </w:rPr>
      </w:pPr>
      <w:r w:rsidRPr="005D6F28">
        <w:rPr>
          <w:sz w:val="26"/>
          <w:szCs w:val="26"/>
        </w:rPr>
        <w:tab/>
      </w:r>
      <w:r w:rsidRPr="005D6F28">
        <w:rPr>
          <w:sz w:val="26"/>
          <w:szCs w:val="26"/>
        </w:rPr>
        <w:tab/>
      </w:r>
    </w:p>
    <w:p w:rsidR="00E7599F" w:rsidRPr="005D6F28" w:rsidRDefault="004B6BEB" w:rsidP="004B6BEB">
      <w:pPr>
        <w:ind w:firstLine="1440"/>
        <w:rPr>
          <w:sz w:val="26"/>
          <w:szCs w:val="26"/>
        </w:rPr>
      </w:pPr>
      <w:r>
        <w:rPr>
          <w:sz w:val="26"/>
          <w:szCs w:val="26"/>
        </w:rPr>
        <w:t xml:space="preserve">The </w:t>
      </w:r>
      <w:r w:rsidR="00E7599F" w:rsidRPr="005D6F28">
        <w:rPr>
          <w:sz w:val="26"/>
          <w:szCs w:val="26"/>
        </w:rPr>
        <w:t>OSBA filed its Notice of intervention, Answer, Verification, Public Statement and Notice of Appearance on August 18, 2011.  The OCA filed its Notice of Intervention and Public Statement on August 23, 2011.</w:t>
      </w:r>
    </w:p>
    <w:p w:rsidR="00E7599F" w:rsidRPr="005D6F28" w:rsidRDefault="00E7599F" w:rsidP="00E7599F">
      <w:pPr>
        <w:rPr>
          <w:sz w:val="26"/>
          <w:szCs w:val="26"/>
        </w:rPr>
      </w:pPr>
    </w:p>
    <w:p w:rsidR="00E7599F" w:rsidRPr="005D6F28" w:rsidRDefault="00E7599F" w:rsidP="00E7599F">
      <w:pPr>
        <w:rPr>
          <w:sz w:val="26"/>
          <w:szCs w:val="26"/>
        </w:rPr>
      </w:pPr>
      <w:r w:rsidRPr="005D6F28">
        <w:rPr>
          <w:sz w:val="26"/>
          <w:szCs w:val="26"/>
        </w:rPr>
        <w:tab/>
      </w:r>
      <w:r w:rsidRPr="005D6F28">
        <w:rPr>
          <w:sz w:val="26"/>
          <w:szCs w:val="26"/>
        </w:rPr>
        <w:tab/>
      </w:r>
      <w:r w:rsidR="004B6BEB">
        <w:rPr>
          <w:sz w:val="26"/>
          <w:szCs w:val="26"/>
        </w:rPr>
        <w:t xml:space="preserve">The ALJ issued a </w:t>
      </w:r>
      <w:r w:rsidRPr="005D6F28">
        <w:rPr>
          <w:sz w:val="26"/>
          <w:szCs w:val="26"/>
        </w:rPr>
        <w:t xml:space="preserve">Scheduling Order </w:t>
      </w:r>
      <w:r w:rsidR="004B6BEB">
        <w:rPr>
          <w:sz w:val="26"/>
          <w:szCs w:val="26"/>
        </w:rPr>
        <w:t>on</w:t>
      </w:r>
      <w:r w:rsidRPr="005D6F28">
        <w:rPr>
          <w:sz w:val="26"/>
          <w:szCs w:val="26"/>
        </w:rPr>
        <w:t xml:space="preserve"> October 5, 2011</w:t>
      </w:r>
      <w:r w:rsidR="004B6BEB">
        <w:rPr>
          <w:sz w:val="26"/>
          <w:szCs w:val="26"/>
        </w:rPr>
        <w:t xml:space="preserve">, which </w:t>
      </w:r>
      <w:r w:rsidRPr="005D6F28">
        <w:rPr>
          <w:sz w:val="26"/>
          <w:szCs w:val="26"/>
        </w:rPr>
        <w:t xml:space="preserve">granted the Petitions to Intervene of RESA, </w:t>
      </w:r>
      <w:r w:rsidR="007F04C7">
        <w:rPr>
          <w:sz w:val="26"/>
          <w:szCs w:val="26"/>
        </w:rPr>
        <w:t>REG, PP</w:t>
      </w:r>
      <w:r w:rsidRPr="005D6F28">
        <w:rPr>
          <w:sz w:val="26"/>
          <w:szCs w:val="26"/>
        </w:rPr>
        <w:t>L</w:t>
      </w:r>
      <w:r w:rsidR="004B6BEB">
        <w:rPr>
          <w:sz w:val="26"/>
          <w:szCs w:val="26"/>
        </w:rPr>
        <w:t>ICA, Dominion and</w:t>
      </w:r>
      <w:r w:rsidRPr="005D6F28">
        <w:rPr>
          <w:sz w:val="26"/>
          <w:szCs w:val="26"/>
        </w:rPr>
        <w:t xml:space="preserve"> Wal</w:t>
      </w:r>
      <w:r w:rsidR="00266290">
        <w:rPr>
          <w:sz w:val="26"/>
          <w:szCs w:val="26"/>
        </w:rPr>
        <w:t>-M</w:t>
      </w:r>
      <w:r w:rsidR="004B6BEB">
        <w:rPr>
          <w:sz w:val="26"/>
          <w:szCs w:val="26"/>
        </w:rPr>
        <w:t>art</w:t>
      </w:r>
      <w:r w:rsidRPr="005D6F28">
        <w:rPr>
          <w:sz w:val="26"/>
          <w:szCs w:val="26"/>
        </w:rPr>
        <w:t xml:space="preserve"> as unopposed.</w:t>
      </w:r>
    </w:p>
    <w:p w:rsidR="00E7599F" w:rsidRPr="005D6F28" w:rsidRDefault="00E7599F" w:rsidP="00E7599F">
      <w:pPr>
        <w:rPr>
          <w:sz w:val="26"/>
          <w:szCs w:val="26"/>
        </w:rPr>
      </w:pPr>
      <w:r w:rsidRPr="005D6F28">
        <w:rPr>
          <w:sz w:val="26"/>
          <w:szCs w:val="26"/>
        </w:rPr>
        <w:lastRenderedPageBreak/>
        <w:tab/>
      </w:r>
      <w:r w:rsidRPr="005D6F28">
        <w:rPr>
          <w:sz w:val="26"/>
          <w:szCs w:val="26"/>
        </w:rPr>
        <w:tab/>
      </w:r>
      <w:r w:rsidR="004B6BEB">
        <w:rPr>
          <w:sz w:val="26"/>
          <w:szCs w:val="26"/>
        </w:rPr>
        <w:t xml:space="preserve">On December </w:t>
      </w:r>
      <w:r w:rsidR="00943FB1">
        <w:rPr>
          <w:sz w:val="26"/>
          <w:szCs w:val="26"/>
        </w:rPr>
        <w:t>5, 2011, the ALJ conducted an</w:t>
      </w:r>
      <w:r w:rsidR="004B6BEB">
        <w:rPr>
          <w:sz w:val="26"/>
          <w:szCs w:val="26"/>
        </w:rPr>
        <w:t xml:space="preserve"> </w:t>
      </w:r>
      <w:r w:rsidRPr="005D6F28">
        <w:rPr>
          <w:sz w:val="26"/>
          <w:szCs w:val="26"/>
        </w:rPr>
        <w:t>evidentiary hearing</w:t>
      </w:r>
      <w:r w:rsidR="004B6BEB">
        <w:rPr>
          <w:sz w:val="26"/>
          <w:szCs w:val="26"/>
        </w:rPr>
        <w:t xml:space="preserve"> in this proceeding</w:t>
      </w:r>
      <w:r w:rsidRPr="005D6F28">
        <w:rPr>
          <w:sz w:val="26"/>
          <w:szCs w:val="26"/>
        </w:rPr>
        <w:t>.  Main Briefs were filed on or before January 9, 2012, and Reply Briefs were filed on or before January 23, 2012.</w:t>
      </w:r>
    </w:p>
    <w:p w:rsidR="00E7599F" w:rsidRPr="005D6F28" w:rsidRDefault="00E7599F" w:rsidP="00E7599F">
      <w:pPr>
        <w:rPr>
          <w:sz w:val="26"/>
          <w:szCs w:val="26"/>
        </w:rPr>
      </w:pPr>
    </w:p>
    <w:p w:rsidR="00E7599F" w:rsidRPr="005D6F28" w:rsidRDefault="00E7599F" w:rsidP="00E7599F">
      <w:pPr>
        <w:rPr>
          <w:sz w:val="26"/>
          <w:szCs w:val="26"/>
        </w:rPr>
      </w:pPr>
      <w:r w:rsidRPr="005D6F28">
        <w:rPr>
          <w:sz w:val="26"/>
          <w:szCs w:val="26"/>
        </w:rPr>
        <w:tab/>
      </w:r>
      <w:r w:rsidRPr="005D6F28">
        <w:rPr>
          <w:sz w:val="26"/>
          <w:szCs w:val="26"/>
        </w:rPr>
        <w:tab/>
      </w:r>
      <w:r w:rsidR="00943FB1">
        <w:rPr>
          <w:sz w:val="26"/>
          <w:szCs w:val="26"/>
        </w:rPr>
        <w:t>T</w:t>
      </w:r>
      <w:r w:rsidRPr="005D6F28">
        <w:rPr>
          <w:sz w:val="26"/>
          <w:szCs w:val="26"/>
        </w:rPr>
        <w:t>ranscript</w:t>
      </w:r>
      <w:r w:rsidR="00943FB1">
        <w:rPr>
          <w:sz w:val="26"/>
          <w:szCs w:val="26"/>
        </w:rPr>
        <w:t>s of the proceeding containing a total of</w:t>
      </w:r>
      <w:r w:rsidR="0028039E">
        <w:rPr>
          <w:sz w:val="26"/>
          <w:szCs w:val="26"/>
        </w:rPr>
        <w:t xml:space="preserve"> </w:t>
      </w:r>
      <w:r w:rsidRPr="005D6F28">
        <w:rPr>
          <w:sz w:val="26"/>
          <w:szCs w:val="26"/>
        </w:rPr>
        <w:t xml:space="preserve">172 </w:t>
      </w:r>
      <w:r w:rsidR="0028039E">
        <w:rPr>
          <w:sz w:val="26"/>
          <w:szCs w:val="26"/>
        </w:rPr>
        <w:t xml:space="preserve">pages </w:t>
      </w:r>
      <w:r w:rsidR="00943FB1">
        <w:rPr>
          <w:sz w:val="26"/>
          <w:szCs w:val="26"/>
        </w:rPr>
        <w:t>were</w:t>
      </w:r>
      <w:r w:rsidRPr="005D6F28">
        <w:rPr>
          <w:sz w:val="26"/>
          <w:szCs w:val="26"/>
        </w:rPr>
        <w:t xml:space="preserve"> generated, and the record closed upon the receipt of Reply Briefs on January 23, 2012.</w:t>
      </w:r>
    </w:p>
    <w:p w:rsidR="00E7599F" w:rsidRPr="005D6F28" w:rsidRDefault="00E7599F" w:rsidP="00E7599F">
      <w:pPr>
        <w:rPr>
          <w:sz w:val="26"/>
          <w:szCs w:val="26"/>
        </w:rPr>
      </w:pPr>
    </w:p>
    <w:p w:rsidR="00D440A1" w:rsidRDefault="00E7599F" w:rsidP="00D440A1">
      <w:pPr>
        <w:autoSpaceDE/>
        <w:autoSpaceDN/>
        <w:rPr>
          <w:sz w:val="26"/>
          <w:szCs w:val="26"/>
        </w:rPr>
      </w:pPr>
      <w:r w:rsidRPr="005D6F28">
        <w:rPr>
          <w:sz w:val="26"/>
          <w:szCs w:val="26"/>
        </w:rPr>
        <w:tab/>
      </w:r>
      <w:r w:rsidRPr="005D6F28">
        <w:rPr>
          <w:sz w:val="26"/>
          <w:szCs w:val="26"/>
        </w:rPr>
        <w:tab/>
      </w:r>
      <w:r w:rsidR="00943FB1">
        <w:rPr>
          <w:sz w:val="26"/>
          <w:szCs w:val="26"/>
        </w:rPr>
        <w:t>ALJ Colwell</w:t>
      </w:r>
      <w:r w:rsidR="000964BB">
        <w:rPr>
          <w:sz w:val="26"/>
          <w:szCs w:val="26"/>
        </w:rPr>
        <w:t>’</w:t>
      </w:r>
      <w:r w:rsidR="00943FB1">
        <w:rPr>
          <w:sz w:val="26"/>
          <w:szCs w:val="26"/>
        </w:rPr>
        <w:t>s Recommended Decision was issued on April 4, 2012.  In her Recommen</w:t>
      </w:r>
      <w:r w:rsidR="00D440A1">
        <w:rPr>
          <w:sz w:val="26"/>
          <w:szCs w:val="26"/>
        </w:rPr>
        <w:t xml:space="preserve">ded Decision, the ALJ </w:t>
      </w:r>
      <w:r w:rsidR="00D440A1" w:rsidRPr="00D440A1">
        <w:rPr>
          <w:sz w:val="26"/>
          <w:szCs w:val="26"/>
        </w:rPr>
        <w:t>recommended</w:t>
      </w:r>
      <w:r w:rsidR="00D440A1">
        <w:rPr>
          <w:sz w:val="26"/>
          <w:szCs w:val="26"/>
        </w:rPr>
        <w:t xml:space="preserve"> that the request </w:t>
      </w:r>
      <w:r w:rsidR="00361A6D">
        <w:rPr>
          <w:sz w:val="26"/>
          <w:szCs w:val="26"/>
        </w:rPr>
        <w:t>of PPL to implement the</w:t>
      </w:r>
      <w:r w:rsidR="00D440A1" w:rsidRPr="00D440A1">
        <w:rPr>
          <w:sz w:val="26"/>
          <w:szCs w:val="26"/>
        </w:rPr>
        <w:t xml:space="preserve"> </w:t>
      </w:r>
      <w:r w:rsidR="00BC146A">
        <w:rPr>
          <w:sz w:val="26"/>
          <w:szCs w:val="26"/>
        </w:rPr>
        <w:t>Reconciliation Rider (</w:t>
      </w:r>
      <w:r w:rsidR="00D440A1" w:rsidRPr="00D440A1">
        <w:rPr>
          <w:sz w:val="26"/>
          <w:szCs w:val="26"/>
        </w:rPr>
        <w:t>RR</w:t>
      </w:r>
      <w:r w:rsidR="00BC146A">
        <w:rPr>
          <w:sz w:val="26"/>
          <w:szCs w:val="26"/>
        </w:rPr>
        <w:t>)</w:t>
      </w:r>
      <w:r w:rsidR="00D440A1" w:rsidRPr="00D440A1">
        <w:rPr>
          <w:sz w:val="26"/>
          <w:szCs w:val="26"/>
        </w:rPr>
        <w:t xml:space="preserve"> be granted, providing that the </w:t>
      </w:r>
      <w:r w:rsidR="000964BB">
        <w:rPr>
          <w:sz w:val="26"/>
          <w:szCs w:val="26"/>
        </w:rPr>
        <w:t>“</w:t>
      </w:r>
      <w:r w:rsidR="00D440A1" w:rsidRPr="00D440A1">
        <w:rPr>
          <w:sz w:val="26"/>
          <w:szCs w:val="26"/>
        </w:rPr>
        <w:t>E</w:t>
      </w:r>
      <w:r w:rsidR="000964BB">
        <w:rPr>
          <w:sz w:val="26"/>
          <w:szCs w:val="26"/>
        </w:rPr>
        <w:t>”</w:t>
      </w:r>
      <w:r w:rsidR="00D440A1" w:rsidRPr="00D440A1">
        <w:rPr>
          <w:sz w:val="26"/>
          <w:szCs w:val="26"/>
        </w:rPr>
        <w:t xml:space="preserve"> factor be figured by matching the time period to be reconciled for both</w:t>
      </w:r>
      <w:r w:rsidR="00D440A1">
        <w:rPr>
          <w:sz w:val="26"/>
          <w:szCs w:val="26"/>
        </w:rPr>
        <w:t xml:space="preserve"> revenues and expenses</w:t>
      </w:r>
      <w:r w:rsidR="007F04C7">
        <w:rPr>
          <w:sz w:val="26"/>
          <w:szCs w:val="26"/>
        </w:rPr>
        <w:t xml:space="preserve">.  The ALJ also recommended </w:t>
      </w:r>
      <w:r w:rsidR="00D440A1">
        <w:rPr>
          <w:sz w:val="26"/>
          <w:szCs w:val="26"/>
        </w:rPr>
        <w:t>that PPL</w:t>
      </w:r>
      <w:r w:rsidR="000964BB">
        <w:rPr>
          <w:sz w:val="26"/>
          <w:szCs w:val="26"/>
        </w:rPr>
        <w:t>’</w:t>
      </w:r>
      <w:r w:rsidR="00D440A1">
        <w:rPr>
          <w:sz w:val="26"/>
          <w:szCs w:val="26"/>
        </w:rPr>
        <w:t>s</w:t>
      </w:r>
      <w:r w:rsidR="00D440A1" w:rsidRPr="00D440A1">
        <w:rPr>
          <w:sz w:val="26"/>
          <w:szCs w:val="26"/>
        </w:rPr>
        <w:t xml:space="preserve"> proposal to implement</w:t>
      </w:r>
      <w:r w:rsidR="00361A6D">
        <w:rPr>
          <w:sz w:val="26"/>
          <w:szCs w:val="26"/>
        </w:rPr>
        <w:t xml:space="preserve"> the</w:t>
      </w:r>
      <w:r w:rsidR="00D440A1" w:rsidRPr="00D440A1">
        <w:rPr>
          <w:sz w:val="26"/>
          <w:szCs w:val="26"/>
        </w:rPr>
        <w:t xml:space="preserve"> CTR be denied; that the proposal to include the over or under collection of the residential and small C</w:t>
      </w:r>
      <w:r w:rsidR="00E955B3">
        <w:rPr>
          <w:sz w:val="26"/>
          <w:szCs w:val="26"/>
        </w:rPr>
        <w:t xml:space="preserve">ommercial </w:t>
      </w:r>
      <w:r w:rsidR="00D440A1" w:rsidRPr="00D440A1">
        <w:rPr>
          <w:sz w:val="26"/>
          <w:szCs w:val="26"/>
        </w:rPr>
        <w:t>&amp;</w:t>
      </w:r>
      <w:r w:rsidR="00E955B3">
        <w:rPr>
          <w:sz w:val="26"/>
          <w:szCs w:val="26"/>
        </w:rPr>
        <w:t xml:space="preserve"> </w:t>
      </w:r>
      <w:r w:rsidR="00D440A1" w:rsidRPr="00D440A1">
        <w:rPr>
          <w:sz w:val="26"/>
          <w:szCs w:val="26"/>
        </w:rPr>
        <w:t>I</w:t>
      </w:r>
      <w:r w:rsidR="00E955B3">
        <w:rPr>
          <w:sz w:val="26"/>
          <w:szCs w:val="26"/>
        </w:rPr>
        <w:t>ndustrial</w:t>
      </w:r>
      <w:r w:rsidR="00D440A1" w:rsidRPr="00D440A1">
        <w:rPr>
          <w:sz w:val="26"/>
          <w:szCs w:val="26"/>
        </w:rPr>
        <w:t xml:space="preserve"> </w:t>
      </w:r>
      <w:r w:rsidR="00E955B3">
        <w:rPr>
          <w:sz w:val="26"/>
          <w:szCs w:val="26"/>
        </w:rPr>
        <w:t xml:space="preserve">(C&amp;I) </w:t>
      </w:r>
      <w:r w:rsidR="00D440A1" w:rsidRPr="00D440A1">
        <w:rPr>
          <w:sz w:val="26"/>
          <w:szCs w:val="26"/>
        </w:rPr>
        <w:t xml:space="preserve">Time of Use </w:t>
      </w:r>
      <w:r w:rsidR="00266290">
        <w:rPr>
          <w:sz w:val="26"/>
          <w:szCs w:val="26"/>
        </w:rPr>
        <w:t xml:space="preserve">(TOU) </w:t>
      </w:r>
      <w:r w:rsidR="00D440A1" w:rsidRPr="00D440A1">
        <w:rPr>
          <w:sz w:val="26"/>
          <w:szCs w:val="26"/>
        </w:rPr>
        <w:t xml:space="preserve">program rates be reconciled with the respective residential and small C&amp;I customer classes, following the disposition of the </w:t>
      </w:r>
      <w:r w:rsidR="007F04C7">
        <w:rPr>
          <w:sz w:val="26"/>
          <w:szCs w:val="26"/>
        </w:rPr>
        <w:t xml:space="preserve">pending </w:t>
      </w:r>
      <w:r w:rsidR="00D440A1" w:rsidRPr="00D440A1">
        <w:rPr>
          <w:sz w:val="26"/>
          <w:szCs w:val="26"/>
        </w:rPr>
        <w:t>case at Docket No. R-2011-2264771</w:t>
      </w:r>
      <w:r w:rsidR="000964BB">
        <w:rPr>
          <w:sz w:val="26"/>
          <w:szCs w:val="26"/>
        </w:rPr>
        <w:t>,</w:t>
      </w:r>
      <w:r w:rsidR="007F04C7">
        <w:rPr>
          <w:rStyle w:val="FootnoteReference"/>
          <w:sz w:val="26"/>
          <w:szCs w:val="26"/>
        </w:rPr>
        <w:footnoteReference w:id="3"/>
      </w:r>
      <w:r w:rsidR="00D440A1" w:rsidRPr="00D440A1">
        <w:rPr>
          <w:sz w:val="26"/>
          <w:szCs w:val="26"/>
        </w:rPr>
        <w:t xml:space="preserve"> with the E factor determined by matching the time period to be reconciled for both revenues and expenses; that the proposal regarding the ability to net the over and under collections of the </w:t>
      </w:r>
      <w:r w:rsidR="00E73D6A">
        <w:rPr>
          <w:sz w:val="26"/>
          <w:szCs w:val="26"/>
        </w:rPr>
        <w:t>Generation Supply Charge (</w:t>
      </w:r>
      <w:r w:rsidR="00D440A1" w:rsidRPr="00D440A1">
        <w:rPr>
          <w:sz w:val="26"/>
          <w:szCs w:val="26"/>
        </w:rPr>
        <w:t>GSC</w:t>
      </w:r>
      <w:r w:rsidR="00E73D6A">
        <w:rPr>
          <w:sz w:val="26"/>
          <w:szCs w:val="26"/>
        </w:rPr>
        <w:t>)</w:t>
      </w:r>
      <w:r w:rsidR="00D440A1" w:rsidRPr="00D440A1">
        <w:rPr>
          <w:sz w:val="26"/>
          <w:szCs w:val="26"/>
        </w:rPr>
        <w:t xml:space="preserve">-1 and GSC-2 with the </w:t>
      </w:r>
      <w:r w:rsidR="008A4795">
        <w:rPr>
          <w:sz w:val="26"/>
          <w:szCs w:val="26"/>
        </w:rPr>
        <w:t>Transmission Service Charge (</w:t>
      </w:r>
      <w:r w:rsidR="00D440A1" w:rsidRPr="00D440A1">
        <w:rPr>
          <w:sz w:val="26"/>
          <w:szCs w:val="26"/>
        </w:rPr>
        <w:t>TSC</w:t>
      </w:r>
      <w:r w:rsidR="008A4795">
        <w:rPr>
          <w:sz w:val="26"/>
          <w:szCs w:val="26"/>
        </w:rPr>
        <w:t>)</w:t>
      </w:r>
      <w:r w:rsidR="00D440A1" w:rsidRPr="00D440A1">
        <w:rPr>
          <w:sz w:val="26"/>
          <w:szCs w:val="26"/>
        </w:rPr>
        <w:t xml:space="preserve"> reconciliations be deferred until the </w:t>
      </w:r>
      <w:r w:rsidR="00D440A1">
        <w:rPr>
          <w:sz w:val="26"/>
          <w:szCs w:val="26"/>
        </w:rPr>
        <w:t>Commission</w:t>
      </w:r>
      <w:r w:rsidR="000964BB">
        <w:rPr>
          <w:sz w:val="26"/>
          <w:szCs w:val="26"/>
        </w:rPr>
        <w:t>’</w:t>
      </w:r>
      <w:r w:rsidR="00D440A1">
        <w:rPr>
          <w:sz w:val="26"/>
          <w:szCs w:val="26"/>
        </w:rPr>
        <w:t xml:space="preserve">s disposition of  </w:t>
      </w:r>
      <w:r w:rsidR="0054001E">
        <w:rPr>
          <w:sz w:val="26"/>
          <w:szCs w:val="26"/>
        </w:rPr>
        <w:t xml:space="preserve">the pending case at </w:t>
      </w:r>
      <w:r w:rsidR="00D440A1" w:rsidRPr="00D440A1">
        <w:rPr>
          <w:i/>
          <w:sz w:val="26"/>
          <w:szCs w:val="26"/>
        </w:rPr>
        <w:t>PPL Electric Utilities Corporation Proposed Transmission Service Charge Reconciliation for the Twelve Months Ending November</w:t>
      </w:r>
      <w:r w:rsidR="000964BB">
        <w:rPr>
          <w:i/>
          <w:sz w:val="26"/>
          <w:szCs w:val="26"/>
        </w:rPr>
        <w:t> </w:t>
      </w:r>
      <w:r w:rsidR="00D440A1" w:rsidRPr="00D440A1">
        <w:rPr>
          <w:i/>
          <w:sz w:val="26"/>
          <w:szCs w:val="26"/>
        </w:rPr>
        <w:t>30, 2010</w:t>
      </w:r>
      <w:r w:rsidR="0054001E">
        <w:rPr>
          <w:sz w:val="26"/>
          <w:szCs w:val="26"/>
        </w:rPr>
        <w:t xml:space="preserve"> at</w:t>
      </w:r>
      <w:r w:rsidR="00D440A1" w:rsidRPr="00D440A1">
        <w:rPr>
          <w:sz w:val="26"/>
          <w:szCs w:val="26"/>
        </w:rPr>
        <w:t xml:space="preserve"> Docket No. M-2010-2213754</w:t>
      </w:r>
      <w:r w:rsidR="0054001E">
        <w:rPr>
          <w:sz w:val="26"/>
          <w:szCs w:val="26"/>
        </w:rPr>
        <w:t xml:space="preserve"> (</w:t>
      </w:r>
      <w:r w:rsidR="00B743E6">
        <w:rPr>
          <w:i/>
          <w:sz w:val="26"/>
          <w:szCs w:val="26"/>
        </w:rPr>
        <w:t xml:space="preserve">PPL </w:t>
      </w:r>
      <w:r w:rsidR="000B4BCD">
        <w:rPr>
          <w:i/>
          <w:sz w:val="26"/>
          <w:szCs w:val="26"/>
        </w:rPr>
        <w:t>2010 TSC Reconciliation Proceeding)</w:t>
      </w:r>
      <w:r w:rsidR="00D440A1" w:rsidRPr="00D440A1">
        <w:rPr>
          <w:sz w:val="26"/>
          <w:szCs w:val="26"/>
        </w:rPr>
        <w:t>; that the length of the reconciliations be changed to</w:t>
      </w:r>
      <w:r w:rsidR="00D440A1">
        <w:rPr>
          <w:sz w:val="26"/>
          <w:szCs w:val="26"/>
        </w:rPr>
        <w:t xml:space="preserve"> a</w:t>
      </w:r>
      <w:r w:rsidR="00D440A1" w:rsidRPr="00D440A1">
        <w:rPr>
          <w:sz w:val="26"/>
          <w:szCs w:val="26"/>
        </w:rPr>
        <w:t xml:space="preserve"> </w:t>
      </w:r>
      <w:r w:rsidR="000964BB">
        <w:rPr>
          <w:sz w:val="26"/>
          <w:szCs w:val="26"/>
        </w:rPr>
        <w:t>“</w:t>
      </w:r>
      <w:r w:rsidR="00D440A1" w:rsidRPr="00D440A1">
        <w:rPr>
          <w:sz w:val="26"/>
          <w:szCs w:val="26"/>
        </w:rPr>
        <w:t>rolling</w:t>
      </w:r>
      <w:r w:rsidR="000964BB">
        <w:rPr>
          <w:sz w:val="26"/>
          <w:szCs w:val="26"/>
        </w:rPr>
        <w:t>”</w:t>
      </w:r>
      <w:r w:rsidR="00D440A1" w:rsidRPr="00D440A1">
        <w:rPr>
          <w:sz w:val="26"/>
          <w:szCs w:val="26"/>
        </w:rPr>
        <w:t xml:space="preserve"> annual basis; that the interest rate for under collections remain at 6%; and that the Large C&amp;I customer classes be reconciled separately.  </w:t>
      </w:r>
      <w:r w:rsidR="00266290">
        <w:rPr>
          <w:sz w:val="26"/>
          <w:szCs w:val="26"/>
        </w:rPr>
        <w:t>R.D. at 54-55.</w:t>
      </w:r>
    </w:p>
    <w:p w:rsidR="00D440A1" w:rsidRDefault="00D440A1" w:rsidP="00D440A1">
      <w:pPr>
        <w:autoSpaceDE/>
        <w:autoSpaceDN/>
        <w:rPr>
          <w:sz w:val="26"/>
          <w:szCs w:val="26"/>
        </w:rPr>
      </w:pPr>
    </w:p>
    <w:p w:rsidR="00E7599F" w:rsidRPr="00D440A1" w:rsidRDefault="00D440A1" w:rsidP="00D440A1">
      <w:pPr>
        <w:autoSpaceDE/>
        <w:autoSpaceDN/>
        <w:rPr>
          <w:sz w:val="26"/>
          <w:szCs w:val="26"/>
        </w:rPr>
      </w:pPr>
      <w:r>
        <w:rPr>
          <w:sz w:val="26"/>
          <w:szCs w:val="26"/>
        </w:rPr>
        <w:lastRenderedPageBreak/>
        <w:tab/>
      </w:r>
      <w:r>
        <w:rPr>
          <w:sz w:val="26"/>
          <w:szCs w:val="26"/>
        </w:rPr>
        <w:tab/>
        <w:t xml:space="preserve">Exceptions to the Recommended Decision </w:t>
      </w:r>
      <w:r w:rsidR="00E73D6A">
        <w:rPr>
          <w:sz w:val="26"/>
          <w:szCs w:val="26"/>
        </w:rPr>
        <w:t xml:space="preserve">and Replies to Exceptions </w:t>
      </w:r>
      <w:r>
        <w:rPr>
          <w:sz w:val="26"/>
          <w:szCs w:val="26"/>
        </w:rPr>
        <w:t>were filed as noted above.</w:t>
      </w:r>
      <w:r w:rsidR="00DF7E2A" w:rsidRPr="005D6F28">
        <w:rPr>
          <w:sz w:val="26"/>
          <w:szCs w:val="26"/>
        </w:rPr>
        <w:tab/>
      </w:r>
      <w:r w:rsidR="00DF7E2A" w:rsidRPr="005D6F28">
        <w:rPr>
          <w:sz w:val="26"/>
          <w:szCs w:val="26"/>
          <w:u w:val="single"/>
        </w:rPr>
        <w:fldChar w:fldCharType="begin"/>
      </w:r>
      <w:r w:rsidR="00DF7E2A" w:rsidRPr="005D6F28">
        <w:rPr>
          <w:sz w:val="26"/>
          <w:szCs w:val="26"/>
        </w:rPr>
        <w:instrText xml:space="preserve"> TC "</w:instrText>
      </w:r>
      <w:bookmarkStart w:id="3" w:name="_Toc329245149"/>
      <w:r w:rsidR="00DF7E2A" w:rsidRPr="005D6F28">
        <w:rPr>
          <w:sz w:val="26"/>
          <w:szCs w:val="26"/>
        </w:rPr>
        <w:instrText>II.</w:instrText>
      </w:r>
      <w:r w:rsidR="00DF7E2A" w:rsidRPr="005D6F28">
        <w:rPr>
          <w:sz w:val="26"/>
          <w:szCs w:val="26"/>
        </w:rPr>
        <w:tab/>
      </w:r>
      <w:r w:rsidR="00DF7E2A" w:rsidRPr="005D6F28">
        <w:rPr>
          <w:sz w:val="26"/>
          <w:szCs w:val="26"/>
          <w:u w:val="single"/>
        </w:rPr>
        <w:instrText>FINDINGS OF FACT</w:instrText>
      </w:r>
      <w:bookmarkEnd w:id="3"/>
      <w:r w:rsidR="00DF7E2A" w:rsidRPr="005D6F28">
        <w:rPr>
          <w:sz w:val="26"/>
          <w:szCs w:val="26"/>
        </w:rPr>
        <w:instrText xml:space="preserve">" \f C \l "1" </w:instrText>
      </w:r>
      <w:r w:rsidR="00DF7E2A" w:rsidRPr="005D6F28">
        <w:rPr>
          <w:sz w:val="26"/>
          <w:szCs w:val="26"/>
          <w:u w:val="single"/>
        </w:rPr>
        <w:fldChar w:fldCharType="end"/>
      </w:r>
    </w:p>
    <w:p w:rsidR="00E7599F" w:rsidRPr="005D6F28" w:rsidRDefault="00E7599F" w:rsidP="00E7599F">
      <w:pPr>
        <w:jc w:val="center"/>
        <w:rPr>
          <w:sz w:val="26"/>
          <w:szCs w:val="26"/>
          <w:u w:val="single"/>
        </w:rPr>
      </w:pPr>
    </w:p>
    <w:p w:rsidR="00BF5181" w:rsidRDefault="00BF5181">
      <w:pPr>
        <w:autoSpaceDE/>
        <w:autoSpaceDN/>
        <w:jc w:val="center"/>
        <w:rPr>
          <w:b/>
          <w:sz w:val="26"/>
          <w:szCs w:val="26"/>
        </w:rPr>
      </w:pPr>
      <w:bookmarkStart w:id="4" w:name="_Toc329245844"/>
      <w:r>
        <w:br w:type="page"/>
      </w:r>
    </w:p>
    <w:p w:rsidR="001D6B1E" w:rsidRDefault="00D440A1" w:rsidP="00D81F98">
      <w:pPr>
        <w:pStyle w:val="Heading1"/>
      </w:pPr>
      <w:bookmarkStart w:id="5" w:name="_Toc329688381"/>
      <w:r w:rsidRPr="001D6B1E">
        <w:lastRenderedPageBreak/>
        <w:t>II</w:t>
      </w:r>
      <w:r w:rsidR="00DF7E2A" w:rsidRPr="001D6B1E">
        <w:t>.</w:t>
      </w:r>
      <w:r w:rsidR="00DF7E2A" w:rsidRPr="001D6B1E">
        <w:tab/>
      </w:r>
      <w:r w:rsidR="001D6B1E">
        <w:t>Discussion</w:t>
      </w:r>
      <w:bookmarkEnd w:id="4"/>
      <w:bookmarkEnd w:id="5"/>
    </w:p>
    <w:p w:rsidR="001D6B1E" w:rsidRDefault="001D6B1E" w:rsidP="00D440A1">
      <w:pPr>
        <w:pStyle w:val="Pleading2L3"/>
        <w:numPr>
          <w:ilvl w:val="0"/>
          <w:numId w:val="0"/>
        </w:numPr>
        <w:tabs>
          <w:tab w:val="num" w:pos="0"/>
        </w:tabs>
        <w:spacing w:line="360" w:lineRule="auto"/>
        <w:contextualSpacing/>
        <w:jc w:val="center"/>
        <w:rPr>
          <w:b/>
          <w:sz w:val="26"/>
          <w:szCs w:val="26"/>
        </w:rPr>
      </w:pPr>
    </w:p>
    <w:p w:rsidR="001D6B1E" w:rsidRDefault="001D6B1E" w:rsidP="001D6B1E">
      <w:pPr>
        <w:ind w:firstLine="1440"/>
        <w:contextualSpacing/>
        <w:rPr>
          <w:sz w:val="26"/>
          <w:szCs w:val="26"/>
        </w:rPr>
      </w:pPr>
      <w:r>
        <w:rPr>
          <w:sz w:val="26"/>
          <w:szCs w:val="26"/>
        </w:rPr>
        <w:t xml:space="preserve">ALJ Colwell made forty-nine Findings of Fact and reached twenty-two Conclusions of Law.  R.D. at 3-11, 55-58.  The Findings of Fact and Conclusions of Law are incorporated herein by reference and are adopted without comment unless they are either expressly or by necessary implication rejected or modified by this Opinion and Order. </w:t>
      </w:r>
    </w:p>
    <w:p w:rsidR="001D6B1E" w:rsidRDefault="001D6B1E" w:rsidP="001D6B1E">
      <w:pPr>
        <w:contextualSpacing/>
        <w:rPr>
          <w:sz w:val="26"/>
          <w:szCs w:val="26"/>
        </w:rPr>
      </w:pPr>
    </w:p>
    <w:p w:rsidR="001D6B1E" w:rsidRPr="00920840" w:rsidRDefault="001D6B1E" w:rsidP="001D6B1E">
      <w:pPr>
        <w:ind w:firstLine="1440"/>
        <w:contextualSpacing/>
        <w:rPr>
          <w:sz w:val="26"/>
          <w:szCs w:val="26"/>
          <w:u w:val="single"/>
        </w:rPr>
      </w:pPr>
      <w:r w:rsidRPr="002A6750">
        <w:rPr>
          <w:sz w:val="26"/>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15" w:history="1">
        <w:r>
          <w:rPr>
            <w:rStyle w:val="Emphasis"/>
            <w:color w:val="000000"/>
            <w:sz w:val="26"/>
            <w:szCs w:val="26"/>
          </w:rPr>
          <w:t>Consolidated Rail Corp. v. Pa. </w:t>
        </w:r>
        <w:r w:rsidRPr="002A6750">
          <w:rPr>
            <w:rStyle w:val="Emphasis"/>
            <w:color w:val="000000"/>
            <w:sz w:val="26"/>
            <w:szCs w:val="26"/>
          </w:rPr>
          <w:t xml:space="preserve">PUC, </w:t>
        </w:r>
        <w:r w:rsidRPr="000B4BCD">
          <w:rPr>
            <w:rStyle w:val="Hyperlink"/>
            <w:color w:val="000000"/>
            <w:sz w:val="26"/>
            <w:szCs w:val="26"/>
            <w:u w:val="none"/>
          </w:rPr>
          <w:t>625 A.2d 741 (Pa. Cmwlth. 1993);</w:t>
        </w:r>
      </w:hyperlink>
      <w:r w:rsidRPr="002A6750">
        <w:rPr>
          <w:color w:val="000000"/>
          <w:sz w:val="26"/>
          <w:szCs w:val="26"/>
        </w:rPr>
        <w:t xml:space="preserve"> </w:t>
      </w:r>
      <w:r w:rsidRPr="002A6750">
        <w:rPr>
          <w:i/>
          <w:color w:val="000000"/>
          <w:sz w:val="26"/>
          <w:szCs w:val="26"/>
        </w:rPr>
        <w:t xml:space="preserve">also </w:t>
      </w:r>
      <w:r w:rsidRPr="002A6750">
        <w:rPr>
          <w:rStyle w:val="Emphasis"/>
          <w:color w:val="000000"/>
          <w:sz w:val="26"/>
          <w:szCs w:val="26"/>
        </w:rPr>
        <w:t xml:space="preserve">see, generally, </w:t>
      </w:r>
      <w:hyperlink r:id="rId16" w:history="1">
        <w:r w:rsidRPr="002A6750">
          <w:rPr>
            <w:rStyle w:val="Emphasis"/>
            <w:color w:val="000000"/>
            <w:sz w:val="26"/>
            <w:szCs w:val="26"/>
          </w:rPr>
          <w:t>University of Pennsylvania v. Pa. PUC</w:t>
        </w:r>
        <w:r w:rsidRPr="000B4BCD">
          <w:rPr>
            <w:rStyle w:val="Hyperlink"/>
            <w:color w:val="000000"/>
            <w:sz w:val="26"/>
            <w:szCs w:val="26"/>
            <w:u w:val="none"/>
          </w:rPr>
          <w:t>, 485 A.2d 1217 (Pa. Cmwlth. 1984).</w:t>
        </w:r>
      </w:hyperlink>
    </w:p>
    <w:p w:rsidR="000E373F" w:rsidRPr="001D6B1E" w:rsidRDefault="00DF7E2A" w:rsidP="001D6B1E">
      <w:pPr>
        <w:pStyle w:val="Pleading2L3"/>
        <w:numPr>
          <w:ilvl w:val="0"/>
          <w:numId w:val="0"/>
        </w:numPr>
        <w:tabs>
          <w:tab w:val="num" w:pos="0"/>
        </w:tabs>
        <w:spacing w:line="360" w:lineRule="auto"/>
        <w:contextualSpacing/>
        <w:rPr>
          <w:b/>
          <w:sz w:val="26"/>
          <w:szCs w:val="26"/>
        </w:rPr>
      </w:pPr>
      <w:r w:rsidRPr="001D6B1E">
        <w:rPr>
          <w:b/>
          <w:sz w:val="26"/>
          <w:szCs w:val="26"/>
        </w:rPr>
        <w:fldChar w:fldCharType="begin"/>
      </w:r>
      <w:r w:rsidRPr="001D6B1E">
        <w:rPr>
          <w:b/>
          <w:sz w:val="26"/>
          <w:szCs w:val="26"/>
        </w:rPr>
        <w:instrText xml:space="preserve"> TC "</w:instrText>
      </w:r>
      <w:bookmarkStart w:id="6" w:name="_Toc320265360"/>
      <w:bookmarkStart w:id="7" w:name="_Toc329245150"/>
      <w:r w:rsidRPr="001D6B1E">
        <w:rPr>
          <w:b/>
          <w:sz w:val="26"/>
          <w:szCs w:val="26"/>
        </w:rPr>
        <w:instrText>III.</w:instrText>
      </w:r>
      <w:r w:rsidRPr="001D6B1E">
        <w:rPr>
          <w:b/>
          <w:sz w:val="26"/>
          <w:szCs w:val="26"/>
        </w:rPr>
        <w:tab/>
        <w:instrText>DISCUSSION</w:instrText>
      </w:r>
      <w:bookmarkEnd w:id="6"/>
      <w:bookmarkEnd w:id="7"/>
      <w:r w:rsidRPr="001D6B1E">
        <w:rPr>
          <w:b/>
          <w:sz w:val="26"/>
          <w:szCs w:val="26"/>
        </w:rPr>
        <w:instrText xml:space="preserve">" \f C \l "1" </w:instrText>
      </w:r>
      <w:r w:rsidRPr="001D6B1E">
        <w:rPr>
          <w:b/>
          <w:sz w:val="26"/>
          <w:szCs w:val="26"/>
        </w:rPr>
        <w:fldChar w:fldCharType="end"/>
      </w:r>
    </w:p>
    <w:p w:rsidR="007E7C76" w:rsidRPr="00D81F98" w:rsidRDefault="00496768" w:rsidP="00D81F98">
      <w:pPr>
        <w:pStyle w:val="Heading2"/>
      </w:pPr>
      <w:bookmarkStart w:id="8" w:name="_Toc329245845"/>
      <w:bookmarkStart w:id="9" w:name="_Toc329688382"/>
      <w:r w:rsidRPr="00D81F98">
        <w:t>A</w:t>
      </w:r>
      <w:r w:rsidR="007E7C76" w:rsidRPr="00D81F98">
        <w:t>.</w:t>
      </w:r>
      <w:r w:rsidR="007E7C76" w:rsidRPr="00D81F98">
        <w:tab/>
        <w:t>Burden of Proof</w:t>
      </w:r>
      <w:bookmarkEnd w:id="8"/>
      <w:bookmarkEnd w:id="9"/>
      <w:r w:rsidR="00E77EC5" w:rsidRPr="00D81F98">
        <w:fldChar w:fldCharType="begin"/>
      </w:r>
      <w:r w:rsidR="00E77EC5" w:rsidRPr="00D81F98">
        <w:instrText xml:space="preserve"> TC "</w:instrText>
      </w:r>
      <w:bookmarkStart w:id="10" w:name="_Toc329245151"/>
      <w:r w:rsidR="00E77EC5" w:rsidRPr="00D81F98">
        <w:instrText>A.</w:instrText>
      </w:r>
      <w:r w:rsidR="00E77EC5" w:rsidRPr="00D81F98">
        <w:tab/>
        <w:instrText>Burden of Proof</w:instrText>
      </w:r>
      <w:bookmarkEnd w:id="10"/>
      <w:r w:rsidR="00E77EC5" w:rsidRPr="00D81F98">
        <w:instrText xml:space="preserve">" \f C \l "2" </w:instrText>
      </w:r>
      <w:r w:rsidR="00E77EC5" w:rsidRPr="00D81F98">
        <w:fldChar w:fldCharType="end"/>
      </w:r>
    </w:p>
    <w:p w:rsidR="00904A94" w:rsidRPr="007C4E34" w:rsidRDefault="00904A94" w:rsidP="000E373F">
      <w:pPr>
        <w:rPr>
          <w:szCs w:val="24"/>
        </w:rPr>
      </w:pPr>
    </w:p>
    <w:p w:rsidR="00904A94" w:rsidRPr="007B3469" w:rsidRDefault="007E7C76" w:rsidP="00904A94">
      <w:pPr>
        <w:contextualSpacing/>
        <w:rPr>
          <w:sz w:val="26"/>
          <w:szCs w:val="26"/>
        </w:rPr>
      </w:pPr>
      <w:r w:rsidRPr="007C4E34">
        <w:rPr>
          <w:szCs w:val="24"/>
        </w:rPr>
        <w:tab/>
      </w:r>
      <w:r w:rsidRPr="007C4E34">
        <w:rPr>
          <w:szCs w:val="24"/>
        </w:rPr>
        <w:tab/>
      </w:r>
      <w:r w:rsidR="00904A94" w:rsidRPr="007B3469">
        <w:rPr>
          <w:sz w:val="26"/>
          <w:szCs w:val="26"/>
        </w:rPr>
        <w:t xml:space="preserve">The proponent of a rule or order in any Commission proceeding has the burden of proof, 66 Pa. C.S. § 332, and therefore, the Applicant </w:t>
      </w:r>
      <w:r w:rsidR="000B4BCD">
        <w:rPr>
          <w:sz w:val="26"/>
          <w:szCs w:val="26"/>
        </w:rPr>
        <w:t xml:space="preserve">or Petitioner </w:t>
      </w:r>
      <w:r w:rsidR="00904A94" w:rsidRPr="007B3469">
        <w:rPr>
          <w:sz w:val="26"/>
          <w:szCs w:val="26"/>
        </w:rPr>
        <w:t xml:space="preserve">has the burden of proving its case by a preponderance of the evidence, or evidence which is more convincing than the evidence presented by the other parties.  </w:t>
      </w:r>
      <w:r w:rsidR="00904A94" w:rsidRPr="007B3469">
        <w:rPr>
          <w:i/>
          <w:sz w:val="26"/>
          <w:szCs w:val="26"/>
        </w:rPr>
        <w:t xml:space="preserve">Se-Ling </w:t>
      </w:r>
      <w:r w:rsidR="0037385D" w:rsidRPr="007B3469">
        <w:rPr>
          <w:i/>
          <w:sz w:val="26"/>
          <w:szCs w:val="26"/>
        </w:rPr>
        <w:t>Hosiery</w:t>
      </w:r>
      <w:r w:rsidR="0037385D">
        <w:rPr>
          <w:i/>
          <w:sz w:val="26"/>
          <w:szCs w:val="26"/>
        </w:rPr>
        <w:t>, Inc</w:t>
      </w:r>
      <w:r w:rsidR="000B4BCD">
        <w:rPr>
          <w:i/>
          <w:sz w:val="26"/>
          <w:szCs w:val="26"/>
        </w:rPr>
        <w:t>.</w:t>
      </w:r>
      <w:r w:rsidR="00904A94" w:rsidRPr="007B3469">
        <w:rPr>
          <w:i/>
          <w:sz w:val="26"/>
          <w:szCs w:val="26"/>
        </w:rPr>
        <w:t xml:space="preserve"> v. Margulies</w:t>
      </w:r>
      <w:r w:rsidR="00904A94" w:rsidRPr="007B3469">
        <w:rPr>
          <w:sz w:val="26"/>
          <w:szCs w:val="26"/>
        </w:rPr>
        <w:t xml:space="preserve">, 364 Pa. 45, 70 A.3d 854 (1950); </w:t>
      </w:r>
      <w:r w:rsidR="00904A94" w:rsidRPr="007B3469">
        <w:rPr>
          <w:i/>
          <w:sz w:val="26"/>
          <w:szCs w:val="26"/>
        </w:rPr>
        <w:t>Samuel J. L</w:t>
      </w:r>
      <w:r w:rsidR="000B4BCD">
        <w:rPr>
          <w:i/>
          <w:sz w:val="26"/>
          <w:szCs w:val="26"/>
        </w:rPr>
        <w:t>ansberry, Inc. v. Pa. PU</w:t>
      </w:r>
      <w:r w:rsidR="00904A94" w:rsidRPr="007B3469">
        <w:rPr>
          <w:i/>
          <w:sz w:val="26"/>
          <w:szCs w:val="26"/>
        </w:rPr>
        <w:t>C</w:t>
      </w:r>
      <w:r w:rsidR="00904A94" w:rsidRPr="007B3469">
        <w:rPr>
          <w:sz w:val="26"/>
          <w:szCs w:val="26"/>
        </w:rPr>
        <w:t xml:space="preserve">, 578 A.2d 600 (Pa. Cmwlth. 1990).  </w:t>
      </w:r>
    </w:p>
    <w:p w:rsidR="00904A94" w:rsidRPr="007C4E34" w:rsidRDefault="00904A94" w:rsidP="00904A94">
      <w:pPr>
        <w:contextualSpacing/>
        <w:rPr>
          <w:szCs w:val="24"/>
        </w:rPr>
      </w:pPr>
    </w:p>
    <w:p w:rsidR="00904A94" w:rsidRPr="007B3469" w:rsidRDefault="00904A94" w:rsidP="00904A94">
      <w:pPr>
        <w:rPr>
          <w:sz w:val="26"/>
          <w:szCs w:val="26"/>
        </w:rPr>
      </w:pPr>
      <w:r w:rsidRPr="007C4E34">
        <w:rPr>
          <w:szCs w:val="24"/>
        </w:rPr>
        <w:tab/>
      </w:r>
      <w:r w:rsidRPr="007C4E34">
        <w:rPr>
          <w:szCs w:val="24"/>
        </w:rPr>
        <w:tab/>
      </w:r>
      <w:r w:rsidRPr="007B3469">
        <w:rPr>
          <w:sz w:val="26"/>
          <w:szCs w:val="26"/>
        </w:rPr>
        <w:t xml:space="preserve">Additionally, any finding of fact necessary to support an adjudication of the Commission must be based upon substantial evidence, which is such relevant evidence as a reasonable mind might accept as adequate to support a conclusion.  </w:t>
      </w:r>
      <w:r w:rsidR="000B4BCD">
        <w:rPr>
          <w:i/>
          <w:sz w:val="26"/>
          <w:szCs w:val="26"/>
        </w:rPr>
        <w:t xml:space="preserve">Mill v. </w:t>
      </w:r>
      <w:r w:rsidRPr="007B3469">
        <w:rPr>
          <w:i/>
          <w:sz w:val="26"/>
          <w:szCs w:val="26"/>
        </w:rPr>
        <w:t>Pa. PUC</w:t>
      </w:r>
      <w:r w:rsidR="000B4BCD">
        <w:rPr>
          <w:i/>
          <w:sz w:val="26"/>
          <w:szCs w:val="26"/>
        </w:rPr>
        <w:t>,</w:t>
      </w:r>
      <w:r w:rsidR="000B4BCD">
        <w:rPr>
          <w:sz w:val="26"/>
          <w:szCs w:val="26"/>
        </w:rPr>
        <w:t xml:space="preserve"> 447 A.2d 1100 (Pa. Cmwlth. </w:t>
      </w:r>
      <w:r w:rsidRPr="007B3469">
        <w:rPr>
          <w:sz w:val="26"/>
          <w:szCs w:val="26"/>
        </w:rPr>
        <w:t xml:space="preserve">1982); </w:t>
      </w:r>
      <w:r w:rsidRPr="007B3469">
        <w:rPr>
          <w:i/>
          <w:sz w:val="26"/>
          <w:szCs w:val="26"/>
        </w:rPr>
        <w:t>Edan Transportation Corp. v. Pa. PUC,</w:t>
      </w:r>
      <w:r w:rsidR="000B4BCD">
        <w:rPr>
          <w:sz w:val="26"/>
          <w:szCs w:val="26"/>
        </w:rPr>
        <w:t xml:space="preserve"> 623 A.2d 6 (Pa. Cmwlth. 1993);</w:t>
      </w:r>
      <w:r w:rsidRPr="007B3469">
        <w:rPr>
          <w:sz w:val="26"/>
          <w:szCs w:val="26"/>
        </w:rPr>
        <w:t xml:space="preserve"> 2 Pa. C.S. § 704.  More is required than a mere trace of evidence or </w:t>
      </w:r>
      <w:r w:rsidRPr="007B3469">
        <w:rPr>
          <w:sz w:val="26"/>
          <w:szCs w:val="26"/>
        </w:rPr>
        <w:lastRenderedPageBreak/>
        <w:t xml:space="preserve">a suspicion of the existence of a fact sought to be established.  </w:t>
      </w:r>
      <w:r w:rsidR="000B4BCD">
        <w:rPr>
          <w:i/>
          <w:sz w:val="26"/>
          <w:szCs w:val="26"/>
        </w:rPr>
        <w:t>Norfolk &amp; Western Ry. v. Pa. PUC</w:t>
      </w:r>
      <w:r w:rsidRPr="007B3469">
        <w:rPr>
          <w:i/>
          <w:sz w:val="26"/>
          <w:szCs w:val="26"/>
        </w:rPr>
        <w:t xml:space="preserve">, </w:t>
      </w:r>
      <w:r w:rsidRPr="007B3469">
        <w:rPr>
          <w:sz w:val="26"/>
          <w:szCs w:val="26"/>
        </w:rPr>
        <w:t xml:space="preserve">489 Pa. 109, 413 A.2d 1037 (1980); </w:t>
      </w:r>
      <w:r w:rsidRPr="007B3469">
        <w:rPr>
          <w:i/>
          <w:sz w:val="26"/>
          <w:szCs w:val="26"/>
        </w:rPr>
        <w:t xml:space="preserve">Erie Resistor </w:t>
      </w:r>
      <w:r w:rsidR="000B4BCD">
        <w:rPr>
          <w:i/>
          <w:sz w:val="26"/>
          <w:szCs w:val="26"/>
        </w:rPr>
        <w:t>Corp. v. Unemployment Com. Bd. o</w:t>
      </w:r>
      <w:r w:rsidRPr="007B3469">
        <w:rPr>
          <w:i/>
          <w:sz w:val="26"/>
          <w:szCs w:val="26"/>
        </w:rPr>
        <w:t>f Review</w:t>
      </w:r>
      <w:r w:rsidR="000B4BCD">
        <w:rPr>
          <w:sz w:val="26"/>
          <w:szCs w:val="26"/>
        </w:rPr>
        <w:t xml:space="preserve">, 166 A.2d 96 (Pa. Super. </w:t>
      </w:r>
      <w:r w:rsidRPr="007B3469">
        <w:rPr>
          <w:sz w:val="26"/>
          <w:szCs w:val="26"/>
        </w:rPr>
        <w:t xml:space="preserve">1960); </w:t>
      </w:r>
      <w:r w:rsidRPr="007B3469">
        <w:rPr>
          <w:i/>
          <w:sz w:val="26"/>
          <w:szCs w:val="26"/>
        </w:rPr>
        <w:t xml:space="preserve">Murphy v. Comm., Dept. of Public Welfare, White Haven Center, </w:t>
      </w:r>
      <w:r w:rsidR="000B4BCD">
        <w:rPr>
          <w:sz w:val="26"/>
          <w:szCs w:val="26"/>
        </w:rPr>
        <w:t xml:space="preserve">480 A.2d 382 (Pa. Cmwlth. </w:t>
      </w:r>
      <w:r w:rsidRPr="007B3469">
        <w:rPr>
          <w:sz w:val="26"/>
          <w:szCs w:val="26"/>
        </w:rPr>
        <w:t>1984).</w:t>
      </w:r>
    </w:p>
    <w:p w:rsidR="00904A94" w:rsidRPr="007C4E34" w:rsidRDefault="00904A94" w:rsidP="00904A94">
      <w:pPr>
        <w:rPr>
          <w:szCs w:val="24"/>
        </w:rPr>
      </w:pPr>
    </w:p>
    <w:p w:rsidR="00904A94" w:rsidRPr="007B3469" w:rsidRDefault="00904A94" w:rsidP="00904A94">
      <w:pPr>
        <w:rPr>
          <w:spacing w:val="-3"/>
          <w:sz w:val="26"/>
          <w:szCs w:val="26"/>
        </w:rPr>
      </w:pPr>
      <w:r w:rsidRPr="007C4E34">
        <w:rPr>
          <w:szCs w:val="24"/>
        </w:rPr>
        <w:tab/>
      </w:r>
      <w:r w:rsidRPr="007C4E34">
        <w:rPr>
          <w:szCs w:val="24"/>
        </w:rPr>
        <w:tab/>
      </w:r>
      <w:r w:rsidRPr="007B3469">
        <w:rPr>
          <w:spacing w:val="-3"/>
          <w:sz w:val="26"/>
          <w:szCs w:val="26"/>
        </w:rPr>
        <w:t xml:space="preserve">The </w:t>
      </w:r>
      <w:r w:rsidR="000964BB">
        <w:rPr>
          <w:spacing w:val="-3"/>
          <w:sz w:val="26"/>
          <w:szCs w:val="26"/>
        </w:rPr>
        <w:t>“</w:t>
      </w:r>
      <w:r w:rsidRPr="007B3469">
        <w:rPr>
          <w:spacing w:val="-3"/>
          <w:sz w:val="26"/>
          <w:szCs w:val="26"/>
        </w:rPr>
        <w:t>burden of proof</w:t>
      </w:r>
      <w:r w:rsidR="000964BB">
        <w:rPr>
          <w:spacing w:val="-3"/>
          <w:sz w:val="26"/>
          <w:szCs w:val="26"/>
        </w:rPr>
        <w:t>”</w:t>
      </w:r>
      <w:r w:rsidRPr="007B3469">
        <w:rPr>
          <w:spacing w:val="-3"/>
          <w:sz w:val="26"/>
          <w:szCs w:val="26"/>
        </w:rPr>
        <w:t xml:space="preserve"> is composed of two distinct burdens: the burden of production and the burden of persuasion.  </w:t>
      </w:r>
      <w:r w:rsidRPr="007B3469">
        <w:rPr>
          <w:i/>
          <w:spacing w:val="-3"/>
          <w:sz w:val="26"/>
          <w:szCs w:val="26"/>
        </w:rPr>
        <w:t>Hurley v. Hurley</w:t>
      </w:r>
      <w:r w:rsidRPr="007B3469">
        <w:rPr>
          <w:spacing w:val="-3"/>
          <w:sz w:val="26"/>
          <w:szCs w:val="26"/>
        </w:rPr>
        <w:t>, 754 A.2d 1283 (</w:t>
      </w:r>
      <w:r w:rsidR="00B55807" w:rsidRPr="007B3469">
        <w:rPr>
          <w:spacing w:val="-3"/>
          <w:sz w:val="26"/>
          <w:szCs w:val="26"/>
        </w:rPr>
        <w:t>Pa.</w:t>
      </w:r>
      <w:r w:rsidR="00B34A3B">
        <w:rPr>
          <w:spacing w:val="-3"/>
          <w:sz w:val="26"/>
          <w:szCs w:val="26"/>
        </w:rPr>
        <w:t xml:space="preserve"> </w:t>
      </w:r>
      <w:r w:rsidR="00B55807" w:rsidRPr="007B3469">
        <w:rPr>
          <w:spacing w:val="-3"/>
          <w:sz w:val="26"/>
          <w:szCs w:val="26"/>
        </w:rPr>
        <w:t xml:space="preserve">Super. </w:t>
      </w:r>
      <w:r w:rsidRPr="007B3469">
        <w:rPr>
          <w:spacing w:val="-3"/>
          <w:sz w:val="26"/>
          <w:szCs w:val="26"/>
        </w:rPr>
        <w:t>2000).</w:t>
      </w:r>
    </w:p>
    <w:p w:rsidR="00904A94" w:rsidRPr="007C4E34" w:rsidRDefault="00904A94" w:rsidP="00904A94">
      <w:pPr>
        <w:rPr>
          <w:spacing w:val="-3"/>
          <w:szCs w:val="24"/>
        </w:rPr>
      </w:pPr>
    </w:p>
    <w:p w:rsidR="00904A94" w:rsidRPr="007B3469" w:rsidRDefault="00904A94" w:rsidP="00904A94">
      <w:pPr>
        <w:tabs>
          <w:tab w:val="left" w:pos="-1440"/>
          <w:tab w:val="left" w:pos="-720"/>
        </w:tabs>
        <w:suppressAutoHyphens/>
        <w:ind w:firstLine="1440"/>
        <w:rPr>
          <w:spacing w:val="-3"/>
          <w:sz w:val="26"/>
          <w:szCs w:val="26"/>
        </w:rPr>
      </w:pPr>
      <w:r w:rsidRPr="007B3469">
        <w:rPr>
          <w:spacing w:val="-3"/>
          <w:sz w:val="26"/>
          <w:szCs w:val="26"/>
        </w:rPr>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w:t>
      </w:r>
      <w:r w:rsidR="00C762F4">
        <w:rPr>
          <w:spacing w:val="-3"/>
          <w:sz w:val="26"/>
          <w:szCs w:val="26"/>
        </w:rPr>
        <w:t>,</w:t>
      </w:r>
      <w:r w:rsidRPr="007B3469">
        <w:rPr>
          <w:spacing w:val="-3"/>
          <w:sz w:val="26"/>
          <w:szCs w:val="26"/>
        </w:rPr>
        <w:t xml:space="preserve"> the opposing party is entitled to receive a favorable ruling.  That is, the opposing party would be entitled to a compulsory nonsuit, a directed verdict, or a judgment notwithstanding the verdict.  Once the party with the initial burden of production introduces sufficient evidence to make out a </w:t>
      </w:r>
      <w:r w:rsidRPr="00C762F4">
        <w:rPr>
          <w:i/>
          <w:spacing w:val="-3"/>
          <w:sz w:val="26"/>
          <w:szCs w:val="26"/>
        </w:rPr>
        <w:t>prima facie</w:t>
      </w:r>
      <w:r w:rsidRPr="007B3469">
        <w:rPr>
          <w:spacing w:val="-3"/>
          <w:sz w:val="26"/>
          <w:szCs w:val="26"/>
        </w:rPr>
        <w:t xml:space="preserv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w:t>
      </w:r>
      <w:r w:rsidR="000964BB">
        <w:rPr>
          <w:spacing w:val="-3"/>
          <w:sz w:val="26"/>
          <w:szCs w:val="26"/>
        </w:rPr>
        <w:t>’</w:t>
      </w:r>
      <w:r w:rsidRPr="007B3469">
        <w:rPr>
          <w:spacing w:val="-3"/>
          <w:sz w:val="26"/>
          <w:szCs w:val="26"/>
        </w:rPr>
        <w:t>s case.</w:t>
      </w:r>
    </w:p>
    <w:p w:rsidR="00904A94" w:rsidRPr="007C4E34" w:rsidRDefault="00904A94" w:rsidP="00904A94">
      <w:pPr>
        <w:tabs>
          <w:tab w:val="left" w:pos="-1440"/>
          <w:tab w:val="left" w:pos="-720"/>
        </w:tabs>
        <w:suppressAutoHyphens/>
        <w:ind w:firstLine="1440"/>
        <w:rPr>
          <w:spacing w:val="-3"/>
          <w:szCs w:val="24"/>
        </w:rPr>
      </w:pPr>
    </w:p>
    <w:p w:rsidR="008A2A11" w:rsidRPr="007C4E34" w:rsidRDefault="00904A94" w:rsidP="00904A94">
      <w:pPr>
        <w:tabs>
          <w:tab w:val="left" w:pos="-1440"/>
          <w:tab w:val="left" w:pos="-720"/>
        </w:tabs>
        <w:suppressAutoHyphens/>
        <w:ind w:firstLine="1440"/>
        <w:rPr>
          <w:spacing w:val="-3"/>
          <w:szCs w:val="24"/>
        </w:rPr>
      </w:pPr>
      <w:r w:rsidRPr="007B3469">
        <w:rPr>
          <w:spacing w:val="-3"/>
          <w:sz w:val="26"/>
          <w:szCs w:val="26"/>
        </w:rPr>
        <w:t xml:space="preserve">Having passed the test of legal sufficiency, the party with the burden of proof must then bear the burden of persuasion to be entitled to a verdict in his favor.  </w:t>
      </w:r>
      <w:r w:rsidR="000964BB">
        <w:rPr>
          <w:spacing w:val="-3"/>
          <w:sz w:val="26"/>
          <w:szCs w:val="26"/>
        </w:rPr>
        <w:t>“</w:t>
      </w:r>
      <w:r w:rsidRPr="007B3469">
        <w:rPr>
          <w:spacing w:val="-3"/>
          <w:sz w:val="26"/>
          <w:szCs w:val="26"/>
        </w:rPr>
        <w:t>[T]he burden of persuasion never leaves the party on whom it is originally cast, but the burden of production may shift during the course of the proceedings.</w:t>
      </w:r>
      <w:r w:rsidR="000964BB">
        <w:rPr>
          <w:spacing w:val="-3"/>
          <w:sz w:val="26"/>
          <w:szCs w:val="26"/>
        </w:rPr>
        <w:t>”</w:t>
      </w:r>
      <w:r w:rsidRPr="007B3469">
        <w:rPr>
          <w:spacing w:val="-3"/>
          <w:sz w:val="26"/>
          <w:szCs w:val="26"/>
        </w:rPr>
        <w:t xml:space="preserve">  </w:t>
      </w:r>
      <w:r w:rsidRPr="007B3469">
        <w:rPr>
          <w:i/>
          <w:spacing w:val="-3"/>
          <w:sz w:val="26"/>
          <w:szCs w:val="26"/>
        </w:rPr>
        <w:t>Riedel v. County of Allegheny</w:t>
      </w:r>
      <w:r w:rsidR="00C762F4">
        <w:rPr>
          <w:spacing w:val="-3"/>
          <w:sz w:val="26"/>
          <w:szCs w:val="26"/>
        </w:rPr>
        <w:t xml:space="preserve">, </w:t>
      </w:r>
      <w:r w:rsidRPr="007B3469">
        <w:rPr>
          <w:spacing w:val="-3"/>
          <w:sz w:val="26"/>
          <w:szCs w:val="26"/>
        </w:rPr>
        <w:t>633 A.2d 1325; 1328 n. 11 (</w:t>
      </w:r>
      <w:r w:rsidR="00C762F4" w:rsidRPr="007B3469">
        <w:rPr>
          <w:spacing w:val="-3"/>
          <w:sz w:val="26"/>
          <w:szCs w:val="26"/>
        </w:rPr>
        <w:t xml:space="preserve">Pa.Cmwlth. </w:t>
      </w:r>
      <w:r w:rsidRPr="007B3469">
        <w:rPr>
          <w:spacing w:val="-3"/>
          <w:sz w:val="26"/>
          <w:szCs w:val="26"/>
        </w:rPr>
        <w:t xml:space="preserve">1993).  The burden of persuasion, usually placed </w:t>
      </w:r>
      <w:r w:rsidRPr="007B3469">
        <w:rPr>
          <w:spacing w:val="-3"/>
          <w:sz w:val="26"/>
          <w:szCs w:val="26"/>
        </w:rPr>
        <w:lastRenderedPageBreak/>
        <w:t>on the complainant, applicant, or petitioner</w:t>
      </w:r>
      <w:r w:rsidR="00646058">
        <w:rPr>
          <w:spacing w:val="-3"/>
          <w:sz w:val="26"/>
          <w:szCs w:val="26"/>
        </w:rPr>
        <w:t>,</w:t>
      </w:r>
      <w:r w:rsidRPr="007B3469">
        <w:rPr>
          <w:rStyle w:val="FootnoteReference"/>
          <w:spacing w:val="-3"/>
          <w:sz w:val="26"/>
          <w:szCs w:val="26"/>
        </w:rPr>
        <w:footnoteReference w:id="4"/>
      </w:r>
      <w:r w:rsidRPr="007B3469">
        <w:rPr>
          <w:spacing w:val="-3"/>
          <w:sz w:val="26"/>
          <w:szCs w:val="26"/>
        </w:rPr>
        <w:t xml:space="preserve"> determines which party must produce sufficient evidence to meet the applicable standard of proof.  </w:t>
      </w:r>
      <w:r w:rsidRPr="007B3469">
        <w:rPr>
          <w:i/>
          <w:spacing w:val="-3"/>
          <w:sz w:val="26"/>
          <w:szCs w:val="26"/>
        </w:rPr>
        <w:t>Hurley v. Hurley</w:t>
      </w:r>
      <w:r w:rsidRPr="007B3469">
        <w:rPr>
          <w:spacing w:val="-3"/>
          <w:sz w:val="26"/>
          <w:szCs w:val="26"/>
        </w:rPr>
        <w:t xml:space="preserve">, </w:t>
      </w:r>
      <w:r w:rsidR="00C762F4">
        <w:rPr>
          <w:i/>
          <w:spacing w:val="-3"/>
          <w:sz w:val="26"/>
          <w:szCs w:val="26"/>
        </w:rPr>
        <w:t>supra.</w:t>
      </w:r>
      <w:r w:rsidRPr="007B3469">
        <w:rPr>
          <w:spacing w:val="-3"/>
          <w:sz w:val="26"/>
          <w:szCs w:val="26"/>
        </w:rPr>
        <w:t xml:space="preserve">  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Pr="007B3469">
        <w:rPr>
          <w:i/>
          <w:spacing w:val="-3"/>
          <w:sz w:val="26"/>
          <w:szCs w:val="26"/>
        </w:rPr>
        <w:t>Suber v. Pa. Comm</w:t>
      </w:r>
      <w:r w:rsidR="000964BB">
        <w:rPr>
          <w:i/>
          <w:spacing w:val="-3"/>
          <w:sz w:val="26"/>
          <w:szCs w:val="26"/>
        </w:rPr>
        <w:t>’</w:t>
      </w:r>
      <w:r w:rsidRPr="007B3469">
        <w:rPr>
          <w:i/>
          <w:spacing w:val="-3"/>
          <w:sz w:val="26"/>
          <w:szCs w:val="26"/>
        </w:rPr>
        <w:t>n on Crime and Delinquency</w:t>
      </w:r>
      <w:r w:rsidRPr="007B3469">
        <w:rPr>
          <w:spacing w:val="-3"/>
          <w:sz w:val="26"/>
          <w:szCs w:val="26"/>
        </w:rPr>
        <w:t>, 885 A.2d 678 (Pa.Cmwlth. 2005), app. denied, 586 Pa. 776, 895 A.2d 1264 (2006).  In order to bear the burden of proof and be entitled to a decision in his favor, a party must bear both the burden of production and the burden of persuasion.</w:t>
      </w:r>
    </w:p>
    <w:p w:rsidR="00061753" w:rsidRDefault="00061753">
      <w:pPr>
        <w:autoSpaceDE/>
        <w:autoSpaceDN/>
        <w:jc w:val="center"/>
        <w:rPr>
          <w:szCs w:val="24"/>
        </w:rPr>
      </w:pPr>
    </w:p>
    <w:p w:rsidR="00904A94" w:rsidRPr="007B3469" w:rsidRDefault="007B3469" w:rsidP="000E373F">
      <w:pPr>
        <w:rPr>
          <w:sz w:val="26"/>
          <w:szCs w:val="26"/>
        </w:rPr>
      </w:pPr>
      <w:r>
        <w:rPr>
          <w:szCs w:val="24"/>
        </w:rPr>
        <w:tab/>
      </w:r>
      <w:r w:rsidR="008A2A11" w:rsidRPr="007C4E34">
        <w:rPr>
          <w:szCs w:val="24"/>
        </w:rPr>
        <w:tab/>
      </w:r>
      <w:r w:rsidR="00864258">
        <w:rPr>
          <w:sz w:val="26"/>
          <w:szCs w:val="26"/>
        </w:rPr>
        <w:t>T</w:t>
      </w:r>
      <w:r w:rsidR="008A2A11" w:rsidRPr="007B3469">
        <w:rPr>
          <w:sz w:val="26"/>
          <w:szCs w:val="26"/>
        </w:rPr>
        <w:t xml:space="preserve">he proponent, or utility, </w:t>
      </w:r>
      <w:r w:rsidR="00864258">
        <w:rPr>
          <w:sz w:val="26"/>
          <w:szCs w:val="26"/>
        </w:rPr>
        <w:t>that</w:t>
      </w:r>
      <w:r w:rsidR="008A2A11" w:rsidRPr="007B3469">
        <w:rPr>
          <w:sz w:val="26"/>
          <w:szCs w:val="26"/>
        </w:rPr>
        <w:t xml:space="preserve"> seeks to implement a tariff </w:t>
      </w:r>
      <w:r w:rsidR="00864258">
        <w:rPr>
          <w:sz w:val="26"/>
          <w:szCs w:val="26"/>
        </w:rPr>
        <w:t>that</w:t>
      </w:r>
      <w:r w:rsidR="008A2A11" w:rsidRPr="007B3469">
        <w:rPr>
          <w:sz w:val="26"/>
          <w:szCs w:val="26"/>
        </w:rPr>
        <w:t xml:space="preserve"> has not been </w:t>
      </w:r>
      <w:r w:rsidR="007D5345" w:rsidRPr="007B3469">
        <w:rPr>
          <w:sz w:val="26"/>
          <w:szCs w:val="26"/>
        </w:rPr>
        <w:t>approved,</w:t>
      </w:r>
      <w:r w:rsidR="008A2A11" w:rsidRPr="007B3469">
        <w:rPr>
          <w:sz w:val="26"/>
          <w:szCs w:val="26"/>
        </w:rPr>
        <w:t xml:space="preserve"> is responsible for sustaining the burden of proof.  Here, the Company admits its burden and contends that it has carried it.</w:t>
      </w:r>
    </w:p>
    <w:p w:rsidR="007C4E34" w:rsidRPr="007B3469" w:rsidRDefault="007C4E34" w:rsidP="000E373F">
      <w:pPr>
        <w:rPr>
          <w:b/>
          <w:sz w:val="26"/>
          <w:szCs w:val="26"/>
        </w:rPr>
      </w:pPr>
    </w:p>
    <w:p w:rsidR="00360427" w:rsidRPr="000A4460" w:rsidRDefault="00496768" w:rsidP="00D81F98">
      <w:pPr>
        <w:pStyle w:val="Heading2"/>
      </w:pPr>
      <w:bookmarkStart w:id="11" w:name="_Toc329245846"/>
      <w:bookmarkStart w:id="12" w:name="_Toc329688383"/>
      <w:r w:rsidRPr="000A4460">
        <w:t>B</w:t>
      </w:r>
      <w:r w:rsidR="007B3469" w:rsidRPr="000A4460">
        <w:t>.</w:t>
      </w:r>
      <w:r w:rsidR="007B3469" w:rsidRPr="000A4460">
        <w:tab/>
        <w:t>Introduction</w:t>
      </w:r>
      <w:bookmarkEnd w:id="11"/>
      <w:bookmarkEnd w:id="12"/>
      <w:r w:rsidR="00E77EC5" w:rsidRPr="000A4460">
        <w:fldChar w:fldCharType="begin"/>
      </w:r>
      <w:r w:rsidR="00E77EC5" w:rsidRPr="000A4460">
        <w:instrText xml:space="preserve"> TC "</w:instrText>
      </w:r>
      <w:bookmarkStart w:id="13" w:name="_Toc329245152"/>
      <w:r w:rsidR="00E77EC5" w:rsidRPr="000A4460">
        <w:instrText>B.</w:instrText>
      </w:r>
      <w:r w:rsidR="00E77EC5" w:rsidRPr="000A4460">
        <w:tab/>
        <w:instrText>Events leading up to this Petition</w:instrText>
      </w:r>
      <w:bookmarkEnd w:id="13"/>
      <w:r w:rsidR="00E77EC5" w:rsidRPr="000A4460">
        <w:instrText xml:space="preserve">" \f C \l "2" </w:instrText>
      </w:r>
      <w:r w:rsidR="00E77EC5" w:rsidRPr="000A4460">
        <w:fldChar w:fldCharType="end"/>
      </w:r>
    </w:p>
    <w:p w:rsidR="00360427" w:rsidRPr="000A4460" w:rsidRDefault="00360427" w:rsidP="000E373F">
      <w:pPr>
        <w:rPr>
          <w:b/>
          <w:sz w:val="26"/>
          <w:szCs w:val="26"/>
        </w:rPr>
      </w:pPr>
    </w:p>
    <w:p w:rsidR="00360427" w:rsidRPr="000A4460" w:rsidRDefault="00360427" w:rsidP="00360427">
      <w:pPr>
        <w:rPr>
          <w:sz w:val="26"/>
          <w:szCs w:val="26"/>
        </w:rPr>
      </w:pPr>
      <w:r w:rsidRPr="000A4460">
        <w:rPr>
          <w:b/>
          <w:sz w:val="26"/>
          <w:szCs w:val="26"/>
        </w:rPr>
        <w:tab/>
      </w:r>
      <w:r w:rsidRPr="000A4460">
        <w:rPr>
          <w:b/>
          <w:sz w:val="26"/>
          <w:szCs w:val="26"/>
        </w:rPr>
        <w:tab/>
      </w:r>
      <w:r w:rsidR="007B3469" w:rsidRPr="000A4460">
        <w:rPr>
          <w:sz w:val="26"/>
          <w:szCs w:val="26"/>
        </w:rPr>
        <w:t>In order to</w:t>
      </w:r>
      <w:r w:rsidRPr="000A4460">
        <w:rPr>
          <w:sz w:val="26"/>
          <w:szCs w:val="26"/>
        </w:rPr>
        <w:t xml:space="preserve"> understand the claimed need for the mechanisms proposed here</w:t>
      </w:r>
      <w:r w:rsidR="007B3469" w:rsidRPr="000A4460">
        <w:rPr>
          <w:sz w:val="26"/>
          <w:szCs w:val="26"/>
        </w:rPr>
        <w:t xml:space="preserve"> by PPL</w:t>
      </w:r>
      <w:r w:rsidRPr="000A4460">
        <w:rPr>
          <w:sz w:val="26"/>
          <w:szCs w:val="26"/>
        </w:rPr>
        <w:t xml:space="preserve">, </w:t>
      </w:r>
      <w:r w:rsidR="007B3469" w:rsidRPr="000A4460">
        <w:rPr>
          <w:sz w:val="26"/>
          <w:szCs w:val="26"/>
        </w:rPr>
        <w:t xml:space="preserve">it is important to know </w:t>
      </w:r>
      <w:r w:rsidRPr="000A4460">
        <w:rPr>
          <w:sz w:val="26"/>
          <w:szCs w:val="26"/>
        </w:rPr>
        <w:t xml:space="preserve">the events leading to this filing.  </w:t>
      </w:r>
      <w:r w:rsidR="007B3469" w:rsidRPr="000A4460">
        <w:rPr>
          <w:sz w:val="26"/>
          <w:szCs w:val="26"/>
        </w:rPr>
        <w:t xml:space="preserve">On August 2, 2006, PPL </w:t>
      </w:r>
      <w:r w:rsidRPr="000A4460">
        <w:rPr>
          <w:sz w:val="26"/>
          <w:szCs w:val="26"/>
        </w:rPr>
        <w:t>filed its Petition for Approval of a Competitive Bridge Plan (</w:t>
      </w:r>
      <w:r w:rsidR="000964BB">
        <w:rPr>
          <w:sz w:val="26"/>
          <w:szCs w:val="26"/>
        </w:rPr>
        <w:t>“</w:t>
      </w:r>
      <w:r w:rsidRPr="000A4460">
        <w:rPr>
          <w:sz w:val="26"/>
          <w:szCs w:val="26"/>
        </w:rPr>
        <w:t>CBP</w:t>
      </w:r>
      <w:r w:rsidR="000964BB">
        <w:rPr>
          <w:sz w:val="26"/>
          <w:szCs w:val="26"/>
        </w:rPr>
        <w:t>”</w:t>
      </w:r>
      <w:r w:rsidRPr="000A4460">
        <w:rPr>
          <w:sz w:val="26"/>
          <w:szCs w:val="26"/>
        </w:rPr>
        <w:t>) to establish terms and conditions under which the Company</w:t>
      </w:r>
      <w:r w:rsidR="000A4460" w:rsidRPr="000A4460">
        <w:rPr>
          <w:sz w:val="26"/>
          <w:szCs w:val="26"/>
        </w:rPr>
        <w:t xml:space="preserve"> would provide Default Service, </w:t>
      </w:r>
      <w:r w:rsidR="00864258">
        <w:rPr>
          <w:sz w:val="26"/>
          <w:szCs w:val="26"/>
        </w:rPr>
        <w:t>or Provider of Last Resort S</w:t>
      </w:r>
      <w:r w:rsidRPr="000A4460">
        <w:rPr>
          <w:sz w:val="26"/>
          <w:szCs w:val="26"/>
        </w:rPr>
        <w:t>ervice</w:t>
      </w:r>
      <w:r w:rsidR="000A4460" w:rsidRPr="000A4460">
        <w:rPr>
          <w:sz w:val="26"/>
          <w:szCs w:val="26"/>
        </w:rPr>
        <w:t>,</w:t>
      </w:r>
      <w:r w:rsidRPr="000A4460">
        <w:rPr>
          <w:sz w:val="26"/>
          <w:szCs w:val="26"/>
        </w:rPr>
        <w:t xml:space="preserve"> during calendar year 2010, as a transition to a fully competitive market beginning January 1, 2011.  </w:t>
      </w:r>
      <w:r w:rsidR="00864258" w:rsidRPr="00864258">
        <w:rPr>
          <w:i/>
          <w:sz w:val="26"/>
          <w:szCs w:val="26"/>
        </w:rPr>
        <w:t>Petition of PPL Electric Utilities Corporation for Approval of a Competitive Bridge Plan</w:t>
      </w:r>
      <w:r w:rsidR="00864258">
        <w:rPr>
          <w:sz w:val="26"/>
          <w:szCs w:val="26"/>
        </w:rPr>
        <w:t xml:space="preserve">, </w:t>
      </w:r>
      <w:r w:rsidR="00E20C05" w:rsidRPr="000A4460">
        <w:rPr>
          <w:sz w:val="26"/>
          <w:szCs w:val="26"/>
        </w:rPr>
        <w:t>Doc</w:t>
      </w:r>
      <w:r w:rsidR="00864258">
        <w:rPr>
          <w:sz w:val="26"/>
          <w:szCs w:val="26"/>
        </w:rPr>
        <w:t>ket No. P-0006</w:t>
      </w:r>
      <w:r w:rsidR="00A102A5">
        <w:rPr>
          <w:sz w:val="26"/>
          <w:szCs w:val="26"/>
        </w:rPr>
        <w:t>222</w:t>
      </w:r>
      <w:r w:rsidR="00864258">
        <w:rPr>
          <w:sz w:val="26"/>
          <w:szCs w:val="26"/>
        </w:rPr>
        <w:t>7 (</w:t>
      </w:r>
      <w:r w:rsidR="00E20C05" w:rsidRPr="000A4460">
        <w:rPr>
          <w:sz w:val="26"/>
          <w:szCs w:val="26"/>
        </w:rPr>
        <w:t>Order entered May 17, 2007)</w:t>
      </w:r>
      <w:r w:rsidR="00864258">
        <w:rPr>
          <w:sz w:val="26"/>
          <w:szCs w:val="26"/>
        </w:rPr>
        <w:t>(</w:t>
      </w:r>
      <w:r w:rsidR="00864258">
        <w:rPr>
          <w:i/>
          <w:sz w:val="26"/>
          <w:szCs w:val="26"/>
        </w:rPr>
        <w:t>Competitive Bridge Plan Order)</w:t>
      </w:r>
      <w:r w:rsidR="00E20C05" w:rsidRPr="000A4460">
        <w:rPr>
          <w:sz w:val="26"/>
          <w:szCs w:val="26"/>
        </w:rPr>
        <w:t>.</w:t>
      </w:r>
      <w:r w:rsidR="00AE03D1">
        <w:rPr>
          <w:sz w:val="26"/>
          <w:szCs w:val="26"/>
        </w:rPr>
        <w:t xml:space="preserve">  PPL St. No. 1 at 9.</w:t>
      </w:r>
    </w:p>
    <w:p w:rsidR="00E20C05" w:rsidRPr="007C4E34" w:rsidRDefault="00E20C05" w:rsidP="00360427">
      <w:pPr>
        <w:rPr>
          <w:szCs w:val="24"/>
        </w:rPr>
      </w:pPr>
    </w:p>
    <w:p w:rsidR="00360427" w:rsidRPr="00AE03D1" w:rsidRDefault="00360427" w:rsidP="00360427">
      <w:pPr>
        <w:rPr>
          <w:i/>
          <w:sz w:val="26"/>
          <w:szCs w:val="26"/>
        </w:rPr>
      </w:pPr>
      <w:r w:rsidRPr="007C4E34">
        <w:rPr>
          <w:szCs w:val="24"/>
        </w:rPr>
        <w:tab/>
      </w:r>
      <w:r w:rsidRPr="007C4E34">
        <w:rPr>
          <w:szCs w:val="24"/>
        </w:rPr>
        <w:tab/>
      </w:r>
      <w:r w:rsidRPr="000A4460">
        <w:rPr>
          <w:sz w:val="26"/>
          <w:szCs w:val="26"/>
        </w:rPr>
        <w:t>A</w:t>
      </w:r>
      <w:r w:rsidR="000A4460">
        <w:rPr>
          <w:sz w:val="26"/>
          <w:szCs w:val="26"/>
        </w:rPr>
        <w:t xml:space="preserve">s part of the CBP, PPL </w:t>
      </w:r>
      <w:r w:rsidRPr="000A4460">
        <w:rPr>
          <w:sz w:val="26"/>
          <w:szCs w:val="26"/>
        </w:rPr>
        <w:t>implement</w:t>
      </w:r>
      <w:r w:rsidR="001A69B1" w:rsidRPr="000A4460">
        <w:rPr>
          <w:sz w:val="26"/>
          <w:szCs w:val="26"/>
        </w:rPr>
        <w:t>ed</w:t>
      </w:r>
      <w:r w:rsidRPr="000A4460">
        <w:rPr>
          <w:sz w:val="26"/>
          <w:szCs w:val="26"/>
        </w:rPr>
        <w:t xml:space="preserve"> a new rate rider, the GSC</w:t>
      </w:r>
      <w:r w:rsidR="001A69B1" w:rsidRPr="000A4460">
        <w:rPr>
          <w:sz w:val="26"/>
          <w:szCs w:val="26"/>
        </w:rPr>
        <w:t xml:space="preserve">, an </w:t>
      </w:r>
      <w:r w:rsidRPr="000A4460">
        <w:rPr>
          <w:sz w:val="26"/>
          <w:szCs w:val="26"/>
        </w:rPr>
        <w:t xml:space="preserve">automatic cost recovery mechanism </w:t>
      </w:r>
      <w:r w:rsidR="00A102A5">
        <w:rPr>
          <w:sz w:val="26"/>
          <w:szCs w:val="26"/>
        </w:rPr>
        <w:t xml:space="preserve">under Section 1307(e) of the Public Utility Code </w:t>
      </w:r>
      <w:r w:rsidR="00A102A5">
        <w:rPr>
          <w:sz w:val="26"/>
          <w:szCs w:val="26"/>
        </w:rPr>
        <w:lastRenderedPageBreak/>
        <w:t xml:space="preserve">(Code), 66 Pa. C.S. § 1307(e), </w:t>
      </w:r>
      <w:r w:rsidRPr="000A4460">
        <w:rPr>
          <w:sz w:val="26"/>
          <w:szCs w:val="26"/>
        </w:rPr>
        <w:t>that provided for annual reconciliation of any over or under collection of the Company</w:t>
      </w:r>
      <w:r w:rsidR="000964BB">
        <w:rPr>
          <w:sz w:val="26"/>
          <w:szCs w:val="26"/>
        </w:rPr>
        <w:t>’</w:t>
      </w:r>
      <w:r w:rsidRPr="000A4460">
        <w:rPr>
          <w:sz w:val="26"/>
          <w:szCs w:val="26"/>
        </w:rPr>
        <w:t>s actual costs incurred to acquire generation supply on behalf of each of three Customer Classes</w:t>
      </w:r>
      <w:r w:rsidR="000A4460">
        <w:rPr>
          <w:sz w:val="26"/>
          <w:szCs w:val="26"/>
        </w:rPr>
        <w:t>:</w:t>
      </w:r>
      <w:r w:rsidR="00153CF7">
        <w:rPr>
          <w:sz w:val="26"/>
          <w:szCs w:val="26"/>
        </w:rPr>
        <w:t xml:space="preserve"> Residential, </w:t>
      </w:r>
      <w:r w:rsidRPr="000A4460">
        <w:rPr>
          <w:sz w:val="26"/>
          <w:szCs w:val="26"/>
        </w:rPr>
        <w:t xml:space="preserve">Small C&amp;I and Large C&amp;I.  In its </w:t>
      </w:r>
      <w:r w:rsidR="000A4460">
        <w:rPr>
          <w:sz w:val="26"/>
          <w:szCs w:val="26"/>
        </w:rPr>
        <w:t xml:space="preserve">compliance filing, PPL </w:t>
      </w:r>
      <w:r w:rsidRPr="000A4460">
        <w:rPr>
          <w:sz w:val="26"/>
          <w:szCs w:val="26"/>
        </w:rPr>
        <w:t>submitted the approved GSC tariff rider, which provided for the GSC to be re-calculated and reconciled on a quarterly basis pursuant to the Commission</w:t>
      </w:r>
      <w:r w:rsidR="000964BB">
        <w:rPr>
          <w:sz w:val="26"/>
          <w:szCs w:val="26"/>
        </w:rPr>
        <w:t>’</w:t>
      </w:r>
      <w:r w:rsidRPr="000A4460">
        <w:rPr>
          <w:sz w:val="26"/>
          <w:szCs w:val="26"/>
        </w:rPr>
        <w:t xml:space="preserve">s Order, to become effective for service rendered on and after January 1, 2010.  </w:t>
      </w:r>
      <w:r w:rsidR="00AE03D1">
        <w:rPr>
          <w:i/>
          <w:sz w:val="26"/>
          <w:szCs w:val="26"/>
        </w:rPr>
        <w:t>Id.</w:t>
      </w:r>
    </w:p>
    <w:p w:rsidR="00360427" w:rsidRPr="007C4E34" w:rsidRDefault="00360427" w:rsidP="00360427">
      <w:pPr>
        <w:rPr>
          <w:szCs w:val="24"/>
        </w:rPr>
      </w:pPr>
    </w:p>
    <w:p w:rsidR="00360427" w:rsidRPr="00DD5A94" w:rsidRDefault="00360427" w:rsidP="00360427">
      <w:pPr>
        <w:rPr>
          <w:sz w:val="26"/>
          <w:szCs w:val="26"/>
        </w:rPr>
      </w:pPr>
      <w:r w:rsidRPr="007C4E34">
        <w:rPr>
          <w:szCs w:val="24"/>
        </w:rPr>
        <w:tab/>
      </w:r>
      <w:r w:rsidRPr="007C4E34">
        <w:rPr>
          <w:szCs w:val="24"/>
        </w:rPr>
        <w:tab/>
      </w:r>
      <w:r w:rsidRPr="00DD5A94">
        <w:rPr>
          <w:sz w:val="26"/>
          <w:szCs w:val="26"/>
        </w:rPr>
        <w:t>O</w:t>
      </w:r>
      <w:r w:rsidR="00DD5A94" w:rsidRPr="00DD5A94">
        <w:rPr>
          <w:sz w:val="26"/>
          <w:szCs w:val="26"/>
        </w:rPr>
        <w:t xml:space="preserve">n August 28, 2008, PPL </w:t>
      </w:r>
      <w:r w:rsidRPr="00DD5A94">
        <w:rPr>
          <w:sz w:val="26"/>
          <w:szCs w:val="26"/>
        </w:rPr>
        <w:t>filed with the Commission its Petition for Approval of a Default Service Program and Procurement Plan for the period January 1, 2011</w:t>
      </w:r>
      <w:r w:rsidR="00DD5A94" w:rsidRPr="00DD5A94">
        <w:rPr>
          <w:sz w:val="26"/>
          <w:szCs w:val="26"/>
        </w:rPr>
        <w:t>,</w:t>
      </w:r>
      <w:r w:rsidR="005B3703">
        <w:rPr>
          <w:sz w:val="26"/>
          <w:szCs w:val="26"/>
        </w:rPr>
        <w:t xml:space="preserve"> through May 31, 2013 (</w:t>
      </w:r>
      <w:r w:rsidRPr="00DD5A94">
        <w:rPr>
          <w:sz w:val="26"/>
          <w:szCs w:val="26"/>
        </w:rPr>
        <w:t>DSP</w:t>
      </w:r>
      <w:r w:rsidR="005B3703">
        <w:rPr>
          <w:sz w:val="26"/>
          <w:szCs w:val="26"/>
        </w:rPr>
        <w:t xml:space="preserve"> </w:t>
      </w:r>
      <w:r w:rsidRPr="00DD5A94">
        <w:rPr>
          <w:sz w:val="26"/>
          <w:szCs w:val="26"/>
        </w:rPr>
        <w:t>P</w:t>
      </w:r>
      <w:r w:rsidR="005B3703">
        <w:rPr>
          <w:sz w:val="26"/>
          <w:szCs w:val="26"/>
        </w:rPr>
        <w:t>lan</w:t>
      </w:r>
      <w:r w:rsidRPr="00DD5A94">
        <w:rPr>
          <w:sz w:val="26"/>
          <w:szCs w:val="26"/>
        </w:rPr>
        <w:t>).</w:t>
      </w:r>
      <w:r w:rsidR="00DD5A94" w:rsidRPr="00DD5A94">
        <w:rPr>
          <w:sz w:val="26"/>
          <w:szCs w:val="26"/>
        </w:rPr>
        <w:t xml:space="preserve">  In its Petition, PPL </w:t>
      </w:r>
      <w:r w:rsidRPr="00DD5A94">
        <w:rPr>
          <w:sz w:val="26"/>
          <w:szCs w:val="26"/>
        </w:rPr>
        <w:t>proposed to implement a new rate rider, the GSC-1, which would replace the GSC for the Residential and Small C&amp;I Customer Classes, beginning January 1, 2011.  The GSC-1 is an automatic Section 1307(e) cost recovery mechanism that provides for quarterly re-calculation of the GSC-1 rates and quarterly reconciliation of any over or under collection of the Company</w:t>
      </w:r>
      <w:r w:rsidR="000964BB">
        <w:rPr>
          <w:sz w:val="26"/>
          <w:szCs w:val="26"/>
        </w:rPr>
        <w:t>’</w:t>
      </w:r>
      <w:r w:rsidRPr="00DD5A94">
        <w:rPr>
          <w:sz w:val="26"/>
          <w:szCs w:val="26"/>
        </w:rPr>
        <w:t xml:space="preserve">s actual costs incurred to acquire generation supply on behalf of the Residential and Small C&amp;I Customer Classes. </w:t>
      </w:r>
      <w:r w:rsidR="00646058">
        <w:rPr>
          <w:sz w:val="26"/>
          <w:szCs w:val="26"/>
        </w:rPr>
        <w:t xml:space="preserve"> </w:t>
      </w:r>
      <w:r w:rsidRPr="00DD5A94">
        <w:rPr>
          <w:sz w:val="26"/>
          <w:szCs w:val="26"/>
        </w:rPr>
        <w:t xml:space="preserve">The Commission approved the Joint Petition for Settlement </w:t>
      </w:r>
      <w:r w:rsidR="00D24E24">
        <w:rPr>
          <w:sz w:val="26"/>
          <w:szCs w:val="26"/>
        </w:rPr>
        <w:t>of</w:t>
      </w:r>
      <w:r w:rsidRPr="00DD5A94">
        <w:rPr>
          <w:sz w:val="26"/>
          <w:szCs w:val="26"/>
        </w:rPr>
        <w:t xml:space="preserve"> </w:t>
      </w:r>
      <w:r w:rsidR="00D24E24">
        <w:rPr>
          <w:sz w:val="26"/>
          <w:szCs w:val="26"/>
        </w:rPr>
        <w:t xml:space="preserve">this proceeding: </w:t>
      </w:r>
      <w:r w:rsidR="00D24E24">
        <w:rPr>
          <w:i/>
          <w:sz w:val="26"/>
          <w:szCs w:val="26"/>
        </w:rPr>
        <w:t xml:space="preserve">Petition of PPL Electric Utilities Corp. for Approval of a Default Service Program and Procurement Plan for the period January 1, 2011 Through May 31, 2014, </w:t>
      </w:r>
      <w:r w:rsidRPr="00DD5A94">
        <w:rPr>
          <w:sz w:val="26"/>
          <w:szCs w:val="26"/>
        </w:rPr>
        <w:t>Docket No. P-2008-2060309</w:t>
      </w:r>
      <w:r w:rsidR="00D24E24">
        <w:rPr>
          <w:sz w:val="26"/>
          <w:szCs w:val="26"/>
        </w:rPr>
        <w:t xml:space="preserve"> (Order Entered June 30, 2009)(</w:t>
      </w:r>
      <w:r w:rsidR="00D24E24" w:rsidRPr="00D24E24">
        <w:rPr>
          <w:i/>
          <w:sz w:val="26"/>
          <w:szCs w:val="26"/>
        </w:rPr>
        <w:t>PPL 2009 DSP Order</w:t>
      </w:r>
      <w:r w:rsidR="00D24E24">
        <w:rPr>
          <w:sz w:val="26"/>
          <w:szCs w:val="26"/>
        </w:rPr>
        <w:t>)</w:t>
      </w:r>
      <w:r w:rsidRPr="00DD5A94">
        <w:rPr>
          <w:sz w:val="26"/>
          <w:szCs w:val="26"/>
        </w:rPr>
        <w:t xml:space="preserve">.  </w:t>
      </w:r>
      <w:r w:rsidR="005B3703">
        <w:rPr>
          <w:sz w:val="26"/>
          <w:szCs w:val="26"/>
        </w:rPr>
        <w:t>PPL M.B. at 9.</w:t>
      </w:r>
    </w:p>
    <w:p w:rsidR="00360427" w:rsidRPr="007C4E34" w:rsidRDefault="00360427" w:rsidP="00360427">
      <w:pPr>
        <w:rPr>
          <w:szCs w:val="24"/>
        </w:rPr>
      </w:pPr>
    </w:p>
    <w:p w:rsidR="00360427" w:rsidRPr="005B3703" w:rsidRDefault="00360427" w:rsidP="00360427">
      <w:pPr>
        <w:rPr>
          <w:sz w:val="26"/>
          <w:szCs w:val="26"/>
        </w:rPr>
      </w:pPr>
      <w:r w:rsidRPr="007C4E34">
        <w:rPr>
          <w:szCs w:val="24"/>
        </w:rPr>
        <w:tab/>
      </w:r>
      <w:r w:rsidRPr="007C4E34">
        <w:rPr>
          <w:szCs w:val="24"/>
        </w:rPr>
        <w:tab/>
      </w:r>
      <w:r w:rsidR="00DD5A94">
        <w:rPr>
          <w:sz w:val="26"/>
          <w:szCs w:val="26"/>
        </w:rPr>
        <w:t>Pursuant to PPL</w:t>
      </w:r>
      <w:r w:rsidR="000964BB">
        <w:rPr>
          <w:sz w:val="26"/>
          <w:szCs w:val="26"/>
        </w:rPr>
        <w:t>’</w:t>
      </w:r>
      <w:r w:rsidRPr="00DD5A94">
        <w:rPr>
          <w:sz w:val="26"/>
          <w:szCs w:val="26"/>
        </w:rPr>
        <w:t>s tariff, the 2010 GSC rate reflected projected costs for 2010, divided by projected sales, with the resulting rate adjusted to reflect the gross receipts tax. A</w:t>
      </w:r>
      <w:r w:rsidR="00273D63">
        <w:rPr>
          <w:sz w:val="26"/>
          <w:szCs w:val="26"/>
        </w:rPr>
        <w:t xml:space="preserve">t the end of 2010, PPL </w:t>
      </w:r>
      <w:r w:rsidRPr="00DD5A94">
        <w:rPr>
          <w:sz w:val="26"/>
          <w:szCs w:val="26"/>
        </w:rPr>
        <w:t>performed a reconciliation of the 2010 GSC costs as compared to the Company</w:t>
      </w:r>
      <w:r w:rsidR="000964BB">
        <w:rPr>
          <w:sz w:val="26"/>
          <w:szCs w:val="26"/>
        </w:rPr>
        <w:t>’</w:t>
      </w:r>
      <w:r w:rsidRPr="00DD5A94">
        <w:rPr>
          <w:sz w:val="26"/>
          <w:szCs w:val="26"/>
        </w:rPr>
        <w:t xml:space="preserve">s actual billed revenues.  The actual billed revenues for January 2010 were prorated to eliminate the portion of those revenues for services rendered in December 2009.  </w:t>
      </w:r>
      <w:r w:rsidR="005B3703">
        <w:rPr>
          <w:i/>
          <w:sz w:val="26"/>
          <w:szCs w:val="26"/>
        </w:rPr>
        <w:t xml:space="preserve">Id. </w:t>
      </w:r>
      <w:r w:rsidR="005B3703">
        <w:rPr>
          <w:sz w:val="26"/>
          <w:szCs w:val="26"/>
        </w:rPr>
        <w:t>at 11.</w:t>
      </w:r>
    </w:p>
    <w:p w:rsidR="001A69B1" w:rsidRPr="007C4E34" w:rsidRDefault="001A69B1" w:rsidP="00360427">
      <w:pPr>
        <w:rPr>
          <w:szCs w:val="24"/>
        </w:rPr>
      </w:pPr>
    </w:p>
    <w:p w:rsidR="00360427" w:rsidRPr="00DD5A94" w:rsidRDefault="00360427" w:rsidP="00360427">
      <w:pPr>
        <w:rPr>
          <w:sz w:val="26"/>
          <w:szCs w:val="26"/>
        </w:rPr>
      </w:pPr>
      <w:r w:rsidRPr="007C4E34">
        <w:rPr>
          <w:szCs w:val="24"/>
        </w:rPr>
        <w:lastRenderedPageBreak/>
        <w:tab/>
      </w:r>
      <w:r w:rsidRPr="007C4E34">
        <w:rPr>
          <w:szCs w:val="24"/>
        </w:rPr>
        <w:tab/>
      </w:r>
      <w:r w:rsidRPr="00DD5A94">
        <w:rPr>
          <w:sz w:val="26"/>
          <w:szCs w:val="26"/>
        </w:rPr>
        <w:t xml:space="preserve">Due to the effects of accounting for </w:t>
      </w:r>
      <w:r w:rsidR="00D24E24">
        <w:rPr>
          <w:sz w:val="26"/>
          <w:szCs w:val="26"/>
        </w:rPr>
        <w:t xml:space="preserve">only </w:t>
      </w:r>
      <w:r w:rsidRPr="00DD5A94">
        <w:rPr>
          <w:sz w:val="26"/>
          <w:szCs w:val="26"/>
        </w:rPr>
        <w:t xml:space="preserve">11 ½ months of revenue </w:t>
      </w:r>
      <w:r w:rsidR="00D24E24">
        <w:rPr>
          <w:sz w:val="26"/>
          <w:szCs w:val="26"/>
        </w:rPr>
        <w:t xml:space="preserve">compared </w:t>
      </w:r>
      <w:r w:rsidRPr="00DD5A94">
        <w:rPr>
          <w:sz w:val="26"/>
          <w:szCs w:val="26"/>
        </w:rPr>
        <w:t>to 12 months of costs, the 1307(e) reconciliation mechanism produced an under</w:t>
      </w:r>
      <w:r w:rsidR="008A4795">
        <w:rPr>
          <w:sz w:val="26"/>
          <w:szCs w:val="26"/>
        </w:rPr>
        <w:t xml:space="preserve"> </w:t>
      </w:r>
      <w:r w:rsidRPr="00DD5A94">
        <w:rPr>
          <w:sz w:val="26"/>
          <w:szCs w:val="26"/>
        </w:rPr>
        <w:t>collection of the Company</w:t>
      </w:r>
      <w:r w:rsidR="000964BB">
        <w:rPr>
          <w:sz w:val="26"/>
          <w:szCs w:val="26"/>
        </w:rPr>
        <w:t>’</w:t>
      </w:r>
      <w:r w:rsidRPr="00DD5A94">
        <w:rPr>
          <w:sz w:val="26"/>
          <w:szCs w:val="26"/>
        </w:rPr>
        <w:t>s costs.  A portion of the 2010 under</w:t>
      </w:r>
      <w:r w:rsidR="008A4795">
        <w:rPr>
          <w:sz w:val="26"/>
          <w:szCs w:val="26"/>
        </w:rPr>
        <w:t xml:space="preserve"> </w:t>
      </w:r>
      <w:r w:rsidRPr="00DD5A94">
        <w:rPr>
          <w:sz w:val="26"/>
          <w:szCs w:val="26"/>
        </w:rPr>
        <w:t>collection balance has been carried over to subsequent application periods.  As of August 31, 2011, the Company</w:t>
      </w:r>
      <w:r w:rsidR="000964BB">
        <w:rPr>
          <w:sz w:val="26"/>
          <w:szCs w:val="26"/>
        </w:rPr>
        <w:t>’</w:t>
      </w:r>
      <w:r w:rsidRPr="00DD5A94">
        <w:rPr>
          <w:sz w:val="26"/>
          <w:szCs w:val="26"/>
        </w:rPr>
        <w:t xml:space="preserve">s remaining </w:t>
      </w:r>
      <w:r w:rsidR="007D5345" w:rsidRPr="00DD5A94">
        <w:rPr>
          <w:sz w:val="26"/>
          <w:szCs w:val="26"/>
        </w:rPr>
        <w:t>under</w:t>
      </w:r>
      <w:r w:rsidR="008A4795">
        <w:rPr>
          <w:sz w:val="26"/>
          <w:szCs w:val="26"/>
        </w:rPr>
        <w:t xml:space="preserve"> </w:t>
      </w:r>
      <w:r w:rsidR="007D5345" w:rsidRPr="00DD5A94">
        <w:rPr>
          <w:sz w:val="26"/>
          <w:szCs w:val="26"/>
        </w:rPr>
        <w:t>collection</w:t>
      </w:r>
      <w:r w:rsidRPr="00DD5A94">
        <w:rPr>
          <w:sz w:val="26"/>
          <w:szCs w:val="26"/>
        </w:rPr>
        <w:t xml:space="preserve"> balance was </w:t>
      </w:r>
      <w:r w:rsidR="008A4795">
        <w:rPr>
          <w:sz w:val="26"/>
          <w:szCs w:val="26"/>
        </w:rPr>
        <w:t>approximately $1.4 million for S</w:t>
      </w:r>
      <w:r w:rsidRPr="00DD5A94">
        <w:rPr>
          <w:sz w:val="26"/>
          <w:szCs w:val="26"/>
        </w:rPr>
        <w:t xml:space="preserve">mall C&amp;I customers.  </w:t>
      </w:r>
    </w:p>
    <w:p w:rsidR="00360427" w:rsidRPr="007C4E34" w:rsidRDefault="00360427" w:rsidP="00360427">
      <w:pPr>
        <w:rPr>
          <w:szCs w:val="24"/>
        </w:rPr>
      </w:pPr>
    </w:p>
    <w:p w:rsidR="00360427" w:rsidRPr="00DD5A94" w:rsidRDefault="00360427" w:rsidP="00360427">
      <w:pPr>
        <w:rPr>
          <w:sz w:val="26"/>
          <w:szCs w:val="26"/>
        </w:rPr>
      </w:pPr>
      <w:r w:rsidRPr="007C4E34">
        <w:rPr>
          <w:szCs w:val="24"/>
        </w:rPr>
        <w:tab/>
      </w:r>
      <w:r w:rsidRPr="007C4E34">
        <w:rPr>
          <w:szCs w:val="24"/>
        </w:rPr>
        <w:tab/>
      </w:r>
      <w:r w:rsidRPr="00DD5A94">
        <w:rPr>
          <w:sz w:val="26"/>
          <w:szCs w:val="26"/>
        </w:rPr>
        <w:t xml:space="preserve">A Section 1307(e) cost recovery mechanism has two primary components.  The first, the C factor, is a projection of costs for the application period.  The second, the E factor, provides for the refund or recovery of prior period over/under collections.  </w:t>
      </w:r>
    </w:p>
    <w:p w:rsidR="00360427" w:rsidRPr="007C4E34" w:rsidRDefault="00360427" w:rsidP="00360427">
      <w:pPr>
        <w:rPr>
          <w:szCs w:val="24"/>
        </w:rPr>
      </w:pPr>
    </w:p>
    <w:p w:rsidR="00360427" w:rsidRPr="00DD5A94" w:rsidRDefault="00360427" w:rsidP="00360427">
      <w:pPr>
        <w:rPr>
          <w:sz w:val="26"/>
          <w:szCs w:val="26"/>
        </w:rPr>
      </w:pPr>
      <w:r w:rsidRPr="007C4E34">
        <w:rPr>
          <w:szCs w:val="24"/>
        </w:rPr>
        <w:tab/>
      </w:r>
      <w:r w:rsidRPr="007C4E34">
        <w:rPr>
          <w:szCs w:val="24"/>
        </w:rPr>
        <w:tab/>
      </w:r>
      <w:r w:rsidRPr="00DD5A94">
        <w:rPr>
          <w:sz w:val="26"/>
          <w:szCs w:val="26"/>
        </w:rPr>
        <w:t>All costs and revenues associated with service provided in a single application period cannot be included in that applicat</w:t>
      </w:r>
      <w:r w:rsidR="00273D63">
        <w:rPr>
          <w:sz w:val="26"/>
          <w:szCs w:val="26"/>
        </w:rPr>
        <w:t xml:space="preserve">ion period because PPL </w:t>
      </w:r>
      <w:r w:rsidRPr="00DD5A94">
        <w:rPr>
          <w:sz w:val="26"/>
          <w:szCs w:val="26"/>
        </w:rPr>
        <w:t xml:space="preserve">does not know the actual costs for that application period until at least two months after the costs are incurred.  </w:t>
      </w:r>
    </w:p>
    <w:p w:rsidR="00360427" w:rsidRPr="007C4E34" w:rsidRDefault="00360427" w:rsidP="00360427">
      <w:pPr>
        <w:rPr>
          <w:szCs w:val="24"/>
        </w:rPr>
      </w:pPr>
    </w:p>
    <w:p w:rsidR="00360427" w:rsidRPr="00DD5A94" w:rsidRDefault="00360427" w:rsidP="00360427">
      <w:pPr>
        <w:rPr>
          <w:sz w:val="26"/>
          <w:szCs w:val="26"/>
        </w:rPr>
      </w:pPr>
      <w:r w:rsidRPr="007C4E34">
        <w:rPr>
          <w:szCs w:val="24"/>
        </w:rPr>
        <w:tab/>
      </w:r>
      <w:r w:rsidRPr="007C4E34">
        <w:rPr>
          <w:szCs w:val="24"/>
        </w:rPr>
        <w:tab/>
      </w:r>
      <w:r w:rsidRPr="00DD5A94">
        <w:rPr>
          <w:sz w:val="26"/>
          <w:szCs w:val="26"/>
        </w:rPr>
        <w:t>When Com</w:t>
      </w:r>
      <w:r w:rsidR="00DD5A94" w:rsidRPr="00DD5A94">
        <w:rPr>
          <w:sz w:val="26"/>
          <w:szCs w:val="26"/>
        </w:rPr>
        <w:t>mission staff audits PPL</w:t>
      </w:r>
      <w:r w:rsidR="000964BB">
        <w:rPr>
          <w:sz w:val="26"/>
          <w:szCs w:val="26"/>
        </w:rPr>
        <w:t>’</w:t>
      </w:r>
      <w:r w:rsidRPr="00DD5A94">
        <w:rPr>
          <w:sz w:val="26"/>
          <w:szCs w:val="26"/>
        </w:rPr>
        <w:t>s Section 1307(e) cost recovery mechanisms, they compare actual billed revenue amounts with actual incurred costs for each application period.  The Company</w:t>
      </w:r>
      <w:r w:rsidR="000964BB">
        <w:rPr>
          <w:sz w:val="26"/>
          <w:szCs w:val="26"/>
        </w:rPr>
        <w:t>’</w:t>
      </w:r>
      <w:r w:rsidRPr="00DD5A94">
        <w:rPr>
          <w:sz w:val="26"/>
          <w:szCs w:val="26"/>
        </w:rPr>
        <w:t>s methodology of reconciling actual billed revenues with actual incurred costs is consistent with how the Commission</w:t>
      </w:r>
      <w:r w:rsidR="000964BB">
        <w:rPr>
          <w:sz w:val="26"/>
          <w:szCs w:val="26"/>
        </w:rPr>
        <w:t>’</w:t>
      </w:r>
      <w:r w:rsidRPr="00DD5A94">
        <w:rPr>
          <w:sz w:val="26"/>
          <w:szCs w:val="26"/>
        </w:rPr>
        <w:t xml:space="preserve">s staff audits the GSC-1.  The Commission does not consider unbilled revenues in the reconciliation of a Section 1307(e) cost recovery mechanism.  </w:t>
      </w:r>
    </w:p>
    <w:p w:rsidR="00360427" w:rsidRPr="007C4E34" w:rsidRDefault="00360427" w:rsidP="00360427">
      <w:pPr>
        <w:rPr>
          <w:szCs w:val="24"/>
        </w:rPr>
      </w:pPr>
    </w:p>
    <w:p w:rsidR="00360427" w:rsidRPr="00DD5A94" w:rsidRDefault="00360427" w:rsidP="00360427">
      <w:pPr>
        <w:rPr>
          <w:sz w:val="26"/>
          <w:szCs w:val="26"/>
        </w:rPr>
      </w:pPr>
      <w:r w:rsidRPr="007C4E34">
        <w:rPr>
          <w:szCs w:val="24"/>
        </w:rPr>
        <w:tab/>
      </w:r>
      <w:r w:rsidRPr="007C4E34">
        <w:rPr>
          <w:szCs w:val="24"/>
        </w:rPr>
        <w:tab/>
      </w:r>
      <w:r w:rsidR="00DD5A94" w:rsidRPr="00DD5A94">
        <w:rPr>
          <w:sz w:val="26"/>
          <w:szCs w:val="26"/>
        </w:rPr>
        <w:t xml:space="preserve">PPL </w:t>
      </w:r>
      <w:r w:rsidRPr="00DD5A94">
        <w:rPr>
          <w:sz w:val="26"/>
          <w:szCs w:val="26"/>
        </w:rPr>
        <w:t xml:space="preserve">proposed to reconcile default service costs on an annual basis under its GSC in its CBP Proceeding.  </w:t>
      </w:r>
      <w:r w:rsidR="008A4795">
        <w:rPr>
          <w:sz w:val="26"/>
          <w:szCs w:val="26"/>
        </w:rPr>
        <w:t>However, i</w:t>
      </w:r>
      <w:r w:rsidRPr="00DD5A94">
        <w:rPr>
          <w:sz w:val="26"/>
          <w:szCs w:val="26"/>
        </w:rPr>
        <w:t xml:space="preserve">n the CBP Order, the </w:t>
      </w:r>
      <w:r w:rsidR="00DD5A94">
        <w:rPr>
          <w:sz w:val="26"/>
          <w:szCs w:val="26"/>
        </w:rPr>
        <w:t>Commission required PPL</w:t>
      </w:r>
      <w:r w:rsidRPr="00DD5A94">
        <w:rPr>
          <w:sz w:val="26"/>
          <w:szCs w:val="26"/>
        </w:rPr>
        <w:t xml:space="preserve"> to reconcile default service costs quarterly, as opposed to annually.  </w:t>
      </w:r>
    </w:p>
    <w:p w:rsidR="00360427" w:rsidRPr="007C4E34" w:rsidRDefault="00360427" w:rsidP="00360427">
      <w:pPr>
        <w:rPr>
          <w:szCs w:val="24"/>
        </w:rPr>
      </w:pPr>
    </w:p>
    <w:p w:rsidR="00360427" w:rsidRPr="00DD5A94" w:rsidRDefault="00360427" w:rsidP="00360427">
      <w:pPr>
        <w:rPr>
          <w:sz w:val="26"/>
          <w:szCs w:val="26"/>
        </w:rPr>
      </w:pPr>
      <w:r w:rsidRPr="007C4E34">
        <w:rPr>
          <w:szCs w:val="24"/>
        </w:rPr>
        <w:lastRenderedPageBreak/>
        <w:tab/>
      </w:r>
      <w:r w:rsidRPr="007C4E34">
        <w:rPr>
          <w:szCs w:val="24"/>
        </w:rPr>
        <w:tab/>
      </w:r>
      <w:r w:rsidR="00DD5A94" w:rsidRPr="00DD5A94">
        <w:rPr>
          <w:sz w:val="26"/>
          <w:szCs w:val="26"/>
        </w:rPr>
        <w:t>PPL</w:t>
      </w:r>
      <w:r w:rsidR="000964BB">
        <w:rPr>
          <w:sz w:val="26"/>
          <w:szCs w:val="26"/>
        </w:rPr>
        <w:t>’</w:t>
      </w:r>
      <w:r w:rsidR="00DD5A94" w:rsidRPr="00DD5A94">
        <w:rPr>
          <w:sz w:val="26"/>
          <w:szCs w:val="26"/>
        </w:rPr>
        <w:t xml:space="preserve">s </w:t>
      </w:r>
      <w:r w:rsidR="008A4795">
        <w:rPr>
          <w:sz w:val="26"/>
          <w:szCs w:val="26"/>
        </w:rPr>
        <w:t>default service rates for S</w:t>
      </w:r>
      <w:r w:rsidRPr="00DD5A94">
        <w:rPr>
          <w:sz w:val="26"/>
          <w:szCs w:val="26"/>
        </w:rPr>
        <w:t xml:space="preserve">mall C&amp;I customers have stabilized as the Company has recovered </w:t>
      </w:r>
      <w:r w:rsidR="00356E05">
        <w:rPr>
          <w:sz w:val="26"/>
          <w:szCs w:val="26"/>
        </w:rPr>
        <w:t>it</w:t>
      </w:r>
      <w:r w:rsidR="007D5345" w:rsidRPr="00DD5A94">
        <w:rPr>
          <w:sz w:val="26"/>
          <w:szCs w:val="26"/>
        </w:rPr>
        <w:t>s</w:t>
      </w:r>
      <w:r w:rsidRPr="00DD5A94">
        <w:rPr>
          <w:sz w:val="26"/>
          <w:szCs w:val="26"/>
        </w:rPr>
        <w:t xml:space="preserve"> under</w:t>
      </w:r>
      <w:r w:rsidR="008A4795">
        <w:rPr>
          <w:sz w:val="26"/>
          <w:szCs w:val="26"/>
        </w:rPr>
        <w:t xml:space="preserve"> </w:t>
      </w:r>
      <w:r w:rsidRPr="00DD5A94">
        <w:rPr>
          <w:sz w:val="26"/>
          <w:szCs w:val="26"/>
        </w:rPr>
        <w:t>collections.  The under</w:t>
      </w:r>
      <w:r w:rsidR="008A4795">
        <w:rPr>
          <w:sz w:val="26"/>
          <w:szCs w:val="26"/>
        </w:rPr>
        <w:t xml:space="preserve"> collection for S</w:t>
      </w:r>
      <w:r w:rsidRPr="00DD5A94">
        <w:rPr>
          <w:sz w:val="26"/>
          <w:szCs w:val="26"/>
        </w:rPr>
        <w:t xml:space="preserve">mall C&amp;I customers has been reduced to approximately $1.4 million as of August 31, 2011.   </w:t>
      </w:r>
    </w:p>
    <w:p w:rsidR="00360427" w:rsidRPr="007C4E34" w:rsidRDefault="00360427" w:rsidP="00360427">
      <w:pPr>
        <w:rPr>
          <w:szCs w:val="24"/>
        </w:rPr>
      </w:pPr>
    </w:p>
    <w:p w:rsidR="00360427" w:rsidRPr="005B3B74" w:rsidRDefault="00360427" w:rsidP="00360427">
      <w:pPr>
        <w:rPr>
          <w:sz w:val="26"/>
          <w:szCs w:val="26"/>
        </w:rPr>
      </w:pPr>
      <w:r w:rsidRPr="007C4E34">
        <w:rPr>
          <w:szCs w:val="24"/>
        </w:rPr>
        <w:tab/>
      </w:r>
      <w:r w:rsidRPr="007C4E34">
        <w:rPr>
          <w:szCs w:val="24"/>
        </w:rPr>
        <w:tab/>
      </w:r>
      <w:r w:rsidR="005B3B74" w:rsidRPr="005B3B74">
        <w:rPr>
          <w:sz w:val="26"/>
          <w:szCs w:val="26"/>
        </w:rPr>
        <w:t xml:space="preserve">PPL </w:t>
      </w:r>
      <w:r w:rsidRPr="005B3B74">
        <w:rPr>
          <w:sz w:val="26"/>
          <w:szCs w:val="26"/>
        </w:rPr>
        <w:t xml:space="preserve">includes all billed default service revenue and incurred costs in its GSC and GSC-1 charges, and all such revenue and costs are audited regularly by Commission audit staff.  </w:t>
      </w:r>
    </w:p>
    <w:p w:rsidR="001A69B1" w:rsidRPr="007C4E34" w:rsidRDefault="001A69B1" w:rsidP="00360427">
      <w:pPr>
        <w:rPr>
          <w:szCs w:val="24"/>
        </w:rPr>
      </w:pPr>
    </w:p>
    <w:p w:rsidR="001A69B1" w:rsidRPr="005B3B74" w:rsidRDefault="001A69B1" w:rsidP="001A69B1">
      <w:pPr>
        <w:rPr>
          <w:sz w:val="26"/>
          <w:szCs w:val="26"/>
        </w:rPr>
      </w:pPr>
      <w:r w:rsidRPr="007C4E34">
        <w:rPr>
          <w:szCs w:val="24"/>
        </w:rPr>
        <w:tab/>
      </w:r>
      <w:r w:rsidRPr="007C4E34">
        <w:rPr>
          <w:szCs w:val="24"/>
        </w:rPr>
        <w:tab/>
      </w:r>
      <w:r w:rsidR="005B3B74" w:rsidRPr="005B3B74">
        <w:rPr>
          <w:sz w:val="26"/>
          <w:szCs w:val="26"/>
        </w:rPr>
        <w:t>Additionally, it is important to note that t</w:t>
      </w:r>
      <w:r w:rsidRPr="005B3B74">
        <w:rPr>
          <w:sz w:val="26"/>
          <w:szCs w:val="26"/>
        </w:rPr>
        <w:t>his is one of seve</w:t>
      </w:r>
      <w:r w:rsidR="00DF0879">
        <w:rPr>
          <w:sz w:val="26"/>
          <w:szCs w:val="26"/>
        </w:rPr>
        <w:t>ral dockets that</w:t>
      </w:r>
      <w:r w:rsidRPr="005B3B74">
        <w:rPr>
          <w:sz w:val="26"/>
          <w:szCs w:val="26"/>
        </w:rPr>
        <w:t xml:space="preserve"> are interrelated, although not consolidated or dependent upon each other.  In </w:t>
      </w:r>
      <w:r w:rsidR="00EB683B" w:rsidRPr="005B3B74">
        <w:rPr>
          <w:i/>
          <w:sz w:val="26"/>
          <w:szCs w:val="26"/>
        </w:rPr>
        <w:t>O</w:t>
      </w:r>
      <w:r w:rsidR="00DF0879">
        <w:rPr>
          <w:i/>
          <w:sz w:val="26"/>
          <w:szCs w:val="26"/>
        </w:rPr>
        <w:t xml:space="preserve">ffice of </w:t>
      </w:r>
      <w:r w:rsidR="00EB683B" w:rsidRPr="005B3B74">
        <w:rPr>
          <w:i/>
          <w:sz w:val="26"/>
          <w:szCs w:val="26"/>
        </w:rPr>
        <w:t>S</w:t>
      </w:r>
      <w:r w:rsidR="00DF0879">
        <w:rPr>
          <w:i/>
          <w:sz w:val="26"/>
          <w:szCs w:val="26"/>
        </w:rPr>
        <w:t xml:space="preserve">mall </w:t>
      </w:r>
      <w:r w:rsidR="00EB683B" w:rsidRPr="005B3B74">
        <w:rPr>
          <w:i/>
          <w:sz w:val="26"/>
          <w:szCs w:val="26"/>
        </w:rPr>
        <w:t>B</w:t>
      </w:r>
      <w:r w:rsidR="00DF0879">
        <w:rPr>
          <w:i/>
          <w:sz w:val="26"/>
          <w:szCs w:val="26"/>
        </w:rPr>
        <w:t xml:space="preserve">usiness </w:t>
      </w:r>
      <w:r w:rsidR="00EB683B" w:rsidRPr="005B3B74">
        <w:rPr>
          <w:i/>
          <w:sz w:val="26"/>
          <w:szCs w:val="26"/>
        </w:rPr>
        <w:t>A</w:t>
      </w:r>
      <w:r w:rsidR="00DF0879">
        <w:rPr>
          <w:i/>
          <w:sz w:val="26"/>
          <w:szCs w:val="26"/>
        </w:rPr>
        <w:t>dvocate</w:t>
      </w:r>
      <w:r w:rsidR="00EB683B" w:rsidRPr="005B3B74">
        <w:rPr>
          <w:i/>
          <w:sz w:val="26"/>
          <w:szCs w:val="26"/>
        </w:rPr>
        <w:t xml:space="preserve"> v. PPL Electric Utilities Corporation, </w:t>
      </w:r>
      <w:r w:rsidR="00EB683B" w:rsidRPr="005B3B74">
        <w:rPr>
          <w:sz w:val="26"/>
          <w:szCs w:val="26"/>
        </w:rPr>
        <w:t>Docket No. C-2011-2245906</w:t>
      </w:r>
      <w:r w:rsidR="00DF0879">
        <w:rPr>
          <w:sz w:val="26"/>
          <w:szCs w:val="26"/>
        </w:rPr>
        <w:t xml:space="preserve"> (</w:t>
      </w:r>
      <w:r w:rsidR="00DF0879">
        <w:rPr>
          <w:i/>
          <w:sz w:val="26"/>
          <w:szCs w:val="26"/>
        </w:rPr>
        <w:t>OSBA Complaint Proceeding)</w:t>
      </w:r>
      <w:r w:rsidR="00EB683B" w:rsidRPr="005B3B74">
        <w:rPr>
          <w:sz w:val="26"/>
          <w:szCs w:val="26"/>
        </w:rPr>
        <w:t xml:space="preserve">, </w:t>
      </w:r>
      <w:r w:rsidRPr="005B3B74">
        <w:rPr>
          <w:sz w:val="26"/>
          <w:szCs w:val="26"/>
        </w:rPr>
        <w:t>the OSBA asks the Commission to find that the Company</w:t>
      </w:r>
      <w:r w:rsidR="000964BB">
        <w:rPr>
          <w:sz w:val="26"/>
          <w:szCs w:val="26"/>
        </w:rPr>
        <w:t>’</w:t>
      </w:r>
      <w:r w:rsidRPr="005B3B74">
        <w:rPr>
          <w:sz w:val="26"/>
          <w:szCs w:val="26"/>
        </w:rPr>
        <w:t xml:space="preserve">s proration accounting method resulted in June </w:t>
      </w:r>
      <w:r w:rsidR="00DF0879">
        <w:rPr>
          <w:sz w:val="26"/>
          <w:szCs w:val="26"/>
        </w:rPr>
        <w:t xml:space="preserve">2011 </w:t>
      </w:r>
      <w:r w:rsidRPr="005B3B74">
        <w:rPr>
          <w:sz w:val="26"/>
          <w:szCs w:val="26"/>
        </w:rPr>
        <w:t>GSC-1 rates th</w:t>
      </w:r>
      <w:r w:rsidR="00DF0879">
        <w:rPr>
          <w:sz w:val="26"/>
          <w:szCs w:val="26"/>
        </w:rPr>
        <w:t>at were not just and reasonable;</w:t>
      </w:r>
      <w:r w:rsidRPr="005B3B74">
        <w:rPr>
          <w:sz w:val="26"/>
          <w:szCs w:val="26"/>
        </w:rPr>
        <w:t xml:space="preserve"> that the Company should make refunds as appropriate</w:t>
      </w:r>
      <w:r w:rsidR="00DF0879">
        <w:rPr>
          <w:sz w:val="26"/>
          <w:szCs w:val="26"/>
        </w:rPr>
        <w:t>;</w:t>
      </w:r>
      <w:r w:rsidRPr="005B3B74">
        <w:rPr>
          <w:sz w:val="26"/>
          <w:szCs w:val="26"/>
        </w:rPr>
        <w:t xml:space="preserve"> and that the Commission</w:t>
      </w:r>
      <w:r w:rsidR="000964BB">
        <w:rPr>
          <w:sz w:val="26"/>
          <w:szCs w:val="26"/>
        </w:rPr>
        <w:t>’</w:t>
      </w:r>
      <w:r w:rsidRPr="005B3B74">
        <w:rPr>
          <w:sz w:val="26"/>
          <w:szCs w:val="26"/>
        </w:rPr>
        <w:t>s Bureau of Audits conduct a detailed audit of the Company</w:t>
      </w:r>
      <w:r w:rsidR="000964BB">
        <w:rPr>
          <w:sz w:val="26"/>
          <w:szCs w:val="26"/>
        </w:rPr>
        <w:t>’</w:t>
      </w:r>
      <w:r w:rsidRPr="005B3B74">
        <w:rPr>
          <w:sz w:val="26"/>
          <w:szCs w:val="26"/>
        </w:rPr>
        <w:t>s default service revenues and costs for 2010, including the possible under-reporting of revenues.</w:t>
      </w:r>
      <w:r w:rsidR="00DF0879">
        <w:rPr>
          <w:sz w:val="26"/>
          <w:szCs w:val="26"/>
        </w:rPr>
        <w:t xml:space="preserve">  This case is pending before the Commission.</w:t>
      </w:r>
      <w:r w:rsidR="005B3B74" w:rsidRPr="005B3B74">
        <w:rPr>
          <w:sz w:val="26"/>
          <w:szCs w:val="26"/>
        </w:rPr>
        <w:t xml:space="preserve"> </w:t>
      </w:r>
    </w:p>
    <w:p w:rsidR="001A69B1" w:rsidRPr="007C4E34" w:rsidRDefault="001A69B1" w:rsidP="001A69B1">
      <w:pPr>
        <w:contextualSpacing/>
        <w:rPr>
          <w:szCs w:val="24"/>
        </w:rPr>
      </w:pPr>
    </w:p>
    <w:p w:rsidR="001A69B1" w:rsidRPr="005B3B74" w:rsidRDefault="007C4E34" w:rsidP="001A69B1">
      <w:pPr>
        <w:contextualSpacing/>
        <w:rPr>
          <w:sz w:val="26"/>
          <w:szCs w:val="26"/>
        </w:rPr>
      </w:pPr>
      <w:r>
        <w:rPr>
          <w:i/>
          <w:szCs w:val="24"/>
        </w:rPr>
        <w:tab/>
      </w:r>
      <w:r>
        <w:rPr>
          <w:i/>
          <w:szCs w:val="24"/>
        </w:rPr>
        <w:tab/>
      </w:r>
      <w:r w:rsidR="001A69B1" w:rsidRPr="005B3B74">
        <w:rPr>
          <w:sz w:val="26"/>
          <w:szCs w:val="26"/>
        </w:rPr>
        <w:t xml:space="preserve">In </w:t>
      </w:r>
      <w:r w:rsidR="00DF0879">
        <w:rPr>
          <w:sz w:val="26"/>
          <w:szCs w:val="26"/>
        </w:rPr>
        <w:t xml:space="preserve">the </w:t>
      </w:r>
      <w:r w:rsidR="00DF0879">
        <w:rPr>
          <w:i/>
          <w:sz w:val="26"/>
          <w:szCs w:val="26"/>
        </w:rPr>
        <w:t xml:space="preserve">Revised TOU Proceeding, supra., </w:t>
      </w:r>
      <w:r w:rsidR="001A69B1" w:rsidRPr="005B3B74">
        <w:rPr>
          <w:sz w:val="26"/>
          <w:szCs w:val="26"/>
        </w:rPr>
        <w:t>the Company seeks approval of a tariff implementing a</w:t>
      </w:r>
      <w:r w:rsidR="00DF0879">
        <w:rPr>
          <w:sz w:val="26"/>
          <w:szCs w:val="26"/>
        </w:rPr>
        <w:t>n amended</w:t>
      </w:r>
      <w:r w:rsidR="001A69B1" w:rsidRPr="005B3B74">
        <w:rPr>
          <w:sz w:val="26"/>
          <w:szCs w:val="26"/>
        </w:rPr>
        <w:t xml:space="preserve"> T</w:t>
      </w:r>
      <w:r w:rsidR="008A4795">
        <w:rPr>
          <w:sz w:val="26"/>
          <w:szCs w:val="26"/>
        </w:rPr>
        <w:t>O</w:t>
      </w:r>
      <w:r w:rsidR="001A69B1" w:rsidRPr="005B3B74">
        <w:rPr>
          <w:sz w:val="26"/>
          <w:szCs w:val="26"/>
        </w:rPr>
        <w:t xml:space="preserve">U Program pursuant to </w:t>
      </w:r>
      <w:r w:rsidR="005B3B74" w:rsidRPr="005B3B74">
        <w:rPr>
          <w:sz w:val="26"/>
          <w:szCs w:val="26"/>
        </w:rPr>
        <w:t>a Commission directive.</w:t>
      </w:r>
      <w:r w:rsidR="00DF0879">
        <w:rPr>
          <w:sz w:val="26"/>
          <w:szCs w:val="26"/>
        </w:rPr>
        <w:t xml:space="preserve">  The ALJ issued a Recommended Decision in this proceeding on June 20, 2012.</w:t>
      </w:r>
      <w:r w:rsidR="001A69B1" w:rsidRPr="005B3B74">
        <w:rPr>
          <w:sz w:val="26"/>
          <w:szCs w:val="26"/>
        </w:rPr>
        <w:t xml:space="preserve">  </w:t>
      </w:r>
    </w:p>
    <w:p w:rsidR="001A69B1" w:rsidRPr="007C4E34" w:rsidRDefault="001A69B1" w:rsidP="001A69B1">
      <w:pPr>
        <w:contextualSpacing/>
        <w:rPr>
          <w:szCs w:val="24"/>
        </w:rPr>
      </w:pPr>
    </w:p>
    <w:p w:rsidR="00EB683B" w:rsidRDefault="001A69B1" w:rsidP="001A69B1">
      <w:pPr>
        <w:contextualSpacing/>
        <w:rPr>
          <w:sz w:val="26"/>
          <w:szCs w:val="26"/>
        </w:rPr>
      </w:pPr>
      <w:r w:rsidRPr="007C4E34">
        <w:rPr>
          <w:szCs w:val="24"/>
        </w:rPr>
        <w:tab/>
      </w:r>
      <w:r w:rsidRPr="007C4E34">
        <w:rPr>
          <w:szCs w:val="24"/>
        </w:rPr>
        <w:tab/>
      </w:r>
      <w:r w:rsidRPr="005B3B74">
        <w:rPr>
          <w:sz w:val="26"/>
          <w:szCs w:val="26"/>
        </w:rPr>
        <w:t xml:space="preserve">The third related case is </w:t>
      </w:r>
      <w:r w:rsidR="00DF0879">
        <w:rPr>
          <w:sz w:val="26"/>
          <w:szCs w:val="26"/>
        </w:rPr>
        <w:t xml:space="preserve">the </w:t>
      </w:r>
      <w:r w:rsidR="00B265EF">
        <w:rPr>
          <w:i/>
          <w:sz w:val="26"/>
          <w:szCs w:val="26"/>
        </w:rPr>
        <w:t>PPL2010 TSC Reconciliation Proceeding, supra.</w:t>
      </w:r>
      <w:r w:rsidR="00DF0879">
        <w:rPr>
          <w:i/>
          <w:sz w:val="26"/>
          <w:szCs w:val="26"/>
        </w:rPr>
        <w:t xml:space="preserve"> </w:t>
      </w:r>
      <w:r w:rsidR="00B265EF">
        <w:rPr>
          <w:sz w:val="26"/>
          <w:szCs w:val="26"/>
        </w:rPr>
        <w:t xml:space="preserve"> T</w:t>
      </w:r>
      <w:r w:rsidRPr="005B3B74">
        <w:rPr>
          <w:sz w:val="26"/>
          <w:szCs w:val="26"/>
        </w:rPr>
        <w:t xml:space="preserve">he Commission </w:t>
      </w:r>
      <w:r w:rsidR="00B265EF">
        <w:rPr>
          <w:sz w:val="26"/>
          <w:szCs w:val="26"/>
        </w:rPr>
        <w:t>issue</w:t>
      </w:r>
      <w:r w:rsidRPr="005B3B74">
        <w:rPr>
          <w:sz w:val="26"/>
          <w:szCs w:val="26"/>
        </w:rPr>
        <w:t xml:space="preserve">d an Order </w:t>
      </w:r>
      <w:r w:rsidR="00B265EF">
        <w:rPr>
          <w:sz w:val="26"/>
          <w:szCs w:val="26"/>
        </w:rPr>
        <w:t xml:space="preserve">in this proceeding </w:t>
      </w:r>
      <w:r w:rsidRPr="005B3B74">
        <w:rPr>
          <w:sz w:val="26"/>
          <w:szCs w:val="26"/>
        </w:rPr>
        <w:t xml:space="preserve">on May 19, 2011, which directed the Law Bureau and Bureau of Audits to develop a recommendation for the Commission regarding the various methods of reconciling </w:t>
      </w:r>
      <w:r w:rsidR="00B265EF">
        <w:rPr>
          <w:sz w:val="26"/>
          <w:szCs w:val="26"/>
        </w:rPr>
        <w:t xml:space="preserve">transmission service </w:t>
      </w:r>
      <w:r w:rsidRPr="005B3B74">
        <w:rPr>
          <w:sz w:val="26"/>
          <w:szCs w:val="26"/>
        </w:rPr>
        <w:t>charges in a dynamic market on a going forward basis</w:t>
      </w:r>
      <w:r w:rsidR="005B3B74" w:rsidRPr="005B3B74">
        <w:rPr>
          <w:sz w:val="26"/>
          <w:szCs w:val="26"/>
        </w:rPr>
        <w:t>.</w:t>
      </w:r>
      <w:r w:rsidR="00B265EF">
        <w:rPr>
          <w:sz w:val="26"/>
          <w:szCs w:val="26"/>
        </w:rPr>
        <w:t xml:space="preserve">  The Commission has not yet received that recommendation.</w:t>
      </w:r>
    </w:p>
    <w:p w:rsidR="005B3B74" w:rsidRPr="005B3B74" w:rsidRDefault="005B3B74" w:rsidP="001A69B1">
      <w:pPr>
        <w:contextualSpacing/>
        <w:rPr>
          <w:sz w:val="26"/>
          <w:szCs w:val="26"/>
        </w:rPr>
      </w:pPr>
    </w:p>
    <w:p w:rsidR="00EB683B" w:rsidRPr="005B3B74" w:rsidRDefault="00EB683B" w:rsidP="001A69B1">
      <w:pPr>
        <w:contextualSpacing/>
        <w:rPr>
          <w:sz w:val="26"/>
          <w:szCs w:val="26"/>
        </w:rPr>
      </w:pPr>
      <w:r w:rsidRPr="007C4E34">
        <w:rPr>
          <w:szCs w:val="24"/>
        </w:rPr>
        <w:lastRenderedPageBreak/>
        <w:tab/>
      </w:r>
      <w:r w:rsidRPr="007C4E34">
        <w:rPr>
          <w:szCs w:val="24"/>
        </w:rPr>
        <w:tab/>
      </w:r>
      <w:r w:rsidRPr="005B3B74">
        <w:rPr>
          <w:sz w:val="26"/>
          <w:szCs w:val="26"/>
        </w:rPr>
        <w:t xml:space="preserve">Finally, the OSBA filed another Complaint against the GSC-1 reconciliation for the period </w:t>
      </w:r>
      <w:r w:rsidR="00F14DA7" w:rsidRPr="005B3B74">
        <w:rPr>
          <w:sz w:val="26"/>
          <w:szCs w:val="26"/>
        </w:rPr>
        <w:t>December 1, 2011</w:t>
      </w:r>
      <w:r w:rsidR="005B3B74" w:rsidRPr="005B3B74">
        <w:rPr>
          <w:sz w:val="26"/>
          <w:szCs w:val="26"/>
        </w:rPr>
        <w:t>,</w:t>
      </w:r>
      <w:r w:rsidR="00F14DA7" w:rsidRPr="005B3B74">
        <w:rPr>
          <w:sz w:val="26"/>
          <w:szCs w:val="26"/>
        </w:rPr>
        <w:t xml:space="preserve"> through February 29, 2011</w:t>
      </w:r>
      <w:r w:rsidR="005B3B74" w:rsidRPr="005B3B74">
        <w:rPr>
          <w:sz w:val="26"/>
          <w:szCs w:val="26"/>
        </w:rPr>
        <w:t>,</w:t>
      </w:r>
      <w:r w:rsidRPr="005B3B74">
        <w:rPr>
          <w:sz w:val="26"/>
          <w:szCs w:val="26"/>
        </w:rPr>
        <w:t xml:space="preserve"> at </w:t>
      </w:r>
      <w:r w:rsidRPr="005B3B74">
        <w:rPr>
          <w:i/>
          <w:sz w:val="26"/>
          <w:szCs w:val="26"/>
        </w:rPr>
        <w:t>O</w:t>
      </w:r>
      <w:r w:rsidR="00B265EF">
        <w:rPr>
          <w:i/>
          <w:sz w:val="26"/>
          <w:szCs w:val="26"/>
        </w:rPr>
        <w:t xml:space="preserve">ffice of </w:t>
      </w:r>
      <w:r w:rsidRPr="005B3B74">
        <w:rPr>
          <w:i/>
          <w:sz w:val="26"/>
          <w:szCs w:val="26"/>
        </w:rPr>
        <w:t>S</w:t>
      </w:r>
      <w:r w:rsidR="00B265EF">
        <w:rPr>
          <w:i/>
          <w:sz w:val="26"/>
          <w:szCs w:val="26"/>
        </w:rPr>
        <w:t xml:space="preserve">mall </w:t>
      </w:r>
      <w:r w:rsidRPr="005B3B74">
        <w:rPr>
          <w:i/>
          <w:sz w:val="26"/>
          <w:szCs w:val="26"/>
        </w:rPr>
        <w:t>B</w:t>
      </w:r>
      <w:r w:rsidR="00B265EF">
        <w:rPr>
          <w:i/>
          <w:sz w:val="26"/>
          <w:szCs w:val="26"/>
        </w:rPr>
        <w:t xml:space="preserve">usiness </w:t>
      </w:r>
      <w:r w:rsidRPr="005B3B74">
        <w:rPr>
          <w:i/>
          <w:sz w:val="26"/>
          <w:szCs w:val="26"/>
        </w:rPr>
        <w:t>A</w:t>
      </w:r>
      <w:r w:rsidR="00B265EF">
        <w:rPr>
          <w:i/>
          <w:sz w:val="26"/>
          <w:szCs w:val="26"/>
        </w:rPr>
        <w:t>dvocate</w:t>
      </w:r>
      <w:r w:rsidRPr="005B3B74">
        <w:rPr>
          <w:i/>
          <w:sz w:val="26"/>
          <w:szCs w:val="26"/>
        </w:rPr>
        <w:t xml:space="preserve"> v. PPL Electric Utilities Corporation,</w:t>
      </w:r>
      <w:r w:rsidR="00F14DA7" w:rsidRPr="005B3B74">
        <w:rPr>
          <w:sz w:val="26"/>
          <w:szCs w:val="26"/>
        </w:rPr>
        <w:t xml:space="preserve"> Docket No. C-2011-2279176</w:t>
      </w:r>
      <w:r w:rsidRPr="005B3B74">
        <w:rPr>
          <w:sz w:val="26"/>
          <w:szCs w:val="26"/>
        </w:rPr>
        <w:t xml:space="preserve">.  </w:t>
      </w:r>
      <w:r w:rsidR="005B3B74" w:rsidRPr="005B3B74">
        <w:rPr>
          <w:sz w:val="26"/>
          <w:szCs w:val="26"/>
        </w:rPr>
        <w:t xml:space="preserve">By letter dated February 9, 2012, the OSBA asked </w:t>
      </w:r>
      <w:r w:rsidR="00B265EF">
        <w:rPr>
          <w:sz w:val="26"/>
          <w:szCs w:val="26"/>
        </w:rPr>
        <w:t>that this</w:t>
      </w:r>
      <w:r w:rsidR="00F14DA7" w:rsidRPr="005B3B74">
        <w:rPr>
          <w:sz w:val="26"/>
          <w:szCs w:val="26"/>
        </w:rPr>
        <w:t xml:space="preserve"> </w:t>
      </w:r>
      <w:r w:rsidR="00B265EF">
        <w:rPr>
          <w:sz w:val="26"/>
          <w:szCs w:val="26"/>
        </w:rPr>
        <w:t>C</w:t>
      </w:r>
      <w:r w:rsidR="00F14DA7" w:rsidRPr="005B3B74">
        <w:rPr>
          <w:sz w:val="26"/>
          <w:szCs w:val="26"/>
        </w:rPr>
        <w:t>omplaint be held in abeyance pending the outcome of the prior OSBA Complaint</w:t>
      </w:r>
      <w:r w:rsidRPr="005B3B74">
        <w:rPr>
          <w:sz w:val="26"/>
          <w:szCs w:val="26"/>
        </w:rPr>
        <w:t>.</w:t>
      </w:r>
      <w:r w:rsidR="00B265EF">
        <w:rPr>
          <w:sz w:val="26"/>
          <w:szCs w:val="26"/>
        </w:rPr>
        <w:t xml:space="preserve">  ALJ D</w:t>
      </w:r>
      <w:r w:rsidR="00EA42DF" w:rsidRPr="005B3B74">
        <w:rPr>
          <w:sz w:val="26"/>
          <w:szCs w:val="26"/>
        </w:rPr>
        <w:t xml:space="preserve">ennis Buckley granted this request by </w:t>
      </w:r>
      <w:r w:rsidR="00292C01" w:rsidRPr="005B3B74">
        <w:rPr>
          <w:sz w:val="26"/>
          <w:szCs w:val="26"/>
        </w:rPr>
        <w:t>Order issued February 16, 2012.</w:t>
      </w:r>
    </w:p>
    <w:p w:rsidR="008A2A11" w:rsidRPr="007C4E34" w:rsidRDefault="008A2A11" w:rsidP="000E373F">
      <w:pPr>
        <w:contextualSpacing/>
        <w:rPr>
          <w:szCs w:val="24"/>
        </w:rPr>
      </w:pPr>
    </w:p>
    <w:p w:rsidR="00F9033B" w:rsidRPr="005B615C" w:rsidRDefault="00081171" w:rsidP="00E7599F">
      <w:pPr>
        <w:contextualSpacing/>
        <w:rPr>
          <w:sz w:val="26"/>
          <w:szCs w:val="26"/>
        </w:rPr>
      </w:pPr>
      <w:r w:rsidRPr="007C4E34">
        <w:rPr>
          <w:szCs w:val="24"/>
        </w:rPr>
        <w:tab/>
      </w:r>
      <w:r w:rsidRPr="007C4E34">
        <w:rPr>
          <w:szCs w:val="24"/>
        </w:rPr>
        <w:tab/>
      </w:r>
      <w:r w:rsidR="005B3B74">
        <w:rPr>
          <w:sz w:val="26"/>
          <w:szCs w:val="26"/>
        </w:rPr>
        <w:t>In the instant</w:t>
      </w:r>
      <w:r w:rsidRPr="005B3B74">
        <w:rPr>
          <w:sz w:val="26"/>
          <w:szCs w:val="26"/>
        </w:rPr>
        <w:t xml:space="preserve"> case, the Company seeks approval to implement a mechanism for</w:t>
      </w:r>
      <w:r w:rsidR="0095531C">
        <w:rPr>
          <w:sz w:val="26"/>
          <w:szCs w:val="26"/>
        </w:rPr>
        <w:t>:</w:t>
      </w:r>
      <w:r w:rsidRPr="005B3B74">
        <w:rPr>
          <w:sz w:val="26"/>
          <w:szCs w:val="26"/>
        </w:rPr>
        <w:t xml:space="preserve"> </w:t>
      </w:r>
      <w:r w:rsidR="0095531C">
        <w:rPr>
          <w:sz w:val="26"/>
          <w:szCs w:val="26"/>
        </w:rPr>
        <w:t xml:space="preserve">(1) </w:t>
      </w:r>
      <w:r w:rsidRPr="005B3B74">
        <w:rPr>
          <w:sz w:val="26"/>
          <w:szCs w:val="26"/>
        </w:rPr>
        <w:t>assessing the under</w:t>
      </w:r>
      <w:r w:rsidR="005B3B74">
        <w:rPr>
          <w:sz w:val="26"/>
          <w:szCs w:val="26"/>
        </w:rPr>
        <w:t xml:space="preserve"> </w:t>
      </w:r>
      <w:r w:rsidRPr="005B3B74">
        <w:rPr>
          <w:sz w:val="26"/>
          <w:szCs w:val="26"/>
        </w:rPr>
        <w:t>collection or refunding the over</w:t>
      </w:r>
      <w:r w:rsidR="005B3B74">
        <w:rPr>
          <w:sz w:val="26"/>
          <w:szCs w:val="26"/>
        </w:rPr>
        <w:t xml:space="preserve"> </w:t>
      </w:r>
      <w:r w:rsidRPr="005B3B74">
        <w:rPr>
          <w:sz w:val="26"/>
          <w:szCs w:val="26"/>
        </w:rPr>
        <w:t>collection of costs of default service to customers taking default service during the over/under</w:t>
      </w:r>
      <w:r w:rsidR="005B3B74">
        <w:rPr>
          <w:sz w:val="26"/>
          <w:szCs w:val="26"/>
        </w:rPr>
        <w:t xml:space="preserve"> </w:t>
      </w:r>
      <w:r w:rsidRPr="005B3B74">
        <w:rPr>
          <w:sz w:val="26"/>
          <w:szCs w:val="26"/>
        </w:rPr>
        <w:t>collection period</w:t>
      </w:r>
      <w:r w:rsidR="005B3B74">
        <w:rPr>
          <w:sz w:val="26"/>
          <w:szCs w:val="26"/>
        </w:rPr>
        <w:t>,</w:t>
      </w:r>
      <w:r w:rsidRPr="005B3B74">
        <w:rPr>
          <w:sz w:val="26"/>
          <w:szCs w:val="26"/>
        </w:rPr>
        <w:t xml:space="preserve"> but shopping at the time of reconciliation, and </w:t>
      </w:r>
      <w:r w:rsidR="0095531C">
        <w:rPr>
          <w:sz w:val="26"/>
          <w:szCs w:val="26"/>
        </w:rPr>
        <w:t xml:space="preserve">(2) </w:t>
      </w:r>
      <w:r w:rsidRPr="005B3B74">
        <w:rPr>
          <w:sz w:val="26"/>
          <w:szCs w:val="26"/>
        </w:rPr>
        <w:t>omit</w:t>
      </w:r>
      <w:r w:rsidR="0095531C">
        <w:rPr>
          <w:sz w:val="26"/>
          <w:szCs w:val="26"/>
        </w:rPr>
        <w:t>ting</w:t>
      </w:r>
      <w:r w:rsidRPr="005B3B74">
        <w:rPr>
          <w:sz w:val="26"/>
          <w:szCs w:val="26"/>
        </w:rPr>
        <w:t xml:space="preserve"> the over/under</w:t>
      </w:r>
      <w:r w:rsidR="005B3B74">
        <w:rPr>
          <w:sz w:val="26"/>
          <w:szCs w:val="26"/>
        </w:rPr>
        <w:t xml:space="preserve"> </w:t>
      </w:r>
      <w:r w:rsidRPr="005B3B74">
        <w:rPr>
          <w:sz w:val="26"/>
          <w:szCs w:val="26"/>
        </w:rPr>
        <w:t>collection from the Price to Compare</w:t>
      </w:r>
      <w:r w:rsidR="008A4795">
        <w:rPr>
          <w:sz w:val="26"/>
          <w:szCs w:val="26"/>
        </w:rPr>
        <w:t xml:space="preserve"> (PTC)</w:t>
      </w:r>
      <w:r w:rsidRPr="005B3B74">
        <w:rPr>
          <w:sz w:val="26"/>
          <w:szCs w:val="26"/>
        </w:rPr>
        <w:t>.</w:t>
      </w:r>
      <w:r w:rsidR="005B615C">
        <w:rPr>
          <w:sz w:val="26"/>
          <w:szCs w:val="26"/>
        </w:rPr>
        <w:t xml:space="preserve">  Specifically</w:t>
      </w:r>
      <w:r w:rsidR="005B615C" w:rsidRPr="005B615C">
        <w:rPr>
          <w:sz w:val="26"/>
          <w:szCs w:val="26"/>
        </w:rPr>
        <w:t xml:space="preserve">, </w:t>
      </w:r>
      <w:r w:rsidR="00F9033B" w:rsidRPr="005B615C">
        <w:rPr>
          <w:sz w:val="26"/>
          <w:szCs w:val="26"/>
        </w:rPr>
        <w:t>PPL seeks approval to implement the following:</w:t>
      </w:r>
    </w:p>
    <w:p w:rsidR="007C4E34" w:rsidRPr="005B615C" w:rsidRDefault="007C4E34" w:rsidP="00E7599F">
      <w:pPr>
        <w:rPr>
          <w:sz w:val="26"/>
          <w:szCs w:val="26"/>
        </w:rPr>
      </w:pPr>
    </w:p>
    <w:p w:rsidR="00F9033B" w:rsidRPr="005B615C" w:rsidRDefault="00B304DA" w:rsidP="007C4E34">
      <w:pPr>
        <w:pStyle w:val="ListParagraph"/>
        <w:numPr>
          <w:ilvl w:val="0"/>
          <w:numId w:val="8"/>
        </w:numPr>
        <w:spacing w:line="240" w:lineRule="auto"/>
        <w:rPr>
          <w:sz w:val="26"/>
          <w:szCs w:val="26"/>
        </w:rPr>
      </w:pPr>
      <w:r w:rsidRPr="005B615C">
        <w:rPr>
          <w:sz w:val="26"/>
          <w:szCs w:val="26"/>
        </w:rPr>
        <w:t>A</w:t>
      </w:r>
      <w:r w:rsidR="00F9033B" w:rsidRPr="005B615C">
        <w:rPr>
          <w:sz w:val="26"/>
          <w:szCs w:val="26"/>
        </w:rPr>
        <w:t xml:space="preserve"> reconciliation rider</w:t>
      </w:r>
      <w:r w:rsidR="005F3618" w:rsidRPr="005B615C">
        <w:rPr>
          <w:sz w:val="26"/>
          <w:szCs w:val="26"/>
        </w:rPr>
        <w:t xml:space="preserve"> designed to charge or refund the E factor to those who paid the original rates</w:t>
      </w:r>
      <w:r w:rsidR="00F9033B" w:rsidRPr="005B615C">
        <w:rPr>
          <w:sz w:val="26"/>
          <w:szCs w:val="26"/>
        </w:rPr>
        <w:t>;</w:t>
      </w:r>
    </w:p>
    <w:p w:rsidR="007C4E34" w:rsidRPr="005B615C" w:rsidRDefault="007C4E34" w:rsidP="007C4E34">
      <w:pPr>
        <w:spacing w:line="240" w:lineRule="auto"/>
        <w:rPr>
          <w:sz w:val="26"/>
          <w:szCs w:val="26"/>
        </w:rPr>
      </w:pPr>
    </w:p>
    <w:p w:rsidR="00F9033B" w:rsidRPr="005B615C" w:rsidRDefault="00B304DA" w:rsidP="007C4E34">
      <w:pPr>
        <w:pStyle w:val="ListParagraph"/>
        <w:numPr>
          <w:ilvl w:val="0"/>
          <w:numId w:val="8"/>
        </w:numPr>
        <w:spacing w:line="240" w:lineRule="auto"/>
        <w:rPr>
          <w:sz w:val="26"/>
          <w:szCs w:val="26"/>
        </w:rPr>
      </w:pPr>
      <w:r w:rsidRPr="005B615C">
        <w:rPr>
          <w:sz w:val="26"/>
          <w:szCs w:val="26"/>
        </w:rPr>
        <w:t>A</w:t>
      </w:r>
      <w:r w:rsidR="00F9033B" w:rsidRPr="005B615C">
        <w:rPr>
          <w:sz w:val="26"/>
          <w:szCs w:val="26"/>
        </w:rPr>
        <w:t xml:space="preserve"> competitive transition rider;</w:t>
      </w:r>
    </w:p>
    <w:p w:rsidR="007C4E34" w:rsidRPr="005B615C" w:rsidRDefault="007C4E34" w:rsidP="007C4E34">
      <w:pPr>
        <w:spacing w:line="240" w:lineRule="auto"/>
        <w:rPr>
          <w:sz w:val="26"/>
          <w:szCs w:val="26"/>
        </w:rPr>
      </w:pPr>
    </w:p>
    <w:p w:rsidR="00F9033B" w:rsidRPr="005B615C" w:rsidRDefault="00B304DA" w:rsidP="007C4E34">
      <w:pPr>
        <w:pStyle w:val="ListParagraph"/>
        <w:numPr>
          <w:ilvl w:val="0"/>
          <w:numId w:val="8"/>
        </w:numPr>
        <w:spacing w:line="240" w:lineRule="auto"/>
        <w:rPr>
          <w:sz w:val="26"/>
          <w:szCs w:val="26"/>
        </w:rPr>
      </w:pPr>
      <w:r w:rsidRPr="005B615C">
        <w:rPr>
          <w:sz w:val="26"/>
          <w:szCs w:val="26"/>
        </w:rPr>
        <w:t>I</w:t>
      </w:r>
      <w:r w:rsidR="00F9033B" w:rsidRPr="005B615C">
        <w:rPr>
          <w:sz w:val="26"/>
          <w:szCs w:val="26"/>
        </w:rPr>
        <w:t>nclusion of the Residential and Small C&amp;I TOU program over and under collections in the RR and CTR rates applicable to the respective Residential and Small C&amp;I customer classes;</w:t>
      </w:r>
    </w:p>
    <w:p w:rsidR="007C4E34" w:rsidRPr="005B615C" w:rsidRDefault="007C4E34" w:rsidP="007C4E34">
      <w:pPr>
        <w:spacing w:line="240" w:lineRule="auto"/>
        <w:rPr>
          <w:sz w:val="26"/>
          <w:szCs w:val="26"/>
        </w:rPr>
      </w:pPr>
    </w:p>
    <w:p w:rsidR="00F9033B" w:rsidRPr="005B615C" w:rsidRDefault="00B304DA" w:rsidP="007C4E34">
      <w:pPr>
        <w:pStyle w:val="ListParagraph"/>
        <w:numPr>
          <w:ilvl w:val="0"/>
          <w:numId w:val="8"/>
        </w:numPr>
        <w:spacing w:line="240" w:lineRule="auto"/>
        <w:rPr>
          <w:sz w:val="26"/>
          <w:szCs w:val="26"/>
        </w:rPr>
      </w:pPr>
      <w:r w:rsidRPr="005B615C">
        <w:rPr>
          <w:sz w:val="26"/>
          <w:szCs w:val="26"/>
        </w:rPr>
        <w:t>A</w:t>
      </w:r>
      <w:r w:rsidR="00F9033B" w:rsidRPr="005B615C">
        <w:rPr>
          <w:sz w:val="26"/>
          <w:szCs w:val="26"/>
        </w:rPr>
        <w:t xml:space="preserve">bility to net the over and under collections of the respective GSC-1 and GSC-2 with the TSC reconciliations for each customer class; and </w:t>
      </w:r>
    </w:p>
    <w:p w:rsidR="007C4E34" w:rsidRPr="005B615C" w:rsidRDefault="007C4E34" w:rsidP="007C4E34">
      <w:pPr>
        <w:spacing w:line="240" w:lineRule="auto"/>
        <w:ind w:left="1440" w:hanging="720"/>
        <w:rPr>
          <w:sz w:val="26"/>
          <w:szCs w:val="26"/>
        </w:rPr>
      </w:pPr>
    </w:p>
    <w:p w:rsidR="00F9033B" w:rsidRDefault="00F9033B" w:rsidP="007C4E34">
      <w:pPr>
        <w:spacing w:line="240" w:lineRule="auto"/>
        <w:ind w:left="1440" w:hanging="720"/>
        <w:rPr>
          <w:sz w:val="26"/>
          <w:szCs w:val="26"/>
        </w:rPr>
      </w:pPr>
      <w:r w:rsidRPr="005B615C">
        <w:rPr>
          <w:sz w:val="26"/>
          <w:szCs w:val="26"/>
        </w:rPr>
        <w:t>5.</w:t>
      </w:r>
      <w:r w:rsidRPr="005B615C">
        <w:rPr>
          <w:sz w:val="26"/>
          <w:szCs w:val="26"/>
        </w:rPr>
        <w:tab/>
      </w:r>
      <w:r w:rsidR="00B304DA" w:rsidRPr="005B615C">
        <w:rPr>
          <w:sz w:val="26"/>
          <w:szCs w:val="26"/>
        </w:rPr>
        <w:t>M</w:t>
      </w:r>
      <w:r w:rsidRPr="005B615C">
        <w:rPr>
          <w:sz w:val="26"/>
          <w:szCs w:val="26"/>
        </w:rPr>
        <w:t>odification of the provisions of the GSC-1 to permit reconciliation on an annual PJM Planning Year basis.</w:t>
      </w:r>
    </w:p>
    <w:p w:rsidR="0095531C" w:rsidRPr="005B615C" w:rsidRDefault="0095531C" w:rsidP="007C4E34">
      <w:pPr>
        <w:spacing w:line="240" w:lineRule="auto"/>
        <w:ind w:left="1440" w:hanging="720"/>
        <w:rPr>
          <w:sz w:val="26"/>
          <w:szCs w:val="26"/>
        </w:rPr>
      </w:pPr>
    </w:p>
    <w:p w:rsidR="00F9033B" w:rsidRPr="005B615C" w:rsidRDefault="005B615C" w:rsidP="0095531C">
      <w:pPr>
        <w:rPr>
          <w:sz w:val="26"/>
          <w:szCs w:val="26"/>
        </w:rPr>
      </w:pPr>
      <w:r>
        <w:rPr>
          <w:sz w:val="26"/>
          <w:szCs w:val="26"/>
        </w:rPr>
        <w:t xml:space="preserve">PPL </w:t>
      </w:r>
      <w:r w:rsidR="00F9033B" w:rsidRPr="005B615C">
        <w:rPr>
          <w:sz w:val="26"/>
          <w:szCs w:val="26"/>
        </w:rPr>
        <w:t>M</w:t>
      </w:r>
      <w:r>
        <w:rPr>
          <w:sz w:val="26"/>
          <w:szCs w:val="26"/>
        </w:rPr>
        <w:t>.</w:t>
      </w:r>
      <w:r w:rsidR="00F9033B" w:rsidRPr="005B615C">
        <w:rPr>
          <w:sz w:val="26"/>
          <w:szCs w:val="26"/>
        </w:rPr>
        <w:t>B</w:t>
      </w:r>
      <w:r>
        <w:rPr>
          <w:sz w:val="26"/>
          <w:szCs w:val="26"/>
        </w:rPr>
        <w:t>.</w:t>
      </w:r>
      <w:r w:rsidR="00F9033B" w:rsidRPr="005B615C">
        <w:rPr>
          <w:sz w:val="26"/>
          <w:szCs w:val="26"/>
        </w:rPr>
        <w:t xml:space="preserve"> at 6.</w:t>
      </w:r>
    </w:p>
    <w:p w:rsidR="00F9033B" w:rsidRPr="007C4E34" w:rsidRDefault="00F9033B" w:rsidP="00E7599F">
      <w:pPr>
        <w:rPr>
          <w:szCs w:val="24"/>
        </w:rPr>
      </w:pPr>
    </w:p>
    <w:p w:rsidR="00A30CA8" w:rsidRPr="00A30CA8" w:rsidRDefault="00A30CA8" w:rsidP="00646058">
      <w:pPr>
        <w:pStyle w:val="Heading2"/>
        <w:keepNext/>
      </w:pPr>
      <w:bookmarkStart w:id="14" w:name="_Toc329245847"/>
      <w:bookmarkStart w:id="15" w:name="_Toc329688384"/>
      <w:r w:rsidRPr="00A30CA8">
        <w:lastRenderedPageBreak/>
        <w:t>C.</w:t>
      </w:r>
      <w:r w:rsidRPr="00A30CA8">
        <w:tab/>
        <w:t>Competitive Transition Rider</w:t>
      </w:r>
      <w:r w:rsidR="00273D63">
        <w:t xml:space="preserve"> (CTR)</w:t>
      </w:r>
      <w:bookmarkEnd w:id="14"/>
      <w:bookmarkEnd w:id="15"/>
      <w:r w:rsidRPr="00A30CA8">
        <w:fldChar w:fldCharType="begin"/>
      </w:r>
      <w:r w:rsidRPr="00A30CA8">
        <w:instrText xml:space="preserve"> TC "</w:instrText>
      </w:r>
      <w:bookmarkStart w:id="16" w:name="_Toc329245153"/>
      <w:r w:rsidRPr="00A30CA8">
        <w:instrText>2.</w:instrText>
      </w:r>
      <w:r w:rsidRPr="00A30CA8">
        <w:tab/>
        <w:instrText>Competitive Transition Rider</w:instrText>
      </w:r>
      <w:bookmarkEnd w:id="16"/>
      <w:r w:rsidRPr="00A30CA8">
        <w:instrText xml:space="preserve">" \f C \l "3" </w:instrText>
      </w:r>
      <w:r w:rsidRPr="00A30CA8">
        <w:fldChar w:fldCharType="end"/>
      </w:r>
    </w:p>
    <w:p w:rsidR="00A30CA8" w:rsidRPr="00A30CA8" w:rsidRDefault="00A30CA8" w:rsidP="00646058">
      <w:pPr>
        <w:keepNext/>
        <w:rPr>
          <w:b/>
          <w:sz w:val="26"/>
          <w:szCs w:val="26"/>
        </w:rPr>
      </w:pPr>
    </w:p>
    <w:p w:rsidR="00A30CA8" w:rsidRPr="00D81F98" w:rsidRDefault="00A30CA8" w:rsidP="00646058">
      <w:pPr>
        <w:pStyle w:val="Heading3"/>
        <w:keepNext/>
      </w:pPr>
      <w:bookmarkStart w:id="17" w:name="_Toc329245848"/>
      <w:bookmarkStart w:id="18" w:name="_Toc329688385"/>
      <w:r w:rsidRPr="00D81F98">
        <w:t>1.</w:t>
      </w:r>
      <w:r w:rsidRPr="00D81F98">
        <w:tab/>
        <w:t>Description</w:t>
      </w:r>
      <w:bookmarkEnd w:id="17"/>
      <w:bookmarkEnd w:id="18"/>
      <w:r w:rsidRPr="00D81F98">
        <w:fldChar w:fldCharType="begin"/>
      </w:r>
      <w:r w:rsidRPr="00D81F98">
        <w:instrText xml:space="preserve"> TC "</w:instrText>
      </w:r>
      <w:bookmarkStart w:id="19" w:name="_Toc329245154"/>
      <w:r w:rsidRPr="00D81F98">
        <w:instrText>a.</w:instrText>
      </w:r>
      <w:r w:rsidRPr="00D81F98">
        <w:tab/>
        <w:instrText>Description</w:instrText>
      </w:r>
      <w:bookmarkEnd w:id="19"/>
      <w:r w:rsidRPr="00D81F98">
        <w:instrText xml:space="preserve">" \f C \l "4" </w:instrText>
      </w:r>
      <w:r w:rsidRPr="00D81F98">
        <w:fldChar w:fldCharType="end"/>
      </w:r>
    </w:p>
    <w:p w:rsidR="00A30CA8" w:rsidRPr="00A30CA8" w:rsidRDefault="00A30CA8" w:rsidP="00646058">
      <w:pPr>
        <w:keepNext/>
        <w:rPr>
          <w:sz w:val="26"/>
          <w:szCs w:val="26"/>
        </w:rPr>
      </w:pPr>
    </w:p>
    <w:p w:rsidR="00A30CA8" w:rsidRPr="00A30CA8" w:rsidRDefault="00A30CA8" w:rsidP="00A30CA8">
      <w:pPr>
        <w:rPr>
          <w:sz w:val="26"/>
          <w:szCs w:val="26"/>
        </w:rPr>
      </w:pPr>
      <w:r w:rsidRPr="00A30CA8">
        <w:rPr>
          <w:sz w:val="26"/>
          <w:szCs w:val="26"/>
        </w:rPr>
        <w:tab/>
      </w:r>
      <w:r w:rsidRPr="00A30CA8">
        <w:rPr>
          <w:sz w:val="26"/>
          <w:szCs w:val="26"/>
        </w:rPr>
        <w:tab/>
      </w:r>
      <w:r w:rsidR="000964BB">
        <w:rPr>
          <w:sz w:val="26"/>
          <w:szCs w:val="26"/>
        </w:rPr>
        <w:t>“</w:t>
      </w:r>
      <w:r w:rsidRPr="00A30CA8">
        <w:rPr>
          <w:sz w:val="26"/>
          <w:szCs w:val="26"/>
        </w:rPr>
        <w:t>The CTR is a one-time, temporary, non-bypassable, reconcilable Section 1307(e) cost recovery mechanism that will provide a fresh start by refunding or recovering any remaining net historic over or under collections balances related to transmission service and generation supply service that were incurred prior to the effective</w:t>
      </w:r>
      <w:r>
        <w:rPr>
          <w:sz w:val="26"/>
          <w:szCs w:val="26"/>
        </w:rPr>
        <w:t xml:space="preserve"> date of the RR.</w:t>
      </w:r>
      <w:r w:rsidR="000964BB">
        <w:rPr>
          <w:sz w:val="26"/>
          <w:szCs w:val="26"/>
        </w:rPr>
        <w:t>”</w:t>
      </w:r>
      <w:r>
        <w:rPr>
          <w:sz w:val="26"/>
          <w:szCs w:val="26"/>
        </w:rPr>
        <w:t xml:space="preserve">  PPL </w:t>
      </w:r>
      <w:r w:rsidRPr="00A30CA8">
        <w:rPr>
          <w:sz w:val="26"/>
          <w:szCs w:val="26"/>
        </w:rPr>
        <w:t>M</w:t>
      </w:r>
      <w:r>
        <w:rPr>
          <w:sz w:val="26"/>
          <w:szCs w:val="26"/>
        </w:rPr>
        <w:t>.</w:t>
      </w:r>
      <w:r w:rsidRPr="00A30CA8">
        <w:rPr>
          <w:sz w:val="26"/>
          <w:szCs w:val="26"/>
        </w:rPr>
        <w:t>B</w:t>
      </w:r>
      <w:r>
        <w:rPr>
          <w:sz w:val="26"/>
          <w:szCs w:val="26"/>
        </w:rPr>
        <w:t>.</w:t>
      </w:r>
      <w:r w:rsidR="008A4795">
        <w:rPr>
          <w:sz w:val="26"/>
          <w:szCs w:val="26"/>
        </w:rPr>
        <w:t xml:space="preserve"> at 15, citing PPL St</w:t>
      </w:r>
      <w:r w:rsidRPr="00A30CA8">
        <w:rPr>
          <w:sz w:val="26"/>
          <w:szCs w:val="26"/>
        </w:rPr>
        <w:t xml:space="preserve">. 1 at 6-7.    </w:t>
      </w:r>
    </w:p>
    <w:p w:rsidR="00A30CA8" w:rsidRPr="00A30CA8" w:rsidRDefault="00A30CA8" w:rsidP="00A30CA8">
      <w:pPr>
        <w:rPr>
          <w:sz w:val="26"/>
          <w:szCs w:val="26"/>
        </w:rPr>
      </w:pPr>
    </w:p>
    <w:p w:rsidR="00A30CA8" w:rsidRDefault="00A30CA8" w:rsidP="00A30CA8">
      <w:pPr>
        <w:rPr>
          <w:sz w:val="26"/>
          <w:szCs w:val="26"/>
        </w:rPr>
      </w:pPr>
      <w:r w:rsidRPr="00A30CA8">
        <w:rPr>
          <w:sz w:val="26"/>
          <w:szCs w:val="26"/>
        </w:rPr>
        <w:tab/>
      </w:r>
      <w:r w:rsidRPr="00A30CA8">
        <w:rPr>
          <w:sz w:val="26"/>
          <w:szCs w:val="26"/>
        </w:rPr>
        <w:tab/>
        <w:t xml:space="preserve">The Company states that </w:t>
      </w:r>
      <w:r w:rsidR="00B12D7A">
        <w:rPr>
          <w:sz w:val="26"/>
          <w:szCs w:val="26"/>
        </w:rPr>
        <w:t>i</w:t>
      </w:r>
      <w:r w:rsidRPr="00A30CA8">
        <w:rPr>
          <w:sz w:val="26"/>
          <w:szCs w:val="26"/>
        </w:rPr>
        <w:t xml:space="preserve">ts substantial over and under collection balances have been difficult to correct because of the significant number of shopping customers, </w:t>
      </w:r>
      <w:r w:rsidRPr="002B7C87">
        <w:rPr>
          <w:i/>
          <w:sz w:val="26"/>
          <w:szCs w:val="26"/>
        </w:rPr>
        <w:t>i.e.</w:t>
      </w:r>
      <w:r w:rsidRPr="00A30CA8">
        <w:rPr>
          <w:sz w:val="26"/>
          <w:szCs w:val="26"/>
        </w:rPr>
        <w:t>, there are fewer customers from whom to collect the balances.  The CTR is proposed to become effective June 1, 2012</w:t>
      </w:r>
      <w:r>
        <w:rPr>
          <w:sz w:val="26"/>
          <w:szCs w:val="26"/>
        </w:rPr>
        <w:t>,</w:t>
      </w:r>
      <w:r w:rsidRPr="00A30CA8">
        <w:rPr>
          <w:sz w:val="26"/>
          <w:szCs w:val="26"/>
        </w:rPr>
        <w:t xml:space="preserve"> and to remain in effect for a twelve-month period.  At the end of the twelve months, it will be reconciled.  It will remain in effect as long as necessary to true-up the balances of any over or under collections which exist as of May</w:t>
      </w:r>
      <w:r w:rsidR="002B7C87">
        <w:rPr>
          <w:sz w:val="26"/>
          <w:szCs w:val="26"/>
        </w:rPr>
        <w:t> </w:t>
      </w:r>
      <w:r w:rsidRPr="00A30CA8">
        <w:rPr>
          <w:sz w:val="26"/>
          <w:szCs w:val="26"/>
        </w:rPr>
        <w:t>31, 2012, that were not refunded or recouped during the initial 12-month application</w:t>
      </w:r>
      <w:r>
        <w:rPr>
          <w:sz w:val="26"/>
          <w:szCs w:val="26"/>
        </w:rPr>
        <w:t xml:space="preserve"> period.  PPL </w:t>
      </w:r>
      <w:r w:rsidRPr="00A30CA8">
        <w:rPr>
          <w:sz w:val="26"/>
          <w:szCs w:val="26"/>
        </w:rPr>
        <w:t>M</w:t>
      </w:r>
      <w:r>
        <w:rPr>
          <w:sz w:val="26"/>
          <w:szCs w:val="26"/>
        </w:rPr>
        <w:t>.</w:t>
      </w:r>
      <w:r w:rsidRPr="00A30CA8">
        <w:rPr>
          <w:sz w:val="26"/>
          <w:szCs w:val="26"/>
        </w:rPr>
        <w:t>B</w:t>
      </w:r>
      <w:r>
        <w:rPr>
          <w:sz w:val="26"/>
          <w:szCs w:val="26"/>
        </w:rPr>
        <w:t>.</w:t>
      </w:r>
      <w:r w:rsidRPr="00A30CA8">
        <w:rPr>
          <w:sz w:val="26"/>
          <w:szCs w:val="26"/>
        </w:rPr>
        <w:t xml:space="preserve"> at 23.</w:t>
      </w:r>
    </w:p>
    <w:p w:rsidR="00A30CA8" w:rsidRPr="00A30CA8" w:rsidRDefault="00A30CA8" w:rsidP="00A30CA8">
      <w:pPr>
        <w:rPr>
          <w:sz w:val="26"/>
          <w:szCs w:val="26"/>
        </w:rPr>
      </w:pPr>
    </w:p>
    <w:p w:rsidR="00A30CA8" w:rsidRPr="00150F9C" w:rsidRDefault="00A30CA8" w:rsidP="002B7C87">
      <w:pPr>
        <w:pStyle w:val="Heading3"/>
        <w:keepNext/>
      </w:pPr>
      <w:bookmarkStart w:id="20" w:name="_Toc329245849"/>
      <w:bookmarkStart w:id="21" w:name="_Toc329688386"/>
      <w:r w:rsidRPr="00150F9C">
        <w:t>2.</w:t>
      </w:r>
      <w:r w:rsidRPr="00150F9C">
        <w:tab/>
        <w:t>Positions of the Parties</w:t>
      </w:r>
      <w:bookmarkEnd w:id="20"/>
      <w:bookmarkEnd w:id="21"/>
      <w:r w:rsidRPr="00150F9C">
        <w:fldChar w:fldCharType="begin"/>
      </w:r>
      <w:r w:rsidRPr="00150F9C">
        <w:instrText xml:space="preserve"> TC "</w:instrText>
      </w:r>
      <w:bookmarkStart w:id="22" w:name="_Toc329245155"/>
      <w:r w:rsidRPr="00150F9C">
        <w:instrText>b.</w:instrText>
      </w:r>
      <w:r w:rsidRPr="00150F9C">
        <w:tab/>
        <w:instrText>Party positions</w:instrText>
      </w:r>
      <w:bookmarkEnd w:id="22"/>
      <w:r w:rsidRPr="00150F9C">
        <w:instrText xml:space="preserve">" \f C \l "4" </w:instrText>
      </w:r>
      <w:r w:rsidRPr="00150F9C">
        <w:fldChar w:fldCharType="end"/>
      </w:r>
    </w:p>
    <w:p w:rsidR="00A30CA8" w:rsidRPr="007C4E34" w:rsidRDefault="00A30CA8" w:rsidP="002B7C87">
      <w:pPr>
        <w:keepNext/>
        <w:rPr>
          <w:szCs w:val="24"/>
        </w:rPr>
      </w:pPr>
    </w:p>
    <w:p w:rsidR="00A30CA8" w:rsidRDefault="00A30CA8" w:rsidP="00150F9C">
      <w:pPr>
        <w:rPr>
          <w:sz w:val="26"/>
          <w:szCs w:val="26"/>
        </w:rPr>
      </w:pPr>
      <w:r w:rsidRPr="007C4E34">
        <w:rPr>
          <w:szCs w:val="24"/>
        </w:rPr>
        <w:tab/>
      </w:r>
      <w:r w:rsidRPr="007C4E34">
        <w:rPr>
          <w:szCs w:val="24"/>
        </w:rPr>
        <w:tab/>
      </w:r>
      <w:r w:rsidRPr="00150F9C">
        <w:rPr>
          <w:sz w:val="26"/>
          <w:szCs w:val="26"/>
        </w:rPr>
        <w:t>The OCA support</w:t>
      </w:r>
      <w:r w:rsidR="006E25A0">
        <w:rPr>
          <w:sz w:val="26"/>
          <w:szCs w:val="26"/>
        </w:rPr>
        <w:t>ed</w:t>
      </w:r>
      <w:r w:rsidRPr="00150F9C">
        <w:rPr>
          <w:sz w:val="26"/>
          <w:szCs w:val="26"/>
        </w:rPr>
        <w:t xml:space="preserve"> implementation of the CTR as a reasonable method to recover historic costs that are associated w</w:t>
      </w:r>
      <w:r w:rsidR="001E0FC2">
        <w:rPr>
          <w:sz w:val="26"/>
          <w:szCs w:val="26"/>
        </w:rPr>
        <w:t>ith the transition from</w:t>
      </w:r>
      <w:r w:rsidRPr="00150F9C">
        <w:rPr>
          <w:sz w:val="26"/>
          <w:szCs w:val="26"/>
        </w:rPr>
        <w:t xml:space="preserve"> rate caps to default service beginning in 2010</w:t>
      </w:r>
      <w:r w:rsidR="001E0FC2">
        <w:rPr>
          <w:sz w:val="26"/>
          <w:szCs w:val="26"/>
        </w:rPr>
        <w:t>, as well as the costs</w:t>
      </w:r>
      <w:r w:rsidRPr="00150F9C">
        <w:rPr>
          <w:sz w:val="26"/>
          <w:szCs w:val="26"/>
        </w:rPr>
        <w:t xml:space="preserve"> </w:t>
      </w:r>
      <w:r w:rsidR="00D72459">
        <w:rPr>
          <w:sz w:val="26"/>
          <w:szCs w:val="26"/>
        </w:rPr>
        <w:t>associated with the TOU</w:t>
      </w:r>
      <w:r w:rsidRPr="00150F9C">
        <w:rPr>
          <w:sz w:val="26"/>
          <w:szCs w:val="26"/>
        </w:rPr>
        <w:t xml:space="preserve"> program</w:t>
      </w:r>
      <w:r w:rsidR="001E0FC2">
        <w:rPr>
          <w:sz w:val="26"/>
          <w:szCs w:val="26"/>
        </w:rPr>
        <w:t>,</w:t>
      </w:r>
      <w:r w:rsidRPr="00150F9C">
        <w:rPr>
          <w:sz w:val="26"/>
          <w:szCs w:val="26"/>
        </w:rPr>
        <w:t xml:space="preserve"> </w:t>
      </w:r>
      <w:r w:rsidR="001E0FC2">
        <w:rPr>
          <w:sz w:val="26"/>
          <w:szCs w:val="26"/>
        </w:rPr>
        <w:t>which</w:t>
      </w:r>
      <w:r w:rsidRPr="00150F9C">
        <w:rPr>
          <w:sz w:val="26"/>
          <w:szCs w:val="26"/>
        </w:rPr>
        <w:t xml:space="preserve"> has encountered difficulties in design and customer retention.  OCA M</w:t>
      </w:r>
      <w:r w:rsidR="00150F9C">
        <w:rPr>
          <w:sz w:val="26"/>
          <w:szCs w:val="26"/>
        </w:rPr>
        <w:t>.</w:t>
      </w:r>
      <w:r w:rsidRPr="00150F9C">
        <w:rPr>
          <w:sz w:val="26"/>
          <w:szCs w:val="26"/>
        </w:rPr>
        <w:t>B</w:t>
      </w:r>
      <w:r w:rsidR="00150F9C">
        <w:rPr>
          <w:sz w:val="26"/>
          <w:szCs w:val="26"/>
        </w:rPr>
        <w:t>.</w:t>
      </w:r>
      <w:r w:rsidRPr="00150F9C">
        <w:rPr>
          <w:sz w:val="26"/>
          <w:szCs w:val="26"/>
        </w:rPr>
        <w:t xml:space="preserve"> at 6-7; R</w:t>
      </w:r>
      <w:r w:rsidR="00150F9C">
        <w:rPr>
          <w:sz w:val="26"/>
          <w:szCs w:val="26"/>
        </w:rPr>
        <w:t>.</w:t>
      </w:r>
      <w:r w:rsidRPr="00150F9C">
        <w:rPr>
          <w:sz w:val="26"/>
          <w:szCs w:val="26"/>
        </w:rPr>
        <w:t>B</w:t>
      </w:r>
      <w:r w:rsidR="00150F9C">
        <w:rPr>
          <w:sz w:val="26"/>
          <w:szCs w:val="26"/>
        </w:rPr>
        <w:t>.</w:t>
      </w:r>
      <w:r w:rsidR="00B34A3B">
        <w:rPr>
          <w:sz w:val="26"/>
          <w:szCs w:val="26"/>
        </w:rPr>
        <w:t xml:space="preserve"> at </w:t>
      </w:r>
      <w:r w:rsidRPr="00150F9C">
        <w:rPr>
          <w:sz w:val="26"/>
          <w:szCs w:val="26"/>
        </w:rPr>
        <w:t xml:space="preserve">1-2.  </w:t>
      </w:r>
      <w:r w:rsidR="001E0FC2">
        <w:rPr>
          <w:sz w:val="26"/>
          <w:szCs w:val="26"/>
        </w:rPr>
        <w:t>T</w:t>
      </w:r>
      <w:r w:rsidR="00150F9C">
        <w:rPr>
          <w:sz w:val="26"/>
          <w:szCs w:val="26"/>
        </w:rPr>
        <w:t xml:space="preserve">he mechanism </w:t>
      </w:r>
      <w:r w:rsidR="001E0FC2">
        <w:rPr>
          <w:sz w:val="26"/>
          <w:szCs w:val="26"/>
        </w:rPr>
        <w:t>would be</w:t>
      </w:r>
      <w:r w:rsidR="00150F9C">
        <w:rPr>
          <w:sz w:val="26"/>
          <w:szCs w:val="26"/>
        </w:rPr>
        <w:t xml:space="preserve"> </w:t>
      </w:r>
      <w:r w:rsidRPr="00150F9C">
        <w:rPr>
          <w:sz w:val="26"/>
          <w:szCs w:val="26"/>
        </w:rPr>
        <w:t>a temporary, one-ti</w:t>
      </w:r>
      <w:r w:rsidR="001E0FC2">
        <w:rPr>
          <w:sz w:val="26"/>
          <w:szCs w:val="26"/>
        </w:rPr>
        <w:t>me charge driven by events that</w:t>
      </w:r>
      <w:r w:rsidRPr="00150F9C">
        <w:rPr>
          <w:sz w:val="26"/>
          <w:szCs w:val="26"/>
        </w:rPr>
        <w:t xml:space="preserve"> already </w:t>
      </w:r>
      <w:r w:rsidR="001E0FC2">
        <w:rPr>
          <w:sz w:val="26"/>
          <w:szCs w:val="26"/>
        </w:rPr>
        <w:t xml:space="preserve">have </w:t>
      </w:r>
      <w:r w:rsidRPr="00150F9C">
        <w:rPr>
          <w:sz w:val="26"/>
          <w:szCs w:val="26"/>
        </w:rPr>
        <w:t xml:space="preserve">occurred, including the proration of bills in January 2010 and the increase in shopping that has significantly reduced the number of customers taking default service, thus reducing the number of customers </w:t>
      </w:r>
      <w:r w:rsidR="001E0FC2">
        <w:rPr>
          <w:sz w:val="26"/>
          <w:szCs w:val="26"/>
        </w:rPr>
        <w:t xml:space="preserve">that are paying </w:t>
      </w:r>
      <w:r w:rsidRPr="00150F9C">
        <w:rPr>
          <w:sz w:val="26"/>
          <w:szCs w:val="26"/>
        </w:rPr>
        <w:t>the under</w:t>
      </w:r>
      <w:r w:rsidR="00150F9C">
        <w:rPr>
          <w:sz w:val="26"/>
          <w:szCs w:val="26"/>
        </w:rPr>
        <w:t xml:space="preserve"> </w:t>
      </w:r>
      <w:r w:rsidR="00576947">
        <w:rPr>
          <w:sz w:val="26"/>
          <w:szCs w:val="26"/>
        </w:rPr>
        <w:t xml:space="preserve">collection.  </w:t>
      </w:r>
      <w:r w:rsidR="00576947">
        <w:rPr>
          <w:i/>
          <w:sz w:val="26"/>
          <w:szCs w:val="26"/>
        </w:rPr>
        <w:t xml:space="preserve">Id. </w:t>
      </w:r>
      <w:r w:rsidR="00576947">
        <w:rPr>
          <w:sz w:val="26"/>
          <w:szCs w:val="26"/>
        </w:rPr>
        <w:t>at 7-8</w:t>
      </w:r>
      <w:r w:rsidR="00D72459">
        <w:rPr>
          <w:sz w:val="26"/>
          <w:szCs w:val="26"/>
        </w:rPr>
        <w:t>.</w:t>
      </w:r>
    </w:p>
    <w:p w:rsidR="00A30CA8" w:rsidRPr="00150F9C" w:rsidRDefault="00A30CA8" w:rsidP="00A30CA8">
      <w:pPr>
        <w:rPr>
          <w:sz w:val="26"/>
          <w:szCs w:val="26"/>
        </w:rPr>
      </w:pPr>
      <w:r w:rsidRPr="00150F9C">
        <w:rPr>
          <w:sz w:val="26"/>
          <w:szCs w:val="26"/>
        </w:rPr>
        <w:lastRenderedPageBreak/>
        <w:tab/>
      </w:r>
      <w:r w:rsidRPr="00150F9C">
        <w:rPr>
          <w:sz w:val="26"/>
          <w:szCs w:val="26"/>
        </w:rPr>
        <w:tab/>
        <w:t xml:space="preserve">As an example, </w:t>
      </w:r>
      <w:r w:rsidR="006E25A0">
        <w:rPr>
          <w:sz w:val="26"/>
          <w:szCs w:val="26"/>
        </w:rPr>
        <w:t>the OCA pointed</w:t>
      </w:r>
      <w:r w:rsidRPr="00150F9C">
        <w:rPr>
          <w:sz w:val="26"/>
          <w:szCs w:val="26"/>
        </w:rPr>
        <w:t xml:space="preserve"> out that the Company testified that only 3,900 customers remain on TOU service as of the service of the rebuttal testimony</w:t>
      </w:r>
      <w:r w:rsidR="001E0FC2">
        <w:rPr>
          <w:sz w:val="26"/>
          <w:szCs w:val="26"/>
        </w:rPr>
        <w:t xml:space="preserve"> in December of </w:t>
      </w:r>
      <w:r w:rsidR="000543E1">
        <w:rPr>
          <w:sz w:val="26"/>
          <w:szCs w:val="26"/>
        </w:rPr>
        <w:t>2011.</w:t>
      </w:r>
      <w:r w:rsidRPr="00150F9C">
        <w:rPr>
          <w:sz w:val="26"/>
          <w:szCs w:val="26"/>
        </w:rPr>
        <w:t xml:space="preserve">  The TOU under</w:t>
      </w:r>
      <w:r w:rsidR="00150F9C">
        <w:rPr>
          <w:sz w:val="26"/>
          <w:szCs w:val="26"/>
        </w:rPr>
        <w:t xml:space="preserve"> </w:t>
      </w:r>
      <w:r w:rsidRPr="00150F9C">
        <w:rPr>
          <w:sz w:val="26"/>
          <w:szCs w:val="26"/>
        </w:rPr>
        <w:t xml:space="preserve">collection is approximately two million dollars.  The OCA position is that the CTR mechanism </w:t>
      </w:r>
      <w:r w:rsidR="001E0FC2">
        <w:rPr>
          <w:sz w:val="26"/>
          <w:szCs w:val="26"/>
        </w:rPr>
        <w:t xml:space="preserve">would </w:t>
      </w:r>
      <w:r w:rsidRPr="00150F9C">
        <w:rPr>
          <w:sz w:val="26"/>
          <w:szCs w:val="26"/>
        </w:rPr>
        <w:t>allow for a reasonable method of collecting these costs from a</w:t>
      </w:r>
      <w:r w:rsidR="005C2CEB">
        <w:rPr>
          <w:sz w:val="26"/>
          <w:szCs w:val="26"/>
        </w:rPr>
        <w:t xml:space="preserve">ll residential customers.  </w:t>
      </w:r>
      <w:r w:rsidR="005C2CEB">
        <w:rPr>
          <w:i/>
          <w:sz w:val="26"/>
          <w:szCs w:val="26"/>
        </w:rPr>
        <w:t xml:space="preserve">Id. </w:t>
      </w:r>
      <w:r w:rsidRPr="00150F9C">
        <w:rPr>
          <w:sz w:val="26"/>
          <w:szCs w:val="26"/>
        </w:rPr>
        <w:t>at 8.</w:t>
      </w:r>
    </w:p>
    <w:p w:rsidR="00A30CA8" w:rsidRPr="00150F9C" w:rsidRDefault="00A30CA8" w:rsidP="00A30CA8">
      <w:pPr>
        <w:rPr>
          <w:sz w:val="26"/>
          <w:szCs w:val="26"/>
        </w:rPr>
      </w:pPr>
    </w:p>
    <w:p w:rsidR="00A30CA8" w:rsidRPr="00150F9C" w:rsidRDefault="00A30CA8" w:rsidP="006E25A0">
      <w:pPr>
        <w:rPr>
          <w:sz w:val="26"/>
          <w:szCs w:val="26"/>
        </w:rPr>
      </w:pPr>
      <w:r w:rsidRPr="00150F9C">
        <w:rPr>
          <w:sz w:val="26"/>
          <w:szCs w:val="26"/>
        </w:rPr>
        <w:tab/>
      </w:r>
      <w:r w:rsidR="00150F9C">
        <w:rPr>
          <w:sz w:val="26"/>
          <w:szCs w:val="26"/>
        </w:rPr>
        <w:tab/>
      </w:r>
      <w:r w:rsidRPr="00150F9C">
        <w:rPr>
          <w:sz w:val="26"/>
          <w:szCs w:val="26"/>
        </w:rPr>
        <w:t>The OSBA oppose</w:t>
      </w:r>
      <w:r w:rsidR="006E25A0">
        <w:rPr>
          <w:sz w:val="26"/>
          <w:szCs w:val="26"/>
        </w:rPr>
        <w:t>d</w:t>
      </w:r>
      <w:r w:rsidRPr="00150F9C">
        <w:rPr>
          <w:sz w:val="26"/>
          <w:szCs w:val="26"/>
        </w:rPr>
        <w:t xml:space="preserve"> the CTR as unnecessary and inequitable.  The </w:t>
      </w:r>
      <w:r w:rsidR="00150F9C">
        <w:rPr>
          <w:sz w:val="26"/>
          <w:szCs w:val="26"/>
        </w:rPr>
        <w:t>OSBA aver</w:t>
      </w:r>
      <w:r w:rsidR="006E25A0">
        <w:rPr>
          <w:sz w:val="26"/>
          <w:szCs w:val="26"/>
        </w:rPr>
        <w:t>red</w:t>
      </w:r>
      <w:r w:rsidR="00150F9C">
        <w:rPr>
          <w:sz w:val="26"/>
          <w:szCs w:val="26"/>
        </w:rPr>
        <w:t xml:space="preserve"> that the </w:t>
      </w:r>
      <w:r w:rsidRPr="00150F9C">
        <w:rPr>
          <w:sz w:val="26"/>
          <w:szCs w:val="26"/>
        </w:rPr>
        <w:t>Company has failed to provide evidence to support the need for it, as it presented no evidence that there will be a substantial v</w:t>
      </w:r>
      <w:r w:rsidR="00B34A3B">
        <w:rPr>
          <w:sz w:val="26"/>
          <w:szCs w:val="26"/>
        </w:rPr>
        <w:t xml:space="preserve">ariance at the end of May 2012, </w:t>
      </w:r>
      <w:r w:rsidR="001E0FC2">
        <w:rPr>
          <w:sz w:val="26"/>
          <w:szCs w:val="26"/>
        </w:rPr>
        <w:t xml:space="preserve">that could </w:t>
      </w:r>
      <w:r w:rsidRPr="00150F9C">
        <w:rPr>
          <w:sz w:val="26"/>
          <w:szCs w:val="26"/>
        </w:rPr>
        <w:t>not be recovered through the RR.</w:t>
      </w:r>
      <w:r w:rsidR="00B12D7A">
        <w:rPr>
          <w:sz w:val="26"/>
          <w:szCs w:val="26"/>
        </w:rPr>
        <w:t xml:space="preserve">  OSBA M.B. at</w:t>
      </w:r>
      <w:r w:rsidR="002C32E6">
        <w:rPr>
          <w:sz w:val="26"/>
          <w:szCs w:val="26"/>
        </w:rPr>
        <w:t xml:space="preserve"> 20</w:t>
      </w:r>
      <w:r w:rsidR="00B12D7A">
        <w:rPr>
          <w:sz w:val="26"/>
          <w:szCs w:val="26"/>
        </w:rPr>
        <w:t>.</w:t>
      </w:r>
    </w:p>
    <w:p w:rsidR="00A30CA8" w:rsidRPr="00150F9C" w:rsidRDefault="00A30CA8" w:rsidP="00A30CA8">
      <w:pPr>
        <w:rPr>
          <w:sz w:val="26"/>
          <w:szCs w:val="26"/>
        </w:rPr>
      </w:pPr>
    </w:p>
    <w:p w:rsidR="00A30CA8" w:rsidRPr="00150F9C" w:rsidRDefault="00A30CA8" w:rsidP="00150F9C">
      <w:pPr>
        <w:rPr>
          <w:sz w:val="26"/>
          <w:szCs w:val="26"/>
        </w:rPr>
      </w:pPr>
      <w:r w:rsidRPr="00150F9C">
        <w:rPr>
          <w:sz w:val="26"/>
          <w:szCs w:val="26"/>
        </w:rPr>
        <w:tab/>
      </w:r>
      <w:r w:rsidR="00150F9C">
        <w:rPr>
          <w:sz w:val="26"/>
          <w:szCs w:val="26"/>
        </w:rPr>
        <w:tab/>
        <w:t xml:space="preserve">The </w:t>
      </w:r>
      <w:r w:rsidRPr="00150F9C">
        <w:rPr>
          <w:sz w:val="26"/>
          <w:szCs w:val="26"/>
        </w:rPr>
        <w:t>OSBA argue</w:t>
      </w:r>
      <w:r w:rsidR="006E25A0">
        <w:rPr>
          <w:sz w:val="26"/>
          <w:szCs w:val="26"/>
        </w:rPr>
        <w:t>d</w:t>
      </w:r>
      <w:r w:rsidRPr="00150F9C">
        <w:rPr>
          <w:sz w:val="26"/>
          <w:szCs w:val="26"/>
        </w:rPr>
        <w:t xml:space="preserve"> that implementation of the CTR would </w:t>
      </w:r>
      <w:r w:rsidR="008F76B2">
        <w:rPr>
          <w:sz w:val="26"/>
          <w:szCs w:val="26"/>
        </w:rPr>
        <w:t>continue</w:t>
      </w:r>
      <w:r w:rsidRPr="00150F9C">
        <w:rPr>
          <w:sz w:val="26"/>
          <w:szCs w:val="26"/>
        </w:rPr>
        <w:t xml:space="preserve"> the accounting mismatch that comes with the Company</w:t>
      </w:r>
      <w:r w:rsidR="000964BB">
        <w:rPr>
          <w:sz w:val="26"/>
          <w:szCs w:val="26"/>
        </w:rPr>
        <w:t>’</w:t>
      </w:r>
      <w:r w:rsidRPr="00150F9C">
        <w:rPr>
          <w:sz w:val="26"/>
          <w:szCs w:val="26"/>
        </w:rPr>
        <w:t xml:space="preserve">s </w:t>
      </w:r>
      <w:r w:rsidR="000964BB">
        <w:rPr>
          <w:sz w:val="26"/>
          <w:szCs w:val="26"/>
        </w:rPr>
        <w:t>“</w:t>
      </w:r>
      <w:r w:rsidRPr="00150F9C">
        <w:rPr>
          <w:sz w:val="26"/>
          <w:szCs w:val="26"/>
        </w:rPr>
        <w:t>proration</w:t>
      </w:r>
      <w:r w:rsidR="000964BB">
        <w:rPr>
          <w:sz w:val="26"/>
          <w:szCs w:val="26"/>
        </w:rPr>
        <w:t>”</w:t>
      </w:r>
      <w:r w:rsidRPr="00150F9C">
        <w:rPr>
          <w:sz w:val="26"/>
          <w:szCs w:val="26"/>
        </w:rPr>
        <w:t xml:space="preserve"> of revenues </w:t>
      </w:r>
      <w:r w:rsidR="008F76B2">
        <w:rPr>
          <w:sz w:val="26"/>
          <w:szCs w:val="26"/>
        </w:rPr>
        <w:t>that</w:t>
      </w:r>
      <w:r w:rsidRPr="00150F9C">
        <w:rPr>
          <w:sz w:val="26"/>
          <w:szCs w:val="26"/>
        </w:rPr>
        <w:t xml:space="preserve"> started the p</w:t>
      </w:r>
      <w:r w:rsidR="008F76B2">
        <w:rPr>
          <w:sz w:val="26"/>
          <w:szCs w:val="26"/>
        </w:rPr>
        <w:t>roblem two years ago, thus prolong</w:t>
      </w:r>
      <w:r w:rsidRPr="00150F9C">
        <w:rPr>
          <w:sz w:val="26"/>
          <w:szCs w:val="26"/>
        </w:rPr>
        <w:t>ing the problem that</w:t>
      </w:r>
      <w:r w:rsidR="00150F9C">
        <w:rPr>
          <w:sz w:val="26"/>
          <w:szCs w:val="26"/>
        </w:rPr>
        <w:t xml:space="preserve"> it purports to address.  According to the </w:t>
      </w:r>
      <w:r w:rsidRPr="00150F9C">
        <w:rPr>
          <w:sz w:val="26"/>
          <w:szCs w:val="26"/>
        </w:rPr>
        <w:t xml:space="preserve">OSBA, </w:t>
      </w:r>
      <w:r w:rsidR="00150F9C">
        <w:rPr>
          <w:sz w:val="26"/>
          <w:szCs w:val="26"/>
        </w:rPr>
        <w:t xml:space="preserve">this </w:t>
      </w:r>
      <w:r w:rsidRPr="00150F9C">
        <w:rPr>
          <w:sz w:val="26"/>
          <w:szCs w:val="26"/>
        </w:rPr>
        <w:t xml:space="preserve">mechanism is unfair to shopping customers as it charges </w:t>
      </w:r>
      <w:r w:rsidRPr="00150F9C">
        <w:rPr>
          <w:i/>
          <w:sz w:val="26"/>
          <w:szCs w:val="26"/>
        </w:rPr>
        <w:t xml:space="preserve">all </w:t>
      </w:r>
      <w:r w:rsidRPr="00150F9C">
        <w:rPr>
          <w:sz w:val="26"/>
          <w:szCs w:val="26"/>
        </w:rPr>
        <w:t>distribution customers without any evidence that the shopping customers contributed to the over or under collection that exists on May 31, 2012.  Aft</w:t>
      </w:r>
      <w:r w:rsidR="008F76B2">
        <w:rPr>
          <w:sz w:val="26"/>
          <w:szCs w:val="26"/>
        </w:rPr>
        <w:t xml:space="preserve">er all, the 2010 variances </w:t>
      </w:r>
      <w:r w:rsidRPr="00150F9C">
        <w:rPr>
          <w:sz w:val="26"/>
          <w:szCs w:val="26"/>
        </w:rPr>
        <w:t xml:space="preserve">already </w:t>
      </w:r>
      <w:r w:rsidR="008F76B2">
        <w:rPr>
          <w:sz w:val="26"/>
          <w:szCs w:val="26"/>
        </w:rPr>
        <w:t xml:space="preserve">have </w:t>
      </w:r>
      <w:r w:rsidRPr="00150F9C">
        <w:rPr>
          <w:sz w:val="26"/>
          <w:szCs w:val="26"/>
        </w:rPr>
        <w:t xml:space="preserve">been collected from default service customers.  Therefore, it is impossible for customers who shopped in early 2010 to be responsible for the variances in May 31, 2012.  </w:t>
      </w:r>
      <w:r w:rsidR="00F14666">
        <w:rPr>
          <w:i/>
          <w:sz w:val="26"/>
          <w:szCs w:val="26"/>
        </w:rPr>
        <w:t>Id.</w:t>
      </w:r>
      <w:r w:rsidR="00150F9C">
        <w:rPr>
          <w:sz w:val="26"/>
          <w:szCs w:val="26"/>
        </w:rPr>
        <w:t xml:space="preserve"> at 21</w:t>
      </w:r>
      <w:r w:rsidR="00F14666">
        <w:rPr>
          <w:sz w:val="26"/>
          <w:szCs w:val="26"/>
        </w:rPr>
        <w:t>-22</w:t>
      </w:r>
      <w:r w:rsidR="00150F9C">
        <w:rPr>
          <w:sz w:val="26"/>
          <w:szCs w:val="26"/>
        </w:rPr>
        <w:t>.</w:t>
      </w:r>
    </w:p>
    <w:p w:rsidR="00A30CA8" w:rsidRPr="00150F9C" w:rsidRDefault="00A30CA8" w:rsidP="00A30CA8">
      <w:pPr>
        <w:rPr>
          <w:sz w:val="26"/>
          <w:szCs w:val="26"/>
        </w:rPr>
      </w:pPr>
    </w:p>
    <w:p w:rsidR="00A30CA8" w:rsidRDefault="00A30CA8" w:rsidP="00A30CA8">
      <w:pPr>
        <w:rPr>
          <w:sz w:val="26"/>
          <w:szCs w:val="26"/>
        </w:rPr>
      </w:pPr>
      <w:r w:rsidRPr="00150F9C">
        <w:rPr>
          <w:sz w:val="26"/>
          <w:szCs w:val="26"/>
        </w:rPr>
        <w:tab/>
      </w:r>
      <w:r w:rsidRPr="00150F9C">
        <w:rPr>
          <w:sz w:val="26"/>
          <w:szCs w:val="26"/>
        </w:rPr>
        <w:tab/>
        <w:t xml:space="preserve">As an alternative, </w:t>
      </w:r>
      <w:r w:rsidR="006E25A0">
        <w:rPr>
          <w:sz w:val="26"/>
          <w:szCs w:val="26"/>
        </w:rPr>
        <w:t>the OSBA recommended</w:t>
      </w:r>
      <w:r w:rsidRPr="00150F9C">
        <w:rPr>
          <w:sz w:val="26"/>
          <w:szCs w:val="26"/>
        </w:rPr>
        <w:t xml:space="preserve"> that any variance existing on May 31, 2012</w:t>
      </w:r>
      <w:r w:rsidR="006E25A0">
        <w:rPr>
          <w:sz w:val="26"/>
          <w:szCs w:val="26"/>
        </w:rPr>
        <w:t>,</w:t>
      </w:r>
      <w:r w:rsidRPr="00150F9C">
        <w:rPr>
          <w:sz w:val="26"/>
          <w:szCs w:val="26"/>
        </w:rPr>
        <w:t xml:space="preserve"> be rolled into the RR variance account as the opening balance on June 1, 2012, which then </w:t>
      </w:r>
      <w:r w:rsidR="008F76B2">
        <w:rPr>
          <w:sz w:val="26"/>
          <w:szCs w:val="26"/>
        </w:rPr>
        <w:t xml:space="preserve">could </w:t>
      </w:r>
      <w:r w:rsidRPr="00150F9C">
        <w:rPr>
          <w:sz w:val="26"/>
          <w:szCs w:val="26"/>
        </w:rPr>
        <w:t xml:space="preserve">be collected over the following </w:t>
      </w:r>
      <w:r w:rsidR="002B7C87">
        <w:rPr>
          <w:sz w:val="26"/>
          <w:szCs w:val="26"/>
        </w:rPr>
        <w:t>twelve</w:t>
      </w:r>
      <w:r w:rsidR="00F14666">
        <w:rPr>
          <w:sz w:val="26"/>
          <w:szCs w:val="26"/>
        </w:rPr>
        <w:t xml:space="preserve"> months through the RR.  </w:t>
      </w:r>
      <w:r w:rsidR="00F14666">
        <w:rPr>
          <w:i/>
          <w:sz w:val="26"/>
          <w:szCs w:val="26"/>
        </w:rPr>
        <w:t>Id</w:t>
      </w:r>
      <w:r w:rsidR="002B7C87">
        <w:rPr>
          <w:i/>
          <w:sz w:val="26"/>
          <w:szCs w:val="26"/>
        </w:rPr>
        <w:t>. </w:t>
      </w:r>
      <w:r w:rsidRPr="00150F9C">
        <w:rPr>
          <w:sz w:val="26"/>
          <w:szCs w:val="26"/>
        </w:rPr>
        <w:t xml:space="preserve"> at 22.</w:t>
      </w:r>
    </w:p>
    <w:p w:rsidR="006E25A0" w:rsidRPr="00150F9C" w:rsidRDefault="006E25A0" w:rsidP="00A30CA8">
      <w:pPr>
        <w:rPr>
          <w:sz w:val="26"/>
          <w:szCs w:val="26"/>
        </w:rPr>
      </w:pPr>
    </w:p>
    <w:p w:rsidR="00A30CA8" w:rsidRPr="00150F9C" w:rsidRDefault="00A30CA8" w:rsidP="006E25A0">
      <w:pPr>
        <w:rPr>
          <w:sz w:val="26"/>
          <w:szCs w:val="26"/>
        </w:rPr>
      </w:pPr>
      <w:r w:rsidRPr="00150F9C">
        <w:rPr>
          <w:b/>
          <w:sz w:val="26"/>
          <w:szCs w:val="26"/>
        </w:rPr>
        <w:lastRenderedPageBreak/>
        <w:tab/>
      </w:r>
      <w:r w:rsidRPr="00150F9C">
        <w:rPr>
          <w:b/>
          <w:sz w:val="26"/>
          <w:szCs w:val="26"/>
        </w:rPr>
        <w:tab/>
      </w:r>
      <w:r w:rsidR="006E25A0">
        <w:rPr>
          <w:sz w:val="26"/>
          <w:szCs w:val="26"/>
        </w:rPr>
        <w:t>PPLICA opposed</w:t>
      </w:r>
      <w:r w:rsidRPr="00150F9C">
        <w:rPr>
          <w:sz w:val="26"/>
          <w:szCs w:val="26"/>
        </w:rPr>
        <w:t xml:space="preserve"> the collection of default service-related generation costs from shopping customers as </w:t>
      </w:r>
      <w:r w:rsidR="006E25A0">
        <w:rPr>
          <w:sz w:val="26"/>
          <w:szCs w:val="26"/>
        </w:rPr>
        <w:t xml:space="preserve">being </w:t>
      </w:r>
      <w:r w:rsidRPr="00150F9C">
        <w:rPr>
          <w:sz w:val="26"/>
          <w:szCs w:val="26"/>
        </w:rPr>
        <w:t>unreasonable and not authorized by Act 129</w:t>
      </w:r>
      <w:r w:rsidR="002B7C87">
        <w:rPr>
          <w:sz w:val="26"/>
          <w:szCs w:val="26"/>
        </w:rPr>
        <w:t>.</w:t>
      </w:r>
      <w:r w:rsidR="003A79BF">
        <w:rPr>
          <w:rStyle w:val="FootnoteReference"/>
          <w:sz w:val="26"/>
          <w:szCs w:val="26"/>
        </w:rPr>
        <w:footnoteReference w:id="5"/>
      </w:r>
      <w:r w:rsidR="006E25A0">
        <w:rPr>
          <w:sz w:val="26"/>
          <w:szCs w:val="26"/>
        </w:rPr>
        <w:t xml:space="preserve"> According to PPLICA, f</w:t>
      </w:r>
      <w:r w:rsidRPr="00150F9C">
        <w:rPr>
          <w:sz w:val="26"/>
          <w:szCs w:val="26"/>
        </w:rPr>
        <w:t>rom a general ratemaking standpoint, it is patently unjust and unreasonable to recover generation-related under</w:t>
      </w:r>
      <w:r w:rsidR="006E25A0">
        <w:rPr>
          <w:sz w:val="26"/>
          <w:szCs w:val="26"/>
        </w:rPr>
        <w:t xml:space="preserve"> </w:t>
      </w:r>
      <w:r w:rsidRPr="00150F9C">
        <w:rPr>
          <w:sz w:val="26"/>
          <w:szCs w:val="26"/>
        </w:rPr>
        <w:t>collections for d</w:t>
      </w:r>
      <w:r w:rsidR="008F76B2">
        <w:rPr>
          <w:sz w:val="26"/>
          <w:szCs w:val="26"/>
        </w:rPr>
        <w:t xml:space="preserve">efault service supply </w:t>
      </w:r>
      <w:r w:rsidRPr="00150F9C">
        <w:rPr>
          <w:sz w:val="26"/>
          <w:szCs w:val="26"/>
        </w:rPr>
        <w:t xml:space="preserve">from customers who have not taken default service during the application period.  </w:t>
      </w:r>
      <w:r w:rsidR="006E25A0">
        <w:rPr>
          <w:sz w:val="26"/>
          <w:szCs w:val="26"/>
        </w:rPr>
        <w:t xml:space="preserve">PPLICA opined that </w:t>
      </w:r>
      <w:r w:rsidRPr="00150F9C">
        <w:rPr>
          <w:sz w:val="26"/>
          <w:szCs w:val="26"/>
        </w:rPr>
        <w:t>PPL</w:t>
      </w:r>
      <w:r w:rsidR="000964BB">
        <w:rPr>
          <w:sz w:val="26"/>
          <w:szCs w:val="26"/>
        </w:rPr>
        <w:t>’</w:t>
      </w:r>
      <w:r w:rsidRPr="00150F9C">
        <w:rPr>
          <w:sz w:val="26"/>
          <w:szCs w:val="26"/>
        </w:rPr>
        <w:t xml:space="preserve">s reliance on Section 2807(e)(3.9) overextends the meaning of the statute.  </w:t>
      </w:r>
      <w:r w:rsidR="006E25A0">
        <w:rPr>
          <w:sz w:val="26"/>
          <w:szCs w:val="26"/>
        </w:rPr>
        <w:t>PPLICA stated that t</w:t>
      </w:r>
      <w:r w:rsidRPr="00150F9C">
        <w:rPr>
          <w:sz w:val="26"/>
          <w:szCs w:val="26"/>
        </w:rPr>
        <w:t>he statute addresses only an EDC</w:t>
      </w:r>
      <w:r w:rsidR="000964BB">
        <w:rPr>
          <w:sz w:val="26"/>
          <w:szCs w:val="26"/>
        </w:rPr>
        <w:t>’</w:t>
      </w:r>
      <w:r w:rsidRPr="00150F9C">
        <w:rPr>
          <w:sz w:val="26"/>
          <w:szCs w:val="26"/>
        </w:rPr>
        <w:t xml:space="preserve">s right to recover default service costs; </w:t>
      </w:r>
      <w:r w:rsidR="00E64A80" w:rsidRPr="00150F9C">
        <w:rPr>
          <w:sz w:val="26"/>
          <w:szCs w:val="26"/>
        </w:rPr>
        <w:t>its</w:t>
      </w:r>
      <w:r w:rsidRPr="00150F9C">
        <w:rPr>
          <w:sz w:val="26"/>
          <w:szCs w:val="26"/>
        </w:rPr>
        <w:t xml:space="preserve"> plain meaning does not authorize recovery of such costs from shopping customers</w:t>
      </w:r>
      <w:r w:rsidR="006E25A0">
        <w:rPr>
          <w:sz w:val="26"/>
          <w:szCs w:val="26"/>
        </w:rPr>
        <w:t xml:space="preserve">.  </w:t>
      </w:r>
      <w:r w:rsidRPr="00150F9C">
        <w:rPr>
          <w:sz w:val="26"/>
          <w:szCs w:val="26"/>
        </w:rPr>
        <w:t>PPLICA M</w:t>
      </w:r>
      <w:r w:rsidR="006E25A0">
        <w:rPr>
          <w:sz w:val="26"/>
          <w:szCs w:val="26"/>
        </w:rPr>
        <w:t>.</w:t>
      </w:r>
      <w:r w:rsidRPr="00150F9C">
        <w:rPr>
          <w:sz w:val="26"/>
          <w:szCs w:val="26"/>
        </w:rPr>
        <w:t>B</w:t>
      </w:r>
      <w:r w:rsidR="006E25A0">
        <w:rPr>
          <w:sz w:val="26"/>
          <w:szCs w:val="26"/>
        </w:rPr>
        <w:t>.</w:t>
      </w:r>
      <w:r w:rsidRPr="00150F9C">
        <w:rPr>
          <w:sz w:val="26"/>
          <w:szCs w:val="26"/>
        </w:rPr>
        <w:t xml:space="preserve"> at 14.</w:t>
      </w:r>
    </w:p>
    <w:p w:rsidR="00A30CA8" w:rsidRPr="00150F9C" w:rsidRDefault="00A30CA8" w:rsidP="00A30CA8">
      <w:pPr>
        <w:rPr>
          <w:sz w:val="26"/>
          <w:szCs w:val="26"/>
        </w:rPr>
      </w:pPr>
    </w:p>
    <w:p w:rsidR="00A30CA8" w:rsidRPr="00150F9C" w:rsidRDefault="00A30CA8" w:rsidP="00A30CA8">
      <w:pPr>
        <w:rPr>
          <w:sz w:val="26"/>
          <w:szCs w:val="26"/>
        </w:rPr>
      </w:pPr>
      <w:r w:rsidRPr="00150F9C">
        <w:rPr>
          <w:sz w:val="26"/>
          <w:szCs w:val="26"/>
        </w:rPr>
        <w:tab/>
      </w:r>
      <w:r w:rsidRPr="00150F9C">
        <w:rPr>
          <w:sz w:val="26"/>
          <w:szCs w:val="26"/>
        </w:rPr>
        <w:tab/>
      </w:r>
      <w:r w:rsidR="004E2B9A">
        <w:rPr>
          <w:sz w:val="26"/>
          <w:szCs w:val="26"/>
        </w:rPr>
        <w:t>Further, PPLICA charged</w:t>
      </w:r>
      <w:r w:rsidRPr="00150F9C">
        <w:rPr>
          <w:sz w:val="26"/>
          <w:szCs w:val="26"/>
        </w:rPr>
        <w:t xml:space="preserve"> that the generation supply under</w:t>
      </w:r>
      <w:r w:rsidR="004E2B9A">
        <w:rPr>
          <w:sz w:val="26"/>
          <w:szCs w:val="26"/>
        </w:rPr>
        <w:t xml:space="preserve"> </w:t>
      </w:r>
      <w:r w:rsidRPr="00150F9C">
        <w:rPr>
          <w:sz w:val="26"/>
          <w:szCs w:val="26"/>
        </w:rPr>
        <w:t xml:space="preserve">collection experienced in January 2010 arose largely from an accounting decision made by the Company which mismatched expenses for January 2010 against only two weeks of revenues.  </w:t>
      </w:r>
      <w:r w:rsidR="004E2B9A">
        <w:rPr>
          <w:sz w:val="26"/>
          <w:szCs w:val="26"/>
        </w:rPr>
        <w:t>PPLICA alleged t</w:t>
      </w:r>
      <w:r w:rsidRPr="00150F9C">
        <w:rPr>
          <w:sz w:val="26"/>
          <w:szCs w:val="26"/>
        </w:rPr>
        <w:t>his mismatch was not caused by a revenu</w:t>
      </w:r>
      <w:r w:rsidR="00795AF3">
        <w:rPr>
          <w:sz w:val="26"/>
          <w:szCs w:val="26"/>
        </w:rPr>
        <w:t>e shortfall, and that</w:t>
      </w:r>
      <w:r w:rsidR="00C71623">
        <w:rPr>
          <w:sz w:val="26"/>
          <w:szCs w:val="26"/>
        </w:rPr>
        <w:t xml:space="preserve"> </w:t>
      </w:r>
      <w:r w:rsidRPr="00150F9C">
        <w:rPr>
          <w:sz w:val="26"/>
          <w:szCs w:val="26"/>
        </w:rPr>
        <w:t>PPL</w:t>
      </w:r>
      <w:r w:rsidR="000964BB">
        <w:rPr>
          <w:sz w:val="26"/>
          <w:szCs w:val="26"/>
        </w:rPr>
        <w:t>’</w:t>
      </w:r>
      <w:r w:rsidRPr="00150F9C">
        <w:rPr>
          <w:sz w:val="26"/>
          <w:szCs w:val="26"/>
        </w:rPr>
        <w:t>s proposal to recover historical GSC variances through the proposed CTR is not authorized b</w:t>
      </w:r>
      <w:r w:rsidR="004E2B9A">
        <w:rPr>
          <w:sz w:val="26"/>
          <w:szCs w:val="26"/>
        </w:rPr>
        <w:t xml:space="preserve">y the cost recovery provisions </w:t>
      </w:r>
      <w:r w:rsidRPr="00150F9C">
        <w:rPr>
          <w:sz w:val="26"/>
          <w:szCs w:val="26"/>
        </w:rPr>
        <w:t>in Act 129.</w:t>
      </w:r>
      <w:r w:rsidR="007A28F8">
        <w:rPr>
          <w:sz w:val="26"/>
          <w:szCs w:val="26"/>
        </w:rPr>
        <w:t xml:space="preserve">  </w:t>
      </w:r>
      <w:r w:rsidR="007A28F8">
        <w:rPr>
          <w:i/>
          <w:sz w:val="26"/>
          <w:szCs w:val="26"/>
        </w:rPr>
        <w:t xml:space="preserve">Id. </w:t>
      </w:r>
      <w:r w:rsidR="004E2B9A">
        <w:rPr>
          <w:sz w:val="26"/>
          <w:szCs w:val="26"/>
        </w:rPr>
        <w:t>at 15</w:t>
      </w:r>
      <w:r w:rsidR="007A28F8">
        <w:rPr>
          <w:sz w:val="26"/>
          <w:szCs w:val="26"/>
        </w:rPr>
        <w:t>-16</w:t>
      </w:r>
      <w:r w:rsidR="004E2B9A">
        <w:rPr>
          <w:sz w:val="26"/>
          <w:szCs w:val="26"/>
        </w:rPr>
        <w:t>.</w:t>
      </w:r>
    </w:p>
    <w:p w:rsidR="00A30CA8" w:rsidRPr="00150F9C" w:rsidRDefault="00A30CA8" w:rsidP="00A30CA8">
      <w:pPr>
        <w:rPr>
          <w:sz w:val="26"/>
          <w:szCs w:val="26"/>
        </w:rPr>
      </w:pPr>
    </w:p>
    <w:p w:rsidR="00A30CA8" w:rsidRPr="00150F9C" w:rsidRDefault="00A30CA8" w:rsidP="004E2B9A">
      <w:pPr>
        <w:rPr>
          <w:sz w:val="26"/>
          <w:szCs w:val="26"/>
        </w:rPr>
      </w:pPr>
      <w:r w:rsidRPr="00150F9C">
        <w:rPr>
          <w:sz w:val="26"/>
          <w:szCs w:val="26"/>
        </w:rPr>
        <w:tab/>
      </w:r>
      <w:r w:rsidRPr="00150F9C">
        <w:rPr>
          <w:sz w:val="26"/>
          <w:szCs w:val="26"/>
        </w:rPr>
        <w:tab/>
      </w:r>
      <w:r w:rsidR="00795AF3">
        <w:rPr>
          <w:sz w:val="26"/>
          <w:szCs w:val="26"/>
        </w:rPr>
        <w:t>However, PPLICA did</w:t>
      </w:r>
      <w:r w:rsidRPr="00150F9C">
        <w:rPr>
          <w:sz w:val="26"/>
          <w:szCs w:val="26"/>
        </w:rPr>
        <w:t xml:space="preserve"> not oppose the transmissi</w:t>
      </w:r>
      <w:r w:rsidR="00795AF3">
        <w:rPr>
          <w:sz w:val="26"/>
          <w:szCs w:val="26"/>
        </w:rPr>
        <w:t xml:space="preserve">on component in the CTR, which </w:t>
      </w:r>
      <w:r w:rsidRPr="00150F9C">
        <w:rPr>
          <w:sz w:val="26"/>
          <w:szCs w:val="26"/>
        </w:rPr>
        <w:t>may provide the Commission with a mechanism for administering any necessary refunds resulting from its ongoing investigation into PPL</w:t>
      </w:r>
      <w:r w:rsidR="000964BB">
        <w:rPr>
          <w:sz w:val="26"/>
          <w:szCs w:val="26"/>
        </w:rPr>
        <w:t>’</w:t>
      </w:r>
      <w:r w:rsidRPr="00150F9C">
        <w:rPr>
          <w:sz w:val="26"/>
          <w:szCs w:val="26"/>
        </w:rPr>
        <w:t>s TS</w:t>
      </w:r>
      <w:r w:rsidR="004E2B9A">
        <w:rPr>
          <w:sz w:val="26"/>
          <w:szCs w:val="26"/>
        </w:rPr>
        <w:t>C.  PPLICA specifically requested</w:t>
      </w:r>
      <w:r w:rsidRPr="00150F9C">
        <w:rPr>
          <w:sz w:val="26"/>
          <w:szCs w:val="26"/>
        </w:rPr>
        <w:t xml:space="preserve"> that the Company be required to separately reconcile the E-factors for the Large C&amp;I Primary and Large C&amp;I Transmission classes.  </w:t>
      </w:r>
      <w:r w:rsidR="004E2B9A">
        <w:rPr>
          <w:sz w:val="26"/>
          <w:szCs w:val="26"/>
        </w:rPr>
        <w:t>PPLICA pointed out that a</w:t>
      </w:r>
      <w:r w:rsidRPr="00150F9C">
        <w:rPr>
          <w:sz w:val="26"/>
          <w:szCs w:val="26"/>
        </w:rPr>
        <w:t>n analysis of PPL</w:t>
      </w:r>
      <w:r w:rsidR="000964BB">
        <w:rPr>
          <w:sz w:val="26"/>
          <w:szCs w:val="26"/>
        </w:rPr>
        <w:t>’</w:t>
      </w:r>
      <w:r w:rsidRPr="00150F9C">
        <w:rPr>
          <w:sz w:val="26"/>
          <w:szCs w:val="26"/>
        </w:rPr>
        <w:t>s historic TSC variances, through the 2010, 2011, and 2011/2012 TSC a</w:t>
      </w:r>
      <w:r w:rsidR="00795AF3">
        <w:rPr>
          <w:sz w:val="26"/>
          <w:szCs w:val="26"/>
        </w:rPr>
        <w:t>pplication periods</w:t>
      </w:r>
      <w:r w:rsidR="004E2B9A">
        <w:rPr>
          <w:sz w:val="26"/>
          <w:szCs w:val="26"/>
        </w:rPr>
        <w:t>, demonstrated</w:t>
      </w:r>
      <w:r w:rsidRPr="00150F9C">
        <w:rPr>
          <w:sz w:val="26"/>
          <w:szCs w:val="26"/>
        </w:rPr>
        <w:t xml:space="preserve"> that </w:t>
      </w:r>
      <w:r w:rsidR="00795AF3">
        <w:rPr>
          <w:sz w:val="26"/>
          <w:szCs w:val="26"/>
        </w:rPr>
        <w:t>the</w:t>
      </w:r>
      <w:r w:rsidRPr="00150F9C">
        <w:rPr>
          <w:sz w:val="26"/>
          <w:szCs w:val="26"/>
        </w:rPr>
        <w:t xml:space="preserve"> currently deferred TSC over</w:t>
      </w:r>
      <w:r w:rsidR="004E2B9A">
        <w:rPr>
          <w:sz w:val="26"/>
          <w:szCs w:val="26"/>
        </w:rPr>
        <w:t xml:space="preserve"> </w:t>
      </w:r>
      <w:r w:rsidRPr="00150F9C">
        <w:rPr>
          <w:sz w:val="26"/>
          <w:szCs w:val="26"/>
        </w:rPr>
        <w:t>collection is largely attributable to periods during which virtually all of PPL</w:t>
      </w:r>
      <w:r w:rsidR="000964BB">
        <w:rPr>
          <w:sz w:val="26"/>
          <w:szCs w:val="26"/>
        </w:rPr>
        <w:t>’</w:t>
      </w:r>
      <w:r w:rsidRPr="00150F9C">
        <w:rPr>
          <w:sz w:val="26"/>
          <w:szCs w:val="26"/>
        </w:rPr>
        <w:t>s Large C&amp;I customer base remained on default service.</w:t>
      </w:r>
      <w:r w:rsidR="004E2B9A">
        <w:rPr>
          <w:sz w:val="26"/>
          <w:szCs w:val="26"/>
        </w:rPr>
        <w:t xml:space="preserve">  </w:t>
      </w:r>
      <w:r w:rsidR="007A28F8">
        <w:rPr>
          <w:i/>
          <w:sz w:val="26"/>
          <w:szCs w:val="26"/>
        </w:rPr>
        <w:t xml:space="preserve">Id. </w:t>
      </w:r>
      <w:r w:rsidRPr="00150F9C">
        <w:rPr>
          <w:sz w:val="26"/>
          <w:szCs w:val="26"/>
        </w:rPr>
        <w:t xml:space="preserve">at </w:t>
      </w:r>
      <w:r w:rsidR="007A28F8">
        <w:rPr>
          <w:sz w:val="26"/>
          <w:szCs w:val="26"/>
        </w:rPr>
        <w:t>16-</w:t>
      </w:r>
      <w:r w:rsidRPr="00150F9C">
        <w:rPr>
          <w:sz w:val="26"/>
          <w:szCs w:val="26"/>
        </w:rPr>
        <w:t xml:space="preserve">17.  </w:t>
      </w:r>
    </w:p>
    <w:p w:rsidR="00A30CA8" w:rsidRPr="00150F9C" w:rsidRDefault="00A30CA8" w:rsidP="00A30CA8">
      <w:pPr>
        <w:rPr>
          <w:sz w:val="26"/>
          <w:szCs w:val="26"/>
        </w:rPr>
      </w:pPr>
    </w:p>
    <w:p w:rsidR="00A30CA8" w:rsidRPr="00150F9C" w:rsidRDefault="00A30CA8" w:rsidP="00272884">
      <w:pPr>
        <w:rPr>
          <w:sz w:val="26"/>
          <w:szCs w:val="26"/>
        </w:rPr>
      </w:pPr>
      <w:r w:rsidRPr="00150F9C">
        <w:rPr>
          <w:sz w:val="26"/>
          <w:szCs w:val="26"/>
        </w:rPr>
        <w:lastRenderedPageBreak/>
        <w:tab/>
      </w:r>
      <w:r w:rsidRPr="00150F9C">
        <w:rPr>
          <w:sz w:val="26"/>
          <w:szCs w:val="26"/>
        </w:rPr>
        <w:tab/>
      </w:r>
      <w:r w:rsidR="00272884">
        <w:rPr>
          <w:sz w:val="26"/>
          <w:szCs w:val="26"/>
        </w:rPr>
        <w:t>PPLICA stated</w:t>
      </w:r>
      <w:r w:rsidRPr="00150F9C">
        <w:rPr>
          <w:sz w:val="26"/>
          <w:szCs w:val="26"/>
        </w:rPr>
        <w:t xml:space="preserve"> that </w:t>
      </w:r>
      <w:r w:rsidR="00795AF3">
        <w:rPr>
          <w:sz w:val="26"/>
          <w:szCs w:val="26"/>
        </w:rPr>
        <w:t xml:space="preserve">until </w:t>
      </w:r>
      <w:r w:rsidRPr="00150F9C">
        <w:rPr>
          <w:sz w:val="26"/>
          <w:szCs w:val="26"/>
        </w:rPr>
        <w:t xml:space="preserve">the </w:t>
      </w:r>
      <w:r w:rsidR="00795AF3">
        <w:rPr>
          <w:sz w:val="26"/>
          <w:szCs w:val="26"/>
        </w:rPr>
        <w:t xml:space="preserve">pending </w:t>
      </w:r>
      <w:r w:rsidR="00795AF3">
        <w:rPr>
          <w:i/>
          <w:sz w:val="26"/>
          <w:szCs w:val="26"/>
        </w:rPr>
        <w:t xml:space="preserve">PPL 2010 TSC Reconciliation Proceeding, supra., </w:t>
      </w:r>
      <w:r w:rsidRPr="00150F9C">
        <w:rPr>
          <w:sz w:val="26"/>
          <w:szCs w:val="26"/>
        </w:rPr>
        <w:t xml:space="preserve">is completed, the differences will not be either refunded or recouped. </w:t>
      </w:r>
      <w:r w:rsidR="00272884">
        <w:rPr>
          <w:sz w:val="26"/>
          <w:szCs w:val="26"/>
        </w:rPr>
        <w:t xml:space="preserve"> </w:t>
      </w:r>
      <w:r w:rsidR="00FC4C9F">
        <w:rPr>
          <w:i/>
          <w:sz w:val="26"/>
          <w:szCs w:val="26"/>
        </w:rPr>
        <w:t>Id.</w:t>
      </w:r>
      <w:r w:rsidR="00795AF3">
        <w:rPr>
          <w:i/>
          <w:sz w:val="26"/>
          <w:szCs w:val="26"/>
        </w:rPr>
        <w:t xml:space="preserve"> </w:t>
      </w:r>
      <w:r w:rsidRPr="00150F9C">
        <w:rPr>
          <w:sz w:val="26"/>
          <w:szCs w:val="26"/>
        </w:rPr>
        <w:t xml:space="preserve">at 21-22.  </w:t>
      </w:r>
    </w:p>
    <w:p w:rsidR="00A30CA8" w:rsidRPr="00150F9C" w:rsidRDefault="00A30CA8" w:rsidP="00A30CA8">
      <w:pPr>
        <w:rPr>
          <w:sz w:val="26"/>
          <w:szCs w:val="26"/>
        </w:rPr>
      </w:pPr>
    </w:p>
    <w:p w:rsidR="00A30CA8" w:rsidRPr="00150F9C" w:rsidRDefault="00A30CA8" w:rsidP="00A30CA8">
      <w:pPr>
        <w:autoSpaceDE/>
        <w:autoSpaceDN/>
        <w:rPr>
          <w:sz w:val="26"/>
          <w:szCs w:val="26"/>
        </w:rPr>
      </w:pPr>
      <w:r w:rsidRPr="00150F9C">
        <w:rPr>
          <w:b/>
          <w:sz w:val="26"/>
          <w:szCs w:val="26"/>
        </w:rPr>
        <w:tab/>
      </w:r>
      <w:r w:rsidRPr="00150F9C">
        <w:rPr>
          <w:sz w:val="26"/>
          <w:szCs w:val="26"/>
        </w:rPr>
        <w:tab/>
      </w:r>
      <w:r w:rsidR="00272884">
        <w:rPr>
          <w:sz w:val="26"/>
          <w:szCs w:val="26"/>
        </w:rPr>
        <w:t>Dominion</w:t>
      </w:r>
      <w:r w:rsidR="00B12D7A">
        <w:rPr>
          <w:sz w:val="26"/>
          <w:szCs w:val="26"/>
        </w:rPr>
        <w:t xml:space="preserve"> stated</w:t>
      </w:r>
      <w:r w:rsidRPr="00150F9C">
        <w:rPr>
          <w:sz w:val="26"/>
          <w:szCs w:val="26"/>
        </w:rPr>
        <w:t xml:space="preserve"> that the CTR </w:t>
      </w:r>
      <w:r w:rsidR="000964BB">
        <w:rPr>
          <w:sz w:val="26"/>
          <w:szCs w:val="26"/>
        </w:rPr>
        <w:t>“</w:t>
      </w:r>
      <w:r w:rsidRPr="00150F9C">
        <w:rPr>
          <w:sz w:val="26"/>
          <w:szCs w:val="26"/>
        </w:rPr>
        <w:t>would recover the costs of providing default service through a charge other than the PTC and would recover those costs from customers other than default service customers. . . .  Moreover, this type of recovery, from all customers, is akin to recovering those charges through the Distribution Rate, which is clearly prohibited under the Commission</w:t>
      </w:r>
      <w:r w:rsidR="000964BB">
        <w:rPr>
          <w:sz w:val="26"/>
          <w:szCs w:val="26"/>
        </w:rPr>
        <w:t>’</w:t>
      </w:r>
      <w:r w:rsidRPr="00150F9C">
        <w:rPr>
          <w:sz w:val="26"/>
          <w:szCs w:val="26"/>
        </w:rPr>
        <w:t>s regulation</w:t>
      </w:r>
      <w:r w:rsidR="004C3D20">
        <w:rPr>
          <w:sz w:val="26"/>
          <w:szCs w:val="26"/>
        </w:rPr>
        <w:t>s.  52 Pa Code § </w:t>
      </w:r>
      <w:r w:rsidR="00B12D7A">
        <w:rPr>
          <w:sz w:val="26"/>
          <w:szCs w:val="26"/>
        </w:rPr>
        <w:t>54.187(d).</w:t>
      </w:r>
      <w:r w:rsidR="000964BB">
        <w:rPr>
          <w:sz w:val="26"/>
          <w:szCs w:val="26"/>
        </w:rPr>
        <w:t>”</w:t>
      </w:r>
      <w:r w:rsidR="00B12D7A">
        <w:rPr>
          <w:sz w:val="26"/>
          <w:szCs w:val="26"/>
        </w:rPr>
        <w:t xml:space="preserve">  Dominion</w:t>
      </w:r>
      <w:r w:rsidRPr="00150F9C">
        <w:rPr>
          <w:sz w:val="26"/>
          <w:szCs w:val="26"/>
        </w:rPr>
        <w:t xml:space="preserve"> M</w:t>
      </w:r>
      <w:r w:rsidR="00B12D7A">
        <w:rPr>
          <w:sz w:val="26"/>
          <w:szCs w:val="26"/>
        </w:rPr>
        <w:t>.</w:t>
      </w:r>
      <w:r w:rsidRPr="00150F9C">
        <w:rPr>
          <w:sz w:val="26"/>
          <w:szCs w:val="26"/>
        </w:rPr>
        <w:t>B</w:t>
      </w:r>
      <w:r w:rsidR="00B12D7A">
        <w:rPr>
          <w:sz w:val="26"/>
          <w:szCs w:val="26"/>
        </w:rPr>
        <w:t>.</w:t>
      </w:r>
      <w:r w:rsidRPr="00150F9C">
        <w:rPr>
          <w:sz w:val="26"/>
          <w:szCs w:val="26"/>
        </w:rPr>
        <w:t xml:space="preserve"> at 10.  </w:t>
      </w:r>
    </w:p>
    <w:p w:rsidR="00A30CA8" w:rsidRPr="00150F9C" w:rsidRDefault="00A30CA8" w:rsidP="00A30CA8">
      <w:pPr>
        <w:autoSpaceDE/>
        <w:autoSpaceDN/>
        <w:rPr>
          <w:sz w:val="26"/>
          <w:szCs w:val="26"/>
        </w:rPr>
      </w:pPr>
    </w:p>
    <w:p w:rsidR="00A30CA8" w:rsidRPr="00150F9C" w:rsidRDefault="00A30CA8" w:rsidP="00A30CA8">
      <w:pPr>
        <w:autoSpaceDE/>
        <w:autoSpaceDN/>
        <w:rPr>
          <w:sz w:val="26"/>
          <w:szCs w:val="26"/>
        </w:rPr>
      </w:pPr>
      <w:r w:rsidRPr="00150F9C">
        <w:rPr>
          <w:b/>
          <w:sz w:val="26"/>
          <w:szCs w:val="26"/>
        </w:rPr>
        <w:tab/>
      </w:r>
      <w:r w:rsidRPr="00150F9C">
        <w:rPr>
          <w:b/>
          <w:sz w:val="26"/>
          <w:szCs w:val="26"/>
        </w:rPr>
        <w:tab/>
      </w:r>
      <w:r w:rsidR="004F6475">
        <w:rPr>
          <w:sz w:val="26"/>
          <w:szCs w:val="26"/>
        </w:rPr>
        <w:t>REG argued</w:t>
      </w:r>
      <w:r w:rsidRPr="00150F9C">
        <w:rPr>
          <w:sz w:val="26"/>
          <w:szCs w:val="26"/>
        </w:rPr>
        <w:t xml:space="preserve"> that the CTR proposal will further penalize a customer for switching to a</w:t>
      </w:r>
      <w:r w:rsidR="00293B3A">
        <w:rPr>
          <w:sz w:val="26"/>
          <w:szCs w:val="26"/>
        </w:rPr>
        <w:t xml:space="preserve"> competitive electric generation supplier (</w:t>
      </w:r>
      <w:r w:rsidRPr="00150F9C">
        <w:rPr>
          <w:sz w:val="26"/>
          <w:szCs w:val="26"/>
        </w:rPr>
        <w:t>EGS</w:t>
      </w:r>
      <w:r w:rsidR="00293B3A">
        <w:rPr>
          <w:sz w:val="26"/>
          <w:szCs w:val="26"/>
        </w:rPr>
        <w:t>),</w:t>
      </w:r>
      <w:r w:rsidRPr="00150F9C">
        <w:rPr>
          <w:sz w:val="26"/>
          <w:szCs w:val="26"/>
        </w:rPr>
        <w:t xml:space="preserve"> as the CTR will require a customer, having switched to an EGS, to reimburse PPL from whatever savings the customer had seen, for having exercised that right.  As there is</w:t>
      </w:r>
      <w:r w:rsidR="004F6475">
        <w:rPr>
          <w:sz w:val="26"/>
          <w:szCs w:val="26"/>
        </w:rPr>
        <w:t xml:space="preserve"> no direct tie from PPL</w:t>
      </w:r>
      <w:r w:rsidR="000964BB">
        <w:rPr>
          <w:sz w:val="26"/>
          <w:szCs w:val="26"/>
        </w:rPr>
        <w:t>’</w:t>
      </w:r>
      <w:r w:rsidRPr="00150F9C">
        <w:rPr>
          <w:sz w:val="26"/>
          <w:szCs w:val="26"/>
        </w:rPr>
        <w:t>s lack of ability to recoup its costs to the decision of the customer to leave default service, there is no reason to impose a penalty upon that customer.  REG M</w:t>
      </w:r>
      <w:r w:rsidR="004F6475">
        <w:rPr>
          <w:sz w:val="26"/>
          <w:szCs w:val="26"/>
        </w:rPr>
        <w:t>.</w:t>
      </w:r>
      <w:r w:rsidRPr="00150F9C">
        <w:rPr>
          <w:sz w:val="26"/>
          <w:szCs w:val="26"/>
        </w:rPr>
        <w:t>B</w:t>
      </w:r>
      <w:r w:rsidR="004F6475">
        <w:rPr>
          <w:sz w:val="26"/>
          <w:szCs w:val="26"/>
        </w:rPr>
        <w:t>.</w:t>
      </w:r>
      <w:r w:rsidRPr="00150F9C">
        <w:rPr>
          <w:sz w:val="26"/>
          <w:szCs w:val="26"/>
        </w:rPr>
        <w:t xml:space="preserve"> at 7</w:t>
      </w:r>
      <w:r w:rsidRPr="00150F9C">
        <w:rPr>
          <w:sz w:val="26"/>
          <w:szCs w:val="26"/>
        </w:rPr>
        <w:noBreakHyphen/>
        <w:t xml:space="preserve">8.  </w:t>
      </w:r>
    </w:p>
    <w:p w:rsidR="00A30CA8" w:rsidRPr="00150F9C" w:rsidRDefault="00A30CA8" w:rsidP="00A30CA8">
      <w:pPr>
        <w:autoSpaceDE/>
        <w:autoSpaceDN/>
        <w:rPr>
          <w:sz w:val="26"/>
          <w:szCs w:val="26"/>
        </w:rPr>
      </w:pPr>
    </w:p>
    <w:p w:rsidR="00A30CA8" w:rsidRPr="00150F9C" w:rsidRDefault="004F6475" w:rsidP="00A30CA8">
      <w:pPr>
        <w:autoSpaceDE/>
        <w:autoSpaceDN/>
        <w:spacing w:line="240" w:lineRule="auto"/>
        <w:rPr>
          <w:sz w:val="26"/>
          <w:szCs w:val="26"/>
        </w:rPr>
      </w:pPr>
      <w:r>
        <w:rPr>
          <w:sz w:val="26"/>
          <w:szCs w:val="26"/>
        </w:rPr>
        <w:tab/>
      </w:r>
      <w:r>
        <w:rPr>
          <w:sz w:val="26"/>
          <w:szCs w:val="26"/>
        </w:rPr>
        <w:tab/>
        <w:t>Wal</w:t>
      </w:r>
      <w:r w:rsidR="00D72459">
        <w:rPr>
          <w:sz w:val="26"/>
          <w:szCs w:val="26"/>
        </w:rPr>
        <w:t>-M</w:t>
      </w:r>
      <w:r>
        <w:rPr>
          <w:sz w:val="26"/>
          <w:szCs w:val="26"/>
        </w:rPr>
        <w:t xml:space="preserve">art </w:t>
      </w:r>
      <w:r w:rsidR="007D5345">
        <w:rPr>
          <w:sz w:val="26"/>
          <w:szCs w:val="26"/>
        </w:rPr>
        <w:t xml:space="preserve">advocated </w:t>
      </w:r>
      <w:r w:rsidR="007D5345" w:rsidRPr="00150F9C">
        <w:rPr>
          <w:sz w:val="26"/>
          <w:szCs w:val="26"/>
        </w:rPr>
        <w:t>that</w:t>
      </w:r>
      <w:r w:rsidR="00A30CA8" w:rsidRPr="00150F9C">
        <w:rPr>
          <w:sz w:val="26"/>
          <w:szCs w:val="26"/>
        </w:rPr>
        <w:t>:</w:t>
      </w:r>
    </w:p>
    <w:p w:rsidR="00A30CA8" w:rsidRPr="00150F9C" w:rsidRDefault="00A30CA8" w:rsidP="00A30CA8">
      <w:pPr>
        <w:autoSpaceDE/>
        <w:autoSpaceDN/>
        <w:spacing w:line="240" w:lineRule="auto"/>
        <w:rPr>
          <w:sz w:val="26"/>
          <w:szCs w:val="26"/>
        </w:rPr>
      </w:pPr>
    </w:p>
    <w:p w:rsidR="00A30CA8" w:rsidRDefault="00A30CA8" w:rsidP="00A30CA8">
      <w:pPr>
        <w:autoSpaceDE/>
        <w:autoSpaceDN/>
        <w:spacing w:line="240" w:lineRule="auto"/>
        <w:ind w:left="1440" w:right="1440"/>
        <w:rPr>
          <w:sz w:val="26"/>
          <w:szCs w:val="26"/>
        </w:rPr>
      </w:pPr>
      <w:r w:rsidRPr="00150F9C">
        <w:rPr>
          <w:sz w:val="26"/>
          <w:szCs w:val="26"/>
        </w:rPr>
        <w:t>The Commission should determine that from a general public policy perspective, it is not appropriate to implement mechanisms that charge shopping customers for generation supply and transmission service costs incurred by the utility only to serve non-shopping customers.  The CTR would unfairly apply to even those customers who had been receiving electric supply from a competitive supplier even before December 31, 2009.  These customers would not have contributed at all to any under collection being recovered through the CTR.  [Wal</w:t>
      </w:r>
      <w:r w:rsidR="00D72459">
        <w:rPr>
          <w:sz w:val="26"/>
          <w:szCs w:val="26"/>
        </w:rPr>
        <w:t>-M</w:t>
      </w:r>
      <w:r w:rsidRPr="00150F9C">
        <w:rPr>
          <w:sz w:val="26"/>
          <w:szCs w:val="26"/>
        </w:rPr>
        <w:t>art] Witness Chriss is concerned that the CTR as proposed would make shopping customers, who take generation supply and transmission service from competitive electric generation suppliers, pay, or receive a refund from, PPL for some part of PPL</w:t>
      </w:r>
      <w:r w:rsidR="000964BB">
        <w:rPr>
          <w:sz w:val="26"/>
          <w:szCs w:val="26"/>
        </w:rPr>
        <w:t>’</w:t>
      </w:r>
      <w:r w:rsidRPr="00150F9C">
        <w:rPr>
          <w:sz w:val="26"/>
          <w:szCs w:val="26"/>
        </w:rPr>
        <w:t xml:space="preserve">s generation supply </w:t>
      </w:r>
      <w:r w:rsidRPr="00150F9C">
        <w:rPr>
          <w:sz w:val="26"/>
          <w:szCs w:val="26"/>
        </w:rPr>
        <w:lastRenderedPageBreak/>
        <w:t>costs.  This misaligns cost causation and cost responsibility and results in inequitable rates.</w:t>
      </w:r>
    </w:p>
    <w:p w:rsidR="00293B3A" w:rsidRPr="00150F9C" w:rsidRDefault="00293B3A" w:rsidP="00A30CA8">
      <w:pPr>
        <w:autoSpaceDE/>
        <w:autoSpaceDN/>
        <w:spacing w:line="240" w:lineRule="auto"/>
        <w:ind w:left="1440" w:right="1440"/>
        <w:rPr>
          <w:sz w:val="26"/>
          <w:szCs w:val="26"/>
        </w:rPr>
      </w:pPr>
    </w:p>
    <w:p w:rsidR="00A30CA8" w:rsidRPr="00150F9C" w:rsidRDefault="00A30CA8" w:rsidP="00293B3A">
      <w:pPr>
        <w:autoSpaceDE/>
        <w:autoSpaceDN/>
        <w:spacing w:line="240" w:lineRule="auto"/>
        <w:ind w:right="1440"/>
        <w:rPr>
          <w:sz w:val="26"/>
          <w:szCs w:val="26"/>
        </w:rPr>
      </w:pPr>
      <w:r w:rsidRPr="00150F9C">
        <w:rPr>
          <w:sz w:val="26"/>
          <w:szCs w:val="26"/>
        </w:rPr>
        <w:t>Wal</w:t>
      </w:r>
      <w:r w:rsidR="00D72459">
        <w:rPr>
          <w:sz w:val="26"/>
          <w:szCs w:val="26"/>
        </w:rPr>
        <w:t>-M</w:t>
      </w:r>
      <w:r w:rsidRPr="00150F9C">
        <w:rPr>
          <w:sz w:val="26"/>
          <w:szCs w:val="26"/>
        </w:rPr>
        <w:t>art R</w:t>
      </w:r>
      <w:r w:rsidR="004F6475">
        <w:rPr>
          <w:sz w:val="26"/>
          <w:szCs w:val="26"/>
        </w:rPr>
        <w:t>.</w:t>
      </w:r>
      <w:r w:rsidRPr="00150F9C">
        <w:rPr>
          <w:sz w:val="26"/>
          <w:szCs w:val="26"/>
        </w:rPr>
        <w:t>B</w:t>
      </w:r>
      <w:r w:rsidR="004F6475">
        <w:rPr>
          <w:sz w:val="26"/>
          <w:szCs w:val="26"/>
        </w:rPr>
        <w:t>.</w:t>
      </w:r>
      <w:r w:rsidRPr="00150F9C">
        <w:rPr>
          <w:sz w:val="26"/>
          <w:szCs w:val="26"/>
        </w:rPr>
        <w:t xml:space="preserve"> at 4 (footnotes omitted).</w:t>
      </w:r>
    </w:p>
    <w:p w:rsidR="00A30CA8" w:rsidRPr="00150F9C" w:rsidRDefault="00A30CA8" w:rsidP="00A30CA8">
      <w:pPr>
        <w:autoSpaceDE/>
        <w:autoSpaceDN/>
        <w:rPr>
          <w:sz w:val="26"/>
          <w:szCs w:val="26"/>
        </w:rPr>
      </w:pPr>
    </w:p>
    <w:p w:rsidR="00A30CA8" w:rsidRPr="00150F9C" w:rsidRDefault="004F6475" w:rsidP="00DD4CB5">
      <w:pPr>
        <w:autoSpaceDE/>
        <w:autoSpaceDN/>
        <w:rPr>
          <w:sz w:val="26"/>
          <w:szCs w:val="26"/>
        </w:rPr>
      </w:pPr>
      <w:r>
        <w:rPr>
          <w:sz w:val="26"/>
          <w:szCs w:val="26"/>
        </w:rPr>
        <w:tab/>
      </w:r>
      <w:r>
        <w:rPr>
          <w:sz w:val="26"/>
          <w:szCs w:val="26"/>
        </w:rPr>
        <w:tab/>
        <w:t>Wal</w:t>
      </w:r>
      <w:r w:rsidR="00D72459">
        <w:rPr>
          <w:sz w:val="26"/>
          <w:szCs w:val="26"/>
        </w:rPr>
        <w:t>-M</w:t>
      </w:r>
      <w:r>
        <w:rPr>
          <w:sz w:val="26"/>
          <w:szCs w:val="26"/>
        </w:rPr>
        <w:t>art pointed</w:t>
      </w:r>
      <w:r w:rsidR="00A30CA8" w:rsidRPr="00150F9C">
        <w:rPr>
          <w:sz w:val="26"/>
          <w:szCs w:val="26"/>
        </w:rPr>
        <w:t xml:space="preserve"> out that the current reconciliation mechanism will continue to operate pending the outcome of this proceeding, and that more and more shopping customers will not have contributed to whatever balance will exist when the CTR is imposed.  Wal</w:t>
      </w:r>
      <w:r w:rsidR="00D72459">
        <w:rPr>
          <w:sz w:val="26"/>
          <w:szCs w:val="26"/>
        </w:rPr>
        <w:t>-M</w:t>
      </w:r>
      <w:r w:rsidR="00A30CA8" w:rsidRPr="00150F9C">
        <w:rPr>
          <w:sz w:val="26"/>
          <w:szCs w:val="26"/>
        </w:rPr>
        <w:t>art R</w:t>
      </w:r>
      <w:r>
        <w:rPr>
          <w:sz w:val="26"/>
          <w:szCs w:val="26"/>
        </w:rPr>
        <w:t>.</w:t>
      </w:r>
      <w:r w:rsidR="00A30CA8" w:rsidRPr="00150F9C">
        <w:rPr>
          <w:sz w:val="26"/>
          <w:szCs w:val="26"/>
        </w:rPr>
        <w:t>B</w:t>
      </w:r>
      <w:r>
        <w:rPr>
          <w:sz w:val="26"/>
          <w:szCs w:val="26"/>
        </w:rPr>
        <w:t>.</w:t>
      </w:r>
      <w:r w:rsidR="00A30CA8" w:rsidRPr="00150F9C">
        <w:rPr>
          <w:sz w:val="26"/>
          <w:szCs w:val="26"/>
        </w:rPr>
        <w:t xml:space="preserve"> at 3-4.  </w:t>
      </w:r>
    </w:p>
    <w:p w:rsidR="00A30CA8" w:rsidRPr="00150F9C" w:rsidRDefault="00A30CA8" w:rsidP="00DD4CB5">
      <w:pPr>
        <w:autoSpaceDE/>
        <w:autoSpaceDN/>
        <w:rPr>
          <w:sz w:val="26"/>
          <w:szCs w:val="26"/>
        </w:rPr>
      </w:pPr>
    </w:p>
    <w:p w:rsidR="00A30CA8" w:rsidRPr="00150F9C" w:rsidRDefault="00A30CA8" w:rsidP="00DD4CB5">
      <w:pPr>
        <w:autoSpaceDE/>
        <w:autoSpaceDN/>
        <w:rPr>
          <w:sz w:val="26"/>
          <w:szCs w:val="26"/>
        </w:rPr>
      </w:pPr>
      <w:r w:rsidRPr="00150F9C">
        <w:rPr>
          <w:sz w:val="26"/>
          <w:szCs w:val="26"/>
        </w:rPr>
        <w:t>However, PPLICA states:</w:t>
      </w:r>
    </w:p>
    <w:p w:rsidR="00A30CA8" w:rsidRPr="00150F9C" w:rsidRDefault="00A30CA8" w:rsidP="00DD4CB5">
      <w:pPr>
        <w:autoSpaceDE/>
        <w:autoSpaceDN/>
        <w:rPr>
          <w:sz w:val="26"/>
          <w:szCs w:val="26"/>
        </w:rPr>
      </w:pPr>
    </w:p>
    <w:p w:rsidR="00A30CA8" w:rsidRDefault="00A30CA8" w:rsidP="00A30CA8">
      <w:pPr>
        <w:autoSpaceDE/>
        <w:autoSpaceDN/>
        <w:spacing w:line="240" w:lineRule="auto"/>
        <w:ind w:left="1440" w:right="1440"/>
        <w:rPr>
          <w:sz w:val="26"/>
          <w:szCs w:val="26"/>
        </w:rPr>
      </w:pPr>
      <w:r w:rsidRPr="00150F9C">
        <w:rPr>
          <w:sz w:val="26"/>
          <w:szCs w:val="26"/>
        </w:rPr>
        <w:t>A non-bypassable charge is an appropriate recover</w:t>
      </w:r>
      <w:r w:rsidR="00293B3A">
        <w:rPr>
          <w:sz w:val="26"/>
          <w:szCs w:val="26"/>
        </w:rPr>
        <w:t>y</w:t>
      </w:r>
      <w:r w:rsidRPr="00150F9C">
        <w:rPr>
          <w:sz w:val="26"/>
          <w:szCs w:val="26"/>
        </w:rPr>
        <w:t xml:space="preserve"> measure when costs to be recovered are limited to those reasonably attributable to the entire customer base.  </w:t>
      </w:r>
      <w:r w:rsidR="007D5345" w:rsidRPr="00150F9C">
        <w:rPr>
          <w:sz w:val="26"/>
          <w:szCs w:val="26"/>
          <w:u w:val="single"/>
        </w:rPr>
        <w:t>See</w:t>
      </w:r>
      <w:r w:rsidR="007D5345" w:rsidRPr="00150F9C">
        <w:rPr>
          <w:i/>
          <w:sz w:val="26"/>
          <w:szCs w:val="26"/>
          <w:u w:val="single"/>
        </w:rPr>
        <w:t xml:space="preserve"> </w:t>
      </w:r>
      <w:r w:rsidR="007D5345" w:rsidRPr="00150F9C">
        <w:rPr>
          <w:sz w:val="26"/>
          <w:szCs w:val="26"/>
        </w:rPr>
        <w:t>generally</w:t>
      </w:r>
      <w:r w:rsidRPr="00150F9C">
        <w:rPr>
          <w:sz w:val="26"/>
          <w:szCs w:val="26"/>
        </w:rPr>
        <w:t xml:space="preserve"> Competition Act</w:t>
      </w:r>
      <w:r w:rsidR="00F27F83">
        <w:rPr>
          <w:rStyle w:val="FootnoteReference"/>
          <w:sz w:val="26"/>
          <w:szCs w:val="26"/>
        </w:rPr>
        <w:footnoteReference w:id="6"/>
      </w:r>
      <w:r w:rsidRPr="00150F9C">
        <w:rPr>
          <w:sz w:val="26"/>
          <w:szCs w:val="26"/>
        </w:rPr>
        <w:t xml:space="preserve">, 66 Pa C.S. § 2808.  The Competitive Transition Charges authorized by the Competition Act required all EDC distribution and transmission customers to pay for stranded generation costs incurred by EDCs prior to divesting their generation assets. </w:t>
      </w:r>
      <w:r w:rsidR="00E525AE">
        <w:rPr>
          <w:sz w:val="26"/>
          <w:szCs w:val="26"/>
        </w:rPr>
        <w:t xml:space="preserve"> </w:t>
      </w:r>
      <w:r w:rsidRPr="00E525AE">
        <w:rPr>
          <w:i/>
          <w:sz w:val="26"/>
          <w:szCs w:val="26"/>
        </w:rPr>
        <w:t>Id</w:t>
      </w:r>
      <w:r w:rsidRPr="00E525AE">
        <w:rPr>
          <w:sz w:val="26"/>
          <w:szCs w:val="26"/>
        </w:rPr>
        <w:t xml:space="preserve">. </w:t>
      </w:r>
      <w:r w:rsidR="00E525AE">
        <w:rPr>
          <w:sz w:val="26"/>
          <w:szCs w:val="26"/>
        </w:rPr>
        <w:t xml:space="preserve"> </w:t>
      </w:r>
      <w:r w:rsidRPr="00150F9C">
        <w:rPr>
          <w:sz w:val="26"/>
          <w:szCs w:val="26"/>
        </w:rPr>
        <w:t>Unlike the GSC variances, PPL</w:t>
      </w:r>
      <w:r w:rsidR="000964BB">
        <w:rPr>
          <w:sz w:val="26"/>
          <w:szCs w:val="26"/>
        </w:rPr>
        <w:t>’</w:t>
      </w:r>
      <w:r w:rsidRPr="00150F9C">
        <w:rPr>
          <w:sz w:val="26"/>
          <w:szCs w:val="26"/>
        </w:rPr>
        <w:t xml:space="preserve">s TSC variances for Large C&amp;I customers predate the expiration of generation rate caps.  As demonstrated below, the current </w:t>
      </w:r>
      <w:r w:rsidR="007D5345" w:rsidRPr="00150F9C">
        <w:rPr>
          <w:sz w:val="26"/>
          <w:szCs w:val="26"/>
        </w:rPr>
        <w:t>over collection</w:t>
      </w:r>
      <w:r w:rsidRPr="00150F9C">
        <w:rPr>
          <w:sz w:val="26"/>
          <w:szCs w:val="26"/>
        </w:rPr>
        <w:t xml:space="preserve"> is attributable to the entire Large C&amp;I customer base.</w:t>
      </w:r>
    </w:p>
    <w:p w:rsidR="00E525AE" w:rsidRPr="00150F9C" w:rsidRDefault="00E525AE" w:rsidP="00A30CA8">
      <w:pPr>
        <w:autoSpaceDE/>
        <w:autoSpaceDN/>
        <w:spacing w:line="240" w:lineRule="auto"/>
        <w:ind w:left="1440" w:right="1440"/>
        <w:rPr>
          <w:sz w:val="26"/>
          <w:szCs w:val="26"/>
        </w:rPr>
      </w:pPr>
    </w:p>
    <w:p w:rsidR="00A30CA8" w:rsidRPr="00150F9C" w:rsidRDefault="00A30CA8" w:rsidP="00E525AE">
      <w:pPr>
        <w:autoSpaceDE/>
        <w:autoSpaceDN/>
        <w:spacing w:line="240" w:lineRule="auto"/>
        <w:ind w:right="1440"/>
        <w:rPr>
          <w:sz w:val="26"/>
          <w:szCs w:val="26"/>
        </w:rPr>
      </w:pPr>
      <w:r w:rsidRPr="00150F9C">
        <w:rPr>
          <w:sz w:val="26"/>
          <w:szCs w:val="26"/>
        </w:rPr>
        <w:t>PPLICA M</w:t>
      </w:r>
      <w:r w:rsidR="00460EBF">
        <w:rPr>
          <w:sz w:val="26"/>
          <w:szCs w:val="26"/>
        </w:rPr>
        <w:t>.</w:t>
      </w:r>
      <w:r w:rsidRPr="00150F9C">
        <w:rPr>
          <w:sz w:val="26"/>
          <w:szCs w:val="26"/>
        </w:rPr>
        <w:t>B</w:t>
      </w:r>
      <w:r w:rsidR="00460EBF">
        <w:rPr>
          <w:sz w:val="26"/>
          <w:szCs w:val="26"/>
        </w:rPr>
        <w:t>.</w:t>
      </w:r>
      <w:r w:rsidRPr="00150F9C">
        <w:rPr>
          <w:sz w:val="26"/>
          <w:szCs w:val="26"/>
        </w:rPr>
        <w:t xml:space="preserve"> at 17.</w:t>
      </w:r>
    </w:p>
    <w:p w:rsidR="00A30CA8" w:rsidRPr="00150F9C" w:rsidRDefault="00A30CA8" w:rsidP="00A30CA8">
      <w:pPr>
        <w:autoSpaceDE/>
        <w:autoSpaceDN/>
        <w:rPr>
          <w:sz w:val="26"/>
          <w:szCs w:val="26"/>
        </w:rPr>
      </w:pPr>
    </w:p>
    <w:p w:rsidR="00A30CA8" w:rsidRPr="00F470D3" w:rsidRDefault="00460EBF" w:rsidP="00615397">
      <w:pPr>
        <w:pStyle w:val="Heading3"/>
        <w:keepNext/>
      </w:pPr>
      <w:bookmarkStart w:id="23" w:name="_Toc329245850"/>
      <w:bookmarkStart w:id="24" w:name="_Toc329688387"/>
      <w:r w:rsidRPr="00F470D3">
        <w:t>3</w:t>
      </w:r>
      <w:r w:rsidR="00A30CA8" w:rsidRPr="00F470D3">
        <w:t>.</w:t>
      </w:r>
      <w:r w:rsidR="00A30CA8" w:rsidRPr="00F470D3">
        <w:tab/>
      </w:r>
      <w:r w:rsidRPr="00F470D3">
        <w:t>ALJ</w:t>
      </w:r>
      <w:r w:rsidR="000964BB">
        <w:t>’</w:t>
      </w:r>
      <w:r w:rsidRPr="00F470D3">
        <w:t xml:space="preserve">s </w:t>
      </w:r>
      <w:r w:rsidR="00A30CA8" w:rsidRPr="00F470D3">
        <w:t>Recommendation</w:t>
      </w:r>
      <w:bookmarkEnd w:id="23"/>
      <w:bookmarkEnd w:id="24"/>
      <w:r w:rsidR="00A30CA8" w:rsidRPr="00F470D3">
        <w:fldChar w:fldCharType="begin"/>
      </w:r>
      <w:r w:rsidR="00A30CA8" w:rsidRPr="00F470D3">
        <w:instrText xml:space="preserve"> TC "</w:instrText>
      </w:r>
      <w:bookmarkStart w:id="25" w:name="_Toc329245156"/>
      <w:r w:rsidR="00A30CA8" w:rsidRPr="00F470D3">
        <w:instrText>c.</w:instrText>
      </w:r>
      <w:r w:rsidR="00A30CA8" w:rsidRPr="00F470D3">
        <w:tab/>
        <w:instrText>Recommendation</w:instrText>
      </w:r>
      <w:bookmarkEnd w:id="25"/>
      <w:r w:rsidR="00A30CA8" w:rsidRPr="00F470D3">
        <w:instrText xml:space="preserve">" \f C \l "4" </w:instrText>
      </w:r>
      <w:r w:rsidR="00A30CA8" w:rsidRPr="00F470D3">
        <w:fldChar w:fldCharType="end"/>
      </w:r>
    </w:p>
    <w:p w:rsidR="00A30CA8" w:rsidRPr="00F470D3" w:rsidRDefault="00A30CA8" w:rsidP="00615397">
      <w:pPr>
        <w:keepNext/>
        <w:autoSpaceDE/>
        <w:autoSpaceDN/>
        <w:rPr>
          <w:b/>
          <w:sz w:val="26"/>
          <w:szCs w:val="26"/>
        </w:rPr>
      </w:pPr>
    </w:p>
    <w:p w:rsidR="00A30CA8" w:rsidRPr="00F470D3" w:rsidRDefault="00A30CA8" w:rsidP="00A30CA8">
      <w:pPr>
        <w:autoSpaceDE/>
        <w:autoSpaceDN/>
        <w:rPr>
          <w:sz w:val="26"/>
          <w:szCs w:val="26"/>
        </w:rPr>
      </w:pPr>
      <w:r w:rsidRPr="00F470D3">
        <w:rPr>
          <w:sz w:val="26"/>
          <w:szCs w:val="26"/>
        </w:rPr>
        <w:tab/>
      </w:r>
      <w:r w:rsidRPr="00F470D3">
        <w:rPr>
          <w:sz w:val="26"/>
          <w:szCs w:val="26"/>
        </w:rPr>
        <w:tab/>
      </w:r>
      <w:r w:rsidR="00F470D3" w:rsidRPr="00F470D3">
        <w:rPr>
          <w:sz w:val="26"/>
          <w:szCs w:val="26"/>
        </w:rPr>
        <w:t>The ALJ recommended that the CTR be denied without prejudice as the Com</w:t>
      </w:r>
      <w:r w:rsidR="00E525AE">
        <w:rPr>
          <w:sz w:val="26"/>
          <w:szCs w:val="26"/>
        </w:rPr>
        <w:t>pany is entitled to recoup</w:t>
      </w:r>
      <w:r w:rsidR="00F470D3" w:rsidRPr="00F470D3">
        <w:rPr>
          <w:sz w:val="26"/>
          <w:szCs w:val="26"/>
        </w:rPr>
        <w:t xml:space="preserve"> costs that it can show are reasonable </w:t>
      </w:r>
      <w:r w:rsidR="00E525AE">
        <w:rPr>
          <w:sz w:val="26"/>
          <w:szCs w:val="26"/>
        </w:rPr>
        <w:t>if it can propose a method that</w:t>
      </w:r>
      <w:r w:rsidR="00F470D3" w:rsidRPr="00F470D3">
        <w:rPr>
          <w:sz w:val="26"/>
          <w:szCs w:val="26"/>
        </w:rPr>
        <w:t xml:space="preserve"> results in a reasonable rate and does not violate the regulations or the statute.</w:t>
      </w:r>
      <w:r w:rsidR="00F470D3">
        <w:rPr>
          <w:sz w:val="26"/>
          <w:szCs w:val="26"/>
        </w:rPr>
        <w:t xml:space="preserve">  However, the ALJ was persuaded by</w:t>
      </w:r>
      <w:r w:rsidR="00D651A8">
        <w:rPr>
          <w:sz w:val="26"/>
          <w:szCs w:val="26"/>
        </w:rPr>
        <w:t xml:space="preserve"> the arguments of the opposing P</w:t>
      </w:r>
      <w:r w:rsidR="00F470D3">
        <w:rPr>
          <w:sz w:val="26"/>
          <w:szCs w:val="26"/>
        </w:rPr>
        <w:t xml:space="preserve">arties that this </w:t>
      </w:r>
      <w:r w:rsidRPr="00F470D3">
        <w:rPr>
          <w:sz w:val="26"/>
          <w:szCs w:val="26"/>
        </w:rPr>
        <w:lastRenderedPageBreak/>
        <w:t xml:space="preserve">mechanism, as described, does not differentiate between default and shopping customers or make an attempt to align cost causation with the </w:t>
      </w:r>
      <w:r w:rsidR="00D651A8">
        <w:rPr>
          <w:sz w:val="26"/>
          <w:szCs w:val="26"/>
        </w:rPr>
        <w:t>P</w:t>
      </w:r>
      <w:r w:rsidRPr="00F470D3">
        <w:rPr>
          <w:sz w:val="26"/>
          <w:szCs w:val="26"/>
        </w:rPr>
        <w:t xml:space="preserve">arties responsible for the costs.  </w:t>
      </w:r>
      <w:r w:rsidR="00F470D3">
        <w:rPr>
          <w:sz w:val="26"/>
          <w:szCs w:val="26"/>
        </w:rPr>
        <w:t>According to the ALJ, the CTR</w:t>
      </w:r>
      <w:r w:rsidRPr="00F470D3">
        <w:rPr>
          <w:sz w:val="26"/>
          <w:szCs w:val="26"/>
        </w:rPr>
        <w:t xml:space="preserve"> appears to violate the statute and the regulation requiring the cost of default ser</w:t>
      </w:r>
      <w:r w:rsidR="00E525AE">
        <w:rPr>
          <w:sz w:val="26"/>
          <w:szCs w:val="26"/>
        </w:rPr>
        <w:t xml:space="preserve">vice to be borne by </w:t>
      </w:r>
      <w:r w:rsidRPr="00F470D3">
        <w:rPr>
          <w:sz w:val="26"/>
          <w:szCs w:val="26"/>
        </w:rPr>
        <w:t>default service customers.</w:t>
      </w:r>
      <w:r w:rsidR="00F470D3">
        <w:rPr>
          <w:sz w:val="26"/>
          <w:szCs w:val="26"/>
        </w:rPr>
        <w:t xml:space="preserve">  R.D. at 42-43.</w:t>
      </w:r>
      <w:r w:rsidRPr="00F470D3">
        <w:rPr>
          <w:sz w:val="26"/>
          <w:szCs w:val="26"/>
        </w:rPr>
        <w:t xml:space="preserve">  </w:t>
      </w:r>
    </w:p>
    <w:p w:rsidR="00A30CA8" w:rsidRPr="00F470D3" w:rsidRDefault="00A30CA8" w:rsidP="00A30CA8">
      <w:pPr>
        <w:autoSpaceDE/>
        <w:autoSpaceDN/>
        <w:rPr>
          <w:sz w:val="26"/>
          <w:szCs w:val="26"/>
        </w:rPr>
      </w:pPr>
    </w:p>
    <w:p w:rsidR="00A30CA8" w:rsidRDefault="00A30CA8" w:rsidP="00DD4CB5">
      <w:pPr>
        <w:autoSpaceDE/>
        <w:autoSpaceDN/>
        <w:rPr>
          <w:sz w:val="26"/>
          <w:szCs w:val="26"/>
        </w:rPr>
      </w:pPr>
      <w:r w:rsidRPr="00F470D3">
        <w:rPr>
          <w:sz w:val="26"/>
          <w:szCs w:val="26"/>
        </w:rPr>
        <w:tab/>
      </w:r>
      <w:r w:rsidRPr="00F470D3">
        <w:rPr>
          <w:sz w:val="26"/>
          <w:szCs w:val="26"/>
        </w:rPr>
        <w:tab/>
      </w:r>
      <w:r w:rsidR="00F470D3">
        <w:rPr>
          <w:sz w:val="26"/>
          <w:szCs w:val="26"/>
        </w:rPr>
        <w:t>The ALJ concluded that there wa</w:t>
      </w:r>
      <w:r w:rsidRPr="00F470D3">
        <w:rPr>
          <w:sz w:val="26"/>
          <w:szCs w:val="26"/>
        </w:rPr>
        <w:t xml:space="preserve">s no evidence </w:t>
      </w:r>
      <w:r w:rsidR="00F470D3">
        <w:rPr>
          <w:sz w:val="26"/>
          <w:szCs w:val="26"/>
        </w:rPr>
        <w:t xml:space="preserve">presented </w:t>
      </w:r>
      <w:r w:rsidRPr="00F470D3">
        <w:rPr>
          <w:sz w:val="26"/>
          <w:szCs w:val="26"/>
        </w:rPr>
        <w:t xml:space="preserve">to support the need for this mechanism.  </w:t>
      </w:r>
      <w:r w:rsidR="00F470D3">
        <w:rPr>
          <w:sz w:val="26"/>
          <w:szCs w:val="26"/>
        </w:rPr>
        <w:t xml:space="preserve">She specifically cited to the </w:t>
      </w:r>
      <w:r w:rsidRPr="00F470D3">
        <w:rPr>
          <w:sz w:val="26"/>
          <w:szCs w:val="26"/>
        </w:rPr>
        <w:t>OSBA</w:t>
      </w:r>
      <w:r w:rsidR="000964BB">
        <w:rPr>
          <w:sz w:val="26"/>
          <w:szCs w:val="26"/>
        </w:rPr>
        <w:t>’</w:t>
      </w:r>
      <w:r w:rsidRPr="00F470D3">
        <w:rPr>
          <w:sz w:val="26"/>
          <w:szCs w:val="26"/>
        </w:rPr>
        <w:t xml:space="preserve">s argument that the numbers that </w:t>
      </w:r>
      <w:r w:rsidR="00E525AE">
        <w:rPr>
          <w:sz w:val="26"/>
          <w:szCs w:val="26"/>
        </w:rPr>
        <w:t>are</w:t>
      </w:r>
      <w:r w:rsidR="00F470D3">
        <w:rPr>
          <w:sz w:val="26"/>
          <w:szCs w:val="26"/>
        </w:rPr>
        <w:t xml:space="preserve"> know</w:t>
      </w:r>
      <w:r w:rsidR="00E525AE">
        <w:rPr>
          <w:sz w:val="26"/>
          <w:szCs w:val="26"/>
        </w:rPr>
        <w:t>n</w:t>
      </w:r>
      <w:r w:rsidR="00F470D3">
        <w:rPr>
          <w:sz w:val="26"/>
          <w:szCs w:val="26"/>
        </w:rPr>
        <w:t xml:space="preserve"> do not support the need for the CTR</w:t>
      </w:r>
      <w:r w:rsidRPr="00F470D3">
        <w:rPr>
          <w:sz w:val="26"/>
          <w:szCs w:val="26"/>
        </w:rPr>
        <w:t>.  Further</w:t>
      </w:r>
      <w:r w:rsidR="00F470D3">
        <w:rPr>
          <w:sz w:val="26"/>
          <w:szCs w:val="26"/>
        </w:rPr>
        <w:t>more</w:t>
      </w:r>
      <w:r w:rsidRPr="00F470D3">
        <w:rPr>
          <w:sz w:val="26"/>
          <w:szCs w:val="26"/>
        </w:rPr>
        <w:t>,</w:t>
      </w:r>
      <w:r w:rsidR="00F470D3">
        <w:rPr>
          <w:sz w:val="26"/>
          <w:szCs w:val="26"/>
        </w:rPr>
        <w:t xml:space="preserve"> the ALJ stated that</w:t>
      </w:r>
      <w:r w:rsidR="00E525AE">
        <w:rPr>
          <w:sz w:val="26"/>
          <w:szCs w:val="26"/>
        </w:rPr>
        <w:t>,</w:t>
      </w:r>
      <w:r w:rsidRPr="00F470D3">
        <w:rPr>
          <w:sz w:val="26"/>
          <w:szCs w:val="26"/>
        </w:rPr>
        <w:t xml:space="preserve"> if we do not know the numbers, then we do not know when the under recovery occurred, and therefore, we do not know if it is fair and equitable to as</w:t>
      </w:r>
      <w:r w:rsidR="00E525AE">
        <w:rPr>
          <w:sz w:val="26"/>
          <w:szCs w:val="26"/>
        </w:rPr>
        <w:t xml:space="preserve">sess shopping customers for </w:t>
      </w:r>
      <w:r w:rsidRPr="00F470D3">
        <w:rPr>
          <w:sz w:val="26"/>
          <w:szCs w:val="26"/>
        </w:rPr>
        <w:t>recovery</w:t>
      </w:r>
      <w:r w:rsidR="00E525AE">
        <w:rPr>
          <w:sz w:val="26"/>
          <w:szCs w:val="26"/>
        </w:rPr>
        <w:t xml:space="preserve"> of prior uncollected costs</w:t>
      </w:r>
      <w:r w:rsidRPr="00F470D3">
        <w:rPr>
          <w:sz w:val="26"/>
          <w:szCs w:val="26"/>
        </w:rPr>
        <w:t xml:space="preserve">.  </w:t>
      </w:r>
      <w:r w:rsidR="00F470D3">
        <w:rPr>
          <w:sz w:val="26"/>
          <w:szCs w:val="26"/>
        </w:rPr>
        <w:t>According to the ALJ, t</w:t>
      </w:r>
      <w:r w:rsidRPr="00F470D3">
        <w:rPr>
          <w:sz w:val="26"/>
          <w:szCs w:val="26"/>
        </w:rPr>
        <w:t>his request ma</w:t>
      </w:r>
      <w:r w:rsidR="00F470D3">
        <w:rPr>
          <w:sz w:val="26"/>
          <w:szCs w:val="26"/>
        </w:rPr>
        <w:t>y simply be premature.  The ALJ opined that</w:t>
      </w:r>
      <w:r w:rsidR="00E525AE">
        <w:rPr>
          <w:sz w:val="26"/>
          <w:szCs w:val="26"/>
        </w:rPr>
        <w:t>,</w:t>
      </w:r>
      <w:r w:rsidR="00F470D3">
        <w:rPr>
          <w:sz w:val="26"/>
          <w:szCs w:val="26"/>
        </w:rPr>
        <w:t xml:space="preserve"> w</w:t>
      </w:r>
      <w:r w:rsidRPr="00F470D3">
        <w:rPr>
          <w:sz w:val="26"/>
          <w:szCs w:val="26"/>
        </w:rPr>
        <w:t xml:space="preserve">hile the Company is entitled to full recovery of its cost of providing service, it must prove that those costs are reasonable, and must be able to quantify the costs as well.  </w:t>
      </w:r>
      <w:r w:rsidR="00F470D3">
        <w:rPr>
          <w:sz w:val="26"/>
          <w:szCs w:val="26"/>
        </w:rPr>
        <w:t>In her opinion, t</w:t>
      </w:r>
      <w:r w:rsidRPr="00F470D3">
        <w:rPr>
          <w:sz w:val="26"/>
          <w:szCs w:val="26"/>
        </w:rPr>
        <w:t xml:space="preserve">he Company has not done so here.  </w:t>
      </w:r>
      <w:r w:rsidR="00F470D3">
        <w:rPr>
          <w:sz w:val="26"/>
          <w:szCs w:val="26"/>
        </w:rPr>
        <w:t>R.D. at 42-43.</w:t>
      </w:r>
    </w:p>
    <w:p w:rsidR="00F470D3" w:rsidRDefault="00F470D3" w:rsidP="00DD4CB5">
      <w:pPr>
        <w:autoSpaceDE/>
        <w:autoSpaceDN/>
        <w:rPr>
          <w:sz w:val="26"/>
          <w:szCs w:val="26"/>
        </w:rPr>
      </w:pPr>
    </w:p>
    <w:p w:rsidR="00F470D3" w:rsidRDefault="00F470D3" w:rsidP="00D81F98">
      <w:pPr>
        <w:pStyle w:val="Heading3"/>
      </w:pPr>
      <w:bookmarkStart w:id="26" w:name="_Toc329245851"/>
      <w:bookmarkStart w:id="27" w:name="_Toc329688388"/>
      <w:r>
        <w:t>4.</w:t>
      </w:r>
      <w:r>
        <w:tab/>
        <w:t>Exceptions and Replies</w:t>
      </w:r>
      <w:bookmarkEnd w:id="26"/>
      <w:bookmarkEnd w:id="27"/>
    </w:p>
    <w:p w:rsidR="002F542C" w:rsidRDefault="002F542C" w:rsidP="00DD4CB5">
      <w:pPr>
        <w:autoSpaceDE/>
        <w:autoSpaceDN/>
        <w:rPr>
          <w:b/>
          <w:sz w:val="26"/>
          <w:szCs w:val="26"/>
        </w:rPr>
      </w:pPr>
    </w:p>
    <w:p w:rsidR="0039341B" w:rsidRPr="0039341B" w:rsidRDefault="002F542C" w:rsidP="00DD4CB5">
      <w:pPr>
        <w:pStyle w:val="BodyText2"/>
        <w:spacing w:line="360" w:lineRule="auto"/>
        <w:rPr>
          <w:sz w:val="26"/>
          <w:szCs w:val="26"/>
        </w:rPr>
      </w:pPr>
      <w:r>
        <w:rPr>
          <w:b/>
          <w:sz w:val="26"/>
          <w:szCs w:val="26"/>
        </w:rPr>
        <w:tab/>
      </w:r>
      <w:r>
        <w:rPr>
          <w:b/>
          <w:sz w:val="26"/>
          <w:szCs w:val="26"/>
        </w:rPr>
        <w:tab/>
      </w:r>
      <w:r w:rsidRPr="0039341B">
        <w:rPr>
          <w:sz w:val="26"/>
          <w:szCs w:val="26"/>
        </w:rPr>
        <w:t>In</w:t>
      </w:r>
      <w:r w:rsidR="0039341B" w:rsidRPr="0039341B">
        <w:rPr>
          <w:sz w:val="26"/>
          <w:szCs w:val="26"/>
        </w:rPr>
        <w:t xml:space="preserve"> its E</w:t>
      </w:r>
      <w:r w:rsidRPr="0039341B">
        <w:rPr>
          <w:sz w:val="26"/>
          <w:szCs w:val="26"/>
        </w:rPr>
        <w:t xml:space="preserve">xceptions, PPL </w:t>
      </w:r>
      <w:r w:rsidR="0039341B" w:rsidRPr="0039341B">
        <w:rPr>
          <w:sz w:val="26"/>
          <w:szCs w:val="26"/>
        </w:rPr>
        <w:t>states that the ALJ</w:t>
      </w:r>
      <w:r w:rsidR="000964BB">
        <w:rPr>
          <w:sz w:val="26"/>
          <w:szCs w:val="26"/>
        </w:rPr>
        <w:t>’</w:t>
      </w:r>
      <w:r w:rsidR="0039341B" w:rsidRPr="0039341B">
        <w:rPr>
          <w:sz w:val="26"/>
          <w:szCs w:val="26"/>
        </w:rPr>
        <w:t>s conclusion is in error as she did not give sufficient weight to the fact that PPL is statutorily entitled/required to refund or recover over and under collections related to transmission service and generation supply service.  PPL further maintained that the ALJ did not give sufficient weight to the fact that current shopping customers contributed to the historic over/under collections that will be refunded/recouped, and that the CTR will be applied on a customer class basis.  PPL Exc. at 8-9.</w:t>
      </w:r>
    </w:p>
    <w:p w:rsidR="0039341B" w:rsidRPr="0039341B" w:rsidRDefault="0039341B" w:rsidP="00DD4CB5">
      <w:pPr>
        <w:pStyle w:val="BodyText2"/>
        <w:spacing w:line="360" w:lineRule="auto"/>
        <w:rPr>
          <w:sz w:val="26"/>
          <w:szCs w:val="26"/>
        </w:rPr>
      </w:pPr>
    </w:p>
    <w:p w:rsidR="0039341B" w:rsidRPr="0039341B" w:rsidRDefault="0039341B" w:rsidP="00DD4CB5">
      <w:pPr>
        <w:pStyle w:val="BodyText2"/>
        <w:spacing w:line="360" w:lineRule="auto"/>
        <w:rPr>
          <w:sz w:val="26"/>
          <w:szCs w:val="26"/>
        </w:rPr>
      </w:pPr>
      <w:r w:rsidRPr="0039341B">
        <w:rPr>
          <w:sz w:val="26"/>
          <w:szCs w:val="26"/>
        </w:rPr>
        <w:tab/>
      </w:r>
      <w:r w:rsidRPr="0039341B">
        <w:rPr>
          <w:sz w:val="26"/>
          <w:szCs w:val="26"/>
        </w:rPr>
        <w:tab/>
        <w:t>PPL avers that Act 129 states that pro</w:t>
      </w:r>
      <w:r w:rsidR="00BC67A6">
        <w:rPr>
          <w:sz w:val="26"/>
          <w:szCs w:val="26"/>
        </w:rPr>
        <w:t>viders of last resort service (</w:t>
      </w:r>
      <w:r w:rsidRPr="0039341B">
        <w:rPr>
          <w:sz w:val="26"/>
          <w:szCs w:val="26"/>
        </w:rPr>
        <w:t xml:space="preserve">POLR or default service) are entitled to recover, on a full and current basis, all reasonable costs </w:t>
      </w:r>
      <w:r w:rsidRPr="0039341B">
        <w:rPr>
          <w:sz w:val="26"/>
          <w:szCs w:val="26"/>
        </w:rPr>
        <w:lastRenderedPageBreak/>
        <w:t xml:space="preserve">incurred in providing default service through a reconcilable surcharge.  </w:t>
      </w:r>
      <w:r w:rsidRPr="0039341B">
        <w:rPr>
          <w:i/>
          <w:sz w:val="26"/>
          <w:szCs w:val="26"/>
        </w:rPr>
        <w:t>See</w:t>
      </w:r>
      <w:r w:rsidRPr="0039341B">
        <w:rPr>
          <w:sz w:val="26"/>
          <w:szCs w:val="26"/>
        </w:rPr>
        <w:t xml:space="preserve"> 66 Pa.</w:t>
      </w:r>
      <w:r w:rsidR="0037385D">
        <w:rPr>
          <w:sz w:val="26"/>
          <w:szCs w:val="26"/>
        </w:rPr>
        <w:t xml:space="preserve"> </w:t>
      </w:r>
      <w:r w:rsidRPr="0039341B">
        <w:rPr>
          <w:sz w:val="26"/>
          <w:szCs w:val="26"/>
        </w:rPr>
        <w:t>C.S. §</w:t>
      </w:r>
      <w:r w:rsidR="0037385D">
        <w:rPr>
          <w:sz w:val="26"/>
          <w:szCs w:val="26"/>
        </w:rPr>
        <w:t> </w:t>
      </w:r>
      <w:r w:rsidRPr="0039341B">
        <w:rPr>
          <w:sz w:val="26"/>
          <w:szCs w:val="26"/>
        </w:rPr>
        <w:t xml:space="preserve">2807(e)(3.9); </w:t>
      </w:r>
      <w:r w:rsidR="00BC67A6">
        <w:rPr>
          <w:i/>
          <w:sz w:val="26"/>
          <w:szCs w:val="26"/>
        </w:rPr>
        <w:t>Pa. Power Co. v. Pa. PUC</w:t>
      </w:r>
      <w:r w:rsidRPr="0039341B">
        <w:rPr>
          <w:sz w:val="26"/>
          <w:szCs w:val="26"/>
        </w:rPr>
        <w:t>, 932 A.2d 300, 30</w:t>
      </w:r>
      <w:r w:rsidR="00BC67A6">
        <w:rPr>
          <w:sz w:val="26"/>
          <w:szCs w:val="26"/>
        </w:rPr>
        <w:t>7 (Pa. Cmwlth. 2007).  PPL notes</w:t>
      </w:r>
      <w:r w:rsidRPr="0039341B">
        <w:rPr>
          <w:sz w:val="26"/>
          <w:szCs w:val="26"/>
        </w:rPr>
        <w:t xml:space="preserve"> that</w:t>
      </w:r>
      <w:r w:rsidR="00BC67A6">
        <w:rPr>
          <w:sz w:val="26"/>
          <w:szCs w:val="26"/>
        </w:rPr>
        <w:t>,</w:t>
      </w:r>
      <w:r w:rsidRPr="0039341B">
        <w:rPr>
          <w:sz w:val="26"/>
          <w:szCs w:val="26"/>
        </w:rPr>
        <w:t xml:space="preserve"> although the Company is entitled by law to fully recover its costs of providing default service, due to a variety of factors, including increased shopping levels and disparities between TOU rates and default service rates, it has not been able to recover/refund all of its default service costs in a full and timely manner.  PPL Exc. at 9.  </w:t>
      </w:r>
    </w:p>
    <w:p w:rsidR="002F542C" w:rsidRPr="002F542C" w:rsidRDefault="002F542C" w:rsidP="00DD4CB5">
      <w:pPr>
        <w:autoSpaceDE/>
        <w:autoSpaceDN/>
        <w:rPr>
          <w:sz w:val="26"/>
          <w:szCs w:val="26"/>
        </w:rPr>
      </w:pPr>
    </w:p>
    <w:p w:rsidR="008D69E4" w:rsidRDefault="008D69E4" w:rsidP="00DD4CB5">
      <w:pPr>
        <w:pStyle w:val="BodyText2"/>
        <w:spacing w:line="360" w:lineRule="auto"/>
        <w:rPr>
          <w:sz w:val="26"/>
          <w:szCs w:val="26"/>
        </w:rPr>
      </w:pPr>
      <w:r>
        <w:rPr>
          <w:b/>
          <w:sz w:val="26"/>
          <w:szCs w:val="26"/>
        </w:rPr>
        <w:tab/>
      </w:r>
      <w:r w:rsidRPr="008D69E4">
        <w:rPr>
          <w:b/>
          <w:sz w:val="26"/>
          <w:szCs w:val="26"/>
        </w:rPr>
        <w:tab/>
      </w:r>
      <w:r w:rsidRPr="00641212">
        <w:rPr>
          <w:sz w:val="26"/>
          <w:szCs w:val="26"/>
        </w:rPr>
        <w:t>PP</w:t>
      </w:r>
      <w:r w:rsidR="00BC67A6">
        <w:rPr>
          <w:sz w:val="26"/>
          <w:szCs w:val="26"/>
        </w:rPr>
        <w:t>L states</w:t>
      </w:r>
      <w:r w:rsidRPr="00641212">
        <w:rPr>
          <w:sz w:val="26"/>
          <w:szCs w:val="26"/>
        </w:rPr>
        <w:t xml:space="preserve"> that</w:t>
      </w:r>
      <w:r w:rsidR="00BC67A6">
        <w:rPr>
          <w:sz w:val="26"/>
          <w:szCs w:val="26"/>
        </w:rPr>
        <w:t>,</w:t>
      </w:r>
      <w:r w:rsidRPr="00641212">
        <w:rPr>
          <w:sz w:val="26"/>
          <w:szCs w:val="26"/>
        </w:rPr>
        <w:t xml:space="preserve"> given the magnitude of the over and under collection balances and the small number of non-shopping customers, the RR alone is not sufficient because it may not be likely or reasonable to refund or recover all the historic over and under collection balances from such a very small number of customers in a timely manner.  </w:t>
      </w:r>
      <w:r w:rsidR="0075128B">
        <w:rPr>
          <w:sz w:val="26"/>
          <w:szCs w:val="26"/>
        </w:rPr>
        <w:t xml:space="preserve">According to PPL, </w:t>
      </w:r>
      <w:r w:rsidR="00161C54">
        <w:rPr>
          <w:sz w:val="26"/>
          <w:szCs w:val="26"/>
        </w:rPr>
        <w:t>it</w:t>
      </w:r>
      <w:r w:rsidRPr="00641212">
        <w:rPr>
          <w:sz w:val="26"/>
          <w:szCs w:val="26"/>
        </w:rPr>
        <w:t xml:space="preserve">s proposal to implement the CTR balances the need to promote competition, alleviate the volatility and uncertainty associated with the over and under collection balances related to transmission service and generation supply costs, and the need to ensure that PPL fully recovers these costs as required by law.  </w:t>
      </w:r>
      <w:r w:rsidR="004C3D20">
        <w:rPr>
          <w:sz w:val="26"/>
          <w:szCs w:val="26"/>
        </w:rPr>
        <w:t>PPL Exc. at </w:t>
      </w:r>
      <w:r w:rsidR="0075128B">
        <w:rPr>
          <w:sz w:val="26"/>
          <w:szCs w:val="26"/>
        </w:rPr>
        <w:t>10</w:t>
      </w:r>
      <w:r w:rsidR="00266B4C">
        <w:rPr>
          <w:sz w:val="26"/>
          <w:szCs w:val="26"/>
        </w:rPr>
        <w:noBreakHyphen/>
      </w:r>
      <w:r w:rsidR="0075128B">
        <w:rPr>
          <w:sz w:val="26"/>
          <w:szCs w:val="26"/>
        </w:rPr>
        <w:t>11.</w:t>
      </w:r>
    </w:p>
    <w:p w:rsidR="003A2AEC" w:rsidRDefault="003A2AEC" w:rsidP="00DD4CB5">
      <w:pPr>
        <w:autoSpaceDE/>
        <w:autoSpaceDN/>
        <w:rPr>
          <w:b/>
          <w:sz w:val="26"/>
          <w:szCs w:val="26"/>
        </w:rPr>
      </w:pPr>
    </w:p>
    <w:p w:rsidR="00434CAE" w:rsidRDefault="00434CAE" w:rsidP="00DD4CB5">
      <w:pPr>
        <w:pStyle w:val="BodyText2"/>
        <w:spacing w:line="360" w:lineRule="auto"/>
        <w:rPr>
          <w:sz w:val="26"/>
          <w:szCs w:val="26"/>
        </w:rPr>
      </w:pPr>
      <w:r>
        <w:rPr>
          <w:b/>
          <w:sz w:val="26"/>
          <w:szCs w:val="26"/>
        </w:rPr>
        <w:tab/>
      </w:r>
      <w:r>
        <w:rPr>
          <w:b/>
          <w:sz w:val="26"/>
          <w:szCs w:val="26"/>
        </w:rPr>
        <w:tab/>
      </w:r>
      <w:r w:rsidR="00A61589">
        <w:rPr>
          <w:sz w:val="26"/>
          <w:szCs w:val="26"/>
        </w:rPr>
        <w:t xml:space="preserve">With regard to </w:t>
      </w:r>
      <w:r w:rsidR="003C4DA0">
        <w:rPr>
          <w:sz w:val="26"/>
          <w:szCs w:val="26"/>
        </w:rPr>
        <w:t xml:space="preserve">the necessity </w:t>
      </w:r>
      <w:r w:rsidRPr="004E5776">
        <w:rPr>
          <w:sz w:val="26"/>
          <w:szCs w:val="26"/>
        </w:rPr>
        <w:t>f</w:t>
      </w:r>
      <w:r w:rsidR="003C4DA0">
        <w:rPr>
          <w:sz w:val="26"/>
          <w:szCs w:val="26"/>
        </w:rPr>
        <w:t>or</w:t>
      </w:r>
      <w:r w:rsidRPr="004E5776">
        <w:rPr>
          <w:sz w:val="26"/>
          <w:szCs w:val="26"/>
        </w:rPr>
        <w:t xml:space="preserve"> the CTR, PPL notes that it historically has incurred significant over and under collections related to default service, and to date, it has not been able to recover/refund all of its default service costs in a full and timely manner due to increased shopping levels.  PPL avers it is unable to recover the remaining net historic over and under collection balances through the current cost recovery mechanisms, and the RR alone will not fully address this problem.  According to PPL, this is particularly problematic for the under collections related to the historic transmission service and generation supply costs for the Large C&amp;I customers</w:t>
      </w:r>
      <w:r w:rsidR="00161C54">
        <w:rPr>
          <w:sz w:val="26"/>
          <w:szCs w:val="26"/>
        </w:rPr>
        <w:t xml:space="preserve">.  Absent the CTR, PPL </w:t>
      </w:r>
      <w:r w:rsidRPr="004E5776">
        <w:rPr>
          <w:sz w:val="26"/>
          <w:szCs w:val="26"/>
        </w:rPr>
        <w:t xml:space="preserve">opines that it is without a reasonable means to refund or recover the remaining net historic over and under collection balances incurred for transmission </w:t>
      </w:r>
      <w:r w:rsidRPr="004E5776">
        <w:rPr>
          <w:sz w:val="26"/>
          <w:szCs w:val="26"/>
        </w:rPr>
        <w:lastRenderedPageBreak/>
        <w:t>service and generation supply service prior to the effective date of the RR.  PPL Exc. at</w:t>
      </w:r>
      <w:r w:rsidR="00266B4C">
        <w:rPr>
          <w:sz w:val="26"/>
          <w:szCs w:val="26"/>
        </w:rPr>
        <w:t> </w:t>
      </w:r>
      <w:r w:rsidRPr="004E5776">
        <w:rPr>
          <w:sz w:val="26"/>
          <w:szCs w:val="26"/>
        </w:rPr>
        <w:t xml:space="preserve">14. </w:t>
      </w:r>
    </w:p>
    <w:p w:rsidR="00B97E28" w:rsidRDefault="00B97E28" w:rsidP="00B97E28">
      <w:pPr>
        <w:pStyle w:val="BodyText2"/>
        <w:spacing w:line="360" w:lineRule="auto"/>
        <w:rPr>
          <w:sz w:val="26"/>
          <w:szCs w:val="26"/>
        </w:rPr>
      </w:pPr>
    </w:p>
    <w:p w:rsidR="004E5776" w:rsidRDefault="002F13B9" w:rsidP="00CF5675">
      <w:pPr>
        <w:rPr>
          <w:sz w:val="26"/>
          <w:szCs w:val="26"/>
        </w:rPr>
      </w:pPr>
      <w:r>
        <w:rPr>
          <w:sz w:val="26"/>
          <w:szCs w:val="26"/>
        </w:rPr>
        <w:tab/>
      </w:r>
      <w:r>
        <w:rPr>
          <w:sz w:val="26"/>
          <w:szCs w:val="26"/>
        </w:rPr>
        <w:tab/>
      </w:r>
      <w:r w:rsidRPr="00B115D7">
        <w:rPr>
          <w:sz w:val="26"/>
          <w:szCs w:val="26"/>
        </w:rPr>
        <w:t>The OCA also excepts to the ALJ</w:t>
      </w:r>
      <w:r w:rsidR="000964BB">
        <w:rPr>
          <w:sz w:val="26"/>
          <w:szCs w:val="26"/>
        </w:rPr>
        <w:t>’</w:t>
      </w:r>
      <w:r w:rsidRPr="00B115D7">
        <w:rPr>
          <w:sz w:val="26"/>
          <w:szCs w:val="26"/>
        </w:rPr>
        <w:t>s recommendation.  The OCA submits that on balance, the CTR provides a reasonable manner to collect transitional costs that arose as the Company came out from the rate cap period, is consistent with cost causation, and should be approved.</w:t>
      </w:r>
      <w:r w:rsidR="00B115D7" w:rsidRPr="00B115D7">
        <w:rPr>
          <w:sz w:val="26"/>
          <w:szCs w:val="26"/>
        </w:rPr>
        <w:t xml:space="preserve">  According to the OCA, t</w:t>
      </w:r>
      <w:r w:rsidRPr="00B115D7">
        <w:rPr>
          <w:sz w:val="26"/>
          <w:szCs w:val="26"/>
        </w:rPr>
        <w:t>he CTR provides a reasonable method for the recovery of historic costs that are associated with the transition from the rate caps to default service beginning in 2010 as well as the costs associate</w:t>
      </w:r>
      <w:r w:rsidR="00161C54">
        <w:rPr>
          <w:sz w:val="26"/>
          <w:szCs w:val="26"/>
        </w:rPr>
        <w:t>d with the Company</w:t>
      </w:r>
      <w:r w:rsidR="000964BB">
        <w:rPr>
          <w:sz w:val="26"/>
          <w:szCs w:val="26"/>
        </w:rPr>
        <w:t>’</w:t>
      </w:r>
      <w:r w:rsidR="00161C54">
        <w:rPr>
          <w:sz w:val="26"/>
          <w:szCs w:val="26"/>
        </w:rPr>
        <w:t>s TOU</w:t>
      </w:r>
      <w:r w:rsidRPr="00B115D7">
        <w:rPr>
          <w:sz w:val="26"/>
          <w:szCs w:val="26"/>
        </w:rPr>
        <w:t xml:space="preserve"> program that has encountered difficulties in design and customer retention.</w:t>
      </w:r>
      <w:r w:rsidR="00B115D7">
        <w:rPr>
          <w:sz w:val="26"/>
          <w:szCs w:val="26"/>
        </w:rPr>
        <w:t xml:space="preserve">  OCA Exc. at 3.</w:t>
      </w:r>
    </w:p>
    <w:p w:rsidR="00B115D7" w:rsidRDefault="00B115D7" w:rsidP="00B97E28">
      <w:pPr>
        <w:jc w:val="both"/>
        <w:rPr>
          <w:sz w:val="26"/>
          <w:szCs w:val="26"/>
        </w:rPr>
      </w:pPr>
    </w:p>
    <w:p w:rsidR="00B115D7" w:rsidRDefault="00B115D7" w:rsidP="00CF5675">
      <w:pPr>
        <w:rPr>
          <w:sz w:val="26"/>
          <w:szCs w:val="26"/>
        </w:rPr>
      </w:pPr>
      <w:r>
        <w:rPr>
          <w:sz w:val="26"/>
          <w:szCs w:val="26"/>
        </w:rPr>
        <w:tab/>
      </w:r>
      <w:r>
        <w:rPr>
          <w:sz w:val="26"/>
          <w:szCs w:val="26"/>
        </w:rPr>
        <w:tab/>
      </w:r>
      <w:r w:rsidRPr="00B115D7">
        <w:rPr>
          <w:sz w:val="26"/>
          <w:szCs w:val="26"/>
        </w:rPr>
        <w:t xml:space="preserve">Additionally, the OCA avers that the CTR is reasonable at this time under these unique circumstances.  Given the significant decline in default service load at PPL, the OCA opines that the collection of the CTR historic over and under collections over the entire distribution customer base is more consistent with the customer base that created these amounts than recovery of these costs only from current remaining default service customers.  According to the OCA, the costs associated with the CTR are limited, one-time </w:t>
      </w:r>
      <w:r w:rsidR="0096466E">
        <w:rPr>
          <w:sz w:val="26"/>
          <w:szCs w:val="26"/>
        </w:rPr>
        <w:t xml:space="preserve">and </w:t>
      </w:r>
      <w:r w:rsidRPr="00B115D7">
        <w:rPr>
          <w:sz w:val="26"/>
          <w:szCs w:val="26"/>
        </w:rPr>
        <w:t>un</w:t>
      </w:r>
      <w:r w:rsidR="0096466E">
        <w:rPr>
          <w:sz w:val="26"/>
          <w:szCs w:val="26"/>
        </w:rPr>
        <w:t>ique in nature, and that the application</w:t>
      </w:r>
      <w:r w:rsidRPr="00B115D7">
        <w:rPr>
          <w:sz w:val="26"/>
          <w:szCs w:val="26"/>
        </w:rPr>
        <w:t xml:space="preserve"> of the CTR across all residential customers is appropriate for these circumstances.  OCA Exc. at 4-5.</w:t>
      </w:r>
    </w:p>
    <w:p w:rsidR="00A3099F" w:rsidRDefault="00A3099F" w:rsidP="00CF5675">
      <w:pPr>
        <w:rPr>
          <w:sz w:val="26"/>
          <w:szCs w:val="26"/>
        </w:rPr>
      </w:pPr>
    </w:p>
    <w:p w:rsidR="00A3099F" w:rsidRDefault="00A3099F" w:rsidP="00CF5675">
      <w:pPr>
        <w:rPr>
          <w:sz w:val="26"/>
          <w:szCs w:val="26"/>
        </w:rPr>
      </w:pPr>
      <w:r>
        <w:rPr>
          <w:sz w:val="26"/>
          <w:szCs w:val="26"/>
        </w:rPr>
        <w:tab/>
      </w:r>
      <w:r>
        <w:rPr>
          <w:sz w:val="26"/>
          <w:szCs w:val="26"/>
        </w:rPr>
        <w:tab/>
        <w:t>In its Exceptions, PPLICA avers t</w:t>
      </w:r>
      <w:r w:rsidR="00597972">
        <w:rPr>
          <w:sz w:val="26"/>
          <w:szCs w:val="26"/>
        </w:rPr>
        <w:t>hat the ALJ erred in denying it</w:t>
      </w:r>
      <w:r>
        <w:rPr>
          <w:sz w:val="26"/>
          <w:szCs w:val="26"/>
        </w:rPr>
        <w:t>s request to approve PPL</w:t>
      </w:r>
      <w:r w:rsidR="000964BB">
        <w:rPr>
          <w:sz w:val="26"/>
          <w:szCs w:val="26"/>
        </w:rPr>
        <w:t>’</w:t>
      </w:r>
      <w:r>
        <w:rPr>
          <w:sz w:val="26"/>
          <w:szCs w:val="26"/>
        </w:rPr>
        <w:t>s proposed CTR for the reconciliation of historical transmission related expenses.  PPLICA avers that the generation-related variances to be recovered through the CTR accrued after the introduction of competitive supply, while substantial transmission-related variances accrued d</w:t>
      </w:r>
      <w:r w:rsidR="00597972">
        <w:rPr>
          <w:sz w:val="26"/>
          <w:szCs w:val="26"/>
        </w:rPr>
        <w:t>uring periods where all Large C&amp;</w:t>
      </w:r>
      <w:r>
        <w:rPr>
          <w:sz w:val="26"/>
          <w:szCs w:val="26"/>
        </w:rPr>
        <w:t>I customers remained on default service</w:t>
      </w:r>
      <w:r w:rsidR="00111B03">
        <w:rPr>
          <w:sz w:val="26"/>
          <w:szCs w:val="26"/>
        </w:rPr>
        <w:t xml:space="preserve"> and before the expiration of rate caps.  PPLICA requests that</w:t>
      </w:r>
      <w:r w:rsidR="0096466E">
        <w:rPr>
          <w:sz w:val="26"/>
          <w:szCs w:val="26"/>
        </w:rPr>
        <w:t>,</w:t>
      </w:r>
      <w:r w:rsidR="00111B03">
        <w:rPr>
          <w:sz w:val="26"/>
          <w:szCs w:val="26"/>
        </w:rPr>
        <w:t xml:space="preserve"> considering the established cost causation between PPL</w:t>
      </w:r>
      <w:r w:rsidR="000964BB">
        <w:rPr>
          <w:sz w:val="26"/>
          <w:szCs w:val="26"/>
        </w:rPr>
        <w:t>’</w:t>
      </w:r>
      <w:r w:rsidR="00111B03">
        <w:rPr>
          <w:sz w:val="26"/>
          <w:szCs w:val="26"/>
        </w:rPr>
        <w:t xml:space="preserve">s historical TSC balances and the </w:t>
      </w:r>
      <w:r w:rsidR="00111B03">
        <w:rPr>
          <w:sz w:val="26"/>
          <w:szCs w:val="26"/>
        </w:rPr>
        <w:lastRenderedPageBreak/>
        <w:t>entire Large C&amp;I customer base, the Commission should reject the ALJ</w:t>
      </w:r>
      <w:r w:rsidR="000964BB">
        <w:rPr>
          <w:sz w:val="26"/>
          <w:szCs w:val="26"/>
        </w:rPr>
        <w:t>’</w:t>
      </w:r>
      <w:r w:rsidR="00111B03">
        <w:rPr>
          <w:sz w:val="26"/>
          <w:szCs w:val="26"/>
        </w:rPr>
        <w:t>s conclusion and resolve this proceeding in a manner restoring fairness and equity for PPL</w:t>
      </w:r>
      <w:r w:rsidR="000964BB">
        <w:rPr>
          <w:sz w:val="26"/>
          <w:szCs w:val="26"/>
        </w:rPr>
        <w:t>’</w:t>
      </w:r>
      <w:r w:rsidR="00111B03">
        <w:rPr>
          <w:sz w:val="26"/>
          <w:szCs w:val="26"/>
        </w:rPr>
        <w:t>s Large C&amp;I customers.  PPLICA Exc. at 3-9.</w:t>
      </w:r>
    </w:p>
    <w:p w:rsidR="00DC015B" w:rsidRDefault="00DC015B" w:rsidP="00B97E28">
      <w:pPr>
        <w:jc w:val="both"/>
        <w:rPr>
          <w:sz w:val="26"/>
          <w:szCs w:val="26"/>
        </w:rPr>
      </w:pPr>
    </w:p>
    <w:p w:rsidR="00B115D7" w:rsidRDefault="00DC015B" w:rsidP="00CF5675">
      <w:pPr>
        <w:rPr>
          <w:sz w:val="26"/>
          <w:szCs w:val="26"/>
        </w:rPr>
      </w:pPr>
      <w:r>
        <w:rPr>
          <w:sz w:val="26"/>
          <w:szCs w:val="26"/>
        </w:rPr>
        <w:tab/>
      </w:r>
      <w:r w:rsidR="0096466E">
        <w:rPr>
          <w:sz w:val="26"/>
          <w:szCs w:val="26"/>
        </w:rPr>
        <w:t>In its R</w:t>
      </w:r>
      <w:r w:rsidRPr="006D4950">
        <w:rPr>
          <w:sz w:val="26"/>
          <w:szCs w:val="26"/>
        </w:rPr>
        <w:t>eply</w:t>
      </w:r>
      <w:r w:rsidR="0096466E">
        <w:rPr>
          <w:sz w:val="26"/>
          <w:szCs w:val="26"/>
        </w:rPr>
        <w:t xml:space="preserve"> Exceptions</w:t>
      </w:r>
      <w:r w:rsidRPr="006D4950">
        <w:rPr>
          <w:sz w:val="26"/>
          <w:szCs w:val="26"/>
        </w:rPr>
        <w:t>, the OSBA states that the CTR is not just</w:t>
      </w:r>
      <w:r w:rsidR="006A6699">
        <w:rPr>
          <w:sz w:val="26"/>
          <w:szCs w:val="26"/>
        </w:rPr>
        <w:t xml:space="preserve"> and reasonable because it</w:t>
      </w:r>
      <w:r w:rsidRPr="006D4950">
        <w:rPr>
          <w:sz w:val="26"/>
          <w:szCs w:val="26"/>
        </w:rPr>
        <w:t xml:space="preserve"> is not consistent with the basic ratemaking principle of cost causation</w:t>
      </w:r>
      <w:r w:rsidR="00B115D7" w:rsidRPr="006D4950">
        <w:rPr>
          <w:sz w:val="26"/>
          <w:szCs w:val="26"/>
        </w:rPr>
        <w:t>.</w:t>
      </w:r>
      <w:r w:rsidRPr="006D4950">
        <w:rPr>
          <w:sz w:val="26"/>
          <w:szCs w:val="26"/>
        </w:rPr>
        <w:t xml:space="preserve">  The OSBA avers that the CTR is patently unfair to customers who long ago chose to shop and are not respons</w:t>
      </w:r>
      <w:r w:rsidR="00597972">
        <w:rPr>
          <w:sz w:val="26"/>
          <w:szCs w:val="26"/>
        </w:rPr>
        <w:t xml:space="preserve">ible for any prior period under </w:t>
      </w:r>
      <w:r w:rsidRPr="006D4950">
        <w:rPr>
          <w:sz w:val="26"/>
          <w:szCs w:val="26"/>
        </w:rPr>
        <w:t xml:space="preserve">collections that will be on </w:t>
      </w:r>
      <w:r w:rsidR="006A6699">
        <w:rPr>
          <w:sz w:val="26"/>
          <w:szCs w:val="26"/>
        </w:rPr>
        <w:t xml:space="preserve">the </w:t>
      </w:r>
      <w:r w:rsidRPr="006D4950">
        <w:rPr>
          <w:sz w:val="26"/>
          <w:szCs w:val="26"/>
        </w:rPr>
        <w:t>Company</w:t>
      </w:r>
      <w:r w:rsidR="000964BB">
        <w:rPr>
          <w:sz w:val="26"/>
          <w:szCs w:val="26"/>
        </w:rPr>
        <w:t>’</w:t>
      </w:r>
      <w:r w:rsidRPr="006D4950">
        <w:rPr>
          <w:sz w:val="26"/>
          <w:szCs w:val="26"/>
        </w:rPr>
        <w:t>s books when the CTR would go into effect.  The OSBA maintains that there is no clear evidence to support PPL</w:t>
      </w:r>
      <w:r w:rsidR="000964BB">
        <w:rPr>
          <w:sz w:val="26"/>
          <w:szCs w:val="26"/>
        </w:rPr>
        <w:t>’</w:t>
      </w:r>
      <w:r w:rsidRPr="006D4950">
        <w:rPr>
          <w:sz w:val="26"/>
          <w:szCs w:val="26"/>
        </w:rPr>
        <w:t xml:space="preserve">s argument that </w:t>
      </w:r>
      <w:r w:rsidRPr="006D4950">
        <w:rPr>
          <w:i/>
          <w:sz w:val="26"/>
          <w:szCs w:val="26"/>
        </w:rPr>
        <w:t>all</w:t>
      </w:r>
      <w:r w:rsidRPr="006D4950">
        <w:rPr>
          <w:sz w:val="26"/>
          <w:szCs w:val="26"/>
        </w:rPr>
        <w:t xml:space="preserve"> shopping customers will have caused the variance as of the effective date of the RR.  OSBA </w:t>
      </w:r>
      <w:r w:rsidR="00BE66D1">
        <w:rPr>
          <w:sz w:val="26"/>
          <w:szCs w:val="26"/>
        </w:rPr>
        <w:t xml:space="preserve">R. </w:t>
      </w:r>
      <w:r w:rsidRPr="006D4950">
        <w:rPr>
          <w:sz w:val="26"/>
          <w:szCs w:val="26"/>
        </w:rPr>
        <w:t xml:space="preserve">Exc. at </w:t>
      </w:r>
      <w:r w:rsidR="006D4950" w:rsidRPr="006D4950">
        <w:rPr>
          <w:sz w:val="26"/>
          <w:szCs w:val="26"/>
        </w:rPr>
        <w:t>3-5.</w:t>
      </w:r>
      <w:r w:rsidR="00B115D7" w:rsidRPr="006D4950">
        <w:rPr>
          <w:sz w:val="26"/>
          <w:szCs w:val="26"/>
        </w:rPr>
        <w:t xml:space="preserve">  </w:t>
      </w:r>
    </w:p>
    <w:p w:rsidR="006A6699" w:rsidRDefault="006A6699" w:rsidP="00B97E28">
      <w:pPr>
        <w:jc w:val="both"/>
        <w:rPr>
          <w:sz w:val="26"/>
          <w:szCs w:val="26"/>
        </w:rPr>
      </w:pPr>
    </w:p>
    <w:p w:rsidR="006A6699" w:rsidRDefault="006A6699" w:rsidP="00CF5675">
      <w:pPr>
        <w:rPr>
          <w:sz w:val="26"/>
          <w:szCs w:val="26"/>
        </w:rPr>
      </w:pPr>
      <w:r>
        <w:rPr>
          <w:sz w:val="26"/>
          <w:szCs w:val="26"/>
        </w:rPr>
        <w:tab/>
        <w:t>Also, the OSBA avers that the ALJ c</w:t>
      </w:r>
      <w:r w:rsidR="0096466E">
        <w:rPr>
          <w:sz w:val="26"/>
          <w:szCs w:val="26"/>
        </w:rPr>
        <w:t>orrectly determined that PPL has</w:t>
      </w:r>
      <w:r>
        <w:rPr>
          <w:sz w:val="26"/>
          <w:szCs w:val="26"/>
        </w:rPr>
        <w:t xml:space="preserve"> not been able to show that the CTR is a necessary cost recovery mechanism.  The OSBA opines that PPL</w:t>
      </w:r>
      <w:r w:rsidR="000964BB">
        <w:rPr>
          <w:sz w:val="26"/>
          <w:szCs w:val="26"/>
        </w:rPr>
        <w:t>’</w:t>
      </w:r>
      <w:r>
        <w:rPr>
          <w:sz w:val="26"/>
          <w:szCs w:val="26"/>
        </w:rPr>
        <w:t xml:space="preserve">s concerns about the ability to recover/recoup historic </w:t>
      </w:r>
      <w:r w:rsidR="0096466E">
        <w:rPr>
          <w:sz w:val="26"/>
          <w:szCs w:val="26"/>
        </w:rPr>
        <w:t>under collections</w:t>
      </w:r>
      <w:r>
        <w:rPr>
          <w:sz w:val="26"/>
          <w:szCs w:val="26"/>
        </w:rPr>
        <w:t xml:space="preserve"> are not supported</w:t>
      </w:r>
      <w:r w:rsidR="0096466E">
        <w:rPr>
          <w:sz w:val="26"/>
          <w:szCs w:val="26"/>
        </w:rPr>
        <w:t>,</w:t>
      </w:r>
      <w:r>
        <w:rPr>
          <w:sz w:val="26"/>
          <w:szCs w:val="26"/>
        </w:rPr>
        <w:t xml:space="preserve"> as any h</w:t>
      </w:r>
      <w:r w:rsidR="0096466E">
        <w:rPr>
          <w:sz w:val="26"/>
          <w:szCs w:val="26"/>
        </w:rPr>
        <w:t>istorical under collection</w:t>
      </w:r>
      <w:r>
        <w:rPr>
          <w:sz w:val="26"/>
          <w:szCs w:val="26"/>
        </w:rPr>
        <w:t xml:space="preserve"> that exists can be fairly and adequately recovered/recouped through the RR.</w:t>
      </w:r>
      <w:r w:rsidR="00BE66D1">
        <w:rPr>
          <w:sz w:val="26"/>
          <w:szCs w:val="26"/>
        </w:rPr>
        <w:t xml:space="preserve">  According to the OSBA, there is no need to establish a rate mechanism that is inconsistent with cost causation and inequitable merely on the basis that PPL might possibly find itself facing an unrecoverable variance.  OSBA R. Exc. at 5-6.</w:t>
      </w:r>
    </w:p>
    <w:p w:rsidR="00B97E28" w:rsidRDefault="00B97E28" w:rsidP="00CF5675">
      <w:pPr>
        <w:spacing w:line="480" w:lineRule="auto"/>
        <w:rPr>
          <w:sz w:val="26"/>
          <w:szCs w:val="26"/>
        </w:rPr>
      </w:pPr>
    </w:p>
    <w:p w:rsidR="00E46DE0" w:rsidRDefault="00B97E28" w:rsidP="00CF5675">
      <w:pPr>
        <w:rPr>
          <w:sz w:val="26"/>
          <w:szCs w:val="26"/>
        </w:rPr>
      </w:pPr>
      <w:r>
        <w:rPr>
          <w:sz w:val="26"/>
          <w:szCs w:val="26"/>
        </w:rPr>
        <w:tab/>
      </w:r>
      <w:r>
        <w:rPr>
          <w:sz w:val="26"/>
          <w:szCs w:val="26"/>
        </w:rPr>
        <w:tab/>
      </w:r>
      <w:r w:rsidR="005E7513">
        <w:rPr>
          <w:sz w:val="26"/>
          <w:szCs w:val="26"/>
        </w:rPr>
        <w:t>In its Reply Except</w:t>
      </w:r>
      <w:r w:rsidR="006F7354">
        <w:rPr>
          <w:sz w:val="26"/>
          <w:szCs w:val="26"/>
        </w:rPr>
        <w:t>i</w:t>
      </w:r>
      <w:r w:rsidR="005E7513">
        <w:rPr>
          <w:sz w:val="26"/>
          <w:szCs w:val="26"/>
        </w:rPr>
        <w:t xml:space="preserve">ons, RESA asserts that the arguments of PPL in support of the CTR are red herrings as the legal requirements are absolute and there are no </w:t>
      </w:r>
      <w:r w:rsidR="000964BB">
        <w:rPr>
          <w:sz w:val="26"/>
          <w:szCs w:val="26"/>
        </w:rPr>
        <w:t>“</w:t>
      </w:r>
      <w:r w:rsidR="005E7513">
        <w:rPr>
          <w:sz w:val="26"/>
          <w:szCs w:val="26"/>
        </w:rPr>
        <w:t>exceptions</w:t>
      </w:r>
      <w:r w:rsidR="000964BB">
        <w:rPr>
          <w:sz w:val="26"/>
          <w:szCs w:val="26"/>
        </w:rPr>
        <w:t>”</w:t>
      </w:r>
      <w:r w:rsidR="005E7513">
        <w:rPr>
          <w:sz w:val="26"/>
          <w:szCs w:val="26"/>
        </w:rPr>
        <w:t xml:space="preserve"> to them based on PPL</w:t>
      </w:r>
      <w:r w:rsidR="000964BB">
        <w:rPr>
          <w:sz w:val="26"/>
          <w:szCs w:val="26"/>
        </w:rPr>
        <w:t>’</w:t>
      </w:r>
      <w:r w:rsidR="005E7513">
        <w:rPr>
          <w:sz w:val="26"/>
          <w:szCs w:val="26"/>
        </w:rPr>
        <w:t>s fairness argument or its claim that the CTR is reasonable due to the availability of default service</w:t>
      </w:r>
      <w:r w:rsidR="0066441D">
        <w:rPr>
          <w:sz w:val="26"/>
          <w:szCs w:val="26"/>
        </w:rPr>
        <w:t xml:space="preserve"> for all customers</w:t>
      </w:r>
      <w:r w:rsidR="005E7513">
        <w:rPr>
          <w:sz w:val="26"/>
          <w:szCs w:val="26"/>
        </w:rPr>
        <w:t>.  RESA avers that the law req</w:t>
      </w:r>
      <w:r w:rsidR="0066441D">
        <w:rPr>
          <w:sz w:val="26"/>
          <w:szCs w:val="26"/>
        </w:rPr>
        <w:t>uires that all costs that are</w:t>
      </w:r>
      <w:r w:rsidR="005E7513">
        <w:rPr>
          <w:sz w:val="26"/>
          <w:szCs w:val="26"/>
        </w:rPr>
        <w:t xml:space="preserve"> associated with providing default service must be recognized and recovered i</w:t>
      </w:r>
      <w:r w:rsidR="0066441D">
        <w:rPr>
          <w:sz w:val="26"/>
          <w:szCs w:val="26"/>
        </w:rPr>
        <w:t>n the default service rate that</w:t>
      </w:r>
      <w:r w:rsidR="005E7513">
        <w:rPr>
          <w:sz w:val="26"/>
          <w:szCs w:val="26"/>
        </w:rPr>
        <w:t xml:space="preserve"> is paid by default service customers.  According to RESA, </w:t>
      </w:r>
      <w:r w:rsidR="00B805CD">
        <w:rPr>
          <w:sz w:val="26"/>
          <w:szCs w:val="26"/>
        </w:rPr>
        <w:t xml:space="preserve">while the Competition Act expressly provides for the </w:t>
      </w:r>
      <w:r w:rsidR="00B805CD">
        <w:rPr>
          <w:sz w:val="26"/>
          <w:szCs w:val="26"/>
        </w:rPr>
        <w:lastRenderedPageBreak/>
        <w:t>recovery of certain costs through non-bypassable charges on all customers, there is no such express authorization for the recovery of default service costs through non-bypassable, distribution service charges such as the riders proposed by PPL.  RESA alleges that</w:t>
      </w:r>
      <w:r w:rsidR="0066441D">
        <w:rPr>
          <w:sz w:val="26"/>
          <w:szCs w:val="26"/>
        </w:rPr>
        <w:t>,</w:t>
      </w:r>
      <w:r w:rsidR="00B805CD">
        <w:rPr>
          <w:sz w:val="26"/>
          <w:szCs w:val="26"/>
        </w:rPr>
        <w:t xml:space="preserve"> because the CTR illegally imposes a default service cost on non-default service customers, it cannot be implemented.  RESA states that the ALJ was correct to deny the CTR on this basis.  RESA R. Exc. at 2-5.</w:t>
      </w:r>
    </w:p>
    <w:p w:rsidR="00E46DE0" w:rsidRDefault="00E46DE0" w:rsidP="00CF5675">
      <w:pPr>
        <w:rPr>
          <w:sz w:val="26"/>
          <w:szCs w:val="26"/>
        </w:rPr>
      </w:pPr>
    </w:p>
    <w:p w:rsidR="00B97E28" w:rsidRPr="006D4950" w:rsidRDefault="00E46DE0" w:rsidP="00CF5675">
      <w:pPr>
        <w:rPr>
          <w:sz w:val="26"/>
          <w:szCs w:val="26"/>
        </w:rPr>
      </w:pPr>
      <w:r>
        <w:rPr>
          <w:sz w:val="26"/>
          <w:szCs w:val="26"/>
        </w:rPr>
        <w:tab/>
      </w:r>
      <w:r>
        <w:rPr>
          <w:sz w:val="26"/>
          <w:szCs w:val="26"/>
        </w:rPr>
        <w:tab/>
      </w:r>
      <w:r w:rsidR="00DF07F9">
        <w:rPr>
          <w:sz w:val="26"/>
          <w:szCs w:val="26"/>
        </w:rPr>
        <w:t>Additionally, RESA asserts that the assumption built into PPL</w:t>
      </w:r>
      <w:r w:rsidR="000964BB">
        <w:rPr>
          <w:sz w:val="26"/>
          <w:szCs w:val="26"/>
        </w:rPr>
        <w:t>’</w:t>
      </w:r>
      <w:r w:rsidR="00DF07F9">
        <w:rPr>
          <w:sz w:val="26"/>
          <w:szCs w:val="26"/>
        </w:rPr>
        <w:t>s claim that it will not recover the</w:t>
      </w:r>
      <w:r w:rsidR="0066441D">
        <w:rPr>
          <w:sz w:val="26"/>
          <w:szCs w:val="26"/>
        </w:rPr>
        <w:t xml:space="preserve"> historic under collection</w:t>
      </w:r>
      <w:r w:rsidR="00DF07F9">
        <w:rPr>
          <w:sz w:val="26"/>
          <w:szCs w:val="26"/>
        </w:rPr>
        <w:t xml:space="preserve"> is not supported in the record</w:t>
      </w:r>
      <w:r w:rsidR="0066441D">
        <w:rPr>
          <w:sz w:val="26"/>
          <w:szCs w:val="26"/>
        </w:rPr>
        <w:t>.</w:t>
      </w:r>
      <w:r w:rsidR="00DF07F9">
        <w:rPr>
          <w:sz w:val="26"/>
          <w:szCs w:val="26"/>
        </w:rPr>
        <w:t xml:space="preserve">  RESA also asserts that there are still substantial numbers of customers taking default service to </w:t>
      </w:r>
      <w:r w:rsidR="007D5345">
        <w:rPr>
          <w:sz w:val="26"/>
          <w:szCs w:val="26"/>
        </w:rPr>
        <w:t>which</w:t>
      </w:r>
      <w:r w:rsidR="00DF07F9">
        <w:rPr>
          <w:sz w:val="26"/>
          <w:szCs w:val="26"/>
        </w:rPr>
        <w:t xml:space="preserve"> the current reconciliation mechanism may be applied.  RESA notes that PPL does recognize that the remaining balances </w:t>
      </w:r>
      <w:r w:rsidR="000964BB">
        <w:rPr>
          <w:sz w:val="26"/>
          <w:szCs w:val="26"/>
        </w:rPr>
        <w:t>“</w:t>
      </w:r>
      <w:r w:rsidR="00DF07F9">
        <w:rPr>
          <w:sz w:val="26"/>
          <w:szCs w:val="26"/>
        </w:rPr>
        <w:t>may be small</w:t>
      </w:r>
      <w:r w:rsidR="000964BB">
        <w:rPr>
          <w:sz w:val="26"/>
          <w:szCs w:val="26"/>
        </w:rPr>
        <w:t>”</w:t>
      </w:r>
      <w:r w:rsidR="00DF07F9">
        <w:rPr>
          <w:sz w:val="26"/>
          <w:szCs w:val="26"/>
        </w:rPr>
        <w:t xml:space="preserve"> and claims PPL is really asking the Commission to give it an illegal mechanism now just in case.  RESA avers that PPL already has a reconciliation mechanism in place which is positioned to ensure PPL receives appropriate cost recovery of the historical balances and that the ALJ correctly rejected PPL</w:t>
      </w:r>
      <w:r w:rsidR="000964BB">
        <w:rPr>
          <w:sz w:val="26"/>
          <w:szCs w:val="26"/>
        </w:rPr>
        <w:t>’</w:t>
      </w:r>
      <w:r w:rsidR="00DF07F9">
        <w:rPr>
          <w:sz w:val="26"/>
          <w:szCs w:val="26"/>
        </w:rPr>
        <w:t>s proposed CTR.  RESA R. Exc. at 5-6</w:t>
      </w:r>
      <w:r w:rsidR="0066441D">
        <w:rPr>
          <w:sz w:val="26"/>
          <w:szCs w:val="26"/>
        </w:rPr>
        <w:t>.</w:t>
      </w:r>
      <w:r w:rsidR="00DF07F9">
        <w:rPr>
          <w:sz w:val="26"/>
          <w:szCs w:val="26"/>
        </w:rPr>
        <w:t xml:space="preserve"> </w:t>
      </w:r>
      <w:r w:rsidR="00B805CD">
        <w:rPr>
          <w:sz w:val="26"/>
          <w:szCs w:val="26"/>
        </w:rPr>
        <w:t xml:space="preserve"> </w:t>
      </w:r>
    </w:p>
    <w:p w:rsidR="004E5776" w:rsidRDefault="004E5776" w:rsidP="009D1FD3">
      <w:pPr>
        <w:pStyle w:val="BodyText2"/>
        <w:spacing w:line="360" w:lineRule="auto"/>
        <w:rPr>
          <w:sz w:val="26"/>
          <w:szCs w:val="26"/>
        </w:rPr>
      </w:pPr>
    </w:p>
    <w:p w:rsidR="00B85935" w:rsidRDefault="00B85935" w:rsidP="00DC57FC">
      <w:pPr>
        <w:pStyle w:val="BodyText2"/>
        <w:spacing w:line="360" w:lineRule="auto"/>
        <w:rPr>
          <w:sz w:val="26"/>
          <w:szCs w:val="26"/>
        </w:rPr>
      </w:pPr>
      <w:r>
        <w:rPr>
          <w:sz w:val="26"/>
          <w:szCs w:val="26"/>
        </w:rPr>
        <w:tab/>
      </w:r>
      <w:r>
        <w:rPr>
          <w:sz w:val="26"/>
          <w:szCs w:val="26"/>
        </w:rPr>
        <w:tab/>
      </w:r>
      <w:r w:rsidR="00CC6E79">
        <w:rPr>
          <w:sz w:val="26"/>
          <w:szCs w:val="26"/>
        </w:rPr>
        <w:t xml:space="preserve">In its </w:t>
      </w:r>
      <w:r>
        <w:rPr>
          <w:sz w:val="26"/>
          <w:szCs w:val="26"/>
        </w:rPr>
        <w:t xml:space="preserve">Replies to </w:t>
      </w:r>
      <w:r w:rsidR="009D1FD3">
        <w:rPr>
          <w:sz w:val="26"/>
          <w:szCs w:val="26"/>
        </w:rPr>
        <w:t>PPL</w:t>
      </w:r>
      <w:r w:rsidR="000964BB">
        <w:rPr>
          <w:sz w:val="26"/>
          <w:szCs w:val="26"/>
        </w:rPr>
        <w:t>’</w:t>
      </w:r>
      <w:r w:rsidR="009D1FD3">
        <w:rPr>
          <w:sz w:val="26"/>
          <w:szCs w:val="26"/>
        </w:rPr>
        <w:t xml:space="preserve">s </w:t>
      </w:r>
      <w:r>
        <w:rPr>
          <w:sz w:val="26"/>
          <w:szCs w:val="26"/>
        </w:rPr>
        <w:t>Exceptions</w:t>
      </w:r>
      <w:r w:rsidR="00CC6E79">
        <w:rPr>
          <w:sz w:val="26"/>
          <w:szCs w:val="26"/>
        </w:rPr>
        <w:t xml:space="preserve">, </w:t>
      </w:r>
      <w:r>
        <w:rPr>
          <w:sz w:val="26"/>
          <w:szCs w:val="26"/>
        </w:rPr>
        <w:t>Dominion avers that the law does not allow, and in fact prohibits, the collection of the costs of default service outside the PTC and from non-default service customers.  According to Dominion, neither the statute nor the regulations permit PPL to recover any reconciled surcharge from non-default service customers</w:t>
      </w:r>
      <w:r w:rsidR="00CA5217">
        <w:rPr>
          <w:sz w:val="26"/>
          <w:szCs w:val="26"/>
        </w:rPr>
        <w:t>.  According to Dominion, the record in this case makes it clear that the significant contributing factor to PPL</w:t>
      </w:r>
      <w:r w:rsidR="000964BB">
        <w:rPr>
          <w:sz w:val="26"/>
          <w:szCs w:val="26"/>
        </w:rPr>
        <w:t>’</w:t>
      </w:r>
      <w:r w:rsidR="00CA5217">
        <w:rPr>
          <w:sz w:val="26"/>
          <w:szCs w:val="26"/>
        </w:rPr>
        <w:t>s unrecovered balances was not customer migration to shop</w:t>
      </w:r>
      <w:r w:rsidR="009D1FD3">
        <w:rPr>
          <w:sz w:val="26"/>
          <w:szCs w:val="26"/>
        </w:rPr>
        <w:t>ping</w:t>
      </w:r>
      <w:r w:rsidR="00CA5217">
        <w:rPr>
          <w:sz w:val="26"/>
          <w:szCs w:val="26"/>
        </w:rPr>
        <w:t>, but PPL</w:t>
      </w:r>
      <w:r w:rsidR="000964BB">
        <w:rPr>
          <w:sz w:val="26"/>
          <w:szCs w:val="26"/>
        </w:rPr>
        <w:t>’</w:t>
      </w:r>
      <w:r w:rsidR="00CA5217">
        <w:rPr>
          <w:sz w:val="26"/>
          <w:szCs w:val="26"/>
        </w:rPr>
        <w:t>s inability to accurately forecast its rates and to match its revenues and expenses.  Additionally, Dominion notes that PPL could not support the existence of any balance in the record.  Dominion opines that PPL has failed to carry its burden of proving the ne</w:t>
      </w:r>
      <w:r w:rsidR="00CC6E79">
        <w:rPr>
          <w:sz w:val="26"/>
          <w:szCs w:val="26"/>
        </w:rPr>
        <w:t>ed for the CTR and that PPL</w:t>
      </w:r>
      <w:r w:rsidR="000964BB">
        <w:rPr>
          <w:sz w:val="26"/>
          <w:szCs w:val="26"/>
        </w:rPr>
        <w:t>’</w:t>
      </w:r>
      <w:r w:rsidR="00CC6E79">
        <w:rPr>
          <w:sz w:val="26"/>
          <w:szCs w:val="26"/>
        </w:rPr>
        <w:t>s</w:t>
      </w:r>
      <w:r w:rsidR="00CA5217">
        <w:rPr>
          <w:sz w:val="26"/>
          <w:szCs w:val="26"/>
        </w:rPr>
        <w:t xml:space="preserve"> Exceptions should be rejected.</w:t>
      </w:r>
      <w:r w:rsidR="009D1FD3">
        <w:rPr>
          <w:sz w:val="26"/>
          <w:szCs w:val="26"/>
        </w:rPr>
        <w:t xml:space="preserve">  </w:t>
      </w:r>
      <w:r w:rsidR="00DC57FC">
        <w:rPr>
          <w:sz w:val="26"/>
          <w:szCs w:val="26"/>
        </w:rPr>
        <w:t xml:space="preserve">Dominion </w:t>
      </w:r>
      <w:r w:rsidR="00DC57FC">
        <w:rPr>
          <w:sz w:val="26"/>
          <w:szCs w:val="26"/>
        </w:rPr>
        <w:lastRenderedPageBreak/>
        <w:t>also asserts that there is no evidence of record that any balance does in fact exist or will exist as of the date of the Commission</w:t>
      </w:r>
      <w:r w:rsidR="000964BB">
        <w:rPr>
          <w:sz w:val="26"/>
          <w:szCs w:val="26"/>
        </w:rPr>
        <w:t>’</w:t>
      </w:r>
      <w:r w:rsidR="00DC57FC">
        <w:rPr>
          <w:sz w:val="26"/>
          <w:szCs w:val="26"/>
        </w:rPr>
        <w:t xml:space="preserve">s decision in this matter.  </w:t>
      </w:r>
      <w:r w:rsidR="009D1FD3">
        <w:rPr>
          <w:sz w:val="26"/>
          <w:szCs w:val="26"/>
        </w:rPr>
        <w:t>Dominion R. Exc. at 4-8</w:t>
      </w:r>
      <w:r w:rsidR="00CA5217">
        <w:rPr>
          <w:sz w:val="26"/>
          <w:szCs w:val="26"/>
        </w:rPr>
        <w:t>.</w:t>
      </w:r>
    </w:p>
    <w:p w:rsidR="009D1FD3" w:rsidRPr="004E5776" w:rsidRDefault="009D1FD3" w:rsidP="00DC57FC">
      <w:pPr>
        <w:pStyle w:val="BodyText2"/>
        <w:spacing w:line="360" w:lineRule="auto"/>
        <w:rPr>
          <w:sz w:val="26"/>
          <w:szCs w:val="26"/>
        </w:rPr>
      </w:pPr>
    </w:p>
    <w:p w:rsidR="00434CAE" w:rsidRDefault="00DC57FC" w:rsidP="00DC57FC">
      <w:pPr>
        <w:autoSpaceDE/>
        <w:autoSpaceDN/>
        <w:rPr>
          <w:sz w:val="26"/>
          <w:szCs w:val="26"/>
        </w:rPr>
      </w:pPr>
      <w:r>
        <w:rPr>
          <w:sz w:val="26"/>
          <w:szCs w:val="26"/>
        </w:rPr>
        <w:tab/>
      </w:r>
      <w:r>
        <w:rPr>
          <w:sz w:val="26"/>
          <w:szCs w:val="26"/>
        </w:rPr>
        <w:tab/>
        <w:t>In its Reply</w:t>
      </w:r>
      <w:r w:rsidR="00CC6E79">
        <w:rPr>
          <w:sz w:val="26"/>
          <w:szCs w:val="26"/>
        </w:rPr>
        <w:t xml:space="preserve"> Exceptions</w:t>
      </w:r>
      <w:r>
        <w:rPr>
          <w:sz w:val="26"/>
          <w:szCs w:val="26"/>
        </w:rPr>
        <w:t>, Wal</w:t>
      </w:r>
      <w:r w:rsidR="00597972">
        <w:rPr>
          <w:sz w:val="26"/>
          <w:szCs w:val="26"/>
        </w:rPr>
        <w:t>-M</w:t>
      </w:r>
      <w:r>
        <w:rPr>
          <w:sz w:val="26"/>
          <w:szCs w:val="26"/>
        </w:rPr>
        <w:t>art avers that PPL</w:t>
      </w:r>
      <w:r w:rsidR="000964BB">
        <w:rPr>
          <w:sz w:val="26"/>
          <w:szCs w:val="26"/>
        </w:rPr>
        <w:t>’</w:t>
      </w:r>
      <w:r>
        <w:rPr>
          <w:sz w:val="26"/>
          <w:szCs w:val="26"/>
        </w:rPr>
        <w:t>s arguments cannot overcome the ratemaking and legal defects inherent in the CTR proposal.  According to Wal</w:t>
      </w:r>
      <w:r w:rsidR="00597972">
        <w:rPr>
          <w:sz w:val="26"/>
          <w:szCs w:val="26"/>
        </w:rPr>
        <w:t>-M</w:t>
      </w:r>
      <w:r>
        <w:rPr>
          <w:sz w:val="26"/>
          <w:szCs w:val="26"/>
        </w:rPr>
        <w:t xml:space="preserve">art, the allegation that some shopping customers may have been default customers who contributed to the unquantifiable </w:t>
      </w:r>
      <w:r w:rsidR="00CC6E79">
        <w:rPr>
          <w:sz w:val="26"/>
          <w:szCs w:val="26"/>
        </w:rPr>
        <w:t xml:space="preserve">uncollected </w:t>
      </w:r>
      <w:r w:rsidR="00D972B9">
        <w:rPr>
          <w:sz w:val="26"/>
          <w:szCs w:val="26"/>
        </w:rPr>
        <w:t xml:space="preserve">balance as of </w:t>
      </w:r>
      <w:r>
        <w:rPr>
          <w:sz w:val="26"/>
          <w:szCs w:val="26"/>
        </w:rPr>
        <w:t>May 30, 2012</w:t>
      </w:r>
      <w:r w:rsidR="00D972B9">
        <w:rPr>
          <w:sz w:val="26"/>
          <w:szCs w:val="26"/>
        </w:rPr>
        <w:t>,</w:t>
      </w:r>
      <w:r>
        <w:rPr>
          <w:sz w:val="26"/>
          <w:szCs w:val="26"/>
        </w:rPr>
        <w:t xml:space="preserve"> simply cannot justify the application of a rider to collect default service costs</w:t>
      </w:r>
      <w:r w:rsidR="00CC6E79">
        <w:rPr>
          <w:sz w:val="26"/>
          <w:szCs w:val="26"/>
        </w:rPr>
        <w:t xml:space="preserve"> from all shopping customers that did</w:t>
      </w:r>
      <w:r>
        <w:rPr>
          <w:sz w:val="26"/>
          <w:szCs w:val="26"/>
        </w:rPr>
        <w:t xml:space="preserve"> not cause PPL to incur generation and transmission costs.  Wal</w:t>
      </w:r>
      <w:r w:rsidR="00597972">
        <w:rPr>
          <w:sz w:val="26"/>
          <w:szCs w:val="26"/>
        </w:rPr>
        <w:t>-M</w:t>
      </w:r>
      <w:r>
        <w:rPr>
          <w:sz w:val="26"/>
          <w:szCs w:val="26"/>
        </w:rPr>
        <w:t xml:space="preserve">art maintains that the refunding or charging of shopping customers for any unrecovered balance for generation and transmission costs for which they neither caused nor overpaid is unlawful and inconsistent with proper ratemaking principles.  </w:t>
      </w:r>
      <w:r w:rsidR="008D58AA">
        <w:rPr>
          <w:sz w:val="26"/>
          <w:szCs w:val="26"/>
        </w:rPr>
        <w:t>Additionally, Wal</w:t>
      </w:r>
      <w:r w:rsidR="00597972">
        <w:rPr>
          <w:sz w:val="26"/>
          <w:szCs w:val="26"/>
        </w:rPr>
        <w:t>-M</w:t>
      </w:r>
      <w:r w:rsidR="008D58AA">
        <w:rPr>
          <w:sz w:val="26"/>
          <w:szCs w:val="26"/>
        </w:rPr>
        <w:t xml:space="preserve">art </w:t>
      </w:r>
      <w:r w:rsidR="005520F7">
        <w:rPr>
          <w:sz w:val="26"/>
          <w:szCs w:val="26"/>
        </w:rPr>
        <w:t xml:space="preserve">contends that PPL </w:t>
      </w:r>
      <w:r w:rsidR="008D58AA">
        <w:rPr>
          <w:sz w:val="26"/>
          <w:szCs w:val="26"/>
        </w:rPr>
        <w:t xml:space="preserve">made no effort to quantify the need for the CTR and as a result, failed to meet its burden of proof.  </w:t>
      </w:r>
      <w:r>
        <w:rPr>
          <w:sz w:val="26"/>
          <w:szCs w:val="26"/>
        </w:rPr>
        <w:t>Wal</w:t>
      </w:r>
      <w:r w:rsidR="00597972">
        <w:rPr>
          <w:sz w:val="26"/>
          <w:szCs w:val="26"/>
        </w:rPr>
        <w:t>-M</w:t>
      </w:r>
      <w:r>
        <w:rPr>
          <w:sz w:val="26"/>
          <w:szCs w:val="26"/>
        </w:rPr>
        <w:t>art R. Exc. at 3-</w:t>
      </w:r>
      <w:r w:rsidR="008D58AA">
        <w:rPr>
          <w:sz w:val="26"/>
          <w:szCs w:val="26"/>
        </w:rPr>
        <w:t>8</w:t>
      </w:r>
      <w:r w:rsidR="00860EA6">
        <w:rPr>
          <w:sz w:val="26"/>
          <w:szCs w:val="26"/>
        </w:rPr>
        <w:t>.</w:t>
      </w:r>
    </w:p>
    <w:p w:rsidR="008D58AA" w:rsidRDefault="008D58AA" w:rsidP="00DC57FC">
      <w:pPr>
        <w:autoSpaceDE/>
        <w:autoSpaceDN/>
        <w:rPr>
          <w:sz w:val="26"/>
          <w:szCs w:val="26"/>
        </w:rPr>
      </w:pPr>
    </w:p>
    <w:p w:rsidR="00BA78A2" w:rsidRDefault="008D58AA" w:rsidP="00DC57FC">
      <w:pPr>
        <w:autoSpaceDE/>
        <w:autoSpaceDN/>
        <w:rPr>
          <w:sz w:val="26"/>
          <w:szCs w:val="26"/>
        </w:rPr>
      </w:pPr>
      <w:r>
        <w:rPr>
          <w:sz w:val="26"/>
          <w:szCs w:val="26"/>
        </w:rPr>
        <w:tab/>
      </w:r>
      <w:r>
        <w:rPr>
          <w:sz w:val="26"/>
          <w:szCs w:val="26"/>
        </w:rPr>
        <w:tab/>
        <w:t xml:space="preserve">In its </w:t>
      </w:r>
      <w:r w:rsidR="0060237C">
        <w:rPr>
          <w:sz w:val="26"/>
          <w:szCs w:val="26"/>
        </w:rPr>
        <w:t>R</w:t>
      </w:r>
      <w:r w:rsidR="005520F7">
        <w:rPr>
          <w:sz w:val="26"/>
          <w:szCs w:val="26"/>
        </w:rPr>
        <w:t>eply</w:t>
      </w:r>
      <w:r>
        <w:rPr>
          <w:sz w:val="26"/>
          <w:szCs w:val="26"/>
        </w:rPr>
        <w:t xml:space="preserve"> Exceptions, PPLICA </w:t>
      </w:r>
      <w:r w:rsidR="00EF33F9">
        <w:rPr>
          <w:sz w:val="26"/>
          <w:szCs w:val="26"/>
        </w:rPr>
        <w:t xml:space="preserve">asserts that the generation component of the proposed CTR is not a just and reasonable cost recovery mechanism because it would force many Large C&amp;I customer to pay generation supply costs to which they did not contribute.  PPLICA avers that, for the Large C&amp;I customer class, generation-related </w:t>
      </w:r>
      <w:r w:rsidR="00F4502A">
        <w:rPr>
          <w:sz w:val="26"/>
          <w:szCs w:val="26"/>
        </w:rPr>
        <w:t>e</w:t>
      </w:r>
      <w:r w:rsidR="00EF33F9">
        <w:rPr>
          <w:sz w:val="26"/>
          <w:szCs w:val="26"/>
        </w:rPr>
        <w:t>xpenses and transmission-related expenses require separate treatment under the CTR.  According to its analysis, all Large C&amp;I customers contributed to PPL</w:t>
      </w:r>
      <w:r w:rsidR="000964BB">
        <w:rPr>
          <w:sz w:val="26"/>
          <w:szCs w:val="26"/>
        </w:rPr>
        <w:t>’</w:t>
      </w:r>
      <w:r w:rsidR="00EF33F9">
        <w:rPr>
          <w:sz w:val="26"/>
          <w:szCs w:val="26"/>
        </w:rPr>
        <w:t>s historic tra</w:t>
      </w:r>
      <w:r w:rsidR="005520F7">
        <w:rPr>
          <w:sz w:val="26"/>
          <w:szCs w:val="26"/>
        </w:rPr>
        <w:t>nsmission-related balance, but</w:t>
      </w:r>
      <w:r w:rsidR="00EF33F9">
        <w:rPr>
          <w:sz w:val="26"/>
          <w:szCs w:val="26"/>
        </w:rPr>
        <w:t xml:space="preserve"> only customers remaining on default service for periods after January 1, 2010</w:t>
      </w:r>
      <w:r w:rsidR="00597972">
        <w:rPr>
          <w:sz w:val="26"/>
          <w:szCs w:val="26"/>
        </w:rPr>
        <w:t>,</w:t>
      </w:r>
      <w:r w:rsidR="00EF33F9">
        <w:rPr>
          <w:sz w:val="26"/>
          <w:szCs w:val="26"/>
        </w:rPr>
        <w:t xml:space="preserve"> made substantial contributions to PPL</w:t>
      </w:r>
      <w:r w:rsidR="000964BB">
        <w:rPr>
          <w:sz w:val="26"/>
          <w:szCs w:val="26"/>
        </w:rPr>
        <w:t>’</w:t>
      </w:r>
      <w:r w:rsidR="00EF33F9">
        <w:rPr>
          <w:sz w:val="26"/>
          <w:szCs w:val="26"/>
        </w:rPr>
        <w:t>s generation related balance.</w:t>
      </w:r>
      <w:r w:rsidR="00F4502A">
        <w:rPr>
          <w:sz w:val="26"/>
          <w:szCs w:val="26"/>
        </w:rPr>
        <w:t xml:space="preserve">  As a result, PPLICA opines that for Large C&amp;I customers, cost causation principles support application of the CTR only for recovery of transmission-related balances.  PPLICA acknowledges PPL</w:t>
      </w:r>
      <w:r w:rsidR="000964BB">
        <w:rPr>
          <w:sz w:val="26"/>
          <w:szCs w:val="26"/>
        </w:rPr>
        <w:t>’</w:t>
      </w:r>
      <w:r w:rsidR="00F4502A">
        <w:rPr>
          <w:sz w:val="26"/>
          <w:szCs w:val="26"/>
        </w:rPr>
        <w:t xml:space="preserve">s entitlement to recover expenses incurred in the provision of default service under Act 129, but cautions that the provisions of Act 129 do not authorize cost recovery from customers that made no contribution to the default service </w:t>
      </w:r>
      <w:r w:rsidR="00F4502A">
        <w:rPr>
          <w:sz w:val="26"/>
          <w:szCs w:val="26"/>
        </w:rPr>
        <w:lastRenderedPageBreak/>
        <w:t xml:space="preserve">balances.  </w:t>
      </w:r>
      <w:r w:rsidR="003B27BA">
        <w:rPr>
          <w:sz w:val="26"/>
          <w:szCs w:val="26"/>
        </w:rPr>
        <w:t>PPLICA is of the opinion that the CTR should be approved for recovery of transmission-related expenses and denied for recovery of generation-related expenses.  PPLICA R. Exc. at 3-5</w:t>
      </w:r>
      <w:r w:rsidR="00F4502A">
        <w:rPr>
          <w:sz w:val="26"/>
          <w:szCs w:val="26"/>
        </w:rPr>
        <w:t xml:space="preserve">. </w:t>
      </w:r>
    </w:p>
    <w:p w:rsidR="0060237C" w:rsidRDefault="0060237C" w:rsidP="00DC57FC">
      <w:pPr>
        <w:autoSpaceDE/>
        <w:autoSpaceDN/>
        <w:rPr>
          <w:sz w:val="26"/>
          <w:szCs w:val="26"/>
        </w:rPr>
      </w:pPr>
    </w:p>
    <w:p w:rsidR="0060237C" w:rsidRDefault="0060237C" w:rsidP="00DC57FC">
      <w:pPr>
        <w:autoSpaceDE/>
        <w:autoSpaceDN/>
        <w:rPr>
          <w:sz w:val="26"/>
          <w:szCs w:val="26"/>
        </w:rPr>
      </w:pPr>
      <w:r>
        <w:rPr>
          <w:sz w:val="26"/>
          <w:szCs w:val="26"/>
        </w:rPr>
        <w:tab/>
      </w:r>
      <w:r>
        <w:rPr>
          <w:sz w:val="26"/>
          <w:szCs w:val="26"/>
        </w:rPr>
        <w:tab/>
      </w:r>
      <w:r w:rsidR="005520F7">
        <w:rPr>
          <w:sz w:val="26"/>
          <w:szCs w:val="26"/>
        </w:rPr>
        <w:t xml:space="preserve">In its Reply Exceptions, </w:t>
      </w:r>
      <w:r w:rsidR="00D972B9">
        <w:rPr>
          <w:sz w:val="26"/>
          <w:szCs w:val="26"/>
        </w:rPr>
        <w:t xml:space="preserve">PPL filed a </w:t>
      </w:r>
      <w:r w:rsidR="005520F7">
        <w:rPr>
          <w:sz w:val="26"/>
          <w:szCs w:val="26"/>
        </w:rPr>
        <w:t xml:space="preserve">response to </w:t>
      </w:r>
      <w:r>
        <w:rPr>
          <w:sz w:val="26"/>
          <w:szCs w:val="26"/>
        </w:rPr>
        <w:t>PPLICA</w:t>
      </w:r>
      <w:r w:rsidR="000964BB">
        <w:rPr>
          <w:sz w:val="26"/>
          <w:szCs w:val="26"/>
        </w:rPr>
        <w:t>’</w:t>
      </w:r>
      <w:r w:rsidR="005520F7">
        <w:rPr>
          <w:sz w:val="26"/>
          <w:szCs w:val="26"/>
        </w:rPr>
        <w:t>s position within its Exceptions</w:t>
      </w:r>
      <w:r>
        <w:rPr>
          <w:sz w:val="26"/>
          <w:szCs w:val="26"/>
        </w:rPr>
        <w:t xml:space="preserve">.  PPL notes that PPLICA is attempting to create a situation where its customers receive refunds for over collections, but are not required to pay under collections.  PPL opines that if the Commission approves the CTR, the CTR should apply to all balances, not just over collections.  </w:t>
      </w:r>
      <w:r w:rsidR="001C6984">
        <w:rPr>
          <w:sz w:val="26"/>
          <w:szCs w:val="26"/>
        </w:rPr>
        <w:t>PPL R. Exc. at 21-23.</w:t>
      </w:r>
    </w:p>
    <w:p w:rsidR="00BA78A2" w:rsidRDefault="00BA78A2" w:rsidP="00DC57FC">
      <w:pPr>
        <w:autoSpaceDE/>
        <w:autoSpaceDN/>
        <w:rPr>
          <w:sz w:val="26"/>
          <w:szCs w:val="26"/>
        </w:rPr>
      </w:pPr>
    </w:p>
    <w:p w:rsidR="003A2AEC" w:rsidRDefault="003A2AEC" w:rsidP="001240F4">
      <w:pPr>
        <w:pStyle w:val="Heading3"/>
        <w:keepNext/>
      </w:pPr>
      <w:bookmarkStart w:id="28" w:name="_Toc329245852"/>
      <w:bookmarkStart w:id="29" w:name="_Toc329688389"/>
      <w:r>
        <w:t>5.</w:t>
      </w:r>
      <w:r>
        <w:tab/>
        <w:t>Disposition</w:t>
      </w:r>
      <w:bookmarkEnd w:id="28"/>
      <w:bookmarkEnd w:id="29"/>
    </w:p>
    <w:p w:rsidR="003B27BA" w:rsidRDefault="003B27BA" w:rsidP="001240F4">
      <w:pPr>
        <w:keepNext/>
        <w:autoSpaceDE/>
        <w:autoSpaceDN/>
        <w:rPr>
          <w:b/>
          <w:sz w:val="26"/>
          <w:szCs w:val="26"/>
        </w:rPr>
      </w:pPr>
    </w:p>
    <w:p w:rsidR="002A1EFA" w:rsidRDefault="003B27BA" w:rsidP="00A3099F">
      <w:pPr>
        <w:autoSpaceDE/>
        <w:autoSpaceDN/>
        <w:rPr>
          <w:sz w:val="26"/>
          <w:szCs w:val="26"/>
        </w:rPr>
      </w:pPr>
      <w:r>
        <w:rPr>
          <w:b/>
          <w:sz w:val="26"/>
          <w:szCs w:val="26"/>
        </w:rPr>
        <w:tab/>
      </w:r>
      <w:r>
        <w:rPr>
          <w:b/>
          <w:sz w:val="26"/>
          <w:szCs w:val="26"/>
        </w:rPr>
        <w:tab/>
      </w:r>
      <w:r>
        <w:rPr>
          <w:sz w:val="26"/>
          <w:szCs w:val="26"/>
        </w:rPr>
        <w:t xml:space="preserve">Based upon </w:t>
      </w:r>
      <w:r w:rsidR="00597972">
        <w:rPr>
          <w:sz w:val="26"/>
          <w:szCs w:val="26"/>
        </w:rPr>
        <w:t xml:space="preserve">our review and analysis of </w:t>
      </w:r>
      <w:r>
        <w:rPr>
          <w:sz w:val="26"/>
          <w:szCs w:val="26"/>
        </w:rPr>
        <w:t>the evidence of record, we are in agreement with the recommendation of the ALJ that</w:t>
      </w:r>
      <w:r w:rsidR="00597972">
        <w:rPr>
          <w:sz w:val="26"/>
          <w:szCs w:val="26"/>
        </w:rPr>
        <w:t xml:space="preserve"> PPL has failed </w:t>
      </w:r>
      <w:r w:rsidR="000A46B0">
        <w:rPr>
          <w:sz w:val="26"/>
          <w:szCs w:val="26"/>
        </w:rPr>
        <w:t xml:space="preserve">to sustain </w:t>
      </w:r>
      <w:r w:rsidR="00737786">
        <w:rPr>
          <w:sz w:val="26"/>
          <w:szCs w:val="26"/>
        </w:rPr>
        <w:t>i</w:t>
      </w:r>
      <w:r w:rsidR="00597972">
        <w:rPr>
          <w:sz w:val="26"/>
          <w:szCs w:val="26"/>
        </w:rPr>
        <w:t>ts burden o</w:t>
      </w:r>
      <w:r w:rsidR="000A46B0">
        <w:rPr>
          <w:sz w:val="26"/>
          <w:szCs w:val="26"/>
        </w:rPr>
        <w:t>f</w:t>
      </w:r>
      <w:r w:rsidR="00597972">
        <w:rPr>
          <w:sz w:val="26"/>
          <w:szCs w:val="26"/>
        </w:rPr>
        <w:t xml:space="preserve"> </w:t>
      </w:r>
      <w:r w:rsidR="00A96DA4">
        <w:rPr>
          <w:sz w:val="26"/>
          <w:szCs w:val="26"/>
        </w:rPr>
        <w:t>prov</w:t>
      </w:r>
      <w:r w:rsidR="000A46B0">
        <w:rPr>
          <w:sz w:val="26"/>
          <w:szCs w:val="26"/>
        </w:rPr>
        <w:t>ing</w:t>
      </w:r>
      <w:r w:rsidR="00A96DA4">
        <w:rPr>
          <w:sz w:val="26"/>
          <w:szCs w:val="26"/>
        </w:rPr>
        <w:t xml:space="preserve"> that the CTR is necessary</w:t>
      </w:r>
      <w:r w:rsidR="000A46B0">
        <w:rPr>
          <w:sz w:val="26"/>
          <w:szCs w:val="26"/>
        </w:rPr>
        <w:t>,</w:t>
      </w:r>
      <w:r w:rsidR="00A96DA4">
        <w:rPr>
          <w:sz w:val="26"/>
          <w:szCs w:val="26"/>
        </w:rPr>
        <w:t xml:space="preserve"> as the Company failed to provide evidence that there would be a substantial variance </w:t>
      </w:r>
      <w:r w:rsidR="000A46B0">
        <w:rPr>
          <w:sz w:val="26"/>
          <w:szCs w:val="26"/>
        </w:rPr>
        <w:t>that</w:t>
      </w:r>
      <w:r w:rsidR="00A96DA4">
        <w:rPr>
          <w:sz w:val="26"/>
          <w:szCs w:val="26"/>
        </w:rPr>
        <w:t xml:space="preserve"> </w:t>
      </w:r>
      <w:r w:rsidR="000A46B0">
        <w:rPr>
          <w:sz w:val="26"/>
          <w:szCs w:val="26"/>
        </w:rPr>
        <w:t>can</w:t>
      </w:r>
      <w:r w:rsidR="00A96DA4">
        <w:rPr>
          <w:sz w:val="26"/>
          <w:szCs w:val="26"/>
        </w:rPr>
        <w:t xml:space="preserve">not be recovered through its currently existing reconciliation mechanism.  </w:t>
      </w:r>
      <w:r w:rsidR="001459BC">
        <w:rPr>
          <w:sz w:val="26"/>
          <w:szCs w:val="26"/>
        </w:rPr>
        <w:t>It is compelling that the evidence provided as of September 30, 2011</w:t>
      </w:r>
      <w:r w:rsidR="001240F4">
        <w:rPr>
          <w:sz w:val="26"/>
          <w:szCs w:val="26"/>
        </w:rPr>
        <w:t>,</w:t>
      </w:r>
      <w:r w:rsidR="00B82AB8">
        <w:rPr>
          <w:rStyle w:val="FootnoteReference"/>
          <w:sz w:val="26"/>
          <w:szCs w:val="26"/>
        </w:rPr>
        <w:footnoteReference w:id="7"/>
      </w:r>
      <w:r w:rsidR="001459BC">
        <w:rPr>
          <w:sz w:val="26"/>
          <w:szCs w:val="26"/>
        </w:rPr>
        <w:t xml:space="preserve"> showed that PPL actually had a net over-recovery from both the residential and the Large C&amp;I classes.  </w:t>
      </w:r>
      <w:r w:rsidR="00ED2737">
        <w:rPr>
          <w:sz w:val="26"/>
          <w:szCs w:val="26"/>
        </w:rPr>
        <w:t>As stated by the ALJ, while the Company is entitled to full recovery of its cost of providing service, it must prove that those costs are reasonable, and must be able to quantify the costs as well.  We find that PPL has failed to do so in this proceeding.</w:t>
      </w:r>
      <w:r w:rsidR="00B82AB8">
        <w:rPr>
          <w:sz w:val="26"/>
          <w:szCs w:val="26"/>
        </w:rPr>
        <w:t xml:space="preserve">  </w:t>
      </w:r>
      <w:r w:rsidR="00AF6217">
        <w:rPr>
          <w:sz w:val="26"/>
          <w:szCs w:val="26"/>
        </w:rPr>
        <w:t>Accordingly, we deny the Exceptions of PPL, the OCA and PPLICA</w:t>
      </w:r>
      <w:r w:rsidR="002B5C30">
        <w:rPr>
          <w:sz w:val="26"/>
          <w:szCs w:val="26"/>
        </w:rPr>
        <w:t xml:space="preserve"> and adopt the recommendation of the ALJ to deny the request of PPL to implement the CTR, without prejudice.</w:t>
      </w:r>
    </w:p>
    <w:p w:rsidR="002A1EFA" w:rsidRDefault="002A1EFA" w:rsidP="00A3099F">
      <w:pPr>
        <w:autoSpaceDE/>
        <w:autoSpaceDN/>
        <w:rPr>
          <w:sz w:val="26"/>
          <w:szCs w:val="26"/>
        </w:rPr>
      </w:pPr>
    </w:p>
    <w:p w:rsidR="003B27BA" w:rsidRPr="003B27BA" w:rsidRDefault="002A1EFA" w:rsidP="00A3099F">
      <w:pPr>
        <w:autoSpaceDE/>
        <w:autoSpaceDN/>
        <w:rPr>
          <w:sz w:val="26"/>
          <w:szCs w:val="26"/>
        </w:rPr>
      </w:pPr>
      <w:r>
        <w:rPr>
          <w:sz w:val="26"/>
          <w:szCs w:val="26"/>
        </w:rPr>
        <w:lastRenderedPageBreak/>
        <w:tab/>
      </w:r>
      <w:r>
        <w:rPr>
          <w:sz w:val="26"/>
          <w:szCs w:val="26"/>
        </w:rPr>
        <w:tab/>
        <w:t xml:space="preserve">As we have determined to deny the implementation of the CTR on evidentiary grounds, we are not addressing the </w:t>
      </w:r>
      <w:r w:rsidR="00A506EF">
        <w:rPr>
          <w:sz w:val="26"/>
          <w:szCs w:val="26"/>
        </w:rPr>
        <w:t xml:space="preserve">legal issues raised by the Parties in their Exceptions.  These Exceptions are dismissed as moot.  </w:t>
      </w:r>
      <w:r w:rsidR="00AF6217">
        <w:rPr>
          <w:sz w:val="26"/>
          <w:szCs w:val="26"/>
        </w:rPr>
        <w:t xml:space="preserve"> </w:t>
      </w:r>
      <w:r w:rsidR="001459BC">
        <w:rPr>
          <w:sz w:val="26"/>
          <w:szCs w:val="26"/>
        </w:rPr>
        <w:t xml:space="preserve">  </w:t>
      </w:r>
    </w:p>
    <w:p w:rsidR="00E46B3B" w:rsidRDefault="00E46B3B" w:rsidP="00A3099F">
      <w:pPr>
        <w:pStyle w:val="ListParagraph"/>
        <w:ind w:left="1440" w:hanging="720"/>
        <w:rPr>
          <w:b/>
          <w:szCs w:val="24"/>
        </w:rPr>
      </w:pPr>
    </w:p>
    <w:p w:rsidR="00A54A17" w:rsidRPr="00D81F98" w:rsidRDefault="004D624B" w:rsidP="001240F4">
      <w:pPr>
        <w:pStyle w:val="Heading2"/>
        <w:keepNext/>
      </w:pPr>
      <w:bookmarkStart w:id="30" w:name="_Toc329245853"/>
      <w:bookmarkStart w:id="31" w:name="_Toc329688390"/>
      <w:r w:rsidRPr="00D81F98">
        <w:t>D</w:t>
      </w:r>
      <w:r w:rsidR="00DF7E2A" w:rsidRPr="00D81F98">
        <w:t>.</w:t>
      </w:r>
      <w:r w:rsidR="00DF7E2A" w:rsidRPr="00D81F98">
        <w:tab/>
      </w:r>
      <w:r w:rsidR="00A54A17" w:rsidRPr="00D81F98">
        <w:t>Reconciliation Rider</w:t>
      </w:r>
      <w:r w:rsidR="00273D63" w:rsidRPr="00D81F98">
        <w:t xml:space="preserve"> (RR)</w:t>
      </w:r>
      <w:bookmarkEnd w:id="30"/>
      <w:bookmarkEnd w:id="31"/>
      <w:r w:rsidR="00DF7E2A" w:rsidRPr="00D81F98">
        <w:fldChar w:fldCharType="begin"/>
      </w:r>
      <w:r w:rsidR="00DF7E2A" w:rsidRPr="00D81F98">
        <w:instrText xml:space="preserve"> TC "</w:instrText>
      </w:r>
      <w:bookmarkStart w:id="32" w:name="_Toc329245157"/>
      <w:r w:rsidR="00DF7E2A" w:rsidRPr="00D81F98">
        <w:instrText>1.</w:instrText>
      </w:r>
      <w:r w:rsidR="00DF7E2A" w:rsidRPr="00D81F98">
        <w:tab/>
        <w:instrText>Reconciliation Rider</w:instrText>
      </w:r>
      <w:bookmarkEnd w:id="32"/>
      <w:r w:rsidR="00DF7E2A" w:rsidRPr="00D81F98">
        <w:instrText>" \f C \l "</w:instrText>
      </w:r>
      <w:r w:rsidR="004F1A21" w:rsidRPr="00D81F98">
        <w:instrText>3</w:instrText>
      </w:r>
      <w:r w:rsidR="00DF7E2A" w:rsidRPr="00D81F98">
        <w:instrText xml:space="preserve">" </w:instrText>
      </w:r>
      <w:r w:rsidR="00DF7E2A" w:rsidRPr="00D81F98">
        <w:fldChar w:fldCharType="end"/>
      </w:r>
    </w:p>
    <w:p w:rsidR="007C4E34" w:rsidRPr="000B2CC0" w:rsidRDefault="007C4E34" w:rsidP="001240F4">
      <w:pPr>
        <w:keepNext/>
        <w:rPr>
          <w:b/>
          <w:sz w:val="26"/>
          <w:szCs w:val="26"/>
        </w:rPr>
      </w:pPr>
    </w:p>
    <w:p w:rsidR="00B304DA" w:rsidRPr="000B2CC0" w:rsidRDefault="00AD2E14" w:rsidP="001240F4">
      <w:pPr>
        <w:pStyle w:val="Heading3"/>
        <w:keepNext/>
      </w:pPr>
      <w:bookmarkStart w:id="33" w:name="_Toc329245854"/>
      <w:bookmarkStart w:id="34" w:name="_Toc329688391"/>
      <w:r w:rsidRPr="000B2CC0">
        <w:t>1</w:t>
      </w:r>
      <w:r w:rsidR="00DF7E2A" w:rsidRPr="000B2CC0">
        <w:t>.</w:t>
      </w:r>
      <w:r w:rsidR="00DF7E2A" w:rsidRPr="000B2CC0">
        <w:tab/>
      </w:r>
      <w:r w:rsidR="00496768" w:rsidRPr="000B2CC0">
        <w:t>Description</w:t>
      </w:r>
      <w:bookmarkEnd w:id="33"/>
      <w:bookmarkEnd w:id="34"/>
      <w:r w:rsidR="00DF7E2A" w:rsidRPr="000B2CC0">
        <w:fldChar w:fldCharType="begin"/>
      </w:r>
      <w:r w:rsidR="00DF7E2A" w:rsidRPr="000B2CC0">
        <w:instrText xml:space="preserve"> TC "</w:instrText>
      </w:r>
      <w:bookmarkStart w:id="35" w:name="_Toc329245158"/>
      <w:r w:rsidR="00DF7E2A" w:rsidRPr="000B2CC0">
        <w:instrText>a.</w:instrText>
      </w:r>
      <w:r w:rsidR="00DF7E2A" w:rsidRPr="000B2CC0">
        <w:tab/>
        <w:instrText>Description</w:instrText>
      </w:r>
      <w:bookmarkEnd w:id="35"/>
      <w:r w:rsidR="00DF7E2A" w:rsidRPr="000B2CC0">
        <w:instrText>" \f C \l "</w:instrText>
      </w:r>
      <w:r w:rsidR="004F1A21" w:rsidRPr="000B2CC0">
        <w:instrText>4</w:instrText>
      </w:r>
      <w:r w:rsidR="00DF7E2A" w:rsidRPr="000B2CC0">
        <w:instrText xml:space="preserve">" </w:instrText>
      </w:r>
      <w:r w:rsidR="00DF7E2A" w:rsidRPr="000B2CC0">
        <w:fldChar w:fldCharType="end"/>
      </w:r>
    </w:p>
    <w:p w:rsidR="007C4E34" w:rsidRPr="000B2CC0" w:rsidRDefault="007C4E34" w:rsidP="001240F4">
      <w:pPr>
        <w:keepNext/>
        <w:rPr>
          <w:sz w:val="26"/>
          <w:szCs w:val="26"/>
        </w:rPr>
      </w:pPr>
    </w:p>
    <w:p w:rsidR="00B304DA" w:rsidRPr="000B2CC0" w:rsidRDefault="00B304DA" w:rsidP="00E7599F">
      <w:pPr>
        <w:rPr>
          <w:sz w:val="26"/>
          <w:szCs w:val="26"/>
        </w:rPr>
      </w:pPr>
      <w:r w:rsidRPr="000B2CC0">
        <w:rPr>
          <w:b/>
          <w:sz w:val="26"/>
          <w:szCs w:val="26"/>
        </w:rPr>
        <w:tab/>
      </w:r>
      <w:r w:rsidRPr="000B2CC0">
        <w:rPr>
          <w:b/>
          <w:sz w:val="26"/>
          <w:szCs w:val="26"/>
        </w:rPr>
        <w:tab/>
      </w:r>
      <w:r w:rsidR="000B2CC0" w:rsidRPr="000B2CC0">
        <w:rPr>
          <w:sz w:val="26"/>
          <w:szCs w:val="26"/>
        </w:rPr>
        <w:t>PPL</w:t>
      </w:r>
      <w:r w:rsidR="000964BB">
        <w:rPr>
          <w:sz w:val="26"/>
          <w:szCs w:val="26"/>
        </w:rPr>
        <w:t>’</w:t>
      </w:r>
      <w:r w:rsidR="000B2CC0" w:rsidRPr="000B2CC0">
        <w:rPr>
          <w:sz w:val="26"/>
          <w:szCs w:val="26"/>
        </w:rPr>
        <w:t xml:space="preserve">s </w:t>
      </w:r>
      <w:r w:rsidRPr="000B2CC0">
        <w:rPr>
          <w:sz w:val="26"/>
          <w:szCs w:val="26"/>
        </w:rPr>
        <w:t>current ta</w:t>
      </w:r>
      <w:r w:rsidR="00004E15">
        <w:rPr>
          <w:sz w:val="26"/>
          <w:szCs w:val="26"/>
        </w:rPr>
        <w:t xml:space="preserve">riff provides for </w:t>
      </w:r>
      <w:r w:rsidRPr="000B2CC0">
        <w:rPr>
          <w:sz w:val="26"/>
          <w:szCs w:val="26"/>
        </w:rPr>
        <w:t>over or under</w:t>
      </w:r>
      <w:r w:rsidR="000B2CC0" w:rsidRPr="000B2CC0">
        <w:rPr>
          <w:sz w:val="26"/>
          <w:szCs w:val="26"/>
        </w:rPr>
        <w:t xml:space="preserve"> </w:t>
      </w:r>
      <w:r w:rsidRPr="000B2CC0">
        <w:rPr>
          <w:sz w:val="26"/>
          <w:szCs w:val="26"/>
        </w:rPr>
        <w:t xml:space="preserve">collections to be refunded or assessed to the default service customers taking service at the time of the assessment or refund.  The </w:t>
      </w:r>
      <w:r w:rsidR="000B2CC0" w:rsidRPr="000B2CC0">
        <w:rPr>
          <w:sz w:val="26"/>
          <w:szCs w:val="26"/>
        </w:rPr>
        <w:t xml:space="preserve">proposed </w:t>
      </w:r>
      <w:r w:rsidR="00273D63">
        <w:rPr>
          <w:sz w:val="26"/>
          <w:szCs w:val="26"/>
        </w:rPr>
        <w:t>RR</w:t>
      </w:r>
      <w:r w:rsidR="00004E15">
        <w:rPr>
          <w:sz w:val="26"/>
          <w:szCs w:val="26"/>
        </w:rPr>
        <w:t xml:space="preserve"> would provide that </w:t>
      </w:r>
      <w:r w:rsidRPr="000B2CC0">
        <w:rPr>
          <w:sz w:val="26"/>
          <w:szCs w:val="26"/>
        </w:rPr>
        <w:t>over</w:t>
      </w:r>
      <w:r w:rsidR="000B2CC0" w:rsidRPr="000B2CC0">
        <w:rPr>
          <w:sz w:val="26"/>
          <w:szCs w:val="26"/>
        </w:rPr>
        <w:t xml:space="preserve"> </w:t>
      </w:r>
      <w:r w:rsidR="00004E15">
        <w:rPr>
          <w:sz w:val="26"/>
          <w:szCs w:val="26"/>
        </w:rPr>
        <w:t>collections would be</w:t>
      </w:r>
      <w:r w:rsidRPr="000B2CC0">
        <w:rPr>
          <w:sz w:val="26"/>
          <w:szCs w:val="26"/>
        </w:rPr>
        <w:t xml:space="preserve"> refunded to those from whom th</w:t>
      </w:r>
      <w:r w:rsidR="00004E15">
        <w:rPr>
          <w:sz w:val="26"/>
          <w:szCs w:val="26"/>
        </w:rPr>
        <w:t xml:space="preserve">ey were collected, and </w:t>
      </w:r>
      <w:r w:rsidRPr="000B2CC0">
        <w:rPr>
          <w:sz w:val="26"/>
          <w:szCs w:val="26"/>
        </w:rPr>
        <w:t>under</w:t>
      </w:r>
      <w:r w:rsidR="000B2CC0" w:rsidRPr="000B2CC0">
        <w:rPr>
          <w:sz w:val="26"/>
          <w:szCs w:val="26"/>
        </w:rPr>
        <w:t xml:space="preserve"> </w:t>
      </w:r>
      <w:r w:rsidRPr="000B2CC0">
        <w:rPr>
          <w:sz w:val="26"/>
          <w:szCs w:val="26"/>
        </w:rPr>
        <w:t xml:space="preserve">collections </w:t>
      </w:r>
      <w:r w:rsidR="00004E15">
        <w:rPr>
          <w:sz w:val="26"/>
          <w:szCs w:val="26"/>
        </w:rPr>
        <w:t xml:space="preserve">would be </w:t>
      </w:r>
      <w:r w:rsidRPr="000B2CC0">
        <w:rPr>
          <w:sz w:val="26"/>
          <w:szCs w:val="26"/>
        </w:rPr>
        <w:t xml:space="preserve">recovered from those who were undercharged, even after these customers leave default service to take generation supply from another provider.  </w:t>
      </w:r>
      <w:r w:rsidR="009F1879" w:rsidRPr="000B2CC0">
        <w:rPr>
          <w:sz w:val="26"/>
          <w:szCs w:val="26"/>
        </w:rPr>
        <w:t xml:space="preserve">In other words, the cost of the energy would be paid by those customers who used it.  </w:t>
      </w:r>
      <w:r w:rsidR="009F326E">
        <w:rPr>
          <w:sz w:val="26"/>
          <w:szCs w:val="26"/>
        </w:rPr>
        <w:t>PPL M.B. at 17-18.</w:t>
      </w:r>
    </w:p>
    <w:p w:rsidR="00A97150" w:rsidRPr="000B2CC0" w:rsidRDefault="00A97150" w:rsidP="00E7599F">
      <w:pPr>
        <w:rPr>
          <w:sz w:val="26"/>
          <w:szCs w:val="26"/>
        </w:rPr>
      </w:pPr>
    </w:p>
    <w:p w:rsidR="00A97150" w:rsidRPr="000B2CC0" w:rsidRDefault="00A97150" w:rsidP="00E7599F">
      <w:pPr>
        <w:rPr>
          <w:sz w:val="26"/>
          <w:szCs w:val="26"/>
        </w:rPr>
      </w:pPr>
      <w:r w:rsidRPr="007C4E34">
        <w:rPr>
          <w:szCs w:val="24"/>
        </w:rPr>
        <w:tab/>
      </w:r>
      <w:r w:rsidRPr="007C4E34">
        <w:rPr>
          <w:szCs w:val="24"/>
        </w:rPr>
        <w:tab/>
      </w:r>
      <w:r w:rsidR="000B2CC0" w:rsidRPr="000B2CC0">
        <w:rPr>
          <w:sz w:val="26"/>
          <w:szCs w:val="26"/>
        </w:rPr>
        <w:t>Currently, t</w:t>
      </w:r>
      <w:r w:rsidRPr="000B2CC0">
        <w:rPr>
          <w:sz w:val="26"/>
          <w:szCs w:val="26"/>
        </w:rPr>
        <w:t xml:space="preserve">he Company </w:t>
      </w:r>
      <w:r w:rsidR="003E2749" w:rsidRPr="000B2CC0">
        <w:rPr>
          <w:sz w:val="26"/>
          <w:szCs w:val="26"/>
        </w:rPr>
        <w:t>recovers or refunds the over/under</w:t>
      </w:r>
      <w:r w:rsidR="00273D63">
        <w:rPr>
          <w:sz w:val="26"/>
          <w:szCs w:val="26"/>
        </w:rPr>
        <w:t xml:space="preserve"> </w:t>
      </w:r>
      <w:r w:rsidR="003E2749" w:rsidRPr="000B2CC0">
        <w:rPr>
          <w:sz w:val="26"/>
          <w:szCs w:val="26"/>
        </w:rPr>
        <w:t>collections related to</w:t>
      </w:r>
      <w:r w:rsidR="00DA5FA9">
        <w:rPr>
          <w:sz w:val="26"/>
          <w:szCs w:val="26"/>
        </w:rPr>
        <w:t xml:space="preserve"> the TSC, the GS</w:t>
      </w:r>
      <w:r w:rsidR="004C3D20">
        <w:rPr>
          <w:sz w:val="26"/>
          <w:szCs w:val="26"/>
        </w:rPr>
        <w:t>C-</w:t>
      </w:r>
      <w:r w:rsidR="00DA5FA9">
        <w:rPr>
          <w:sz w:val="26"/>
          <w:szCs w:val="26"/>
        </w:rPr>
        <w:t>1 and GSC</w:t>
      </w:r>
      <w:r w:rsidR="004C3D20">
        <w:rPr>
          <w:sz w:val="26"/>
          <w:szCs w:val="26"/>
        </w:rPr>
        <w:t>-</w:t>
      </w:r>
      <w:r w:rsidR="003E2749" w:rsidRPr="000B2CC0">
        <w:rPr>
          <w:sz w:val="26"/>
          <w:szCs w:val="26"/>
        </w:rPr>
        <w:t xml:space="preserve">2 through the E-Factor applied to the rates paid by customers who take default service from the Company in the  next application period.  </w:t>
      </w:r>
      <w:r w:rsidR="00C7124A" w:rsidRPr="000B2CC0">
        <w:rPr>
          <w:sz w:val="26"/>
          <w:szCs w:val="26"/>
        </w:rPr>
        <w:t xml:space="preserve">Although an </w:t>
      </w:r>
      <w:r w:rsidR="000964BB">
        <w:rPr>
          <w:sz w:val="26"/>
          <w:szCs w:val="26"/>
        </w:rPr>
        <w:t>“</w:t>
      </w:r>
      <w:r w:rsidR="00C7124A" w:rsidRPr="000B2CC0">
        <w:rPr>
          <w:sz w:val="26"/>
          <w:szCs w:val="26"/>
        </w:rPr>
        <w:t>application period</w:t>
      </w:r>
      <w:r w:rsidR="000964BB">
        <w:rPr>
          <w:sz w:val="26"/>
          <w:szCs w:val="26"/>
        </w:rPr>
        <w:t>”</w:t>
      </w:r>
      <w:r w:rsidR="00C7124A" w:rsidRPr="000B2CC0">
        <w:rPr>
          <w:sz w:val="26"/>
          <w:szCs w:val="26"/>
        </w:rPr>
        <w:t xml:space="preserve"> is usually one year, it can vary and is not uniform</w:t>
      </w:r>
      <w:r w:rsidR="00DA5FA9">
        <w:rPr>
          <w:sz w:val="26"/>
          <w:szCs w:val="26"/>
        </w:rPr>
        <w:t>.</w:t>
      </w:r>
      <w:r w:rsidR="00C7124A" w:rsidRPr="000B2CC0">
        <w:rPr>
          <w:rStyle w:val="FootnoteReference"/>
          <w:sz w:val="26"/>
          <w:szCs w:val="26"/>
        </w:rPr>
        <w:footnoteReference w:id="8"/>
      </w:r>
      <w:r w:rsidR="00C7124A" w:rsidRPr="000B2CC0">
        <w:rPr>
          <w:sz w:val="26"/>
          <w:szCs w:val="26"/>
        </w:rPr>
        <w:t xml:space="preserve">  </w:t>
      </w:r>
    </w:p>
    <w:p w:rsidR="00C7124A" w:rsidRPr="007C4E34" w:rsidRDefault="00C7124A" w:rsidP="00E7599F">
      <w:pPr>
        <w:rPr>
          <w:szCs w:val="24"/>
        </w:rPr>
      </w:pPr>
    </w:p>
    <w:p w:rsidR="000E4A38" w:rsidRPr="000B2CC0" w:rsidRDefault="00C7124A" w:rsidP="000B2CC0">
      <w:pPr>
        <w:rPr>
          <w:sz w:val="26"/>
          <w:szCs w:val="26"/>
        </w:rPr>
      </w:pPr>
      <w:r w:rsidRPr="007C4E34">
        <w:rPr>
          <w:szCs w:val="24"/>
        </w:rPr>
        <w:tab/>
      </w:r>
      <w:r w:rsidRPr="007C4E34">
        <w:rPr>
          <w:szCs w:val="24"/>
        </w:rPr>
        <w:tab/>
      </w:r>
      <w:r w:rsidR="000B2CC0" w:rsidRPr="000B2CC0">
        <w:rPr>
          <w:sz w:val="26"/>
          <w:szCs w:val="26"/>
        </w:rPr>
        <w:t>PPL claimed</w:t>
      </w:r>
      <w:r w:rsidR="00D66FA9" w:rsidRPr="000B2CC0">
        <w:rPr>
          <w:sz w:val="26"/>
          <w:szCs w:val="26"/>
        </w:rPr>
        <w:t xml:space="preserve"> that it has experienced </w:t>
      </w:r>
      <w:r w:rsidR="000964BB">
        <w:rPr>
          <w:sz w:val="26"/>
          <w:szCs w:val="26"/>
        </w:rPr>
        <w:t>“</w:t>
      </w:r>
      <w:r w:rsidR="00D66FA9" w:rsidRPr="000B2CC0">
        <w:rPr>
          <w:sz w:val="26"/>
          <w:szCs w:val="26"/>
        </w:rPr>
        <w:t>significant</w:t>
      </w:r>
      <w:r w:rsidR="000964BB">
        <w:rPr>
          <w:sz w:val="26"/>
          <w:szCs w:val="26"/>
        </w:rPr>
        <w:t>”</w:t>
      </w:r>
      <w:r w:rsidR="00D66FA9" w:rsidRPr="000B2CC0">
        <w:rPr>
          <w:sz w:val="26"/>
          <w:szCs w:val="26"/>
        </w:rPr>
        <w:t xml:space="preserve"> </w:t>
      </w:r>
      <w:r w:rsidR="009C008A" w:rsidRPr="000B2CC0">
        <w:rPr>
          <w:sz w:val="26"/>
          <w:szCs w:val="26"/>
        </w:rPr>
        <w:t xml:space="preserve">over and </w:t>
      </w:r>
      <w:r w:rsidR="00D66FA9" w:rsidRPr="000B2CC0">
        <w:rPr>
          <w:sz w:val="26"/>
          <w:szCs w:val="26"/>
        </w:rPr>
        <w:t>under</w:t>
      </w:r>
      <w:r w:rsidR="000B2CC0" w:rsidRPr="000B2CC0">
        <w:rPr>
          <w:sz w:val="26"/>
          <w:szCs w:val="26"/>
        </w:rPr>
        <w:t xml:space="preserve"> </w:t>
      </w:r>
      <w:r w:rsidR="00D06FB3">
        <w:rPr>
          <w:sz w:val="26"/>
          <w:szCs w:val="26"/>
        </w:rPr>
        <w:t>collections in</w:t>
      </w:r>
      <w:r w:rsidR="00D66FA9" w:rsidRPr="000B2CC0">
        <w:rPr>
          <w:sz w:val="26"/>
          <w:szCs w:val="26"/>
        </w:rPr>
        <w:t xml:space="preserve"> the </w:t>
      </w:r>
      <w:r w:rsidR="009C008A" w:rsidRPr="000B2CC0">
        <w:rPr>
          <w:sz w:val="26"/>
          <w:szCs w:val="26"/>
        </w:rPr>
        <w:t>various rate classe</w:t>
      </w:r>
      <w:r w:rsidR="009F326E">
        <w:rPr>
          <w:sz w:val="26"/>
          <w:szCs w:val="26"/>
        </w:rPr>
        <w:t xml:space="preserve">s.  </w:t>
      </w:r>
      <w:r w:rsidR="009F326E">
        <w:rPr>
          <w:i/>
          <w:sz w:val="26"/>
          <w:szCs w:val="26"/>
        </w:rPr>
        <w:t xml:space="preserve">Id. at </w:t>
      </w:r>
      <w:r w:rsidR="00D66FA9" w:rsidRPr="000B2CC0">
        <w:rPr>
          <w:sz w:val="26"/>
          <w:szCs w:val="26"/>
        </w:rPr>
        <w:t xml:space="preserve">10-11.  These </w:t>
      </w:r>
      <w:r w:rsidR="009C008A" w:rsidRPr="000B2CC0">
        <w:rPr>
          <w:sz w:val="26"/>
          <w:szCs w:val="26"/>
        </w:rPr>
        <w:t xml:space="preserve">over and </w:t>
      </w:r>
      <w:r w:rsidR="00D66FA9" w:rsidRPr="000B2CC0">
        <w:rPr>
          <w:sz w:val="26"/>
          <w:szCs w:val="26"/>
        </w:rPr>
        <w:t>under</w:t>
      </w:r>
      <w:r w:rsidR="000B2CC0" w:rsidRPr="000B2CC0">
        <w:rPr>
          <w:sz w:val="26"/>
          <w:szCs w:val="26"/>
        </w:rPr>
        <w:t xml:space="preserve"> </w:t>
      </w:r>
      <w:r w:rsidR="00D66FA9" w:rsidRPr="000B2CC0">
        <w:rPr>
          <w:sz w:val="26"/>
          <w:szCs w:val="26"/>
        </w:rPr>
        <w:t xml:space="preserve">collections </w:t>
      </w:r>
      <w:r w:rsidR="009C008A" w:rsidRPr="000B2CC0">
        <w:rPr>
          <w:sz w:val="26"/>
          <w:szCs w:val="26"/>
        </w:rPr>
        <w:t>affect</w:t>
      </w:r>
      <w:r w:rsidR="00D66FA9" w:rsidRPr="000B2CC0">
        <w:rPr>
          <w:sz w:val="26"/>
          <w:szCs w:val="26"/>
        </w:rPr>
        <w:t xml:space="preserve"> the transmission service and generation supply rates that the remaining </w:t>
      </w:r>
      <w:r w:rsidR="00D06FB3">
        <w:rPr>
          <w:sz w:val="26"/>
          <w:szCs w:val="26"/>
        </w:rPr>
        <w:t>default service customers</w:t>
      </w:r>
      <w:r w:rsidR="00D66FA9" w:rsidRPr="000B2CC0">
        <w:rPr>
          <w:sz w:val="26"/>
          <w:szCs w:val="26"/>
        </w:rPr>
        <w:t xml:space="preserve"> pay</w:t>
      </w:r>
      <w:r w:rsidR="00DA5FA9">
        <w:rPr>
          <w:sz w:val="26"/>
          <w:szCs w:val="26"/>
        </w:rPr>
        <w:t xml:space="preserve"> as well as the </w:t>
      </w:r>
      <w:r w:rsidR="000E4A38" w:rsidRPr="000B2CC0">
        <w:rPr>
          <w:sz w:val="26"/>
          <w:szCs w:val="26"/>
        </w:rPr>
        <w:t>PTC</w:t>
      </w:r>
      <w:r w:rsidR="00D66FA9" w:rsidRPr="000B2CC0">
        <w:rPr>
          <w:sz w:val="26"/>
          <w:szCs w:val="26"/>
        </w:rPr>
        <w:t>.</w:t>
      </w:r>
      <w:r w:rsidR="000B2CC0" w:rsidRPr="000B2CC0">
        <w:rPr>
          <w:sz w:val="26"/>
          <w:szCs w:val="26"/>
        </w:rPr>
        <w:t xml:space="preserve">  PPL stated</w:t>
      </w:r>
      <w:r w:rsidR="000E4A38" w:rsidRPr="000B2CC0">
        <w:rPr>
          <w:sz w:val="26"/>
          <w:szCs w:val="26"/>
        </w:rPr>
        <w:t xml:space="preserve"> that the increase in customer shopping is affecting the Company</w:t>
      </w:r>
      <w:r w:rsidR="000964BB">
        <w:rPr>
          <w:sz w:val="26"/>
          <w:szCs w:val="26"/>
        </w:rPr>
        <w:t>’</w:t>
      </w:r>
      <w:r w:rsidR="000E4A38" w:rsidRPr="000B2CC0">
        <w:rPr>
          <w:sz w:val="26"/>
          <w:szCs w:val="26"/>
        </w:rPr>
        <w:t>s ability to recoup the under</w:t>
      </w:r>
      <w:r w:rsidR="000B2CC0" w:rsidRPr="000B2CC0">
        <w:rPr>
          <w:sz w:val="26"/>
          <w:szCs w:val="26"/>
        </w:rPr>
        <w:t xml:space="preserve"> </w:t>
      </w:r>
      <w:r w:rsidR="000E4A38" w:rsidRPr="000B2CC0">
        <w:rPr>
          <w:sz w:val="26"/>
          <w:szCs w:val="26"/>
        </w:rPr>
        <w:t>collections properly.</w:t>
      </w:r>
      <w:r w:rsidR="000B2CC0">
        <w:rPr>
          <w:sz w:val="26"/>
          <w:szCs w:val="26"/>
        </w:rPr>
        <w:t xml:space="preserve">  </w:t>
      </w:r>
      <w:r w:rsidR="000B2CC0">
        <w:rPr>
          <w:sz w:val="26"/>
          <w:szCs w:val="26"/>
        </w:rPr>
        <w:lastRenderedPageBreak/>
        <w:t xml:space="preserve">According to PPL, </w:t>
      </w:r>
      <w:r w:rsidR="000E4A38" w:rsidRPr="000B2CC0">
        <w:rPr>
          <w:sz w:val="26"/>
          <w:szCs w:val="26"/>
        </w:rPr>
        <w:t>approximately 86% of the Large C&amp;I customers, representing 97</w:t>
      </w:r>
      <w:r w:rsidR="00D06FB3">
        <w:rPr>
          <w:sz w:val="26"/>
          <w:szCs w:val="26"/>
        </w:rPr>
        <w:t>% of the load in that class, has</w:t>
      </w:r>
      <w:r w:rsidR="000E4A38" w:rsidRPr="000B2CC0">
        <w:rPr>
          <w:sz w:val="26"/>
          <w:szCs w:val="26"/>
        </w:rPr>
        <w:t xml:space="preserve"> moved from default service.  In addition, approximately 486,787 residential customers, or 40% of the customers, representi</w:t>
      </w:r>
      <w:r w:rsidR="00D06FB3">
        <w:rPr>
          <w:sz w:val="26"/>
          <w:szCs w:val="26"/>
        </w:rPr>
        <w:t>ng 45% of that class</w:t>
      </w:r>
      <w:r w:rsidR="000964BB">
        <w:rPr>
          <w:sz w:val="26"/>
          <w:szCs w:val="26"/>
        </w:rPr>
        <w:t>’</w:t>
      </w:r>
      <w:r w:rsidR="00D06FB3">
        <w:rPr>
          <w:sz w:val="26"/>
          <w:szCs w:val="26"/>
        </w:rPr>
        <w:t>s load, has</w:t>
      </w:r>
      <w:r w:rsidR="000E4A38" w:rsidRPr="000B2CC0">
        <w:rPr>
          <w:sz w:val="26"/>
          <w:szCs w:val="26"/>
        </w:rPr>
        <w:t xml:space="preserve"> moved to another supplier.  Fifty-on</w:t>
      </w:r>
      <w:r w:rsidR="00D06FB3">
        <w:rPr>
          <w:sz w:val="26"/>
          <w:szCs w:val="26"/>
        </w:rPr>
        <w:t>e percent of the total</w:t>
      </w:r>
      <w:r w:rsidR="000E4A38" w:rsidRPr="000B2CC0">
        <w:rPr>
          <w:sz w:val="26"/>
          <w:szCs w:val="26"/>
        </w:rPr>
        <w:t xml:space="preserve"> Small C&amp;I customers representi</w:t>
      </w:r>
      <w:r w:rsidR="00D06FB3">
        <w:rPr>
          <w:sz w:val="26"/>
          <w:szCs w:val="26"/>
        </w:rPr>
        <w:t>ng 93% of that class</w:t>
      </w:r>
      <w:r w:rsidR="000964BB">
        <w:rPr>
          <w:sz w:val="26"/>
          <w:szCs w:val="26"/>
        </w:rPr>
        <w:t>’</w:t>
      </w:r>
      <w:r w:rsidR="00D06FB3">
        <w:rPr>
          <w:sz w:val="26"/>
          <w:szCs w:val="26"/>
        </w:rPr>
        <w:t>s load, has</w:t>
      </w:r>
      <w:r w:rsidR="000E4A38" w:rsidRPr="000B2CC0">
        <w:rPr>
          <w:sz w:val="26"/>
          <w:szCs w:val="26"/>
        </w:rPr>
        <w:t xml:space="preserve"> moved to another su</w:t>
      </w:r>
      <w:r w:rsidR="000B2CC0" w:rsidRPr="000B2CC0">
        <w:rPr>
          <w:sz w:val="26"/>
          <w:szCs w:val="26"/>
        </w:rPr>
        <w:t xml:space="preserve">pplier.  </w:t>
      </w:r>
      <w:r w:rsidR="009F326E">
        <w:rPr>
          <w:i/>
          <w:sz w:val="26"/>
          <w:szCs w:val="26"/>
        </w:rPr>
        <w:t xml:space="preserve">Id. </w:t>
      </w:r>
      <w:r w:rsidR="000E4A38" w:rsidRPr="000B2CC0">
        <w:rPr>
          <w:sz w:val="26"/>
          <w:szCs w:val="26"/>
        </w:rPr>
        <w:t>at 12.</w:t>
      </w:r>
    </w:p>
    <w:p w:rsidR="000E4A38" w:rsidRPr="007C4E34" w:rsidRDefault="000E4A38" w:rsidP="00E7599F">
      <w:pPr>
        <w:rPr>
          <w:szCs w:val="24"/>
        </w:rPr>
      </w:pPr>
    </w:p>
    <w:p w:rsidR="00E872A1" w:rsidRPr="00273D63" w:rsidRDefault="000E4A38" w:rsidP="00E7599F">
      <w:pPr>
        <w:rPr>
          <w:sz w:val="26"/>
          <w:szCs w:val="26"/>
        </w:rPr>
      </w:pPr>
      <w:r w:rsidRPr="007C4E34">
        <w:rPr>
          <w:szCs w:val="24"/>
        </w:rPr>
        <w:tab/>
      </w:r>
      <w:r w:rsidRPr="007C4E34">
        <w:rPr>
          <w:szCs w:val="24"/>
        </w:rPr>
        <w:tab/>
      </w:r>
      <w:r w:rsidR="00273D63">
        <w:rPr>
          <w:szCs w:val="24"/>
        </w:rPr>
        <w:t>PPL stated that t</w:t>
      </w:r>
      <w:r w:rsidR="00E872A1" w:rsidRPr="00273D63">
        <w:rPr>
          <w:sz w:val="26"/>
          <w:szCs w:val="26"/>
        </w:rPr>
        <w:t xml:space="preserve">he RR is </w:t>
      </w:r>
      <w:r w:rsidR="00273D63">
        <w:rPr>
          <w:sz w:val="26"/>
          <w:szCs w:val="26"/>
        </w:rPr>
        <w:t xml:space="preserve">intended to </w:t>
      </w:r>
      <w:r w:rsidR="000964BB">
        <w:rPr>
          <w:sz w:val="26"/>
          <w:szCs w:val="26"/>
        </w:rPr>
        <w:t>“</w:t>
      </w:r>
      <w:r w:rsidR="00273D63">
        <w:rPr>
          <w:sz w:val="26"/>
          <w:szCs w:val="26"/>
        </w:rPr>
        <w:t>refine PPL</w:t>
      </w:r>
      <w:r w:rsidR="000964BB">
        <w:rPr>
          <w:sz w:val="26"/>
          <w:szCs w:val="26"/>
        </w:rPr>
        <w:t>’</w:t>
      </w:r>
      <w:r w:rsidR="00E872A1" w:rsidRPr="00273D63">
        <w:rPr>
          <w:sz w:val="26"/>
          <w:szCs w:val="26"/>
        </w:rPr>
        <w:t xml:space="preserve">s existing default service recovery mechanisms to refund or recover net over and under collection balances after the effective date of the </w:t>
      </w:r>
      <w:r w:rsidR="009F326E">
        <w:rPr>
          <w:sz w:val="26"/>
          <w:szCs w:val="26"/>
        </w:rPr>
        <w:t>RR.</w:t>
      </w:r>
      <w:r w:rsidR="000964BB">
        <w:rPr>
          <w:sz w:val="26"/>
          <w:szCs w:val="26"/>
        </w:rPr>
        <w:t>”</w:t>
      </w:r>
      <w:r w:rsidR="009F326E">
        <w:rPr>
          <w:sz w:val="26"/>
          <w:szCs w:val="26"/>
        </w:rPr>
        <w:t xml:space="preserve">  </w:t>
      </w:r>
      <w:r w:rsidR="009F326E">
        <w:rPr>
          <w:i/>
          <w:sz w:val="26"/>
          <w:szCs w:val="26"/>
        </w:rPr>
        <w:t xml:space="preserve">Id. </w:t>
      </w:r>
      <w:r w:rsidR="00E872A1" w:rsidRPr="00273D63">
        <w:rPr>
          <w:sz w:val="26"/>
          <w:szCs w:val="26"/>
        </w:rPr>
        <w:t>at 15.</w:t>
      </w:r>
    </w:p>
    <w:p w:rsidR="005F3618" w:rsidRPr="007C4E34" w:rsidRDefault="005F3618" w:rsidP="00E7599F">
      <w:pPr>
        <w:rPr>
          <w:szCs w:val="24"/>
        </w:rPr>
      </w:pPr>
    </w:p>
    <w:p w:rsidR="000B2CC0" w:rsidRPr="000C20F1" w:rsidRDefault="000B2CC0" w:rsidP="001240F4">
      <w:pPr>
        <w:pStyle w:val="Heading3"/>
        <w:keepNext/>
      </w:pPr>
      <w:bookmarkStart w:id="36" w:name="_Toc329245855"/>
      <w:bookmarkStart w:id="37" w:name="_Toc329688392"/>
      <w:r w:rsidRPr="000C20F1">
        <w:t>2.</w:t>
      </w:r>
      <w:r w:rsidRPr="000C20F1">
        <w:tab/>
        <w:t>Positions of the Parties</w:t>
      </w:r>
      <w:bookmarkEnd w:id="36"/>
      <w:bookmarkEnd w:id="37"/>
    </w:p>
    <w:p w:rsidR="000B2CC0" w:rsidRPr="000C20F1" w:rsidRDefault="000B2CC0" w:rsidP="001240F4">
      <w:pPr>
        <w:keepNext/>
        <w:rPr>
          <w:sz w:val="26"/>
          <w:szCs w:val="26"/>
        </w:rPr>
      </w:pPr>
    </w:p>
    <w:p w:rsidR="00CC1B69" w:rsidRPr="000C20F1" w:rsidRDefault="00F20285" w:rsidP="00E7599F">
      <w:pPr>
        <w:rPr>
          <w:sz w:val="26"/>
          <w:szCs w:val="26"/>
        </w:rPr>
      </w:pPr>
      <w:r w:rsidRPr="000C20F1">
        <w:rPr>
          <w:sz w:val="26"/>
          <w:szCs w:val="26"/>
        </w:rPr>
        <w:tab/>
      </w:r>
      <w:r w:rsidRPr="000C20F1">
        <w:rPr>
          <w:sz w:val="26"/>
          <w:szCs w:val="26"/>
        </w:rPr>
        <w:tab/>
      </w:r>
      <w:r w:rsidR="000C20F1" w:rsidRPr="000C20F1">
        <w:rPr>
          <w:sz w:val="26"/>
          <w:szCs w:val="26"/>
        </w:rPr>
        <w:t>PPL explained</w:t>
      </w:r>
      <w:r w:rsidRPr="000C20F1">
        <w:rPr>
          <w:sz w:val="26"/>
          <w:szCs w:val="26"/>
        </w:rPr>
        <w:t xml:space="preserve"> that its original proposal was to calculate and reconcile on a fixed annual basis pursuant to the reconciliation</w:t>
      </w:r>
      <w:r w:rsidR="005D1660" w:rsidRPr="000C20F1">
        <w:rPr>
          <w:sz w:val="26"/>
          <w:szCs w:val="26"/>
        </w:rPr>
        <w:t xml:space="preserve"> </w:t>
      </w:r>
      <w:r w:rsidRPr="000C20F1">
        <w:rPr>
          <w:sz w:val="26"/>
          <w:szCs w:val="26"/>
        </w:rPr>
        <w:t>provisions for TSC, GSC-1 and GSC-2 included in the</w:t>
      </w:r>
      <w:r w:rsidR="000C20F1" w:rsidRPr="000C20F1">
        <w:rPr>
          <w:sz w:val="26"/>
          <w:szCs w:val="26"/>
        </w:rPr>
        <w:t xml:space="preserve"> tariff.  </w:t>
      </w:r>
      <w:r w:rsidR="009F326E">
        <w:rPr>
          <w:i/>
          <w:sz w:val="26"/>
          <w:szCs w:val="26"/>
        </w:rPr>
        <w:t xml:space="preserve">Id. </w:t>
      </w:r>
      <w:r w:rsidRPr="000C20F1">
        <w:rPr>
          <w:sz w:val="26"/>
          <w:szCs w:val="26"/>
        </w:rPr>
        <w:t>at 17.  However, the OSBA recommended that th</w:t>
      </w:r>
      <w:r w:rsidR="002D6AF9">
        <w:rPr>
          <w:sz w:val="26"/>
          <w:szCs w:val="26"/>
        </w:rPr>
        <w:t>e balance be recovered over a twelve</w:t>
      </w:r>
      <w:r w:rsidRPr="000C20F1">
        <w:rPr>
          <w:sz w:val="26"/>
          <w:szCs w:val="26"/>
        </w:rPr>
        <w:t>-month period</w:t>
      </w:r>
      <w:r w:rsidR="00DA5FA9">
        <w:rPr>
          <w:sz w:val="26"/>
          <w:szCs w:val="26"/>
        </w:rPr>
        <w:t>,</w:t>
      </w:r>
      <w:r w:rsidRPr="000C20F1">
        <w:rPr>
          <w:sz w:val="26"/>
          <w:szCs w:val="26"/>
        </w:rPr>
        <w:t xml:space="preserve"> but that the calculation</w:t>
      </w:r>
      <w:r w:rsidR="00B00E05">
        <w:rPr>
          <w:sz w:val="26"/>
          <w:szCs w:val="26"/>
        </w:rPr>
        <w:t xml:space="preserve"> be updated quarterly.  OSBA St</w:t>
      </w:r>
      <w:r w:rsidRPr="000C20F1">
        <w:rPr>
          <w:sz w:val="26"/>
          <w:szCs w:val="26"/>
        </w:rPr>
        <w:t>. 1 at 7</w:t>
      </w:r>
      <w:r w:rsidR="005D1660" w:rsidRPr="000C20F1">
        <w:rPr>
          <w:sz w:val="26"/>
          <w:szCs w:val="26"/>
        </w:rPr>
        <w:t>;</w:t>
      </w:r>
      <w:r w:rsidRPr="000C20F1">
        <w:rPr>
          <w:sz w:val="26"/>
          <w:szCs w:val="26"/>
        </w:rPr>
        <w:t xml:space="preserve"> OS</w:t>
      </w:r>
      <w:r w:rsidR="00B00E05">
        <w:rPr>
          <w:sz w:val="26"/>
          <w:szCs w:val="26"/>
        </w:rPr>
        <w:t>BA St</w:t>
      </w:r>
      <w:r w:rsidR="000C20F1" w:rsidRPr="000C20F1">
        <w:rPr>
          <w:sz w:val="26"/>
          <w:szCs w:val="26"/>
        </w:rPr>
        <w:t xml:space="preserve">. 3 at 1-3.  PPL </w:t>
      </w:r>
      <w:r w:rsidRPr="000C20F1">
        <w:rPr>
          <w:sz w:val="26"/>
          <w:szCs w:val="26"/>
        </w:rPr>
        <w:t>accept</w:t>
      </w:r>
      <w:r w:rsidR="005D1660" w:rsidRPr="000C20F1">
        <w:rPr>
          <w:sz w:val="26"/>
          <w:szCs w:val="26"/>
        </w:rPr>
        <w:t>ed</w:t>
      </w:r>
      <w:r w:rsidRPr="000C20F1">
        <w:rPr>
          <w:sz w:val="26"/>
          <w:szCs w:val="26"/>
        </w:rPr>
        <w:t xml:space="preserve"> this modification and amended its proposal to be calculated and reconciled on a rolling twelve-month annual </w:t>
      </w:r>
      <w:r w:rsidR="000C20F1" w:rsidRPr="000C20F1">
        <w:rPr>
          <w:sz w:val="26"/>
          <w:szCs w:val="26"/>
        </w:rPr>
        <w:t xml:space="preserve">basis.  </w:t>
      </w:r>
      <w:r w:rsidR="007A3779">
        <w:rPr>
          <w:sz w:val="26"/>
          <w:szCs w:val="26"/>
        </w:rPr>
        <w:t>Tr.</w:t>
      </w:r>
      <w:r w:rsidR="004C3D20">
        <w:rPr>
          <w:sz w:val="26"/>
          <w:szCs w:val="26"/>
        </w:rPr>
        <w:t> at </w:t>
      </w:r>
      <w:r w:rsidR="000C20F1" w:rsidRPr="000C20F1">
        <w:rPr>
          <w:sz w:val="26"/>
          <w:szCs w:val="26"/>
        </w:rPr>
        <w:t xml:space="preserve">31-32; PPL </w:t>
      </w:r>
      <w:r w:rsidRPr="000C20F1">
        <w:rPr>
          <w:sz w:val="26"/>
          <w:szCs w:val="26"/>
        </w:rPr>
        <w:t>M</w:t>
      </w:r>
      <w:r w:rsidR="000C20F1" w:rsidRPr="000C20F1">
        <w:rPr>
          <w:sz w:val="26"/>
          <w:szCs w:val="26"/>
        </w:rPr>
        <w:t>.</w:t>
      </w:r>
      <w:r w:rsidRPr="000C20F1">
        <w:rPr>
          <w:sz w:val="26"/>
          <w:szCs w:val="26"/>
        </w:rPr>
        <w:t>B</w:t>
      </w:r>
      <w:r w:rsidR="000C20F1" w:rsidRPr="000C20F1">
        <w:rPr>
          <w:sz w:val="26"/>
          <w:szCs w:val="26"/>
        </w:rPr>
        <w:t>.</w:t>
      </w:r>
      <w:r w:rsidRPr="000C20F1">
        <w:rPr>
          <w:sz w:val="26"/>
          <w:szCs w:val="26"/>
        </w:rPr>
        <w:t xml:space="preserve"> at 17.</w:t>
      </w:r>
    </w:p>
    <w:p w:rsidR="00F20285" w:rsidRPr="007C4E34" w:rsidRDefault="00F20285" w:rsidP="00E7599F">
      <w:pPr>
        <w:rPr>
          <w:szCs w:val="24"/>
        </w:rPr>
      </w:pPr>
    </w:p>
    <w:p w:rsidR="00F20285" w:rsidRPr="005C724B" w:rsidRDefault="00F20285" w:rsidP="000C20F1">
      <w:pPr>
        <w:rPr>
          <w:sz w:val="26"/>
          <w:szCs w:val="26"/>
        </w:rPr>
      </w:pPr>
      <w:r w:rsidRPr="007C4E34">
        <w:rPr>
          <w:szCs w:val="24"/>
        </w:rPr>
        <w:tab/>
      </w:r>
      <w:r w:rsidRPr="007C4E34">
        <w:rPr>
          <w:szCs w:val="24"/>
        </w:rPr>
        <w:tab/>
      </w:r>
      <w:r w:rsidR="000C20F1" w:rsidRPr="005C724B">
        <w:rPr>
          <w:sz w:val="26"/>
          <w:szCs w:val="26"/>
        </w:rPr>
        <w:t>PPL</w:t>
      </w:r>
      <w:r w:rsidR="000964BB">
        <w:rPr>
          <w:sz w:val="26"/>
          <w:szCs w:val="26"/>
        </w:rPr>
        <w:t>’</w:t>
      </w:r>
      <w:r w:rsidR="000C20F1" w:rsidRPr="005C724B">
        <w:rPr>
          <w:sz w:val="26"/>
          <w:szCs w:val="26"/>
        </w:rPr>
        <w:t>s proposal wa</w:t>
      </w:r>
      <w:r w:rsidRPr="005C724B">
        <w:rPr>
          <w:sz w:val="26"/>
          <w:szCs w:val="26"/>
        </w:rPr>
        <w:t>s to show the reconcili</w:t>
      </w:r>
      <w:r w:rsidR="007A3779">
        <w:rPr>
          <w:sz w:val="26"/>
          <w:szCs w:val="26"/>
        </w:rPr>
        <w:t xml:space="preserve">ation amount as a line item on </w:t>
      </w:r>
      <w:r w:rsidRPr="005C724B">
        <w:rPr>
          <w:sz w:val="26"/>
          <w:szCs w:val="26"/>
        </w:rPr>
        <w:t>customers</w:t>
      </w:r>
      <w:r w:rsidR="000964BB">
        <w:rPr>
          <w:sz w:val="26"/>
          <w:szCs w:val="26"/>
        </w:rPr>
        <w:t>’</w:t>
      </w:r>
      <w:r w:rsidRPr="005C724B">
        <w:rPr>
          <w:sz w:val="26"/>
          <w:szCs w:val="26"/>
        </w:rPr>
        <w:t xml:space="preserve"> bills; to reflect different rates for the three customer classes (Residential, Small C&amp;I, and Large C&amp;I); </w:t>
      </w:r>
      <w:r w:rsidR="00A774E2">
        <w:rPr>
          <w:sz w:val="26"/>
          <w:szCs w:val="26"/>
        </w:rPr>
        <w:t xml:space="preserve">to include </w:t>
      </w:r>
      <w:r w:rsidRPr="005C724B">
        <w:rPr>
          <w:sz w:val="26"/>
          <w:szCs w:val="26"/>
        </w:rPr>
        <w:t>Residen</w:t>
      </w:r>
      <w:r w:rsidR="00DA5FA9">
        <w:rPr>
          <w:sz w:val="26"/>
          <w:szCs w:val="26"/>
        </w:rPr>
        <w:t xml:space="preserve">tial and Small C&amp;I </w:t>
      </w:r>
      <w:r w:rsidRPr="005C724B">
        <w:rPr>
          <w:sz w:val="26"/>
          <w:szCs w:val="26"/>
        </w:rPr>
        <w:t>TOU over and un</w:t>
      </w:r>
      <w:r w:rsidR="00A774E2">
        <w:rPr>
          <w:sz w:val="26"/>
          <w:szCs w:val="26"/>
        </w:rPr>
        <w:t>der collections</w:t>
      </w:r>
      <w:r w:rsidRPr="005C724B">
        <w:rPr>
          <w:sz w:val="26"/>
          <w:szCs w:val="26"/>
        </w:rPr>
        <w:t xml:space="preserve">; </w:t>
      </w:r>
      <w:r w:rsidR="00A774E2">
        <w:rPr>
          <w:sz w:val="26"/>
          <w:szCs w:val="26"/>
        </w:rPr>
        <w:t xml:space="preserve">and to determine </w:t>
      </w:r>
      <w:r w:rsidRPr="005C724B">
        <w:rPr>
          <w:sz w:val="26"/>
          <w:szCs w:val="26"/>
        </w:rPr>
        <w:t>application of the RR each time a customer</w:t>
      </w:r>
      <w:r w:rsidR="000964BB">
        <w:rPr>
          <w:sz w:val="26"/>
          <w:szCs w:val="26"/>
        </w:rPr>
        <w:t>’</w:t>
      </w:r>
      <w:r w:rsidRPr="005C724B">
        <w:rPr>
          <w:sz w:val="26"/>
          <w:szCs w:val="26"/>
        </w:rPr>
        <w:t>s status changes from default service to shopping or from</w:t>
      </w:r>
      <w:r w:rsidR="001C7933" w:rsidRPr="005C724B">
        <w:rPr>
          <w:sz w:val="26"/>
          <w:szCs w:val="26"/>
        </w:rPr>
        <w:t xml:space="preserve"> shopping to default service.  </w:t>
      </w:r>
      <w:r w:rsidR="000C20F1" w:rsidRPr="005C724B">
        <w:rPr>
          <w:sz w:val="26"/>
          <w:szCs w:val="26"/>
        </w:rPr>
        <w:t xml:space="preserve">The Company explained that </w:t>
      </w:r>
      <w:r w:rsidR="00D8229A" w:rsidRPr="005C724B">
        <w:rPr>
          <w:sz w:val="26"/>
          <w:szCs w:val="26"/>
        </w:rPr>
        <w:t xml:space="preserve">application of the RR </w:t>
      </w:r>
      <w:r w:rsidR="00A774E2">
        <w:rPr>
          <w:sz w:val="26"/>
          <w:szCs w:val="26"/>
        </w:rPr>
        <w:t>would</w:t>
      </w:r>
      <w:r w:rsidR="00D8229A" w:rsidRPr="005C724B">
        <w:rPr>
          <w:sz w:val="26"/>
          <w:szCs w:val="26"/>
        </w:rPr>
        <w:t xml:space="preserve"> be based on the customer</w:t>
      </w:r>
      <w:r w:rsidR="000964BB">
        <w:rPr>
          <w:sz w:val="26"/>
          <w:szCs w:val="26"/>
        </w:rPr>
        <w:t>’</w:t>
      </w:r>
      <w:r w:rsidR="00D8229A" w:rsidRPr="005C724B">
        <w:rPr>
          <w:sz w:val="26"/>
          <w:szCs w:val="26"/>
        </w:rPr>
        <w:t>s status during the period immediately preceding the customer</w:t>
      </w:r>
      <w:r w:rsidR="000964BB">
        <w:rPr>
          <w:sz w:val="26"/>
          <w:szCs w:val="26"/>
        </w:rPr>
        <w:t>’</w:t>
      </w:r>
      <w:r w:rsidR="00D8229A" w:rsidRPr="005C724B">
        <w:rPr>
          <w:sz w:val="26"/>
          <w:szCs w:val="26"/>
        </w:rPr>
        <w:t xml:space="preserve">s status change.  </w:t>
      </w:r>
      <w:r w:rsidR="000C20F1" w:rsidRPr="005C724B">
        <w:rPr>
          <w:sz w:val="26"/>
          <w:szCs w:val="26"/>
        </w:rPr>
        <w:t>According to PPL, i</w:t>
      </w:r>
      <w:r w:rsidR="00D8229A" w:rsidRPr="005C724B">
        <w:rPr>
          <w:sz w:val="26"/>
          <w:szCs w:val="26"/>
        </w:rPr>
        <w:t>f a customer switches from default servic</w:t>
      </w:r>
      <w:r w:rsidR="00A774E2">
        <w:rPr>
          <w:sz w:val="26"/>
          <w:szCs w:val="26"/>
        </w:rPr>
        <w:t>e to shopping, the customer would</w:t>
      </w:r>
      <w:r w:rsidR="00D8229A" w:rsidRPr="005C724B">
        <w:rPr>
          <w:sz w:val="26"/>
          <w:szCs w:val="26"/>
        </w:rPr>
        <w:t xml:space="preserve"> be subject to the RR for a period equal to the number of consecutive months, not to exceed twelve months, </w:t>
      </w:r>
      <w:r w:rsidR="00D8229A" w:rsidRPr="005C724B">
        <w:rPr>
          <w:sz w:val="26"/>
          <w:szCs w:val="26"/>
        </w:rPr>
        <w:lastRenderedPageBreak/>
        <w:t>that the customer took default service immediately prior to becoming a shopping customer.  If a customer switches from shopping to de</w:t>
      </w:r>
      <w:r w:rsidR="00001E8B">
        <w:rPr>
          <w:sz w:val="26"/>
          <w:szCs w:val="26"/>
        </w:rPr>
        <w:t>fault service, the customer would</w:t>
      </w:r>
      <w:r w:rsidR="00D8229A" w:rsidRPr="005C724B">
        <w:rPr>
          <w:sz w:val="26"/>
          <w:szCs w:val="26"/>
        </w:rPr>
        <w:t xml:space="preserve"> be exempt from the RR for a period equal to the number of consecutive months, not to exceed twelve months, that the customer was a shopping customer immediately prior to switching to default service.  </w:t>
      </w:r>
      <w:r w:rsidR="000C20F1" w:rsidRPr="005C724B">
        <w:rPr>
          <w:sz w:val="26"/>
          <w:szCs w:val="26"/>
        </w:rPr>
        <w:t>PPL noted that t</w:t>
      </w:r>
      <w:r w:rsidR="00D8229A" w:rsidRPr="005C724B">
        <w:rPr>
          <w:sz w:val="26"/>
          <w:szCs w:val="26"/>
        </w:rPr>
        <w:t xml:space="preserve">he applicability of the RR then </w:t>
      </w:r>
      <w:r w:rsidR="00001E8B">
        <w:rPr>
          <w:sz w:val="26"/>
          <w:szCs w:val="26"/>
        </w:rPr>
        <w:t xml:space="preserve">would be </w:t>
      </w:r>
      <w:r w:rsidR="004C3D20">
        <w:rPr>
          <w:sz w:val="26"/>
          <w:szCs w:val="26"/>
        </w:rPr>
        <w:t>re</w:t>
      </w:r>
      <w:r w:rsidR="004C3D20">
        <w:rPr>
          <w:sz w:val="26"/>
          <w:szCs w:val="26"/>
        </w:rPr>
        <w:noBreakHyphen/>
      </w:r>
      <w:r w:rsidR="00D8229A" w:rsidRPr="005C724B">
        <w:rPr>
          <w:sz w:val="26"/>
          <w:szCs w:val="26"/>
        </w:rPr>
        <w:t>determined anytime a customer</w:t>
      </w:r>
      <w:r w:rsidR="000964BB">
        <w:rPr>
          <w:sz w:val="26"/>
          <w:szCs w:val="26"/>
        </w:rPr>
        <w:t>’</w:t>
      </w:r>
      <w:r w:rsidR="00D8229A" w:rsidRPr="005C724B">
        <w:rPr>
          <w:sz w:val="26"/>
          <w:szCs w:val="26"/>
        </w:rPr>
        <w:t>s status changes between default serv</w:t>
      </w:r>
      <w:r w:rsidR="000C20F1" w:rsidRPr="005C724B">
        <w:rPr>
          <w:sz w:val="26"/>
          <w:szCs w:val="26"/>
        </w:rPr>
        <w:t xml:space="preserve">ice and shopping. </w:t>
      </w:r>
      <w:r w:rsidR="00DA5FA9">
        <w:rPr>
          <w:sz w:val="26"/>
          <w:szCs w:val="26"/>
        </w:rPr>
        <w:t xml:space="preserve">New PPL </w:t>
      </w:r>
      <w:r w:rsidR="002C0BCF" w:rsidRPr="005C724B">
        <w:rPr>
          <w:sz w:val="26"/>
          <w:szCs w:val="26"/>
        </w:rPr>
        <w:t>default service custo</w:t>
      </w:r>
      <w:r w:rsidR="00001E8B">
        <w:rPr>
          <w:sz w:val="26"/>
          <w:szCs w:val="26"/>
        </w:rPr>
        <w:t>mers would be</w:t>
      </w:r>
      <w:r w:rsidR="002C0BCF" w:rsidRPr="005C724B">
        <w:rPr>
          <w:sz w:val="26"/>
          <w:szCs w:val="26"/>
        </w:rPr>
        <w:t xml:space="preserve"> exempt from paying the RR for a period of twelve months.  </w:t>
      </w:r>
      <w:r w:rsidR="009F326E">
        <w:rPr>
          <w:i/>
          <w:sz w:val="26"/>
          <w:szCs w:val="26"/>
        </w:rPr>
        <w:t xml:space="preserve">Id. </w:t>
      </w:r>
      <w:r w:rsidR="00D8229A" w:rsidRPr="005C724B">
        <w:rPr>
          <w:sz w:val="26"/>
          <w:szCs w:val="26"/>
        </w:rPr>
        <w:t>at 18.</w:t>
      </w:r>
      <w:r w:rsidRPr="005C724B">
        <w:rPr>
          <w:sz w:val="26"/>
          <w:szCs w:val="26"/>
        </w:rPr>
        <w:t xml:space="preserve"> </w:t>
      </w:r>
    </w:p>
    <w:p w:rsidR="00D8229A" w:rsidRPr="007C4E34" w:rsidRDefault="00D8229A" w:rsidP="00E7599F">
      <w:pPr>
        <w:rPr>
          <w:szCs w:val="24"/>
        </w:rPr>
      </w:pPr>
    </w:p>
    <w:p w:rsidR="002656EC" w:rsidRPr="005C724B" w:rsidRDefault="00D8229A" w:rsidP="00E7599F">
      <w:pPr>
        <w:rPr>
          <w:sz w:val="26"/>
          <w:szCs w:val="26"/>
        </w:rPr>
      </w:pPr>
      <w:r w:rsidRPr="007C4E34">
        <w:rPr>
          <w:szCs w:val="24"/>
        </w:rPr>
        <w:tab/>
      </w:r>
      <w:r w:rsidRPr="007C4E34">
        <w:rPr>
          <w:szCs w:val="24"/>
        </w:rPr>
        <w:tab/>
      </w:r>
      <w:r w:rsidR="00E77EC5" w:rsidRPr="005C724B">
        <w:rPr>
          <w:b/>
          <w:sz w:val="26"/>
          <w:szCs w:val="26"/>
        </w:rPr>
        <w:fldChar w:fldCharType="begin"/>
      </w:r>
      <w:r w:rsidR="00E77EC5" w:rsidRPr="005C724B">
        <w:rPr>
          <w:sz w:val="26"/>
          <w:szCs w:val="26"/>
        </w:rPr>
        <w:instrText xml:space="preserve"> TC "</w:instrText>
      </w:r>
      <w:bookmarkStart w:id="38" w:name="_Toc329245159"/>
      <w:r w:rsidR="00E77EC5" w:rsidRPr="005C724B">
        <w:rPr>
          <w:b/>
          <w:sz w:val="26"/>
          <w:szCs w:val="26"/>
        </w:rPr>
        <w:instrText>b.</w:instrText>
      </w:r>
      <w:r w:rsidR="00E77EC5" w:rsidRPr="005C724B">
        <w:rPr>
          <w:b/>
          <w:sz w:val="26"/>
          <w:szCs w:val="26"/>
        </w:rPr>
        <w:tab/>
        <w:instrText>Party Positions</w:instrText>
      </w:r>
      <w:bookmarkEnd w:id="38"/>
      <w:r w:rsidR="00E77EC5" w:rsidRPr="005C724B">
        <w:rPr>
          <w:sz w:val="26"/>
          <w:szCs w:val="26"/>
        </w:rPr>
        <w:instrText xml:space="preserve">" \f C \l "4" </w:instrText>
      </w:r>
      <w:r w:rsidR="00E77EC5" w:rsidRPr="005C724B">
        <w:rPr>
          <w:b/>
          <w:sz w:val="26"/>
          <w:szCs w:val="26"/>
        </w:rPr>
        <w:fldChar w:fldCharType="end"/>
      </w:r>
      <w:r w:rsidR="004065C5" w:rsidRPr="005C724B">
        <w:rPr>
          <w:sz w:val="26"/>
          <w:szCs w:val="26"/>
        </w:rPr>
        <w:t xml:space="preserve">The </w:t>
      </w:r>
      <w:r w:rsidR="002656EC" w:rsidRPr="005C724B">
        <w:rPr>
          <w:sz w:val="26"/>
          <w:szCs w:val="26"/>
        </w:rPr>
        <w:t>OCA</w:t>
      </w:r>
      <w:r w:rsidR="004065C5" w:rsidRPr="005C724B">
        <w:rPr>
          <w:sz w:val="26"/>
          <w:szCs w:val="26"/>
        </w:rPr>
        <w:t>, PPLICA, RESA, Domi</w:t>
      </w:r>
      <w:r w:rsidR="005C724B" w:rsidRPr="005C724B">
        <w:rPr>
          <w:sz w:val="26"/>
          <w:szCs w:val="26"/>
        </w:rPr>
        <w:t>nion</w:t>
      </w:r>
      <w:r w:rsidR="004065C5" w:rsidRPr="005C724B">
        <w:rPr>
          <w:sz w:val="26"/>
          <w:szCs w:val="26"/>
        </w:rPr>
        <w:t xml:space="preserve">, REG and Wal-Mart </w:t>
      </w:r>
      <w:r w:rsidR="00DA5FA9">
        <w:rPr>
          <w:sz w:val="26"/>
          <w:szCs w:val="26"/>
        </w:rPr>
        <w:t xml:space="preserve">all </w:t>
      </w:r>
      <w:r w:rsidR="004065C5" w:rsidRPr="005C724B">
        <w:rPr>
          <w:sz w:val="26"/>
          <w:szCs w:val="26"/>
        </w:rPr>
        <w:t>oppose</w:t>
      </w:r>
      <w:r w:rsidR="005C724B" w:rsidRPr="005C724B">
        <w:rPr>
          <w:sz w:val="26"/>
          <w:szCs w:val="26"/>
        </w:rPr>
        <w:t>d</w:t>
      </w:r>
      <w:r w:rsidR="004065C5" w:rsidRPr="005C724B">
        <w:rPr>
          <w:sz w:val="26"/>
          <w:szCs w:val="26"/>
        </w:rPr>
        <w:t xml:space="preserve"> the RR.</w:t>
      </w:r>
      <w:r w:rsidR="00001E8B">
        <w:rPr>
          <w:sz w:val="26"/>
          <w:szCs w:val="26"/>
        </w:rPr>
        <w:t xml:space="preserve">  The OSBA supported the RR with modifications.</w:t>
      </w:r>
    </w:p>
    <w:p w:rsidR="005C724B" w:rsidRPr="007C4E34" w:rsidRDefault="005C724B" w:rsidP="00E7599F">
      <w:pPr>
        <w:rPr>
          <w:szCs w:val="24"/>
        </w:rPr>
      </w:pPr>
    </w:p>
    <w:p w:rsidR="009A02B6" w:rsidRPr="005C724B" w:rsidRDefault="00FE1C43" w:rsidP="00FE1C43">
      <w:pPr>
        <w:autoSpaceDE/>
        <w:autoSpaceDN/>
        <w:rPr>
          <w:sz w:val="26"/>
          <w:szCs w:val="26"/>
        </w:rPr>
      </w:pPr>
      <w:r w:rsidRPr="007C4E34">
        <w:rPr>
          <w:szCs w:val="24"/>
        </w:rPr>
        <w:tab/>
      </w:r>
      <w:r w:rsidRPr="007C4E34">
        <w:rPr>
          <w:szCs w:val="24"/>
        </w:rPr>
        <w:tab/>
      </w:r>
      <w:r w:rsidR="005C724B" w:rsidRPr="005C724B">
        <w:rPr>
          <w:sz w:val="26"/>
          <w:szCs w:val="26"/>
        </w:rPr>
        <w:t>The OCA opposed</w:t>
      </w:r>
      <w:r w:rsidRPr="005C724B">
        <w:rPr>
          <w:sz w:val="26"/>
          <w:szCs w:val="26"/>
        </w:rPr>
        <w:t xml:space="preserve"> the implementation of the RR because it would </w:t>
      </w:r>
      <w:r w:rsidR="000964BB">
        <w:rPr>
          <w:sz w:val="26"/>
          <w:szCs w:val="26"/>
        </w:rPr>
        <w:t>“</w:t>
      </w:r>
      <w:r w:rsidRPr="005C724B">
        <w:rPr>
          <w:sz w:val="26"/>
          <w:szCs w:val="26"/>
        </w:rPr>
        <w:t>pose significant educational challenges and could create customer confusion about the default service rate.</w:t>
      </w:r>
      <w:r w:rsidR="000964BB">
        <w:rPr>
          <w:sz w:val="26"/>
          <w:szCs w:val="26"/>
        </w:rPr>
        <w:t>”</w:t>
      </w:r>
      <w:r w:rsidRPr="005C724B">
        <w:rPr>
          <w:sz w:val="26"/>
          <w:szCs w:val="26"/>
        </w:rPr>
        <w:t xml:space="preserve">  OCA M</w:t>
      </w:r>
      <w:r w:rsidR="005C724B" w:rsidRPr="005C724B">
        <w:rPr>
          <w:sz w:val="26"/>
          <w:szCs w:val="26"/>
        </w:rPr>
        <w:t>.</w:t>
      </w:r>
      <w:r w:rsidRPr="005C724B">
        <w:rPr>
          <w:sz w:val="26"/>
          <w:szCs w:val="26"/>
        </w:rPr>
        <w:t>B</w:t>
      </w:r>
      <w:r w:rsidR="005C724B" w:rsidRPr="005C724B">
        <w:rPr>
          <w:sz w:val="26"/>
          <w:szCs w:val="26"/>
        </w:rPr>
        <w:t>.</w:t>
      </w:r>
      <w:r w:rsidRPr="005C724B">
        <w:rPr>
          <w:sz w:val="26"/>
          <w:szCs w:val="26"/>
        </w:rPr>
        <w:t xml:space="preserve"> at 9.  </w:t>
      </w:r>
      <w:r w:rsidR="005C724B" w:rsidRPr="005C724B">
        <w:rPr>
          <w:sz w:val="26"/>
          <w:szCs w:val="26"/>
        </w:rPr>
        <w:t xml:space="preserve">The </w:t>
      </w:r>
      <w:r w:rsidRPr="005C724B">
        <w:rPr>
          <w:sz w:val="26"/>
          <w:szCs w:val="26"/>
        </w:rPr>
        <w:t>OCA stated that the application of the provis</w:t>
      </w:r>
      <w:r w:rsidR="003A06CB">
        <w:rPr>
          <w:sz w:val="26"/>
          <w:szCs w:val="26"/>
        </w:rPr>
        <w:t xml:space="preserve">ions </w:t>
      </w:r>
      <w:r w:rsidR="005C724B" w:rsidRPr="005C724B">
        <w:rPr>
          <w:sz w:val="26"/>
          <w:szCs w:val="26"/>
        </w:rPr>
        <w:t xml:space="preserve">likely </w:t>
      </w:r>
      <w:r w:rsidR="003A06CB">
        <w:rPr>
          <w:sz w:val="26"/>
          <w:szCs w:val="26"/>
        </w:rPr>
        <w:t xml:space="preserve">would </w:t>
      </w:r>
      <w:r w:rsidR="005C724B" w:rsidRPr="005C724B">
        <w:rPr>
          <w:sz w:val="26"/>
          <w:szCs w:val="26"/>
        </w:rPr>
        <w:t xml:space="preserve">result in </w:t>
      </w:r>
      <w:r w:rsidRPr="005C724B">
        <w:rPr>
          <w:sz w:val="26"/>
          <w:szCs w:val="26"/>
        </w:rPr>
        <w:t xml:space="preserve">frequent rate changes for individual customers and would result in confusion.  </w:t>
      </w:r>
      <w:r w:rsidR="005C724B" w:rsidRPr="005C724B">
        <w:rPr>
          <w:sz w:val="26"/>
          <w:szCs w:val="26"/>
        </w:rPr>
        <w:t>Th</w:t>
      </w:r>
      <w:r w:rsidRPr="005C724B">
        <w:rPr>
          <w:sz w:val="26"/>
          <w:szCs w:val="26"/>
        </w:rPr>
        <w:t xml:space="preserve">e </w:t>
      </w:r>
      <w:r w:rsidR="005C724B" w:rsidRPr="005C724B">
        <w:rPr>
          <w:sz w:val="26"/>
          <w:szCs w:val="26"/>
        </w:rPr>
        <w:t>OCA also believed</w:t>
      </w:r>
      <w:r w:rsidRPr="005C724B">
        <w:rPr>
          <w:sz w:val="26"/>
          <w:szCs w:val="26"/>
        </w:rPr>
        <w:t xml:space="preserve"> that the RR would make auditing of the </w:t>
      </w:r>
      <w:r w:rsidR="009A02B6" w:rsidRPr="005C724B">
        <w:rPr>
          <w:sz w:val="26"/>
          <w:szCs w:val="26"/>
        </w:rPr>
        <w:t>reconciliation provisions more difficult compared to t</w:t>
      </w:r>
      <w:r w:rsidR="005C724B" w:rsidRPr="005C724B">
        <w:rPr>
          <w:sz w:val="26"/>
          <w:szCs w:val="26"/>
        </w:rPr>
        <w:t>he current methodology</w:t>
      </w:r>
      <w:r w:rsidR="003A06CB">
        <w:rPr>
          <w:sz w:val="26"/>
          <w:szCs w:val="26"/>
        </w:rPr>
        <w:t>,</w:t>
      </w:r>
      <w:r w:rsidR="005C724B" w:rsidRPr="005C724B">
        <w:rPr>
          <w:sz w:val="26"/>
          <w:szCs w:val="26"/>
        </w:rPr>
        <w:t xml:space="preserve"> and that</w:t>
      </w:r>
      <w:r w:rsidR="009A02B6" w:rsidRPr="005C724B">
        <w:rPr>
          <w:sz w:val="26"/>
          <w:szCs w:val="26"/>
        </w:rPr>
        <w:t xml:space="preserve"> </w:t>
      </w:r>
      <w:r w:rsidR="005C724B" w:rsidRPr="005C724B">
        <w:rPr>
          <w:sz w:val="26"/>
          <w:szCs w:val="26"/>
        </w:rPr>
        <w:t>t</w:t>
      </w:r>
      <w:r w:rsidR="009A02B6" w:rsidRPr="005C724B">
        <w:rPr>
          <w:sz w:val="26"/>
          <w:szCs w:val="26"/>
        </w:rPr>
        <w:t xml:space="preserve">he provisions may be </w:t>
      </w:r>
      <w:r w:rsidR="009F326E">
        <w:rPr>
          <w:sz w:val="26"/>
          <w:szCs w:val="26"/>
        </w:rPr>
        <w:t xml:space="preserve">too unwieldy to be practical.  </w:t>
      </w:r>
      <w:r w:rsidR="009F326E">
        <w:rPr>
          <w:i/>
          <w:sz w:val="26"/>
          <w:szCs w:val="26"/>
        </w:rPr>
        <w:t xml:space="preserve">Id. </w:t>
      </w:r>
      <w:r w:rsidR="009A02B6" w:rsidRPr="005C724B">
        <w:rPr>
          <w:sz w:val="26"/>
          <w:szCs w:val="26"/>
        </w:rPr>
        <w:t>at 9-10.</w:t>
      </w:r>
    </w:p>
    <w:p w:rsidR="009A02B6" w:rsidRPr="007C4E34" w:rsidRDefault="009A02B6" w:rsidP="00FE1C43">
      <w:pPr>
        <w:autoSpaceDE/>
        <w:autoSpaceDN/>
        <w:rPr>
          <w:szCs w:val="24"/>
        </w:rPr>
      </w:pPr>
    </w:p>
    <w:p w:rsidR="009A386E" w:rsidRDefault="009A02B6" w:rsidP="009471D1">
      <w:pPr>
        <w:autoSpaceDE/>
        <w:autoSpaceDN/>
        <w:rPr>
          <w:sz w:val="26"/>
          <w:szCs w:val="26"/>
        </w:rPr>
      </w:pPr>
      <w:r w:rsidRPr="007C4E34">
        <w:rPr>
          <w:szCs w:val="24"/>
        </w:rPr>
        <w:tab/>
      </w:r>
      <w:r w:rsidRPr="007C4E34">
        <w:rPr>
          <w:szCs w:val="24"/>
        </w:rPr>
        <w:tab/>
      </w:r>
      <w:r w:rsidR="009A386E" w:rsidRPr="009471D1">
        <w:rPr>
          <w:sz w:val="26"/>
          <w:szCs w:val="26"/>
        </w:rPr>
        <w:t>PPLICA ag</w:t>
      </w:r>
      <w:r w:rsidR="008C5F7D" w:rsidRPr="009471D1">
        <w:rPr>
          <w:sz w:val="26"/>
          <w:szCs w:val="26"/>
        </w:rPr>
        <w:t>re</w:t>
      </w:r>
      <w:r w:rsidR="009471D1" w:rsidRPr="009471D1">
        <w:rPr>
          <w:sz w:val="26"/>
          <w:szCs w:val="26"/>
        </w:rPr>
        <w:t>ed that the RR should be denied.  According to PPLICA, PPL h</w:t>
      </w:r>
      <w:r w:rsidR="009A386E" w:rsidRPr="009471D1">
        <w:rPr>
          <w:sz w:val="26"/>
          <w:szCs w:val="26"/>
        </w:rPr>
        <w:t>as created a system with no real impact on the underlying accounting mismatch responsible for the volatile under</w:t>
      </w:r>
      <w:r w:rsidR="00B00E05">
        <w:rPr>
          <w:sz w:val="26"/>
          <w:szCs w:val="26"/>
        </w:rPr>
        <w:t xml:space="preserve"> </w:t>
      </w:r>
      <w:r w:rsidR="009A386E" w:rsidRPr="009471D1">
        <w:rPr>
          <w:sz w:val="26"/>
          <w:szCs w:val="26"/>
        </w:rPr>
        <w:t>collections and over</w:t>
      </w:r>
      <w:r w:rsidR="00B00E05">
        <w:rPr>
          <w:sz w:val="26"/>
          <w:szCs w:val="26"/>
        </w:rPr>
        <w:t xml:space="preserve"> </w:t>
      </w:r>
      <w:r w:rsidR="009A386E" w:rsidRPr="009471D1">
        <w:rPr>
          <w:sz w:val="26"/>
          <w:szCs w:val="26"/>
        </w:rPr>
        <w:t xml:space="preserve">collections.  </w:t>
      </w:r>
      <w:r w:rsidR="009471D1" w:rsidRPr="009471D1">
        <w:rPr>
          <w:sz w:val="26"/>
          <w:szCs w:val="26"/>
        </w:rPr>
        <w:t>PPLICA opined that a</w:t>
      </w:r>
      <w:r w:rsidR="009A386E" w:rsidRPr="009471D1">
        <w:rPr>
          <w:sz w:val="26"/>
          <w:szCs w:val="26"/>
        </w:rPr>
        <w:t>s the majority of the over</w:t>
      </w:r>
      <w:r w:rsidR="009471D1" w:rsidRPr="009471D1">
        <w:rPr>
          <w:sz w:val="26"/>
          <w:szCs w:val="26"/>
        </w:rPr>
        <w:t xml:space="preserve"> </w:t>
      </w:r>
      <w:r w:rsidR="009A386E" w:rsidRPr="009471D1">
        <w:rPr>
          <w:sz w:val="26"/>
          <w:szCs w:val="26"/>
        </w:rPr>
        <w:t>collections and under</w:t>
      </w:r>
      <w:r w:rsidR="009471D1" w:rsidRPr="009471D1">
        <w:rPr>
          <w:sz w:val="26"/>
          <w:szCs w:val="26"/>
        </w:rPr>
        <w:t xml:space="preserve"> </w:t>
      </w:r>
      <w:r w:rsidR="009A386E" w:rsidRPr="009471D1">
        <w:rPr>
          <w:sz w:val="26"/>
          <w:szCs w:val="26"/>
        </w:rPr>
        <w:t>collections recently experienced by PPL originate</w:t>
      </w:r>
      <w:r w:rsidR="009471D1" w:rsidRPr="009471D1">
        <w:rPr>
          <w:sz w:val="26"/>
          <w:szCs w:val="26"/>
        </w:rPr>
        <w:t>d</w:t>
      </w:r>
      <w:r w:rsidR="009A386E" w:rsidRPr="009471D1">
        <w:rPr>
          <w:sz w:val="26"/>
          <w:szCs w:val="26"/>
        </w:rPr>
        <w:t xml:space="preserve"> from the one-time introduction of competitive supply, it does not appear that the requested relief is necessary under Act 129.  Considering the obviated need </w:t>
      </w:r>
      <w:r w:rsidR="009471D1" w:rsidRPr="009471D1">
        <w:rPr>
          <w:sz w:val="26"/>
          <w:szCs w:val="26"/>
        </w:rPr>
        <w:t>for the rider, PPLICA recommended</w:t>
      </w:r>
      <w:r w:rsidR="009A386E" w:rsidRPr="009471D1">
        <w:rPr>
          <w:sz w:val="26"/>
          <w:szCs w:val="26"/>
        </w:rPr>
        <w:t xml:space="preserve"> that the Commission deny PPL</w:t>
      </w:r>
      <w:r w:rsidR="000964BB">
        <w:rPr>
          <w:sz w:val="26"/>
          <w:szCs w:val="26"/>
        </w:rPr>
        <w:t>’</w:t>
      </w:r>
      <w:r w:rsidR="009A386E" w:rsidRPr="009471D1">
        <w:rPr>
          <w:sz w:val="26"/>
          <w:szCs w:val="26"/>
        </w:rPr>
        <w:t>s request to implement the RR.</w:t>
      </w:r>
      <w:r w:rsidR="00B00E05">
        <w:rPr>
          <w:sz w:val="26"/>
          <w:szCs w:val="26"/>
        </w:rPr>
        <w:t xml:space="preserve">  </w:t>
      </w:r>
      <w:r w:rsidR="009A386E" w:rsidRPr="009471D1">
        <w:rPr>
          <w:sz w:val="26"/>
          <w:szCs w:val="26"/>
        </w:rPr>
        <w:t>PPLIC</w:t>
      </w:r>
      <w:r w:rsidR="009471D1" w:rsidRPr="009471D1">
        <w:rPr>
          <w:sz w:val="26"/>
          <w:szCs w:val="26"/>
        </w:rPr>
        <w:t>A</w:t>
      </w:r>
      <w:r w:rsidR="009A386E" w:rsidRPr="009471D1">
        <w:rPr>
          <w:sz w:val="26"/>
          <w:szCs w:val="26"/>
        </w:rPr>
        <w:t xml:space="preserve"> M</w:t>
      </w:r>
      <w:r w:rsidR="009471D1" w:rsidRPr="009471D1">
        <w:rPr>
          <w:sz w:val="26"/>
          <w:szCs w:val="26"/>
        </w:rPr>
        <w:t>.</w:t>
      </w:r>
      <w:r w:rsidR="009A386E" w:rsidRPr="009471D1">
        <w:rPr>
          <w:sz w:val="26"/>
          <w:szCs w:val="26"/>
        </w:rPr>
        <w:t>B</w:t>
      </w:r>
      <w:r w:rsidR="009471D1" w:rsidRPr="009471D1">
        <w:rPr>
          <w:sz w:val="26"/>
          <w:szCs w:val="26"/>
        </w:rPr>
        <w:t>.</w:t>
      </w:r>
      <w:r w:rsidR="009A386E" w:rsidRPr="009471D1">
        <w:rPr>
          <w:sz w:val="26"/>
          <w:szCs w:val="26"/>
        </w:rPr>
        <w:t xml:space="preserve"> at 6.</w:t>
      </w:r>
    </w:p>
    <w:p w:rsidR="00DA5FA9" w:rsidRPr="009471D1" w:rsidRDefault="00DA5FA9" w:rsidP="009471D1">
      <w:pPr>
        <w:autoSpaceDE/>
        <w:autoSpaceDN/>
        <w:rPr>
          <w:sz w:val="26"/>
          <w:szCs w:val="26"/>
        </w:rPr>
      </w:pPr>
    </w:p>
    <w:p w:rsidR="00A711A7" w:rsidRPr="00655554" w:rsidRDefault="009A386E" w:rsidP="00FE1C43">
      <w:pPr>
        <w:autoSpaceDE/>
        <w:autoSpaceDN/>
        <w:rPr>
          <w:sz w:val="26"/>
          <w:szCs w:val="26"/>
        </w:rPr>
      </w:pPr>
      <w:r w:rsidRPr="007C4E34">
        <w:rPr>
          <w:szCs w:val="24"/>
        </w:rPr>
        <w:lastRenderedPageBreak/>
        <w:tab/>
      </w:r>
      <w:r w:rsidRPr="007C4E34">
        <w:rPr>
          <w:szCs w:val="24"/>
        </w:rPr>
        <w:tab/>
      </w:r>
      <w:r w:rsidR="00655554" w:rsidRPr="00655554">
        <w:rPr>
          <w:sz w:val="26"/>
          <w:szCs w:val="26"/>
        </w:rPr>
        <w:t>PPLICA pointed</w:t>
      </w:r>
      <w:r w:rsidR="00A711A7" w:rsidRPr="00655554">
        <w:rPr>
          <w:sz w:val="26"/>
          <w:szCs w:val="26"/>
        </w:rPr>
        <w:t xml:space="preserve"> out that the billing m</w:t>
      </w:r>
      <w:r w:rsidR="00655554" w:rsidRPr="00655554">
        <w:rPr>
          <w:sz w:val="26"/>
          <w:szCs w:val="26"/>
        </w:rPr>
        <w:t xml:space="preserve">ethodology used by PPL </w:t>
      </w:r>
      <w:r w:rsidR="00A711A7" w:rsidRPr="00655554">
        <w:rPr>
          <w:sz w:val="26"/>
          <w:szCs w:val="26"/>
        </w:rPr>
        <w:t xml:space="preserve">reconciles incurred costs with billed revenues, not revenues received for that same time period.  </w:t>
      </w:r>
      <w:r w:rsidR="00655554" w:rsidRPr="00655554">
        <w:rPr>
          <w:sz w:val="26"/>
          <w:szCs w:val="26"/>
        </w:rPr>
        <w:t>According to PPLICA, t</w:t>
      </w:r>
      <w:r w:rsidR="00A711A7" w:rsidRPr="00655554">
        <w:rPr>
          <w:sz w:val="26"/>
          <w:szCs w:val="26"/>
        </w:rPr>
        <w:t xml:space="preserve">he appropriateness of this billing method is the subject of </w:t>
      </w:r>
      <w:r w:rsidR="00B00E05">
        <w:rPr>
          <w:sz w:val="26"/>
          <w:szCs w:val="26"/>
        </w:rPr>
        <w:t>the</w:t>
      </w:r>
      <w:r w:rsidR="0091335C">
        <w:rPr>
          <w:sz w:val="26"/>
          <w:szCs w:val="26"/>
        </w:rPr>
        <w:t xml:space="preserve"> pending</w:t>
      </w:r>
      <w:r w:rsidR="00B00E05">
        <w:rPr>
          <w:sz w:val="26"/>
          <w:szCs w:val="26"/>
        </w:rPr>
        <w:t xml:space="preserve"> </w:t>
      </w:r>
      <w:r w:rsidR="0091335C">
        <w:rPr>
          <w:i/>
          <w:sz w:val="26"/>
          <w:szCs w:val="26"/>
        </w:rPr>
        <w:t xml:space="preserve">OSBA Complaint Proceeding, supra. </w:t>
      </w:r>
      <w:r w:rsidR="00B00E05">
        <w:rPr>
          <w:sz w:val="26"/>
          <w:szCs w:val="26"/>
        </w:rPr>
        <w:t xml:space="preserve"> </w:t>
      </w:r>
      <w:r w:rsidR="00655554" w:rsidRPr="00655554">
        <w:rPr>
          <w:sz w:val="26"/>
          <w:szCs w:val="26"/>
        </w:rPr>
        <w:t>PPLICA noted</w:t>
      </w:r>
      <w:r w:rsidR="0091335C">
        <w:rPr>
          <w:sz w:val="26"/>
          <w:szCs w:val="26"/>
        </w:rPr>
        <w:t>,</w:t>
      </w:r>
      <w:r w:rsidR="00655554" w:rsidRPr="00655554">
        <w:rPr>
          <w:sz w:val="26"/>
          <w:szCs w:val="26"/>
        </w:rPr>
        <w:t xml:space="preserve"> h</w:t>
      </w:r>
      <w:r w:rsidR="00A711A7" w:rsidRPr="00655554">
        <w:rPr>
          <w:sz w:val="26"/>
          <w:szCs w:val="26"/>
        </w:rPr>
        <w:t xml:space="preserve">owever, </w:t>
      </w:r>
      <w:r w:rsidR="00655554" w:rsidRPr="00655554">
        <w:rPr>
          <w:sz w:val="26"/>
          <w:szCs w:val="26"/>
        </w:rPr>
        <w:t xml:space="preserve">that </w:t>
      </w:r>
      <w:r w:rsidR="00A711A7" w:rsidRPr="00655554">
        <w:rPr>
          <w:sz w:val="26"/>
          <w:szCs w:val="26"/>
        </w:rPr>
        <w:t>the severity of the variance was caused by the expiration of rate caps and is therefor</w:t>
      </w:r>
      <w:r w:rsidR="002E0942">
        <w:rPr>
          <w:sz w:val="26"/>
          <w:szCs w:val="26"/>
        </w:rPr>
        <w:t xml:space="preserve">e unlikely to reoccur.  </w:t>
      </w:r>
      <w:r w:rsidR="002E0942">
        <w:rPr>
          <w:i/>
          <w:sz w:val="26"/>
          <w:szCs w:val="26"/>
        </w:rPr>
        <w:t>Id.</w:t>
      </w:r>
      <w:r w:rsidR="00A711A7" w:rsidRPr="00655554">
        <w:rPr>
          <w:sz w:val="26"/>
          <w:szCs w:val="26"/>
        </w:rPr>
        <w:t xml:space="preserve"> at 7.  </w:t>
      </w:r>
    </w:p>
    <w:p w:rsidR="00A711A7" w:rsidRPr="007C4E34" w:rsidRDefault="00A711A7" w:rsidP="00FE1C43">
      <w:pPr>
        <w:autoSpaceDE/>
        <w:autoSpaceDN/>
        <w:rPr>
          <w:szCs w:val="24"/>
        </w:rPr>
      </w:pPr>
    </w:p>
    <w:p w:rsidR="0083644A" w:rsidRPr="001C6898" w:rsidRDefault="00A711A7" w:rsidP="00655554">
      <w:pPr>
        <w:autoSpaceDE/>
        <w:autoSpaceDN/>
        <w:rPr>
          <w:sz w:val="26"/>
          <w:szCs w:val="26"/>
        </w:rPr>
      </w:pPr>
      <w:r w:rsidRPr="007C4E34">
        <w:rPr>
          <w:szCs w:val="24"/>
        </w:rPr>
        <w:tab/>
      </w:r>
      <w:r w:rsidRPr="007C4E34">
        <w:rPr>
          <w:szCs w:val="24"/>
        </w:rPr>
        <w:tab/>
      </w:r>
      <w:r w:rsidR="00655554" w:rsidRPr="001C6898">
        <w:rPr>
          <w:sz w:val="26"/>
          <w:szCs w:val="26"/>
        </w:rPr>
        <w:t>PPLICA stated that t</w:t>
      </w:r>
      <w:r w:rsidRPr="001C6898">
        <w:rPr>
          <w:sz w:val="26"/>
          <w:szCs w:val="26"/>
        </w:rPr>
        <w:t>he record and the Company</w:t>
      </w:r>
      <w:r w:rsidR="000964BB">
        <w:rPr>
          <w:sz w:val="26"/>
          <w:szCs w:val="26"/>
        </w:rPr>
        <w:t>’</w:t>
      </w:r>
      <w:r w:rsidRPr="001C6898">
        <w:rPr>
          <w:sz w:val="26"/>
          <w:szCs w:val="26"/>
        </w:rPr>
        <w:t>s explanations support a finding that this was a</w:t>
      </w:r>
      <w:r w:rsidR="00655554" w:rsidRPr="001C6898">
        <w:rPr>
          <w:sz w:val="26"/>
          <w:szCs w:val="26"/>
        </w:rPr>
        <w:t>n isolated event.  PPLICA pointed</w:t>
      </w:r>
      <w:r w:rsidRPr="001C6898">
        <w:rPr>
          <w:sz w:val="26"/>
          <w:szCs w:val="26"/>
        </w:rPr>
        <w:t xml:space="preserve"> out that no customer class has experienced even 50% of the GSC under</w:t>
      </w:r>
      <w:r w:rsidR="00B00E05">
        <w:rPr>
          <w:sz w:val="26"/>
          <w:szCs w:val="26"/>
        </w:rPr>
        <w:t xml:space="preserve"> </w:t>
      </w:r>
      <w:r w:rsidRPr="001C6898">
        <w:rPr>
          <w:sz w:val="26"/>
          <w:szCs w:val="26"/>
        </w:rPr>
        <w:t>collection rate recorded in January 2010 in</w:t>
      </w:r>
      <w:r w:rsidR="002E0942">
        <w:rPr>
          <w:sz w:val="26"/>
          <w:szCs w:val="26"/>
        </w:rPr>
        <w:t xml:space="preserve"> any subsequent month.  </w:t>
      </w:r>
      <w:r w:rsidR="00655554" w:rsidRPr="001C6898">
        <w:rPr>
          <w:sz w:val="26"/>
          <w:szCs w:val="26"/>
        </w:rPr>
        <w:t>For these reasons, PPLICA opined</w:t>
      </w:r>
      <w:r w:rsidR="0083644A" w:rsidRPr="001C6898">
        <w:rPr>
          <w:sz w:val="26"/>
          <w:szCs w:val="26"/>
        </w:rPr>
        <w:t xml:space="preserve"> that the propo</w:t>
      </w:r>
      <w:r w:rsidR="002E0942">
        <w:rPr>
          <w:sz w:val="26"/>
          <w:szCs w:val="26"/>
        </w:rPr>
        <w:t xml:space="preserve">sed RR is unnecessary.  </w:t>
      </w:r>
      <w:r w:rsidR="002E0942">
        <w:rPr>
          <w:i/>
          <w:sz w:val="26"/>
          <w:szCs w:val="26"/>
        </w:rPr>
        <w:t>Id.</w:t>
      </w:r>
      <w:r w:rsidR="0083644A" w:rsidRPr="001C6898">
        <w:rPr>
          <w:sz w:val="26"/>
          <w:szCs w:val="26"/>
        </w:rPr>
        <w:t xml:space="preserve"> at </w:t>
      </w:r>
      <w:r w:rsidR="002E0942">
        <w:rPr>
          <w:sz w:val="26"/>
          <w:szCs w:val="26"/>
        </w:rPr>
        <w:t>8-</w:t>
      </w:r>
      <w:r w:rsidR="0083644A" w:rsidRPr="001C6898">
        <w:rPr>
          <w:sz w:val="26"/>
          <w:szCs w:val="26"/>
        </w:rPr>
        <w:t>9.</w:t>
      </w:r>
    </w:p>
    <w:p w:rsidR="0083644A" w:rsidRPr="007C4E34" w:rsidRDefault="0083644A" w:rsidP="00FE1C43">
      <w:pPr>
        <w:autoSpaceDE/>
        <w:autoSpaceDN/>
        <w:rPr>
          <w:szCs w:val="24"/>
        </w:rPr>
      </w:pPr>
    </w:p>
    <w:p w:rsidR="0083644A" w:rsidRPr="001C6898" w:rsidRDefault="0083644A" w:rsidP="00FE1C43">
      <w:pPr>
        <w:autoSpaceDE/>
        <w:autoSpaceDN/>
        <w:rPr>
          <w:sz w:val="26"/>
          <w:szCs w:val="26"/>
        </w:rPr>
      </w:pPr>
      <w:r w:rsidRPr="007C4E34">
        <w:rPr>
          <w:szCs w:val="24"/>
        </w:rPr>
        <w:tab/>
      </w:r>
      <w:r w:rsidRPr="007C4E34">
        <w:rPr>
          <w:szCs w:val="24"/>
        </w:rPr>
        <w:tab/>
      </w:r>
      <w:r w:rsidR="001C6898" w:rsidRPr="001C6898">
        <w:rPr>
          <w:sz w:val="26"/>
          <w:szCs w:val="26"/>
        </w:rPr>
        <w:t>In addition, PPLICA noted</w:t>
      </w:r>
      <w:r w:rsidRPr="001C6898">
        <w:rPr>
          <w:sz w:val="26"/>
          <w:szCs w:val="26"/>
        </w:rPr>
        <w:t xml:space="preserve"> that the proposed RR eliminates the current practice of separating the Large C&amp;I customers into two groups:  Large C&amp;I Primary and Large C&amp;I Transmission.  </w:t>
      </w:r>
      <w:r w:rsidR="001C6898" w:rsidRPr="001C6898">
        <w:rPr>
          <w:sz w:val="26"/>
          <w:szCs w:val="26"/>
        </w:rPr>
        <w:t>PPLICA explained that t</w:t>
      </w:r>
      <w:r w:rsidR="00DE541D" w:rsidRPr="001C6898">
        <w:rPr>
          <w:sz w:val="26"/>
          <w:szCs w:val="26"/>
        </w:rPr>
        <w:t>his separation was the result of the contested litigation of the Company</w:t>
      </w:r>
      <w:r w:rsidR="000964BB">
        <w:rPr>
          <w:sz w:val="26"/>
          <w:szCs w:val="26"/>
        </w:rPr>
        <w:t>’</w:t>
      </w:r>
      <w:r w:rsidR="00DE541D" w:rsidRPr="001C6898">
        <w:rPr>
          <w:sz w:val="26"/>
          <w:szCs w:val="26"/>
        </w:rPr>
        <w:t>s 2004 base rate case, and its remand from the Commonwealth Court, which required th</w:t>
      </w:r>
      <w:r w:rsidR="001C6898" w:rsidRPr="001C6898">
        <w:rPr>
          <w:sz w:val="26"/>
          <w:szCs w:val="26"/>
        </w:rPr>
        <w:t>e Commission to set PPL</w:t>
      </w:r>
      <w:r w:rsidR="000964BB">
        <w:rPr>
          <w:sz w:val="26"/>
          <w:szCs w:val="26"/>
        </w:rPr>
        <w:t>’</w:t>
      </w:r>
      <w:r w:rsidR="00DE541D" w:rsidRPr="001C6898">
        <w:rPr>
          <w:sz w:val="26"/>
          <w:szCs w:val="26"/>
        </w:rPr>
        <w:t xml:space="preserve">s rates as nondiscriminatory.  </w:t>
      </w:r>
      <w:r w:rsidR="00D01C16">
        <w:rPr>
          <w:i/>
          <w:sz w:val="26"/>
          <w:szCs w:val="26"/>
        </w:rPr>
        <w:t>Lloyd V. Pa. PUC</w:t>
      </w:r>
      <w:r w:rsidR="00DE541D" w:rsidRPr="001C6898">
        <w:rPr>
          <w:sz w:val="26"/>
          <w:szCs w:val="26"/>
        </w:rPr>
        <w:t>, 904 A.2d 1010 (Pa. Cmwlth. 2006)</w:t>
      </w:r>
      <w:r w:rsidR="00D01C16">
        <w:rPr>
          <w:sz w:val="26"/>
          <w:szCs w:val="26"/>
        </w:rPr>
        <w:t xml:space="preserve">, </w:t>
      </w:r>
      <w:r w:rsidR="00D01C16">
        <w:rPr>
          <w:i/>
          <w:sz w:val="26"/>
          <w:szCs w:val="26"/>
        </w:rPr>
        <w:t>app. den.,</w:t>
      </w:r>
      <w:r w:rsidR="00D01C16">
        <w:rPr>
          <w:sz w:val="26"/>
          <w:szCs w:val="26"/>
        </w:rPr>
        <w:t xml:space="preserve"> 591 Pa. 676, 916 A.2d 1104 (2007)(</w:t>
      </w:r>
      <w:r w:rsidR="00D01C16">
        <w:rPr>
          <w:i/>
          <w:sz w:val="26"/>
          <w:szCs w:val="26"/>
        </w:rPr>
        <w:t>Lloyd)</w:t>
      </w:r>
      <w:r w:rsidR="00DE541D" w:rsidRPr="001C6898">
        <w:rPr>
          <w:sz w:val="26"/>
          <w:szCs w:val="26"/>
        </w:rPr>
        <w:t xml:space="preserve">.  At the very least, </w:t>
      </w:r>
      <w:r w:rsidR="001C6898" w:rsidRPr="001C6898">
        <w:rPr>
          <w:sz w:val="26"/>
          <w:szCs w:val="26"/>
        </w:rPr>
        <w:t xml:space="preserve">PPLICA urged that </w:t>
      </w:r>
      <w:r w:rsidR="00DE541D" w:rsidRPr="001C6898">
        <w:rPr>
          <w:sz w:val="26"/>
          <w:szCs w:val="26"/>
        </w:rPr>
        <w:t>these two classes should be maintained.</w:t>
      </w:r>
      <w:r w:rsidR="002E0942">
        <w:rPr>
          <w:sz w:val="26"/>
          <w:szCs w:val="26"/>
        </w:rPr>
        <w:t xml:space="preserve">  PPLICA </w:t>
      </w:r>
      <w:r w:rsidR="002E0942">
        <w:rPr>
          <w:i/>
          <w:sz w:val="26"/>
          <w:szCs w:val="26"/>
        </w:rPr>
        <w:t>Id.</w:t>
      </w:r>
      <w:r w:rsidR="001C6898" w:rsidRPr="001C6898">
        <w:rPr>
          <w:sz w:val="26"/>
          <w:szCs w:val="26"/>
        </w:rPr>
        <w:t xml:space="preserve"> at</w:t>
      </w:r>
      <w:r w:rsidR="002E0942">
        <w:rPr>
          <w:sz w:val="26"/>
          <w:szCs w:val="26"/>
        </w:rPr>
        <w:t xml:space="preserve"> 9-10</w:t>
      </w:r>
      <w:r w:rsidR="001C6898" w:rsidRPr="001C6898">
        <w:rPr>
          <w:sz w:val="26"/>
          <w:szCs w:val="26"/>
        </w:rPr>
        <w:t>.</w:t>
      </w:r>
      <w:r w:rsidR="00DE541D" w:rsidRPr="001C6898">
        <w:rPr>
          <w:sz w:val="26"/>
          <w:szCs w:val="26"/>
        </w:rPr>
        <w:t xml:space="preserve">  </w:t>
      </w:r>
    </w:p>
    <w:p w:rsidR="008D760B" w:rsidRPr="001C6898" w:rsidRDefault="00EA549A" w:rsidP="00FE1C43">
      <w:pPr>
        <w:autoSpaceDE/>
        <w:autoSpaceDN/>
        <w:rPr>
          <w:sz w:val="26"/>
          <w:szCs w:val="26"/>
        </w:rPr>
      </w:pPr>
      <w:r w:rsidRPr="001C6898">
        <w:rPr>
          <w:sz w:val="26"/>
          <w:szCs w:val="26"/>
        </w:rPr>
        <w:t xml:space="preserve"> </w:t>
      </w:r>
    </w:p>
    <w:p w:rsidR="00387249" w:rsidRPr="001C6898" w:rsidRDefault="00F11B74" w:rsidP="00FE1C43">
      <w:pPr>
        <w:autoSpaceDE/>
        <w:autoSpaceDN/>
        <w:rPr>
          <w:sz w:val="26"/>
          <w:szCs w:val="26"/>
        </w:rPr>
      </w:pPr>
      <w:r w:rsidRPr="007C4E34">
        <w:rPr>
          <w:szCs w:val="24"/>
        </w:rPr>
        <w:tab/>
      </w:r>
      <w:r w:rsidRPr="007C4E34">
        <w:rPr>
          <w:szCs w:val="24"/>
        </w:rPr>
        <w:tab/>
      </w:r>
      <w:r w:rsidRPr="001C6898">
        <w:rPr>
          <w:sz w:val="26"/>
          <w:szCs w:val="26"/>
        </w:rPr>
        <w:t>RESA</w:t>
      </w:r>
      <w:r w:rsidR="001C6898" w:rsidRPr="001C6898">
        <w:rPr>
          <w:sz w:val="26"/>
          <w:szCs w:val="26"/>
        </w:rPr>
        <w:t>, REG, and Dominion</w:t>
      </w:r>
      <w:r w:rsidR="008C5F7D" w:rsidRPr="001C6898">
        <w:rPr>
          <w:sz w:val="26"/>
          <w:szCs w:val="26"/>
        </w:rPr>
        <w:t xml:space="preserve"> argue</w:t>
      </w:r>
      <w:r w:rsidR="001C6898" w:rsidRPr="001C6898">
        <w:rPr>
          <w:sz w:val="26"/>
          <w:szCs w:val="26"/>
        </w:rPr>
        <w:t>d</w:t>
      </w:r>
      <w:r w:rsidR="008C5F7D" w:rsidRPr="001C6898">
        <w:rPr>
          <w:sz w:val="26"/>
          <w:szCs w:val="26"/>
        </w:rPr>
        <w:t xml:space="preserve"> t</w:t>
      </w:r>
      <w:r w:rsidR="001C6898" w:rsidRPr="001C6898">
        <w:rPr>
          <w:sz w:val="26"/>
          <w:szCs w:val="26"/>
        </w:rPr>
        <w:t>hat the Company had</w:t>
      </w:r>
      <w:r w:rsidRPr="001C6898">
        <w:rPr>
          <w:sz w:val="26"/>
          <w:szCs w:val="26"/>
        </w:rPr>
        <w:t xml:space="preserve"> failed to sustain its burden of proving that its existing mechanism should be changed.  </w:t>
      </w:r>
      <w:r w:rsidR="001C6898" w:rsidRPr="001C6898">
        <w:rPr>
          <w:sz w:val="26"/>
          <w:szCs w:val="26"/>
        </w:rPr>
        <w:t>RESA charged</w:t>
      </w:r>
      <w:r w:rsidR="001243FD" w:rsidRPr="001C6898">
        <w:rPr>
          <w:sz w:val="26"/>
          <w:szCs w:val="26"/>
        </w:rPr>
        <w:t xml:space="preserve"> that the proposed changes to the current reconciliation mechanism</w:t>
      </w:r>
      <w:r w:rsidR="00DA5FA9">
        <w:rPr>
          <w:sz w:val="26"/>
          <w:szCs w:val="26"/>
        </w:rPr>
        <w:t>:</w:t>
      </w:r>
      <w:r w:rsidR="00D01C16">
        <w:rPr>
          <w:sz w:val="26"/>
          <w:szCs w:val="26"/>
        </w:rPr>
        <w:t xml:space="preserve"> (1) violate the Competition Act;</w:t>
      </w:r>
      <w:r w:rsidR="00387249" w:rsidRPr="001C6898">
        <w:rPr>
          <w:sz w:val="26"/>
          <w:szCs w:val="26"/>
        </w:rPr>
        <w:t xml:space="preserve"> and (2) ar</w:t>
      </w:r>
      <w:r w:rsidR="00D01C16">
        <w:rPr>
          <w:sz w:val="26"/>
          <w:szCs w:val="26"/>
        </w:rPr>
        <w:t>e inconsistent with Commission R</w:t>
      </w:r>
      <w:r w:rsidR="00387249" w:rsidRPr="001C6898">
        <w:rPr>
          <w:sz w:val="26"/>
          <w:szCs w:val="26"/>
        </w:rPr>
        <w:t xml:space="preserve">egulations.  </w:t>
      </w:r>
      <w:r w:rsidR="0092394F">
        <w:rPr>
          <w:sz w:val="26"/>
          <w:szCs w:val="26"/>
        </w:rPr>
        <w:t>RESA M.B. at</w:t>
      </w:r>
      <w:r w:rsidR="009D536E">
        <w:rPr>
          <w:sz w:val="26"/>
          <w:szCs w:val="26"/>
        </w:rPr>
        <w:t> </w:t>
      </w:r>
      <w:r w:rsidR="0092394F">
        <w:rPr>
          <w:sz w:val="26"/>
          <w:szCs w:val="26"/>
        </w:rPr>
        <w:t>1</w:t>
      </w:r>
      <w:r w:rsidR="00DA5FA9">
        <w:rPr>
          <w:sz w:val="26"/>
          <w:szCs w:val="26"/>
        </w:rPr>
        <w:t>.</w:t>
      </w:r>
    </w:p>
    <w:p w:rsidR="00387249" w:rsidRPr="007C4E34" w:rsidRDefault="00387249" w:rsidP="00FE1C43">
      <w:pPr>
        <w:autoSpaceDE/>
        <w:autoSpaceDN/>
        <w:rPr>
          <w:szCs w:val="24"/>
        </w:rPr>
      </w:pPr>
    </w:p>
    <w:p w:rsidR="00A86FE7" w:rsidRPr="001C6898" w:rsidRDefault="00387249" w:rsidP="00FE1C43">
      <w:pPr>
        <w:autoSpaceDE/>
        <w:autoSpaceDN/>
        <w:rPr>
          <w:sz w:val="26"/>
          <w:szCs w:val="26"/>
        </w:rPr>
      </w:pPr>
      <w:r w:rsidRPr="007C4E34">
        <w:rPr>
          <w:szCs w:val="24"/>
        </w:rPr>
        <w:lastRenderedPageBreak/>
        <w:tab/>
      </w:r>
      <w:r w:rsidRPr="007C4E34">
        <w:rPr>
          <w:szCs w:val="24"/>
        </w:rPr>
        <w:tab/>
      </w:r>
      <w:r w:rsidR="004100F5">
        <w:rPr>
          <w:sz w:val="26"/>
          <w:szCs w:val="26"/>
        </w:rPr>
        <w:t>According to RESA, PPL</w:t>
      </w:r>
      <w:r w:rsidR="000964BB">
        <w:rPr>
          <w:sz w:val="26"/>
          <w:szCs w:val="26"/>
        </w:rPr>
        <w:t>’</w:t>
      </w:r>
      <w:r w:rsidR="004100F5">
        <w:rPr>
          <w:sz w:val="26"/>
          <w:szCs w:val="26"/>
        </w:rPr>
        <w:t>s</w:t>
      </w:r>
      <w:r w:rsidRPr="001C6898">
        <w:rPr>
          <w:sz w:val="26"/>
          <w:szCs w:val="26"/>
        </w:rPr>
        <w:t xml:space="preserve"> proposals violate the requirement that cost recovery must occur on a full and current basis, </w:t>
      </w:r>
      <w:r w:rsidR="00D01C16">
        <w:rPr>
          <w:sz w:val="26"/>
          <w:szCs w:val="26"/>
        </w:rPr>
        <w:t>66 Pa. C.S. §</w:t>
      </w:r>
      <w:r w:rsidRPr="001C6898">
        <w:rPr>
          <w:sz w:val="26"/>
          <w:szCs w:val="26"/>
        </w:rPr>
        <w:t xml:space="preserve"> 2807(e)(3.9), and will stymie </w:t>
      </w:r>
      <w:r w:rsidR="00B00E05">
        <w:rPr>
          <w:sz w:val="26"/>
          <w:szCs w:val="26"/>
        </w:rPr>
        <w:t>competitive</w:t>
      </w:r>
      <w:r w:rsidRPr="001C6898">
        <w:rPr>
          <w:sz w:val="26"/>
          <w:szCs w:val="26"/>
        </w:rPr>
        <w:t xml:space="preserve"> market development.  RESA believes that the calculation and reconciliation on an annual rather than on a quarterly basis will not foster the development of a competitive retail electricity market.  </w:t>
      </w:r>
      <w:r w:rsidR="00A86FE7" w:rsidRPr="001C6898">
        <w:rPr>
          <w:sz w:val="26"/>
          <w:szCs w:val="26"/>
        </w:rPr>
        <w:t xml:space="preserve">RESA states that the statutory parameter for </w:t>
      </w:r>
      <w:r w:rsidR="000964BB">
        <w:rPr>
          <w:sz w:val="26"/>
          <w:szCs w:val="26"/>
        </w:rPr>
        <w:t>“</w:t>
      </w:r>
      <w:r w:rsidR="00A86FE7" w:rsidRPr="001C6898">
        <w:rPr>
          <w:sz w:val="26"/>
          <w:szCs w:val="26"/>
        </w:rPr>
        <w:t>current</w:t>
      </w:r>
      <w:r w:rsidR="000964BB">
        <w:rPr>
          <w:sz w:val="26"/>
          <w:szCs w:val="26"/>
        </w:rPr>
        <w:t>”</w:t>
      </w:r>
      <w:r w:rsidR="00A86FE7" w:rsidRPr="001C6898">
        <w:rPr>
          <w:sz w:val="26"/>
          <w:szCs w:val="26"/>
        </w:rPr>
        <w:t xml:space="preserve"> is quarterly reconciliation.  66 Pa. C.S. § 2807(e)(7). </w:t>
      </w:r>
      <w:r w:rsidR="00F578C1">
        <w:rPr>
          <w:sz w:val="26"/>
          <w:szCs w:val="26"/>
        </w:rPr>
        <w:t xml:space="preserve"> </w:t>
      </w:r>
      <w:r w:rsidR="00F578C1">
        <w:rPr>
          <w:i/>
          <w:sz w:val="26"/>
          <w:szCs w:val="26"/>
        </w:rPr>
        <w:t xml:space="preserve">Id. </w:t>
      </w:r>
      <w:r w:rsidR="00F578C1">
        <w:rPr>
          <w:sz w:val="26"/>
          <w:szCs w:val="26"/>
        </w:rPr>
        <w:t>at 9-11.</w:t>
      </w:r>
      <w:r w:rsidR="00A86FE7" w:rsidRPr="001C6898">
        <w:rPr>
          <w:sz w:val="26"/>
          <w:szCs w:val="26"/>
        </w:rPr>
        <w:t xml:space="preserve"> </w:t>
      </w:r>
    </w:p>
    <w:p w:rsidR="00A86FE7" w:rsidRPr="001C6898" w:rsidRDefault="00A86FE7" w:rsidP="00FE1C43">
      <w:pPr>
        <w:autoSpaceDE/>
        <w:autoSpaceDN/>
        <w:rPr>
          <w:sz w:val="26"/>
          <w:szCs w:val="26"/>
        </w:rPr>
      </w:pPr>
    </w:p>
    <w:p w:rsidR="00A86FE7" w:rsidRPr="001C6898" w:rsidRDefault="00F542A4" w:rsidP="00FE1C43">
      <w:pPr>
        <w:autoSpaceDE/>
        <w:autoSpaceDN/>
        <w:rPr>
          <w:sz w:val="26"/>
          <w:szCs w:val="26"/>
        </w:rPr>
      </w:pPr>
      <w:r w:rsidRPr="001C6898">
        <w:rPr>
          <w:sz w:val="26"/>
          <w:szCs w:val="26"/>
        </w:rPr>
        <w:tab/>
      </w:r>
      <w:r w:rsidRPr="001C6898">
        <w:rPr>
          <w:sz w:val="26"/>
          <w:szCs w:val="26"/>
        </w:rPr>
        <w:tab/>
      </w:r>
      <w:r w:rsidR="001C6898" w:rsidRPr="001C6898">
        <w:rPr>
          <w:sz w:val="26"/>
          <w:szCs w:val="26"/>
        </w:rPr>
        <w:t xml:space="preserve">RESA </w:t>
      </w:r>
      <w:r w:rsidR="004100F5">
        <w:rPr>
          <w:sz w:val="26"/>
          <w:szCs w:val="26"/>
        </w:rPr>
        <w:t xml:space="preserve">further </w:t>
      </w:r>
      <w:r w:rsidR="001C6898" w:rsidRPr="001C6898">
        <w:rPr>
          <w:sz w:val="26"/>
          <w:szCs w:val="26"/>
        </w:rPr>
        <w:t>opined that PPL</w:t>
      </w:r>
      <w:r w:rsidR="000964BB">
        <w:rPr>
          <w:sz w:val="26"/>
          <w:szCs w:val="26"/>
        </w:rPr>
        <w:t>’</w:t>
      </w:r>
      <w:r w:rsidRPr="001C6898">
        <w:rPr>
          <w:sz w:val="26"/>
          <w:szCs w:val="26"/>
        </w:rPr>
        <w:t>s proposal would send inaccurate pr</w:t>
      </w:r>
      <w:r w:rsidR="00D01C16">
        <w:rPr>
          <w:sz w:val="26"/>
          <w:szCs w:val="26"/>
        </w:rPr>
        <w:t>ice signals to customers and could</w:t>
      </w:r>
      <w:r w:rsidRPr="001C6898">
        <w:rPr>
          <w:sz w:val="26"/>
          <w:szCs w:val="26"/>
        </w:rPr>
        <w:t xml:space="preserve"> distort customer shopping decisions because the actual default service cost will not be passed onto consumers in a timely way</w:t>
      </w:r>
      <w:r w:rsidR="00E10656" w:rsidRPr="001C6898">
        <w:rPr>
          <w:sz w:val="26"/>
          <w:szCs w:val="26"/>
        </w:rPr>
        <w:t xml:space="preserve">.  Customers will not see the true cost of energy on </w:t>
      </w:r>
      <w:r w:rsidR="00EA419B">
        <w:rPr>
          <w:sz w:val="26"/>
          <w:szCs w:val="26"/>
        </w:rPr>
        <w:t xml:space="preserve">a contemporaneous basis.  </w:t>
      </w:r>
      <w:r w:rsidR="00E10656" w:rsidRPr="001C6898">
        <w:rPr>
          <w:sz w:val="26"/>
          <w:szCs w:val="26"/>
        </w:rPr>
        <w:t xml:space="preserve">RESA </w:t>
      </w:r>
      <w:r w:rsidR="001C6898" w:rsidRPr="001C6898">
        <w:rPr>
          <w:sz w:val="26"/>
          <w:szCs w:val="26"/>
        </w:rPr>
        <w:t>stated</w:t>
      </w:r>
      <w:r w:rsidR="00E10656" w:rsidRPr="001C6898">
        <w:rPr>
          <w:sz w:val="26"/>
          <w:szCs w:val="26"/>
        </w:rPr>
        <w:t xml:space="preserve"> that </w:t>
      </w:r>
      <w:r w:rsidR="000964BB">
        <w:rPr>
          <w:sz w:val="26"/>
          <w:szCs w:val="26"/>
        </w:rPr>
        <w:t>“</w:t>
      </w:r>
      <w:r w:rsidR="00E10656" w:rsidRPr="001C6898">
        <w:rPr>
          <w:sz w:val="26"/>
          <w:szCs w:val="26"/>
        </w:rPr>
        <w:t>the bottom-line amount paid by customers will be based, at least in part</w:t>
      </w:r>
      <w:r w:rsidR="00D01C16">
        <w:rPr>
          <w:sz w:val="26"/>
          <w:szCs w:val="26"/>
        </w:rPr>
        <w:t>,</w:t>
      </w:r>
      <w:r w:rsidR="00E10656" w:rsidRPr="001C6898">
        <w:rPr>
          <w:sz w:val="26"/>
          <w:szCs w:val="26"/>
        </w:rPr>
        <w:t xml:space="preserve"> on a year</w:t>
      </w:r>
      <w:r w:rsidR="000964BB">
        <w:rPr>
          <w:sz w:val="26"/>
          <w:szCs w:val="26"/>
        </w:rPr>
        <w:t>’</w:t>
      </w:r>
      <w:r w:rsidR="00E10656" w:rsidRPr="001C6898">
        <w:rPr>
          <w:sz w:val="26"/>
          <w:szCs w:val="26"/>
        </w:rPr>
        <w:t>s worth of reconciliation data rather than the c</w:t>
      </w:r>
      <w:r w:rsidR="00EA419B">
        <w:rPr>
          <w:sz w:val="26"/>
          <w:szCs w:val="26"/>
        </w:rPr>
        <w:t>urrent price of energy.</w:t>
      </w:r>
      <w:r w:rsidR="000964BB">
        <w:rPr>
          <w:sz w:val="26"/>
          <w:szCs w:val="26"/>
        </w:rPr>
        <w:t>”</w:t>
      </w:r>
      <w:r w:rsidR="00EA419B">
        <w:rPr>
          <w:sz w:val="26"/>
          <w:szCs w:val="26"/>
        </w:rPr>
        <w:t xml:space="preserve">  </w:t>
      </w:r>
      <w:r w:rsidR="00EA419B">
        <w:rPr>
          <w:i/>
          <w:sz w:val="26"/>
          <w:szCs w:val="26"/>
        </w:rPr>
        <w:t>Id.</w:t>
      </w:r>
      <w:r w:rsidR="00E10656" w:rsidRPr="001C6898">
        <w:rPr>
          <w:sz w:val="26"/>
          <w:szCs w:val="26"/>
        </w:rPr>
        <w:t xml:space="preserve"> at </w:t>
      </w:r>
      <w:r w:rsidR="00EA419B">
        <w:rPr>
          <w:sz w:val="26"/>
          <w:szCs w:val="26"/>
        </w:rPr>
        <w:t>11-</w:t>
      </w:r>
      <w:r w:rsidR="00E10656" w:rsidRPr="001C6898">
        <w:rPr>
          <w:sz w:val="26"/>
          <w:szCs w:val="26"/>
        </w:rPr>
        <w:t>12.</w:t>
      </w:r>
    </w:p>
    <w:p w:rsidR="00E10656" w:rsidRPr="001C6898" w:rsidRDefault="00E10656" w:rsidP="00FE1C43">
      <w:pPr>
        <w:autoSpaceDE/>
        <w:autoSpaceDN/>
        <w:rPr>
          <w:sz w:val="26"/>
          <w:szCs w:val="26"/>
        </w:rPr>
      </w:pPr>
    </w:p>
    <w:p w:rsidR="00BA5747" w:rsidRDefault="008C5F7D" w:rsidP="00FE1C43">
      <w:pPr>
        <w:autoSpaceDE/>
        <w:autoSpaceDN/>
        <w:rPr>
          <w:sz w:val="26"/>
          <w:szCs w:val="26"/>
        </w:rPr>
      </w:pPr>
      <w:r w:rsidRPr="001C6898">
        <w:rPr>
          <w:sz w:val="26"/>
          <w:szCs w:val="26"/>
        </w:rPr>
        <w:tab/>
      </w:r>
      <w:r w:rsidR="005A5F39" w:rsidRPr="001C6898">
        <w:rPr>
          <w:sz w:val="26"/>
          <w:szCs w:val="26"/>
        </w:rPr>
        <w:tab/>
      </w:r>
      <w:r w:rsidR="001C6898" w:rsidRPr="001C6898">
        <w:rPr>
          <w:sz w:val="26"/>
          <w:szCs w:val="26"/>
        </w:rPr>
        <w:t>RESA averred that t</w:t>
      </w:r>
      <w:r w:rsidR="005A5F39" w:rsidRPr="001C6898">
        <w:rPr>
          <w:sz w:val="26"/>
          <w:szCs w:val="26"/>
        </w:rPr>
        <w:t>h</w:t>
      </w:r>
      <w:r w:rsidR="00873619">
        <w:rPr>
          <w:sz w:val="26"/>
          <w:szCs w:val="26"/>
        </w:rPr>
        <w:t>e Commission</w:t>
      </w:r>
      <w:r w:rsidR="000964BB">
        <w:rPr>
          <w:sz w:val="26"/>
          <w:szCs w:val="26"/>
        </w:rPr>
        <w:t>’</w:t>
      </w:r>
      <w:r w:rsidR="00873619">
        <w:rPr>
          <w:sz w:val="26"/>
          <w:szCs w:val="26"/>
        </w:rPr>
        <w:t>s default service R</w:t>
      </w:r>
      <w:r w:rsidR="005A5F39" w:rsidRPr="001C6898">
        <w:rPr>
          <w:sz w:val="26"/>
          <w:szCs w:val="26"/>
        </w:rPr>
        <w:t xml:space="preserve">egulations </w:t>
      </w:r>
      <w:r w:rsidR="006869C2">
        <w:rPr>
          <w:sz w:val="26"/>
          <w:szCs w:val="26"/>
        </w:rPr>
        <w:t xml:space="preserve">at 52 Pa. Code § 54.187(a) </w:t>
      </w:r>
      <w:r w:rsidR="005A5F39" w:rsidRPr="001C6898">
        <w:rPr>
          <w:sz w:val="26"/>
          <w:szCs w:val="26"/>
        </w:rPr>
        <w:t xml:space="preserve">require that the default service rate include the sum of all generation and transmission related default service costs.  </w:t>
      </w:r>
      <w:r w:rsidR="000964BB">
        <w:rPr>
          <w:sz w:val="26"/>
          <w:szCs w:val="26"/>
        </w:rPr>
        <w:t>“</w:t>
      </w:r>
      <w:r w:rsidR="005A5F39" w:rsidRPr="001C6898">
        <w:rPr>
          <w:sz w:val="26"/>
          <w:szCs w:val="26"/>
        </w:rPr>
        <w:t>While the Competition Act expressly provides for the recovery of certain costs through nonbypassable charges on all cust</w:t>
      </w:r>
      <w:r w:rsidR="00B00E05">
        <w:rPr>
          <w:sz w:val="26"/>
          <w:szCs w:val="26"/>
        </w:rPr>
        <w:t>omers, both non-shopping and sho</w:t>
      </w:r>
      <w:r w:rsidR="005A5F39" w:rsidRPr="001C6898">
        <w:rPr>
          <w:sz w:val="26"/>
          <w:szCs w:val="26"/>
        </w:rPr>
        <w:t>pping, there is no such express authorization for the recovery of default service costs through nonbypassable, distribution service type charges such as the rider</w:t>
      </w:r>
      <w:r w:rsidR="004106CE">
        <w:rPr>
          <w:sz w:val="26"/>
          <w:szCs w:val="26"/>
        </w:rPr>
        <w:t>s proposed by PPL here.</w:t>
      </w:r>
      <w:r w:rsidR="000964BB">
        <w:rPr>
          <w:sz w:val="26"/>
          <w:szCs w:val="26"/>
        </w:rPr>
        <w:t>”</w:t>
      </w:r>
      <w:r w:rsidR="004106CE">
        <w:rPr>
          <w:sz w:val="26"/>
          <w:szCs w:val="26"/>
        </w:rPr>
        <w:t xml:space="preserve">  </w:t>
      </w:r>
      <w:r w:rsidR="004106CE">
        <w:rPr>
          <w:i/>
          <w:sz w:val="26"/>
          <w:szCs w:val="26"/>
        </w:rPr>
        <w:t xml:space="preserve">Id. </w:t>
      </w:r>
      <w:r w:rsidR="006869C2">
        <w:rPr>
          <w:sz w:val="26"/>
          <w:szCs w:val="26"/>
        </w:rPr>
        <w:t>at 14.</w:t>
      </w:r>
      <w:r w:rsidR="005A5F39" w:rsidRPr="001C6898">
        <w:rPr>
          <w:sz w:val="26"/>
          <w:szCs w:val="26"/>
        </w:rPr>
        <w:t xml:space="preserve"> </w:t>
      </w:r>
    </w:p>
    <w:p w:rsidR="00A3099F" w:rsidRPr="001C6898" w:rsidRDefault="00A3099F" w:rsidP="00FE1C43">
      <w:pPr>
        <w:autoSpaceDE/>
        <w:autoSpaceDN/>
        <w:rPr>
          <w:sz w:val="26"/>
          <w:szCs w:val="26"/>
        </w:rPr>
      </w:pPr>
    </w:p>
    <w:p w:rsidR="008C5F7D" w:rsidRPr="00CA263D" w:rsidRDefault="00BA5747" w:rsidP="00CA263D">
      <w:pPr>
        <w:autoSpaceDE/>
        <w:autoSpaceDN/>
        <w:rPr>
          <w:sz w:val="26"/>
          <w:szCs w:val="26"/>
        </w:rPr>
      </w:pPr>
      <w:r w:rsidRPr="007C4E34">
        <w:rPr>
          <w:szCs w:val="24"/>
        </w:rPr>
        <w:tab/>
      </w:r>
      <w:r w:rsidRPr="007C4E34">
        <w:rPr>
          <w:szCs w:val="24"/>
        </w:rPr>
        <w:tab/>
      </w:r>
      <w:r w:rsidR="001C6898" w:rsidRPr="00CA263D">
        <w:rPr>
          <w:sz w:val="26"/>
          <w:szCs w:val="26"/>
        </w:rPr>
        <w:t xml:space="preserve">REG </w:t>
      </w:r>
      <w:r w:rsidR="00873619">
        <w:rPr>
          <w:sz w:val="26"/>
          <w:szCs w:val="26"/>
        </w:rPr>
        <w:t>argued that the Company had</w:t>
      </w:r>
      <w:r w:rsidR="008C5F7D" w:rsidRPr="00CA263D">
        <w:rPr>
          <w:sz w:val="26"/>
          <w:szCs w:val="26"/>
        </w:rPr>
        <w:t xml:space="preserve"> failed to sustain its burden of proving that the curre</w:t>
      </w:r>
      <w:r w:rsidR="00B00E05">
        <w:rPr>
          <w:sz w:val="26"/>
          <w:szCs w:val="26"/>
        </w:rPr>
        <w:t>nt PTC reconciliation process is</w:t>
      </w:r>
      <w:r w:rsidR="008C5F7D" w:rsidRPr="00CA263D">
        <w:rPr>
          <w:sz w:val="26"/>
          <w:szCs w:val="26"/>
        </w:rPr>
        <w:t xml:space="preserve"> not workin</w:t>
      </w:r>
      <w:r w:rsidR="00873619">
        <w:rPr>
          <w:sz w:val="26"/>
          <w:szCs w:val="26"/>
        </w:rPr>
        <w:t>g as designed.  The present process was approved as part of PPL</w:t>
      </w:r>
      <w:r w:rsidR="000964BB">
        <w:rPr>
          <w:sz w:val="26"/>
          <w:szCs w:val="26"/>
        </w:rPr>
        <w:t>’</w:t>
      </w:r>
      <w:r w:rsidR="00873619">
        <w:rPr>
          <w:sz w:val="26"/>
          <w:szCs w:val="26"/>
        </w:rPr>
        <w:t>s</w:t>
      </w:r>
      <w:r w:rsidR="008C5F7D" w:rsidRPr="00CA263D">
        <w:rPr>
          <w:sz w:val="26"/>
          <w:szCs w:val="26"/>
        </w:rPr>
        <w:t xml:space="preserve"> DSP Plan as a mechanism to recover reasonable costs relating to the procurement of generation supply for default customers by recovering shortfalls from default customers.  </w:t>
      </w:r>
      <w:r w:rsidR="00CA263D" w:rsidRPr="00CA263D">
        <w:rPr>
          <w:sz w:val="26"/>
          <w:szCs w:val="26"/>
        </w:rPr>
        <w:t xml:space="preserve">According to REG, </w:t>
      </w:r>
      <w:r w:rsidR="008C5F7D" w:rsidRPr="00CA263D">
        <w:rPr>
          <w:sz w:val="26"/>
          <w:szCs w:val="26"/>
        </w:rPr>
        <w:t>the issue presented in this proceeding is not whether PPL should be given an opportunity to recover its reasonable costs of providing default service</w:t>
      </w:r>
      <w:r w:rsidR="00873619">
        <w:rPr>
          <w:sz w:val="26"/>
          <w:szCs w:val="26"/>
        </w:rPr>
        <w:t>,</w:t>
      </w:r>
      <w:r w:rsidR="008C5F7D" w:rsidRPr="00CA263D">
        <w:rPr>
          <w:sz w:val="26"/>
          <w:szCs w:val="26"/>
        </w:rPr>
        <w:t xml:space="preserve"> as suggested by PPL, but from</w:t>
      </w:r>
      <w:r w:rsidR="00CA263D" w:rsidRPr="00CA263D">
        <w:rPr>
          <w:sz w:val="26"/>
          <w:szCs w:val="26"/>
        </w:rPr>
        <w:t xml:space="preserve"> whom those </w:t>
      </w:r>
      <w:r w:rsidR="00CA263D" w:rsidRPr="00CA263D">
        <w:rPr>
          <w:sz w:val="26"/>
          <w:szCs w:val="26"/>
        </w:rPr>
        <w:lastRenderedPageBreak/>
        <w:t xml:space="preserve">costs </w:t>
      </w:r>
      <w:r w:rsidR="00873619">
        <w:rPr>
          <w:sz w:val="26"/>
          <w:szCs w:val="26"/>
        </w:rPr>
        <w:t xml:space="preserve">should be recovered: customers who </w:t>
      </w:r>
      <w:r w:rsidR="008C5F7D" w:rsidRPr="00CA263D">
        <w:rPr>
          <w:sz w:val="26"/>
          <w:szCs w:val="26"/>
        </w:rPr>
        <w:t xml:space="preserve">currently </w:t>
      </w:r>
      <w:r w:rsidR="00873619">
        <w:rPr>
          <w:sz w:val="26"/>
          <w:szCs w:val="26"/>
        </w:rPr>
        <w:t xml:space="preserve">are </w:t>
      </w:r>
      <w:r w:rsidR="008C5F7D" w:rsidRPr="00CA263D">
        <w:rPr>
          <w:sz w:val="26"/>
          <w:szCs w:val="26"/>
        </w:rPr>
        <w:t>being provided default service or from customers who have exercised their right to</w:t>
      </w:r>
      <w:r w:rsidR="00873619">
        <w:rPr>
          <w:sz w:val="26"/>
          <w:szCs w:val="26"/>
        </w:rPr>
        <w:t xml:space="preserve"> switch suppliers, many of whom</w:t>
      </w:r>
      <w:r w:rsidR="008C5F7D" w:rsidRPr="00CA263D">
        <w:rPr>
          <w:sz w:val="26"/>
          <w:szCs w:val="26"/>
        </w:rPr>
        <w:t xml:space="preserve"> exer</w:t>
      </w:r>
      <w:r w:rsidR="00CA263D" w:rsidRPr="00CA263D">
        <w:rPr>
          <w:sz w:val="26"/>
          <w:szCs w:val="26"/>
        </w:rPr>
        <w:t xml:space="preserve">cised that right two years ago.  </w:t>
      </w:r>
      <w:r w:rsidR="008C5F7D" w:rsidRPr="00CA263D">
        <w:rPr>
          <w:sz w:val="26"/>
          <w:szCs w:val="26"/>
        </w:rPr>
        <w:t>REG M</w:t>
      </w:r>
      <w:r w:rsidR="00CA263D" w:rsidRPr="00CA263D">
        <w:rPr>
          <w:sz w:val="26"/>
          <w:szCs w:val="26"/>
        </w:rPr>
        <w:t>.</w:t>
      </w:r>
      <w:r w:rsidR="008C5F7D" w:rsidRPr="00CA263D">
        <w:rPr>
          <w:sz w:val="26"/>
          <w:szCs w:val="26"/>
        </w:rPr>
        <w:t>B</w:t>
      </w:r>
      <w:r w:rsidR="00CA263D" w:rsidRPr="00CA263D">
        <w:rPr>
          <w:sz w:val="26"/>
          <w:szCs w:val="26"/>
        </w:rPr>
        <w:t>.</w:t>
      </w:r>
      <w:r w:rsidR="008C5F7D" w:rsidRPr="00CA263D">
        <w:rPr>
          <w:sz w:val="26"/>
          <w:szCs w:val="26"/>
        </w:rPr>
        <w:t xml:space="preserve"> at </w:t>
      </w:r>
      <w:r w:rsidR="00A64836">
        <w:rPr>
          <w:sz w:val="26"/>
          <w:szCs w:val="26"/>
        </w:rPr>
        <w:t>6-</w:t>
      </w:r>
      <w:r w:rsidR="008C5F7D" w:rsidRPr="00CA263D">
        <w:rPr>
          <w:sz w:val="26"/>
          <w:szCs w:val="26"/>
        </w:rPr>
        <w:t xml:space="preserve">7.  </w:t>
      </w:r>
    </w:p>
    <w:p w:rsidR="008C5F7D" w:rsidRPr="007C4E34" w:rsidRDefault="008C5F7D" w:rsidP="007C4E34">
      <w:pPr>
        <w:autoSpaceDE/>
        <w:autoSpaceDN/>
        <w:rPr>
          <w:b/>
          <w:szCs w:val="24"/>
        </w:rPr>
      </w:pPr>
    </w:p>
    <w:p w:rsidR="00A43A0F" w:rsidRPr="00CA263D" w:rsidRDefault="00F30F4B" w:rsidP="00FE1C43">
      <w:pPr>
        <w:autoSpaceDE/>
        <w:autoSpaceDN/>
        <w:rPr>
          <w:sz w:val="26"/>
          <w:szCs w:val="26"/>
        </w:rPr>
      </w:pPr>
      <w:r w:rsidRPr="007C4E34">
        <w:rPr>
          <w:szCs w:val="24"/>
        </w:rPr>
        <w:tab/>
      </w:r>
      <w:r w:rsidRPr="007C4E34">
        <w:rPr>
          <w:szCs w:val="24"/>
        </w:rPr>
        <w:tab/>
      </w:r>
      <w:r w:rsidR="00CA263D" w:rsidRPr="00CA263D">
        <w:rPr>
          <w:sz w:val="26"/>
          <w:szCs w:val="26"/>
        </w:rPr>
        <w:t>Dominion</w:t>
      </w:r>
      <w:r w:rsidRPr="00CA263D">
        <w:rPr>
          <w:sz w:val="26"/>
          <w:szCs w:val="26"/>
        </w:rPr>
        <w:t xml:space="preserve"> </w:t>
      </w:r>
      <w:r w:rsidR="00CA263D" w:rsidRPr="00CA263D">
        <w:rPr>
          <w:sz w:val="26"/>
          <w:szCs w:val="26"/>
        </w:rPr>
        <w:t>agreed</w:t>
      </w:r>
      <w:r w:rsidRPr="00CA263D">
        <w:rPr>
          <w:sz w:val="26"/>
          <w:szCs w:val="26"/>
        </w:rPr>
        <w:t xml:space="preserve"> that the statute a</w:t>
      </w:r>
      <w:r w:rsidR="008C5F7D" w:rsidRPr="00CA263D">
        <w:rPr>
          <w:sz w:val="26"/>
          <w:szCs w:val="26"/>
        </w:rPr>
        <w:t>nd regulations together require</w:t>
      </w:r>
      <w:r w:rsidRPr="00CA263D">
        <w:rPr>
          <w:sz w:val="26"/>
          <w:szCs w:val="26"/>
        </w:rPr>
        <w:t xml:space="preserve"> that all costs incurred by the default service provi</w:t>
      </w:r>
      <w:r w:rsidR="00EC052E">
        <w:rPr>
          <w:sz w:val="26"/>
          <w:szCs w:val="26"/>
        </w:rPr>
        <w:t>der for providing default service</w:t>
      </w:r>
      <w:r w:rsidRPr="00CA263D">
        <w:rPr>
          <w:sz w:val="26"/>
          <w:szCs w:val="26"/>
        </w:rPr>
        <w:t xml:space="preserve"> be recovered through a default service rate schedule</w:t>
      </w:r>
      <w:r w:rsidR="00A43A0F" w:rsidRPr="00CA263D">
        <w:rPr>
          <w:sz w:val="26"/>
          <w:szCs w:val="26"/>
        </w:rPr>
        <w:t xml:space="preserve">, which is to be identified as the PTC, </w:t>
      </w:r>
      <w:r w:rsidR="004100F5">
        <w:rPr>
          <w:sz w:val="26"/>
          <w:szCs w:val="26"/>
        </w:rPr>
        <w:t xml:space="preserve">and </w:t>
      </w:r>
      <w:r w:rsidR="00A43A0F" w:rsidRPr="00CA263D">
        <w:rPr>
          <w:sz w:val="26"/>
          <w:szCs w:val="26"/>
        </w:rPr>
        <w:t>which shall be designed to recover those costs during the period service is provided t</w:t>
      </w:r>
      <w:r w:rsidR="00CA263D" w:rsidRPr="00CA263D">
        <w:rPr>
          <w:sz w:val="26"/>
          <w:szCs w:val="26"/>
        </w:rPr>
        <w:t>o the customers.  Dominion averred</w:t>
      </w:r>
      <w:r w:rsidR="00A43A0F" w:rsidRPr="00CA263D">
        <w:rPr>
          <w:sz w:val="26"/>
          <w:szCs w:val="26"/>
        </w:rPr>
        <w:t xml:space="preserve"> that the proposals to carve out certain default service costs to be recovered from customers other than default service customers violates Commission regulations and creates illegal</w:t>
      </w:r>
      <w:r w:rsidR="004100F5">
        <w:rPr>
          <w:sz w:val="26"/>
          <w:szCs w:val="26"/>
        </w:rPr>
        <w:t xml:space="preserve"> inter-class rate subsidies.  Dominion</w:t>
      </w:r>
      <w:r w:rsidR="00CA263D" w:rsidRPr="00CA263D">
        <w:rPr>
          <w:sz w:val="26"/>
          <w:szCs w:val="26"/>
        </w:rPr>
        <w:t xml:space="preserve"> argued that migration riders are </w:t>
      </w:r>
      <w:r w:rsidR="00873619">
        <w:rPr>
          <w:sz w:val="26"/>
          <w:szCs w:val="26"/>
        </w:rPr>
        <w:t xml:space="preserve">not authorized by statute, </w:t>
      </w:r>
      <w:r w:rsidR="00CA263D" w:rsidRPr="00CA263D">
        <w:rPr>
          <w:sz w:val="26"/>
          <w:szCs w:val="26"/>
        </w:rPr>
        <w:t>are contrary to the Commission</w:t>
      </w:r>
      <w:r w:rsidR="000964BB">
        <w:rPr>
          <w:sz w:val="26"/>
          <w:szCs w:val="26"/>
        </w:rPr>
        <w:t>’</w:t>
      </w:r>
      <w:r w:rsidR="00CA263D" w:rsidRPr="00CA263D">
        <w:rPr>
          <w:sz w:val="26"/>
          <w:szCs w:val="26"/>
        </w:rPr>
        <w:t xml:space="preserve">s regulations, are anti-customer and anti-competitive, and are not </w:t>
      </w:r>
      <w:r w:rsidR="00B00E05">
        <w:rPr>
          <w:sz w:val="26"/>
          <w:szCs w:val="26"/>
        </w:rPr>
        <w:t xml:space="preserve">in the public interest.  </w:t>
      </w:r>
      <w:r w:rsidR="00CA263D" w:rsidRPr="00CA263D">
        <w:rPr>
          <w:sz w:val="26"/>
          <w:szCs w:val="26"/>
        </w:rPr>
        <w:t>Dominion</w:t>
      </w:r>
      <w:r w:rsidR="00A43A0F" w:rsidRPr="00CA263D">
        <w:rPr>
          <w:sz w:val="26"/>
          <w:szCs w:val="26"/>
        </w:rPr>
        <w:t xml:space="preserve"> M</w:t>
      </w:r>
      <w:r w:rsidR="00CA263D" w:rsidRPr="00CA263D">
        <w:rPr>
          <w:sz w:val="26"/>
          <w:szCs w:val="26"/>
        </w:rPr>
        <w:t>.</w:t>
      </w:r>
      <w:r w:rsidR="00A43A0F" w:rsidRPr="00CA263D">
        <w:rPr>
          <w:sz w:val="26"/>
          <w:szCs w:val="26"/>
        </w:rPr>
        <w:t>B</w:t>
      </w:r>
      <w:r w:rsidR="00CA263D" w:rsidRPr="00CA263D">
        <w:rPr>
          <w:sz w:val="26"/>
          <w:szCs w:val="26"/>
        </w:rPr>
        <w:t>.</w:t>
      </w:r>
      <w:r w:rsidR="00A43A0F" w:rsidRPr="00CA263D">
        <w:rPr>
          <w:sz w:val="26"/>
          <w:szCs w:val="26"/>
        </w:rPr>
        <w:t xml:space="preserve"> at 8. </w:t>
      </w:r>
    </w:p>
    <w:p w:rsidR="00CD2ACE" w:rsidRPr="00CA263D" w:rsidRDefault="00CD2ACE" w:rsidP="00FE1C43">
      <w:pPr>
        <w:autoSpaceDE/>
        <w:autoSpaceDN/>
        <w:rPr>
          <w:sz w:val="26"/>
          <w:szCs w:val="26"/>
        </w:rPr>
      </w:pPr>
    </w:p>
    <w:p w:rsidR="008C5F7D" w:rsidRPr="003622D9" w:rsidRDefault="00BA6AB5" w:rsidP="008C5F7D">
      <w:pPr>
        <w:autoSpaceDE/>
        <w:autoSpaceDN/>
        <w:rPr>
          <w:sz w:val="26"/>
          <w:szCs w:val="26"/>
        </w:rPr>
      </w:pPr>
      <w:r w:rsidRPr="007C4E34">
        <w:rPr>
          <w:szCs w:val="24"/>
        </w:rPr>
        <w:tab/>
      </w:r>
      <w:r w:rsidRPr="007C4E34">
        <w:rPr>
          <w:szCs w:val="24"/>
        </w:rPr>
        <w:tab/>
      </w:r>
      <w:r w:rsidR="008C5F7D" w:rsidRPr="003622D9">
        <w:rPr>
          <w:sz w:val="26"/>
          <w:szCs w:val="26"/>
        </w:rPr>
        <w:t>The OSBA support</w:t>
      </w:r>
      <w:r w:rsidR="003622D9" w:rsidRPr="003622D9">
        <w:rPr>
          <w:sz w:val="26"/>
          <w:szCs w:val="26"/>
        </w:rPr>
        <w:t>ed</w:t>
      </w:r>
      <w:r w:rsidR="008C5F7D" w:rsidRPr="003622D9">
        <w:rPr>
          <w:sz w:val="26"/>
          <w:szCs w:val="26"/>
        </w:rPr>
        <w:t xml:space="preserve"> the migration rider aspects of the RR as supported by the principles of cost causation and equity.  </w:t>
      </w:r>
      <w:r w:rsidR="003622D9" w:rsidRPr="003622D9">
        <w:rPr>
          <w:sz w:val="26"/>
          <w:szCs w:val="26"/>
        </w:rPr>
        <w:t>According to the OSBA, t</w:t>
      </w:r>
      <w:r w:rsidR="008C5F7D" w:rsidRPr="003622D9">
        <w:rPr>
          <w:sz w:val="26"/>
          <w:szCs w:val="26"/>
        </w:rPr>
        <w:t>he RR will align charges and refunds with the customers who underpaid or overpaid while receiving the default service.  The present mechanism allows customers who shop to avoid paying costs incurred while they were default customers</w:t>
      </w:r>
      <w:r w:rsidR="00620802">
        <w:rPr>
          <w:sz w:val="26"/>
          <w:szCs w:val="26"/>
        </w:rPr>
        <w:t>,</w:t>
      </w:r>
      <w:r w:rsidR="008C5F7D" w:rsidRPr="003622D9">
        <w:rPr>
          <w:sz w:val="26"/>
          <w:szCs w:val="26"/>
        </w:rPr>
        <w:t xml:space="preserve"> but permits them to benefit from refunds if they return to default service.  OSBA M</w:t>
      </w:r>
      <w:r w:rsidR="003622D9" w:rsidRPr="003622D9">
        <w:rPr>
          <w:sz w:val="26"/>
          <w:szCs w:val="26"/>
        </w:rPr>
        <w:t>.</w:t>
      </w:r>
      <w:r w:rsidR="008C5F7D" w:rsidRPr="003622D9">
        <w:rPr>
          <w:sz w:val="26"/>
          <w:szCs w:val="26"/>
        </w:rPr>
        <w:t>B</w:t>
      </w:r>
      <w:r w:rsidR="003622D9" w:rsidRPr="003622D9">
        <w:rPr>
          <w:sz w:val="26"/>
          <w:szCs w:val="26"/>
        </w:rPr>
        <w:t>.</w:t>
      </w:r>
      <w:r w:rsidR="008C5F7D" w:rsidRPr="003622D9">
        <w:rPr>
          <w:sz w:val="26"/>
          <w:szCs w:val="26"/>
        </w:rPr>
        <w:t xml:space="preserve"> at 4.</w:t>
      </w:r>
    </w:p>
    <w:p w:rsidR="008C5F7D" w:rsidRPr="003622D9" w:rsidRDefault="008C5F7D" w:rsidP="008C5F7D">
      <w:pPr>
        <w:autoSpaceDE/>
        <w:autoSpaceDN/>
        <w:rPr>
          <w:sz w:val="26"/>
          <w:szCs w:val="26"/>
        </w:rPr>
      </w:pPr>
    </w:p>
    <w:p w:rsidR="008C5F7D" w:rsidRDefault="008C5F7D" w:rsidP="008C5F7D">
      <w:pPr>
        <w:autoSpaceDE/>
        <w:autoSpaceDN/>
        <w:rPr>
          <w:sz w:val="26"/>
          <w:szCs w:val="26"/>
        </w:rPr>
      </w:pPr>
      <w:r w:rsidRPr="003622D9">
        <w:rPr>
          <w:sz w:val="26"/>
          <w:szCs w:val="26"/>
        </w:rPr>
        <w:tab/>
      </w:r>
      <w:r w:rsidRPr="003622D9">
        <w:rPr>
          <w:sz w:val="26"/>
          <w:szCs w:val="26"/>
        </w:rPr>
        <w:tab/>
      </w:r>
      <w:r w:rsidR="003622D9">
        <w:rPr>
          <w:sz w:val="26"/>
          <w:szCs w:val="26"/>
        </w:rPr>
        <w:t>The OSBA recommended</w:t>
      </w:r>
      <w:r w:rsidRPr="003622D9">
        <w:rPr>
          <w:sz w:val="26"/>
          <w:szCs w:val="26"/>
        </w:rPr>
        <w:t xml:space="preserve"> several modifications: </w:t>
      </w:r>
    </w:p>
    <w:p w:rsidR="002B7C87" w:rsidRPr="003622D9" w:rsidRDefault="002B7C87" w:rsidP="008C5F7D">
      <w:pPr>
        <w:autoSpaceDE/>
        <w:autoSpaceDN/>
        <w:rPr>
          <w:sz w:val="26"/>
          <w:szCs w:val="26"/>
        </w:rPr>
      </w:pPr>
    </w:p>
    <w:p w:rsidR="008C5F7D" w:rsidRPr="00CF4A98" w:rsidRDefault="009A4F48" w:rsidP="00646ED2">
      <w:pPr>
        <w:pStyle w:val="ListParagraph"/>
        <w:numPr>
          <w:ilvl w:val="0"/>
          <w:numId w:val="11"/>
        </w:numPr>
        <w:autoSpaceDE/>
        <w:autoSpaceDN/>
        <w:spacing w:line="240" w:lineRule="auto"/>
        <w:ind w:left="1440" w:right="1440" w:firstLine="720"/>
        <w:rPr>
          <w:sz w:val="26"/>
          <w:szCs w:val="26"/>
        </w:rPr>
      </w:pPr>
      <w:r w:rsidRPr="00CF4A98">
        <w:rPr>
          <w:sz w:val="26"/>
          <w:szCs w:val="26"/>
        </w:rPr>
        <w:t>N</w:t>
      </w:r>
      <w:r w:rsidR="008C5F7D" w:rsidRPr="00CF4A98">
        <w:rPr>
          <w:sz w:val="26"/>
          <w:szCs w:val="26"/>
        </w:rPr>
        <w:t>ew customers should not be subject to RR for 12 months – they did not contribute to the prior period</w:t>
      </w:r>
      <w:r w:rsidR="000964BB">
        <w:rPr>
          <w:sz w:val="26"/>
          <w:szCs w:val="26"/>
        </w:rPr>
        <w:t>’</w:t>
      </w:r>
      <w:r w:rsidR="008C5F7D" w:rsidRPr="00CF4A98">
        <w:rPr>
          <w:sz w:val="26"/>
          <w:szCs w:val="26"/>
        </w:rPr>
        <w:t>s variances and therefore, they should be neither charged nor credited for them.  The Company has agreed to this proposal.</w:t>
      </w:r>
    </w:p>
    <w:p w:rsidR="009A4F48" w:rsidRPr="00CF4A98" w:rsidRDefault="009A4F48" w:rsidP="00646ED2">
      <w:pPr>
        <w:autoSpaceDE/>
        <w:autoSpaceDN/>
        <w:spacing w:line="240" w:lineRule="auto"/>
        <w:ind w:left="1440" w:right="1440"/>
        <w:rPr>
          <w:sz w:val="26"/>
          <w:szCs w:val="26"/>
        </w:rPr>
      </w:pPr>
    </w:p>
    <w:p w:rsidR="008C5F7D" w:rsidRPr="00CF4A98" w:rsidRDefault="00677B03" w:rsidP="00646ED2">
      <w:pPr>
        <w:autoSpaceDE/>
        <w:autoSpaceDN/>
        <w:spacing w:line="240" w:lineRule="auto"/>
        <w:ind w:left="1440" w:right="1440"/>
        <w:rPr>
          <w:sz w:val="26"/>
          <w:szCs w:val="26"/>
        </w:rPr>
      </w:pPr>
      <w:r w:rsidRPr="00CF4A98">
        <w:rPr>
          <w:sz w:val="26"/>
          <w:szCs w:val="26"/>
        </w:rPr>
        <w:tab/>
        <w:t>(2)</w:t>
      </w:r>
      <w:r w:rsidRPr="00CF4A98">
        <w:rPr>
          <w:sz w:val="26"/>
          <w:szCs w:val="26"/>
        </w:rPr>
        <w:tab/>
        <w:t xml:space="preserve">A </w:t>
      </w:r>
      <w:r w:rsidR="008C5F7D" w:rsidRPr="00CF4A98">
        <w:rPr>
          <w:sz w:val="26"/>
          <w:szCs w:val="26"/>
        </w:rPr>
        <w:t xml:space="preserve">rolling annual reconciliation – the Company proposal is for a fixed annual reconciliation, meaning that the </w:t>
      </w:r>
      <w:r w:rsidR="008C5F7D" w:rsidRPr="00CF4A98">
        <w:rPr>
          <w:sz w:val="26"/>
          <w:szCs w:val="26"/>
        </w:rPr>
        <w:lastRenderedPageBreak/>
        <w:t>RR balance would be amortized over a fixed 12-month period and the charge/credit would be updated once every 12 months.  OSBA recommends updating the charge or credit quarterly with the balance recovered over 12-month rolling periods.  The goal is to retain rate stability while quickly incorporating variances into the rates.  The Company has agreed to this proposal.</w:t>
      </w:r>
    </w:p>
    <w:p w:rsidR="007E27F6" w:rsidRPr="00CF4A98" w:rsidRDefault="007E27F6" w:rsidP="00646ED2">
      <w:pPr>
        <w:autoSpaceDE/>
        <w:autoSpaceDN/>
        <w:spacing w:line="240" w:lineRule="auto"/>
        <w:ind w:left="1440" w:right="1440"/>
        <w:rPr>
          <w:sz w:val="26"/>
          <w:szCs w:val="26"/>
        </w:rPr>
      </w:pPr>
    </w:p>
    <w:p w:rsidR="00620802" w:rsidRDefault="00677B03" w:rsidP="00646ED2">
      <w:pPr>
        <w:autoSpaceDE/>
        <w:autoSpaceDN/>
        <w:spacing w:line="240" w:lineRule="auto"/>
        <w:ind w:left="1440" w:right="1440"/>
        <w:rPr>
          <w:sz w:val="26"/>
          <w:szCs w:val="26"/>
        </w:rPr>
      </w:pPr>
      <w:r w:rsidRPr="00CF4A98">
        <w:rPr>
          <w:sz w:val="26"/>
          <w:szCs w:val="26"/>
        </w:rPr>
        <w:tab/>
        <w:t>(3)</w:t>
      </w:r>
      <w:r w:rsidRPr="00CF4A98">
        <w:rPr>
          <w:sz w:val="26"/>
          <w:szCs w:val="26"/>
        </w:rPr>
        <w:tab/>
      </w:r>
      <w:r w:rsidR="009A4F48" w:rsidRPr="00CF4A98">
        <w:rPr>
          <w:sz w:val="26"/>
          <w:szCs w:val="26"/>
        </w:rPr>
        <w:t>R</w:t>
      </w:r>
      <w:r w:rsidR="008C5F7D" w:rsidRPr="00CF4A98">
        <w:rPr>
          <w:sz w:val="26"/>
          <w:szCs w:val="26"/>
        </w:rPr>
        <w:t>educed interest rates – to avoid incenting the Company from under</w:t>
      </w:r>
      <w:r w:rsidR="004100F5">
        <w:rPr>
          <w:sz w:val="26"/>
          <w:szCs w:val="26"/>
        </w:rPr>
        <w:t xml:space="preserve"> </w:t>
      </w:r>
      <w:r w:rsidR="008C5F7D" w:rsidRPr="00CF4A98">
        <w:rPr>
          <w:sz w:val="26"/>
          <w:szCs w:val="26"/>
        </w:rPr>
        <w:t>collecting, as the present 6% interest rate is higher than can be earned on short-term investments.  The Company stated that it expected the 6% on under</w:t>
      </w:r>
      <w:r w:rsidR="004100F5">
        <w:rPr>
          <w:sz w:val="26"/>
          <w:szCs w:val="26"/>
        </w:rPr>
        <w:t xml:space="preserve"> </w:t>
      </w:r>
      <w:r w:rsidR="008C5F7D" w:rsidRPr="00CF4A98">
        <w:rPr>
          <w:sz w:val="26"/>
          <w:szCs w:val="26"/>
        </w:rPr>
        <w:t>collections and 8% on over</w:t>
      </w:r>
      <w:r w:rsidR="004100F5">
        <w:rPr>
          <w:sz w:val="26"/>
          <w:szCs w:val="26"/>
        </w:rPr>
        <w:t xml:space="preserve"> </w:t>
      </w:r>
      <w:r w:rsidR="008C5F7D" w:rsidRPr="00CF4A98">
        <w:rPr>
          <w:sz w:val="26"/>
          <w:szCs w:val="26"/>
        </w:rPr>
        <w:t xml:space="preserve">collections, consistent with the regulations.  52 Pa. Code § 54.187(f). </w:t>
      </w:r>
    </w:p>
    <w:p w:rsidR="004100F5" w:rsidRDefault="008C5F7D" w:rsidP="00F85DE3">
      <w:pPr>
        <w:autoSpaceDE/>
        <w:autoSpaceDN/>
        <w:spacing w:line="240" w:lineRule="auto"/>
        <w:ind w:left="720" w:right="720"/>
        <w:rPr>
          <w:sz w:val="26"/>
          <w:szCs w:val="26"/>
        </w:rPr>
      </w:pPr>
      <w:r w:rsidRPr="00CF4A98">
        <w:rPr>
          <w:sz w:val="26"/>
          <w:szCs w:val="26"/>
        </w:rPr>
        <w:t xml:space="preserve"> </w:t>
      </w:r>
    </w:p>
    <w:p w:rsidR="008C5F7D" w:rsidRPr="00CF4A98" w:rsidRDefault="00EC052E" w:rsidP="00620802">
      <w:pPr>
        <w:autoSpaceDE/>
        <w:autoSpaceDN/>
        <w:ind w:right="720"/>
        <w:rPr>
          <w:sz w:val="26"/>
          <w:szCs w:val="26"/>
        </w:rPr>
      </w:pPr>
      <w:r>
        <w:rPr>
          <w:i/>
          <w:sz w:val="26"/>
          <w:szCs w:val="26"/>
        </w:rPr>
        <w:t>Id.</w:t>
      </w:r>
      <w:r w:rsidR="008C5F7D" w:rsidRPr="00CF4A98">
        <w:rPr>
          <w:sz w:val="26"/>
          <w:szCs w:val="26"/>
        </w:rPr>
        <w:t xml:space="preserve"> at 6-8.  </w:t>
      </w:r>
    </w:p>
    <w:p w:rsidR="008C5F7D" w:rsidRPr="00CF4A98" w:rsidRDefault="008C5F7D" w:rsidP="00620802">
      <w:pPr>
        <w:autoSpaceDE/>
        <w:autoSpaceDN/>
        <w:rPr>
          <w:sz w:val="26"/>
          <w:szCs w:val="26"/>
        </w:rPr>
      </w:pPr>
    </w:p>
    <w:p w:rsidR="008C5F7D" w:rsidRPr="00CF4A98" w:rsidRDefault="008C5F7D" w:rsidP="00620802">
      <w:pPr>
        <w:autoSpaceDE/>
        <w:autoSpaceDN/>
        <w:rPr>
          <w:sz w:val="26"/>
          <w:szCs w:val="26"/>
        </w:rPr>
      </w:pPr>
      <w:r w:rsidRPr="007C4E34">
        <w:rPr>
          <w:szCs w:val="24"/>
        </w:rPr>
        <w:tab/>
      </w:r>
      <w:r w:rsidRPr="007C4E34">
        <w:rPr>
          <w:szCs w:val="24"/>
        </w:rPr>
        <w:tab/>
      </w:r>
      <w:r w:rsidR="00CF4A98" w:rsidRPr="00CF4A98">
        <w:rPr>
          <w:sz w:val="26"/>
          <w:szCs w:val="26"/>
        </w:rPr>
        <w:t>The OSBA stated</w:t>
      </w:r>
      <w:r w:rsidRPr="00CF4A98">
        <w:rPr>
          <w:sz w:val="26"/>
          <w:szCs w:val="26"/>
        </w:rPr>
        <w:t xml:space="preserve"> that the RR will reduce rate instability, and </w:t>
      </w:r>
      <w:r w:rsidR="00620802">
        <w:rPr>
          <w:sz w:val="26"/>
          <w:szCs w:val="26"/>
        </w:rPr>
        <w:t xml:space="preserve">noted that </w:t>
      </w:r>
      <w:r w:rsidRPr="00CF4A98">
        <w:rPr>
          <w:sz w:val="26"/>
          <w:szCs w:val="26"/>
        </w:rPr>
        <w:t xml:space="preserve">there has been instability in the reconciliation of the TSC, GSC-1 and GSC-2 in the recent past.  </w:t>
      </w:r>
      <w:r w:rsidR="00CF4A98">
        <w:rPr>
          <w:sz w:val="26"/>
          <w:szCs w:val="26"/>
        </w:rPr>
        <w:t>According to the OSBA, i</w:t>
      </w:r>
      <w:r w:rsidRPr="00CF4A98">
        <w:rPr>
          <w:sz w:val="26"/>
          <w:szCs w:val="26"/>
        </w:rPr>
        <w:t>t is the move to annual reconciliation which w</w:t>
      </w:r>
      <w:r w:rsidR="00EC052E">
        <w:rPr>
          <w:sz w:val="26"/>
          <w:szCs w:val="26"/>
        </w:rPr>
        <w:t xml:space="preserve">ill stabilize the rates.  </w:t>
      </w:r>
      <w:r w:rsidR="00EC052E">
        <w:rPr>
          <w:i/>
          <w:sz w:val="26"/>
          <w:szCs w:val="26"/>
        </w:rPr>
        <w:t>Id.</w:t>
      </w:r>
      <w:r w:rsidRPr="00CF4A98">
        <w:rPr>
          <w:sz w:val="26"/>
          <w:szCs w:val="26"/>
        </w:rPr>
        <w:t xml:space="preserve"> at 10-11.  Contrary</w:t>
      </w:r>
      <w:r w:rsidR="004100F5">
        <w:rPr>
          <w:sz w:val="26"/>
          <w:szCs w:val="26"/>
        </w:rPr>
        <w:t xml:space="preserve"> to the testimony of the OCA, Dominion</w:t>
      </w:r>
      <w:r w:rsidRPr="00CF4A98">
        <w:rPr>
          <w:sz w:val="26"/>
          <w:szCs w:val="26"/>
        </w:rPr>
        <w:t xml:space="preserve"> and RESA witnesses that the RR is unnecessary because future reconciliation amount</w:t>
      </w:r>
      <w:r w:rsidR="0059294B">
        <w:rPr>
          <w:sz w:val="26"/>
          <w:szCs w:val="26"/>
        </w:rPr>
        <w:t>s</w:t>
      </w:r>
      <w:r w:rsidRPr="00CF4A98">
        <w:rPr>
          <w:sz w:val="26"/>
          <w:szCs w:val="26"/>
        </w:rPr>
        <w:t xml:space="preserve"> should be minor, </w:t>
      </w:r>
      <w:r w:rsidR="00CF4A98" w:rsidRPr="00CF4A98">
        <w:rPr>
          <w:sz w:val="26"/>
          <w:szCs w:val="26"/>
        </w:rPr>
        <w:t xml:space="preserve">the </w:t>
      </w:r>
      <w:r w:rsidRPr="00CF4A98">
        <w:rPr>
          <w:sz w:val="26"/>
          <w:szCs w:val="26"/>
        </w:rPr>
        <w:t xml:space="preserve">OSBA believes that the effect of the accounting mismatch is largest in the first month but affects each month following.  </w:t>
      </w:r>
      <w:r w:rsidR="0059294B">
        <w:rPr>
          <w:sz w:val="26"/>
          <w:szCs w:val="26"/>
        </w:rPr>
        <w:t>The OSBA notes that t</w:t>
      </w:r>
      <w:r w:rsidRPr="00CF4A98">
        <w:rPr>
          <w:sz w:val="26"/>
          <w:szCs w:val="26"/>
        </w:rPr>
        <w:t xml:space="preserve">his is where the shopping </w:t>
      </w:r>
      <w:r w:rsidR="000964BB">
        <w:rPr>
          <w:sz w:val="26"/>
          <w:szCs w:val="26"/>
        </w:rPr>
        <w:t>“</w:t>
      </w:r>
      <w:r w:rsidRPr="00CF4A98">
        <w:rPr>
          <w:sz w:val="26"/>
          <w:szCs w:val="26"/>
        </w:rPr>
        <w:t>exodus</w:t>
      </w:r>
      <w:r w:rsidR="000964BB">
        <w:rPr>
          <w:sz w:val="26"/>
          <w:szCs w:val="26"/>
        </w:rPr>
        <w:t>”</w:t>
      </w:r>
      <w:r w:rsidRPr="00CF4A98">
        <w:rPr>
          <w:sz w:val="26"/>
          <w:szCs w:val="26"/>
        </w:rPr>
        <w:t xml:space="preserve"> has an effect, because the amount not collected from the larger number of customers must now be </w:t>
      </w:r>
      <w:r w:rsidR="00620802">
        <w:rPr>
          <w:sz w:val="26"/>
          <w:szCs w:val="26"/>
        </w:rPr>
        <w:t>collected from</w:t>
      </w:r>
      <w:r w:rsidRPr="00CF4A98">
        <w:rPr>
          <w:sz w:val="26"/>
          <w:szCs w:val="26"/>
        </w:rPr>
        <w:t xml:space="preserve"> the decreasin</w:t>
      </w:r>
      <w:r w:rsidR="00EC052E">
        <w:rPr>
          <w:sz w:val="26"/>
          <w:szCs w:val="26"/>
        </w:rPr>
        <w:t xml:space="preserve">g default customer base.  </w:t>
      </w:r>
      <w:r w:rsidR="00EC052E">
        <w:rPr>
          <w:i/>
          <w:sz w:val="26"/>
          <w:szCs w:val="26"/>
        </w:rPr>
        <w:t>Id.</w:t>
      </w:r>
      <w:r w:rsidRPr="00CF4A98">
        <w:rPr>
          <w:sz w:val="26"/>
          <w:szCs w:val="26"/>
        </w:rPr>
        <w:t xml:space="preserve"> at 12-13.</w:t>
      </w:r>
    </w:p>
    <w:p w:rsidR="008C5F7D" w:rsidRPr="007C4E34" w:rsidRDefault="008C5F7D" w:rsidP="008C5F7D">
      <w:pPr>
        <w:autoSpaceDE/>
        <w:autoSpaceDN/>
        <w:rPr>
          <w:szCs w:val="24"/>
        </w:rPr>
      </w:pPr>
      <w:r w:rsidRPr="007C4E34">
        <w:rPr>
          <w:szCs w:val="24"/>
        </w:rPr>
        <w:t xml:space="preserve"> </w:t>
      </w:r>
    </w:p>
    <w:p w:rsidR="008C5F7D" w:rsidRPr="00CF4A98" w:rsidRDefault="00BA3814" w:rsidP="008C5F7D">
      <w:pPr>
        <w:autoSpaceDE/>
        <w:autoSpaceDN/>
        <w:rPr>
          <w:sz w:val="26"/>
          <w:szCs w:val="26"/>
        </w:rPr>
      </w:pPr>
      <w:r w:rsidRPr="007C4E34">
        <w:rPr>
          <w:b/>
          <w:szCs w:val="24"/>
        </w:rPr>
        <w:tab/>
      </w:r>
      <w:r w:rsidRPr="007C4E34">
        <w:rPr>
          <w:b/>
          <w:szCs w:val="24"/>
        </w:rPr>
        <w:tab/>
      </w:r>
      <w:r w:rsidR="008C5F7D" w:rsidRPr="00CF4A98">
        <w:rPr>
          <w:sz w:val="26"/>
          <w:szCs w:val="26"/>
        </w:rPr>
        <w:t>Ca</w:t>
      </w:r>
      <w:r w:rsidR="00CF4A98">
        <w:rPr>
          <w:sz w:val="26"/>
          <w:szCs w:val="26"/>
        </w:rPr>
        <w:t xml:space="preserve">ution is urged by </w:t>
      </w:r>
      <w:r w:rsidR="00085909">
        <w:rPr>
          <w:sz w:val="26"/>
          <w:szCs w:val="26"/>
        </w:rPr>
        <w:t xml:space="preserve">the </w:t>
      </w:r>
      <w:r w:rsidR="008C5F7D" w:rsidRPr="00CF4A98">
        <w:rPr>
          <w:sz w:val="26"/>
          <w:szCs w:val="26"/>
        </w:rPr>
        <w:t xml:space="preserve">I&amp;E to ensure that only the appropriate costs are included in the RR.  </w:t>
      </w:r>
      <w:r w:rsidR="00CF4A98">
        <w:rPr>
          <w:sz w:val="26"/>
          <w:szCs w:val="26"/>
        </w:rPr>
        <w:t xml:space="preserve">According to </w:t>
      </w:r>
      <w:r w:rsidR="00085909">
        <w:rPr>
          <w:sz w:val="26"/>
          <w:szCs w:val="26"/>
        </w:rPr>
        <w:t xml:space="preserve">the </w:t>
      </w:r>
      <w:r w:rsidR="00CF4A98">
        <w:rPr>
          <w:sz w:val="26"/>
          <w:szCs w:val="26"/>
        </w:rPr>
        <w:t>I&amp;E, w</w:t>
      </w:r>
      <w:r w:rsidR="00085909">
        <w:rPr>
          <w:sz w:val="26"/>
          <w:szCs w:val="26"/>
        </w:rPr>
        <w:t xml:space="preserve">hile the </w:t>
      </w:r>
      <w:r w:rsidR="008C5F7D" w:rsidRPr="00CF4A98">
        <w:rPr>
          <w:sz w:val="26"/>
          <w:szCs w:val="26"/>
        </w:rPr>
        <w:t xml:space="preserve">Code provides for the recovery of all reasonable costs associated with default service, the proposed mechanisms provide for recovery without a showing of substantial evidence that these costs are reasonable.  </w:t>
      </w:r>
      <w:r w:rsidR="009A2D49">
        <w:rPr>
          <w:sz w:val="26"/>
          <w:szCs w:val="26"/>
        </w:rPr>
        <w:t>I&amp;E M.B. at 5-6.</w:t>
      </w:r>
    </w:p>
    <w:p w:rsidR="008C5F7D" w:rsidRPr="00F31182" w:rsidRDefault="008C5F7D" w:rsidP="008C5F7D">
      <w:pPr>
        <w:autoSpaceDE/>
        <w:autoSpaceDN/>
        <w:rPr>
          <w:sz w:val="26"/>
          <w:szCs w:val="26"/>
        </w:rPr>
      </w:pPr>
    </w:p>
    <w:p w:rsidR="009A4F48" w:rsidRPr="00F31182" w:rsidRDefault="00C25CB3" w:rsidP="001C0192">
      <w:pPr>
        <w:pStyle w:val="Heading3"/>
        <w:keepNext/>
      </w:pPr>
      <w:bookmarkStart w:id="39" w:name="_Toc329245856"/>
      <w:bookmarkStart w:id="40" w:name="_Toc329688393"/>
      <w:r w:rsidRPr="00F31182">
        <w:lastRenderedPageBreak/>
        <w:t>3</w:t>
      </w:r>
      <w:r w:rsidR="00DF7E2A" w:rsidRPr="00F31182">
        <w:t>.</w:t>
      </w:r>
      <w:r w:rsidR="00DF7E2A" w:rsidRPr="00F31182">
        <w:tab/>
      </w:r>
      <w:r w:rsidRPr="00F31182">
        <w:t>ALJ</w:t>
      </w:r>
      <w:r w:rsidR="000964BB">
        <w:t>’</w:t>
      </w:r>
      <w:r w:rsidRPr="00F31182">
        <w:t xml:space="preserve">s </w:t>
      </w:r>
      <w:r w:rsidR="009A4F48" w:rsidRPr="00F31182">
        <w:t>Recommendation</w:t>
      </w:r>
      <w:bookmarkEnd w:id="39"/>
      <w:bookmarkEnd w:id="40"/>
      <w:r w:rsidR="00DF7E2A" w:rsidRPr="00F31182">
        <w:fldChar w:fldCharType="begin"/>
      </w:r>
      <w:r w:rsidR="00DF7E2A" w:rsidRPr="00F31182">
        <w:instrText xml:space="preserve"> TC "</w:instrText>
      </w:r>
      <w:bookmarkStart w:id="41" w:name="_Toc329245160"/>
      <w:r w:rsidR="00DF7E2A" w:rsidRPr="00F31182">
        <w:instrText>c.</w:instrText>
      </w:r>
      <w:r w:rsidR="00DF7E2A" w:rsidRPr="00F31182">
        <w:tab/>
        <w:instrText>Recommendation</w:instrText>
      </w:r>
      <w:bookmarkEnd w:id="41"/>
      <w:r w:rsidR="00DF7E2A" w:rsidRPr="00F31182">
        <w:instrText>" \f C \l "</w:instrText>
      </w:r>
      <w:r w:rsidR="004F1A21" w:rsidRPr="00F31182">
        <w:instrText>4</w:instrText>
      </w:r>
      <w:r w:rsidR="00DF7E2A" w:rsidRPr="00F31182">
        <w:instrText xml:space="preserve">" </w:instrText>
      </w:r>
      <w:r w:rsidR="00DF7E2A" w:rsidRPr="00F31182">
        <w:fldChar w:fldCharType="end"/>
      </w:r>
    </w:p>
    <w:p w:rsidR="009A4F48" w:rsidRPr="00F31182" w:rsidRDefault="009A4F48" w:rsidP="001C0192">
      <w:pPr>
        <w:keepNext/>
        <w:autoSpaceDE/>
        <w:autoSpaceDN/>
        <w:rPr>
          <w:b/>
          <w:sz w:val="26"/>
          <w:szCs w:val="26"/>
        </w:rPr>
      </w:pPr>
    </w:p>
    <w:p w:rsidR="0083107C" w:rsidRPr="00F31182" w:rsidRDefault="009A4F48" w:rsidP="0083107C">
      <w:pPr>
        <w:rPr>
          <w:sz w:val="26"/>
          <w:szCs w:val="26"/>
        </w:rPr>
      </w:pPr>
      <w:r w:rsidRPr="00F31182">
        <w:rPr>
          <w:sz w:val="26"/>
          <w:szCs w:val="26"/>
        </w:rPr>
        <w:tab/>
      </w:r>
      <w:r w:rsidRPr="00F31182">
        <w:rPr>
          <w:sz w:val="26"/>
          <w:szCs w:val="26"/>
        </w:rPr>
        <w:tab/>
      </w:r>
      <w:r w:rsidR="00F3367A" w:rsidRPr="00F31182">
        <w:rPr>
          <w:sz w:val="26"/>
          <w:szCs w:val="26"/>
        </w:rPr>
        <w:t xml:space="preserve">First, the </w:t>
      </w:r>
      <w:r w:rsidR="0083107C" w:rsidRPr="00F31182">
        <w:rPr>
          <w:sz w:val="26"/>
          <w:szCs w:val="26"/>
        </w:rPr>
        <w:t>A</w:t>
      </w:r>
      <w:r w:rsidR="00F3367A" w:rsidRPr="00F31182">
        <w:rPr>
          <w:sz w:val="26"/>
          <w:szCs w:val="26"/>
        </w:rPr>
        <w:t>LJ</w:t>
      </w:r>
      <w:r w:rsidR="0083107C" w:rsidRPr="00F31182">
        <w:rPr>
          <w:sz w:val="26"/>
          <w:szCs w:val="26"/>
        </w:rPr>
        <w:t xml:space="preserve"> </w:t>
      </w:r>
      <w:r w:rsidR="00F3367A" w:rsidRPr="00F31182">
        <w:rPr>
          <w:sz w:val="26"/>
          <w:szCs w:val="26"/>
        </w:rPr>
        <w:t xml:space="preserve">noted that a </w:t>
      </w:r>
      <w:r w:rsidR="0083107C" w:rsidRPr="00F31182">
        <w:rPr>
          <w:sz w:val="26"/>
          <w:szCs w:val="26"/>
        </w:rPr>
        <w:t>review of the Company</w:t>
      </w:r>
      <w:r w:rsidR="000964BB">
        <w:rPr>
          <w:sz w:val="26"/>
          <w:szCs w:val="26"/>
        </w:rPr>
        <w:t>’</w:t>
      </w:r>
      <w:r w:rsidR="0083107C" w:rsidRPr="00F31182">
        <w:rPr>
          <w:sz w:val="26"/>
          <w:szCs w:val="26"/>
        </w:rPr>
        <w:t xml:space="preserve">s experience with the transition from </w:t>
      </w:r>
      <w:r w:rsidR="00085909">
        <w:rPr>
          <w:sz w:val="26"/>
          <w:szCs w:val="26"/>
        </w:rPr>
        <w:t xml:space="preserve">a </w:t>
      </w:r>
      <w:r w:rsidR="0083107C" w:rsidRPr="00F31182">
        <w:rPr>
          <w:sz w:val="26"/>
          <w:szCs w:val="26"/>
        </w:rPr>
        <w:t xml:space="preserve">fully integrated electric company to </w:t>
      </w:r>
      <w:r w:rsidR="00085909">
        <w:rPr>
          <w:sz w:val="26"/>
          <w:szCs w:val="26"/>
        </w:rPr>
        <w:t xml:space="preserve">a </w:t>
      </w:r>
      <w:r w:rsidR="0083107C" w:rsidRPr="00F31182">
        <w:rPr>
          <w:sz w:val="26"/>
          <w:szCs w:val="26"/>
        </w:rPr>
        <w:t xml:space="preserve">distribution-only default service provider shows a need for the RR, which is designed to allocate the cost of electricity to its user.  </w:t>
      </w:r>
      <w:r w:rsidR="00F31182" w:rsidRPr="00F31182">
        <w:rPr>
          <w:sz w:val="26"/>
          <w:szCs w:val="26"/>
        </w:rPr>
        <w:t>The ALJ stated that</w:t>
      </w:r>
      <w:r w:rsidR="0083107C" w:rsidRPr="00F31182">
        <w:rPr>
          <w:sz w:val="26"/>
          <w:szCs w:val="26"/>
        </w:rPr>
        <w:t xml:space="preserve"> the </w:t>
      </w:r>
      <w:r w:rsidR="000964BB">
        <w:rPr>
          <w:sz w:val="26"/>
          <w:szCs w:val="26"/>
        </w:rPr>
        <w:t>“</w:t>
      </w:r>
      <w:r w:rsidR="0083107C" w:rsidRPr="00F31182">
        <w:rPr>
          <w:sz w:val="26"/>
          <w:szCs w:val="26"/>
        </w:rPr>
        <w:t>pro-ration</w:t>
      </w:r>
      <w:r w:rsidR="000964BB">
        <w:rPr>
          <w:sz w:val="26"/>
          <w:szCs w:val="26"/>
        </w:rPr>
        <w:t>”</w:t>
      </w:r>
      <w:r w:rsidR="0083107C" w:rsidRPr="00F31182">
        <w:rPr>
          <w:sz w:val="26"/>
          <w:szCs w:val="26"/>
        </w:rPr>
        <w:t xml:space="preserve"> of rates in January 2010, as the billing cycle crossed the date where the new default service rules took effect, caused the Company to count a full month of expenses against only two weeks of revenues.  </w:t>
      </w:r>
      <w:r w:rsidR="00F31182" w:rsidRPr="00F31182">
        <w:rPr>
          <w:sz w:val="26"/>
          <w:szCs w:val="26"/>
        </w:rPr>
        <w:t>According to the ALJ, t</w:t>
      </w:r>
      <w:r w:rsidR="0083107C" w:rsidRPr="00F31182">
        <w:rPr>
          <w:sz w:val="26"/>
          <w:szCs w:val="26"/>
        </w:rPr>
        <w:t>his created a deficit which was magnified when the reconciliation was calculated quarterly</w:t>
      </w:r>
      <w:r w:rsidR="00085909">
        <w:rPr>
          <w:sz w:val="26"/>
          <w:szCs w:val="26"/>
        </w:rPr>
        <w:t>,</w:t>
      </w:r>
      <w:r w:rsidR="0083107C" w:rsidRPr="00F31182">
        <w:rPr>
          <w:sz w:val="26"/>
          <w:szCs w:val="26"/>
        </w:rPr>
        <w:t xml:space="preserve"> instead of annually, and the high deficit, coupled with the customers</w:t>
      </w:r>
      <w:r w:rsidR="000964BB">
        <w:rPr>
          <w:sz w:val="26"/>
          <w:szCs w:val="26"/>
        </w:rPr>
        <w:t>’</w:t>
      </w:r>
      <w:r w:rsidR="0083107C" w:rsidRPr="00F31182">
        <w:rPr>
          <w:sz w:val="26"/>
          <w:szCs w:val="26"/>
        </w:rPr>
        <w:t xml:space="preserve"> exodus to competitive generation suppliers, left both an inflated PTC and a dwindling number of customers to pay the reconciliation shortfall. </w:t>
      </w:r>
      <w:r w:rsidR="00F31182" w:rsidRPr="00F31182">
        <w:rPr>
          <w:sz w:val="26"/>
          <w:szCs w:val="26"/>
        </w:rPr>
        <w:t xml:space="preserve"> R.D. at 29-30.</w:t>
      </w:r>
      <w:r w:rsidR="00F31182">
        <w:rPr>
          <w:sz w:val="26"/>
          <w:szCs w:val="26"/>
        </w:rPr>
        <w:t xml:space="preserve"> </w:t>
      </w:r>
    </w:p>
    <w:p w:rsidR="0083107C" w:rsidRPr="007C4E34" w:rsidRDefault="0083107C" w:rsidP="0083107C">
      <w:pPr>
        <w:rPr>
          <w:szCs w:val="24"/>
        </w:rPr>
      </w:pPr>
      <w:r w:rsidRPr="007C4E34">
        <w:rPr>
          <w:szCs w:val="24"/>
        </w:rPr>
        <w:tab/>
      </w:r>
      <w:r w:rsidRPr="007C4E34">
        <w:rPr>
          <w:szCs w:val="24"/>
        </w:rPr>
        <w:tab/>
      </w:r>
    </w:p>
    <w:p w:rsidR="0083107C" w:rsidRPr="00F31182" w:rsidRDefault="0083107C" w:rsidP="0083107C">
      <w:pPr>
        <w:rPr>
          <w:sz w:val="26"/>
          <w:szCs w:val="26"/>
        </w:rPr>
      </w:pPr>
      <w:r w:rsidRPr="007C4E34">
        <w:rPr>
          <w:szCs w:val="24"/>
        </w:rPr>
        <w:tab/>
      </w:r>
      <w:r w:rsidRPr="007C4E34">
        <w:rPr>
          <w:szCs w:val="24"/>
        </w:rPr>
        <w:tab/>
      </w:r>
      <w:r w:rsidR="00F31182" w:rsidRPr="00F31182">
        <w:rPr>
          <w:sz w:val="26"/>
          <w:szCs w:val="26"/>
        </w:rPr>
        <w:t>Next</w:t>
      </w:r>
      <w:r w:rsidR="00641862">
        <w:rPr>
          <w:sz w:val="26"/>
          <w:szCs w:val="26"/>
        </w:rPr>
        <w:t>,</w:t>
      </w:r>
      <w:r w:rsidR="00F31182" w:rsidRPr="00F31182">
        <w:rPr>
          <w:sz w:val="26"/>
          <w:szCs w:val="26"/>
        </w:rPr>
        <w:t xml:space="preserve"> the ALJ explained that</w:t>
      </w:r>
      <w:r w:rsidR="00085909">
        <w:rPr>
          <w:sz w:val="26"/>
          <w:szCs w:val="26"/>
        </w:rPr>
        <w:t>,</w:t>
      </w:r>
      <w:r w:rsidR="00F31182" w:rsidRPr="00F31182">
        <w:rPr>
          <w:sz w:val="26"/>
          <w:szCs w:val="26"/>
        </w:rPr>
        <w:t xml:space="preserve"> h</w:t>
      </w:r>
      <w:r w:rsidRPr="00F31182">
        <w:rPr>
          <w:sz w:val="26"/>
          <w:szCs w:val="26"/>
        </w:rPr>
        <w:t xml:space="preserve">ad there been a migration rider in place from the beginning, the customers who used the commodity would be responsible for its full cost.  </w:t>
      </w:r>
      <w:r w:rsidR="00F31182" w:rsidRPr="00F31182">
        <w:rPr>
          <w:sz w:val="26"/>
          <w:szCs w:val="26"/>
        </w:rPr>
        <w:t>She stated that t</w:t>
      </w:r>
      <w:r w:rsidRPr="00F31182">
        <w:rPr>
          <w:sz w:val="26"/>
          <w:szCs w:val="26"/>
        </w:rPr>
        <w:t>he reconcili</w:t>
      </w:r>
      <w:r w:rsidR="00085909">
        <w:rPr>
          <w:sz w:val="26"/>
          <w:szCs w:val="26"/>
        </w:rPr>
        <w:t xml:space="preserve">ation amount would be assessed </w:t>
      </w:r>
      <w:r w:rsidRPr="00F31182">
        <w:rPr>
          <w:sz w:val="26"/>
          <w:szCs w:val="26"/>
        </w:rPr>
        <w:t>o</w:t>
      </w:r>
      <w:r w:rsidR="00085909">
        <w:rPr>
          <w:sz w:val="26"/>
          <w:szCs w:val="26"/>
        </w:rPr>
        <w:t>n</w:t>
      </w:r>
      <w:r w:rsidRPr="00F31182">
        <w:rPr>
          <w:sz w:val="26"/>
          <w:szCs w:val="26"/>
        </w:rPr>
        <w:t xml:space="preserve"> all of the customers, which would reduce the amount paid per customer.  More importantly, each customer would be paying for his or her own costs, not the costs caused by service to others who are no longer default customers.  Conversely, any over</w:t>
      </w:r>
      <w:r w:rsidR="0059294B">
        <w:rPr>
          <w:sz w:val="26"/>
          <w:szCs w:val="26"/>
        </w:rPr>
        <w:t xml:space="preserve"> </w:t>
      </w:r>
      <w:r w:rsidRPr="00F31182">
        <w:rPr>
          <w:sz w:val="26"/>
          <w:szCs w:val="26"/>
        </w:rPr>
        <w:t xml:space="preserve">collection </w:t>
      </w:r>
      <w:r w:rsidR="00C82A62">
        <w:rPr>
          <w:sz w:val="26"/>
          <w:szCs w:val="26"/>
        </w:rPr>
        <w:t xml:space="preserve">also </w:t>
      </w:r>
      <w:r w:rsidRPr="00F31182">
        <w:rPr>
          <w:sz w:val="26"/>
          <w:szCs w:val="26"/>
        </w:rPr>
        <w:t>would be refunded to those from whom the money was over</w:t>
      </w:r>
      <w:r w:rsidR="0059294B">
        <w:rPr>
          <w:sz w:val="26"/>
          <w:szCs w:val="26"/>
        </w:rPr>
        <w:t xml:space="preserve"> </w:t>
      </w:r>
      <w:r w:rsidRPr="00F31182">
        <w:rPr>
          <w:sz w:val="26"/>
          <w:szCs w:val="26"/>
        </w:rPr>
        <w:t>collected, not only to those who happen to be on default service at the time.</w:t>
      </w:r>
      <w:r w:rsidR="00F31182" w:rsidRPr="00F31182">
        <w:rPr>
          <w:sz w:val="26"/>
          <w:szCs w:val="26"/>
        </w:rPr>
        <w:t xml:space="preserve">  R.D. at 30.</w:t>
      </w:r>
    </w:p>
    <w:p w:rsidR="0083107C" w:rsidRPr="007C4E34" w:rsidRDefault="0083107C" w:rsidP="0083107C">
      <w:pPr>
        <w:rPr>
          <w:szCs w:val="24"/>
        </w:rPr>
      </w:pPr>
    </w:p>
    <w:p w:rsidR="0083107C" w:rsidRPr="00F31182" w:rsidRDefault="0083107C" w:rsidP="0083107C">
      <w:pPr>
        <w:rPr>
          <w:sz w:val="26"/>
          <w:szCs w:val="26"/>
        </w:rPr>
      </w:pPr>
      <w:r w:rsidRPr="007C4E34">
        <w:rPr>
          <w:szCs w:val="24"/>
        </w:rPr>
        <w:tab/>
      </w:r>
      <w:r w:rsidRPr="007C4E34">
        <w:rPr>
          <w:szCs w:val="24"/>
        </w:rPr>
        <w:tab/>
      </w:r>
      <w:r w:rsidR="00F31182" w:rsidRPr="00F31182">
        <w:rPr>
          <w:sz w:val="26"/>
          <w:szCs w:val="26"/>
        </w:rPr>
        <w:t xml:space="preserve">The ALJ further </w:t>
      </w:r>
      <w:r w:rsidRPr="00F31182">
        <w:rPr>
          <w:sz w:val="26"/>
          <w:szCs w:val="26"/>
        </w:rPr>
        <w:t>note</w:t>
      </w:r>
      <w:r w:rsidR="00F31182" w:rsidRPr="00F31182">
        <w:rPr>
          <w:sz w:val="26"/>
          <w:szCs w:val="26"/>
        </w:rPr>
        <w:t>d</w:t>
      </w:r>
      <w:r w:rsidRPr="00F31182">
        <w:rPr>
          <w:sz w:val="26"/>
          <w:szCs w:val="26"/>
        </w:rPr>
        <w:t xml:space="preserve"> </w:t>
      </w:r>
      <w:r w:rsidR="00F31182" w:rsidRPr="00F31182">
        <w:rPr>
          <w:sz w:val="26"/>
          <w:szCs w:val="26"/>
        </w:rPr>
        <w:t>that the most zealous part of Dominion</w:t>
      </w:r>
      <w:r w:rsidR="000964BB">
        <w:rPr>
          <w:sz w:val="26"/>
          <w:szCs w:val="26"/>
        </w:rPr>
        <w:t>’</w:t>
      </w:r>
      <w:r w:rsidRPr="00F31182">
        <w:rPr>
          <w:sz w:val="26"/>
          <w:szCs w:val="26"/>
        </w:rPr>
        <w:t xml:space="preserve">s argument addresses the problem with assessing reconciliation amounts to new default customers.  </w:t>
      </w:r>
      <w:r w:rsidR="00F31182" w:rsidRPr="00F31182">
        <w:rPr>
          <w:sz w:val="26"/>
          <w:szCs w:val="26"/>
        </w:rPr>
        <w:t>According to the ALJ, t</w:t>
      </w:r>
      <w:r w:rsidRPr="00F31182">
        <w:rPr>
          <w:sz w:val="26"/>
          <w:szCs w:val="26"/>
        </w:rPr>
        <w:t xml:space="preserve">his would have been a fatal flaw in the proposal, but it was removed as an issue when the Company adopted the OSBA recommendation that new customers would not be charged or refunded until they had been on default service for twelve months.  Then, if the mechanism is working the way it is intended, the customer would pay or recoup the reconciliation amount for that time period. </w:t>
      </w:r>
      <w:r w:rsidR="00F31182" w:rsidRPr="00F31182">
        <w:rPr>
          <w:sz w:val="26"/>
          <w:szCs w:val="26"/>
        </w:rPr>
        <w:t xml:space="preserve"> R.D. at 31.</w:t>
      </w:r>
      <w:r w:rsidRPr="00F31182">
        <w:rPr>
          <w:sz w:val="26"/>
          <w:szCs w:val="26"/>
        </w:rPr>
        <w:t xml:space="preserve"> </w:t>
      </w:r>
    </w:p>
    <w:p w:rsidR="0083107C" w:rsidRDefault="0083107C" w:rsidP="00EC6D3E">
      <w:pPr>
        <w:autoSpaceDE/>
        <w:autoSpaceDN/>
        <w:rPr>
          <w:sz w:val="26"/>
          <w:szCs w:val="26"/>
        </w:rPr>
      </w:pPr>
      <w:r w:rsidRPr="007C4E34">
        <w:rPr>
          <w:szCs w:val="24"/>
        </w:rPr>
        <w:lastRenderedPageBreak/>
        <w:tab/>
      </w:r>
      <w:r w:rsidRPr="007C4E34">
        <w:rPr>
          <w:szCs w:val="24"/>
        </w:rPr>
        <w:tab/>
      </w:r>
      <w:r w:rsidR="00641862" w:rsidRPr="00641862">
        <w:rPr>
          <w:sz w:val="26"/>
          <w:szCs w:val="26"/>
        </w:rPr>
        <w:t>Next, the ALJ found that o</w:t>
      </w:r>
      <w:r w:rsidRPr="00641862">
        <w:rPr>
          <w:sz w:val="26"/>
          <w:szCs w:val="26"/>
        </w:rPr>
        <w:t xml:space="preserve">nce the RR is in place, the correct </w:t>
      </w:r>
      <w:r w:rsidR="009A4F48" w:rsidRPr="00641862">
        <w:rPr>
          <w:sz w:val="26"/>
          <w:szCs w:val="26"/>
        </w:rPr>
        <w:t>PTC</w:t>
      </w:r>
      <w:r w:rsidRPr="00641862">
        <w:rPr>
          <w:sz w:val="26"/>
          <w:szCs w:val="26"/>
        </w:rPr>
        <w:t xml:space="preserve"> for a ne</w:t>
      </w:r>
      <w:r w:rsidR="00E155B0">
        <w:rPr>
          <w:sz w:val="26"/>
          <w:szCs w:val="26"/>
        </w:rPr>
        <w:t>w default service customer would</w:t>
      </w:r>
      <w:r w:rsidRPr="00641862">
        <w:rPr>
          <w:sz w:val="26"/>
          <w:szCs w:val="26"/>
        </w:rPr>
        <w:t xml:space="preserve"> not include the reconciliation amount.  </w:t>
      </w:r>
      <w:r w:rsidR="00641862" w:rsidRPr="00641862">
        <w:rPr>
          <w:sz w:val="26"/>
          <w:szCs w:val="26"/>
        </w:rPr>
        <w:t>According to the ALJ, t</w:t>
      </w:r>
      <w:r w:rsidR="00E155B0">
        <w:rPr>
          <w:sz w:val="26"/>
          <w:szCs w:val="26"/>
        </w:rPr>
        <w:t>his makes sense</w:t>
      </w:r>
      <w:r w:rsidRPr="00641862">
        <w:rPr>
          <w:sz w:val="26"/>
          <w:szCs w:val="26"/>
        </w:rPr>
        <w:t xml:space="preserve"> because a new customer will not pay the reconciliation amount.  Existing customers will have the reconciliation amount added to the PTC, and customers new to shopping will have the same fee.  After the reconciliation, the amount to </w:t>
      </w:r>
      <w:r w:rsidR="00E155B0">
        <w:rPr>
          <w:sz w:val="26"/>
          <w:szCs w:val="26"/>
        </w:rPr>
        <w:t>be refunded or recouped</w:t>
      </w:r>
      <w:r w:rsidRPr="00641862">
        <w:rPr>
          <w:sz w:val="26"/>
          <w:szCs w:val="26"/>
        </w:rPr>
        <w:t xml:space="preserve"> will appear as a separate line item on the bill.</w:t>
      </w:r>
      <w:r w:rsidR="00641862" w:rsidRPr="00641862">
        <w:rPr>
          <w:sz w:val="26"/>
          <w:szCs w:val="26"/>
        </w:rPr>
        <w:t xml:space="preserve">  The ALJ concluded that t</w:t>
      </w:r>
      <w:r w:rsidRPr="00641862">
        <w:rPr>
          <w:sz w:val="26"/>
          <w:szCs w:val="26"/>
        </w:rPr>
        <w:t>he RR should make the PTC simpler and easier to understand because it will remove from the PTC all balances arising from reconciliation and will more accurately reflect the actual cost to acquire default service</w:t>
      </w:r>
      <w:r w:rsidR="00641862" w:rsidRPr="00641862">
        <w:rPr>
          <w:sz w:val="26"/>
          <w:szCs w:val="26"/>
        </w:rPr>
        <w:t xml:space="preserve">.  </w:t>
      </w:r>
      <w:r w:rsidR="00176527" w:rsidRPr="00176527">
        <w:rPr>
          <w:sz w:val="26"/>
          <w:szCs w:val="26"/>
        </w:rPr>
        <w:t>As a result, the ALJ rec</w:t>
      </w:r>
      <w:r w:rsidR="000E42B0">
        <w:rPr>
          <w:sz w:val="26"/>
          <w:szCs w:val="26"/>
        </w:rPr>
        <w:t>ommended</w:t>
      </w:r>
      <w:r w:rsidR="00CC0265">
        <w:rPr>
          <w:sz w:val="26"/>
          <w:szCs w:val="26"/>
        </w:rPr>
        <w:t xml:space="preserve"> adoption of</w:t>
      </w:r>
      <w:r w:rsidR="00176527" w:rsidRPr="00176527">
        <w:rPr>
          <w:sz w:val="26"/>
          <w:szCs w:val="26"/>
        </w:rPr>
        <w:t xml:space="preserve"> a PTC that is as accurate as possible by omitting the reconciliation amounts from its calculation. </w:t>
      </w:r>
      <w:r w:rsidR="00176527">
        <w:rPr>
          <w:sz w:val="26"/>
          <w:szCs w:val="26"/>
        </w:rPr>
        <w:t xml:space="preserve"> </w:t>
      </w:r>
      <w:r w:rsidR="00641862" w:rsidRPr="00176527">
        <w:rPr>
          <w:sz w:val="26"/>
          <w:szCs w:val="26"/>
        </w:rPr>
        <w:t>R.D. at 31-32</w:t>
      </w:r>
      <w:r w:rsidR="00176527" w:rsidRPr="00176527">
        <w:rPr>
          <w:sz w:val="26"/>
          <w:szCs w:val="26"/>
        </w:rPr>
        <w:t>, 36</w:t>
      </w:r>
      <w:r w:rsidR="00641862" w:rsidRPr="00176527">
        <w:rPr>
          <w:sz w:val="26"/>
          <w:szCs w:val="26"/>
        </w:rPr>
        <w:t>.</w:t>
      </w:r>
    </w:p>
    <w:p w:rsidR="009205D2" w:rsidRDefault="009205D2" w:rsidP="00EC6D3E">
      <w:pPr>
        <w:autoSpaceDE/>
        <w:autoSpaceDN/>
        <w:rPr>
          <w:sz w:val="26"/>
          <w:szCs w:val="26"/>
        </w:rPr>
      </w:pPr>
    </w:p>
    <w:p w:rsidR="009205D2" w:rsidRDefault="009205D2" w:rsidP="001C0192">
      <w:pPr>
        <w:pStyle w:val="Heading3"/>
        <w:keepNext/>
      </w:pPr>
      <w:bookmarkStart w:id="42" w:name="_Toc329245857"/>
      <w:bookmarkStart w:id="43" w:name="_Toc329688394"/>
      <w:r>
        <w:t>4.</w:t>
      </w:r>
      <w:r>
        <w:tab/>
        <w:t>Exceptions and Replies</w:t>
      </w:r>
      <w:bookmarkEnd w:id="42"/>
      <w:bookmarkEnd w:id="43"/>
    </w:p>
    <w:p w:rsidR="00033D91" w:rsidRDefault="00033D91" w:rsidP="001C0192">
      <w:pPr>
        <w:keepNext/>
        <w:autoSpaceDE/>
        <w:autoSpaceDN/>
        <w:rPr>
          <w:b/>
          <w:sz w:val="26"/>
          <w:szCs w:val="26"/>
        </w:rPr>
      </w:pPr>
    </w:p>
    <w:p w:rsidR="00033D91" w:rsidRDefault="00033D91" w:rsidP="00EC6D3E">
      <w:pPr>
        <w:autoSpaceDE/>
        <w:autoSpaceDN/>
        <w:rPr>
          <w:sz w:val="26"/>
          <w:szCs w:val="26"/>
        </w:rPr>
      </w:pPr>
      <w:r>
        <w:rPr>
          <w:b/>
          <w:sz w:val="26"/>
          <w:szCs w:val="26"/>
        </w:rPr>
        <w:tab/>
      </w:r>
      <w:r>
        <w:rPr>
          <w:b/>
          <w:sz w:val="26"/>
          <w:szCs w:val="26"/>
        </w:rPr>
        <w:tab/>
      </w:r>
      <w:r>
        <w:rPr>
          <w:sz w:val="26"/>
          <w:szCs w:val="26"/>
        </w:rPr>
        <w:t>In its Exceptions, the OCA states that it does not support implementation of the RR as proposed as it poses significant educational challenges and could create customer confusion about the default service rate.  According to the OCA, the application o</w:t>
      </w:r>
      <w:r w:rsidR="001C2137">
        <w:rPr>
          <w:sz w:val="26"/>
          <w:szCs w:val="26"/>
        </w:rPr>
        <w:t>f the RR as proposed by PPL would</w:t>
      </w:r>
      <w:r>
        <w:rPr>
          <w:sz w:val="26"/>
          <w:szCs w:val="26"/>
        </w:rPr>
        <w:t xml:space="preserve"> result in instances of frequent rate chang</w:t>
      </w:r>
      <w:r w:rsidR="00B54541">
        <w:rPr>
          <w:sz w:val="26"/>
          <w:szCs w:val="26"/>
        </w:rPr>
        <w:t xml:space="preserve">es for individual customers, </w:t>
      </w:r>
      <w:r w:rsidR="001C2137">
        <w:rPr>
          <w:sz w:val="26"/>
          <w:szCs w:val="26"/>
        </w:rPr>
        <w:t>would be</w:t>
      </w:r>
      <w:r>
        <w:rPr>
          <w:sz w:val="26"/>
          <w:szCs w:val="26"/>
        </w:rPr>
        <w:t xml:space="preserve"> unwieldy and should not be approved at this time.  OCA Exc. at 5-6.</w:t>
      </w:r>
    </w:p>
    <w:p w:rsidR="00A51F60" w:rsidRDefault="00A51F60" w:rsidP="00EC6D3E">
      <w:pPr>
        <w:autoSpaceDE/>
        <w:autoSpaceDN/>
        <w:rPr>
          <w:sz w:val="26"/>
          <w:szCs w:val="26"/>
        </w:rPr>
      </w:pPr>
    </w:p>
    <w:p w:rsidR="007C4E33" w:rsidRDefault="00A51F60" w:rsidP="00EC6D3E">
      <w:pPr>
        <w:autoSpaceDE/>
        <w:autoSpaceDN/>
        <w:rPr>
          <w:sz w:val="26"/>
          <w:szCs w:val="26"/>
        </w:rPr>
      </w:pPr>
      <w:r>
        <w:rPr>
          <w:sz w:val="26"/>
          <w:szCs w:val="26"/>
        </w:rPr>
        <w:tab/>
      </w:r>
      <w:r>
        <w:rPr>
          <w:sz w:val="26"/>
          <w:szCs w:val="26"/>
        </w:rPr>
        <w:tab/>
        <w:t>In its Exceptions, RESA first avers that PPL</w:t>
      </w:r>
      <w:r w:rsidR="000964BB">
        <w:rPr>
          <w:sz w:val="26"/>
          <w:szCs w:val="26"/>
        </w:rPr>
        <w:t>’</w:t>
      </w:r>
      <w:r>
        <w:rPr>
          <w:sz w:val="26"/>
          <w:szCs w:val="26"/>
        </w:rPr>
        <w:t>s proposal to apply the RR differently based on shopping status violates Section 2807(e)(4) of the Competition Act</w:t>
      </w:r>
      <w:r w:rsidR="0004011C">
        <w:rPr>
          <w:sz w:val="26"/>
          <w:szCs w:val="26"/>
        </w:rPr>
        <w:t>, 66 Pa. C.S. § 2807(e)(4).  RESA explains that this S</w:t>
      </w:r>
      <w:r>
        <w:rPr>
          <w:sz w:val="26"/>
          <w:szCs w:val="26"/>
        </w:rPr>
        <w:t xml:space="preserve">ection explicitly requires EDCs to treat any shopping customer who chooses to return to default service </w:t>
      </w:r>
      <w:r w:rsidR="000964BB">
        <w:rPr>
          <w:sz w:val="26"/>
          <w:szCs w:val="26"/>
        </w:rPr>
        <w:t>“</w:t>
      </w:r>
      <w:r>
        <w:rPr>
          <w:sz w:val="26"/>
          <w:szCs w:val="26"/>
        </w:rPr>
        <w:t>exactly as it would any new applicant for energy service.</w:t>
      </w:r>
      <w:r w:rsidR="000964BB">
        <w:rPr>
          <w:sz w:val="26"/>
          <w:szCs w:val="26"/>
        </w:rPr>
        <w:t>”</w:t>
      </w:r>
      <w:r>
        <w:rPr>
          <w:sz w:val="26"/>
          <w:szCs w:val="26"/>
        </w:rPr>
        <w:t xml:space="preserve"> </w:t>
      </w:r>
      <w:r w:rsidR="0004011C">
        <w:rPr>
          <w:sz w:val="26"/>
          <w:szCs w:val="26"/>
        </w:rPr>
        <w:t xml:space="preserve"> </w:t>
      </w:r>
      <w:r>
        <w:rPr>
          <w:sz w:val="26"/>
          <w:szCs w:val="26"/>
        </w:rPr>
        <w:t>According to RESA, despite this clear legal requirement, PPL</w:t>
      </w:r>
      <w:r w:rsidR="000964BB">
        <w:rPr>
          <w:sz w:val="26"/>
          <w:szCs w:val="26"/>
        </w:rPr>
        <w:t>’</w:t>
      </w:r>
      <w:r>
        <w:rPr>
          <w:sz w:val="26"/>
          <w:szCs w:val="26"/>
        </w:rPr>
        <w:t>s proposal treats returning customers differently than new customers and, therefore, the ALJ</w:t>
      </w:r>
      <w:r w:rsidR="000964BB">
        <w:rPr>
          <w:sz w:val="26"/>
          <w:szCs w:val="26"/>
        </w:rPr>
        <w:t>’</w:t>
      </w:r>
      <w:r>
        <w:rPr>
          <w:sz w:val="26"/>
          <w:szCs w:val="26"/>
        </w:rPr>
        <w:t xml:space="preserve">s recommendation should be rejected.  </w:t>
      </w:r>
      <w:r w:rsidR="00236113">
        <w:rPr>
          <w:sz w:val="26"/>
          <w:szCs w:val="26"/>
        </w:rPr>
        <w:t>RESA explains that</w:t>
      </w:r>
      <w:r w:rsidR="0004011C">
        <w:rPr>
          <w:sz w:val="26"/>
          <w:szCs w:val="26"/>
        </w:rPr>
        <w:t>,</w:t>
      </w:r>
      <w:r w:rsidR="00236113">
        <w:rPr>
          <w:sz w:val="26"/>
          <w:szCs w:val="26"/>
        </w:rPr>
        <w:t xml:space="preserve"> while the ALJ did correctly note that this aspect of PPL</w:t>
      </w:r>
      <w:r w:rsidR="000964BB">
        <w:rPr>
          <w:sz w:val="26"/>
          <w:szCs w:val="26"/>
        </w:rPr>
        <w:t>’</w:t>
      </w:r>
      <w:r w:rsidR="00236113">
        <w:rPr>
          <w:sz w:val="26"/>
          <w:szCs w:val="26"/>
        </w:rPr>
        <w:t xml:space="preserve">s original proposal </w:t>
      </w:r>
      <w:r w:rsidR="000964BB">
        <w:rPr>
          <w:sz w:val="26"/>
          <w:szCs w:val="26"/>
        </w:rPr>
        <w:t>“</w:t>
      </w:r>
      <w:r w:rsidR="00236113">
        <w:rPr>
          <w:sz w:val="26"/>
          <w:szCs w:val="26"/>
        </w:rPr>
        <w:t xml:space="preserve">would have been a </w:t>
      </w:r>
      <w:r w:rsidR="00236113">
        <w:rPr>
          <w:sz w:val="26"/>
          <w:szCs w:val="26"/>
        </w:rPr>
        <w:lastRenderedPageBreak/>
        <w:t>fatal flaw,</w:t>
      </w:r>
      <w:r w:rsidR="000964BB">
        <w:rPr>
          <w:sz w:val="26"/>
          <w:szCs w:val="26"/>
        </w:rPr>
        <w:t>”</w:t>
      </w:r>
      <w:r w:rsidR="00236113">
        <w:rPr>
          <w:sz w:val="26"/>
          <w:szCs w:val="26"/>
        </w:rPr>
        <w:t xml:space="preserve"> she incorrectly concluded that this </w:t>
      </w:r>
      <w:r w:rsidR="000964BB">
        <w:rPr>
          <w:sz w:val="26"/>
          <w:szCs w:val="26"/>
        </w:rPr>
        <w:t>“</w:t>
      </w:r>
      <w:r w:rsidR="00236113">
        <w:rPr>
          <w:sz w:val="26"/>
          <w:szCs w:val="26"/>
        </w:rPr>
        <w:t>fatal flaw</w:t>
      </w:r>
      <w:r w:rsidR="000964BB">
        <w:rPr>
          <w:sz w:val="26"/>
          <w:szCs w:val="26"/>
        </w:rPr>
        <w:t>”</w:t>
      </w:r>
      <w:r w:rsidR="00236113">
        <w:rPr>
          <w:sz w:val="26"/>
          <w:szCs w:val="26"/>
        </w:rPr>
        <w:t xml:space="preserve"> was </w:t>
      </w:r>
      <w:r w:rsidR="000964BB">
        <w:rPr>
          <w:sz w:val="26"/>
          <w:szCs w:val="26"/>
        </w:rPr>
        <w:t>“</w:t>
      </w:r>
      <w:r w:rsidR="00236113">
        <w:rPr>
          <w:sz w:val="26"/>
          <w:szCs w:val="26"/>
        </w:rPr>
        <w:t>removed as an issue</w:t>
      </w:r>
      <w:r w:rsidR="000964BB">
        <w:rPr>
          <w:sz w:val="26"/>
          <w:szCs w:val="26"/>
        </w:rPr>
        <w:t>”</w:t>
      </w:r>
      <w:r w:rsidR="00236113">
        <w:rPr>
          <w:sz w:val="26"/>
          <w:szCs w:val="26"/>
        </w:rPr>
        <w:t xml:space="preserve"> when PPL modified its treatment of new customers.  RESA opines that the revised prop</w:t>
      </w:r>
      <w:r w:rsidR="0004011C">
        <w:rPr>
          <w:sz w:val="26"/>
          <w:szCs w:val="26"/>
        </w:rPr>
        <w:t>osal suffers from the same</w:t>
      </w:r>
      <w:r w:rsidR="00236113">
        <w:rPr>
          <w:sz w:val="26"/>
          <w:szCs w:val="26"/>
        </w:rPr>
        <w:t xml:space="preserve"> </w:t>
      </w:r>
      <w:r w:rsidR="000964BB">
        <w:rPr>
          <w:sz w:val="26"/>
          <w:szCs w:val="26"/>
        </w:rPr>
        <w:t>“</w:t>
      </w:r>
      <w:r w:rsidR="00236113">
        <w:rPr>
          <w:sz w:val="26"/>
          <w:szCs w:val="26"/>
        </w:rPr>
        <w:t>fatal flaw</w:t>
      </w:r>
      <w:r w:rsidR="000964BB">
        <w:rPr>
          <w:sz w:val="26"/>
          <w:szCs w:val="26"/>
        </w:rPr>
        <w:t>”</w:t>
      </w:r>
      <w:r w:rsidR="00236113">
        <w:rPr>
          <w:sz w:val="26"/>
          <w:szCs w:val="26"/>
        </w:rPr>
        <w:t xml:space="preserve"> as the initial proposal </w:t>
      </w:r>
      <w:r w:rsidR="0004011C">
        <w:rPr>
          <w:sz w:val="26"/>
          <w:szCs w:val="26"/>
        </w:rPr>
        <w:t>because</w:t>
      </w:r>
      <w:r w:rsidR="00236113">
        <w:rPr>
          <w:sz w:val="26"/>
          <w:szCs w:val="26"/>
        </w:rPr>
        <w:t xml:space="preserve"> they both treat shopping customers returning to PPL d</w:t>
      </w:r>
      <w:r w:rsidR="0004011C">
        <w:rPr>
          <w:sz w:val="26"/>
          <w:szCs w:val="26"/>
        </w:rPr>
        <w:t>ifferently than new customers with respect to</w:t>
      </w:r>
      <w:r w:rsidR="00236113">
        <w:rPr>
          <w:sz w:val="26"/>
          <w:szCs w:val="26"/>
        </w:rPr>
        <w:t xml:space="preserve"> how or if the RR is applied. RESA argues that the fact </w:t>
      </w:r>
      <w:r w:rsidR="0004011C">
        <w:rPr>
          <w:sz w:val="26"/>
          <w:szCs w:val="26"/>
        </w:rPr>
        <w:t xml:space="preserve">that </w:t>
      </w:r>
      <w:r w:rsidR="00236113">
        <w:rPr>
          <w:sz w:val="26"/>
          <w:szCs w:val="26"/>
        </w:rPr>
        <w:t>the initial proposal required new customers to be subject to the RR</w:t>
      </w:r>
      <w:r w:rsidR="0004011C">
        <w:rPr>
          <w:sz w:val="26"/>
          <w:szCs w:val="26"/>
        </w:rPr>
        <w:t>,</w:t>
      </w:r>
      <w:r w:rsidR="00236113">
        <w:rPr>
          <w:sz w:val="26"/>
          <w:szCs w:val="26"/>
        </w:rPr>
        <w:t xml:space="preserve"> and the revised proposal exempts them</w:t>
      </w:r>
      <w:r w:rsidR="0004011C">
        <w:rPr>
          <w:sz w:val="26"/>
          <w:szCs w:val="26"/>
        </w:rPr>
        <w:t>,</w:t>
      </w:r>
      <w:r w:rsidR="00236113">
        <w:rPr>
          <w:sz w:val="26"/>
          <w:szCs w:val="26"/>
        </w:rPr>
        <w:t xml:space="preserve"> is a meaningless change from the perspective of the statutory requi</w:t>
      </w:r>
      <w:r w:rsidR="0004011C">
        <w:rPr>
          <w:sz w:val="26"/>
          <w:szCs w:val="26"/>
        </w:rPr>
        <w:t xml:space="preserve">rements because neither proposal aligns </w:t>
      </w:r>
      <w:r w:rsidR="00236113">
        <w:rPr>
          <w:sz w:val="26"/>
          <w:szCs w:val="26"/>
        </w:rPr>
        <w:t>exactly with how PPL proposes to treat returning customers.  RESA alleges that the result of adopting the ALJ</w:t>
      </w:r>
      <w:r w:rsidR="000964BB">
        <w:rPr>
          <w:sz w:val="26"/>
          <w:szCs w:val="26"/>
        </w:rPr>
        <w:t>’</w:t>
      </w:r>
      <w:r w:rsidR="00236113">
        <w:rPr>
          <w:sz w:val="26"/>
          <w:szCs w:val="26"/>
        </w:rPr>
        <w:t>s recomme</w:t>
      </w:r>
      <w:r w:rsidR="0004011C">
        <w:rPr>
          <w:sz w:val="26"/>
          <w:szCs w:val="26"/>
        </w:rPr>
        <w:t>ndation to implement the RR would</w:t>
      </w:r>
      <w:r w:rsidR="00236113">
        <w:rPr>
          <w:sz w:val="26"/>
          <w:szCs w:val="26"/>
        </w:rPr>
        <w:t xml:space="preserve"> be to create a preference for default service and enact barriers to the marketplace</w:t>
      </w:r>
      <w:r w:rsidR="00A93D80">
        <w:rPr>
          <w:sz w:val="26"/>
          <w:szCs w:val="26"/>
        </w:rPr>
        <w:t xml:space="preserve">.  </w:t>
      </w:r>
      <w:r>
        <w:rPr>
          <w:sz w:val="26"/>
          <w:szCs w:val="26"/>
        </w:rPr>
        <w:t>RESA Exc. at 5</w:t>
      </w:r>
      <w:r w:rsidR="00A93D80">
        <w:rPr>
          <w:sz w:val="26"/>
          <w:szCs w:val="26"/>
        </w:rPr>
        <w:t>-8</w:t>
      </w:r>
      <w:r w:rsidR="00FD4BF3">
        <w:rPr>
          <w:sz w:val="26"/>
          <w:szCs w:val="26"/>
        </w:rPr>
        <w:t>.</w:t>
      </w:r>
    </w:p>
    <w:p w:rsidR="007C4E33" w:rsidRDefault="007C4E33" w:rsidP="00EC6D3E">
      <w:pPr>
        <w:autoSpaceDE/>
        <w:autoSpaceDN/>
        <w:rPr>
          <w:sz w:val="26"/>
          <w:szCs w:val="26"/>
        </w:rPr>
      </w:pPr>
    </w:p>
    <w:p w:rsidR="00A51F60" w:rsidRDefault="007C4E33" w:rsidP="007C4E33">
      <w:pPr>
        <w:autoSpaceDE/>
        <w:autoSpaceDN/>
        <w:ind w:firstLine="1440"/>
        <w:rPr>
          <w:sz w:val="26"/>
          <w:szCs w:val="26"/>
        </w:rPr>
      </w:pPr>
      <w:r>
        <w:rPr>
          <w:sz w:val="26"/>
          <w:szCs w:val="26"/>
        </w:rPr>
        <w:t>Next, R</w:t>
      </w:r>
      <w:r w:rsidR="0044186E">
        <w:rPr>
          <w:sz w:val="26"/>
          <w:szCs w:val="26"/>
        </w:rPr>
        <w:t>ESA argue</w:t>
      </w:r>
      <w:r>
        <w:rPr>
          <w:sz w:val="26"/>
          <w:szCs w:val="26"/>
        </w:rPr>
        <w:t>s that the ALJ erred in determining that there is a current and on-going need for the RR.  RESA is of the opinion that PPL</w:t>
      </w:r>
      <w:r w:rsidR="000964BB">
        <w:rPr>
          <w:sz w:val="26"/>
          <w:szCs w:val="26"/>
        </w:rPr>
        <w:t>’</w:t>
      </w:r>
      <w:r>
        <w:rPr>
          <w:sz w:val="26"/>
          <w:szCs w:val="26"/>
        </w:rPr>
        <w:t>s reconciliation mechanism will provide the Company full recovery as it is currently structured.  RESA avers that the evidence shows that as of September 30, 2011, PPL had a net over-recovery fro</w:t>
      </w:r>
      <w:r w:rsidR="00FD4BF3">
        <w:rPr>
          <w:sz w:val="26"/>
          <w:szCs w:val="26"/>
        </w:rPr>
        <w:t>m both the residential and the L</w:t>
      </w:r>
      <w:r>
        <w:rPr>
          <w:sz w:val="26"/>
          <w:szCs w:val="26"/>
        </w:rPr>
        <w:t>arge C&amp;I classes.  Additionally, RESA notes that</w:t>
      </w:r>
      <w:r w:rsidR="0044186E">
        <w:rPr>
          <w:sz w:val="26"/>
          <w:szCs w:val="26"/>
        </w:rPr>
        <w:t>,</w:t>
      </w:r>
      <w:r>
        <w:rPr>
          <w:sz w:val="26"/>
          <w:szCs w:val="26"/>
        </w:rPr>
        <w:t xml:space="preserve"> while PPL is showing </w:t>
      </w:r>
      <w:r w:rsidR="00FD4BF3">
        <w:rPr>
          <w:sz w:val="26"/>
          <w:szCs w:val="26"/>
        </w:rPr>
        <w:t>a net under collection for the S</w:t>
      </w:r>
      <w:r>
        <w:rPr>
          <w:sz w:val="26"/>
          <w:szCs w:val="26"/>
        </w:rPr>
        <w:t>mall C&amp;I class, it is not facing any immediate risk of not recovering these amounts because a significant number of customers in this class remain on default service.  As a result, RESA alleges that no evidence was presented to show that there is any significant future risk of non-recovery.</w:t>
      </w:r>
      <w:r w:rsidR="0050518E">
        <w:rPr>
          <w:sz w:val="26"/>
          <w:szCs w:val="26"/>
        </w:rPr>
        <w:t xml:space="preserve">  Since PPL is not facing any near term risk of failing to recover its costs, RESA suggests that the changes proposed by PPL to its reconciliation mechanism should be denied.  RESA Exc. at 8-10.</w:t>
      </w:r>
    </w:p>
    <w:p w:rsidR="00693451" w:rsidRDefault="00693451" w:rsidP="007C4E33">
      <w:pPr>
        <w:autoSpaceDE/>
        <w:autoSpaceDN/>
        <w:ind w:firstLine="1440"/>
        <w:rPr>
          <w:sz w:val="26"/>
          <w:szCs w:val="26"/>
        </w:rPr>
      </w:pPr>
    </w:p>
    <w:p w:rsidR="00693451" w:rsidRDefault="00693451" w:rsidP="007C4E33">
      <w:pPr>
        <w:autoSpaceDE/>
        <w:autoSpaceDN/>
        <w:ind w:firstLine="1440"/>
        <w:rPr>
          <w:sz w:val="26"/>
          <w:szCs w:val="26"/>
        </w:rPr>
      </w:pPr>
      <w:r>
        <w:rPr>
          <w:sz w:val="26"/>
          <w:szCs w:val="26"/>
        </w:rPr>
        <w:t xml:space="preserve">RESA </w:t>
      </w:r>
      <w:r w:rsidR="00FA600B">
        <w:rPr>
          <w:sz w:val="26"/>
          <w:szCs w:val="26"/>
        </w:rPr>
        <w:t>next avers that the proposed RR illegally imposes a cost of providing d</w:t>
      </w:r>
      <w:r w:rsidR="003C1648">
        <w:rPr>
          <w:sz w:val="26"/>
          <w:szCs w:val="26"/>
        </w:rPr>
        <w:t>efault service on</w:t>
      </w:r>
      <w:r w:rsidR="00FA600B">
        <w:rPr>
          <w:sz w:val="26"/>
          <w:szCs w:val="26"/>
        </w:rPr>
        <w:t xml:space="preserve"> all customers, both shopping and non-shopping.  RESA opines that this is in violation of the Competition Act</w:t>
      </w:r>
      <w:r w:rsidR="003C1648">
        <w:rPr>
          <w:sz w:val="26"/>
          <w:szCs w:val="26"/>
        </w:rPr>
        <w:t>,</w:t>
      </w:r>
      <w:r w:rsidR="00FA600B">
        <w:rPr>
          <w:sz w:val="26"/>
          <w:szCs w:val="26"/>
        </w:rPr>
        <w:t xml:space="preserve"> which provides that all reasonable costs of providing default service in the post transition period shall be fully recovered by the </w:t>
      </w:r>
      <w:r w:rsidR="00FA600B">
        <w:rPr>
          <w:sz w:val="26"/>
          <w:szCs w:val="26"/>
        </w:rPr>
        <w:lastRenderedPageBreak/>
        <w:t>default service provider.  RESA expla</w:t>
      </w:r>
      <w:r w:rsidR="00F57D3D">
        <w:rPr>
          <w:sz w:val="26"/>
          <w:szCs w:val="26"/>
        </w:rPr>
        <w:t>ins that</w:t>
      </w:r>
      <w:r w:rsidR="003C1648">
        <w:rPr>
          <w:sz w:val="26"/>
          <w:szCs w:val="26"/>
        </w:rPr>
        <w:t>,</w:t>
      </w:r>
      <w:r w:rsidR="00F57D3D">
        <w:rPr>
          <w:sz w:val="26"/>
          <w:szCs w:val="26"/>
        </w:rPr>
        <w:t xml:space="preserve"> while the Competition A</w:t>
      </w:r>
      <w:r w:rsidR="00FA600B">
        <w:rPr>
          <w:sz w:val="26"/>
          <w:szCs w:val="26"/>
        </w:rPr>
        <w:t>ct expressly provides for the recovery of certain costs through non-bypassable charges on all customers, there is no such express authorization for the recovery of default service costs through non-bypassable, distribution service type charges such as the riders proposed by PPL in this proceeding.</w:t>
      </w:r>
      <w:r w:rsidR="00BE66C7">
        <w:rPr>
          <w:sz w:val="26"/>
          <w:szCs w:val="26"/>
        </w:rPr>
        <w:t xml:space="preserve">  RESA avers that</w:t>
      </w:r>
      <w:r w:rsidR="003C1648">
        <w:rPr>
          <w:sz w:val="26"/>
          <w:szCs w:val="26"/>
        </w:rPr>
        <w:t>,</w:t>
      </w:r>
      <w:r w:rsidR="00BE66C7">
        <w:rPr>
          <w:sz w:val="26"/>
          <w:szCs w:val="26"/>
        </w:rPr>
        <w:t xml:space="preserve"> since PPL</w:t>
      </w:r>
      <w:r w:rsidR="000964BB">
        <w:rPr>
          <w:sz w:val="26"/>
          <w:szCs w:val="26"/>
        </w:rPr>
        <w:t>’</w:t>
      </w:r>
      <w:r w:rsidR="00BE66C7">
        <w:rPr>
          <w:sz w:val="26"/>
          <w:szCs w:val="26"/>
        </w:rPr>
        <w:t>s proposal requires all customers, except new ones, to absorb the impact of reconciliations related solely to default service</w:t>
      </w:r>
      <w:r w:rsidR="003C1648">
        <w:rPr>
          <w:sz w:val="26"/>
          <w:szCs w:val="26"/>
        </w:rPr>
        <w:t>,</w:t>
      </w:r>
      <w:r w:rsidR="00BE66C7">
        <w:rPr>
          <w:sz w:val="26"/>
          <w:szCs w:val="26"/>
        </w:rPr>
        <w:t xml:space="preserve"> </w:t>
      </w:r>
      <w:r w:rsidR="003C1648">
        <w:rPr>
          <w:sz w:val="26"/>
          <w:szCs w:val="26"/>
        </w:rPr>
        <w:t xml:space="preserve">it </w:t>
      </w:r>
      <w:r w:rsidR="00BE66C7">
        <w:rPr>
          <w:sz w:val="26"/>
          <w:szCs w:val="26"/>
        </w:rPr>
        <w:t>is not legal</w:t>
      </w:r>
      <w:r w:rsidR="003C1648">
        <w:rPr>
          <w:sz w:val="26"/>
          <w:szCs w:val="26"/>
        </w:rPr>
        <w:t xml:space="preserve"> and</w:t>
      </w:r>
      <w:r w:rsidR="00BE66C7">
        <w:rPr>
          <w:sz w:val="26"/>
          <w:szCs w:val="26"/>
        </w:rPr>
        <w:t xml:space="preserve"> cannot be adopted by the Commission.  RESA Exc. at 10-12.</w:t>
      </w:r>
    </w:p>
    <w:p w:rsidR="005C2412" w:rsidRDefault="005C2412" w:rsidP="007C4E33">
      <w:pPr>
        <w:autoSpaceDE/>
        <w:autoSpaceDN/>
        <w:ind w:firstLine="1440"/>
        <w:rPr>
          <w:sz w:val="26"/>
          <w:szCs w:val="26"/>
        </w:rPr>
      </w:pPr>
    </w:p>
    <w:p w:rsidR="005C2412" w:rsidRDefault="005C2412" w:rsidP="007C4E33">
      <w:pPr>
        <w:autoSpaceDE/>
        <w:autoSpaceDN/>
        <w:ind w:firstLine="1440"/>
        <w:rPr>
          <w:sz w:val="26"/>
          <w:szCs w:val="26"/>
        </w:rPr>
      </w:pPr>
      <w:r>
        <w:rPr>
          <w:sz w:val="26"/>
          <w:szCs w:val="26"/>
        </w:rPr>
        <w:t xml:space="preserve">Additionally, RESA argues that the RR will stymie </w:t>
      </w:r>
      <w:r w:rsidR="00CC0265">
        <w:rPr>
          <w:sz w:val="26"/>
          <w:szCs w:val="26"/>
        </w:rPr>
        <w:t xml:space="preserve">the development of a </w:t>
      </w:r>
      <w:r>
        <w:rPr>
          <w:sz w:val="26"/>
          <w:szCs w:val="26"/>
        </w:rPr>
        <w:t xml:space="preserve">competitive electric market.  According to RESA, an EDC that is not including all </w:t>
      </w:r>
      <w:r w:rsidR="009D7DD7">
        <w:rPr>
          <w:sz w:val="26"/>
          <w:szCs w:val="26"/>
        </w:rPr>
        <w:t>the co</w:t>
      </w:r>
      <w:r>
        <w:rPr>
          <w:sz w:val="26"/>
          <w:szCs w:val="26"/>
        </w:rPr>
        <w:t>sts to provide default service in its default service rate could be given an unfair competitive advantage</w:t>
      </w:r>
      <w:r w:rsidR="009D7DD7">
        <w:rPr>
          <w:sz w:val="26"/>
          <w:szCs w:val="26"/>
        </w:rPr>
        <w:t xml:space="preserve"> to create an artificially subsidized lower default rate with which EGSs will never be able to compete.  RESA alleges that the requirement that default service costs be recovered through default service rates is intended to ensure a level playing field for retail competition and to prevent the subsidization of default service by all ratepayers.   RESA argues that sound retail market design requires that default service related costs be fully avoidable when a customer makes the decision to shop and take generation service from a competitive retail provider.  RESA Exc. at 13-14.</w:t>
      </w:r>
    </w:p>
    <w:p w:rsidR="002814AD" w:rsidRDefault="002814AD" w:rsidP="007C4E33">
      <w:pPr>
        <w:autoSpaceDE/>
        <w:autoSpaceDN/>
        <w:ind w:firstLine="1440"/>
        <w:rPr>
          <w:sz w:val="26"/>
          <w:szCs w:val="26"/>
        </w:rPr>
      </w:pPr>
    </w:p>
    <w:p w:rsidR="002814AD" w:rsidRDefault="00F91F1B" w:rsidP="007C4E33">
      <w:pPr>
        <w:autoSpaceDE/>
        <w:autoSpaceDN/>
        <w:ind w:firstLine="1440"/>
        <w:rPr>
          <w:sz w:val="26"/>
          <w:szCs w:val="26"/>
        </w:rPr>
      </w:pPr>
      <w:r>
        <w:rPr>
          <w:sz w:val="26"/>
          <w:szCs w:val="26"/>
        </w:rPr>
        <w:t xml:space="preserve">In its Exceptions, Dominion similarly </w:t>
      </w:r>
      <w:r w:rsidR="0008238D">
        <w:rPr>
          <w:sz w:val="26"/>
          <w:szCs w:val="26"/>
        </w:rPr>
        <w:t xml:space="preserve">argues that </w:t>
      </w:r>
      <w:r>
        <w:rPr>
          <w:sz w:val="26"/>
          <w:szCs w:val="26"/>
        </w:rPr>
        <w:t>the RR</w:t>
      </w:r>
      <w:r w:rsidR="00866542">
        <w:rPr>
          <w:sz w:val="26"/>
          <w:szCs w:val="26"/>
        </w:rPr>
        <w:t xml:space="preserve"> </w:t>
      </w:r>
      <w:r w:rsidR="0008238D">
        <w:rPr>
          <w:sz w:val="26"/>
          <w:szCs w:val="26"/>
        </w:rPr>
        <w:t>v</w:t>
      </w:r>
      <w:r w:rsidR="00866542">
        <w:rPr>
          <w:sz w:val="26"/>
          <w:szCs w:val="26"/>
        </w:rPr>
        <w:t xml:space="preserve">iolates at least two </w:t>
      </w:r>
      <w:r w:rsidR="00F57D3D">
        <w:rPr>
          <w:sz w:val="26"/>
          <w:szCs w:val="26"/>
        </w:rPr>
        <w:t>provisions of the Commission</w:t>
      </w:r>
      <w:r w:rsidR="000964BB">
        <w:rPr>
          <w:sz w:val="26"/>
          <w:szCs w:val="26"/>
        </w:rPr>
        <w:t>’</w:t>
      </w:r>
      <w:r w:rsidR="00F57D3D">
        <w:rPr>
          <w:sz w:val="26"/>
          <w:szCs w:val="26"/>
        </w:rPr>
        <w:t>s R</w:t>
      </w:r>
      <w:r w:rsidR="00866542">
        <w:rPr>
          <w:sz w:val="26"/>
          <w:szCs w:val="26"/>
        </w:rPr>
        <w:t>egulations.  Dominio</w:t>
      </w:r>
      <w:r w:rsidR="0008238D">
        <w:rPr>
          <w:sz w:val="26"/>
          <w:szCs w:val="26"/>
        </w:rPr>
        <w:t>n states that the first</w:t>
      </w:r>
      <w:r w:rsidR="00866542">
        <w:rPr>
          <w:sz w:val="26"/>
          <w:szCs w:val="26"/>
        </w:rPr>
        <w:t xml:space="preserve"> provision </w:t>
      </w:r>
      <w:r w:rsidR="0008238D">
        <w:rPr>
          <w:sz w:val="26"/>
          <w:szCs w:val="26"/>
        </w:rPr>
        <w:t xml:space="preserve">that would be violated </w:t>
      </w:r>
      <w:r w:rsidR="00866542">
        <w:rPr>
          <w:sz w:val="26"/>
          <w:szCs w:val="26"/>
        </w:rPr>
        <w:t>requires that default service costs be recovered o</w:t>
      </w:r>
      <w:r w:rsidR="00F57D3D">
        <w:rPr>
          <w:sz w:val="26"/>
          <w:szCs w:val="26"/>
        </w:rPr>
        <w:t>nly through the PTC</w:t>
      </w:r>
      <w:r w:rsidR="0008238D">
        <w:rPr>
          <w:sz w:val="26"/>
          <w:szCs w:val="26"/>
        </w:rPr>
        <w:t>,</w:t>
      </w:r>
      <w:r w:rsidR="00866542">
        <w:rPr>
          <w:sz w:val="26"/>
          <w:szCs w:val="26"/>
        </w:rPr>
        <w:t xml:space="preserve"> and the second requires </w:t>
      </w:r>
      <w:r w:rsidR="0008238D">
        <w:rPr>
          <w:sz w:val="26"/>
          <w:szCs w:val="26"/>
        </w:rPr>
        <w:t xml:space="preserve">that default service costs </w:t>
      </w:r>
      <w:r w:rsidR="00866542">
        <w:rPr>
          <w:sz w:val="26"/>
          <w:szCs w:val="26"/>
        </w:rPr>
        <w:t xml:space="preserve">be recovered </w:t>
      </w:r>
      <w:r w:rsidR="0008238D">
        <w:rPr>
          <w:sz w:val="26"/>
          <w:szCs w:val="26"/>
        </w:rPr>
        <w:t xml:space="preserve">only </w:t>
      </w:r>
      <w:r w:rsidR="00866542">
        <w:rPr>
          <w:sz w:val="26"/>
          <w:szCs w:val="26"/>
        </w:rPr>
        <w:t>from customers actually taking default service</w:t>
      </w:r>
      <w:r w:rsidR="0008238D">
        <w:rPr>
          <w:sz w:val="26"/>
          <w:szCs w:val="26"/>
        </w:rPr>
        <w:t>.  Dominion maintains that the R</w:t>
      </w:r>
      <w:r w:rsidR="00866542">
        <w:rPr>
          <w:sz w:val="26"/>
          <w:szCs w:val="26"/>
        </w:rPr>
        <w:t xml:space="preserve">egulations are consistent in requiring </w:t>
      </w:r>
      <w:r w:rsidR="0008238D">
        <w:rPr>
          <w:sz w:val="26"/>
          <w:szCs w:val="26"/>
        </w:rPr>
        <w:t xml:space="preserve">that </w:t>
      </w:r>
      <w:r w:rsidR="00866542">
        <w:rPr>
          <w:sz w:val="26"/>
          <w:szCs w:val="26"/>
        </w:rPr>
        <w:t>the PTC be designed to recover all defau</w:t>
      </w:r>
      <w:r w:rsidR="009C64C1">
        <w:rPr>
          <w:sz w:val="26"/>
          <w:szCs w:val="26"/>
        </w:rPr>
        <w:t>l</w:t>
      </w:r>
      <w:r w:rsidR="00866542">
        <w:rPr>
          <w:sz w:val="26"/>
          <w:szCs w:val="26"/>
        </w:rPr>
        <w:t>t service costs and that the PTC be charged only to default service customers.  According to Dominion, while it is true that migration riders have been authori</w:t>
      </w:r>
      <w:r w:rsidR="00CB0A70">
        <w:rPr>
          <w:sz w:val="26"/>
          <w:szCs w:val="26"/>
        </w:rPr>
        <w:t>z</w:t>
      </w:r>
      <w:r w:rsidR="00866542">
        <w:rPr>
          <w:sz w:val="26"/>
          <w:szCs w:val="26"/>
        </w:rPr>
        <w:t>ed in other contexts, there is no authorization</w:t>
      </w:r>
      <w:r w:rsidR="00043739">
        <w:rPr>
          <w:sz w:val="26"/>
          <w:szCs w:val="26"/>
        </w:rPr>
        <w:t xml:space="preserve"> for such a mechanism anywhere in the Competit</w:t>
      </w:r>
      <w:r w:rsidR="00F57D3D">
        <w:rPr>
          <w:sz w:val="26"/>
          <w:szCs w:val="26"/>
        </w:rPr>
        <w:t>ion Act or in the Commission</w:t>
      </w:r>
      <w:r w:rsidR="000964BB">
        <w:rPr>
          <w:sz w:val="26"/>
          <w:szCs w:val="26"/>
        </w:rPr>
        <w:t>’</w:t>
      </w:r>
      <w:r w:rsidR="00F57D3D">
        <w:rPr>
          <w:sz w:val="26"/>
          <w:szCs w:val="26"/>
        </w:rPr>
        <w:t>s R</w:t>
      </w:r>
      <w:r w:rsidR="00043739">
        <w:rPr>
          <w:sz w:val="26"/>
          <w:szCs w:val="26"/>
        </w:rPr>
        <w:t>egulations governing default service.  Dominion Exc. at 5-7.</w:t>
      </w:r>
    </w:p>
    <w:p w:rsidR="009C64C1" w:rsidRDefault="0008238D" w:rsidP="007C4E33">
      <w:pPr>
        <w:autoSpaceDE/>
        <w:autoSpaceDN/>
        <w:ind w:firstLine="1440"/>
        <w:rPr>
          <w:sz w:val="26"/>
          <w:szCs w:val="26"/>
        </w:rPr>
      </w:pPr>
      <w:r>
        <w:rPr>
          <w:sz w:val="26"/>
          <w:szCs w:val="26"/>
        </w:rPr>
        <w:lastRenderedPageBreak/>
        <w:t xml:space="preserve">Dominion maintains that the Regulations </w:t>
      </w:r>
      <w:r w:rsidR="009C64C1">
        <w:rPr>
          <w:sz w:val="26"/>
          <w:szCs w:val="26"/>
        </w:rPr>
        <w:t>clear</w:t>
      </w:r>
      <w:r>
        <w:rPr>
          <w:sz w:val="26"/>
          <w:szCs w:val="26"/>
        </w:rPr>
        <w:t>ly require that</w:t>
      </w:r>
      <w:r w:rsidR="009C64C1">
        <w:rPr>
          <w:sz w:val="26"/>
          <w:szCs w:val="26"/>
        </w:rPr>
        <w:t xml:space="preserve"> default service customers pay for default service costs</w:t>
      </w:r>
      <w:r>
        <w:rPr>
          <w:sz w:val="26"/>
          <w:szCs w:val="26"/>
        </w:rPr>
        <w:t>,</w:t>
      </w:r>
      <w:r w:rsidR="009C64C1">
        <w:rPr>
          <w:sz w:val="26"/>
          <w:szCs w:val="26"/>
        </w:rPr>
        <w:t xml:space="preserve"> and </w:t>
      </w:r>
      <w:r>
        <w:rPr>
          <w:sz w:val="26"/>
          <w:szCs w:val="26"/>
        </w:rPr>
        <w:t xml:space="preserve">that </w:t>
      </w:r>
      <w:r w:rsidR="009C64C1">
        <w:rPr>
          <w:sz w:val="26"/>
          <w:szCs w:val="26"/>
        </w:rPr>
        <w:t>the cost of default service must be fully recovered only from default service customers, and only through the default service rate.</w:t>
      </w:r>
      <w:r w:rsidR="00C47C4E">
        <w:rPr>
          <w:sz w:val="26"/>
          <w:szCs w:val="26"/>
        </w:rPr>
        <w:t xml:space="preserve">  Do</w:t>
      </w:r>
      <w:r w:rsidR="00F57D3D">
        <w:rPr>
          <w:sz w:val="26"/>
          <w:szCs w:val="26"/>
        </w:rPr>
        <w:t>m</w:t>
      </w:r>
      <w:r w:rsidR="00C47C4E">
        <w:rPr>
          <w:sz w:val="26"/>
          <w:szCs w:val="26"/>
        </w:rPr>
        <w:t xml:space="preserve">inion avers that </w:t>
      </w:r>
      <w:r>
        <w:rPr>
          <w:sz w:val="26"/>
          <w:szCs w:val="26"/>
        </w:rPr>
        <w:t xml:space="preserve">this </w:t>
      </w:r>
      <w:r w:rsidR="00C47C4E">
        <w:rPr>
          <w:sz w:val="26"/>
          <w:szCs w:val="26"/>
        </w:rPr>
        <w:t>is the way that the Commission applied its Regulations in approving PPL</w:t>
      </w:r>
      <w:r w:rsidR="000964BB">
        <w:rPr>
          <w:sz w:val="26"/>
          <w:szCs w:val="26"/>
        </w:rPr>
        <w:t>’</w:t>
      </w:r>
      <w:r w:rsidR="00C47C4E">
        <w:rPr>
          <w:sz w:val="26"/>
          <w:szCs w:val="26"/>
        </w:rPr>
        <w:t>s current plan, and the plans of all other EDCs.  Dominion avers that the addition of a reconciliation component does not change that fact.  According to Dominion, PPL rec</w:t>
      </w:r>
      <w:r w:rsidR="00F57D3D">
        <w:rPr>
          <w:sz w:val="26"/>
          <w:szCs w:val="26"/>
        </w:rPr>
        <w:t>onciles today and includes the E</w:t>
      </w:r>
      <w:r w:rsidR="00C47C4E">
        <w:rPr>
          <w:sz w:val="26"/>
          <w:szCs w:val="26"/>
        </w:rPr>
        <w:t>-factor in the PTC, which is how it was intended to be and should be</w:t>
      </w:r>
      <w:r w:rsidR="00F57D3D">
        <w:rPr>
          <w:sz w:val="26"/>
          <w:szCs w:val="26"/>
        </w:rPr>
        <w:t xml:space="preserve"> calculated</w:t>
      </w:r>
      <w:r w:rsidR="00C47C4E">
        <w:rPr>
          <w:sz w:val="26"/>
          <w:szCs w:val="26"/>
        </w:rPr>
        <w:t>.  Dominion maintains that w</w:t>
      </w:r>
      <w:r>
        <w:rPr>
          <w:sz w:val="26"/>
          <w:szCs w:val="26"/>
        </w:rPr>
        <w:t>hat is not contemplated by the R</w:t>
      </w:r>
      <w:r w:rsidR="00C47C4E">
        <w:rPr>
          <w:sz w:val="26"/>
          <w:szCs w:val="26"/>
        </w:rPr>
        <w:t xml:space="preserve">egulations is the suggestion that the RR or any charge </w:t>
      </w:r>
      <w:r w:rsidR="00F57D3D">
        <w:rPr>
          <w:sz w:val="26"/>
          <w:szCs w:val="26"/>
        </w:rPr>
        <w:t>for default service could be re</w:t>
      </w:r>
      <w:r w:rsidR="00C47C4E">
        <w:rPr>
          <w:sz w:val="26"/>
          <w:szCs w:val="26"/>
        </w:rPr>
        <w:t>covered from any customers other than present default service customers, and there is no contemplation of the concept that customers taking competitive service should be required to pay default service charges for up to a year into the future.  Dominion opines that the ALJ</w:t>
      </w:r>
      <w:r w:rsidR="000964BB">
        <w:rPr>
          <w:sz w:val="26"/>
          <w:szCs w:val="26"/>
        </w:rPr>
        <w:t>’</w:t>
      </w:r>
      <w:r w:rsidR="00C47C4E">
        <w:rPr>
          <w:sz w:val="26"/>
          <w:szCs w:val="26"/>
        </w:rPr>
        <w:t>s conclusion that the RR is reasonable is without legal support, is contrary to the re</w:t>
      </w:r>
      <w:r w:rsidR="00F57D3D">
        <w:rPr>
          <w:sz w:val="26"/>
          <w:szCs w:val="26"/>
        </w:rPr>
        <w:t>quirements of the Commission</w:t>
      </w:r>
      <w:r w:rsidR="000964BB">
        <w:rPr>
          <w:sz w:val="26"/>
          <w:szCs w:val="26"/>
        </w:rPr>
        <w:t>’</w:t>
      </w:r>
      <w:r w:rsidR="00F57D3D">
        <w:rPr>
          <w:sz w:val="26"/>
          <w:szCs w:val="26"/>
        </w:rPr>
        <w:t>s R</w:t>
      </w:r>
      <w:r w:rsidR="00C47C4E">
        <w:rPr>
          <w:sz w:val="26"/>
          <w:szCs w:val="26"/>
        </w:rPr>
        <w:t>egulations and must be reversed.  Dominion Exc. at 8-9.</w:t>
      </w:r>
    </w:p>
    <w:p w:rsidR="00574544" w:rsidRDefault="00574544" w:rsidP="007C4E33">
      <w:pPr>
        <w:autoSpaceDE/>
        <w:autoSpaceDN/>
        <w:ind w:firstLine="1440"/>
        <w:rPr>
          <w:sz w:val="26"/>
          <w:szCs w:val="26"/>
        </w:rPr>
      </w:pPr>
    </w:p>
    <w:p w:rsidR="00574544" w:rsidRDefault="00574544" w:rsidP="007C4E33">
      <w:pPr>
        <w:autoSpaceDE/>
        <w:autoSpaceDN/>
        <w:ind w:firstLine="1440"/>
        <w:rPr>
          <w:sz w:val="26"/>
          <w:szCs w:val="26"/>
        </w:rPr>
      </w:pPr>
      <w:r>
        <w:rPr>
          <w:sz w:val="26"/>
          <w:szCs w:val="26"/>
        </w:rPr>
        <w:t>In reply, PPL states that it is undisputed that i</w:t>
      </w:r>
      <w:r w:rsidR="00B54049">
        <w:rPr>
          <w:sz w:val="26"/>
          <w:szCs w:val="26"/>
        </w:rPr>
        <w:t>t is statutorily required/entit</w:t>
      </w:r>
      <w:r>
        <w:rPr>
          <w:sz w:val="26"/>
          <w:szCs w:val="26"/>
        </w:rPr>
        <w:t>led to fully recover the costs incurred to provide transmission service and generation supply to default service customers.  Also, PPL notes that it is undisputed that the Company has experienced significant over and/or under collection balances related to the TSC, GSC-1 and GSC-2</w:t>
      </w:r>
      <w:r w:rsidR="00B54049">
        <w:rPr>
          <w:sz w:val="26"/>
          <w:szCs w:val="26"/>
        </w:rPr>
        <w:t xml:space="preserve"> and that, to date, it has not been able to recover/refund all of its default service costs in a full and timely manner under its current reconciliation method.  PPL avers that the RR attempts to more closely assign over/under collections to those customers that received default service during the period in which the over/under collection occurred.  According to PPL, this approach will help to assure that shopping customers pay/receive their fair share of the over or under collections that arose while the customer received default service.</w:t>
      </w:r>
      <w:r w:rsidR="00B762BE">
        <w:rPr>
          <w:sz w:val="26"/>
          <w:szCs w:val="26"/>
        </w:rPr>
        <w:t xml:space="preserve">  PPL opines that there is nothing in Act 129 that prohibits a default service provider from recovering default service costs from the customers that caused those costs to be incurred.  </w:t>
      </w:r>
      <w:r w:rsidR="00A87D88">
        <w:rPr>
          <w:sz w:val="26"/>
          <w:szCs w:val="26"/>
        </w:rPr>
        <w:t>PPL R.</w:t>
      </w:r>
      <w:r w:rsidR="00E200F2">
        <w:rPr>
          <w:sz w:val="26"/>
          <w:szCs w:val="26"/>
        </w:rPr>
        <w:t xml:space="preserve"> </w:t>
      </w:r>
      <w:r w:rsidR="00A87D88">
        <w:rPr>
          <w:sz w:val="26"/>
          <w:szCs w:val="26"/>
        </w:rPr>
        <w:t xml:space="preserve">Exc. at </w:t>
      </w:r>
      <w:r w:rsidR="00B762BE">
        <w:rPr>
          <w:sz w:val="26"/>
          <w:szCs w:val="26"/>
        </w:rPr>
        <w:t>3-4.</w:t>
      </w:r>
    </w:p>
    <w:p w:rsidR="00733707" w:rsidRDefault="00EE271B" w:rsidP="007C4E33">
      <w:pPr>
        <w:autoSpaceDE/>
        <w:autoSpaceDN/>
        <w:ind w:firstLine="1440"/>
        <w:rPr>
          <w:sz w:val="26"/>
          <w:szCs w:val="26"/>
        </w:rPr>
      </w:pPr>
      <w:r>
        <w:rPr>
          <w:sz w:val="26"/>
          <w:szCs w:val="26"/>
        </w:rPr>
        <w:lastRenderedPageBreak/>
        <w:t>PPL avers that the proposed RR is consistent with Act 129 and th</w:t>
      </w:r>
      <w:r w:rsidR="008E14F2">
        <w:rPr>
          <w:sz w:val="26"/>
          <w:szCs w:val="26"/>
        </w:rPr>
        <w:t>e Commission</w:t>
      </w:r>
      <w:r w:rsidR="000964BB">
        <w:rPr>
          <w:sz w:val="26"/>
          <w:szCs w:val="26"/>
        </w:rPr>
        <w:t>’</w:t>
      </w:r>
      <w:r w:rsidR="008E14F2">
        <w:rPr>
          <w:sz w:val="26"/>
          <w:szCs w:val="26"/>
        </w:rPr>
        <w:t>s default service R</w:t>
      </w:r>
      <w:r>
        <w:rPr>
          <w:sz w:val="26"/>
          <w:szCs w:val="26"/>
        </w:rPr>
        <w:t xml:space="preserve">egulations.  PPL also avers that the proposed RR is consistent with the cost-causation principles established in </w:t>
      </w:r>
      <w:r>
        <w:rPr>
          <w:i/>
          <w:sz w:val="26"/>
          <w:szCs w:val="26"/>
        </w:rPr>
        <w:t>Lloyd</w:t>
      </w:r>
      <w:r w:rsidR="008E14F2">
        <w:rPr>
          <w:i/>
          <w:sz w:val="26"/>
          <w:szCs w:val="26"/>
        </w:rPr>
        <w:t>, supra.,</w:t>
      </w:r>
      <w:r>
        <w:rPr>
          <w:sz w:val="26"/>
          <w:szCs w:val="26"/>
        </w:rPr>
        <w:t xml:space="preserve"> because it recovers default service costs from those default service customers that actually caused the costs to be incurred.</w:t>
      </w:r>
      <w:r w:rsidR="00D2248C">
        <w:rPr>
          <w:sz w:val="26"/>
          <w:szCs w:val="26"/>
        </w:rPr>
        <w:t xml:space="preserve">  Additionally, PPL maintains that the RR is a better cost assignment methodology than the Company</w:t>
      </w:r>
      <w:r w:rsidR="000964BB">
        <w:rPr>
          <w:sz w:val="26"/>
          <w:szCs w:val="26"/>
        </w:rPr>
        <w:t>’</w:t>
      </w:r>
      <w:r w:rsidR="00D2248C">
        <w:rPr>
          <w:sz w:val="26"/>
          <w:szCs w:val="26"/>
        </w:rPr>
        <w:t>s current methodology which: (1) allows default service customers to avoid under collections by shopping, or (2) does not provide shopping customers with the benefit of any refund due to over collections that occurred while the shopping customer was taking default service.  Therefore, PPL argues that the ALJ properly recommended approval of PPL</w:t>
      </w:r>
      <w:r w:rsidR="000964BB">
        <w:rPr>
          <w:sz w:val="26"/>
          <w:szCs w:val="26"/>
        </w:rPr>
        <w:t>’</w:t>
      </w:r>
      <w:r w:rsidR="00D2248C">
        <w:rPr>
          <w:sz w:val="26"/>
          <w:szCs w:val="26"/>
        </w:rPr>
        <w:t>s RR.  PPL R. Exc. at 7-8.</w:t>
      </w:r>
    </w:p>
    <w:p w:rsidR="00F51C1F" w:rsidRDefault="00F51C1F" w:rsidP="007C4E33">
      <w:pPr>
        <w:autoSpaceDE/>
        <w:autoSpaceDN/>
        <w:ind w:firstLine="1440"/>
        <w:rPr>
          <w:sz w:val="26"/>
          <w:szCs w:val="26"/>
        </w:rPr>
      </w:pPr>
    </w:p>
    <w:p w:rsidR="00F51C1F" w:rsidRDefault="00F51C1F" w:rsidP="007C4E33">
      <w:pPr>
        <w:autoSpaceDE/>
        <w:autoSpaceDN/>
        <w:ind w:firstLine="1440"/>
        <w:rPr>
          <w:sz w:val="26"/>
          <w:szCs w:val="26"/>
        </w:rPr>
      </w:pPr>
      <w:r>
        <w:rPr>
          <w:sz w:val="26"/>
          <w:szCs w:val="26"/>
        </w:rPr>
        <w:t>Next, PPL avers that RESA</w:t>
      </w:r>
      <w:r w:rsidR="000964BB">
        <w:rPr>
          <w:sz w:val="26"/>
          <w:szCs w:val="26"/>
        </w:rPr>
        <w:t>’</w:t>
      </w:r>
      <w:r>
        <w:rPr>
          <w:sz w:val="26"/>
          <w:szCs w:val="26"/>
        </w:rPr>
        <w:t>s assertion that the RR treats new and returning customers differently is incorrect as both groups will be exempt from the RR to the extent that they were not taking default service from PPL prior to their becoming default service customers.  PPL asserts that the purpose of the RR is to align transmission and generation supply costs with the customers who caused such costs to be incurred.  According to PPL, the RR applies the principles of cost causation equally to both new default service customers and customers returning to default service.  PPL notes that new customers did not contribute to the prior annual over or under collection and should not be charged or credited for such.  Similarly, customers returning to default service who shopped for less than twelve months did contribute to the prior annual over or under collections and should be charged or credited for such over or under collections</w:t>
      </w:r>
      <w:r w:rsidR="005C5507">
        <w:rPr>
          <w:sz w:val="26"/>
          <w:szCs w:val="26"/>
        </w:rPr>
        <w:t>.  PPL R. Exc. at 8-9.</w:t>
      </w:r>
    </w:p>
    <w:p w:rsidR="009A3F76" w:rsidRDefault="009A3F76" w:rsidP="007C4E33">
      <w:pPr>
        <w:autoSpaceDE/>
        <w:autoSpaceDN/>
        <w:ind w:firstLine="1440"/>
        <w:rPr>
          <w:sz w:val="26"/>
          <w:szCs w:val="26"/>
        </w:rPr>
      </w:pPr>
    </w:p>
    <w:p w:rsidR="009A3F76" w:rsidRDefault="009A3F76" w:rsidP="007C4E33">
      <w:pPr>
        <w:autoSpaceDE/>
        <w:autoSpaceDN/>
        <w:ind w:firstLine="1440"/>
        <w:rPr>
          <w:sz w:val="26"/>
          <w:szCs w:val="26"/>
        </w:rPr>
      </w:pPr>
      <w:r>
        <w:rPr>
          <w:sz w:val="26"/>
          <w:szCs w:val="26"/>
        </w:rPr>
        <w:t>Next, PPL avers that the argument that the RR provides an incenti</w:t>
      </w:r>
      <w:r w:rsidR="00E200F2">
        <w:rPr>
          <w:sz w:val="26"/>
          <w:szCs w:val="26"/>
        </w:rPr>
        <w:t xml:space="preserve">ve to </w:t>
      </w:r>
      <w:r w:rsidR="000964BB">
        <w:rPr>
          <w:sz w:val="26"/>
          <w:szCs w:val="26"/>
        </w:rPr>
        <w:t>“</w:t>
      </w:r>
      <w:r w:rsidR="00E200F2">
        <w:rPr>
          <w:sz w:val="26"/>
          <w:szCs w:val="26"/>
        </w:rPr>
        <w:t>understate</w:t>
      </w:r>
      <w:r w:rsidR="000964BB">
        <w:rPr>
          <w:sz w:val="26"/>
          <w:szCs w:val="26"/>
        </w:rPr>
        <w:t>”</w:t>
      </w:r>
      <w:r w:rsidR="00E200F2">
        <w:rPr>
          <w:sz w:val="26"/>
          <w:szCs w:val="26"/>
        </w:rPr>
        <w:t xml:space="preserve"> or offer an </w:t>
      </w:r>
      <w:r w:rsidR="000964BB">
        <w:rPr>
          <w:sz w:val="26"/>
          <w:szCs w:val="26"/>
        </w:rPr>
        <w:t>“</w:t>
      </w:r>
      <w:r>
        <w:rPr>
          <w:sz w:val="26"/>
          <w:szCs w:val="26"/>
        </w:rPr>
        <w:t>artificially subsid</w:t>
      </w:r>
      <w:r w:rsidR="00A2496D">
        <w:rPr>
          <w:sz w:val="26"/>
          <w:szCs w:val="26"/>
        </w:rPr>
        <w:t>iz</w:t>
      </w:r>
      <w:r>
        <w:rPr>
          <w:sz w:val="26"/>
          <w:szCs w:val="26"/>
        </w:rPr>
        <w:t>ed lower</w:t>
      </w:r>
      <w:r w:rsidR="000964BB">
        <w:rPr>
          <w:sz w:val="26"/>
          <w:szCs w:val="26"/>
        </w:rPr>
        <w:t>”</w:t>
      </w:r>
      <w:r>
        <w:rPr>
          <w:sz w:val="26"/>
          <w:szCs w:val="26"/>
        </w:rPr>
        <w:t xml:space="preserve"> default service rate </w:t>
      </w:r>
      <w:r w:rsidR="00EE61F2">
        <w:rPr>
          <w:sz w:val="26"/>
          <w:szCs w:val="26"/>
        </w:rPr>
        <w:t>is premised on the incorrect assumption that there is some motive or benefit to drive shopping customers to default service.  According to PPL, unlike competitive suppliers, default service providers do not procure and provide customers with default service supply for a profit, and therefore there is no motive to drive shopping customers to switch to default service</w:t>
      </w:r>
      <w:r w:rsidR="00A2496D">
        <w:rPr>
          <w:sz w:val="26"/>
          <w:szCs w:val="26"/>
        </w:rPr>
        <w:t>.</w:t>
      </w:r>
      <w:r w:rsidR="00EE61F2">
        <w:rPr>
          <w:sz w:val="26"/>
          <w:szCs w:val="26"/>
        </w:rPr>
        <w:t xml:space="preserve">  </w:t>
      </w:r>
      <w:r w:rsidR="00EE61F2">
        <w:rPr>
          <w:sz w:val="26"/>
          <w:szCs w:val="26"/>
        </w:rPr>
        <w:lastRenderedPageBreak/>
        <w:t>PPL maintains that the purpose of the RR is to more closely align over and/or under collection balances with the customers who created such balances</w:t>
      </w:r>
      <w:r w:rsidR="00A2496D">
        <w:rPr>
          <w:sz w:val="26"/>
          <w:szCs w:val="26"/>
        </w:rPr>
        <w:t>,</w:t>
      </w:r>
      <w:r w:rsidR="00EE61F2">
        <w:rPr>
          <w:sz w:val="26"/>
          <w:szCs w:val="26"/>
        </w:rPr>
        <w:t xml:space="preserve"> to remove volatility from the PTC and </w:t>
      </w:r>
      <w:r w:rsidR="00A2496D">
        <w:rPr>
          <w:sz w:val="26"/>
          <w:szCs w:val="26"/>
        </w:rPr>
        <w:t xml:space="preserve">to </w:t>
      </w:r>
      <w:r w:rsidR="00EE61F2">
        <w:rPr>
          <w:sz w:val="26"/>
          <w:szCs w:val="26"/>
        </w:rPr>
        <w:t>help ensure that PPL recovers its costs to provide default service in a full and timely manner.  PPL R. Exc. at 11-12.</w:t>
      </w:r>
    </w:p>
    <w:p w:rsidR="009073D2" w:rsidRDefault="009073D2" w:rsidP="007C4E33">
      <w:pPr>
        <w:autoSpaceDE/>
        <w:autoSpaceDN/>
        <w:ind w:firstLine="1440"/>
        <w:rPr>
          <w:sz w:val="26"/>
          <w:szCs w:val="26"/>
        </w:rPr>
      </w:pPr>
    </w:p>
    <w:p w:rsidR="009073D2" w:rsidRDefault="009073D2" w:rsidP="007C4E33">
      <w:pPr>
        <w:autoSpaceDE/>
        <w:autoSpaceDN/>
        <w:ind w:firstLine="1440"/>
        <w:rPr>
          <w:sz w:val="26"/>
          <w:szCs w:val="26"/>
        </w:rPr>
      </w:pPr>
      <w:r>
        <w:rPr>
          <w:sz w:val="26"/>
          <w:szCs w:val="26"/>
        </w:rPr>
        <w:t>PPL also maintains that the RR will simplify the PTC and should make the PTC easier for customers to understand because it will remove from the PTC all balances arising from reconciliation of PPL</w:t>
      </w:r>
      <w:r w:rsidR="000964BB">
        <w:rPr>
          <w:sz w:val="26"/>
          <w:szCs w:val="26"/>
        </w:rPr>
        <w:t>’</w:t>
      </w:r>
      <w:r>
        <w:rPr>
          <w:sz w:val="26"/>
          <w:szCs w:val="26"/>
        </w:rPr>
        <w:t>s default service rates and will more accurately reflect the actual costs to acquire default service.  According to PPL, customers will be able to more easily use that data to evaluate offers from competitive suppliers and make informed shopping decisions.  Additionally, PPL contends that it will provide customers with detailed education about the RR before it is implemented.  The Company believes the concerns of the OCA and RESA regarding customer confusion are unwarranted.  PPL R. Exc. at 15-16.</w:t>
      </w:r>
    </w:p>
    <w:p w:rsidR="001C0192" w:rsidRDefault="001C0192" w:rsidP="007C4E33">
      <w:pPr>
        <w:autoSpaceDE/>
        <w:autoSpaceDN/>
        <w:ind w:firstLine="1440"/>
        <w:rPr>
          <w:sz w:val="26"/>
          <w:szCs w:val="26"/>
        </w:rPr>
      </w:pPr>
    </w:p>
    <w:p w:rsidR="00D9017C" w:rsidRDefault="00D9017C" w:rsidP="007C4E33">
      <w:pPr>
        <w:autoSpaceDE/>
        <w:autoSpaceDN/>
        <w:ind w:firstLine="1440"/>
        <w:rPr>
          <w:sz w:val="26"/>
          <w:szCs w:val="26"/>
        </w:rPr>
      </w:pPr>
      <w:r>
        <w:rPr>
          <w:sz w:val="26"/>
          <w:szCs w:val="26"/>
        </w:rPr>
        <w:t>In its Reply Exceptions, the OSBA avers that PPL</w:t>
      </w:r>
      <w:r w:rsidR="000964BB">
        <w:rPr>
          <w:sz w:val="26"/>
          <w:szCs w:val="26"/>
        </w:rPr>
        <w:t>’</w:t>
      </w:r>
      <w:r>
        <w:rPr>
          <w:sz w:val="26"/>
          <w:szCs w:val="26"/>
        </w:rPr>
        <w:t>s current reconciliation mechanism is unfair and that substantial variances are likely to continue.  Therefore, the OSBA argues that the equity consideration</w:t>
      </w:r>
      <w:r w:rsidR="001D0F4D">
        <w:rPr>
          <w:sz w:val="26"/>
          <w:szCs w:val="26"/>
        </w:rPr>
        <w:t>s</w:t>
      </w:r>
      <w:r>
        <w:rPr>
          <w:sz w:val="26"/>
          <w:szCs w:val="26"/>
        </w:rPr>
        <w:t xml:space="preserve"> outweigh the concerns expressed with the increased complexity of the RR.  The OSBA opines that until such time as PPL adopts accounting and forecasting procedures that result in small variances, it is both reasonable and necessary to adopt a reconciliation mechanism that properly matches recovery (or refund</w:t>
      </w:r>
      <w:r w:rsidR="00A129CB">
        <w:rPr>
          <w:sz w:val="26"/>
          <w:szCs w:val="26"/>
        </w:rPr>
        <w:t>)</w:t>
      </w:r>
      <w:r>
        <w:rPr>
          <w:sz w:val="26"/>
          <w:szCs w:val="26"/>
        </w:rPr>
        <w:t xml:space="preserve"> of the large variance with the specific customers who caused that variance.  According to the OSBA, PPL</w:t>
      </w:r>
      <w:r w:rsidR="000964BB">
        <w:rPr>
          <w:sz w:val="26"/>
          <w:szCs w:val="26"/>
        </w:rPr>
        <w:t>’</w:t>
      </w:r>
      <w:r>
        <w:rPr>
          <w:sz w:val="26"/>
          <w:szCs w:val="26"/>
        </w:rPr>
        <w:t xml:space="preserve">s RR proposal achieves that objective, with the modest cost </w:t>
      </w:r>
      <w:r w:rsidR="001D0F4D">
        <w:rPr>
          <w:sz w:val="26"/>
          <w:szCs w:val="26"/>
        </w:rPr>
        <w:t xml:space="preserve">of increased </w:t>
      </w:r>
      <w:r>
        <w:rPr>
          <w:sz w:val="26"/>
          <w:szCs w:val="26"/>
        </w:rPr>
        <w:t>complexity.  OSBA R. Exc. at 6-7.</w:t>
      </w:r>
    </w:p>
    <w:p w:rsidR="00FD4199" w:rsidRDefault="00FD4199" w:rsidP="007C4E33">
      <w:pPr>
        <w:autoSpaceDE/>
        <w:autoSpaceDN/>
        <w:ind w:firstLine="1440"/>
        <w:rPr>
          <w:sz w:val="26"/>
          <w:szCs w:val="26"/>
        </w:rPr>
      </w:pPr>
    </w:p>
    <w:p w:rsidR="00FD4199" w:rsidRPr="00FD4199" w:rsidRDefault="00FD4199" w:rsidP="001C0192">
      <w:pPr>
        <w:pStyle w:val="Heading3"/>
        <w:keepNext/>
      </w:pPr>
      <w:bookmarkStart w:id="44" w:name="_Toc329245858"/>
      <w:bookmarkStart w:id="45" w:name="_Toc329688395"/>
      <w:r>
        <w:t>5.</w:t>
      </w:r>
      <w:r>
        <w:tab/>
        <w:t>Disposition</w:t>
      </w:r>
      <w:bookmarkEnd w:id="44"/>
      <w:bookmarkEnd w:id="45"/>
    </w:p>
    <w:p w:rsidR="00CB0A70" w:rsidRDefault="00CB0A70" w:rsidP="001C0192">
      <w:pPr>
        <w:keepNext/>
        <w:autoSpaceDE/>
        <w:autoSpaceDN/>
        <w:ind w:firstLine="1440"/>
        <w:rPr>
          <w:sz w:val="26"/>
          <w:szCs w:val="26"/>
        </w:rPr>
      </w:pPr>
    </w:p>
    <w:p w:rsidR="008F2FD9" w:rsidRDefault="009865FE" w:rsidP="007C4E33">
      <w:pPr>
        <w:autoSpaceDE/>
        <w:autoSpaceDN/>
        <w:ind w:firstLine="1440"/>
        <w:rPr>
          <w:sz w:val="26"/>
          <w:szCs w:val="26"/>
        </w:rPr>
      </w:pPr>
      <w:r>
        <w:rPr>
          <w:sz w:val="26"/>
          <w:szCs w:val="26"/>
        </w:rPr>
        <w:t xml:space="preserve">Based upon our review and analysis of the evidence of record, we are not convinced that the changes proposed by PPL to its currently </w:t>
      </w:r>
      <w:r w:rsidR="001D0F4D">
        <w:rPr>
          <w:sz w:val="26"/>
          <w:szCs w:val="26"/>
        </w:rPr>
        <w:t xml:space="preserve">effective default service </w:t>
      </w:r>
      <w:r>
        <w:rPr>
          <w:sz w:val="26"/>
          <w:szCs w:val="26"/>
        </w:rPr>
        <w:lastRenderedPageBreak/>
        <w:t>reconciliation mechanism are necessary or appropriate</w:t>
      </w:r>
      <w:r w:rsidR="00A129CB">
        <w:rPr>
          <w:sz w:val="26"/>
          <w:szCs w:val="26"/>
        </w:rPr>
        <w:t xml:space="preserve"> at this time</w:t>
      </w:r>
      <w:r>
        <w:rPr>
          <w:sz w:val="26"/>
          <w:szCs w:val="26"/>
        </w:rPr>
        <w:t>.</w:t>
      </w:r>
      <w:r w:rsidR="00A129CB">
        <w:rPr>
          <w:sz w:val="26"/>
          <w:szCs w:val="26"/>
        </w:rPr>
        <w:t xml:space="preserve">  We find that PPL has failed to meet its burden of proof that the significant changes it has proposed to its </w:t>
      </w:r>
      <w:r w:rsidR="00F012E8">
        <w:rPr>
          <w:sz w:val="26"/>
          <w:szCs w:val="26"/>
        </w:rPr>
        <w:t xml:space="preserve">existing </w:t>
      </w:r>
      <w:r w:rsidR="00A129CB">
        <w:rPr>
          <w:sz w:val="26"/>
          <w:szCs w:val="26"/>
        </w:rPr>
        <w:t>default service reconciliation mechanism are required.</w:t>
      </w:r>
      <w:r w:rsidR="008F171A">
        <w:rPr>
          <w:sz w:val="26"/>
          <w:szCs w:val="26"/>
        </w:rPr>
        <w:t xml:space="preserve">  We disagree with the conclusion of the ALJ that PPL has successfully shown a need for the RR at this time.  Therefore, we grant the Exceptions of the OCA and RESA with regard to the need for the RR and reject the recommendation of the ALJ.</w:t>
      </w:r>
      <w:r w:rsidR="005F520F">
        <w:rPr>
          <w:sz w:val="26"/>
          <w:szCs w:val="26"/>
        </w:rPr>
        <w:t xml:space="preserve">  </w:t>
      </w:r>
      <w:r w:rsidR="008F171A">
        <w:rPr>
          <w:sz w:val="26"/>
          <w:szCs w:val="26"/>
        </w:rPr>
        <w:t xml:space="preserve"> </w:t>
      </w:r>
    </w:p>
    <w:p w:rsidR="008F2FD9" w:rsidRDefault="008F2FD9" w:rsidP="007C4E33">
      <w:pPr>
        <w:autoSpaceDE/>
        <w:autoSpaceDN/>
        <w:ind w:firstLine="1440"/>
        <w:rPr>
          <w:sz w:val="26"/>
          <w:szCs w:val="26"/>
        </w:rPr>
      </w:pPr>
    </w:p>
    <w:p w:rsidR="008F2FD9" w:rsidRDefault="001D0F4D" w:rsidP="008F2FD9">
      <w:pPr>
        <w:ind w:firstLine="1440"/>
        <w:rPr>
          <w:sz w:val="26"/>
          <w:szCs w:val="26"/>
        </w:rPr>
      </w:pPr>
      <w:r>
        <w:rPr>
          <w:sz w:val="26"/>
          <w:szCs w:val="26"/>
        </w:rPr>
        <w:t>I</w:t>
      </w:r>
      <w:r w:rsidR="008F2FD9">
        <w:rPr>
          <w:sz w:val="26"/>
          <w:szCs w:val="26"/>
        </w:rPr>
        <w:t>t has become apparent from the issues litigated in this and other related proceedings that the traditional methods of reconciliation accounting associated with default service costs in this post-rate cap era may have resulted in excessive rate volatility and inaccurate price signals for electricity</w:t>
      </w:r>
      <w:r>
        <w:rPr>
          <w:sz w:val="26"/>
          <w:szCs w:val="26"/>
        </w:rPr>
        <w:t xml:space="preserve"> consumers in Pennsylvania.  However</w:t>
      </w:r>
      <w:r w:rsidR="008F2FD9">
        <w:rPr>
          <w:sz w:val="26"/>
          <w:szCs w:val="26"/>
        </w:rPr>
        <w:t>, we do not believe it would be appropriate</w:t>
      </w:r>
      <w:r>
        <w:rPr>
          <w:sz w:val="26"/>
          <w:szCs w:val="26"/>
        </w:rPr>
        <w:t xml:space="preserve"> to implement any of PPL</w:t>
      </w:r>
      <w:r w:rsidR="000964BB">
        <w:rPr>
          <w:sz w:val="26"/>
          <w:szCs w:val="26"/>
        </w:rPr>
        <w:t>’</w:t>
      </w:r>
      <w:r>
        <w:rPr>
          <w:sz w:val="26"/>
          <w:szCs w:val="26"/>
        </w:rPr>
        <w:t xml:space="preserve">s </w:t>
      </w:r>
      <w:r w:rsidR="008F2FD9">
        <w:rPr>
          <w:sz w:val="26"/>
          <w:szCs w:val="26"/>
        </w:rPr>
        <w:t xml:space="preserve">requested changes </w:t>
      </w:r>
      <w:r w:rsidR="005F520F">
        <w:rPr>
          <w:sz w:val="26"/>
          <w:szCs w:val="26"/>
        </w:rPr>
        <w:t>to its</w:t>
      </w:r>
      <w:r w:rsidR="008F2FD9">
        <w:rPr>
          <w:sz w:val="26"/>
          <w:szCs w:val="26"/>
        </w:rPr>
        <w:t xml:space="preserve"> existing methodology within this proceeding in th</w:t>
      </w:r>
      <w:r>
        <w:rPr>
          <w:sz w:val="26"/>
          <w:szCs w:val="26"/>
        </w:rPr>
        <w:t>e context of a single utility and</w:t>
      </w:r>
      <w:r w:rsidR="008F2FD9">
        <w:rPr>
          <w:sz w:val="26"/>
          <w:szCs w:val="26"/>
        </w:rPr>
        <w:t xml:space="preserve"> a single reconciliation clause.  Instead, we are of the opinion</w:t>
      </w:r>
      <w:r>
        <w:rPr>
          <w:sz w:val="26"/>
          <w:szCs w:val="26"/>
        </w:rPr>
        <w:t xml:space="preserve"> that any revisions should </w:t>
      </w:r>
      <w:r w:rsidR="008F2FD9">
        <w:rPr>
          <w:sz w:val="26"/>
          <w:szCs w:val="26"/>
        </w:rPr>
        <w:t xml:space="preserve">be made </w:t>
      </w:r>
      <w:r>
        <w:rPr>
          <w:sz w:val="26"/>
          <w:szCs w:val="26"/>
        </w:rPr>
        <w:t xml:space="preserve">only </w:t>
      </w:r>
      <w:r w:rsidR="008F2FD9">
        <w:rPr>
          <w:sz w:val="26"/>
          <w:szCs w:val="26"/>
        </w:rPr>
        <w:t>on a prospective basis in a generic proceeding where all affected utilities and interested parties</w:t>
      </w:r>
      <w:r w:rsidR="00632DE9">
        <w:rPr>
          <w:sz w:val="26"/>
          <w:szCs w:val="26"/>
        </w:rPr>
        <w:t xml:space="preserve"> </w:t>
      </w:r>
      <w:r w:rsidR="008F2FD9">
        <w:rPr>
          <w:sz w:val="26"/>
          <w:szCs w:val="26"/>
        </w:rPr>
        <w:t xml:space="preserve">have the opportunity to participate.  Therefore, the Commission will be issuing an order in the immediate future which opens a docket and seeks comments and reply comments on </w:t>
      </w:r>
      <w:r w:rsidR="000964BB">
        <w:rPr>
          <w:sz w:val="26"/>
          <w:szCs w:val="26"/>
        </w:rPr>
        <w:t>“</w:t>
      </w:r>
      <w:r w:rsidR="008F2FD9">
        <w:rPr>
          <w:sz w:val="26"/>
          <w:szCs w:val="26"/>
        </w:rPr>
        <w:t>Default Service Reconciliation Interim Guidelines.</w:t>
      </w:r>
      <w:r w:rsidR="000964BB">
        <w:rPr>
          <w:sz w:val="26"/>
          <w:szCs w:val="26"/>
        </w:rPr>
        <w:t>”</w:t>
      </w:r>
      <w:r w:rsidR="008F2FD9">
        <w:rPr>
          <w:sz w:val="26"/>
          <w:szCs w:val="26"/>
        </w:rPr>
        <w:t xml:space="preserve">  It is the current intention of the Commission to address all issues regarding default service reconciliation riders generically, establish interim guidelines and make any necessary changes to our ex</w:t>
      </w:r>
      <w:r w:rsidR="00E42579">
        <w:rPr>
          <w:sz w:val="26"/>
          <w:szCs w:val="26"/>
        </w:rPr>
        <w:t>isting default service R</w:t>
      </w:r>
      <w:r w:rsidR="008F2FD9">
        <w:rPr>
          <w:sz w:val="26"/>
          <w:szCs w:val="26"/>
        </w:rPr>
        <w:t>egulations.</w:t>
      </w:r>
    </w:p>
    <w:p w:rsidR="008F2FD9" w:rsidRDefault="008F2FD9" w:rsidP="008F2FD9">
      <w:pPr>
        <w:rPr>
          <w:sz w:val="26"/>
          <w:szCs w:val="26"/>
        </w:rPr>
      </w:pPr>
    </w:p>
    <w:p w:rsidR="005F520F" w:rsidRPr="000966B9" w:rsidRDefault="008F2FD9" w:rsidP="008F2FD9">
      <w:pPr>
        <w:rPr>
          <w:sz w:val="26"/>
          <w:szCs w:val="26"/>
        </w:rPr>
      </w:pPr>
      <w:r>
        <w:rPr>
          <w:sz w:val="26"/>
          <w:szCs w:val="26"/>
        </w:rPr>
        <w:tab/>
      </w:r>
      <w:r>
        <w:rPr>
          <w:sz w:val="26"/>
          <w:szCs w:val="26"/>
        </w:rPr>
        <w:tab/>
        <w:t xml:space="preserve">Based upon the above determination to address default service reconciliation issues generically, </w:t>
      </w:r>
      <w:r w:rsidR="00FB2722">
        <w:rPr>
          <w:sz w:val="26"/>
          <w:szCs w:val="26"/>
        </w:rPr>
        <w:t>we deny, without prejudice, the request of PPL to implement the RR.  W</w:t>
      </w:r>
      <w:r>
        <w:rPr>
          <w:sz w:val="26"/>
          <w:szCs w:val="26"/>
        </w:rPr>
        <w:t>e also reject the recommendation of the ALJ to require PPL to reconcile the GSC-1 rate class annually.  On this issue we</w:t>
      </w:r>
      <w:r w:rsidR="00E42579">
        <w:rPr>
          <w:sz w:val="26"/>
          <w:szCs w:val="26"/>
        </w:rPr>
        <w:t xml:space="preserve"> do not share, at this time, </w:t>
      </w:r>
      <w:r>
        <w:rPr>
          <w:sz w:val="26"/>
          <w:szCs w:val="26"/>
        </w:rPr>
        <w:t xml:space="preserve">the opinion of the ALJ and PPL, that the quarterly reconciliation of default service costs was a major contributing factor to the significant rate increase to the small C&amp;I customers.  </w:t>
      </w:r>
    </w:p>
    <w:p w:rsidR="00E35ECD" w:rsidRPr="00506DE1" w:rsidRDefault="00506DE1" w:rsidP="009D536E">
      <w:pPr>
        <w:pStyle w:val="Heading2"/>
        <w:keepNext/>
        <w:spacing w:line="240" w:lineRule="auto"/>
        <w:ind w:left="720" w:hanging="720"/>
        <w:rPr>
          <w:szCs w:val="24"/>
        </w:rPr>
      </w:pPr>
      <w:bookmarkStart w:id="46" w:name="_Toc329245859"/>
      <w:bookmarkStart w:id="47" w:name="_Toc329688396"/>
      <w:r w:rsidRPr="00506DE1">
        <w:lastRenderedPageBreak/>
        <w:t>E</w:t>
      </w:r>
      <w:r w:rsidR="00E35ECD" w:rsidRPr="00506DE1">
        <w:t>.</w:t>
      </w:r>
      <w:r w:rsidR="00E35ECD" w:rsidRPr="00506DE1">
        <w:tab/>
        <w:t>Inclusion of the Residential and Small C&amp;I TOU program over and under collections in the RR and CTR rates applicable to the respective Residential and Small C&amp;I customer classes</w:t>
      </w:r>
      <w:bookmarkEnd w:id="46"/>
      <w:bookmarkEnd w:id="47"/>
      <w:r w:rsidR="00E77EC5" w:rsidRPr="00506DE1">
        <w:fldChar w:fldCharType="begin"/>
      </w:r>
      <w:r w:rsidR="00E77EC5" w:rsidRPr="00506DE1">
        <w:instrText xml:space="preserve"> TC "</w:instrText>
      </w:r>
      <w:bookmarkStart w:id="48" w:name="_Toc329245161"/>
      <w:r w:rsidR="00E77EC5" w:rsidRPr="00506DE1">
        <w:instrText>3.</w:instrText>
      </w:r>
      <w:r w:rsidR="00E77EC5" w:rsidRPr="00506DE1">
        <w:tab/>
        <w:instrText>Inclusion of the Residential and Small C&amp;I TOU program over and under collections in the RR and CTR rates applicable to the respective Residential and Small C&amp;I customer classes</w:instrText>
      </w:r>
      <w:bookmarkEnd w:id="48"/>
      <w:r w:rsidR="00E77EC5" w:rsidRPr="00506DE1">
        <w:instrText>" \f C \l "</w:instrText>
      </w:r>
      <w:r w:rsidR="004F1A21" w:rsidRPr="00506DE1">
        <w:instrText>3</w:instrText>
      </w:r>
      <w:r w:rsidR="00E77EC5" w:rsidRPr="00506DE1">
        <w:instrText xml:space="preserve">" </w:instrText>
      </w:r>
      <w:r w:rsidR="00E77EC5" w:rsidRPr="00506DE1">
        <w:fldChar w:fldCharType="end"/>
      </w:r>
    </w:p>
    <w:p w:rsidR="00E35ECD" w:rsidRPr="00506DE1" w:rsidRDefault="00E35ECD" w:rsidP="001C0192">
      <w:pPr>
        <w:keepNext/>
        <w:ind w:left="720"/>
        <w:rPr>
          <w:sz w:val="26"/>
          <w:szCs w:val="26"/>
        </w:rPr>
      </w:pPr>
    </w:p>
    <w:p w:rsidR="00A50A59" w:rsidRPr="00506DE1" w:rsidRDefault="00506DE1" w:rsidP="001C0192">
      <w:pPr>
        <w:pStyle w:val="Heading3"/>
        <w:keepNext/>
      </w:pPr>
      <w:bookmarkStart w:id="49" w:name="_Toc329245860"/>
      <w:bookmarkStart w:id="50" w:name="_Toc329688397"/>
      <w:r w:rsidRPr="00506DE1">
        <w:t>1</w:t>
      </w:r>
      <w:r w:rsidR="00A50A59" w:rsidRPr="00506DE1">
        <w:t>.</w:t>
      </w:r>
      <w:r w:rsidR="00A50A59" w:rsidRPr="00506DE1">
        <w:tab/>
      </w:r>
      <w:r w:rsidR="0037559C">
        <w:t>Description</w:t>
      </w:r>
      <w:bookmarkEnd w:id="49"/>
      <w:bookmarkEnd w:id="50"/>
      <w:r w:rsidR="00A50A59" w:rsidRPr="00506DE1">
        <w:t xml:space="preserve"> </w:t>
      </w:r>
    </w:p>
    <w:p w:rsidR="00A50A59" w:rsidRPr="00506DE1" w:rsidRDefault="00A50A59" w:rsidP="00E42579">
      <w:pPr>
        <w:ind w:left="720"/>
        <w:rPr>
          <w:b/>
          <w:sz w:val="26"/>
          <w:szCs w:val="26"/>
        </w:rPr>
      </w:pPr>
    </w:p>
    <w:p w:rsidR="003332BF" w:rsidRPr="00506DE1" w:rsidRDefault="003332BF" w:rsidP="00E42579">
      <w:pPr>
        <w:rPr>
          <w:sz w:val="26"/>
          <w:szCs w:val="26"/>
        </w:rPr>
      </w:pPr>
      <w:r w:rsidRPr="00506DE1">
        <w:rPr>
          <w:sz w:val="26"/>
          <w:szCs w:val="26"/>
        </w:rPr>
        <w:tab/>
      </w:r>
      <w:r w:rsidRPr="00506DE1">
        <w:rPr>
          <w:sz w:val="26"/>
          <w:szCs w:val="26"/>
        </w:rPr>
        <w:tab/>
      </w:r>
      <w:r w:rsidR="0037559C">
        <w:rPr>
          <w:sz w:val="26"/>
          <w:szCs w:val="26"/>
        </w:rPr>
        <w:t>PPL</w:t>
      </w:r>
      <w:r w:rsidR="000964BB">
        <w:rPr>
          <w:sz w:val="26"/>
          <w:szCs w:val="26"/>
        </w:rPr>
        <w:t>’</w:t>
      </w:r>
      <w:r w:rsidR="00E42579">
        <w:rPr>
          <w:sz w:val="26"/>
          <w:szCs w:val="26"/>
        </w:rPr>
        <w:t xml:space="preserve">s </w:t>
      </w:r>
      <w:r w:rsidRPr="00506DE1">
        <w:rPr>
          <w:sz w:val="26"/>
          <w:szCs w:val="26"/>
        </w:rPr>
        <w:t xml:space="preserve">current default service TOU plan </w:t>
      </w:r>
      <w:r w:rsidR="00E42579">
        <w:rPr>
          <w:sz w:val="26"/>
          <w:szCs w:val="26"/>
        </w:rPr>
        <w:t xml:space="preserve">was approved by </w:t>
      </w:r>
      <w:r w:rsidRPr="00506DE1">
        <w:rPr>
          <w:sz w:val="26"/>
          <w:szCs w:val="26"/>
        </w:rPr>
        <w:t xml:space="preserve">the Commission </w:t>
      </w:r>
      <w:r w:rsidR="00E42579">
        <w:rPr>
          <w:sz w:val="26"/>
          <w:szCs w:val="26"/>
        </w:rPr>
        <w:t xml:space="preserve">in December 2010.  </w:t>
      </w:r>
      <w:r w:rsidR="00E42579" w:rsidRPr="00506DE1">
        <w:rPr>
          <w:i/>
          <w:sz w:val="26"/>
          <w:szCs w:val="26"/>
        </w:rPr>
        <w:t>PPL Electric Utilities Corporation</w:t>
      </w:r>
      <w:r w:rsidR="00E42579" w:rsidRPr="00506DE1">
        <w:rPr>
          <w:sz w:val="26"/>
          <w:szCs w:val="26"/>
        </w:rPr>
        <w:t xml:space="preserve"> </w:t>
      </w:r>
      <w:r w:rsidR="00E42579">
        <w:rPr>
          <w:i/>
          <w:sz w:val="26"/>
          <w:szCs w:val="26"/>
        </w:rPr>
        <w:t xml:space="preserve">Supplement No. 94 to Tariff Electric – Pa. P.U.C. No. 201- Time of Use Rates, </w:t>
      </w:r>
      <w:r w:rsidRPr="00506DE1">
        <w:rPr>
          <w:sz w:val="26"/>
          <w:szCs w:val="26"/>
        </w:rPr>
        <w:t>Docket No. R-2010-</w:t>
      </w:r>
      <w:r w:rsidR="0037559C">
        <w:rPr>
          <w:sz w:val="26"/>
          <w:szCs w:val="26"/>
        </w:rPr>
        <w:t>2201138</w:t>
      </w:r>
      <w:r w:rsidR="00E42579">
        <w:rPr>
          <w:sz w:val="26"/>
          <w:szCs w:val="26"/>
        </w:rPr>
        <w:t xml:space="preserve"> (Order entered December 2, 2010)(</w:t>
      </w:r>
      <w:r w:rsidR="00E42579">
        <w:rPr>
          <w:i/>
          <w:sz w:val="26"/>
          <w:szCs w:val="26"/>
        </w:rPr>
        <w:t>2010 PPL TOU Order)</w:t>
      </w:r>
      <w:r w:rsidR="0037559C">
        <w:rPr>
          <w:sz w:val="26"/>
          <w:szCs w:val="26"/>
        </w:rPr>
        <w:t xml:space="preserve">.  Therein, PPL </w:t>
      </w:r>
      <w:r w:rsidRPr="00506DE1">
        <w:rPr>
          <w:sz w:val="26"/>
          <w:szCs w:val="26"/>
        </w:rPr>
        <w:t>proposed to set default service TOU rates based upon market quotes on forward contracts for on-peak and off-peak wholesale energy within the PPL Zone for th</w:t>
      </w:r>
      <w:r w:rsidR="0037559C">
        <w:rPr>
          <w:sz w:val="26"/>
          <w:szCs w:val="26"/>
        </w:rPr>
        <w:t>e relevant period.  PPL</w:t>
      </w:r>
      <w:r w:rsidRPr="00506DE1">
        <w:rPr>
          <w:sz w:val="26"/>
          <w:szCs w:val="26"/>
        </w:rPr>
        <w:t xml:space="preserve"> also proposed to use the historical variation in Locational Marginal Prices to develop hourly prices and then develop on-peak and off-peak TOU rates based upon these hourly prices.  No party objected to this methodology and the Commission approved this methodology in its Order entered on December 2, 2010.  </w:t>
      </w:r>
      <w:r w:rsidR="006D0225">
        <w:rPr>
          <w:sz w:val="26"/>
          <w:szCs w:val="26"/>
        </w:rPr>
        <w:t>PPL M.B. at 52.</w:t>
      </w:r>
    </w:p>
    <w:p w:rsidR="00455319" w:rsidRPr="00506DE1" w:rsidRDefault="00455319" w:rsidP="00A50A59">
      <w:pPr>
        <w:spacing w:line="240" w:lineRule="auto"/>
        <w:ind w:left="1440" w:right="1440"/>
        <w:rPr>
          <w:sz w:val="26"/>
          <w:szCs w:val="26"/>
        </w:rPr>
      </w:pPr>
    </w:p>
    <w:p w:rsidR="00A50A59" w:rsidRPr="00506DE1" w:rsidRDefault="003332BF" w:rsidP="0037559C">
      <w:pPr>
        <w:rPr>
          <w:sz w:val="26"/>
          <w:szCs w:val="26"/>
        </w:rPr>
      </w:pPr>
      <w:r w:rsidRPr="00506DE1">
        <w:rPr>
          <w:sz w:val="26"/>
          <w:szCs w:val="26"/>
        </w:rPr>
        <w:tab/>
      </w:r>
      <w:r w:rsidR="00E42579">
        <w:rPr>
          <w:sz w:val="26"/>
          <w:szCs w:val="26"/>
        </w:rPr>
        <w:tab/>
      </w:r>
      <w:r w:rsidR="00A50A59" w:rsidRPr="00506DE1">
        <w:rPr>
          <w:sz w:val="26"/>
          <w:szCs w:val="26"/>
        </w:rPr>
        <w:t xml:space="preserve">PPL </w:t>
      </w:r>
      <w:r w:rsidR="0037559C">
        <w:rPr>
          <w:sz w:val="26"/>
          <w:szCs w:val="26"/>
        </w:rPr>
        <w:t xml:space="preserve">stated that its </w:t>
      </w:r>
      <w:r w:rsidR="00A50A59" w:rsidRPr="00506DE1">
        <w:rPr>
          <w:sz w:val="26"/>
          <w:szCs w:val="26"/>
        </w:rPr>
        <w:t xml:space="preserve">default service TOU rates were established pursuant to the </w:t>
      </w:r>
      <w:r w:rsidR="00E42579">
        <w:rPr>
          <w:i/>
          <w:sz w:val="26"/>
          <w:szCs w:val="26"/>
        </w:rPr>
        <w:t>2010 PPL TOU Order</w:t>
      </w:r>
      <w:r w:rsidR="00A50A59" w:rsidRPr="00506DE1">
        <w:rPr>
          <w:sz w:val="26"/>
          <w:szCs w:val="26"/>
        </w:rPr>
        <w:t xml:space="preserve"> and the terms and conditions of the Commission-approved TOU tariff provisions.  Pursuant thereto, the default service TOU rates were determined by applying the publicly available NYMEX prices to the load profiles that were approved by</w:t>
      </w:r>
      <w:r w:rsidR="0037559C">
        <w:rPr>
          <w:sz w:val="26"/>
          <w:szCs w:val="26"/>
        </w:rPr>
        <w:t xml:space="preserve"> the Commission in PPL</w:t>
      </w:r>
      <w:r w:rsidR="000964BB">
        <w:rPr>
          <w:sz w:val="26"/>
          <w:szCs w:val="26"/>
        </w:rPr>
        <w:t>’</w:t>
      </w:r>
      <w:r w:rsidR="0037559C">
        <w:rPr>
          <w:sz w:val="26"/>
          <w:szCs w:val="26"/>
        </w:rPr>
        <w:t xml:space="preserve">s </w:t>
      </w:r>
      <w:r w:rsidR="006D0225">
        <w:rPr>
          <w:sz w:val="26"/>
          <w:szCs w:val="26"/>
        </w:rPr>
        <w:t xml:space="preserve">TOU plan.  </w:t>
      </w:r>
      <w:r w:rsidR="006D0225">
        <w:rPr>
          <w:i/>
          <w:sz w:val="26"/>
          <w:szCs w:val="26"/>
        </w:rPr>
        <w:t>Id.</w:t>
      </w:r>
      <w:r w:rsidR="00A50A59" w:rsidRPr="00506DE1">
        <w:rPr>
          <w:sz w:val="26"/>
          <w:szCs w:val="26"/>
        </w:rPr>
        <w:t xml:space="preserve"> </w:t>
      </w:r>
      <w:r w:rsidR="0037559C">
        <w:rPr>
          <w:sz w:val="26"/>
          <w:szCs w:val="26"/>
        </w:rPr>
        <w:t xml:space="preserve">at </w:t>
      </w:r>
      <w:r w:rsidR="006D0225">
        <w:rPr>
          <w:sz w:val="26"/>
          <w:szCs w:val="26"/>
        </w:rPr>
        <w:t>53</w:t>
      </w:r>
      <w:r w:rsidR="00A50A59" w:rsidRPr="00506DE1">
        <w:rPr>
          <w:sz w:val="26"/>
          <w:szCs w:val="26"/>
        </w:rPr>
        <w:t>.</w:t>
      </w:r>
    </w:p>
    <w:p w:rsidR="00455319" w:rsidRPr="00506DE1" w:rsidRDefault="00455319" w:rsidP="00A50A59">
      <w:pPr>
        <w:spacing w:line="240" w:lineRule="auto"/>
        <w:ind w:left="1440" w:right="1440"/>
        <w:rPr>
          <w:sz w:val="26"/>
          <w:szCs w:val="26"/>
        </w:rPr>
      </w:pPr>
    </w:p>
    <w:p w:rsidR="00A50A59" w:rsidRPr="00506DE1" w:rsidRDefault="00A50A59" w:rsidP="0037559C">
      <w:pPr>
        <w:rPr>
          <w:sz w:val="26"/>
          <w:szCs w:val="26"/>
        </w:rPr>
      </w:pPr>
      <w:r w:rsidRPr="00506DE1">
        <w:rPr>
          <w:sz w:val="26"/>
          <w:szCs w:val="26"/>
        </w:rPr>
        <w:tab/>
      </w:r>
      <w:r w:rsidR="00BA0417">
        <w:rPr>
          <w:sz w:val="26"/>
          <w:szCs w:val="26"/>
        </w:rPr>
        <w:tab/>
      </w:r>
      <w:r w:rsidR="0037559C">
        <w:rPr>
          <w:sz w:val="26"/>
          <w:szCs w:val="26"/>
        </w:rPr>
        <w:t xml:space="preserve">PPL </w:t>
      </w:r>
      <w:r w:rsidR="00BA0417">
        <w:rPr>
          <w:sz w:val="26"/>
          <w:szCs w:val="26"/>
        </w:rPr>
        <w:t xml:space="preserve">was required to submit </w:t>
      </w:r>
      <w:r w:rsidRPr="00506DE1">
        <w:rPr>
          <w:sz w:val="26"/>
          <w:szCs w:val="26"/>
        </w:rPr>
        <w:t>proposed 2011 default service TOU rates for the Residential and Small C&amp;I customer classes to the Commission for review on December 1, 2010, and again on D</w:t>
      </w:r>
      <w:r w:rsidR="0037559C">
        <w:rPr>
          <w:sz w:val="26"/>
          <w:szCs w:val="26"/>
        </w:rPr>
        <w:t xml:space="preserve">ecember 14, 2010.  PPL </w:t>
      </w:r>
      <w:r w:rsidRPr="00506DE1">
        <w:rPr>
          <w:sz w:val="26"/>
          <w:szCs w:val="26"/>
        </w:rPr>
        <w:t xml:space="preserve">therefore waited until late November 2010 to obtain the most current NYMEX prices to be submitted with its proposed 2011 TOU rates.  The Commission approved the proposed default service TOU rates and they became effective on January 1, 2011.  However, due to unrest in Libya and global market conditions, oil prices spiked in February 2011 to their highest levels in </w:t>
      </w:r>
      <w:r w:rsidRPr="00506DE1">
        <w:rPr>
          <w:sz w:val="26"/>
          <w:szCs w:val="26"/>
        </w:rPr>
        <w:lastRenderedPageBreak/>
        <w:t xml:space="preserve">over two years.  </w:t>
      </w:r>
      <w:r w:rsidR="001B0CCD" w:rsidRPr="00506DE1">
        <w:rPr>
          <w:sz w:val="26"/>
          <w:szCs w:val="26"/>
        </w:rPr>
        <w:t>Th</w:t>
      </w:r>
      <w:r w:rsidRPr="00506DE1">
        <w:rPr>
          <w:sz w:val="26"/>
          <w:szCs w:val="26"/>
        </w:rPr>
        <w:t>is created a significant differential between the actual ma</w:t>
      </w:r>
      <w:r w:rsidR="0037559C">
        <w:rPr>
          <w:sz w:val="26"/>
          <w:szCs w:val="26"/>
        </w:rPr>
        <w:t>rket prices paid by PPL</w:t>
      </w:r>
      <w:r w:rsidRPr="00506DE1">
        <w:rPr>
          <w:sz w:val="26"/>
          <w:szCs w:val="26"/>
        </w:rPr>
        <w:t xml:space="preserve"> and the pricing information included in the Commission-approve</w:t>
      </w:r>
      <w:r w:rsidR="006D0225">
        <w:rPr>
          <w:sz w:val="26"/>
          <w:szCs w:val="26"/>
        </w:rPr>
        <w:t xml:space="preserve">d default service TOU rates.  </w:t>
      </w:r>
      <w:r w:rsidR="006D0225">
        <w:rPr>
          <w:i/>
          <w:sz w:val="26"/>
          <w:szCs w:val="26"/>
        </w:rPr>
        <w:t>Id</w:t>
      </w:r>
      <w:r w:rsidRPr="00506DE1">
        <w:rPr>
          <w:sz w:val="26"/>
          <w:szCs w:val="26"/>
        </w:rPr>
        <w:t>.</w:t>
      </w:r>
    </w:p>
    <w:p w:rsidR="00455319" w:rsidRPr="00506DE1" w:rsidRDefault="00455319" w:rsidP="0037559C">
      <w:pPr>
        <w:ind w:left="1440" w:right="1440"/>
        <w:rPr>
          <w:sz w:val="26"/>
          <w:szCs w:val="26"/>
        </w:rPr>
      </w:pPr>
    </w:p>
    <w:p w:rsidR="00A50A59" w:rsidRPr="00506DE1" w:rsidRDefault="00506DE1" w:rsidP="00211136">
      <w:pPr>
        <w:pStyle w:val="Heading3"/>
        <w:keepNext/>
      </w:pPr>
      <w:bookmarkStart w:id="51" w:name="_Toc329245861"/>
      <w:bookmarkStart w:id="52" w:name="_Toc329688398"/>
      <w:r w:rsidRPr="00506DE1">
        <w:t>2</w:t>
      </w:r>
      <w:r w:rsidR="000239A5" w:rsidRPr="00506DE1">
        <w:t>.</w:t>
      </w:r>
      <w:r w:rsidR="000239A5" w:rsidRPr="00506DE1">
        <w:tab/>
      </w:r>
      <w:r w:rsidRPr="00506DE1">
        <w:t>P</w:t>
      </w:r>
      <w:r w:rsidR="00A50A59" w:rsidRPr="00506DE1">
        <w:t>ositions</w:t>
      </w:r>
      <w:r w:rsidRPr="00506DE1">
        <w:t xml:space="preserve"> of the Parties</w:t>
      </w:r>
      <w:bookmarkEnd w:id="51"/>
      <w:bookmarkEnd w:id="52"/>
      <w:r w:rsidR="000239A5" w:rsidRPr="00506DE1">
        <w:fldChar w:fldCharType="begin"/>
      </w:r>
      <w:r w:rsidR="000239A5" w:rsidRPr="00506DE1">
        <w:instrText xml:space="preserve"> TC "</w:instrText>
      </w:r>
      <w:bookmarkStart w:id="53" w:name="_Toc329245162"/>
      <w:r w:rsidR="000239A5" w:rsidRPr="00506DE1">
        <w:instrText>b.</w:instrText>
      </w:r>
      <w:r w:rsidR="000239A5" w:rsidRPr="00506DE1">
        <w:tab/>
        <w:instrText>Party positions</w:instrText>
      </w:r>
      <w:bookmarkEnd w:id="53"/>
      <w:r w:rsidR="000239A5" w:rsidRPr="00506DE1">
        <w:instrText xml:space="preserve">" \f C \l "4" </w:instrText>
      </w:r>
      <w:r w:rsidR="000239A5" w:rsidRPr="00506DE1">
        <w:fldChar w:fldCharType="end"/>
      </w:r>
    </w:p>
    <w:p w:rsidR="00A50A59" w:rsidRDefault="00A50A59" w:rsidP="00211136">
      <w:pPr>
        <w:keepNext/>
        <w:rPr>
          <w:b/>
          <w:sz w:val="26"/>
          <w:szCs w:val="26"/>
        </w:rPr>
      </w:pPr>
    </w:p>
    <w:p w:rsidR="0037559C" w:rsidRPr="00506DE1" w:rsidRDefault="0037559C" w:rsidP="0037559C">
      <w:pPr>
        <w:tabs>
          <w:tab w:val="left" w:pos="0"/>
        </w:tabs>
        <w:rPr>
          <w:sz w:val="26"/>
          <w:szCs w:val="26"/>
        </w:rPr>
      </w:pPr>
      <w:r>
        <w:rPr>
          <w:sz w:val="26"/>
          <w:szCs w:val="26"/>
        </w:rPr>
        <w:tab/>
      </w:r>
      <w:r>
        <w:rPr>
          <w:sz w:val="26"/>
          <w:szCs w:val="26"/>
        </w:rPr>
        <w:tab/>
        <w:t xml:space="preserve">PPL maintained that it </w:t>
      </w:r>
      <w:r w:rsidRPr="00506DE1">
        <w:rPr>
          <w:sz w:val="26"/>
          <w:szCs w:val="26"/>
        </w:rPr>
        <w:t xml:space="preserve">has experienced significant under collections related to its Residential and Small C&amp;I TOU programs.  </w:t>
      </w:r>
      <w:r>
        <w:rPr>
          <w:sz w:val="26"/>
          <w:szCs w:val="26"/>
        </w:rPr>
        <w:t>According to PPL, t</w:t>
      </w:r>
      <w:r w:rsidRPr="00506DE1">
        <w:rPr>
          <w:sz w:val="26"/>
          <w:szCs w:val="26"/>
        </w:rPr>
        <w:t>hese under collections were not the result of PPL intentionally or negligently estimating its default service TOU rates</w:t>
      </w:r>
      <w:r w:rsidR="00BA0417">
        <w:rPr>
          <w:sz w:val="26"/>
          <w:szCs w:val="26"/>
        </w:rPr>
        <w:t>,</w:t>
      </w:r>
      <w:r w:rsidRPr="00506DE1">
        <w:rPr>
          <w:sz w:val="26"/>
          <w:szCs w:val="26"/>
        </w:rPr>
        <w:t xml:space="preserve"> as Dominion alleges</w:t>
      </w:r>
      <w:r w:rsidR="00BA0417">
        <w:rPr>
          <w:sz w:val="26"/>
          <w:szCs w:val="26"/>
        </w:rPr>
        <w:t>,</w:t>
      </w:r>
      <w:r w:rsidRPr="00506DE1">
        <w:rPr>
          <w:sz w:val="26"/>
          <w:szCs w:val="26"/>
        </w:rPr>
        <w:t xml:space="preserve"> but rather due to </w:t>
      </w:r>
      <w:r>
        <w:rPr>
          <w:sz w:val="26"/>
          <w:szCs w:val="26"/>
        </w:rPr>
        <w:t xml:space="preserve">the </w:t>
      </w:r>
      <w:r w:rsidRPr="00506DE1">
        <w:rPr>
          <w:sz w:val="26"/>
          <w:szCs w:val="26"/>
        </w:rPr>
        <w:t>timing of PPL</w:t>
      </w:r>
      <w:r w:rsidR="000964BB">
        <w:rPr>
          <w:sz w:val="26"/>
          <w:szCs w:val="26"/>
        </w:rPr>
        <w:t>’</w:t>
      </w:r>
      <w:r>
        <w:rPr>
          <w:sz w:val="26"/>
          <w:szCs w:val="26"/>
        </w:rPr>
        <w:t>s</w:t>
      </w:r>
      <w:r w:rsidRPr="00506DE1">
        <w:rPr>
          <w:sz w:val="26"/>
          <w:szCs w:val="26"/>
        </w:rPr>
        <w:t xml:space="preserve"> TOU program and global mark</w:t>
      </w:r>
      <w:r>
        <w:rPr>
          <w:sz w:val="26"/>
          <w:szCs w:val="26"/>
        </w:rPr>
        <w:t>et changes that were beyond PPL</w:t>
      </w:r>
      <w:r w:rsidR="000964BB">
        <w:rPr>
          <w:sz w:val="26"/>
          <w:szCs w:val="26"/>
        </w:rPr>
        <w:t>’</w:t>
      </w:r>
      <w:r w:rsidRPr="00506DE1">
        <w:rPr>
          <w:sz w:val="26"/>
          <w:szCs w:val="26"/>
        </w:rPr>
        <w:t>s control and which could not be predicted.</w:t>
      </w:r>
      <w:r>
        <w:rPr>
          <w:sz w:val="26"/>
          <w:szCs w:val="26"/>
        </w:rPr>
        <w:t xml:space="preserve">  </w:t>
      </w:r>
      <w:r w:rsidR="006D0225">
        <w:rPr>
          <w:i/>
          <w:sz w:val="26"/>
          <w:szCs w:val="26"/>
        </w:rPr>
        <w:t>Id.</w:t>
      </w:r>
      <w:r w:rsidRPr="00506DE1">
        <w:rPr>
          <w:sz w:val="26"/>
          <w:szCs w:val="26"/>
        </w:rPr>
        <w:t xml:space="preserve"> at 53-54.</w:t>
      </w:r>
    </w:p>
    <w:p w:rsidR="0037559C" w:rsidRPr="00506DE1" w:rsidRDefault="0037559C" w:rsidP="0037559C">
      <w:pPr>
        <w:rPr>
          <w:b/>
          <w:sz w:val="26"/>
          <w:szCs w:val="26"/>
        </w:rPr>
      </w:pPr>
    </w:p>
    <w:p w:rsidR="00E1197F" w:rsidRPr="00506DE1" w:rsidRDefault="00A50A59" w:rsidP="008135B0">
      <w:pPr>
        <w:rPr>
          <w:sz w:val="26"/>
          <w:szCs w:val="26"/>
        </w:rPr>
      </w:pPr>
      <w:r w:rsidRPr="00506DE1">
        <w:rPr>
          <w:b/>
          <w:sz w:val="26"/>
          <w:szCs w:val="26"/>
        </w:rPr>
        <w:tab/>
      </w:r>
      <w:r w:rsidRPr="00506DE1">
        <w:rPr>
          <w:b/>
          <w:sz w:val="26"/>
          <w:szCs w:val="26"/>
        </w:rPr>
        <w:tab/>
      </w:r>
      <w:r w:rsidR="00EA549A" w:rsidRPr="00506DE1">
        <w:rPr>
          <w:sz w:val="26"/>
          <w:szCs w:val="26"/>
        </w:rPr>
        <w:t xml:space="preserve">The </w:t>
      </w:r>
      <w:r w:rsidR="0037559C">
        <w:rPr>
          <w:sz w:val="26"/>
          <w:szCs w:val="26"/>
        </w:rPr>
        <w:t>I&amp;E averred</w:t>
      </w:r>
      <w:r w:rsidR="00EA549A" w:rsidRPr="00506DE1">
        <w:rPr>
          <w:sz w:val="26"/>
          <w:szCs w:val="26"/>
        </w:rPr>
        <w:t xml:space="preserve"> that the TOU program is not a default service program because it requires active election by the participants</w:t>
      </w:r>
      <w:r w:rsidR="00E1197F" w:rsidRPr="00506DE1">
        <w:rPr>
          <w:sz w:val="26"/>
          <w:szCs w:val="26"/>
        </w:rPr>
        <w:t xml:space="preserve">, unlike true default service, and therefore, it should not be included in the other </w:t>
      </w:r>
      <w:r w:rsidR="002D1F10">
        <w:rPr>
          <w:sz w:val="26"/>
          <w:szCs w:val="26"/>
        </w:rPr>
        <w:t xml:space="preserve">default service </w:t>
      </w:r>
      <w:r w:rsidR="001774E6">
        <w:rPr>
          <w:sz w:val="26"/>
          <w:szCs w:val="26"/>
        </w:rPr>
        <w:t xml:space="preserve">programs for reconciliation.  </w:t>
      </w:r>
      <w:r w:rsidR="002D1F10">
        <w:rPr>
          <w:sz w:val="26"/>
          <w:szCs w:val="26"/>
        </w:rPr>
        <w:t xml:space="preserve">The </w:t>
      </w:r>
      <w:r w:rsidR="001774E6">
        <w:rPr>
          <w:sz w:val="26"/>
          <w:szCs w:val="26"/>
        </w:rPr>
        <w:t>I</w:t>
      </w:r>
      <w:r w:rsidR="0037559C">
        <w:rPr>
          <w:sz w:val="26"/>
          <w:szCs w:val="26"/>
        </w:rPr>
        <w:t>&amp;E averred</w:t>
      </w:r>
      <w:r w:rsidR="002D1F10">
        <w:rPr>
          <w:sz w:val="26"/>
          <w:szCs w:val="26"/>
        </w:rPr>
        <w:t xml:space="preserve"> further that the Company </w:t>
      </w:r>
      <w:r w:rsidR="00E1197F" w:rsidRPr="00506DE1">
        <w:rPr>
          <w:sz w:val="26"/>
          <w:szCs w:val="26"/>
        </w:rPr>
        <w:t>failed to meet its burden of proving that the TOU is a default program, and therefore, it is not automatically entitled to recover its costs in implementing it.</w:t>
      </w:r>
      <w:r w:rsidR="008135B0">
        <w:rPr>
          <w:sz w:val="26"/>
          <w:szCs w:val="26"/>
        </w:rPr>
        <w:t xml:space="preserve">  According to </w:t>
      </w:r>
      <w:r w:rsidR="002D1F10">
        <w:rPr>
          <w:sz w:val="26"/>
          <w:szCs w:val="26"/>
        </w:rPr>
        <w:t xml:space="preserve">the </w:t>
      </w:r>
      <w:r w:rsidR="008135B0">
        <w:rPr>
          <w:sz w:val="26"/>
          <w:szCs w:val="26"/>
        </w:rPr>
        <w:t>I&amp;E, o</w:t>
      </w:r>
      <w:r w:rsidR="00E1197F" w:rsidRPr="00506DE1">
        <w:rPr>
          <w:sz w:val="26"/>
          <w:szCs w:val="26"/>
        </w:rPr>
        <w:t xml:space="preserve">nly the reasonable costs associated with default service are eligible for recovery.  </w:t>
      </w:r>
      <w:r w:rsidR="002D1F10">
        <w:rPr>
          <w:sz w:val="26"/>
          <w:szCs w:val="26"/>
        </w:rPr>
        <w:t xml:space="preserve">The </w:t>
      </w:r>
      <w:r w:rsidR="008135B0">
        <w:rPr>
          <w:sz w:val="26"/>
          <w:szCs w:val="26"/>
        </w:rPr>
        <w:t>I&amp;E stated that</w:t>
      </w:r>
      <w:r w:rsidR="002D1F10">
        <w:rPr>
          <w:sz w:val="26"/>
          <w:szCs w:val="26"/>
        </w:rPr>
        <w:t>,</w:t>
      </w:r>
      <w:r w:rsidR="008135B0">
        <w:rPr>
          <w:sz w:val="26"/>
          <w:szCs w:val="26"/>
        </w:rPr>
        <w:t xml:space="preserve"> a</w:t>
      </w:r>
      <w:r w:rsidR="00E1197F" w:rsidRPr="00506DE1">
        <w:rPr>
          <w:sz w:val="26"/>
          <w:szCs w:val="26"/>
        </w:rPr>
        <w:t xml:space="preserve">s the Company has failed to meet the evidentiary standard in support of the characterization of the TOU program as default service, any revenue discrepancies are at the risk of the Company and/or customer.  </w:t>
      </w:r>
      <w:r w:rsidR="006D0225">
        <w:rPr>
          <w:sz w:val="26"/>
          <w:szCs w:val="26"/>
        </w:rPr>
        <w:t>I&amp;E M.B. at 7-</w:t>
      </w:r>
      <w:r w:rsidR="0072084E">
        <w:rPr>
          <w:sz w:val="26"/>
          <w:szCs w:val="26"/>
        </w:rPr>
        <w:t>9</w:t>
      </w:r>
      <w:r w:rsidR="008135B0">
        <w:rPr>
          <w:sz w:val="26"/>
          <w:szCs w:val="26"/>
        </w:rPr>
        <w:t xml:space="preserve"> .</w:t>
      </w:r>
    </w:p>
    <w:p w:rsidR="00E1197F" w:rsidRPr="00506DE1" w:rsidRDefault="00E1197F" w:rsidP="008135B0">
      <w:pPr>
        <w:ind w:left="1440" w:right="1440"/>
        <w:rPr>
          <w:sz w:val="26"/>
          <w:szCs w:val="26"/>
        </w:rPr>
      </w:pPr>
    </w:p>
    <w:p w:rsidR="00306AED" w:rsidRPr="00506DE1" w:rsidRDefault="008135B0" w:rsidP="008135B0">
      <w:pPr>
        <w:rPr>
          <w:sz w:val="26"/>
          <w:szCs w:val="26"/>
        </w:rPr>
      </w:pPr>
      <w:r>
        <w:rPr>
          <w:sz w:val="26"/>
          <w:szCs w:val="26"/>
        </w:rPr>
        <w:tab/>
      </w:r>
      <w:r>
        <w:rPr>
          <w:sz w:val="26"/>
          <w:szCs w:val="26"/>
        </w:rPr>
        <w:tab/>
      </w:r>
      <w:r w:rsidR="002D1F10">
        <w:rPr>
          <w:sz w:val="26"/>
          <w:szCs w:val="26"/>
        </w:rPr>
        <w:t xml:space="preserve">The </w:t>
      </w:r>
      <w:r w:rsidRPr="00506DE1">
        <w:rPr>
          <w:sz w:val="26"/>
          <w:szCs w:val="26"/>
        </w:rPr>
        <w:t>I&amp;E maintain</w:t>
      </w:r>
      <w:r>
        <w:rPr>
          <w:sz w:val="26"/>
          <w:szCs w:val="26"/>
        </w:rPr>
        <w:t>ed</w:t>
      </w:r>
      <w:r w:rsidRPr="00506DE1">
        <w:rPr>
          <w:sz w:val="26"/>
          <w:szCs w:val="26"/>
        </w:rPr>
        <w:t xml:space="preserve"> that the Company</w:t>
      </w:r>
      <w:r w:rsidR="000964BB">
        <w:rPr>
          <w:sz w:val="26"/>
          <w:szCs w:val="26"/>
        </w:rPr>
        <w:t>’</w:t>
      </w:r>
      <w:r w:rsidRPr="00506DE1">
        <w:rPr>
          <w:sz w:val="26"/>
          <w:szCs w:val="26"/>
        </w:rPr>
        <w:t xml:space="preserve">s TOU option is not default service.  As a result, </w:t>
      </w:r>
      <w:r w:rsidR="002D1F10">
        <w:rPr>
          <w:sz w:val="26"/>
          <w:szCs w:val="26"/>
        </w:rPr>
        <w:t xml:space="preserve">the </w:t>
      </w:r>
      <w:r>
        <w:rPr>
          <w:sz w:val="26"/>
          <w:szCs w:val="26"/>
        </w:rPr>
        <w:t xml:space="preserve">I&amp;E opined that </w:t>
      </w:r>
      <w:r w:rsidRPr="00506DE1">
        <w:rPr>
          <w:sz w:val="26"/>
          <w:szCs w:val="26"/>
        </w:rPr>
        <w:t>the costs associated with this program should not be included in any proposed Riders.  As the CTR is</w:t>
      </w:r>
      <w:r w:rsidR="001774E6">
        <w:rPr>
          <w:sz w:val="26"/>
          <w:szCs w:val="26"/>
        </w:rPr>
        <w:t xml:space="preserve"> solely for an historical under </w:t>
      </w:r>
      <w:r w:rsidRPr="00506DE1">
        <w:rPr>
          <w:sz w:val="26"/>
          <w:szCs w:val="26"/>
        </w:rPr>
        <w:t>collection, its implementation should be denied.</w:t>
      </w:r>
      <w:r>
        <w:rPr>
          <w:sz w:val="26"/>
          <w:szCs w:val="26"/>
        </w:rPr>
        <w:t xml:space="preserve">  </w:t>
      </w:r>
      <w:r w:rsidR="0072084E">
        <w:rPr>
          <w:i/>
          <w:sz w:val="26"/>
          <w:szCs w:val="26"/>
        </w:rPr>
        <w:t>Id.</w:t>
      </w:r>
      <w:r w:rsidRPr="00506DE1">
        <w:rPr>
          <w:sz w:val="26"/>
          <w:szCs w:val="26"/>
        </w:rPr>
        <w:t xml:space="preserve"> at 9-10</w:t>
      </w:r>
      <w:r>
        <w:rPr>
          <w:sz w:val="26"/>
          <w:szCs w:val="26"/>
        </w:rPr>
        <w:t xml:space="preserve">.  </w:t>
      </w:r>
      <w:r w:rsidR="002D1F10">
        <w:rPr>
          <w:sz w:val="26"/>
          <w:szCs w:val="26"/>
        </w:rPr>
        <w:t xml:space="preserve">The </w:t>
      </w:r>
      <w:r w:rsidR="008F7843" w:rsidRPr="00506DE1">
        <w:rPr>
          <w:sz w:val="26"/>
          <w:szCs w:val="26"/>
        </w:rPr>
        <w:t>I</w:t>
      </w:r>
      <w:r>
        <w:rPr>
          <w:sz w:val="26"/>
          <w:szCs w:val="26"/>
        </w:rPr>
        <w:t>&amp;E further averred</w:t>
      </w:r>
      <w:r w:rsidR="008F7843" w:rsidRPr="00506DE1">
        <w:rPr>
          <w:sz w:val="26"/>
          <w:szCs w:val="26"/>
        </w:rPr>
        <w:t xml:space="preserve"> that the </w:t>
      </w:r>
      <w:r w:rsidR="008F7843" w:rsidRPr="00506DE1">
        <w:rPr>
          <w:sz w:val="26"/>
          <w:szCs w:val="26"/>
        </w:rPr>
        <w:lastRenderedPageBreak/>
        <w:t>Company</w:t>
      </w:r>
      <w:r w:rsidR="000964BB">
        <w:rPr>
          <w:sz w:val="26"/>
          <w:szCs w:val="26"/>
        </w:rPr>
        <w:t>’</w:t>
      </w:r>
      <w:r w:rsidR="008F7843" w:rsidRPr="00506DE1">
        <w:rPr>
          <w:sz w:val="26"/>
          <w:szCs w:val="26"/>
        </w:rPr>
        <w:t>s TOU program was flawed to the point of being unreasonable, and that the Company should have known that it wou</w:t>
      </w:r>
      <w:r w:rsidR="0072084E">
        <w:rPr>
          <w:sz w:val="26"/>
          <w:szCs w:val="26"/>
        </w:rPr>
        <w:t xml:space="preserve">ld develop problems.  </w:t>
      </w:r>
      <w:r w:rsidR="0072084E">
        <w:rPr>
          <w:i/>
          <w:sz w:val="26"/>
          <w:szCs w:val="26"/>
        </w:rPr>
        <w:t>Id.</w:t>
      </w:r>
      <w:r w:rsidR="008F7843" w:rsidRPr="00506DE1">
        <w:rPr>
          <w:sz w:val="26"/>
          <w:szCs w:val="26"/>
        </w:rPr>
        <w:t xml:space="preserve"> at 12.  </w:t>
      </w:r>
    </w:p>
    <w:p w:rsidR="00EA549A" w:rsidRPr="00506DE1" w:rsidRDefault="00EA549A" w:rsidP="008135B0">
      <w:pPr>
        <w:ind w:left="720"/>
        <w:rPr>
          <w:sz w:val="26"/>
          <w:szCs w:val="26"/>
        </w:rPr>
      </w:pPr>
    </w:p>
    <w:p w:rsidR="00E027E6" w:rsidRPr="00506DE1" w:rsidRDefault="00AA3C3C" w:rsidP="00171FD4">
      <w:pPr>
        <w:rPr>
          <w:sz w:val="26"/>
          <w:szCs w:val="26"/>
        </w:rPr>
      </w:pPr>
      <w:r w:rsidRPr="00506DE1">
        <w:rPr>
          <w:b/>
          <w:sz w:val="26"/>
          <w:szCs w:val="26"/>
        </w:rPr>
        <w:tab/>
      </w:r>
      <w:r w:rsidRPr="00506DE1">
        <w:rPr>
          <w:b/>
          <w:sz w:val="26"/>
          <w:szCs w:val="26"/>
        </w:rPr>
        <w:tab/>
      </w:r>
      <w:r w:rsidR="008135B0">
        <w:rPr>
          <w:sz w:val="26"/>
          <w:szCs w:val="26"/>
        </w:rPr>
        <w:t>The OCA supported</w:t>
      </w:r>
      <w:r w:rsidRPr="00506DE1">
        <w:rPr>
          <w:sz w:val="26"/>
          <w:szCs w:val="26"/>
        </w:rPr>
        <w:t xml:space="preserve"> the recovery of the TOU co</w:t>
      </w:r>
      <w:r w:rsidR="008135B0">
        <w:rPr>
          <w:sz w:val="26"/>
          <w:szCs w:val="26"/>
        </w:rPr>
        <w:t>sts through the CTR but pointed</w:t>
      </w:r>
      <w:r w:rsidRPr="00506DE1">
        <w:rPr>
          <w:sz w:val="26"/>
          <w:szCs w:val="26"/>
        </w:rPr>
        <w:t xml:space="preserve"> out a d</w:t>
      </w:r>
      <w:r w:rsidR="001774E6">
        <w:rPr>
          <w:sz w:val="26"/>
          <w:szCs w:val="26"/>
        </w:rPr>
        <w:t>istinction that other P</w:t>
      </w:r>
      <w:r w:rsidR="008135B0">
        <w:rPr>
          <w:sz w:val="26"/>
          <w:szCs w:val="26"/>
        </w:rPr>
        <w:t>arties did</w:t>
      </w:r>
      <w:r w:rsidRPr="00506DE1">
        <w:rPr>
          <w:sz w:val="26"/>
          <w:szCs w:val="26"/>
        </w:rPr>
        <w:t xml:space="preserve"> not develop.  </w:t>
      </w:r>
      <w:r w:rsidR="008135B0">
        <w:rPr>
          <w:sz w:val="26"/>
          <w:szCs w:val="26"/>
        </w:rPr>
        <w:t xml:space="preserve">According to the OCA, while PPL </w:t>
      </w:r>
      <w:r w:rsidRPr="00506DE1">
        <w:rPr>
          <w:sz w:val="26"/>
          <w:szCs w:val="26"/>
        </w:rPr>
        <w:t xml:space="preserve">is unquestionably a default service provider, 66 Pa. </w:t>
      </w:r>
      <w:r w:rsidR="008135B0">
        <w:rPr>
          <w:sz w:val="26"/>
          <w:szCs w:val="26"/>
        </w:rPr>
        <w:t>C.S. § 2803, and the TOU</w:t>
      </w:r>
      <w:r w:rsidRPr="00506DE1">
        <w:rPr>
          <w:sz w:val="26"/>
          <w:szCs w:val="26"/>
        </w:rPr>
        <w:t xml:space="preserve"> program was </w:t>
      </w:r>
      <w:r w:rsidR="002D1F10">
        <w:rPr>
          <w:sz w:val="26"/>
          <w:szCs w:val="26"/>
        </w:rPr>
        <w:t>required</w:t>
      </w:r>
      <w:r w:rsidR="00190D8F" w:rsidRPr="00506DE1">
        <w:rPr>
          <w:sz w:val="26"/>
          <w:szCs w:val="26"/>
        </w:rPr>
        <w:t>, 66 Pa. C.S. § 2807(f)(5), the program itself is no</w:t>
      </w:r>
      <w:r w:rsidR="00F128B8" w:rsidRPr="00506DE1">
        <w:rPr>
          <w:sz w:val="26"/>
          <w:szCs w:val="26"/>
        </w:rPr>
        <w:t>t default service.  OCA R</w:t>
      </w:r>
      <w:r w:rsidR="008135B0">
        <w:rPr>
          <w:sz w:val="26"/>
          <w:szCs w:val="26"/>
        </w:rPr>
        <w:t>.</w:t>
      </w:r>
      <w:r w:rsidR="00F128B8" w:rsidRPr="00506DE1">
        <w:rPr>
          <w:sz w:val="26"/>
          <w:szCs w:val="26"/>
        </w:rPr>
        <w:t>B</w:t>
      </w:r>
      <w:r w:rsidR="008135B0">
        <w:rPr>
          <w:sz w:val="26"/>
          <w:szCs w:val="26"/>
        </w:rPr>
        <w:t>.</w:t>
      </w:r>
      <w:r w:rsidR="00F128B8" w:rsidRPr="00506DE1">
        <w:rPr>
          <w:sz w:val="26"/>
          <w:szCs w:val="26"/>
        </w:rPr>
        <w:t xml:space="preserve"> at 2</w:t>
      </w:r>
      <w:r w:rsidR="00F128B8" w:rsidRPr="00506DE1">
        <w:rPr>
          <w:sz w:val="26"/>
          <w:szCs w:val="26"/>
        </w:rPr>
        <w:noBreakHyphen/>
      </w:r>
      <w:r w:rsidR="00171FD4">
        <w:rPr>
          <w:sz w:val="26"/>
          <w:szCs w:val="26"/>
        </w:rPr>
        <w:t>3.  Despite this posit</w:t>
      </w:r>
      <w:r w:rsidR="001774E6">
        <w:rPr>
          <w:sz w:val="26"/>
          <w:szCs w:val="26"/>
        </w:rPr>
        <w:t>i</w:t>
      </w:r>
      <w:r w:rsidR="00171FD4">
        <w:rPr>
          <w:sz w:val="26"/>
          <w:szCs w:val="26"/>
        </w:rPr>
        <w:t>on</w:t>
      </w:r>
      <w:r w:rsidR="00190D8F" w:rsidRPr="00506DE1">
        <w:rPr>
          <w:sz w:val="26"/>
          <w:szCs w:val="26"/>
        </w:rPr>
        <w:t xml:space="preserve">, </w:t>
      </w:r>
      <w:r w:rsidR="008135B0">
        <w:rPr>
          <w:sz w:val="26"/>
          <w:szCs w:val="26"/>
        </w:rPr>
        <w:t>the OCA was of the opinion that PPL</w:t>
      </w:r>
      <w:r w:rsidR="000964BB">
        <w:rPr>
          <w:sz w:val="26"/>
          <w:szCs w:val="26"/>
        </w:rPr>
        <w:t>’</w:t>
      </w:r>
      <w:r w:rsidR="008135B0">
        <w:rPr>
          <w:sz w:val="26"/>
          <w:szCs w:val="26"/>
        </w:rPr>
        <w:t xml:space="preserve">s </w:t>
      </w:r>
      <w:r w:rsidR="00190D8F" w:rsidRPr="00506DE1">
        <w:rPr>
          <w:sz w:val="26"/>
          <w:szCs w:val="26"/>
        </w:rPr>
        <w:t xml:space="preserve">actions </w:t>
      </w:r>
      <w:r w:rsidR="008135B0">
        <w:rPr>
          <w:sz w:val="26"/>
          <w:szCs w:val="26"/>
        </w:rPr>
        <w:t xml:space="preserve">were </w:t>
      </w:r>
      <w:r w:rsidR="00190D8F" w:rsidRPr="00506DE1">
        <w:rPr>
          <w:sz w:val="26"/>
          <w:szCs w:val="26"/>
        </w:rPr>
        <w:t xml:space="preserve">responsible and </w:t>
      </w:r>
      <w:r w:rsidR="008135B0">
        <w:rPr>
          <w:sz w:val="26"/>
          <w:szCs w:val="26"/>
        </w:rPr>
        <w:t xml:space="preserve">the </w:t>
      </w:r>
      <w:r w:rsidR="00190D8F" w:rsidRPr="00506DE1">
        <w:rPr>
          <w:sz w:val="26"/>
          <w:szCs w:val="26"/>
        </w:rPr>
        <w:t xml:space="preserve">recovery of </w:t>
      </w:r>
      <w:r w:rsidR="008135B0">
        <w:rPr>
          <w:sz w:val="26"/>
          <w:szCs w:val="26"/>
        </w:rPr>
        <w:t xml:space="preserve">these </w:t>
      </w:r>
      <w:r w:rsidR="00C17A96">
        <w:rPr>
          <w:sz w:val="26"/>
          <w:szCs w:val="26"/>
        </w:rPr>
        <w:t>costs is warranted</w:t>
      </w:r>
      <w:r w:rsidR="00171FD4">
        <w:rPr>
          <w:sz w:val="26"/>
          <w:szCs w:val="26"/>
        </w:rPr>
        <w:t>.  According to the OCA, g</w:t>
      </w:r>
      <w:r w:rsidR="00E027E6" w:rsidRPr="00506DE1">
        <w:rPr>
          <w:sz w:val="26"/>
          <w:szCs w:val="26"/>
        </w:rPr>
        <w:t>iven the actions of the Company to date, the collection of the historic TOU costs through the CTR resulting from the TOU offering is just and reasonable.</w:t>
      </w:r>
      <w:r w:rsidR="00171FD4">
        <w:rPr>
          <w:sz w:val="26"/>
          <w:szCs w:val="26"/>
        </w:rPr>
        <w:t xml:space="preserve">  </w:t>
      </w:r>
      <w:r w:rsidR="0072084E">
        <w:rPr>
          <w:i/>
          <w:sz w:val="26"/>
          <w:szCs w:val="26"/>
        </w:rPr>
        <w:t>Id.</w:t>
      </w:r>
      <w:r w:rsidR="00E027E6" w:rsidRPr="00506DE1">
        <w:rPr>
          <w:sz w:val="26"/>
          <w:szCs w:val="26"/>
        </w:rPr>
        <w:t xml:space="preserve"> at 4.</w:t>
      </w:r>
    </w:p>
    <w:p w:rsidR="00AA3C3C" w:rsidRPr="00506DE1" w:rsidRDefault="00AA3C3C" w:rsidP="00AA3C3C">
      <w:pPr>
        <w:rPr>
          <w:sz w:val="26"/>
          <w:szCs w:val="26"/>
        </w:rPr>
      </w:pPr>
    </w:p>
    <w:p w:rsidR="00E83F8B" w:rsidRPr="00506DE1" w:rsidRDefault="0082147C" w:rsidP="00E83F8B">
      <w:pPr>
        <w:rPr>
          <w:sz w:val="26"/>
          <w:szCs w:val="26"/>
        </w:rPr>
      </w:pPr>
      <w:r w:rsidRPr="00506DE1">
        <w:rPr>
          <w:sz w:val="26"/>
          <w:szCs w:val="26"/>
        </w:rPr>
        <w:tab/>
      </w:r>
      <w:r w:rsidRPr="00506DE1">
        <w:rPr>
          <w:sz w:val="26"/>
          <w:szCs w:val="26"/>
        </w:rPr>
        <w:tab/>
      </w:r>
      <w:r w:rsidR="0048236A">
        <w:rPr>
          <w:sz w:val="26"/>
          <w:szCs w:val="26"/>
        </w:rPr>
        <w:t>REG stated</w:t>
      </w:r>
      <w:r w:rsidRPr="00506DE1">
        <w:rPr>
          <w:sz w:val="26"/>
          <w:szCs w:val="26"/>
        </w:rPr>
        <w:t xml:space="preserve"> that t</w:t>
      </w:r>
      <w:r w:rsidR="00E83F8B" w:rsidRPr="00506DE1">
        <w:rPr>
          <w:sz w:val="26"/>
          <w:szCs w:val="26"/>
        </w:rPr>
        <w:t>his proposal will affect the customers who have chosen to shop if the RR and CTR are adopted, and then the TOU under</w:t>
      </w:r>
      <w:r w:rsidR="0048236A">
        <w:rPr>
          <w:sz w:val="26"/>
          <w:szCs w:val="26"/>
        </w:rPr>
        <w:t xml:space="preserve"> </w:t>
      </w:r>
      <w:r w:rsidR="00E83F8B" w:rsidRPr="00506DE1">
        <w:rPr>
          <w:sz w:val="26"/>
          <w:szCs w:val="26"/>
        </w:rPr>
        <w:t xml:space="preserve">collection is assessed to the Residential and Small C&amp;I classes.  </w:t>
      </w:r>
      <w:r w:rsidR="0048236A">
        <w:rPr>
          <w:sz w:val="26"/>
          <w:szCs w:val="26"/>
        </w:rPr>
        <w:t xml:space="preserve">According to REG, at that time </w:t>
      </w:r>
      <w:r w:rsidR="00E83F8B" w:rsidRPr="00506DE1">
        <w:rPr>
          <w:sz w:val="26"/>
          <w:szCs w:val="26"/>
        </w:rPr>
        <w:t>a non-shopping customer who never took</w:t>
      </w:r>
      <w:r w:rsidR="0048236A">
        <w:rPr>
          <w:sz w:val="26"/>
          <w:szCs w:val="26"/>
        </w:rPr>
        <w:t xml:space="preserve"> service under PPL</w:t>
      </w:r>
      <w:r w:rsidR="000964BB">
        <w:rPr>
          <w:sz w:val="26"/>
          <w:szCs w:val="26"/>
        </w:rPr>
        <w:t>’</w:t>
      </w:r>
      <w:r w:rsidR="0048236A">
        <w:rPr>
          <w:sz w:val="26"/>
          <w:szCs w:val="26"/>
        </w:rPr>
        <w:t>s TOU</w:t>
      </w:r>
      <w:r w:rsidR="00E83F8B" w:rsidRPr="00506DE1">
        <w:rPr>
          <w:sz w:val="26"/>
          <w:szCs w:val="26"/>
        </w:rPr>
        <w:t xml:space="preserve"> rates will be subsidizing those who did.  </w:t>
      </w:r>
      <w:r w:rsidR="0048236A">
        <w:rPr>
          <w:sz w:val="26"/>
          <w:szCs w:val="26"/>
        </w:rPr>
        <w:t>REG opined that</w:t>
      </w:r>
      <w:r w:rsidR="00E83F8B" w:rsidRPr="00506DE1">
        <w:rPr>
          <w:sz w:val="26"/>
          <w:szCs w:val="26"/>
        </w:rPr>
        <w:t xml:space="preserve"> under the </w:t>
      </w:r>
      <w:r w:rsidR="0048236A">
        <w:rPr>
          <w:sz w:val="26"/>
          <w:szCs w:val="26"/>
        </w:rPr>
        <w:t xml:space="preserve">proposed </w:t>
      </w:r>
      <w:r w:rsidR="00E83F8B" w:rsidRPr="00506DE1">
        <w:rPr>
          <w:sz w:val="26"/>
          <w:szCs w:val="26"/>
        </w:rPr>
        <w:t>RR and CTR</w:t>
      </w:r>
      <w:r w:rsidR="00E7625C" w:rsidRPr="00506DE1">
        <w:rPr>
          <w:sz w:val="26"/>
          <w:szCs w:val="26"/>
        </w:rPr>
        <w:t xml:space="preserve">, a shopping customer who may have left default service in January 2010 would be assessed for the costs incurred in providing default service.  </w:t>
      </w:r>
      <w:r w:rsidR="0048236A">
        <w:rPr>
          <w:sz w:val="26"/>
          <w:szCs w:val="26"/>
        </w:rPr>
        <w:t>According to REG, t</w:t>
      </w:r>
      <w:r w:rsidR="00E7625C" w:rsidRPr="00506DE1">
        <w:rPr>
          <w:sz w:val="26"/>
          <w:szCs w:val="26"/>
        </w:rPr>
        <w:t>his</w:t>
      </w:r>
      <w:r w:rsidR="0048236A">
        <w:rPr>
          <w:sz w:val="26"/>
          <w:szCs w:val="26"/>
        </w:rPr>
        <w:t xml:space="preserve"> </w:t>
      </w:r>
      <w:r w:rsidR="00E7625C" w:rsidRPr="00506DE1">
        <w:rPr>
          <w:sz w:val="26"/>
          <w:szCs w:val="26"/>
        </w:rPr>
        <w:t>is clearly cross-subsidization.  REG M</w:t>
      </w:r>
      <w:r w:rsidR="0048236A">
        <w:rPr>
          <w:sz w:val="26"/>
          <w:szCs w:val="26"/>
        </w:rPr>
        <w:t>.</w:t>
      </w:r>
      <w:r w:rsidR="00E7625C" w:rsidRPr="00506DE1">
        <w:rPr>
          <w:sz w:val="26"/>
          <w:szCs w:val="26"/>
        </w:rPr>
        <w:t>B</w:t>
      </w:r>
      <w:r w:rsidR="0048236A">
        <w:rPr>
          <w:sz w:val="26"/>
          <w:szCs w:val="26"/>
        </w:rPr>
        <w:t>.</w:t>
      </w:r>
      <w:r w:rsidR="00E7625C" w:rsidRPr="00506DE1">
        <w:rPr>
          <w:sz w:val="26"/>
          <w:szCs w:val="26"/>
        </w:rPr>
        <w:t xml:space="preserve"> at 8.</w:t>
      </w:r>
    </w:p>
    <w:p w:rsidR="00E7625C" w:rsidRPr="00506DE1" w:rsidRDefault="00E7625C" w:rsidP="00E83F8B">
      <w:pPr>
        <w:rPr>
          <w:sz w:val="26"/>
          <w:szCs w:val="26"/>
        </w:rPr>
      </w:pPr>
    </w:p>
    <w:p w:rsidR="00E7625C" w:rsidRPr="00AE26B7" w:rsidRDefault="0082147C" w:rsidP="00AE26B7">
      <w:pPr>
        <w:rPr>
          <w:sz w:val="26"/>
          <w:szCs w:val="26"/>
        </w:rPr>
      </w:pPr>
      <w:r w:rsidRPr="00AE26B7">
        <w:tab/>
      </w:r>
      <w:r w:rsidRPr="00AE26B7">
        <w:tab/>
      </w:r>
      <w:r w:rsidR="0037119F" w:rsidRPr="00AE26B7">
        <w:rPr>
          <w:sz w:val="26"/>
          <w:szCs w:val="26"/>
        </w:rPr>
        <w:t xml:space="preserve">Dominion alleged that the PPL </w:t>
      </w:r>
      <w:r w:rsidRPr="00AE26B7">
        <w:rPr>
          <w:sz w:val="26"/>
          <w:szCs w:val="26"/>
        </w:rPr>
        <w:t>forecasting for TOU rates in place during the period of high under</w:t>
      </w:r>
      <w:r w:rsidR="001774E6" w:rsidRPr="00AE26B7">
        <w:rPr>
          <w:sz w:val="26"/>
          <w:szCs w:val="26"/>
        </w:rPr>
        <w:t xml:space="preserve"> </w:t>
      </w:r>
      <w:r w:rsidRPr="00AE26B7">
        <w:rPr>
          <w:sz w:val="26"/>
          <w:szCs w:val="26"/>
        </w:rPr>
        <w:t>collection was eit</w:t>
      </w:r>
      <w:r w:rsidR="0037119F" w:rsidRPr="00AE26B7">
        <w:rPr>
          <w:sz w:val="26"/>
          <w:szCs w:val="26"/>
        </w:rPr>
        <w:t>her purposeful or negligent.  Dominion S</w:t>
      </w:r>
      <w:r w:rsidR="00AE26B7" w:rsidRPr="00AE26B7">
        <w:rPr>
          <w:sz w:val="26"/>
          <w:szCs w:val="26"/>
        </w:rPr>
        <w:t>t. 1 at </w:t>
      </w:r>
      <w:r w:rsidRPr="00AE26B7">
        <w:rPr>
          <w:sz w:val="26"/>
          <w:szCs w:val="26"/>
        </w:rPr>
        <w:t xml:space="preserve">7-8. </w:t>
      </w:r>
    </w:p>
    <w:p w:rsidR="00E83F8B" w:rsidRPr="00AE26B7" w:rsidRDefault="00E83F8B" w:rsidP="00AE26B7">
      <w:pPr>
        <w:rPr>
          <w:sz w:val="26"/>
          <w:szCs w:val="26"/>
        </w:rPr>
      </w:pPr>
    </w:p>
    <w:p w:rsidR="0082147C" w:rsidRPr="00AE26B7" w:rsidRDefault="0082147C" w:rsidP="00AE26B7">
      <w:pPr>
        <w:rPr>
          <w:sz w:val="26"/>
          <w:szCs w:val="26"/>
        </w:rPr>
      </w:pPr>
      <w:r w:rsidRPr="00AE26B7">
        <w:rPr>
          <w:sz w:val="26"/>
          <w:szCs w:val="26"/>
        </w:rPr>
        <w:tab/>
      </w:r>
      <w:r w:rsidRPr="00AE26B7">
        <w:rPr>
          <w:sz w:val="26"/>
          <w:szCs w:val="26"/>
        </w:rPr>
        <w:tab/>
      </w:r>
      <w:r w:rsidR="0037119F" w:rsidRPr="00AE26B7">
        <w:rPr>
          <w:sz w:val="26"/>
          <w:szCs w:val="26"/>
        </w:rPr>
        <w:t xml:space="preserve">The </w:t>
      </w:r>
      <w:r w:rsidRPr="00AE26B7">
        <w:rPr>
          <w:sz w:val="26"/>
          <w:szCs w:val="26"/>
        </w:rPr>
        <w:t>OSBA did not take a pos</w:t>
      </w:r>
      <w:r w:rsidR="0037119F" w:rsidRPr="00AE26B7">
        <w:rPr>
          <w:sz w:val="26"/>
          <w:szCs w:val="26"/>
        </w:rPr>
        <w:t>ition or submit testimony on this</w:t>
      </w:r>
      <w:r w:rsidRPr="00AE26B7">
        <w:rPr>
          <w:sz w:val="26"/>
          <w:szCs w:val="26"/>
        </w:rPr>
        <w:t xml:space="preserve"> issue in this proceeding,</w:t>
      </w:r>
      <w:r w:rsidR="0037119F" w:rsidRPr="00AE26B7">
        <w:rPr>
          <w:sz w:val="26"/>
          <w:szCs w:val="26"/>
        </w:rPr>
        <w:t xml:space="preserve"> instead </w:t>
      </w:r>
      <w:r w:rsidRPr="00AE26B7">
        <w:rPr>
          <w:sz w:val="26"/>
          <w:szCs w:val="26"/>
        </w:rPr>
        <w:t xml:space="preserve">relying on a Company statement in discovery that </w:t>
      </w:r>
      <w:r w:rsidR="000964BB" w:rsidRPr="00AE26B7">
        <w:rPr>
          <w:sz w:val="26"/>
          <w:szCs w:val="26"/>
        </w:rPr>
        <w:t>“</w:t>
      </w:r>
      <w:r w:rsidRPr="00AE26B7">
        <w:rPr>
          <w:sz w:val="26"/>
          <w:szCs w:val="26"/>
        </w:rPr>
        <w:t>Reconciliation of the TOU option under the GSC-1 will follow the procedure approved by the Commissi</w:t>
      </w:r>
      <w:r w:rsidR="001774E6" w:rsidRPr="00AE26B7">
        <w:rPr>
          <w:sz w:val="26"/>
          <w:szCs w:val="26"/>
        </w:rPr>
        <w:t>on in its review of PPL</w:t>
      </w:r>
      <w:r w:rsidR="000964BB" w:rsidRPr="00AE26B7">
        <w:rPr>
          <w:sz w:val="26"/>
          <w:szCs w:val="26"/>
        </w:rPr>
        <w:t>’</w:t>
      </w:r>
      <w:r w:rsidRPr="00AE26B7">
        <w:rPr>
          <w:sz w:val="26"/>
          <w:szCs w:val="26"/>
        </w:rPr>
        <w:t>s new TOU program filed on Septe</w:t>
      </w:r>
      <w:r w:rsidR="0040250F" w:rsidRPr="00AE26B7">
        <w:rPr>
          <w:sz w:val="26"/>
          <w:szCs w:val="26"/>
        </w:rPr>
        <w:t>mber 26, 2011.</w:t>
      </w:r>
      <w:r w:rsidR="000964BB" w:rsidRPr="00AE26B7">
        <w:rPr>
          <w:sz w:val="26"/>
          <w:szCs w:val="26"/>
        </w:rPr>
        <w:t>”</w:t>
      </w:r>
      <w:r w:rsidR="00AE26B7">
        <w:rPr>
          <w:sz w:val="26"/>
          <w:szCs w:val="26"/>
        </w:rPr>
        <w:t xml:space="preserve">  OSBA R.B. </w:t>
      </w:r>
      <w:r w:rsidR="00AE26B7">
        <w:rPr>
          <w:sz w:val="26"/>
          <w:szCs w:val="26"/>
        </w:rPr>
        <w:lastRenderedPageBreak/>
        <w:t>at </w:t>
      </w:r>
      <w:r w:rsidR="0037119F" w:rsidRPr="00AE26B7">
        <w:rPr>
          <w:sz w:val="26"/>
          <w:szCs w:val="26"/>
        </w:rPr>
        <w:t>6-7.</w:t>
      </w:r>
      <w:r w:rsidRPr="00AE26B7">
        <w:rPr>
          <w:sz w:val="26"/>
          <w:szCs w:val="26"/>
        </w:rPr>
        <w:t xml:space="preserve">  </w:t>
      </w:r>
      <w:r w:rsidR="0037119F" w:rsidRPr="00AE26B7">
        <w:rPr>
          <w:sz w:val="26"/>
          <w:szCs w:val="26"/>
        </w:rPr>
        <w:t>The OSBA argued</w:t>
      </w:r>
      <w:r w:rsidRPr="00AE26B7">
        <w:rPr>
          <w:sz w:val="26"/>
          <w:szCs w:val="26"/>
        </w:rPr>
        <w:t xml:space="preserve"> that the legal question of whether or not costs associated with PPL</w:t>
      </w:r>
      <w:r w:rsidR="000964BB" w:rsidRPr="00AE26B7">
        <w:rPr>
          <w:sz w:val="26"/>
          <w:szCs w:val="26"/>
        </w:rPr>
        <w:t>’</w:t>
      </w:r>
      <w:r w:rsidRPr="00AE26B7">
        <w:rPr>
          <w:sz w:val="26"/>
          <w:szCs w:val="26"/>
        </w:rPr>
        <w:t xml:space="preserve">s TOU program are reasonable default service costs is not properly before the Commission in the instant proceeding because that question </w:t>
      </w:r>
      <w:r w:rsidR="00B63974" w:rsidRPr="00AE26B7">
        <w:rPr>
          <w:sz w:val="26"/>
          <w:szCs w:val="26"/>
        </w:rPr>
        <w:t xml:space="preserve">is part of another proceeding.  </w:t>
      </w:r>
      <w:r w:rsidR="001774E6" w:rsidRPr="00AE26B7">
        <w:rPr>
          <w:sz w:val="26"/>
          <w:szCs w:val="26"/>
        </w:rPr>
        <w:t>(</w:t>
      </w:r>
      <w:r w:rsidR="0040250F" w:rsidRPr="00AE26B7">
        <w:rPr>
          <w:i/>
          <w:sz w:val="26"/>
          <w:szCs w:val="26"/>
        </w:rPr>
        <w:t>Revised</w:t>
      </w:r>
      <w:r w:rsidR="001774E6" w:rsidRPr="00AE26B7">
        <w:rPr>
          <w:sz w:val="26"/>
          <w:szCs w:val="26"/>
        </w:rPr>
        <w:t xml:space="preserve"> </w:t>
      </w:r>
      <w:r w:rsidR="001774E6" w:rsidRPr="00AE26B7">
        <w:rPr>
          <w:i/>
          <w:sz w:val="26"/>
          <w:szCs w:val="26"/>
        </w:rPr>
        <w:t>TOU</w:t>
      </w:r>
      <w:r w:rsidR="0040250F" w:rsidRPr="00AE26B7">
        <w:rPr>
          <w:i/>
          <w:sz w:val="26"/>
          <w:szCs w:val="26"/>
        </w:rPr>
        <w:t xml:space="preserve"> Proceeding, supra.</w:t>
      </w:r>
      <w:r w:rsidRPr="00AE26B7">
        <w:rPr>
          <w:sz w:val="26"/>
          <w:szCs w:val="26"/>
        </w:rPr>
        <w:t>).  Therefore,</w:t>
      </w:r>
      <w:r w:rsidR="001774E6" w:rsidRPr="00AE26B7">
        <w:rPr>
          <w:sz w:val="26"/>
          <w:szCs w:val="26"/>
        </w:rPr>
        <w:t xml:space="preserve"> the </w:t>
      </w:r>
      <w:r w:rsidR="0037119F" w:rsidRPr="00AE26B7">
        <w:rPr>
          <w:sz w:val="26"/>
          <w:szCs w:val="26"/>
        </w:rPr>
        <w:t>OSBA reasoned</w:t>
      </w:r>
      <w:r w:rsidRPr="00AE26B7">
        <w:rPr>
          <w:sz w:val="26"/>
          <w:szCs w:val="26"/>
        </w:rPr>
        <w:t>, the Commission should not make a determination here regarding whether the TOU program is a default service program or whether the TOU under</w:t>
      </w:r>
      <w:r w:rsidR="001774E6" w:rsidRPr="00AE26B7">
        <w:rPr>
          <w:sz w:val="26"/>
          <w:szCs w:val="26"/>
        </w:rPr>
        <w:t xml:space="preserve"> </w:t>
      </w:r>
      <w:r w:rsidRPr="00AE26B7">
        <w:rPr>
          <w:sz w:val="26"/>
          <w:szCs w:val="26"/>
        </w:rPr>
        <w:t>collections w</w:t>
      </w:r>
      <w:r w:rsidR="002E4CA0" w:rsidRPr="00AE26B7">
        <w:rPr>
          <w:sz w:val="26"/>
          <w:szCs w:val="26"/>
        </w:rPr>
        <w:t xml:space="preserve">ere reasonably incurred.  </w:t>
      </w:r>
      <w:r w:rsidR="002E4CA0" w:rsidRPr="00AE26B7">
        <w:rPr>
          <w:i/>
          <w:sz w:val="26"/>
          <w:szCs w:val="26"/>
        </w:rPr>
        <w:t>Id.</w:t>
      </w:r>
      <w:r w:rsidRPr="00AE26B7">
        <w:rPr>
          <w:sz w:val="26"/>
          <w:szCs w:val="26"/>
        </w:rPr>
        <w:t xml:space="preserve"> at</w:t>
      </w:r>
      <w:r w:rsidR="00520A9D" w:rsidRPr="00AE26B7">
        <w:rPr>
          <w:sz w:val="26"/>
          <w:szCs w:val="26"/>
        </w:rPr>
        <w:t> </w:t>
      </w:r>
      <w:r w:rsidRPr="00AE26B7">
        <w:rPr>
          <w:sz w:val="26"/>
          <w:szCs w:val="26"/>
        </w:rPr>
        <w:t xml:space="preserve">5.   </w:t>
      </w:r>
    </w:p>
    <w:p w:rsidR="00F40D40" w:rsidRPr="00506DE1" w:rsidRDefault="00F40D40" w:rsidP="00FE233B">
      <w:pPr>
        <w:rPr>
          <w:sz w:val="26"/>
          <w:szCs w:val="26"/>
        </w:rPr>
      </w:pPr>
    </w:p>
    <w:p w:rsidR="00FE233B" w:rsidRPr="00506DE1" w:rsidRDefault="00506DE1" w:rsidP="00211136">
      <w:pPr>
        <w:pStyle w:val="Heading3"/>
        <w:keepNext/>
      </w:pPr>
      <w:bookmarkStart w:id="54" w:name="_Toc329245862"/>
      <w:bookmarkStart w:id="55" w:name="_Toc329688399"/>
      <w:r w:rsidRPr="00506DE1">
        <w:t>3</w:t>
      </w:r>
      <w:r w:rsidR="00FE233B" w:rsidRPr="00506DE1">
        <w:t>.</w:t>
      </w:r>
      <w:r w:rsidR="00FE233B" w:rsidRPr="00506DE1">
        <w:tab/>
      </w:r>
      <w:r w:rsidRPr="00506DE1">
        <w:t>ALJ</w:t>
      </w:r>
      <w:r w:rsidR="000964BB">
        <w:t>’</w:t>
      </w:r>
      <w:r w:rsidRPr="00506DE1">
        <w:t xml:space="preserve">s </w:t>
      </w:r>
      <w:r w:rsidR="00FE233B" w:rsidRPr="00506DE1">
        <w:t>Recommendation</w:t>
      </w:r>
      <w:bookmarkEnd w:id="54"/>
      <w:bookmarkEnd w:id="55"/>
      <w:r w:rsidR="00E77EC5" w:rsidRPr="00506DE1">
        <w:fldChar w:fldCharType="begin"/>
      </w:r>
      <w:r w:rsidR="00E77EC5" w:rsidRPr="00506DE1">
        <w:instrText xml:space="preserve"> TC "</w:instrText>
      </w:r>
      <w:bookmarkStart w:id="56" w:name="_Toc329245163"/>
      <w:r w:rsidR="00E77EC5" w:rsidRPr="00506DE1">
        <w:instrText>c.</w:instrText>
      </w:r>
      <w:r w:rsidR="00E77EC5" w:rsidRPr="00506DE1">
        <w:tab/>
        <w:instrText>Recommendation</w:instrText>
      </w:r>
      <w:bookmarkEnd w:id="56"/>
      <w:r w:rsidR="00E77EC5" w:rsidRPr="00506DE1">
        <w:instrText>" \f C \l "</w:instrText>
      </w:r>
      <w:r w:rsidR="004F1A21" w:rsidRPr="00506DE1">
        <w:instrText>4</w:instrText>
      </w:r>
      <w:r w:rsidR="00E77EC5" w:rsidRPr="00506DE1">
        <w:instrText xml:space="preserve">" </w:instrText>
      </w:r>
      <w:r w:rsidR="00E77EC5" w:rsidRPr="00506DE1">
        <w:fldChar w:fldCharType="end"/>
      </w:r>
    </w:p>
    <w:p w:rsidR="00FE233B" w:rsidRPr="00506DE1" w:rsidRDefault="00FE233B" w:rsidP="00211136">
      <w:pPr>
        <w:keepNext/>
        <w:ind w:left="720" w:firstLine="720"/>
        <w:rPr>
          <w:b/>
          <w:sz w:val="26"/>
          <w:szCs w:val="26"/>
        </w:rPr>
      </w:pPr>
    </w:p>
    <w:p w:rsidR="0082147C" w:rsidRPr="00506DE1" w:rsidRDefault="00112816" w:rsidP="003F2F9A">
      <w:pPr>
        <w:rPr>
          <w:sz w:val="26"/>
          <w:szCs w:val="26"/>
        </w:rPr>
      </w:pPr>
      <w:r w:rsidRPr="00506DE1">
        <w:rPr>
          <w:b/>
          <w:sz w:val="26"/>
          <w:szCs w:val="26"/>
        </w:rPr>
        <w:tab/>
      </w:r>
      <w:r w:rsidR="003A6CD0" w:rsidRPr="00506DE1">
        <w:rPr>
          <w:b/>
          <w:sz w:val="26"/>
          <w:szCs w:val="26"/>
        </w:rPr>
        <w:tab/>
      </w:r>
      <w:r w:rsidR="000900FC" w:rsidRPr="000900FC">
        <w:rPr>
          <w:sz w:val="26"/>
          <w:szCs w:val="26"/>
        </w:rPr>
        <w:t xml:space="preserve">In her Recommended Decision, the ALJ found that </w:t>
      </w:r>
      <w:r w:rsidR="000900FC">
        <w:rPr>
          <w:sz w:val="26"/>
          <w:szCs w:val="26"/>
        </w:rPr>
        <w:t>t</w:t>
      </w:r>
      <w:r w:rsidR="000900FC" w:rsidRPr="00506DE1">
        <w:rPr>
          <w:sz w:val="26"/>
          <w:szCs w:val="26"/>
        </w:rPr>
        <w:t xml:space="preserve">here </w:t>
      </w:r>
      <w:r w:rsidR="000900FC">
        <w:rPr>
          <w:sz w:val="26"/>
          <w:szCs w:val="26"/>
        </w:rPr>
        <w:t>wa</w:t>
      </w:r>
      <w:r w:rsidR="000900FC" w:rsidRPr="00506DE1">
        <w:rPr>
          <w:sz w:val="26"/>
          <w:szCs w:val="26"/>
        </w:rPr>
        <w:t>s no doubt that the T</w:t>
      </w:r>
      <w:r w:rsidR="000900FC">
        <w:rPr>
          <w:sz w:val="26"/>
          <w:szCs w:val="26"/>
        </w:rPr>
        <w:t>OU is a default service program.  According to the ALJ, the P</w:t>
      </w:r>
      <w:r w:rsidRPr="000900FC">
        <w:rPr>
          <w:sz w:val="26"/>
          <w:szCs w:val="26"/>
        </w:rPr>
        <w:t>arties</w:t>
      </w:r>
      <w:r w:rsidRPr="00506DE1">
        <w:rPr>
          <w:sz w:val="26"/>
          <w:szCs w:val="26"/>
        </w:rPr>
        <w:t xml:space="preserve"> promoting the idea that a TOU program may not be a default service program rely upon the differences between it and straight default service to support their arguments.  </w:t>
      </w:r>
      <w:r w:rsidR="000900FC">
        <w:rPr>
          <w:sz w:val="26"/>
          <w:szCs w:val="26"/>
        </w:rPr>
        <w:t>However, according to the ALJ, t</w:t>
      </w:r>
      <w:r w:rsidRPr="00506DE1">
        <w:rPr>
          <w:sz w:val="26"/>
          <w:szCs w:val="26"/>
        </w:rPr>
        <w:t>he similarities</w:t>
      </w:r>
      <w:r w:rsidR="000900FC">
        <w:rPr>
          <w:sz w:val="26"/>
          <w:szCs w:val="26"/>
        </w:rPr>
        <w:t xml:space="preserve"> </w:t>
      </w:r>
      <w:r w:rsidRPr="00506DE1">
        <w:rPr>
          <w:sz w:val="26"/>
          <w:szCs w:val="26"/>
        </w:rPr>
        <w:t xml:space="preserve">outweigh the differences.  </w:t>
      </w:r>
      <w:r w:rsidR="000900FC">
        <w:rPr>
          <w:sz w:val="26"/>
          <w:szCs w:val="26"/>
        </w:rPr>
        <w:t>The ALJ stated that</w:t>
      </w:r>
      <w:r w:rsidRPr="00506DE1">
        <w:rPr>
          <w:sz w:val="26"/>
          <w:szCs w:val="26"/>
        </w:rPr>
        <w:t xml:space="preserve"> the EDC must pass through the actual cost of the commodity</w:t>
      </w:r>
      <w:r w:rsidR="003F2F9A">
        <w:rPr>
          <w:sz w:val="26"/>
          <w:szCs w:val="26"/>
        </w:rPr>
        <w:t xml:space="preserve"> and cannot make a profit on it and wa</w:t>
      </w:r>
      <w:r w:rsidRPr="00506DE1">
        <w:rPr>
          <w:sz w:val="26"/>
          <w:szCs w:val="26"/>
        </w:rPr>
        <w:t xml:space="preserve">s required </w:t>
      </w:r>
      <w:r w:rsidR="006901D1" w:rsidRPr="00506DE1">
        <w:rPr>
          <w:sz w:val="26"/>
          <w:szCs w:val="26"/>
        </w:rPr>
        <w:t>to implement the TOU program as part of the default service program</w:t>
      </w:r>
      <w:r w:rsidR="003F2F9A">
        <w:rPr>
          <w:sz w:val="26"/>
          <w:szCs w:val="26"/>
        </w:rPr>
        <w:t xml:space="preserve"> under </w:t>
      </w:r>
      <w:r w:rsidR="00CF5675">
        <w:rPr>
          <w:sz w:val="26"/>
          <w:szCs w:val="26"/>
        </w:rPr>
        <w:t>Act No. 129, 66 Pa. C.S. § 2</w:t>
      </w:r>
      <w:r w:rsidR="0082147C" w:rsidRPr="00506DE1">
        <w:rPr>
          <w:sz w:val="26"/>
          <w:szCs w:val="26"/>
        </w:rPr>
        <w:t xml:space="preserve">807(f)(5).  </w:t>
      </w:r>
      <w:r w:rsidR="003F2F9A">
        <w:rPr>
          <w:sz w:val="26"/>
          <w:szCs w:val="26"/>
        </w:rPr>
        <w:t>R.D. at 46-47.</w:t>
      </w:r>
    </w:p>
    <w:p w:rsidR="000D525D" w:rsidRPr="00506DE1" w:rsidRDefault="000D525D" w:rsidP="00E35ECD">
      <w:pPr>
        <w:ind w:left="720"/>
        <w:rPr>
          <w:sz w:val="26"/>
          <w:szCs w:val="26"/>
        </w:rPr>
      </w:pPr>
    </w:p>
    <w:p w:rsidR="00C620C7" w:rsidRPr="00506DE1" w:rsidRDefault="000D525D" w:rsidP="006C2742">
      <w:pPr>
        <w:rPr>
          <w:sz w:val="26"/>
          <w:szCs w:val="26"/>
        </w:rPr>
      </w:pPr>
      <w:r w:rsidRPr="00506DE1">
        <w:rPr>
          <w:sz w:val="26"/>
          <w:szCs w:val="26"/>
        </w:rPr>
        <w:tab/>
      </w:r>
      <w:r w:rsidRPr="00506DE1">
        <w:rPr>
          <w:sz w:val="26"/>
          <w:szCs w:val="26"/>
        </w:rPr>
        <w:tab/>
      </w:r>
      <w:r w:rsidR="003F2F9A">
        <w:rPr>
          <w:sz w:val="26"/>
          <w:szCs w:val="26"/>
        </w:rPr>
        <w:t>Next</w:t>
      </w:r>
      <w:r w:rsidR="00524D9C">
        <w:rPr>
          <w:sz w:val="26"/>
          <w:szCs w:val="26"/>
        </w:rPr>
        <w:t>,</w:t>
      </w:r>
      <w:r w:rsidR="003F2F9A">
        <w:rPr>
          <w:sz w:val="26"/>
          <w:szCs w:val="26"/>
        </w:rPr>
        <w:t xml:space="preserve"> the ALJ opined that the issue remaining is</w:t>
      </w:r>
      <w:r w:rsidRPr="00506DE1">
        <w:rPr>
          <w:sz w:val="26"/>
          <w:szCs w:val="26"/>
        </w:rPr>
        <w:t xml:space="preserve"> whether the costs incurred were reasonable</w:t>
      </w:r>
      <w:r w:rsidR="00C620C7" w:rsidRPr="00506DE1">
        <w:rPr>
          <w:sz w:val="26"/>
          <w:szCs w:val="26"/>
        </w:rPr>
        <w:t>,</w:t>
      </w:r>
      <w:r w:rsidR="003F2F9A">
        <w:rPr>
          <w:sz w:val="26"/>
          <w:szCs w:val="26"/>
        </w:rPr>
        <w:t xml:space="preserve"> and if so, which classes should</w:t>
      </w:r>
      <w:r w:rsidR="00C620C7" w:rsidRPr="00506DE1">
        <w:rPr>
          <w:sz w:val="26"/>
          <w:szCs w:val="26"/>
        </w:rPr>
        <w:t xml:space="preserve"> be assessed the under</w:t>
      </w:r>
      <w:r w:rsidR="001774E6">
        <w:rPr>
          <w:sz w:val="26"/>
          <w:szCs w:val="26"/>
        </w:rPr>
        <w:t xml:space="preserve"> </w:t>
      </w:r>
      <w:r w:rsidR="00C620C7" w:rsidRPr="00506DE1">
        <w:rPr>
          <w:sz w:val="26"/>
          <w:szCs w:val="26"/>
        </w:rPr>
        <w:t>collection</w:t>
      </w:r>
      <w:r w:rsidRPr="00506DE1">
        <w:rPr>
          <w:sz w:val="26"/>
          <w:szCs w:val="26"/>
        </w:rPr>
        <w:t>.</w:t>
      </w:r>
      <w:r w:rsidR="00C620C7" w:rsidRPr="00506DE1">
        <w:rPr>
          <w:sz w:val="26"/>
          <w:szCs w:val="26"/>
        </w:rPr>
        <w:t xml:space="preserve">  </w:t>
      </w:r>
      <w:r w:rsidR="003F2F9A">
        <w:rPr>
          <w:sz w:val="26"/>
          <w:szCs w:val="26"/>
        </w:rPr>
        <w:t>She noted that i</w:t>
      </w:r>
      <w:r w:rsidR="00C620C7" w:rsidRPr="00506DE1">
        <w:rPr>
          <w:sz w:val="26"/>
          <w:szCs w:val="26"/>
        </w:rPr>
        <w:t xml:space="preserve">n the </w:t>
      </w:r>
      <w:r w:rsidR="00E317A1">
        <w:rPr>
          <w:i/>
          <w:sz w:val="26"/>
          <w:szCs w:val="26"/>
        </w:rPr>
        <w:t xml:space="preserve">Revised TOU Proceeding </w:t>
      </w:r>
      <w:r w:rsidR="00E317A1">
        <w:rPr>
          <w:sz w:val="26"/>
          <w:szCs w:val="26"/>
        </w:rPr>
        <w:t>case</w:t>
      </w:r>
      <w:r w:rsidR="00C620C7" w:rsidRPr="00506DE1">
        <w:rPr>
          <w:sz w:val="26"/>
          <w:szCs w:val="26"/>
        </w:rPr>
        <w:t xml:space="preserve"> referred to by </w:t>
      </w:r>
      <w:r w:rsidR="003F2F9A">
        <w:rPr>
          <w:sz w:val="26"/>
          <w:szCs w:val="26"/>
        </w:rPr>
        <w:t xml:space="preserve">the </w:t>
      </w:r>
      <w:r w:rsidR="00C620C7" w:rsidRPr="00506DE1">
        <w:rPr>
          <w:sz w:val="26"/>
          <w:szCs w:val="26"/>
        </w:rPr>
        <w:t>OSBA, the Commission ordered the following, in pertinent part:</w:t>
      </w:r>
    </w:p>
    <w:p w:rsidR="006901D1" w:rsidRPr="00506DE1" w:rsidRDefault="006901D1" w:rsidP="00E352B0">
      <w:pPr>
        <w:ind w:right="1440"/>
        <w:rPr>
          <w:sz w:val="26"/>
          <w:szCs w:val="26"/>
        </w:rPr>
      </w:pPr>
    </w:p>
    <w:p w:rsidR="00C620C7" w:rsidRPr="00506DE1" w:rsidRDefault="00C620C7" w:rsidP="00A7484B">
      <w:pPr>
        <w:spacing w:line="240" w:lineRule="auto"/>
        <w:ind w:left="1440" w:right="1440"/>
        <w:rPr>
          <w:sz w:val="26"/>
          <w:szCs w:val="26"/>
        </w:rPr>
      </w:pPr>
      <w:r w:rsidRPr="00506DE1">
        <w:rPr>
          <w:sz w:val="26"/>
          <w:szCs w:val="26"/>
        </w:rPr>
        <w:tab/>
        <w:t>1.</w:t>
      </w:r>
      <w:r w:rsidRPr="00506DE1">
        <w:rPr>
          <w:sz w:val="26"/>
          <w:szCs w:val="26"/>
        </w:rPr>
        <w:tab/>
        <w:t xml:space="preserve">That an investigation on Commission motion be, and hereby is, instituted to determine the lawfulness, justness, and reasonableness of the rates, rules, and regulations contained in the proposed Supplement No. 110 </w:t>
      </w:r>
      <w:r w:rsidR="00E317A1">
        <w:rPr>
          <w:sz w:val="26"/>
          <w:szCs w:val="26"/>
        </w:rPr>
        <w:t>to Tariff Electric Pa. P.U.C. No</w:t>
      </w:r>
      <w:r w:rsidRPr="00506DE1">
        <w:rPr>
          <w:sz w:val="26"/>
          <w:szCs w:val="26"/>
        </w:rPr>
        <w:t>. 201.</w:t>
      </w:r>
    </w:p>
    <w:p w:rsidR="00E352B0" w:rsidRPr="00506DE1" w:rsidRDefault="00E352B0" w:rsidP="00A7484B">
      <w:pPr>
        <w:spacing w:line="240" w:lineRule="auto"/>
        <w:ind w:left="1440" w:right="1440"/>
        <w:rPr>
          <w:sz w:val="26"/>
          <w:szCs w:val="26"/>
        </w:rPr>
      </w:pPr>
    </w:p>
    <w:p w:rsidR="00C620C7" w:rsidRPr="00506DE1" w:rsidRDefault="00C620C7" w:rsidP="00A7484B">
      <w:pPr>
        <w:spacing w:line="240" w:lineRule="auto"/>
        <w:ind w:left="1440" w:right="1440"/>
        <w:rPr>
          <w:sz w:val="26"/>
          <w:szCs w:val="26"/>
        </w:rPr>
      </w:pPr>
      <w:r w:rsidRPr="00506DE1">
        <w:rPr>
          <w:sz w:val="26"/>
          <w:szCs w:val="26"/>
        </w:rPr>
        <w:lastRenderedPageBreak/>
        <w:tab/>
        <w:t>2.</w:t>
      </w:r>
      <w:r w:rsidRPr="00506DE1">
        <w:rPr>
          <w:sz w:val="26"/>
          <w:szCs w:val="26"/>
        </w:rPr>
        <w:tab/>
        <w:t>That the proposed Supplement No. 110 to Tariff Electric Pa. P.U.C. No. 201 will be suspended until September 1, 2012, unless otherwise directed by Order of the Commission.</w:t>
      </w:r>
    </w:p>
    <w:p w:rsidR="00E352B0" w:rsidRPr="00506DE1" w:rsidRDefault="00E352B0" w:rsidP="00A7484B">
      <w:pPr>
        <w:spacing w:line="240" w:lineRule="auto"/>
        <w:ind w:left="1440" w:right="1440"/>
        <w:rPr>
          <w:sz w:val="26"/>
          <w:szCs w:val="26"/>
        </w:rPr>
      </w:pPr>
    </w:p>
    <w:p w:rsidR="00C620C7" w:rsidRPr="00506DE1" w:rsidRDefault="00C620C7" w:rsidP="00A7484B">
      <w:pPr>
        <w:spacing w:line="240" w:lineRule="auto"/>
        <w:ind w:left="1440" w:right="1440"/>
        <w:rPr>
          <w:sz w:val="26"/>
          <w:szCs w:val="26"/>
        </w:rPr>
      </w:pPr>
      <w:r w:rsidRPr="00506DE1">
        <w:rPr>
          <w:sz w:val="26"/>
          <w:szCs w:val="26"/>
        </w:rPr>
        <w:tab/>
        <w:t>3.</w:t>
      </w:r>
      <w:r w:rsidRPr="00506DE1">
        <w:rPr>
          <w:sz w:val="26"/>
          <w:szCs w:val="26"/>
        </w:rPr>
        <w:tab/>
        <w:t>That this investigation shall include consideration of the lawfulness, justness, and reasonableness of the Company</w:t>
      </w:r>
      <w:r w:rsidR="000964BB">
        <w:rPr>
          <w:sz w:val="26"/>
          <w:szCs w:val="26"/>
        </w:rPr>
        <w:t>’</w:t>
      </w:r>
      <w:r w:rsidRPr="00506DE1">
        <w:rPr>
          <w:sz w:val="26"/>
          <w:szCs w:val="26"/>
        </w:rPr>
        <w:t>s existing rates, rules, and regulations.</w:t>
      </w:r>
    </w:p>
    <w:p w:rsidR="00E352B0" w:rsidRPr="00506DE1" w:rsidRDefault="00E352B0" w:rsidP="00A7484B">
      <w:pPr>
        <w:spacing w:line="240" w:lineRule="auto"/>
        <w:ind w:left="1440" w:right="1440"/>
        <w:rPr>
          <w:sz w:val="26"/>
          <w:szCs w:val="26"/>
        </w:rPr>
      </w:pPr>
    </w:p>
    <w:p w:rsidR="00C620C7" w:rsidRDefault="00C620C7" w:rsidP="00A7484B">
      <w:pPr>
        <w:spacing w:line="240" w:lineRule="auto"/>
        <w:ind w:left="1440" w:right="1440"/>
        <w:rPr>
          <w:sz w:val="26"/>
          <w:szCs w:val="26"/>
        </w:rPr>
      </w:pPr>
      <w:r w:rsidRPr="00506DE1">
        <w:rPr>
          <w:sz w:val="26"/>
          <w:szCs w:val="26"/>
        </w:rPr>
        <w:tab/>
        <w:t>4.</w:t>
      </w:r>
      <w:r w:rsidRPr="00506DE1">
        <w:rPr>
          <w:sz w:val="26"/>
          <w:szCs w:val="26"/>
        </w:rPr>
        <w:tab/>
        <w:t>That the case be assigned to the Office of Administrative Law Judge for the prompt scheduling of such hearings as may be necessary culminating in the issuance of a Recommended Decision.</w:t>
      </w:r>
    </w:p>
    <w:p w:rsidR="00E317A1" w:rsidRPr="00506DE1" w:rsidRDefault="00E317A1" w:rsidP="00A7484B">
      <w:pPr>
        <w:spacing w:line="240" w:lineRule="auto"/>
        <w:ind w:left="1440" w:right="1440"/>
        <w:rPr>
          <w:sz w:val="26"/>
          <w:szCs w:val="26"/>
        </w:rPr>
      </w:pPr>
    </w:p>
    <w:p w:rsidR="003F2F9A" w:rsidRPr="003F2F9A" w:rsidRDefault="00C620C7" w:rsidP="00E317A1">
      <w:pPr>
        <w:spacing w:line="240" w:lineRule="auto"/>
        <w:ind w:right="1440"/>
        <w:rPr>
          <w:sz w:val="26"/>
          <w:szCs w:val="26"/>
        </w:rPr>
      </w:pPr>
      <w:r w:rsidRPr="00506DE1">
        <w:rPr>
          <w:sz w:val="26"/>
          <w:szCs w:val="26"/>
        </w:rPr>
        <w:t>Order entered November 10, 2011</w:t>
      </w:r>
      <w:r w:rsidR="00E317A1">
        <w:rPr>
          <w:sz w:val="26"/>
          <w:szCs w:val="26"/>
        </w:rPr>
        <w:t xml:space="preserve"> at</w:t>
      </w:r>
      <w:r w:rsidR="006634C5">
        <w:rPr>
          <w:sz w:val="26"/>
          <w:szCs w:val="26"/>
        </w:rPr>
        <w:t xml:space="preserve"> 2-3</w:t>
      </w:r>
      <w:r w:rsidRPr="00506DE1">
        <w:rPr>
          <w:sz w:val="26"/>
          <w:szCs w:val="26"/>
        </w:rPr>
        <w:t>)</w:t>
      </w:r>
      <w:r w:rsidR="00E317A1">
        <w:rPr>
          <w:sz w:val="26"/>
          <w:szCs w:val="26"/>
        </w:rPr>
        <w:t xml:space="preserve">; </w:t>
      </w:r>
      <w:r w:rsidR="003F2F9A">
        <w:rPr>
          <w:sz w:val="26"/>
          <w:szCs w:val="26"/>
        </w:rPr>
        <w:t>R.D. at 47-48.</w:t>
      </w:r>
    </w:p>
    <w:p w:rsidR="00C620C7" w:rsidRPr="00506DE1" w:rsidRDefault="00C620C7" w:rsidP="00AE26B7">
      <w:pPr>
        <w:ind w:left="1440" w:right="1440"/>
        <w:rPr>
          <w:sz w:val="26"/>
          <w:szCs w:val="26"/>
        </w:rPr>
      </w:pPr>
    </w:p>
    <w:p w:rsidR="00C620C7" w:rsidRDefault="00C620C7" w:rsidP="00A7484B">
      <w:pPr>
        <w:rPr>
          <w:sz w:val="26"/>
          <w:szCs w:val="26"/>
        </w:rPr>
      </w:pPr>
      <w:r w:rsidRPr="00506DE1">
        <w:rPr>
          <w:sz w:val="26"/>
          <w:szCs w:val="26"/>
        </w:rPr>
        <w:tab/>
      </w:r>
      <w:r w:rsidRPr="00506DE1">
        <w:rPr>
          <w:sz w:val="26"/>
          <w:szCs w:val="26"/>
        </w:rPr>
        <w:tab/>
      </w:r>
      <w:r w:rsidR="003F2F9A">
        <w:rPr>
          <w:sz w:val="26"/>
          <w:szCs w:val="26"/>
        </w:rPr>
        <w:t>The ALJ</w:t>
      </w:r>
      <w:r w:rsidRPr="00506DE1">
        <w:rPr>
          <w:sz w:val="26"/>
          <w:szCs w:val="26"/>
        </w:rPr>
        <w:t xml:space="preserve"> note</w:t>
      </w:r>
      <w:r w:rsidR="003F2F9A">
        <w:rPr>
          <w:sz w:val="26"/>
          <w:szCs w:val="26"/>
        </w:rPr>
        <w:t>d that a</w:t>
      </w:r>
      <w:r w:rsidRPr="00506DE1">
        <w:rPr>
          <w:sz w:val="26"/>
          <w:szCs w:val="26"/>
        </w:rPr>
        <w:t xml:space="preserve"> hearing </w:t>
      </w:r>
      <w:r w:rsidR="00F83E50" w:rsidRPr="00506DE1">
        <w:rPr>
          <w:sz w:val="26"/>
          <w:szCs w:val="26"/>
        </w:rPr>
        <w:t>was</w:t>
      </w:r>
      <w:r w:rsidR="00652EB5" w:rsidRPr="00506DE1">
        <w:rPr>
          <w:sz w:val="26"/>
          <w:szCs w:val="26"/>
        </w:rPr>
        <w:t xml:space="preserve"> held</w:t>
      </w:r>
      <w:r w:rsidRPr="00506DE1">
        <w:rPr>
          <w:sz w:val="26"/>
          <w:szCs w:val="26"/>
        </w:rPr>
        <w:t xml:space="preserve"> </w:t>
      </w:r>
      <w:r w:rsidR="00E317A1">
        <w:rPr>
          <w:sz w:val="26"/>
          <w:szCs w:val="26"/>
        </w:rPr>
        <w:t xml:space="preserve">in this proceeding </w:t>
      </w:r>
      <w:r w:rsidR="00F83E50" w:rsidRPr="00506DE1">
        <w:rPr>
          <w:sz w:val="26"/>
          <w:szCs w:val="26"/>
        </w:rPr>
        <w:t>on</w:t>
      </w:r>
      <w:r w:rsidRPr="00506DE1">
        <w:rPr>
          <w:sz w:val="26"/>
          <w:szCs w:val="26"/>
        </w:rPr>
        <w:t xml:space="preserve"> February 22, 2012.  Therefore, </w:t>
      </w:r>
      <w:r w:rsidR="003F2F9A">
        <w:rPr>
          <w:sz w:val="26"/>
          <w:szCs w:val="26"/>
        </w:rPr>
        <w:t xml:space="preserve">she recommended that </w:t>
      </w:r>
      <w:r w:rsidRPr="00506DE1">
        <w:rPr>
          <w:sz w:val="26"/>
          <w:szCs w:val="26"/>
        </w:rPr>
        <w:t>the issue of whether the costs incurred were reasonable</w:t>
      </w:r>
      <w:r w:rsidR="00652EB5" w:rsidRPr="00506DE1">
        <w:rPr>
          <w:sz w:val="26"/>
          <w:szCs w:val="26"/>
        </w:rPr>
        <w:t>, and if so, in what amount,</w:t>
      </w:r>
      <w:r w:rsidR="00A7484B" w:rsidRPr="00506DE1">
        <w:rPr>
          <w:sz w:val="26"/>
          <w:szCs w:val="26"/>
        </w:rPr>
        <w:t xml:space="preserve"> </w:t>
      </w:r>
      <w:r w:rsidR="003F2F9A">
        <w:rPr>
          <w:sz w:val="26"/>
          <w:szCs w:val="26"/>
        </w:rPr>
        <w:t>should be</w:t>
      </w:r>
      <w:r w:rsidRPr="00506DE1">
        <w:rPr>
          <w:sz w:val="26"/>
          <w:szCs w:val="26"/>
        </w:rPr>
        <w:t xml:space="preserve"> deferred to that proceeding.</w:t>
      </w:r>
      <w:r w:rsidR="00652EB5" w:rsidRPr="00506DE1">
        <w:rPr>
          <w:sz w:val="26"/>
          <w:szCs w:val="26"/>
        </w:rPr>
        <w:t xml:space="preserve">  </w:t>
      </w:r>
      <w:r w:rsidR="003F2F9A">
        <w:rPr>
          <w:sz w:val="26"/>
          <w:szCs w:val="26"/>
        </w:rPr>
        <w:t>The ALJ concluded that o</w:t>
      </w:r>
      <w:r w:rsidR="00652EB5" w:rsidRPr="00506DE1">
        <w:rPr>
          <w:sz w:val="26"/>
          <w:szCs w:val="26"/>
        </w:rPr>
        <w:t xml:space="preserve">nce some measure of those costs has been determined to be recoverable, that amount </w:t>
      </w:r>
      <w:r w:rsidR="003A6CD0" w:rsidRPr="00506DE1">
        <w:rPr>
          <w:sz w:val="26"/>
          <w:szCs w:val="26"/>
        </w:rPr>
        <w:t>should</w:t>
      </w:r>
      <w:r w:rsidR="00652EB5" w:rsidRPr="00506DE1">
        <w:rPr>
          <w:sz w:val="26"/>
          <w:szCs w:val="26"/>
        </w:rPr>
        <w:t xml:space="preserve"> be added to the RR for the rate classes which participate</w:t>
      </w:r>
      <w:r w:rsidR="003F2F9A">
        <w:rPr>
          <w:sz w:val="26"/>
          <w:szCs w:val="26"/>
        </w:rPr>
        <w:t>d</w:t>
      </w:r>
      <w:r w:rsidR="00652EB5" w:rsidRPr="00506DE1">
        <w:rPr>
          <w:sz w:val="26"/>
          <w:szCs w:val="26"/>
        </w:rPr>
        <w:t xml:space="preserve"> in the TOU program.</w:t>
      </w:r>
      <w:r w:rsidRPr="00506DE1">
        <w:rPr>
          <w:sz w:val="26"/>
          <w:szCs w:val="26"/>
        </w:rPr>
        <w:t xml:space="preserve"> </w:t>
      </w:r>
      <w:r w:rsidR="003F2F9A">
        <w:rPr>
          <w:sz w:val="26"/>
          <w:szCs w:val="26"/>
        </w:rPr>
        <w:t xml:space="preserve">  R.D. at 48.</w:t>
      </w:r>
    </w:p>
    <w:p w:rsidR="003F2F9A" w:rsidRDefault="003F2F9A" w:rsidP="00A7484B">
      <w:pPr>
        <w:rPr>
          <w:sz w:val="26"/>
          <w:szCs w:val="26"/>
        </w:rPr>
      </w:pPr>
    </w:p>
    <w:p w:rsidR="003F2F9A" w:rsidRDefault="003F2F9A" w:rsidP="00211136">
      <w:pPr>
        <w:pStyle w:val="Heading3"/>
        <w:keepNext/>
      </w:pPr>
      <w:bookmarkStart w:id="57" w:name="_Toc329245863"/>
      <w:bookmarkStart w:id="58" w:name="_Toc329688400"/>
      <w:r>
        <w:t>4.</w:t>
      </w:r>
      <w:r>
        <w:tab/>
        <w:t>Exceptions and Replies</w:t>
      </w:r>
      <w:bookmarkEnd w:id="57"/>
      <w:bookmarkEnd w:id="58"/>
    </w:p>
    <w:p w:rsidR="001774E6" w:rsidRDefault="001774E6" w:rsidP="00211136">
      <w:pPr>
        <w:keepNext/>
        <w:rPr>
          <w:b/>
          <w:sz w:val="26"/>
          <w:szCs w:val="26"/>
        </w:rPr>
      </w:pPr>
    </w:p>
    <w:p w:rsidR="00204983" w:rsidRDefault="00204983" w:rsidP="00A7484B">
      <w:pPr>
        <w:rPr>
          <w:sz w:val="26"/>
          <w:szCs w:val="26"/>
        </w:rPr>
      </w:pPr>
      <w:r>
        <w:rPr>
          <w:b/>
          <w:sz w:val="26"/>
          <w:szCs w:val="26"/>
        </w:rPr>
        <w:tab/>
      </w:r>
      <w:r>
        <w:rPr>
          <w:b/>
          <w:sz w:val="26"/>
          <w:szCs w:val="26"/>
        </w:rPr>
        <w:tab/>
      </w:r>
      <w:r w:rsidRPr="00204983">
        <w:rPr>
          <w:sz w:val="26"/>
          <w:szCs w:val="26"/>
        </w:rPr>
        <w:t xml:space="preserve">Exceptions were filed in response to this recommendation by </w:t>
      </w:r>
      <w:r w:rsidR="00E955A9">
        <w:rPr>
          <w:sz w:val="26"/>
          <w:szCs w:val="26"/>
        </w:rPr>
        <w:t xml:space="preserve">the </w:t>
      </w:r>
      <w:r w:rsidRPr="00204983">
        <w:rPr>
          <w:sz w:val="26"/>
          <w:szCs w:val="26"/>
        </w:rPr>
        <w:t>I&amp;E, the OCA and RESA.</w:t>
      </w:r>
      <w:r>
        <w:rPr>
          <w:sz w:val="26"/>
          <w:szCs w:val="26"/>
        </w:rPr>
        <w:t xml:space="preserve">  </w:t>
      </w:r>
    </w:p>
    <w:p w:rsidR="00204983" w:rsidRDefault="00204983" w:rsidP="00A7484B">
      <w:pPr>
        <w:rPr>
          <w:sz w:val="26"/>
          <w:szCs w:val="26"/>
        </w:rPr>
      </w:pPr>
    </w:p>
    <w:p w:rsidR="00204983" w:rsidRDefault="00E955A9" w:rsidP="00204983">
      <w:pPr>
        <w:ind w:firstLine="1440"/>
        <w:rPr>
          <w:sz w:val="26"/>
          <w:szCs w:val="26"/>
        </w:rPr>
      </w:pPr>
      <w:r>
        <w:rPr>
          <w:sz w:val="26"/>
          <w:szCs w:val="26"/>
        </w:rPr>
        <w:t xml:space="preserve">The </w:t>
      </w:r>
      <w:r w:rsidR="00204983">
        <w:rPr>
          <w:sz w:val="26"/>
          <w:szCs w:val="26"/>
        </w:rPr>
        <w:t>I&amp;E argues that the ALJ</w:t>
      </w:r>
      <w:r w:rsidR="000964BB">
        <w:rPr>
          <w:sz w:val="26"/>
          <w:szCs w:val="26"/>
        </w:rPr>
        <w:t>’</w:t>
      </w:r>
      <w:r w:rsidR="00204983">
        <w:rPr>
          <w:sz w:val="26"/>
          <w:szCs w:val="26"/>
        </w:rPr>
        <w:t>s determination that the TOU option available for selection by PPL</w:t>
      </w:r>
      <w:r w:rsidR="000964BB">
        <w:rPr>
          <w:sz w:val="26"/>
          <w:szCs w:val="26"/>
        </w:rPr>
        <w:t>’</w:t>
      </w:r>
      <w:r w:rsidR="00204983">
        <w:rPr>
          <w:sz w:val="26"/>
          <w:szCs w:val="26"/>
        </w:rPr>
        <w:t>s customers should be classified as default service</w:t>
      </w:r>
      <w:r w:rsidR="00CB67AC">
        <w:rPr>
          <w:sz w:val="26"/>
          <w:szCs w:val="26"/>
        </w:rPr>
        <w:t xml:space="preserve"> is not in the public interest and </w:t>
      </w:r>
      <w:r w:rsidR="00204983">
        <w:rPr>
          <w:sz w:val="26"/>
          <w:szCs w:val="26"/>
        </w:rPr>
        <w:t>must be rejected.</w:t>
      </w:r>
      <w:r w:rsidR="00CB67AC">
        <w:rPr>
          <w:sz w:val="26"/>
          <w:szCs w:val="26"/>
        </w:rPr>
        <w:t xml:space="preserve">  </w:t>
      </w:r>
      <w:r>
        <w:rPr>
          <w:sz w:val="26"/>
          <w:szCs w:val="26"/>
        </w:rPr>
        <w:t xml:space="preserve">The </w:t>
      </w:r>
      <w:r w:rsidR="00CB67AC">
        <w:rPr>
          <w:sz w:val="26"/>
          <w:szCs w:val="26"/>
        </w:rPr>
        <w:t>I&amp;E avers that alternative programs do not meet the classic definition of default service and should not be recognized in the same manner.  I&amp;E Exc. at 4-8.</w:t>
      </w:r>
    </w:p>
    <w:p w:rsidR="00204983" w:rsidRPr="00204983" w:rsidRDefault="00204983" w:rsidP="00204983">
      <w:pPr>
        <w:ind w:firstLine="1440"/>
        <w:rPr>
          <w:sz w:val="26"/>
          <w:szCs w:val="26"/>
        </w:rPr>
      </w:pPr>
    </w:p>
    <w:p w:rsidR="001774E6" w:rsidRDefault="001774E6" w:rsidP="00A7484B">
      <w:pPr>
        <w:rPr>
          <w:sz w:val="26"/>
          <w:szCs w:val="26"/>
        </w:rPr>
      </w:pPr>
      <w:r>
        <w:rPr>
          <w:b/>
          <w:sz w:val="26"/>
          <w:szCs w:val="26"/>
        </w:rPr>
        <w:lastRenderedPageBreak/>
        <w:tab/>
      </w:r>
      <w:r>
        <w:rPr>
          <w:b/>
          <w:sz w:val="26"/>
          <w:szCs w:val="26"/>
        </w:rPr>
        <w:tab/>
      </w:r>
      <w:r w:rsidRPr="001774E6">
        <w:rPr>
          <w:sz w:val="26"/>
          <w:szCs w:val="26"/>
        </w:rPr>
        <w:t>In its Exceptions</w:t>
      </w:r>
      <w:r>
        <w:rPr>
          <w:sz w:val="26"/>
          <w:szCs w:val="26"/>
        </w:rPr>
        <w:t>, RESA argues that the ALJ erred in concluding that all customers should be required to pay for the costs of the TOU program available only to default service customers.</w:t>
      </w:r>
      <w:r w:rsidR="009F12DB">
        <w:rPr>
          <w:sz w:val="26"/>
          <w:szCs w:val="26"/>
        </w:rPr>
        <w:t xml:space="preserve">  RESA argues that this recommendation should be rejected as the Commission has already determined that shopping customers cannot be required to bear the costs of a TOU program available only to default service customers.</w:t>
      </w:r>
      <w:r w:rsidR="00204983">
        <w:rPr>
          <w:sz w:val="26"/>
          <w:szCs w:val="26"/>
        </w:rPr>
        <w:t xml:space="preserve">  RESA argues that the question of whether shopping customers should be required to pay for the costs of a TOU program was directly presented to the Commission in the context of PECO</w:t>
      </w:r>
      <w:r w:rsidR="000964BB">
        <w:rPr>
          <w:sz w:val="26"/>
          <w:szCs w:val="26"/>
        </w:rPr>
        <w:t>’</w:t>
      </w:r>
      <w:r w:rsidR="00204983">
        <w:rPr>
          <w:sz w:val="26"/>
          <w:szCs w:val="26"/>
        </w:rPr>
        <w:t>s dynamic pricing offerings.  RESA avers that</w:t>
      </w:r>
      <w:r w:rsidR="00E955A9">
        <w:rPr>
          <w:sz w:val="26"/>
          <w:szCs w:val="26"/>
        </w:rPr>
        <w:t>,</w:t>
      </w:r>
      <w:r w:rsidR="00204983">
        <w:rPr>
          <w:sz w:val="26"/>
          <w:szCs w:val="26"/>
        </w:rPr>
        <w:t xml:space="preserve"> like PPL</w:t>
      </w:r>
      <w:r w:rsidR="000964BB">
        <w:rPr>
          <w:sz w:val="26"/>
          <w:szCs w:val="26"/>
        </w:rPr>
        <w:t>’</w:t>
      </w:r>
      <w:r w:rsidR="00204983">
        <w:rPr>
          <w:sz w:val="26"/>
          <w:szCs w:val="26"/>
        </w:rPr>
        <w:t>s TOU program, PECO</w:t>
      </w:r>
      <w:r w:rsidR="000964BB">
        <w:rPr>
          <w:sz w:val="26"/>
          <w:szCs w:val="26"/>
        </w:rPr>
        <w:t>’</w:t>
      </w:r>
      <w:r w:rsidR="00204983">
        <w:rPr>
          <w:sz w:val="26"/>
          <w:szCs w:val="26"/>
        </w:rPr>
        <w:t>s dynamic pricing program was open only to default service customers and the</w:t>
      </w:r>
      <w:r w:rsidR="00CB67AC">
        <w:rPr>
          <w:sz w:val="26"/>
          <w:szCs w:val="26"/>
        </w:rPr>
        <w:t xml:space="preserve"> Commission ultimately concluded that the costs of the program should only be recovered from default service customers and not from shopping customers.</w:t>
      </w:r>
      <w:r w:rsidR="00754741">
        <w:rPr>
          <w:rStyle w:val="FootnoteReference"/>
          <w:sz w:val="26"/>
          <w:szCs w:val="26"/>
        </w:rPr>
        <w:footnoteReference w:id="9"/>
      </w:r>
      <w:r w:rsidR="00204983">
        <w:rPr>
          <w:sz w:val="26"/>
          <w:szCs w:val="26"/>
        </w:rPr>
        <w:t xml:space="preserve"> </w:t>
      </w:r>
      <w:r w:rsidR="00754741">
        <w:rPr>
          <w:sz w:val="26"/>
          <w:szCs w:val="26"/>
        </w:rPr>
        <w:t xml:space="preserve"> RESA Exc. at 18-20.</w:t>
      </w:r>
    </w:p>
    <w:p w:rsidR="00754741" w:rsidRDefault="00754741" w:rsidP="00A7484B">
      <w:pPr>
        <w:rPr>
          <w:sz w:val="26"/>
          <w:szCs w:val="26"/>
        </w:rPr>
      </w:pPr>
    </w:p>
    <w:p w:rsidR="00754741" w:rsidRDefault="00754741" w:rsidP="00A7484B">
      <w:pPr>
        <w:rPr>
          <w:sz w:val="26"/>
          <w:szCs w:val="26"/>
        </w:rPr>
      </w:pPr>
      <w:r>
        <w:rPr>
          <w:sz w:val="26"/>
          <w:szCs w:val="26"/>
        </w:rPr>
        <w:tab/>
      </w:r>
      <w:r>
        <w:rPr>
          <w:sz w:val="26"/>
          <w:szCs w:val="26"/>
        </w:rPr>
        <w:tab/>
        <w:t>The OCA argues in its Exceptions that TOU costs are recoverable costs to the default service provider, but are not properly classified as default service costs.  OCA Exc. at 6-8.</w:t>
      </w:r>
    </w:p>
    <w:p w:rsidR="00754741" w:rsidRDefault="00754741" w:rsidP="00A7484B">
      <w:pPr>
        <w:rPr>
          <w:sz w:val="26"/>
          <w:szCs w:val="26"/>
        </w:rPr>
      </w:pPr>
    </w:p>
    <w:p w:rsidR="00754741" w:rsidRDefault="00754741" w:rsidP="00211136">
      <w:pPr>
        <w:pStyle w:val="Heading3"/>
        <w:keepNext/>
      </w:pPr>
      <w:bookmarkStart w:id="59" w:name="_Toc329245864"/>
      <w:bookmarkStart w:id="60" w:name="_Toc329688401"/>
      <w:r>
        <w:t>5.</w:t>
      </w:r>
      <w:r>
        <w:tab/>
        <w:t>Disposition</w:t>
      </w:r>
      <w:bookmarkEnd w:id="59"/>
      <w:bookmarkEnd w:id="60"/>
    </w:p>
    <w:p w:rsidR="00754741" w:rsidRDefault="00754741" w:rsidP="00211136">
      <w:pPr>
        <w:keepNext/>
        <w:rPr>
          <w:sz w:val="26"/>
          <w:szCs w:val="26"/>
        </w:rPr>
      </w:pPr>
    </w:p>
    <w:p w:rsidR="00754741" w:rsidRPr="00754741" w:rsidRDefault="00754741" w:rsidP="006D5A72">
      <w:pPr>
        <w:rPr>
          <w:sz w:val="26"/>
          <w:szCs w:val="26"/>
        </w:rPr>
      </w:pPr>
      <w:r>
        <w:rPr>
          <w:sz w:val="26"/>
          <w:szCs w:val="26"/>
        </w:rPr>
        <w:tab/>
      </w:r>
      <w:r>
        <w:rPr>
          <w:sz w:val="26"/>
          <w:szCs w:val="26"/>
        </w:rPr>
        <w:tab/>
        <w:t>Having determined previously that PPL</w:t>
      </w:r>
      <w:r w:rsidR="000964BB">
        <w:rPr>
          <w:sz w:val="26"/>
          <w:szCs w:val="26"/>
        </w:rPr>
        <w:t>’</w:t>
      </w:r>
      <w:r>
        <w:rPr>
          <w:sz w:val="26"/>
          <w:szCs w:val="26"/>
        </w:rPr>
        <w:t xml:space="preserve">s proposed RR is rejected, the recommendation of the ALJ that recoverable TOU </w:t>
      </w:r>
      <w:r w:rsidR="00EB3071">
        <w:rPr>
          <w:sz w:val="26"/>
          <w:szCs w:val="26"/>
        </w:rPr>
        <w:t>costs be recovered through the RR is dismissed as moot.  However, we agree with the ALJ</w:t>
      </w:r>
      <w:r w:rsidR="000964BB">
        <w:rPr>
          <w:sz w:val="26"/>
          <w:szCs w:val="26"/>
        </w:rPr>
        <w:t>’</w:t>
      </w:r>
      <w:r w:rsidR="00EB3071">
        <w:rPr>
          <w:sz w:val="26"/>
          <w:szCs w:val="26"/>
        </w:rPr>
        <w:t xml:space="preserve">s recommendation that </w:t>
      </w:r>
      <w:r w:rsidR="00EB3071" w:rsidRPr="00506DE1">
        <w:rPr>
          <w:sz w:val="26"/>
          <w:szCs w:val="26"/>
        </w:rPr>
        <w:t xml:space="preserve">the issue of whether the </w:t>
      </w:r>
      <w:r w:rsidR="00015BC4">
        <w:rPr>
          <w:sz w:val="26"/>
          <w:szCs w:val="26"/>
        </w:rPr>
        <w:t xml:space="preserve">TOU </w:t>
      </w:r>
      <w:r w:rsidR="00EB3071" w:rsidRPr="00506DE1">
        <w:rPr>
          <w:sz w:val="26"/>
          <w:szCs w:val="26"/>
        </w:rPr>
        <w:t xml:space="preserve">costs incurred were reasonable, and if so, in what amount, </w:t>
      </w:r>
      <w:r w:rsidR="00EB3071">
        <w:rPr>
          <w:sz w:val="26"/>
          <w:szCs w:val="26"/>
        </w:rPr>
        <w:t>should be deferred to the</w:t>
      </w:r>
      <w:r w:rsidR="00EB3071" w:rsidRPr="00506DE1">
        <w:rPr>
          <w:sz w:val="26"/>
          <w:szCs w:val="26"/>
        </w:rPr>
        <w:t xml:space="preserve"> </w:t>
      </w:r>
      <w:r w:rsidR="00950300">
        <w:rPr>
          <w:sz w:val="26"/>
          <w:szCs w:val="26"/>
        </w:rPr>
        <w:t xml:space="preserve">pending </w:t>
      </w:r>
      <w:r w:rsidR="00950300">
        <w:rPr>
          <w:i/>
          <w:sz w:val="26"/>
          <w:szCs w:val="26"/>
        </w:rPr>
        <w:t xml:space="preserve">Revised TOU Proceeding </w:t>
      </w:r>
      <w:r w:rsidR="00015BC4">
        <w:rPr>
          <w:sz w:val="26"/>
          <w:szCs w:val="26"/>
        </w:rPr>
        <w:t>at Docket No. R-2011-2264771.  The issue of how the allowable level of reasonable TOU costs should be recov</w:t>
      </w:r>
      <w:r w:rsidR="00DF4DE9">
        <w:rPr>
          <w:sz w:val="26"/>
          <w:szCs w:val="26"/>
        </w:rPr>
        <w:t>ered is also deferred to this</w:t>
      </w:r>
      <w:r w:rsidR="00015BC4">
        <w:rPr>
          <w:sz w:val="26"/>
          <w:szCs w:val="26"/>
        </w:rPr>
        <w:t xml:space="preserve"> proceeding.</w:t>
      </w:r>
    </w:p>
    <w:p w:rsidR="00E46B3B" w:rsidRPr="00506DE1" w:rsidRDefault="00E46B3B" w:rsidP="006D5A72">
      <w:pPr>
        <w:rPr>
          <w:b/>
          <w:sz w:val="26"/>
          <w:szCs w:val="26"/>
        </w:rPr>
      </w:pPr>
    </w:p>
    <w:p w:rsidR="00E35ECD" w:rsidRPr="00506DE1" w:rsidRDefault="00506DE1" w:rsidP="00520A9D">
      <w:pPr>
        <w:pStyle w:val="Heading2"/>
        <w:keepNext/>
        <w:spacing w:line="240" w:lineRule="auto"/>
        <w:ind w:left="720" w:hanging="720"/>
      </w:pPr>
      <w:bookmarkStart w:id="61" w:name="_Toc329245865"/>
      <w:bookmarkStart w:id="62" w:name="_Toc329688402"/>
      <w:r w:rsidRPr="00506DE1">
        <w:lastRenderedPageBreak/>
        <w:t>F</w:t>
      </w:r>
      <w:r w:rsidR="00E35ECD" w:rsidRPr="00506DE1">
        <w:t>.</w:t>
      </w:r>
      <w:r w:rsidR="00E35ECD" w:rsidRPr="00506DE1">
        <w:tab/>
        <w:t>Ability to net the over and under collections of the respective GSC-1 and GSC-2 with the TSC reconciliations for each customer class</w:t>
      </w:r>
      <w:bookmarkEnd w:id="61"/>
      <w:r w:rsidR="00DF4DE9">
        <w:t>.</w:t>
      </w:r>
      <w:bookmarkEnd w:id="62"/>
      <w:r w:rsidR="00E77EC5" w:rsidRPr="00506DE1">
        <w:fldChar w:fldCharType="begin"/>
      </w:r>
      <w:r w:rsidR="00E77EC5" w:rsidRPr="00506DE1">
        <w:instrText xml:space="preserve"> TC "</w:instrText>
      </w:r>
      <w:bookmarkStart w:id="63" w:name="_Toc329245164"/>
      <w:r w:rsidR="00E77EC5" w:rsidRPr="00506DE1">
        <w:instrText>4.</w:instrText>
      </w:r>
      <w:r w:rsidR="00E77EC5" w:rsidRPr="00506DE1">
        <w:tab/>
        <w:instrText>Ability to net the over and under collections of the respective GSC-1 and GSC-2 with the TSC reconciliations for each customer class</w:instrText>
      </w:r>
      <w:bookmarkEnd w:id="63"/>
      <w:r w:rsidR="00E77EC5" w:rsidRPr="00506DE1">
        <w:instrText>" \f C \l "</w:instrText>
      </w:r>
      <w:r w:rsidR="004F1A21" w:rsidRPr="00506DE1">
        <w:instrText>3</w:instrText>
      </w:r>
      <w:r w:rsidR="00E77EC5" w:rsidRPr="00506DE1">
        <w:instrText xml:space="preserve">" </w:instrText>
      </w:r>
      <w:r w:rsidR="00E77EC5" w:rsidRPr="00506DE1">
        <w:fldChar w:fldCharType="end"/>
      </w:r>
    </w:p>
    <w:p w:rsidR="00E35ECD" w:rsidRPr="00506DE1" w:rsidRDefault="00E35ECD" w:rsidP="00211136">
      <w:pPr>
        <w:keepNext/>
        <w:rPr>
          <w:b/>
          <w:sz w:val="26"/>
          <w:szCs w:val="26"/>
        </w:rPr>
      </w:pPr>
    </w:p>
    <w:p w:rsidR="00905110" w:rsidRPr="00506DE1" w:rsidRDefault="00506DE1" w:rsidP="00211136">
      <w:pPr>
        <w:pStyle w:val="Heading3"/>
        <w:keepNext/>
      </w:pPr>
      <w:bookmarkStart w:id="64" w:name="_Toc329245866"/>
      <w:bookmarkStart w:id="65" w:name="_Toc329688403"/>
      <w:r w:rsidRPr="00506DE1">
        <w:t>1.</w:t>
      </w:r>
      <w:r w:rsidRPr="00506DE1">
        <w:tab/>
      </w:r>
      <w:r w:rsidR="00905110" w:rsidRPr="00506DE1">
        <w:t>Description</w:t>
      </w:r>
      <w:bookmarkEnd w:id="64"/>
      <w:bookmarkEnd w:id="65"/>
      <w:r w:rsidR="00E77EC5" w:rsidRPr="00506DE1">
        <w:fldChar w:fldCharType="begin"/>
      </w:r>
      <w:r w:rsidR="00E77EC5" w:rsidRPr="00506DE1">
        <w:instrText xml:space="preserve"> TC "</w:instrText>
      </w:r>
      <w:bookmarkStart w:id="66" w:name="_Toc329245165"/>
      <w:r w:rsidR="00E77EC5" w:rsidRPr="00506DE1">
        <w:instrText>Description</w:instrText>
      </w:r>
      <w:bookmarkEnd w:id="66"/>
      <w:r w:rsidR="00E77EC5" w:rsidRPr="00506DE1">
        <w:instrText>" \f C \l "</w:instrText>
      </w:r>
      <w:r w:rsidR="004F1A21" w:rsidRPr="00506DE1">
        <w:instrText>4</w:instrText>
      </w:r>
      <w:r w:rsidR="00E77EC5" w:rsidRPr="00506DE1">
        <w:instrText xml:space="preserve">" </w:instrText>
      </w:r>
      <w:r w:rsidR="00E77EC5" w:rsidRPr="00506DE1">
        <w:fldChar w:fldCharType="end"/>
      </w:r>
    </w:p>
    <w:p w:rsidR="00E352B0" w:rsidRPr="00506DE1" w:rsidRDefault="00E352B0" w:rsidP="00211136">
      <w:pPr>
        <w:keepNext/>
        <w:rPr>
          <w:b/>
          <w:sz w:val="26"/>
          <w:szCs w:val="26"/>
        </w:rPr>
      </w:pPr>
    </w:p>
    <w:p w:rsidR="00E35ECD" w:rsidRPr="00506DE1" w:rsidRDefault="00E35ECD" w:rsidP="006D5A72">
      <w:pPr>
        <w:contextualSpacing/>
        <w:rPr>
          <w:sz w:val="26"/>
          <w:szCs w:val="26"/>
        </w:rPr>
      </w:pPr>
      <w:r w:rsidRPr="00506DE1">
        <w:rPr>
          <w:sz w:val="26"/>
          <w:szCs w:val="26"/>
        </w:rPr>
        <w:tab/>
      </w:r>
      <w:r w:rsidRPr="00506DE1">
        <w:rPr>
          <w:sz w:val="26"/>
          <w:szCs w:val="26"/>
        </w:rPr>
        <w:tab/>
      </w:r>
      <w:r w:rsidR="00703E2D">
        <w:rPr>
          <w:sz w:val="26"/>
          <w:szCs w:val="26"/>
        </w:rPr>
        <w:t>The Company explained that i</w:t>
      </w:r>
      <w:r w:rsidR="00010CFB" w:rsidRPr="00506DE1">
        <w:rPr>
          <w:sz w:val="26"/>
          <w:szCs w:val="26"/>
        </w:rPr>
        <w:t>t</w:t>
      </w:r>
      <w:r w:rsidR="00376D97" w:rsidRPr="00506DE1">
        <w:rPr>
          <w:sz w:val="26"/>
          <w:szCs w:val="26"/>
        </w:rPr>
        <w:t xml:space="preserve"> is not uncommon </w:t>
      </w:r>
      <w:r w:rsidR="00703E2D">
        <w:rPr>
          <w:sz w:val="26"/>
          <w:szCs w:val="26"/>
        </w:rPr>
        <w:t>for the Company</w:t>
      </w:r>
      <w:r w:rsidR="00010CFB" w:rsidRPr="00506DE1">
        <w:rPr>
          <w:sz w:val="26"/>
          <w:szCs w:val="26"/>
        </w:rPr>
        <w:t xml:space="preserve"> </w:t>
      </w:r>
      <w:r w:rsidR="00376D97" w:rsidRPr="00506DE1">
        <w:rPr>
          <w:sz w:val="26"/>
          <w:szCs w:val="26"/>
        </w:rPr>
        <w:t>to</w:t>
      </w:r>
      <w:r w:rsidR="00010CFB" w:rsidRPr="00506DE1">
        <w:rPr>
          <w:sz w:val="26"/>
          <w:szCs w:val="26"/>
        </w:rPr>
        <w:t xml:space="preserve"> experience an over collection for generation supply charges and an under collection for transmission service charges, or vice versa.  For example, in calendar year 2010, PPL</w:t>
      </w:r>
      <w:r w:rsidR="00DF4DE9">
        <w:rPr>
          <w:sz w:val="26"/>
          <w:szCs w:val="26"/>
        </w:rPr>
        <w:t xml:space="preserve"> </w:t>
      </w:r>
      <w:r w:rsidR="00010CFB" w:rsidRPr="00506DE1">
        <w:rPr>
          <w:sz w:val="26"/>
          <w:szCs w:val="26"/>
        </w:rPr>
        <w:t>experienced an under collection of approximately $8 million for generation supply charges associated with Large C&amp;I default service customers u</w:t>
      </w:r>
      <w:r w:rsidR="00703E2D">
        <w:rPr>
          <w:sz w:val="26"/>
          <w:szCs w:val="26"/>
        </w:rPr>
        <w:t xml:space="preserve">nder the 2010 GSC.  However, the Company </w:t>
      </w:r>
      <w:r w:rsidR="00010CFB" w:rsidRPr="00506DE1">
        <w:rPr>
          <w:sz w:val="26"/>
          <w:szCs w:val="26"/>
        </w:rPr>
        <w:t>also experienced an over collection of approximately $2 million in the 2010 TSC applicable to Large C&amp;I-Transmission default ser</w:t>
      </w:r>
      <w:r w:rsidR="00712ECC">
        <w:rPr>
          <w:sz w:val="26"/>
          <w:szCs w:val="26"/>
        </w:rPr>
        <w:t>vice customers.  PPL M.B. at 23.</w:t>
      </w:r>
    </w:p>
    <w:p w:rsidR="00E352B0" w:rsidRPr="00506DE1" w:rsidRDefault="00E352B0" w:rsidP="003F6F08">
      <w:pPr>
        <w:spacing w:line="240" w:lineRule="auto"/>
        <w:ind w:left="1440" w:right="1440"/>
        <w:contextualSpacing/>
        <w:rPr>
          <w:sz w:val="26"/>
          <w:szCs w:val="26"/>
        </w:rPr>
      </w:pPr>
    </w:p>
    <w:p w:rsidR="00010CFB" w:rsidRDefault="00C91B0F" w:rsidP="00C91B0F">
      <w:pPr>
        <w:ind w:firstLine="1440"/>
        <w:contextualSpacing/>
        <w:rPr>
          <w:sz w:val="26"/>
          <w:szCs w:val="26"/>
        </w:rPr>
      </w:pPr>
      <w:r>
        <w:rPr>
          <w:sz w:val="26"/>
          <w:szCs w:val="26"/>
        </w:rPr>
        <w:t>According to PPL, c</w:t>
      </w:r>
      <w:r w:rsidR="00010CFB" w:rsidRPr="00506DE1">
        <w:rPr>
          <w:sz w:val="26"/>
          <w:szCs w:val="26"/>
        </w:rPr>
        <w:t xml:space="preserve">ombining the respective over or under collections related to the transmission service and generation supply charges will help reduce the overall impact of reconciling the over and under collections.  </w:t>
      </w:r>
      <w:r>
        <w:rPr>
          <w:sz w:val="26"/>
          <w:szCs w:val="26"/>
        </w:rPr>
        <w:t>PPL opined that t</w:t>
      </w:r>
      <w:r w:rsidR="00010CFB" w:rsidRPr="00506DE1">
        <w:rPr>
          <w:sz w:val="26"/>
          <w:szCs w:val="26"/>
        </w:rPr>
        <w:t xml:space="preserve">his, in turn, should help to reduce the volatility in both the default service rate and </w:t>
      </w:r>
      <w:r>
        <w:rPr>
          <w:sz w:val="26"/>
          <w:szCs w:val="26"/>
        </w:rPr>
        <w:t xml:space="preserve">the </w:t>
      </w:r>
      <w:r w:rsidR="00010CFB" w:rsidRPr="00506DE1">
        <w:rPr>
          <w:sz w:val="26"/>
          <w:szCs w:val="26"/>
        </w:rPr>
        <w:t>transmission supply charges.</w:t>
      </w:r>
      <w:r w:rsidR="00712ECC">
        <w:rPr>
          <w:sz w:val="26"/>
          <w:szCs w:val="26"/>
        </w:rPr>
        <w:t xml:space="preserve">  </w:t>
      </w:r>
      <w:r w:rsidR="00712ECC">
        <w:rPr>
          <w:i/>
          <w:sz w:val="26"/>
          <w:szCs w:val="26"/>
        </w:rPr>
        <w:t>Id.</w:t>
      </w:r>
      <w:r w:rsidR="00010CFB" w:rsidRPr="00506DE1">
        <w:rPr>
          <w:sz w:val="26"/>
          <w:szCs w:val="26"/>
        </w:rPr>
        <w:t xml:space="preserve"> at 24.</w:t>
      </w:r>
    </w:p>
    <w:p w:rsidR="00C91B0F" w:rsidRDefault="00C91B0F" w:rsidP="00C91B0F">
      <w:pPr>
        <w:ind w:firstLine="1440"/>
        <w:contextualSpacing/>
        <w:rPr>
          <w:sz w:val="26"/>
          <w:szCs w:val="26"/>
        </w:rPr>
      </w:pPr>
    </w:p>
    <w:p w:rsidR="00C91B0F" w:rsidRPr="00C91B0F" w:rsidRDefault="00C91B0F" w:rsidP="00211136">
      <w:pPr>
        <w:pStyle w:val="Heading3"/>
        <w:keepNext/>
      </w:pPr>
      <w:bookmarkStart w:id="67" w:name="_Toc329245867"/>
      <w:bookmarkStart w:id="68" w:name="_Toc329688404"/>
      <w:r>
        <w:t>2.</w:t>
      </w:r>
      <w:r>
        <w:tab/>
        <w:t>Recommended Decision</w:t>
      </w:r>
      <w:bookmarkEnd w:id="67"/>
      <w:bookmarkEnd w:id="68"/>
    </w:p>
    <w:p w:rsidR="00010CFB" w:rsidRPr="00506DE1" w:rsidRDefault="00010CFB" w:rsidP="00211136">
      <w:pPr>
        <w:keepNext/>
        <w:contextualSpacing/>
        <w:rPr>
          <w:sz w:val="26"/>
          <w:szCs w:val="26"/>
        </w:rPr>
      </w:pPr>
    </w:p>
    <w:p w:rsidR="00C91B0F" w:rsidRDefault="00652EB5" w:rsidP="00652EB5">
      <w:pPr>
        <w:contextualSpacing/>
        <w:rPr>
          <w:sz w:val="26"/>
          <w:szCs w:val="26"/>
        </w:rPr>
      </w:pPr>
      <w:r w:rsidRPr="00506DE1">
        <w:rPr>
          <w:sz w:val="26"/>
          <w:szCs w:val="26"/>
        </w:rPr>
        <w:tab/>
      </w:r>
      <w:r w:rsidRPr="00506DE1">
        <w:rPr>
          <w:sz w:val="26"/>
          <w:szCs w:val="26"/>
        </w:rPr>
        <w:tab/>
      </w:r>
      <w:r w:rsidR="00C91B0F">
        <w:rPr>
          <w:sz w:val="26"/>
          <w:szCs w:val="26"/>
        </w:rPr>
        <w:t>The ALJ noted that t</w:t>
      </w:r>
      <w:r w:rsidRPr="00506DE1">
        <w:rPr>
          <w:sz w:val="26"/>
          <w:szCs w:val="26"/>
        </w:rPr>
        <w:t>he issue o</w:t>
      </w:r>
      <w:r w:rsidR="00C91B0F">
        <w:rPr>
          <w:sz w:val="26"/>
          <w:szCs w:val="26"/>
        </w:rPr>
        <w:t>f transmission ser</w:t>
      </w:r>
      <w:r w:rsidR="00825272">
        <w:rPr>
          <w:sz w:val="26"/>
          <w:szCs w:val="26"/>
        </w:rPr>
        <w:t>vice charges i</w:t>
      </w:r>
      <w:r w:rsidRPr="00506DE1">
        <w:rPr>
          <w:sz w:val="26"/>
          <w:szCs w:val="26"/>
        </w:rPr>
        <w:t xml:space="preserve">s being addressed in </w:t>
      </w:r>
      <w:r w:rsidR="00825272">
        <w:rPr>
          <w:sz w:val="26"/>
          <w:szCs w:val="26"/>
        </w:rPr>
        <w:t xml:space="preserve">the pending </w:t>
      </w:r>
      <w:r w:rsidRPr="00506DE1">
        <w:rPr>
          <w:i/>
          <w:sz w:val="26"/>
          <w:szCs w:val="26"/>
        </w:rPr>
        <w:t xml:space="preserve">PPL </w:t>
      </w:r>
      <w:r w:rsidR="00825272">
        <w:rPr>
          <w:i/>
          <w:sz w:val="26"/>
          <w:szCs w:val="26"/>
        </w:rPr>
        <w:t xml:space="preserve">2010 TSC </w:t>
      </w:r>
      <w:r w:rsidRPr="00506DE1">
        <w:rPr>
          <w:i/>
          <w:sz w:val="26"/>
          <w:szCs w:val="26"/>
        </w:rPr>
        <w:t xml:space="preserve">Reconciliation </w:t>
      </w:r>
      <w:r w:rsidR="00825272">
        <w:rPr>
          <w:i/>
          <w:sz w:val="26"/>
          <w:szCs w:val="26"/>
        </w:rPr>
        <w:t>Proceeding, supra.</w:t>
      </w:r>
      <w:r w:rsidRPr="00506DE1">
        <w:rPr>
          <w:sz w:val="26"/>
          <w:szCs w:val="26"/>
        </w:rPr>
        <w:t xml:space="preserve">  </w:t>
      </w:r>
      <w:r w:rsidR="00825272">
        <w:rPr>
          <w:sz w:val="26"/>
          <w:szCs w:val="26"/>
        </w:rPr>
        <w:t>T</w:t>
      </w:r>
      <w:r w:rsidRPr="00506DE1">
        <w:rPr>
          <w:sz w:val="26"/>
          <w:szCs w:val="26"/>
        </w:rPr>
        <w:t xml:space="preserve">he Commission entered an Order </w:t>
      </w:r>
      <w:r w:rsidR="00825272">
        <w:rPr>
          <w:sz w:val="26"/>
          <w:szCs w:val="26"/>
        </w:rPr>
        <w:t xml:space="preserve">in this proceeding </w:t>
      </w:r>
      <w:r w:rsidRPr="00506DE1">
        <w:rPr>
          <w:sz w:val="26"/>
          <w:szCs w:val="26"/>
        </w:rPr>
        <w:t xml:space="preserve">on May 19, 2011, which directed the Law Bureau and Bureau of Audits to develop a recommendation for the Commission regarding the various methods of reconciling charges in a dynamic market on a going forward basis.   </w:t>
      </w:r>
      <w:r w:rsidR="00C91B0F">
        <w:rPr>
          <w:sz w:val="26"/>
          <w:szCs w:val="26"/>
        </w:rPr>
        <w:t>According to the ALJ, as of the time of her</w:t>
      </w:r>
      <w:r w:rsidRPr="00506DE1">
        <w:rPr>
          <w:sz w:val="26"/>
          <w:szCs w:val="26"/>
        </w:rPr>
        <w:t xml:space="preserve"> Recommended D</w:t>
      </w:r>
      <w:r w:rsidR="00C91B0F">
        <w:rPr>
          <w:sz w:val="26"/>
          <w:szCs w:val="26"/>
        </w:rPr>
        <w:t>ecision, this recommendation had</w:t>
      </w:r>
      <w:r w:rsidRPr="00506DE1">
        <w:rPr>
          <w:sz w:val="26"/>
          <w:szCs w:val="26"/>
        </w:rPr>
        <w:t xml:space="preserve"> not been issued.</w:t>
      </w:r>
      <w:r w:rsidR="00C91B0F">
        <w:rPr>
          <w:sz w:val="26"/>
          <w:szCs w:val="26"/>
        </w:rPr>
        <w:t xml:space="preserve">  Therefore, the ALJ recommended that this issue </w:t>
      </w:r>
      <w:r w:rsidR="00C91B0F">
        <w:rPr>
          <w:sz w:val="26"/>
          <w:szCs w:val="26"/>
        </w:rPr>
        <w:lastRenderedPageBreak/>
        <w:t>be deferred until the Commission</w:t>
      </w:r>
      <w:r w:rsidR="000964BB">
        <w:rPr>
          <w:sz w:val="26"/>
          <w:szCs w:val="26"/>
        </w:rPr>
        <w:t>’</w:t>
      </w:r>
      <w:r w:rsidR="00C91B0F">
        <w:rPr>
          <w:sz w:val="26"/>
          <w:szCs w:val="26"/>
        </w:rPr>
        <w:t>s disposition of the aforementioned proceeding.  R.D. at 49, 54-55.</w:t>
      </w:r>
      <w:r w:rsidRPr="00506DE1">
        <w:rPr>
          <w:sz w:val="26"/>
          <w:szCs w:val="26"/>
        </w:rPr>
        <w:t xml:space="preserve"> </w:t>
      </w:r>
    </w:p>
    <w:p w:rsidR="00C91B0F" w:rsidRDefault="00C91B0F" w:rsidP="00652EB5">
      <w:pPr>
        <w:contextualSpacing/>
        <w:rPr>
          <w:sz w:val="26"/>
          <w:szCs w:val="26"/>
        </w:rPr>
      </w:pPr>
    </w:p>
    <w:p w:rsidR="00652EB5" w:rsidRDefault="00B85EF2" w:rsidP="00211136">
      <w:pPr>
        <w:pStyle w:val="Heading3"/>
        <w:keepNext/>
      </w:pPr>
      <w:bookmarkStart w:id="69" w:name="_Toc329245868"/>
      <w:bookmarkStart w:id="70" w:name="_Toc329688405"/>
      <w:r>
        <w:t>3.</w:t>
      </w:r>
      <w:r>
        <w:tab/>
        <w:t>Exceptions and Replies</w:t>
      </w:r>
      <w:bookmarkEnd w:id="69"/>
      <w:bookmarkEnd w:id="70"/>
      <w:r w:rsidR="00652EB5" w:rsidRPr="00506DE1">
        <w:t xml:space="preserve"> </w:t>
      </w:r>
    </w:p>
    <w:p w:rsidR="009E7B64" w:rsidRDefault="009E7B64" w:rsidP="00211136">
      <w:pPr>
        <w:keepNext/>
        <w:contextualSpacing/>
        <w:rPr>
          <w:sz w:val="26"/>
          <w:szCs w:val="26"/>
        </w:rPr>
      </w:pPr>
    </w:p>
    <w:p w:rsidR="00801688" w:rsidRDefault="009E7B64" w:rsidP="00652EB5">
      <w:pPr>
        <w:contextualSpacing/>
        <w:rPr>
          <w:sz w:val="26"/>
          <w:szCs w:val="26"/>
        </w:rPr>
      </w:pPr>
      <w:r>
        <w:rPr>
          <w:sz w:val="26"/>
          <w:szCs w:val="26"/>
        </w:rPr>
        <w:tab/>
      </w:r>
      <w:r>
        <w:rPr>
          <w:sz w:val="26"/>
          <w:szCs w:val="26"/>
        </w:rPr>
        <w:tab/>
        <w:t>PPL filed Exceptions alleging that the ALJ erred in deferring the resolution of PPL</w:t>
      </w:r>
      <w:r w:rsidR="000964BB">
        <w:rPr>
          <w:sz w:val="26"/>
          <w:szCs w:val="26"/>
        </w:rPr>
        <w:t>’</w:t>
      </w:r>
      <w:r>
        <w:rPr>
          <w:sz w:val="26"/>
          <w:szCs w:val="26"/>
        </w:rPr>
        <w:t xml:space="preserve">S proposal to net the over and under collections of the respective GSC-1 and GSC-2 with the TSC for each customer class.  </w:t>
      </w:r>
      <w:r w:rsidR="00801688">
        <w:rPr>
          <w:sz w:val="26"/>
          <w:szCs w:val="26"/>
        </w:rPr>
        <w:t>PPL alleges that the amount of historic over and under collections that ultima</w:t>
      </w:r>
      <w:r w:rsidR="00825272">
        <w:rPr>
          <w:sz w:val="26"/>
          <w:szCs w:val="26"/>
        </w:rPr>
        <w:t>tely are</w:t>
      </w:r>
      <w:r w:rsidR="00801688">
        <w:rPr>
          <w:sz w:val="26"/>
          <w:szCs w:val="26"/>
        </w:rPr>
        <w:t xml:space="preserve"> approved by the Commission will not impact the methodology employed to refund and recoup over and under collections from each customer class.  PPL avers that combining the respective over or under collections related to the transmission service and generation supply charges will help reduce the overall impact of reconciling the over and under collections.  PPL Exc. at 21-22.</w:t>
      </w:r>
    </w:p>
    <w:p w:rsidR="00801688" w:rsidRDefault="00801688" w:rsidP="00652EB5">
      <w:pPr>
        <w:contextualSpacing/>
        <w:rPr>
          <w:sz w:val="26"/>
          <w:szCs w:val="26"/>
        </w:rPr>
      </w:pPr>
    </w:p>
    <w:p w:rsidR="00801688" w:rsidRDefault="00801688" w:rsidP="00211136">
      <w:pPr>
        <w:pStyle w:val="Heading3"/>
        <w:keepNext/>
      </w:pPr>
      <w:bookmarkStart w:id="71" w:name="_Toc329245869"/>
      <w:bookmarkStart w:id="72" w:name="_Toc329688406"/>
      <w:r>
        <w:t>4.</w:t>
      </w:r>
      <w:r>
        <w:tab/>
        <w:t>Disposition</w:t>
      </w:r>
      <w:bookmarkEnd w:id="71"/>
      <w:bookmarkEnd w:id="72"/>
    </w:p>
    <w:p w:rsidR="00801688" w:rsidRPr="00801688" w:rsidRDefault="00801688" w:rsidP="00211136">
      <w:pPr>
        <w:keepNext/>
        <w:contextualSpacing/>
        <w:rPr>
          <w:b/>
          <w:sz w:val="26"/>
          <w:szCs w:val="26"/>
        </w:rPr>
      </w:pPr>
    </w:p>
    <w:p w:rsidR="009E7B64" w:rsidRDefault="00801688" w:rsidP="00801688">
      <w:pPr>
        <w:ind w:firstLine="1440"/>
        <w:contextualSpacing/>
        <w:rPr>
          <w:sz w:val="26"/>
          <w:szCs w:val="26"/>
        </w:rPr>
      </w:pPr>
      <w:r>
        <w:rPr>
          <w:sz w:val="26"/>
          <w:szCs w:val="26"/>
        </w:rPr>
        <w:t xml:space="preserve">We are in agreement with the recommendation of the ALJ that this issue be deferred to the </w:t>
      </w:r>
      <w:r w:rsidR="00825272">
        <w:rPr>
          <w:i/>
          <w:sz w:val="26"/>
          <w:szCs w:val="26"/>
        </w:rPr>
        <w:t>PPL 2010 TSC Reconciliation Proceeding</w:t>
      </w:r>
      <w:r>
        <w:rPr>
          <w:sz w:val="26"/>
          <w:szCs w:val="26"/>
        </w:rPr>
        <w:t xml:space="preserve">.  This is also an issue that lends itself to further analysis and discussion within the context of the soon to be established generic proceeding on default service reconciliation issues.  </w:t>
      </w:r>
      <w:r w:rsidR="00632DE9">
        <w:rPr>
          <w:sz w:val="26"/>
          <w:szCs w:val="26"/>
        </w:rPr>
        <w:t>Accordingly, the Exceptions of PPL are denied.</w:t>
      </w:r>
    </w:p>
    <w:p w:rsidR="000C39C3" w:rsidRPr="00506DE1" w:rsidRDefault="000C39C3" w:rsidP="00652EB5">
      <w:pPr>
        <w:contextualSpacing/>
        <w:rPr>
          <w:sz w:val="26"/>
          <w:szCs w:val="26"/>
        </w:rPr>
      </w:pPr>
    </w:p>
    <w:p w:rsidR="00886E0C" w:rsidRPr="00506DE1" w:rsidRDefault="00506DE1" w:rsidP="00211136">
      <w:pPr>
        <w:pStyle w:val="Heading2"/>
        <w:keepNext/>
      </w:pPr>
      <w:bookmarkStart w:id="73" w:name="_Toc329245870"/>
      <w:bookmarkStart w:id="74" w:name="_Toc329688407"/>
      <w:r w:rsidRPr="00506DE1">
        <w:t>G</w:t>
      </w:r>
      <w:r w:rsidR="002F5640">
        <w:t>.</w:t>
      </w:r>
      <w:r w:rsidR="002F5640">
        <w:tab/>
        <w:t>I</w:t>
      </w:r>
      <w:r w:rsidR="008C0E35" w:rsidRPr="00506DE1">
        <w:t>nterest Rate for Under</w:t>
      </w:r>
      <w:r w:rsidR="00B40D86">
        <w:t xml:space="preserve"> C</w:t>
      </w:r>
      <w:r w:rsidR="008C0E35" w:rsidRPr="00506DE1">
        <w:t>ollections</w:t>
      </w:r>
      <w:bookmarkEnd w:id="73"/>
      <w:bookmarkEnd w:id="74"/>
      <w:r w:rsidR="00E77EC5" w:rsidRPr="00506DE1">
        <w:fldChar w:fldCharType="begin"/>
      </w:r>
      <w:r w:rsidR="00E77EC5" w:rsidRPr="00506DE1">
        <w:instrText xml:space="preserve"> TC "</w:instrText>
      </w:r>
      <w:bookmarkStart w:id="75" w:name="_Toc320265382"/>
      <w:bookmarkStart w:id="76" w:name="_Toc329245166"/>
      <w:r w:rsidR="00E77EC5" w:rsidRPr="00506DE1">
        <w:instrText>6.</w:instrText>
      </w:r>
      <w:r w:rsidR="00E77EC5" w:rsidRPr="00506DE1">
        <w:tab/>
        <w:instrText>Interest Rate for Undercollections</w:instrText>
      </w:r>
      <w:bookmarkEnd w:id="75"/>
      <w:bookmarkEnd w:id="76"/>
      <w:r w:rsidR="00E77EC5" w:rsidRPr="00506DE1">
        <w:instrText xml:space="preserve">" \f C \l "2" </w:instrText>
      </w:r>
      <w:r w:rsidR="00E77EC5" w:rsidRPr="00506DE1">
        <w:fldChar w:fldCharType="end"/>
      </w:r>
    </w:p>
    <w:p w:rsidR="00E352B0" w:rsidRPr="00506DE1" w:rsidRDefault="00E352B0" w:rsidP="00211136">
      <w:pPr>
        <w:keepNext/>
        <w:rPr>
          <w:b/>
          <w:sz w:val="26"/>
          <w:szCs w:val="26"/>
        </w:rPr>
      </w:pPr>
    </w:p>
    <w:p w:rsidR="008C0E35" w:rsidRPr="00506DE1" w:rsidRDefault="007E4102" w:rsidP="00211136">
      <w:pPr>
        <w:pStyle w:val="Heading3"/>
        <w:keepNext/>
      </w:pPr>
      <w:bookmarkStart w:id="77" w:name="_Toc329245871"/>
      <w:bookmarkStart w:id="78" w:name="_Toc329688408"/>
      <w:r w:rsidRPr="00506DE1">
        <w:t>1</w:t>
      </w:r>
      <w:r w:rsidR="00DD32C0" w:rsidRPr="00506DE1">
        <w:t>.</w:t>
      </w:r>
      <w:r w:rsidR="00DD32C0" w:rsidRPr="00506DE1">
        <w:tab/>
      </w:r>
      <w:r w:rsidR="00C22D4E" w:rsidRPr="00506DE1">
        <w:t>Description</w:t>
      </w:r>
      <w:bookmarkEnd w:id="77"/>
      <w:bookmarkEnd w:id="78"/>
      <w:r w:rsidR="00E77EC5" w:rsidRPr="00506DE1">
        <w:fldChar w:fldCharType="begin"/>
      </w:r>
      <w:r w:rsidR="00E77EC5" w:rsidRPr="00506DE1">
        <w:instrText xml:space="preserve"> TC "</w:instrText>
      </w:r>
      <w:bookmarkStart w:id="79" w:name="_Toc329245167"/>
      <w:r w:rsidR="00E77EC5" w:rsidRPr="00506DE1">
        <w:instrText>Description</w:instrText>
      </w:r>
      <w:bookmarkEnd w:id="79"/>
      <w:r w:rsidR="00E77EC5" w:rsidRPr="00506DE1">
        <w:instrText xml:space="preserve">" \f C \l "3" </w:instrText>
      </w:r>
      <w:r w:rsidR="00E77EC5" w:rsidRPr="00506DE1">
        <w:fldChar w:fldCharType="end"/>
      </w:r>
    </w:p>
    <w:p w:rsidR="00E352B0" w:rsidRPr="00506DE1" w:rsidRDefault="00E352B0" w:rsidP="00211136">
      <w:pPr>
        <w:keepNext/>
        <w:rPr>
          <w:b/>
          <w:sz w:val="26"/>
          <w:szCs w:val="26"/>
        </w:rPr>
      </w:pPr>
    </w:p>
    <w:p w:rsidR="002448FF" w:rsidRDefault="00886E0C" w:rsidP="002D008A">
      <w:pPr>
        <w:autoSpaceDE/>
        <w:autoSpaceDN/>
        <w:rPr>
          <w:sz w:val="26"/>
          <w:szCs w:val="26"/>
        </w:rPr>
      </w:pPr>
      <w:r w:rsidRPr="00506DE1">
        <w:rPr>
          <w:sz w:val="26"/>
          <w:szCs w:val="26"/>
        </w:rPr>
        <w:tab/>
      </w:r>
      <w:r w:rsidRPr="00506DE1">
        <w:rPr>
          <w:sz w:val="26"/>
          <w:szCs w:val="26"/>
        </w:rPr>
        <w:tab/>
      </w:r>
      <w:r w:rsidR="002448FF">
        <w:rPr>
          <w:sz w:val="26"/>
          <w:szCs w:val="26"/>
        </w:rPr>
        <w:t>The OSBA recommended</w:t>
      </w:r>
      <w:r w:rsidR="00825272">
        <w:rPr>
          <w:sz w:val="26"/>
          <w:szCs w:val="26"/>
        </w:rPr>
        <w:t xml:space="preserve"> that the interest rate</w:t>
      </w:r>
      <w:r w:rsidRPr="00506DE1">
        <w:rPr>
          <w:sz w:val="26"/>
          <w:szCs w:val="26"/>
        </w:rPr>
        <w:t xml:space="preserve"> on under collections be reduced from the 6% propose</w:t>
      </w:r>
      <w:r w:rsidR="006B06CA" w:rsidRPr="00506DE1">
        <w:rPr>
          <w:sz w:val="26"/>
          <w:szCs w:val="26"/>
        </w:rPr>
        <w:t>d</w:t>
      </w:r>
      <w:r w:rsidRPr="00506DE1">
        <w:rPr>
          <w:sz w:val="26"/>
          <w:szCs w:val="26"/>
        </w:rPr>
        <w:t xml:space="preserve"> by PPL because it exceeds the earnings rate that could be achieved on short-term investment</w:t>
      </w:r>
      <w:r w:rsidR="00825272">
        <w:rPr>
          <w:sz w:val="26"/>
          <w:szCs w:val="26"/>
        </w:rPr>
        <w:t>s</w:t>
      </w:r>
      <w:r w:rsidRPr="00506DE1">
        <w:rPr>
          <w:sz w:val="26"/>
          <w:szCs w:val="26"/>
        </w:rPr>
        <w:t xml:space="preserve"> and the Company</w:t>
      </w:r>
      <w:r w:rsidR="000964BB">
        <w:rPr>
          <w:sz w:val="26"/>
          <w:szCs w:val="26"/>
        </w:rPr>
        <w:t>’</w:t>
      </w:r>
      <w:r w:rsidRPr="00506DE1">
        <w:rPr>
          <w:sz w:val="26"/>
          <w:szCs w:val="26"/>
        </w:rPr>
        <w:t>s shor</w:t>
      </w:r>
      <w:r w:rsidR="00825272">
        <w:rPr>
          <w:sz w:val="26"/>
          <w:szCs w:val="26"/>
        </w:rPr>
        <w:t xml:space="preserve">t-term cost of capital, which </w:t>
      </w:r>
      <w:r w:rsidR="00825272">
        <w:rPr>
          <w:sz w:val="26"/>
          <w:szCs w:val="26"/>
        </w:rPr>
        <w:lastRenderedPageBreak/>
        <w:t>creates</w:t>
      </w:r>
      <w:r w:rsidRPr="00506DE1">
        <w:rPr>
          <w:sz w:val="26"/>
          <w:szCs w:val="26"/>
        </w:rPr>
        <w:t xml:space="preserve"> an incentive to under</w:t>
      </w:r>
      <w:r w:rsidR="00B40D86">
        <w:rPr>
          <w:sz w:val="26"/>
          <w:szCs w:val="26"/>
        </w:rPr>
        <w:t xml:space="preserve"> </w:t>
      </w:r>
      <w:r w:rsidR="00AD3B76">
        <w:rPr>
          <w:sz w:val="26"/>
          <w:szCs w:val="26"/>
        </w:rPr>
        <w:t xml:space="preserve">collect.  </w:t>
      </w:r>
      <w:r w:rsidR="002448FF">
        <w:rPr>
          <w:sz w:val="26"/>
          <w:szCs w:val="26"/>
        </w:rPr>
        <w:t>According to the OSBA, t</w:t>
      </w:r>
      <w:r w:rsidR="00825272">
        <w:rPr>
          <w:sz w:val="26"/>
          <w:szCs w:val="26"/>
        </w:rPr>
        <w:t>he reduced interest rate</w:t>
      </w:r>
      <w:r w:rsidR="002D008A" w:rsidRPr="00506DE1">
        <w:rPr>
          <w:sz w:val="26"/>
          <w:szCs w:val="26"/>
        </w:rPr>
        <w:t xml:space="preserve"> </w:t>
      </w:r>
      <w:r w:rsidR="00825272">
        <w:rPr>
          <w:sz w:val="26"/>
          <w:szCs w:val="26"/>
        </w:rPr>
        <w:t>is</w:t>
      </w:r>
      <w:r w:rsidR="002D008A" w:rsidRPr="00506DE1">
        <w:rPr>
          <w:sz w:val="26"/>
          <w:szCs w:val="26"/>
        </w:rPr>
        <w:t xml:space="preserve"> meant to avoid incenting the Company from under</w:t>
      </w:r>
      <w:r w:rsidR="00B40D86">
        <w:rPr>
          <w:sz w:val="26"/>
          <w:szCs w:val="26"/>
        </w:rPr>
        <w:t xml:space="preserve"> </w:t>
      </w:r>
      <w:r w:rsidR="002D008A" w:rsidRPr="00506DE1">
        <w:rPr>
          <w:sz w:val="26"/>
          <w:szCs w:val="26"/>
        </w:rPr>
        <w:t>collecting</w:t>
      </w:r>
      <w:r w:rsidR="00825272">
        <w:rPr>
          <w:sz w:val="26"/>
          <w:szCs w:val="26"/>
        </w:rPr>
        <w:t>.</w:t>
      </w:r>
      <w:r w:rsidR="002D008A" w:rsidRPr="00506DE1">
        <w:rPr>
          <w:sz w:val="26"/>
          <w:szCs w:val="26"/>
        </w:rPr>
        <w:t xml:space="preserve">  52 Pa. Code </w:t>
      </w:r>
      <w:r w:rsidR="006C2742" w:rsidRPr="00506DE1">
        <w:rPr>
          <w:sz w:val="26"/>
          <w:szCs w:val="26"/>
        </w:rPr>
        <w:t>§ </w:t>
      </w:r>
      <w:r w:rsidR="002D008A" w:rsidRPr="00506DE1">
        <w:rPr>
          <w:sz w:val="26"/>
          <w:szCs w:val="26"/>
        </w:rPr>
        <w:t>54.187(f).  OSBA M</w:t>
      </w:r>
      <w:r w:rsidR="00B40D86">
        <w:rPr>
          <w:sz w:val="26"/>
          <w:szCs w:val="26"/>
        </w:rPr>
        <w:t>.</w:t>
      </w:r>
      <w:r w:rsidR="002D008A" w:rsidRPr="00506DE1">
        <w:rPr>
          <w:sz w:val="26"/>
          <w:szCs w:val="26"/>
        </w:rPr>
        <w:t>B</w:t>
      </w:r>
      <w:r w:rsidR="00B40D86">
        <w:rPr>
          <w:sz w:val="26"/>
          <w:szCs w:val="26"/>
        </w:rPr>
        <w:t>.</w:t>
      </w:r>
      <w:r w:rsidR="00AD3B76">
        <w:rPr>
          <w:sz w:val="26"/>
          <w:szCs w:val="26"/>
        </w:rPr>
        <w:t xml:space="preserve"> at 7-9</w:t>
      </w:r>
      <w:r w:rsidR="002D008A" w:rsidRPr="00506DE1">
        <w:rPr>
          <w:sz w:val="26"/>
          <w:szCs w:val="26"/>
        </w:rPr>
        <w:t>.</w:t>
      </w:r>
    </w:p>
    <w:p w:rsidR="002448FF" w:rsidRDefault="002448FF" w:rsidP="002D008A">
      <w:pPr>
        <w:autoSpaceDE/>
        <w:autoSpaceDN/>
        <w:rPr>
          <w:sz w:val="26"/>
          <w:szCs w:val="26"/>
        </w:rPr>
      </w:pPr>
    </w:p>
    <w:p w:rsidR="002D008A" w:rsidRPr="00506DE1" w:rsidRDefault="002448FF" w:rsidP="002D008A">
      <w:pPr>
        <w:autoSpaceDE/>
        <w:autoSpaceDN/>
        <w:rPr>
          <w:sz w:val="26"/>
          <w:szCs w:val="26"/>
        </w:rPr>
      </w:pPr>
      <w:r>
        <w:rPr>
          <w:sz w:val="26"/>
          <w:szCs w:val="26"/>
        </w:rPr>
        <w:tab/>
      </w:r>
      <w:r>
        <w:rPr>
          <w:sz w:val="26"/>
          <w:szCs w:val="26"/>
        </w:rPr>
        <w:tab/>
      </w:r>
      <w:r w:rsidRPr="00506DE1">
        <w:rPr>
          <w:sz w:val="26"/>
          <w:szCs w:val="26"/>
        </w:rPr>
        <w:t>The Company stated that</w:t>
      </w:r>
      <w:r w:rsidR="004850F2">
        <w:rPr>
          <w:sz w:val="26"/>
          <w:szCs w:val="26"/>
        </w:rPr>
        <w:t>,</w:t>
      </w:r>
      <w:r w:rsidRPr="00506DE1">
        <w:rPr>
          <w:sz w:val="26"/>
          <w:szCs w:val="26"/>
        </w:rPr>
        <w:t xml:space="preserve"> </w:t>
      </w:r>
      <w:r w:rsidR="00AD3B76">
        <w:rPr>
          <w:sz w:val="26"/>
          <w:szCs w:val="26"/>
        </w:rPr>
        <w:t>consistent with the requirements of the Commission</w:t>
      </w:r>
      <w:r w:rsidR="000964BB">
        <w:rPr>
          <w:sz w:val="26"/>
          <w:szCs w:val="26"/>
        </w:rPr>
        <w:t>’</w:t>
      </w:r>
      <w:r w:rsidR="00AD3B76">
        <w:rPr>
          <w:sz w:val="26"/>
          <w:szCs w:val="26"/>
        </w:rPr>
        <w:t>s defaul</w:t>
      </w:r>
      <w:r w:rsidR="004850F2">
        <w:rPr>
          <w:sz w:val="26"/>
          <w:szCs w:val="26"/>
        </w:rPr>
        <w:t>t service R</w:t>
      </w:r>
      <w:r w:rsidR="00AD3B76">
        <w:rPr>
          <w:sz w:val="26"/>
          <w:szCs w:val="26"/>
        </w:rPr>
        <w:t>egulations, the interest rate for under collection</w:t>
      </w:r>
      <w:r w:rsidR="00C33391">
        <w:rPr>
          <w:sz w:val="26"/>
          <w:szCs w:val="26"/>
        </w:rPr>
        <w:t xml:space="preserve"> </w:t>
      </w:r>
      <w:r w:rsidR="00AD3B76">
        <w:rPr>
          <w:sz w:val="26"/>
          <w:szCs w:val="26"/>
        </w:rPr>
        <w:t>balances will be set at the legal rate of interest</w:t>
      </w:r>
      <w:r w:rsidR="00C33391">
        <w:rPr>
          <w:sz w:val="26"/>
          <w:szCs w:val="26"/>
        </w:rPr>
        <w:t xml:space="preserve">, or </w:t>
      </w:r>
      <w:r w:rsidRPr="00506DE1">
        <w:rPr>
          <w:sz w:val="26"/>
          <w:szCs w:val="26"/>
        </w:rPr>
        <w:t>6%</w:t>
      </w:r>
      <w:r w:rsidR="00C33391">
        <w:rPr>
          <w:sz w:val="26"/>
          <w:szCs w:val="26"/>
        </w:rPr>
        <w:t xml:space="preserve">, </w:t>
      </w:r>
      <w:r w:rsidRPr="00506DE1">
        <w:rPr>
          <w:sz w:val="26"/>
          <w:szCs w:val="26"/>
        </w:rPr>
        <w:t xml:space="preserve">and </w:t>
      </w:r>
      <w:r w:rsidR="004850F2">
        <w:rPr>
          <w:sz w:val="26"/>
          <w:szCs w:val="26"/>
        </w:rPr>
        <w:t xml:space="preserve">PPL will be interest at </w:t>
      </w:r>
      <w:r w:rsidRPr="00506DE1">
        <w:rPr>
          <w:sz w:val="26"/>
          <w:szCs w:val="26"/>
        </w:rPr>
        <w:t>8% on over</w:t>
      </w:r>
      <w:r>
        <w:rPr>
          <w:sz w:val="26"/>
          <w:szCs w:val="26"/>
        </w:rPr>
        <w:t xml:space="preserve"> </w:t>
      </w:r>
      <w:r w:rsidRPr="00506DE1">
        <w:rPr>
          <w:sz w:val="26"/>
          <w:szCs w:val="26"/>
        </w:rPr>
        <w:t>collections</w:t>
      </w:r>
      <w:r w:rsidR="00C33391">
        <w:rPr>
          <w:sz w:val="26"/>
          <w:szCs w:val="26"/>
        </w:rPr>
        <w:t>.  According to PPL, the OSBA</w:t>
      </w:r>
      <w:r w:rsidR="000964BB">
        <w:rPr>
          <w:sz w:val="26"/>
          <w:szCs w:val="26"/>
        </w:rPr>
        <w:t>’</w:t>
      </w:r>
      <w:r w:rsidR="00C33391">
        <w:rPr>
          <w:sz w:val="26"/>
          <w:szCs w:val="26"/>
        </w:rPr>
        <w:t xml:space="preserve">s alternative interest rate adjustment </w:t>
      </w:r>
      <w:r w:rsidR="004850F2">
        <w:rPr>
          <w:sz w:val="26"/>
          <w:szCs w:val="26"/>
        </w:rPr>
        <w:t>is</w:t>
      </w:r>
      <w:r w:rsidR="00C33391">
        <w:rPr>
          <w:sz w:val="26"/>
          <w:szCs w:val="26"/>
        </w:rPr>
        <w:t xml:space="preserve"> unnecessary and contrary to the Com</w:t>
      </w:r>
      <w:r w:rsidR="004850F2">
        <w:rPr>
          <w:sz w:val="26"/>
          <w:szCs w:val="26"/>
        </w:rPr>
        <w:t>mission</w:t>
      </w:r>
      <w:r w:rsidR="000964BB">
        <w:rPr>
          <w:sz w:val="26"/>
          <w:szCs w:val="26"/>
        </w:rPr>
        <w:t>’</w:t>
      </w:r>
      <w:r w:rsidR="004850F2">
        <w:rPr>
          <w:sz w:val="26"/>
          <w:szCs w:val="26"/>
        </w:rPr>
        <w:t>s R</w:t>
      </w:r>
      <w:r w:rsidR="00C33391">
        <w:rPr>
          <w:sz w:val="26"/>
          <w:szCs w:val="26"/>
        </w:rPr>
        <w:t>egulations.</w:t>
      </w:r>
      <w:r w:rsidRPr="00506DE1">
        <w:rPr>
          <w:sz w:val="26"/>
          <w:szCs w:val="26"/>
        </w:rPr>
        <w:t xml:space="preserve">  </w:t>
      </w:r>
      <w:r>
        <w:rPr>
          <w:sz w:val="26"/>
          <w:szCs w:val="26"/>
        </w:rPr>
        <w:t>PPL M.B. at</w:t>
      </w:r>
      <w:r w:rsidR="00C33391">
        <w:rPr>
          <w:sz w:val="26"/>
          <w:szCs w:val="26"/>
        </w:rPr>
        <w:t xml:space="preserve"> 45-46</w:t>
      </w:r>
      <w:r>
        <w:rPr>
          <w:sz w:val="26"/>
          <w:szCs w:val="26"/>
        </w:rPr>
        <w:t>.</w:t>
      </w:r>
      <w:r w:rsidR="002D008A" w:rsidRPr="00506DE1">
        <w:rPr>
          <w:sz w:val="26"/>
          <w:szCs w:val="26"/>
        </w:rPr>
        <w:t xml:space="preserve"> </w:t>
      </w:r>
    </w:p>
    <w:p w:rsidR="00886E0C" w:rsidRPr="00506DE1" w:rsidRDefault="00886E0C" w:rsidP="00E7599F">
      <w:pPr>
        <w:rPr>
          <w:sz w:val="26"/>
          <w:szCs w:val="26"/>
        </w:rPr>
      </w:pPr>
    </w:p>
    <w:p w:rsidR="003975C9" w:rsidRPr="00506DE1" w:rsidRDefault="00DD32C0" w:rsidP="00211136">
      <w:pPr>
        <w:pStyle w:val="Heading3"/>
        <w:keepNext/>
      </w:pPr>
      <w:bookmarkStart w:id="80" w:name="_Toc329245872"/>
      <w:bookmarkStart w:id="81" w:name="_Toc329688409"/>
      <w:r w:rsidRPr="00506DE1">
        <w:t>2</w:t>
      </w:r>
      <w:r w:rsidR="00385ED0" w:rsidRPr="00506DE1">
        <w:t>.</w:t>
      </w:r>
      <w:r w:rsidR="00C22D4E" w:rsidRPr="00506DE1">
        <w:tab/>
      </w:r>
      <w:r w:rsidR="00506DE1" w:rsidRPr="00506DE1">
        <w:t>ALJ</w:t>
      </w:r>
      <w:r w:rsidR="000964BB">
        <w:t>’</w:t>
      </w:r>
      <w:r w:rsidR="00506DE1" w:rsidRPr="00506DE1">
        <w:t xml:space="preserve">s </w:t>
      </w:r>
      <w:r w:rsidR="00262D2C" w:rsidRPr="00506DE1">
        <w:t>Recommendation</w:t>
      </w:r>
      <w:bookmarkEnd w:id="80"/>
      <w:bookmarkEnd w:id="81"/>
      <w:r w:rsidR="00E77EC5" w:rsidRPr="00506DE1">
        <w:fldChar w:fldCharType="begin"/>
      </w:r>
      <w:r w:rsidR="00E77EC5" w:rsidRPr="00506DE1">
        <w:instrText xml:space="preserve"> TC "</w:instrText>
      </w:r>
      <w:bookmarkStart w:id="82" w:name="_Toc329245168"/>
      <w:r w:rsidR="007E4102" w:rsidRPr="00506DE1">
        <w:instrText>2</w:instrText>
      </w:r>
      <w:r w:rsidR="00E77EC5" w:rsidRPr="00506DE1">
        <w:instrText>.</w:instrText>
      </w:r>
      <w:r w:rsidR="00E77EC5" w:rsidRPr="00506DE1">
        <w:tab/>
        <w:instrText>Recommendation</w:instrText>
      </w:r>
      <w:bookmarkEnd w:id="82"/>
      <w:r w:rsidR="00E77EC5" w:rsidRPr="00506DE1">
        <w:instrText xml:space="preserve">" \f C \l "3" </w:instrText>
      </w:r>
      <w:r w:rsidR="00E77EC5" w:rsidRPr="00506DE1">
        <w:fldChar w:fldCharType="end"/>
      </w:r>
    </w:p>
    <w:p w:rsidR="00262D2C" w:rsidRPr="00506DE1" w:rsidRDefault="00262D2C" w:rsidP="00211136">
      <w:pPr>
        <w:keepNext/>
        <w:rPr>
          <w:b/>
          <w:sz w:val="26"/>
          <w:szCs w:val="26"/>
        </w:rPr>
      </w:pPr>
    </w:p>
    <w:p w:rsidR="00110717" w:rsidRDefault="00262D2C" w:rsidP="005070BC">
      <w:pPr>
        <w:rPr>
          <w:sz w:val="26"/>
          <w:szCs w:val="26"/>
        </w:rPr>
      </w:pPr>
      <w:r w:rsidRPr="00506DE1">
        <w:rPr>
          <w:sz w:val="26"/>
          <w:szCs w:val="26"/>
        </w:rPr>
        <w:tab/>
      </w:r>
      <w:r w:rsidRPr="00506DE1">
        <w:rPr>
          <w:sz w:val="26"/>
          <w:szCs w:val="26"/>
        </w:rPr>
        <w:tab/>
      </w:r>
      <w:r w:rsidR="005070BC">
        <w:rPr>
          <w:sz w:val="26"/>
          <w:szCs w:val="26"/>
        </w:rPr>
        <w:t>The ALJ denied the request of the OSBA as t</w:t>
      </w:r>
      <w:r w:rsidR="004850F2">
        <w:rPr>
          <w:sz w:val="26"/>
          <w:szCs w:val="26"/>
        </w:rPr>
        <w:t>he Commission</w:t>
      </w:r>
      <w:r w:rsidR="000964BB">
        <w:rPr>
          <w:sz w:val="26"/>
          <w:szCs w:val="26"/>
        </w:rPr>
        <w:t>’</w:t>
      </w:r>
      <w:r w:rsidR="004850F2">
        <w:rPr>
          <w:sz w:val="26"/>
          <w:szCs w:val="26"/>
        </w:rPr>
        <w:t>s R</w:t>
      </w:r>
      <w:r w:rsidR="005070BC" w:rsidRPr="00506DE1">
        <w:rPr>
          <w:sz w:val="26"/>
          <w:szCs w:val="26"/>
        </w:rPr>
        <w:t xml:space="preserve">egulations provide that </w:t>
      </w:r>
      <w:r w:rsidR="000964BB">
        <w:rPr>
          <w:sz w:val="26"/>
          <w:szCs w:val="26"/>
        </w:rPr>
        <w:t>“</w:t>
      </w:r>
      <w:r w:rsidR="005070BC" w:rsidRPr="00506DE1">
        <w:rPr>
          <w:sz w:val="26"/>
          <w:szCs w:val="26"/>
        </w:rPr>
        <w:t>A DSP may collect interest from retail customers on the recoveries of under collection of default service costs at the legal rate of interest.  Refunds to customers for over recoveries shall be made with interest, at the legal rate of interest plus 2%.</w:t>
      </w:r>
      <w:r w:rsidR="000964BB">
        <w:rPr>
          <w:sz w:val="26"/>
          <w:szCs w:val="26"/>
        </w:rPr>
        <w:t>”</w:t>
      </w:r>
      <w:r w:rsidR="005070BC" w:rsidRPr="00506DE1">
        <w:rPr>
          <w:sz w:val="26"/>
          <w:szCs w:val="26"/>
        </w:rPr>
        <w:t xml:space="preserve">  52 Pa. Code § 54.187(f).</w:t>
      </w:r>
      <w:r w:rsidR="00520A9D">
        <w:rPr>
          <w:sz w:val="26"/>
          <w:szCs w:val="26"/>
        </w:rPr>
        <w:t xml:space="preserve">  </w:t>
      </w:r>
      <w:r w:rsidR="005070BC">
        <w:rPr>
          <w:sz w:val="26"/>
          <w:szCs w:val="26"/>
        </w:rPr>
        <w:t>The ALJ stated that</w:t>
      </w:r>
      <w:r w:rsidR="00583A67">
        <w:rPr>
          <w:sz w:val="26"/>
          <w:szCs w:val="26"/>
        </w:rPr>
        <w:t>,</w:t>
      </w:r>
      <w:r w:rsidR="005070BC">
        <w:rPr>
          <w:sz w:val="26"/>
          <w:szCs w:val="26"/>
        </w:rPr>
        <w:t xml:space="preserve"> a</w:t>
      </w:r>
      <w:r w:rsidR="00C22D4E" w:rsidRPr="00506DE1">
        <w:rPr>
          <w:sz w:val="26"/>
          <w:szCs w:val="26"/>
        </w:rPr>
        <w:t>lthough t</w:t>
      </w:r>
      <w:r w:rsidR="001E6F86" w:rsidRPr="00506DE1">
        <w:rPr>
          <w:sz w:val="26"/>
          <w:szCs w:val="26"/>
        </w:rPr>
        <w:t xml:space="preserve">he legal interest rate has </w:t>
      </w:r>
      <w:r w:rsidR="00C22D4E" w:rsidRPr="00506DE1">
        <w:rPr>
          <w:sz w:val="26"/>
          <w:szCs w:val="26"/>
        </w:rPr>
        <w:t>be</w:t>
      </w:r>
      <w:r w:rsidR="00583A67">
        <w:rPr>
          <w:sz w:val="26"/>
          <w:szCs w:val="26"/>
        </w:rPr>
        <w:t>en</w:t>
      </w:r>
      <w:r w:rsidR="001E6F86" w:rsidRPr="00506DE1">
        <w:rPr>
          <w:sz w:val="26"/>
          <w:szCs w:val="26"/>
        </w:rPr>
        <w:t xml:space="preserve"> low in comparison to what was available in the marketplace at tim</w:t>
      </w:r>
      <w:r w:rsidR="00C22D4E" w:rsidRPr="00506DE1">
        <w:rPr>
          <w:sz w:val="26"/>
          <w:szCs w:val="26"/>
        </w:rPr>
        <w:t>es in the past</w:t>
      </w:r>
      <w:r w:rsidR="001E6F86" w:rsidRPr="00506DE1">
        <w:rPr>
          <w:sz w:val="26"/>
          <w:szCs w:val="26"/>
        </w:rPr>
        <w:t xml:space="preserve">, this is not one of those times.  </w:t>
      </w:r>
      <w:r w:rsidR="005070BC">
        <w:rPr>
          <w:sz w:val="26"/>
          <w:szCs w:val="26"/>
        </w:rPr>
        <w:t>The ALJ noted that at the p</w:t>
      </w:r>
      <w:r w:rsidR="001E6F86" w:rsidRPr="00506DE1">
        <w:rPr>
          <w:sz w:val="26"/>
          <w:szCs w:val="26"/>
        </w:rPr>
        <w:t>resent</w:t>
      </w:r>
      <w:r w:rsidR="005070BC">
        <w:rPr>
          <w:sz w:val="26"/>
          <w:szCs w:val="26"/>
        </w:rPr>
        <w:t xml:space="preserve"> time</w:t>
      </w:r>
      <w:r w:rsidR="001E6F86" w:rsidRPr="00506DE1">
        <w:rPr>
          <w:sz w:val="26"/>
          <w:szCs w:val="26"/>
        </w:rPr>
        <w:t>, there</w:t>
      </w:r>
      <w:r w:rsidR="00583A67">
        <w:rPr>
          <w:sz w:val="26"/>
          <w:szCs w:val="26"/>
        </w:rPr>
        <w:t xml:space="preserve"> is little opportunity to earn</w:t>
      </w:r>
      <w:r w:rsidR="001E6F86" w:rsidRPr="00506DE1">
        <w:rPr>
          <w:sz w:val="26"/>
          <w:szCs w:val="26"/>
        </w:rPr>
        <w:t xml:space="preserve"> 6% </w:t>
      </w:r>
      <w:r w:rsidR="00C22D4E" w:rsidRPr="00506DE1">
        <w:rPr>
          <w:sz w:val="26"/>
          <w:szCs w:val="26"/>
        </w:rPr>
        <w:t>from conventional financial institutions</w:t>
      </w:r>
      <w:r w:rsidR="001E6F86" w:rsidRPr="00506DE1">
        <w:rPr>
          <w:sz w:val="26"/>
          <w:szCs w:val="26"/>
        </w:rPr>
        <w:t xml:space="preserve">.  </w:t>
      </w:r>
      <w:r w:rsidR="005070BC">
        <w:rPr>
          <w:sz w:val="26"/>
          <w:szCs w:val="26"/>
        </w:rPr>
        <w:t>She averred that t</w:t>
      </w:r>
      <w:r w:rsidR="001E6F86" w:rsidRPr="00506DE1">
        <w:rPr>
          <w:sz w:val="26"/>
          <w:szCs w:val="26"/>
        </w:rPr>
        <w:t>his percentage rate is a regulatory windfall</w:t>
      </w:r>
      <w:r w:rsidR="00CD48F8" w:rsidRPr="00506DE1">
        <w:rPr>
          <w:sz w:val="26"/>
          <w:szCs w:val="26"/>
        </w:rPr>
        <w:t xml:space="preserve"> for EDCs, and the irresponsible EDC does have an opportunity for abuse.  However, </w:t>
      </w:r>
      <w:r w:rsidR="005070BC">
        <w:rPr>
          <w:sz w:val="26"/>
          <w:szCs w:val="26"/>
        </w:rPr>
        <w:t xml:space="preserve">in her opinion, </w:t>
      </w:r>
      <w:r w:rsidR="00CD48F8" w:rsidRPr="00506DE1">
        <w:rPr>
          <w:sz w:val="26"/>
          <w:szCs w:val="26"/>
        </w:rPr>
        <w:t>the regulatory environment should provide oversight for t</w:t>
      </w:r>
      <w:r w:rsidR="00E562F2" w:rsidRPr="00506DE1">
        <w:rPr>
          <w:sz w:val="26"/>
          <w:szCs w:val="26"/>
        </w:rPr>
        <w:t>he ratemaking process, and</w:t>
      </w:r>
      <w:r w:rsidR="005070BC">
        <w:rPr>
          <w:sz w:val="26"/>
          <w:szCs w:val="26"/>
        </w:rPr>
        <w:t xml:space="preserve"> she encouraged the statutory advocates </w:t>
      </w:r>
      <w:r w:rsidR="00CD48F8" w:rsidRPr="00506DE1">
        <w:rPr>
          <w:sz w:val="26"/>
          <w:szCs w:val="26"/>
        </w:rPr>
        <w:t>to continue to watch all of the EDCs carefully to ensure due diligence.</w:t>
      </w:r>
      <w:r w:rsidR="001E6F86" w:rsidRPr="00506DE1">
        <w:rPr>
          <w:sz w:val="26"/>
          <w:szCs w:val="26"/>
        </w:rPr>
        <w:t xml:space="preserve"> </w:t>
      </w:r>
      <w:r w:rsidR="005070BC">
        <w:rPr>
          <w:sz w:val="26"/>
          <w:szCs w:val="26"/>
        </w:rPr>
        <w:t xml:space="preserve"> However, she concluded that</w:t>
      </w:r>
      <w:r w:rsidR="00583A67">
        <w:rPr>
          <w:sz w:val="26"/>
          <w:szCs w:val="26"/>
        </w:rPr>
        <w:t>,</w:t>
      </w:r>
      <w:r w:rsidR="005070BC">
        <w:rPr>
          <w:sz w:val="26"/>
          <w:szCs w:val="26"/>
        </w:rPr>
        <w:t xml:space="preserve"> w</w:t>
      </w:r>
      <w:r w:rsidR="00083ABD" w:rsidRPr="00506DE1">
        <w:rPr>
          <w:sz w:val="26"/>
          <w:szCs w:val="26"/>
        </w:rPr>
        <w:t xml:space="preserve">ithout evidence of wrongdoing on the part of the Company, there is no </w:t>
      </w:r>
      <w:r w:rsidR="00E562F2" w:rsidRPr="00506DE1">
        <w:rPr>
          <w:sz w:val="26"/>
          <w:szCs w:val="26"/>
        </w:rPr>
        <w:t>support for</w:t>
      </w:r>
      <w:r w:rsidR="00083ABD" w:rsidRPr="00506DE1">
        <w:rPr>
          <w:sz w:val="26"/>
          <w:szCs w:val="26"/>
        </w:rPr>
        <w:t xml:space="preserve"> apply</w:t>
      </w:r>
      <w:r w:rsidR="00E562F2" w:rsidRPr="00506DE1">
        <w:rPr>
          <w:sz w:val="26"/>
          <w:szCs w:val="26"/>
        </w:rPr>
        <w:t>ing</w:t>
      </w:r>
      <w:r w:rsidR="00083ABD" w:rsidRPr="00506DE1">
        <w:rPr>
          <w:sz w:val="26"/>
          <w:szCs w:val="26"/>
        </w:rPr>
        <w:t xml:space="preserve"> any interest rate other than that alread</w:t>
      </w:r>
      <w:r w:rsidR="00B40D86">
        <w:rPr>
          <w:sz w:val="26"/>
          <w:szCs w:val="26"/>
        </w:rPr>
        <w:t>y required by the Commission</w:t>
      </w:r>
      <w:r w:rsidR="000964BB">
        <w:rPr>
          <w:sz w:val="26"/>
          <w:szCs w:val="26"/>
        </w:rPr>
        <w:t>’</w:t>
      </w:r>
      <w:r w:rsidR="00B40D86">
        <w:rPr>
          <w:sz w:val="26"/>
          <w:szCs w:val="26"/>
        </w:rPr>
        <w:t>s R</w:t>
      </w:r>
      <w:r w:rsidR="00083ABD" w:rsidRPr="00506DE1">
        <w:rPr>
          <w:sz w:val="26"/>
          <w:szCs w:val="26"/>
        </w:rPr>
        <w:t>egulations.</w:t>
      </w:r>
      <w:r w:rsidR="005070BC">
        <w:rPr>
          <w:sz w:val="26"/>
          <w:szCs w:val="26"/>
        </w:rPr>
        <w:t xml:space="preserve">  R.D. at</w:t>
      </w:r>
      <w:r w:rsidR="00520A9D">
        <w:rPr>
          <w:sz w:val="26"/>
          <w:szCs w:val="26"/>
        </w:rPr>
        <w:t> </w:t>
      </w:r>
      <w:r w:rsidR="005070BC">
        <w:rPr>
          <w:sz w:val="26"/>
          <w:szCs w:val="26"/>
        </w:rPr>
        <w:t>54.</w:t>
      </w:r>
    </w:p>
    <w:p w:rsidR="00E465C3" w:rsidRDefault="00E465C3" w:rsidP="005070BC">
      <w:pPr>
        <w:rPr>
          <w:sz w:val="26"/>
          <w:szCs w:val="26"/>
        </w:rPr>
      </w:pPr>
    </w:p>
    <w:p w:rsidR="008A5028" w:rsidRDefault="00110717" w:rsidP="00211136">
      <w:pPr>
        <w:pStyle w:val="Heading3"/>
        <w:keepNext/>
      </w:pPr>
      <w:bookmarkStart w:id="83" w:name="_Toc329245873"/>
      <w:bookmarkStart w:id="84" w:name="_Toc329688410"/>
      <w:r>
        <w:lastRenderedPageBreak/>
        <w:t>3.</w:t>
      </w:r>
      <w:r>
        <w:tab/>
        <w:t>Exceptions and Replies</w:t>
      </w:r>
      <w:bookmarkEnd w:id="83"/>
      <w:bookmarkEnd w:id="84"/>
      <w:r w:rsidR="00083ABD" w:rsidRPr="00506DE1">
        <w:t xml:space="preserve">  </w:t>
      </w:r>
    </w:p>
    <w:p w:rsidR="00B40D86" w:rsidRDefault="00B40D86" w:rsidP="00211136">
      <w:pPr>
        <w:keepNext/>
        <w:rPr>
          <w:sz w:val="26"/>
          <w:szCs w:val="26"/>
        </w:rPr>
      </w:pPr>
    </w:p>
    <w:p w:rsidR="00B40D86" w:rsidRDefault="00B40D86" w:rsidP="005070BC">
      <w:pPr>
        <w:rPr>
          <w:sz w:val="26"/>
          <w:szCs w:val="26"/>
        </w:rPr>
      </w:pPr>
      <w:r>
        <w:rPr>
          <w:sz w:val="26"/>
          <w:szCs w:val="26"/>
        </w:rPr>
        <w:tab/>
      </w:r>
      <w:r>
        <w:rPr>
          <w:sz w:val="26"/>
          <w:szCs w:val="26"/>
        </w:rPr>
        <w:tab/>
        <w:t>In its Exceptions, the OSBA states that the ALJ erred by not finding that the interest rates proposed by PPL on under and over collections should be reduced to more closely align with capital market conditions.  The OSBA notes that the existing Commiss</w:t>
      </w:r>
      <w:r w:rsidR="00AE26B7">
        <w:rPr>
          <w:sz w:val="26"/>
          <w:szCs w:val="26"/>
        </w:rPr>
        <w:t xml:space="preserve">ion Regulations at 52 Pa. Code </w:t>
      </w:r>
      <w:r>
        <w:rPr>
          <w:sz w:val="26"/>
          <w:szCs w:val="26"/>
        </w:rPr>
        <w:t>54.17(f) provide for an interest rate of 6% on under</w:t>
      </w:r>
      <w:r w:rsidR="009E6611">
        <w:rPr>
          <w:sz w:val="26"/>
          <w:szCs w:val="26"/>
        </w:rPr>
        <w:t xml:space="preserve"> </w:t>
      </w:r>
      <w:r>
        <w:rPr>
          <w:sz w:val="26"/>
          <w:szCs w:val="26"/>
        </w:rPr>
        <w:t>collections and 8%</w:t>
      </w:r>
      <w:r w:rsidR="009E6611">
        <w:rPr>
          <w:sz w:val="26"/>
          <w:szCs w:val="26"/>
        </w:rPr>
        <w:t xml:space="preserve"> on over collections.  However, t</w:t>
      </w:r>
      <w:r w:rsidR="00583A67">
        <w:rPr>
          <w:sz w:val="26"/>
          <w:szCs w:val="26"/>
        </w:rPr>
        <w:t>he OSBA argues</w:t>
      </w:r>
      <w:r>
        <w:rPr>
          <w:sz w:val="26"/>
          <w:szCs w:val="26"/>
        </w:rPr>
        <w:t xml:space="preserve"> that</w:t>
      </w:r>
      <w:r w:rsidR="00583A67">
        <w:rPr>
          <w:sz w:val="26"/>
          <w:szCs w:val="26"/>
        </w:rPr>
        <w:t>, to the extent that Commission R</w:t>
      </w:r>
      <w:r>
        <w:rPr>
          <w:sz w:val="26"/>
          <w:szCs w:val="26"/>
        </w:rPr>
        <w:t>egulations can distort incentives, create a potential windfall for default service providers and distort</w:t>
      </w:r>
      <w:r w:rsidR="00583A67">
        <w:rPr>
          <w:sz w:val="26"/>
          <w:szCs w:val="26"/>
        </w:rPr>
        <w:t xml:space="preserve"> competition, waivers to those R</w:t>
      </w:r>
      <w:r>
        <w:rPr>
          <w:sz w:val="26"/>
          <w:szCs w:val="26"/>
        </w:rPr>
        <w:t>egulations should reasonably be granted.</w:t>
      </w:r>
      <w:r w:rsidR="009E6611">
        <w:rPr>
          <w:sz w:val="26"/>
          <w:szCs w:val="26"/>
        </w:rPr>
        <w:t xml:space="preserve">  The OSBA requests that the interest rates be indexed to capital market conditions, rather than a fixed rate like the legal rate of interest.  OSBA Exc. at</w:t>
      </w:r>
      <w:r w:rsidR="00520A9D">
        <w:rPr>
          <w:sz w:val="26"/>
          <w:szCs w:val="26"/>
        </w:rPr>
        <w:t> </w:t>
      </w:r>
      <w:r w:rsidR="009E6611">
        <w:rPr>
          <w:sz w:val="26"/>
          <w:szCs w:val="26"/>
        </w:rPr>
        <w:t>3</w:t>
      </w:r>
      <w:r w:rsidR="00520A9D">
        <w:rPr>
          <w:sz w:val="26"/>
          <w:szCs w:val="26"/>
        </w:rPr>
        <w:noBreakHyphen/>
      </w:r>
      <w:r w:rsidR="009E6611">
        <w:rPr>
          <w:sz w:val="26"/>
          <w:szCs w:val="26"/>
        </w:rPr>
        <w:t>6.</w:t>
      </w:r>
    </w:p>
    <w:p w:rsidR="009E6611" w:rsidRDefault="009E6611" w:rsidP="005070BC">
      <w:pPr>
        <w:rPr>
          <w:sz w:val="26"/>
          <w:szCs w:val="26"/>
        </w:rPr>
      </w:pPr>
    </w:p>
    <w:p w:rsidR="009E6611" w:rsidRDefault="009E6611" w:rsidP="005070BC">
      <w:pPr>
        <w:rPr>
          <w:sz w:val="26"/>
          <w:szCs w:val="26"/>
        </w:rPr>
      </w:pPr>
      <w:r>
        <w:rPr>
          <w:sz w:val="26"/>
          <w:szCs w:val="26"/>
        </w:rPr>
        <w:tab/>
      </w:r>
      <w:r>
        <w:rPr>
          <w:sz w:val="26"/>
          <w:szCs w:val="26"/>
        </w:rPr>
        <w:tab/>
        <w:t>In reply, PPL avers that</w:t>
      </w:r>
      <w:r w:rsidR="00583A67">
        <w:rPr>
          <w:sz w:val="26"/>
          <w:szCs w:val="26"/>
        </w:rPr>
        <w:t>,</w:t>
      </w:r>
      <w:r>
        <w:rPr>
          <w:sz w:val="26"/>
          <w:szCs w:val="26"/>
        </w:rPr>
        <w:t xml:space="preserve"> other than</w:t>
      </w:r>
      <w:r w:rsidR="00583A67">
        <w:rPr>
          <w:sz w:val="26"/>
          <w:szCs w:val="26"/>
        </w:rPr>
        <w:t xml:space="preserve"> the</w:t>
      </w:r>
      <w:r>
        <w:rPr>
          <w:sz w:val="26"/>
          <w:szCs w:val="26"/>
        </w:rPr>
        <w:t xml:space="preserve"> OSBA</w:t>
      </w:r>
      <w:r w:rsidR="000964BB">
        <w:rPr>
          <w:sz w:val="26"/>
          <w:szCs w:val="26"/>
        </w:rPr>
        <w:t>’</w:t>
      </w:r>
      <w:r>
        <w:rPr>
          <w:sz w:val="26"/>
          <w:szCs w:val="26"/>
        </w:rPr>
        <w:t>s unsubstantiated concerns, there is absolutely no evidence of record to suggest that the i</w:t>
      </w:r>
      <w:r w:rsidR="00260A94">
        <w:rPr>
          <w:sz w:val="26"/>
          <w:szCs w:val="26"/>
        </w:rPr>
        <w:t>nterest rates set forth in the C</w:t>
      </w:r>
      <w:r w:rsidR="00583A67">
        <w:rPr>
          <w:sz w:val="26"/>
          <w:szCs w:val="26"/>
        </w:rPr>
        <w:t>ommission</w:t>
      </w:r>
      <w:r w:rsidR="000964BB">
        <w:rPr>
          <w:sz w:val="26"/>
          <w:szCs w:val="26"/>
        </w:rPr>
        <w:t>’</w:t>
      </w:r>
      <w:r w:rsidR="00583A67">
        <w:rPr>
          <w:sz w:val="26"/>
          <w:szCs w:val="26"/>
        </w:rPr>
        <w:t>s default service R</w:t>
      </w:r>
      <w:r>
        <w:rPr>
          <w:sz w:val="26"/>
          <w:szCs w:val="26"/>
        </w:rPr>
        <w:t>egulations have provided or will provide PPL with the alleged incentive to under collect its default service costs.  According to PPL, there is no basis to support the OSBA</w:t>
      </w:r>
      <w:r w:rsidR="000964BB">
        <w:rPr>
          <w:sz w:val="26"/>
          <w:szCs w:val="26"/>
        </w:rPr>
        <w:t>’</w:t>
      </w:r>
      <w:r>
        <w:rPr>
          <w:sz w:val="26"/>
          <w:szCs w:val="26"/>
        </w:rPr>
        <w:t>s proposal to single out and penalize PPL with arbitra</w:t>
      </w:r>
      <w:r w:rsidR="00260A94">
        <w:rPr>
          <w:sz w:val="26"/>
          <w:szCs w:val="26"/>
        </w:rPr>
        <w:t>ry interest rates through this P</w:t>
      </w:r>
      <w:r>
        <w:rPr>
          <w:sz w:val="26"/>
          <w:szCs w:val="26"/>
        </w:rPr>
        <w:t>etition proceeding, while allowing other default service providers to continue to use the interest rates set forth in th</w:t>
      </w:r>
      <w:r w:rsidR="00583A67">
        <w:rPr>
          <w:sz w:val="26"/>
          <w:szCs w:val="26"/>
        </w:rPr>
        <w:t>e Commission</w:t>
      </w:r>
      <w:r w:rsidR="000964BB">
        <w:rPr>
          <w:sz w:val="26"/>
          <w:szCs w:val="26"/>
        </w:rPr>
        <w:t>’</w:t>
      </w:r>
      <w:r w:rsidR="00583A67">
        <w:rPr>
          <w:sz w:val="26"/>
          <w:szCs w:val="26"/>
        </w:rPr>
        <w:t>s default service R</w:t>
      </w:r>
      <w:r>
        <w:rPr>
          <w:sz w:val="26"/>
          <w:szCs w:val="26"/>
        </w:rPr>
        <w:t>egulations</w:t>
      </w:r>
      <w:r w:rsidR="00260A94">
        <w:rPr>
          <w:sz w:val="26"/>
          <w:szCs w:val="26"/>
        </w:rPr>
        <w:t>.  PPL R. Exc. at 18-19.</w:t>
      </w:r>
    </w:p>
    <w:p w:rsidR="00A177B8" w:rsidRDefault="00A177B8" w:rsidP="005070BC">
      <w:pPr>
        <w:rPr>
          <w:sz w:val="26"/>
          <w:szCs w:val="26"/>
        </w:rPr>
      </w:pPr>
    </w:p>
    <w:p w:rsidR="00A177B8" w:rsidRDefault="00A177B8" w:rsidP="00211136">
      <w:pPr>
        <w:pStyle w:val="Heading3"/>
        <w:keepNext/>
      </w:pPr>
      <w:bookmarkStart w:id="85" w:name="_Toc329245874"/>
      <w:bookmarkStart w:id="86" w:name="_Toc329688411"/>
      <w:r>
        <w:t>4.</w:t>
      </w:r>
      <w:r>
        <w:tab/>
        <w:t>Disposition</w:t>
      </w:r>
      <w:bookmarkEnd w:id="85"/>
      <w:bookmarkEnd w:id="86"/>
    </w:p>
    <w:p w:rsidR="00A177B8" w:rsidRDefault="00A177B8" w:rsidP="00211136">
      <w:pPr>
        <w:keepNext/>
        <w:rPr>
          <w:b/>
          <w:sz w:val="26"/>
          <w:szCs w:val="26"/>
        </w:rPr>
      </w:pPr>
    </w:p>
    <w:p w:rsidR="00A177B8" w:rsidRDefault="00A177B8" w:rsidP="00A177B8">
      <w:pPr>
        <w:contextualSpacing/>
        <w:rPr>
          <w:sz w:val="26"/>
          <w:szCs w:val="26"/>
        </w:rPr>
      </w:pPr>
      <w:r>
        <w:rPr>
          <w:b/>
          <w:sz w:val="26"/>
          <w:szCs w:val="26"/>
        </w:rPr>
        <w:tab/>
      </w:r>
      <w:r>
        <w:rPr>
          <w:b/>
          <w:sz w:val="26"/>
          <w:szCs w:val="26"/>
        </w:rPr>
        <w:tab/>
      </w:r>
      <w:r w:rsidR="00583A67">
        <w:rPr>
          <w:sz w:val="26"/>
          <w:szCs w:val="26"/>
        </w:rPr>
        <w:t xml:space="preserve">We </w:t>
      </w:r>
      <w:r>
        <w:rPr>
          <w:sz w:val="26"/>
          <w:szCs w:val="26"/>
        </w:rPr>
        <w:t xml:space="preserve">agree with </w:t>
      </w:r>
      <w:r w:rsidRPr="00A177B8">
        <w:rPr>
          <w:sz w:val="26"/>
          <w:szCs w:val="26"/>
        </w:rPr>
        <w:t>PPL that it would be inappropriate to adopt the OSBA recommendation</w:t>
      </w:r>
      <w:r>
        <w:rPr>
          <w:sz w:val="26"/>
          <w:szCs w:val="26"/>
        </w:rPr>
        <w:t xml:space="preserve"> within the context of this proceeding</w:t>
      </w:r>
      <w:r w:rsidR="00583A67">
        <w:rPr>
          <w:sz w:val="26"/>
          <w:szCs w:val="26"/>
        </w:rPr>
        <w:t>,</w:t>
      </w:r>
      <w:r>
        <w:rPr>
          <w:sz w:val="26"/>
          <w:szCs w:val="26"/>
        </w:rPr>
        <w:t xml:space="preserve"> as there is no evidence of wrongdoing on the part of PPL to warr</w:t>
      </w:r>
      <w:r w:rsidR="00583A67">
        <w:rPr>
          <w:sz w:val="26"/>
          <w:szCs w:val="26"/>
        </w:rPr>
        <w:t>ant the waiver of our R</w:t>
      </w:r>
      <w:r>
        <w:rPr>
          <w:sz w:val="26"/>
          <w:szCs w:val="26"/>
        </w:rPr>
        <w:t>egulation</w:t>
      </w:r>
      <w:r w:rsidR="002649C7">
        <w:rPr>
          <w:sz w:val="26"/>
          <w:szCs w:val="26"/>
        </w:rPr>
        <w:t>s</w:t>
      </w:r>
      <w:r>
        <w:rPr>
          <w:sz w:val="26"/>
          <w:szCs w:val="26"/>
        </w:rPr>
        <w:t xml:space="preserve"> concerning the interest rat</w:t>
      </w:r>
      <w:r w:rsidR="00583A67">
        <w:rPr>
          <w:sz w:val="26"/>
          <w:szCs w:val="26"/>
        </w:rPr>
        <w:t>e on under and over collections with respect to</w:t>
      </w:r>
      <w:r>
        <w:rPr>
          <w:sz w:val="26"/>
          <w:szCs w:val="26"/>
        </w:rPr>
        <w:t xml:space="preserve"> PPL and only PPL.  Instead,</w:t>
      </w:r>
      <w:r w:rsidRPr="00A177B8">
        <w:rPr>
          <w:sz w:val="26"/>
          <w:szCs w:val="26"/>
        </w:rPr>
        <w:t xml:space="preserve"> </w:t>
      </w:r>
      <w:r>
        <w:rPr>
          <w:sz w:val="26"/>
          <w:szCs w:val="26"/>
        </w:rPr>
        <w:t xml:space="preserve">it is our intention </w:t>
      </w:r>
      <w:r w:rsidR="00583A67">
        <w:rPr>
          <w:sz w:val="26"/>
          <w:szCs w:val="26"/>
        </w:rPr>
        <w:t xml:space="preserve">that this particular issue </w:t>
      </w:r>
      <w:r>
        <w:rPr>
          <w:sz w:val="26"/>
          <w:szCs w:val="26"/>
        </w:rPr>
        <w:t xml:space="preserve">be included within the generic proceeding to be </w:t>
      </w:r>
      <w:r>
        <w:rPr>
          <w:sz w:val="26"/>
          <w:szCs w:val="26"/>
        </w:rPr>
        <w:lastRenderedPageBreak/>
        <w:t>initiated on default service reconciliation issues.</w:t>
      </w:r>
      <w:r w:rsidR="002649C7">
        <w:rPr>
          <w:sz w:val="26"/>
          <w:szCs w:val="26"/>
        </w:rPr>
        <w:t xml:space="preserve">  Accordingly, the Exceptions of the OSBA are denied.</w:t>
      </w:r>
    </w:p>
    <w:p w:rsidR="00211136" w:rsidRDefault="00211136">
      <w:pPr>
        <w:autoSpaceDE/>
        <w:autoSpaceDN/>
        <w:jc w:val="center"/>
        <w:rPr>
          <w:sz w:val="26"/>
          <w:szCs w:val="26"/>
        </w:rPr>
      </w:pPr>
      <w:r>
        <w:rPr>
          <w:sz w:val="26"/>
          <w:szCs w:val="26"/>
        </w:rPr>
        <w:br w:type="page"/>
      </w:r>
    </w:p>
    <w:p w:rsidR="00677B9C" w:rsidRPr="00506DE1" w:rsidRDefault="00506DE1" w:rsidP="00211136">
      <w:pPr>
        <w:pStyle w:val="Heading1"/>
        <w:keepNext/>
      </w:pPr>
      <w:bookmarkStart w:id="87" w:name="_Toc329245875"/>
      <w:bookmarkStart w:id="88" w:name="_Toc329688412"/>
      <w:r w:rsidRPr="00506DE1">
        <w:lastRenderedPageBreak/>
        <w:t>III</w:t>
      </w:r>
      <w:r w:rsidR="0058235F" w:rsidRPr="00506DE1">
        <w:t>.</w:t>
      </w:r>
      <w:r w:rsidR="0058235F" w:rsidRPr="00506DE1">
        <w:tab/>
      </w:r>
      <w:r w:rsidR="008A5028" w:rsidRPr="00506DE1">
        <w:t>C</w:t>
      </w:r>
      <w:r w:rsidR="004F1A21" w:rsidRPr="00506DE1">
        <w:t>onclusion</w:t>
      </w:r>
      <w:bookmarkEnd w:id="87"/>
      <w:bookmarkEnd w:id="88"/>
      <w:r w:rsidR="004F1A21" w:rsidRPr="00506DE1">
        <w:fldChar w:fldCharType="begin"/>
      </w:r>
      <w:r w:rsidR="004F1A21" w:rsidRPr="00506DE1">
        <w:instrText xml:space="preserve"> TC "3.</w:instrText>
      </w:r>
      <w:r w:rsidR="004F1A21" w:rsidRPr="00506DE1">
        <w:tab/>
        <w:instrText xml:space="preserve">CONCLUSION" \f C \l "3" </w:instrText>
      </w:r>
      <w:r w:rsidR="004F1A21" w:rsidRPr="00506DE1">
        <w:fldChar w:fldCharType="end"/>
      </w:r>
    </w:p>
    <w:p w:rsidR="008A5028" w:rsidRPr="00506DE1" w:rsidRDefault="008A5028" w:rsidP="00211136">
      <w:pPr>
        <w:keepNext/>
        <w:autoSpaceDE/>
        <w:autoSpaceDN/>
        <w:rPr>
          <w:b/>
          <w:sz w:val="26"/>
          <w:szCs w:val="26"/>
        </w:rPr>
      </w:pPr>
    </w:p>
    <w:p w:rsidR="001A2D84" w:rsidRDefault="008A5028" w:rsidP="007540CE">
      <w:pPr>
        <w:autoSpaceDE/>
        <w:autoSpaceDN/>
        <w:rPr>
          <w:b/>
          <w:sz w:val="26"/>
          <w:szCs w:val="26"/>
        </w:rPr>
      </w:pPr>
      <w:r w:rsidRPr="00506DE1">
        <w:rPr>
          <w:b/>
          <w:sz w:val="26"/>
          <w:szCs w:val="26"/>
        </w:rPr>
        <w:tab/>
      </w:r>
      <w:r w:rsidRPr="00506DE1">
        <w:rPr>
          <w:b/>
          <w:sz w:val="26"/>
          <w:szCs w:val="26"/>
        </w:rPr>
        <w:tab/>
      </w:r>
      <w:r w:rsidR="00A1641A" w:rsidRPr="00A1641A">
        <w:rPr>
          <w:sz w:val="26"/>
          <w:szCs w:val="26"/>
        </w:rPr>
        <w:t>Based on our review, evaluation and analysis of the record evidence</w:t>
      </w:r>
      <w:r w:rsidRPr="00506DE1">
        <w:rPr>
          <w:sz w:val="26"/>
          <w:szCs w:val="26"/>
        </w:rPr>
        <w:t xml:space="preserve">, </w:t>
      </w:r>
      <w:r w:rsidR="00A1641A">
        <w:rPr>
          <w:sz w:val="26"/>
          <w:szCs w:val="26"/>
        </w:rPr>
        <w:t>we shall grant and deny the Exceptions of the Parties, consistent with this Opinion and Order.  We</w:t>
      </w:r>
      <w:r w:rsidRPr="00506DE1">
        <w:rPr>
          <w:sz w:val="26"/>
          <w:szCs w:val="26"/>
        </w:rPr>
        <w:t xml:space="preserve"> recommend that the Petitio</w:t>
      </w:r>
      <w:r w:rsidR="00A1641A">
        <w:rPr>
          <w:sz w:val="26"/>
          <w:szCs w:val="26"/>
        </w:rPr>
        <w:t xml:space="preserve">n of PPL </w:t>
      </w:r>
      <w:r w:rsidRPr="00506DE1">
        <w:rPr>
          <w:sz w:val="26"/>
          <w:szCs w:val="26"/>
        </w:rPr>
        <w:t xml:space="preserve">to implement a Reconciliation Rider be </w:t>
      </w:r>
      <w:r w:rsidR="007D5345">
        <w:rPr>
          <w:sz w:val="26"/>
          <w:szCs w:val="26"/>
        </w:rPr>
        <w:t>denied</w:t>
      </w:r>
      <w:r w:rsidR="00583A67">
        <w:rPr>
          <w:sz w:val="26"/>
          <w:szCs w:val="26"/>
        </w:rPr>
        <w:t>, without prejudice</w:t>
      </w:r>
      <w:r w:rsidR="007D5345" w:rsidRPr="00506DE1">
        <w:rPr>
          <w:sz w:val="26"/>
          <w:szCs w:val="26"/>
        </w:rPr>
        <w:t>;</w:t>
      </w:r>
      <w:r w:rsidRPr="00506DE1">
        <w:rPr>
          <w:sz w:val="26"/>
          <w:szCs w:val="26"/>
        </w:rPr>
        <w:t xml:space="preserve"> that the proposal to implement a Competitive Transition Rider be denied</w:t>
      </w:r>
      <w:r w:rsidR="003073C3">
        <w:rPr>
          <w:sz w:val="26"/>
          <w:szCs w:val="26"/>
        </w:rPr>
        <w:t>,</w:t>
      </w:r>
      <w:r w:rsidR="005961D9">
        <w:rPr>
          <w:sz w:val="26"/>
          <w:szCs w:val="26"/>
        </w:rPr>
        <w:t xml:space="preserve"> without prejudice</w:t>
      </w:r>
      <w:r w:rsidR="00583A67">
        <w:rPr>
          <w:sz w:val="26"/>
          <w:szCs w:val="26"/>
        </w:rPr>
        <w:t>; that the proposal to reconcile</w:t>
      </w:r>
      <w:r w:rsidRPr="00506DE1">
        <w:rPr>
          <w:sz w:val="26"/>
          <w:szCs w:val="26"/>
        </w:rPr>
        <w:t xml:space="preserve"> </w:t>
      </w:r>
      <w:r w:rsidR="008172EA" w:rsidRPr="00506DE1">
        <w:rPr>
          <w:sz w:val="26"/>
          <w:szCs w:val="26"/>
        </w:rPr>
        <w:t>the over or under collection of the r</w:t>
      </w:r>
      <w:r w:rsidR="00B0522F">
        <w:rPr>
          <w:sz w:val="26"/>
          <w:szCs w:val="26"/>
        </w:rPr>
        <w:t>esidential and S</w:t>
      </w:r>
      <w:r w:rsidR="008172EA" w:rsidRPr="00506DE1">
        <w:rPr>
          <w:sz w:val="26"/>
          <w:szCs w:val="26"/>
        </w:rPr>
        <w:t xml:space="preserve">mall C&amp;I </w:t>
      </w:r>
      <w:r w:rsidR="00E562F2" w:rsidRPr="00506DE1">
        <w:rPr>
          <w:sz w:val="26"/>
          <w:szCs w:val="26"/>
        </w:rPr>
        <w:t>T</w:t>
      </w:r>
      <w:r w:rsidR="008172EA" w:rsidRPr="00506DE1">
        <w:rPr>
          <w:sz w:val="26"/>
          <w:szCs w:val="26"/>
        </w:rPr>
        <w:t xml:space="preserve">ime of </w:t>
      </w:r>
      <w:r w:rsidR="00E562F2" w:rsidRPr="00506DE1">
        <w:rPr>
          <w:sz w:val="26"/>
          <w:szCs w:val="26"/>
        </w:rPr>
        <w:t>U</w:t>
      </w:r>
      <w:r w:rsidR="008172EA" w:rsidRPr="00506DE1">
        <w:rPr>
          <w:sz w:val="26"/>
          <w:szCs w:val="26"/>
        </w:rPr>
        <w:t xml:space="preserve">se program rates </w:t>
      </w:r>
      <w:r w:rsidR="005961D9">
        <w:rPr>
          <w:sz w:val="26"/>
          <w:szCs w:val="26"/>
        </w:rPr>
        <w:t xml:space="preserve">be deferred to the </w:t>
      </w:r>
      <w:r w:rsidR="00997531">
        <w:rPr>
          <w:i/>
          <w:sz w:val="26"/>
          <w:szCs w:val="26"/>
        </w:rPr>
        <w:t>Revised TOU Proceeding, supra.</w:t>
      </w:r>
      <w:r w:rsidR="008172EA" w:rsidRPr="00506DE1">
        <w:rPr>
          <w:sz w:val="26"/>
          <w:szCs w:val="26"/>
        </w:rPr>
        <w:t xml:space="preserve">; that the proposal regarding the ability to net the over and under collections of the GSC-1 and GSC-2 with the TSC reconciliations be deferred until the </w:t>
      </w:r>
      <w:r w:rsidR="00A1641A">
        <w:rPr>
          <w:sz w:val="26"/>
          <w:szCs w:val="26"/>
        </w:rPr>
        <w:t>Commission</w:t>
      </w:r>
      <w:r w:rsidR="000964BB">
        <w:rPr>
          <w:sz w:val="26"/>
          <w:szCs w:val="26"/>
        </w:rPr>
        <w:t>’</w:t>
      </w:r>
      <w:r w:rsidR="00A1641A">
        <w:rPr>
          <w:sz w:val="26"/>
          <w:szCs w:val="26"/>
        </w:rPr>
        <w:t xml:space="preserve">s disposition </w:t>
      </w:r>
      <w:r w:rsidR="007D5345">
        <w:rPr>
          <w:sz w:val="26"/>
          <w:szCs w:val="26"/>
        </w:rPr>
        <w:t xml:space="preserve">of </w:t>
      </w:r>
      <w:r w:rsidR="00997531">
        <w:rPr>
          <w:sz w:val="26"/>
          <w:szCs w:val="26"/>
        </w:rPr>
        <w:t xml:space="preserve">the </w:t>
      </w:r>
      <w:r w:rsidR="007D5345" w:rsidRPr="00B0522F">
        <w:rPr>
          <w:i/>
          <w:sz w:val="26"/>
          <w:szCs w:val="26"/>
        </w:rPr>
        <w:t>PPL</w:t>
      </w:r>
      <w:r w:rsidR="008172EA" w:rsidRPr="00B0522F">
        <w:rPr>
          <w:i/>
          <w:sz w:val="26"/>
          <w:szCs w:val="26"/>
        </w:rPr>
        <w:t xml:space="preserve"> </w:t>
      </w:r>
      <w:r w:rsidR="00997531">
        <w:rPr>
          <w:i/>
          <w:sz w:val="26"/>
          <w:szCs w:val="26"/>
        </w:rPr>
        <w:t xml:space="preserve">2010 </w:t>
      </w:r>
      <w:r w:rsidR="008172EA" w:rsidRPr="00506DE1">
        <w:rPr>
          <w:i/>
          <w:sz w:val="26"/>
          <w:szCs w:val="26"/>
        </w:rPr>
        <w:t>TSC Reconciliation</w:t>
      </w:r>
      <w:r w:rsidR="00997531">
        <w:rPr>
          <w:i/>
          <w:sz w:val="26"/>
          <w:szCs w:val="26"/>
        </w:rPr>
        <w:t xml:space="preserve"> Proceeding</w:t>
      </w:r>
      <w:r w:rsidR="008172EA" w:rsidRPr="00506DE1">
        <w:rPr>
          <w:sz w:val="26"/>
          <w:szCs w:val="26"/>
        </w:rPr>
        <w:t xml:space="preserve">; </w:t>
      </w:r>
      <w:r w:rsidR="00B0522F">
        <w:rPr>
          <w:sz w:val="26"/>
          <w:szCs w:val="26"/>
        </w:rPr>
        <w:t xml:space="preserve">and </w:t>
      </w:r>
      <w:r w:rsidR="008172EA" w:rsidRPr="00506DE1">
        <w:rPr>
          <w:sz w:val="26"/>
          <w:szCs w:val="26"/>
        </w:rPr>
        <w:t>that the interest rate for under</w:t>
      </w:r>
      <w:r w:rsidR="00A1641A">
        <w:rPr>
          <w:sz w:val="26"/>
          <w:szCs w:val="26"/>
        </w:rPr>
        <w:t xml:space="preserve"> </w:t>
      </w:r>
      <w:r w:rsidR="008172EA" w:rsidRPr="00506DE1">
        <w:rPr>
          <w:sz w:val="26"/>
          <w:szCs w:val="26"/>
        </w:rPr>
        <w:t>collection</w:t>
      </w:r>
      <w:r w:rsidR="00A1641A">
        <w:rPr>
          <w:sz w:val="26"/>
          <w:szCs w:val="26"/>
        </w:rPr>
        <w:t>s</w:t>
      </w:r>
      <w:r w:rsidR="008172EA" w:rsidRPr="00506DE1">
        <w:rPr>
          <w:sz w:val="26"/>
          <w:szCs w:val="26"/>
        </w:rPr>
        <w:t xml:space="preserve"> remain at 6%</w:t>
      </w:r>
      <w:r w:rsidR="00B0522F">
        <w:rPr>
          <w:sz w:val="26"/>
          <w:szCs w:val="26"/>
        </w:rPr>
        <w:t>.</w:t>
      </w:r>
      <w:r w:rsidR="00A1641A">
        <w:rPr>
          <w:sz w:val="26"/>
          <w:szCs w:val="26"/>
        </w:rPr>
        <w:t xml:space="preserve">  We adopt, in part, </w:t>
      </w:r>
      <w:r w:rsidR="007540CE">
        <w:rPr>
          <w:sz w:val="26"/>
          <w:szCs w:val="26"/>
        </w:rPr>
        <w:t xml:space="preserve">and reject, in part, </w:t>
      </w:r>
      <w:r w:rsidR="00A1641A">
        <w:rPr>
          <w:sz w:val="26"/>
          <w:szCs w:val="26"/>
        </w:rPr>
        <w:t>the recommendations of the ALJ</w:t>
      </w:r>
      <w:r w:rsidRPr="00506DE1">
        <w:rPr>
          <w:sz w:val="26"/>
          <w:szCs w:val="26"/>
        </w:rPr>
        <w:t xml:space="preserve"> </w:t>
      </w:r>
      <w:r w:rsidR="007540CE">
        <w:rPr>
          <w:sz w:val="26"/>
          <w:szCs w:val="26"/>
        </w:rPr>
        <w:t xml:space="preserve">and modify her Recommended Decision, consistent with this Opinion and Order; </w:t>
      </w:r>
      <w:r w:rsidR="004F1A21" w:rsidRPr="007540CE">
        <w:rPr>
          <w:b/>
          <w:sz w:val="26"/>
          <w:szCs w:val="26"/>
          <w:u w:val="single"/>
        </w:rPr>
        <w:fldChar w:fldCharType="begin"/>
      </w:r>
      <w:r w:rsidR="004F1A21" w:rsidRPr="007540CE">
        <w:rPr>
          <w:b/>
          <w:sz w:val="26"/>
          <w:szCs w:val="26"/>
        </w:rPr>
        <w:instrText xml:space="preserve"> TC "</w:instrText>
      </w:r>
      <w:bookmarkStart w:id="89" w:name="_Toc320265387"/>
      <w:r w:rsidR="004F1A21" w:rsidRPr="007540CE">
        <w:rPr>
          <w:b/>
          <w:sz w:val="26"/>
          <w:szCs w:val="26"/>
        </w:rPr>
        <w:instrText>V.</w:instrText>
      </w:r>
      <w:r w:rsidR="004F1A21" w:rsidRPr="007540CE">
        <w:rPr>
          <w:b/>
          <w:sz w:val="26"/>
          <w:szCs w:val="26"/>
        </w:rPr>
        <w:tab/>
      </w:r>
      <w:r w:rsidR="004F1A21" w:rsidRPr="007540CE">
        <w:rPr>
          <w:b/>
          <w:sz w:val="26"/>
          <w:szCs w:val="26"/>
          <w:u w:val="single"/>
        </w:rPr>
        <w:instrText>ORDER</w:instrText>
      </w:r>
      <w:bookmarkEnd w:id="89"/>
      <w:r w:rsidR="004F1A21" w:rsidRPr="007540CE">
        <w:rPr>
          <w:b/>
          <w:sz w:val="26"/>
          <w:szCs w:val="26"/>
        </w:rPr>
        <w:instrText xml:space="preserve">" \f C \l "1" </w:instrText>
      </w:r>
      <w:r w:rsidR="004F1A21" w:rsidRPr="007540CE">
        <w:rPr>
          <w:b/>
          <w:sz w:val="26"/>
          <w:szCs w:val="26"/>
          <w:u w:val="single"/>
        </w:rPr>
        <w:fldChar w:fldCharType="end"/>
      </w:r>
      <w:r w:rsidR="001A2D84" w:rsidRPr="007540CE">
        <w:rPr>
          <w:b/>
          <w:sz w:val="26"/>
          <w:szCs w:val="26"/>
        </w:rPr>
        <w:t>THEREFORE,</w:t>
      </w:r>
    </w:p>
    <w:p w:rsidR="00211136" w:rsidRPr="007540CE" w:rsidRDefault="00211136" w:rsidP="007540CE">
      <w:pPr>
        <w:autoSpaceDE/>
        <w:autoSpaceDN/>
        <w:rPr>
          <w:b/>
          <w:sz w:val="26"/>
          <w:szCs w:val="26"/>
        </w:rPr>
      </w:pPr>
    </w:p>
    <w:p w:rsidR="001A2D84" w:rsidRDefault="001A2D84" w:rsidP="001A2D84">
      <w:pPr>
        <w:rPr>
          <w:b/>
          <w:sz w:val="26"/>
          <w:szCs w:val="26"/>
        </w:rPr>
      </w:pPr>
      <w:r w:rsidRPr="00506DE1">
        <w:rPr>
          <w:sz w:val="26"/>
          <w:szCs w:val="26"/>
        </w:rPr>
        <w:tab/>
      </w:r>
      <w:r w:rsidRPr="00506DE1">
        <w:rPr>
          <w:sz w:val="26"/>
          <w:szCs w:val="26"/>
        </w:rPr>
        <w:tab/>
      </w:r>
      <w:r w:rsidR="007540CE" w:rsidRPr="007540CE">
        <w:rPr>
          <w:b/>
          <w:sz w:val="26"/>
          <w:szCs w:val="26"/>
        </w:rPr>
        <w:t>IT IS ORDER</w:t>
      </w:r>
      <w:r w:rsidRPr="007540CE">
        <w:rPr>
          <w:b/>
          <w:sz w:val="26"/>
          <w:szCs w:val="26"/>
        </w:rPr>
        <w:t>ED:</w:t>
      </w:r>
    </w:p>
    <w:p w:rsidR="007540CE" w:rsidRDefault="007540CE" w:rsidP="001A2D84">
      <w:pPr>
        <w:rPr>
          <w:b/>
          <w:sz w:val="26"/>
          <w:szCs w:val="26"/>
        </w:rPr>
      </w:pPr>
    </w:p>
    <w:p w:rsidR="00035BE2" w:rsidRDefault="007540CE" w:rsidP="00035BE2">
      <w:pPr>
        <w:contextualSpacing/>
        <w:rPr>
          <w:sz w:val="26"/>
          <w:szCs w:val="26"/>
        </w:rPr>
      </w:pPr>
      <w:r>
        <w:rPr>
          <w:b/>
          <w:sz w:val="26"/>
          <w:szCs w:val="26"/>
        </w:rPr>
        <w:tab/>
      </w:r>
      <w:r>
        <w:rPr>
          <w:b/>
          <w:sz w:val="26"/>
          <w:szCs w:val="26"/>
        </w:rPr>
        <w:tab/>
      </w:r>
      <w:r w:rsidRPr="007540CE">
        <w:rPr>
          <w:sz w:val="26"/>
          <w:szCs w:val="26"/>
        </w:rPr>
        <w:t>1.</w:t>
      </w:r>
      <w:r w:rsidRPr="007540CE">
        <w:rPr>
          <w:sz w:val="26"/>
          <w:szCs w:val="26"/>
        </w:rPr>
        <w:tab/>
        <w:t xml:space="preserve">That the Exceptions </w:t>
      </w:r>
      <w:r w:rsidR="00035BE2" w:rsidRPr="00BB5F01">
        <w:rPr>
          <w:sz w:val="26"/>
          <w:szCs w:val="26"/>
        </w:rPr>
        <w:t>filed by PPL</w:t>
      </w:r>
      <w:r w:rsidR="00035BE2">
        <w:rPr>
          <w:sz w:val="26"/>
          <w:szCs w:val="26"/>
        </w:rPr>
        <w:t xml:space="preserve"> Electric Utilities Corporation</w:t>
      </w:r>
      <w:r w:rsidR="00035BE2" w:rsidRPr="00BB5F01">
        <w:rPr>
          <w:sz w:val="26"/>
          <w:szCs w:val="26"/>
        </w:rPr>
        <w:t xml:space="preserve">, </w:t>
      </w:r>
      <w:r w:rsidR="00035BE2">
        <w:rPr>
          <w:sz w:val="26"/>
          <w:szCs w:val="26"/>
        </w:rPr>
        <w:t xml:space="preserve">the Bureau of Investigation and Enforcement, the Office of Consumer Advocate, the Office of Small Business Advocate, the Retail Energy Supply Association, Dominion Retail, Inc. and the PP&amp;L Industrial Customer Alliance </w:t>
      </w:r>
      <w:r w:rsidR="00035BE2" w:rsidRPr="00BB5F01">
        <w:rPr>
          <w:sz w:val="26"/>
          <w:szCs w:val="26"/>
        </w:rPr>
        <w:t>on April 24, 2012</w:t>
      </w:r>
      <w:r w:rsidR="00035BE2">
        <w:rPr>
          <w:sz w:val="26"/>
          <w:szCs w:val="26"/>
        </w:rPr>
        <w:t>, to the Recommended Decision of Administrative Law Judge Susan D. Colwell are granted or denied, consistent with this Opinion and Order</w:t>
      </w:r>
      <w:r w:rsidR="00035BE2" w:rsidRPr="00BB5F01">
        <w:rPr>
          <w:sz w:val="26"/>
          <w:szCs w:val="26"/>
        </w:rPr>
        <w:t xml:space="preserve">.  </w:t>
      </w:r>
    </w:p>
    <w:p w:rsidR="007540CE" w:rsidRPr="007540CE" w:rsidRDefault="007540CE" w:rsidP="001A2D84">
      <w:pPr>
        <w:rPr>
          <w:sz w:val="26"/>
          <w:szCs w:val="26"/>
        </w:rPr>
      </w:pPr>
    </w:p>
    <w:p w:rsidR="000A6807" w:rsidRDefault="001A2D84" w:rsidP="001A2D84">
      <w:pPr>
        <w:rPr>
          <w:sz w:val="26"/>
          <w:szCs w:val="26"/>
        </w:rPr>
      </w:pPr>
      <w:r w:rsidRPr="00506DE1">
        <w:rPr>
          <w:sz w:val="26"/>
          <w:szCs w:val="26"/>
        </w:rPr>
        <w:tab/>
      </w:r>
      <w:r w:rsidRPr="00506DE1">
        <w:rPr>
          <w:sz w:val="26"/>
          <w:szCs w:val="26"/>
        </w:rPr>
        <w:tab/>
      </w:r>
      <w:r w:rsidR="000A6807">
        <w:rPr>
          <w:sz w:val="26"/>
          <w:szCs w:val="26"/>
        </w:rPr>
        <w:t>2.</w:t>
      </w:r>
      <w:r w:rsidR="000A6807">
        <w:rPr>
          <w:sz w:val="26"/>
          <w:szCs w:val="26"/>
        </w:rPr>
        <w:tab/>
        <w:t xml:space="preserve">That the Recommended Decision of Administrative Law Judge Susan D. Colwell, issued </w:t>
      </w:r>
      <w:r w:rsidR="004620F9">
        <w:rPr>
          <w:sz w:val="26"/>
          <w:szCs w:val="26"/>
        </w:rPr>
        <w:t xml:space="preserve">on April 4, 2012, is </w:t>
      </w:r>
      <w:r w:rsidR="000A6807">
        <w:rPr>
          <w:sz w:val="26"/>
          <w:szCs w:val="26"/>
        </w:rPr>
        <w:t>modified, consistent with this Opinion and Order.</w:t>
      </w:r>
    </w:p>
    <w:p w:rsidR="00FB2722" w:rsidRDefault="00FB2722" w:rsidP="001A2D84">
      <w:pPr>
        <w:rPr>
          <w:sz w:val="26"/>
          <w:szCs w:val="26"/>
        </w:rPr>
      </w:pPr>
    </w:p>
    <w:p w:rsidR="00FB2722" w:rsidRDefault="00FB2722" w:rsidP="001A2D84">
      <w:pPr>
        <w:rPr>
          <w:sz w:val="26"/>
          <w:szCs w:val="26"/>
        </w:rPr>
      </w:pPr>
      <w:r>
        <w:rPr>
          <w:sz w:val="26"/>
          <w:szCs w:val="26"/>
        </w:rPr>
        <w:lastRenderedPageBreak/>
        <w:tab/>
      </w:r>
      <w:r>
        <w:rPr>
          <w:sz w:val="26"/>
          <w:szCs w:val="26"/>
        </w:rPr>
        <w:tab/>
        <w:t>3.</w:t>
      </w:r>
      <w:r>
        <w:rPr>
          <w:sz w:val="26"/>
          <w:szCs w:val="26"/>
        </w:rPr>
        <w:tab/>
        <w:t>That the request of PPL Electric utilities Corporation to implement the Competitive Transition Rider is denied, without prejudice.</w:t>
      </w:r>
    </w:p>
    <w:p w:rsidR="000A6807" w:rsidRDefault="000A6807" w:rsidP="001A2D84">
      <w:pPr>
        <w:rPr>
          <w:sz w:val="26"/>
          <w:szCs w:val="26"/>
        </w:rPr>
      </w:pPr>
    </w:p>
    <w:p w:rsidR="001A2D84" w:rsidRPr="00506DE1" w:rsidRDefault="00FB2722" w:rsidP="002932BF">
      <w:pPr>
        <w:ind w:firstLine="1440"/>
        <w:rPr>
          <w:sz w:val="26"/>
          <w:szCs w:val="26"/>
        </w:rPr>
      </w:pPr>
      <w:r>
        <w:rPr>
          <w:sz w:val="26"/>
          <w:szCs w:val="26"/>
        </w:rPr>
        <w:t>4</w:t>
      </w:r>
      <w:r w:rsidR="001A2D84" w:rsidRPr="00506DE1">
        <w:rPr>
          <w:sz w:val="26"/>
          <w:szCs w:val="26"/>
        </w:rPr>
        <w:t>.</w:t>
      </w:r>
      <w:r w:rsidR="001A2D84" w:rsidRPr="00506DE1">
        <w:rPr>
          <w:sz w:val="26"/>
          <w:szCs w:val="26"/>
        </w:rPr>
        <w:tab/>
        <w:t>That the Petition of PPL Electric Utilities Corporation for Approval to Implement a Reconciliation Rider for Default Service Supply</w:t>
      </w:r>
      <w:r w:rsidR="004620F9">
        <w:rPr>
          <w:sz w:val="26"/>
          <w:szCs w:val="26"/>
        </w:rPr>
        <w:t xml:space="preserve"> </w:t>
      </w:r>
      <w:r w:rsidR="007540CE">
        <w:rPr>
          <w:sz w:val="26"/>
          <w:szCs w:val="26"/>
        </w:rPr>
        <w:t xml:space="preserve">is </w:t>
      </w:r>
      <w:r w:rsidR="001A2D84" w:rsidRPr="00506DE1">
        <w:rPr>
          <w:sz w:val="26"/>
          <w:szCs w:val="26"/>
        </w:rPr>
        <w:t>denied</w:t>
      </w:r>
      <w:r w:rsidR="004620F9">
        <w:rPr>
          <w:sz w:val="26"/>
          <w:szCs w:val="26"/>
        </w:rPr>
        <w:t>, without prejudice</w:t>
      </w:r>
      <w:r w:rsidR="001A2D84" w:rsidRPr="00506DE1">
        <w:rPr>
          <w:sz w:val="26"/>
          <w:szCs w:val="26"/>
        </w:rPr>
        <w:t>.</w:t>
      </w:r>
    </w:p>
    <w:p w:rsidR="001A2D84" w:rsidRPr="00506DE1" w:rsidRDefault="001A2D84" w:rsidP="001A2D84">
      <w:pPr>
        <w:rPr>
          <w:sz w:val="26"/>
          <w:szCs w:val="26"/>
        </w:rPr>
      </w:pPr>
    </w:p>
    <w:p w:rsidR="001A2D84" w:rsidRPr="00506DE1" w:rsidRDefault="001A2D84" w:rsidP="001A2D84">
      <w:pPr>
        <w:rPr>
          <w:sz w:val="26"/>
          <w:szCs w:val="26"/>
        </w:rPr>
      </w:pPr>
      <w:r w:rsidRPr="00506DE1">
        <w:rPr>
          <w:sz w:val="26"/>
          <w:szCs w:val="26"/>
        </w:rPr>
        <w:tab/>
      </w:r>
      <w:r w:rsidRPr="00506DE1">
        <w:rPr>
          <w:sz w:val="26"/>
          <w:szCs w:val="26"/>
        </w:rPr>
        <w:tab/>
      </w:r>
      <w:r w:rsidR="00C82FEB">
        <w:rPr>
          <w:sz w:val="26"/>
          <w:szCs w:val="26"/>
        </w:rPr>
        <w:t>5</w:t>
      </w:r>
      <w:r w:rsidR="008248D6" w:rsidRPr="00506DE1">
        <w:rPr>
          <w:sz w:val="26"/>
          <w:szCs w:val="26"/>
        </w:rPr>
        <w:t>.</w:t>
      </w:r>
      <w:r w:rsidR="008248D6" w:rsidRPr="00506DE1">
        <w:rPr>
          <w:sz w:val="26"/>
          <w:szCs w:val="26"/>
        </w:rPr>
        <w:tab/>
      </w:r>
      <w:r w:rsidRPr="00506DE1">
        <w:rPr>
          <w:sz w:val="26"/>
          <w:szCs w:val="26"/>
        </w:rPr>
        <w:t xml:space="preserve">That the issue of whether the Residential and Small C&amp;I TOU program over and under collections </w:t>
      </w:r>
      <w:r w:rsidR="004620F9">
        <w:rPr>
          <w:sz w:val="26"/>
          <w:szCs w:val="26"/>
        </w:rPr>
        <w:t>we</w:t>
      </w:r>
      <w:r w:rsidR="008172EA" w:rsidRPr="00506DE1">
        <w:rPr>
          <w:sz w:val="26"/>
          <w:szCs w:val="26"/>
        </w:rPr>
        <w:t xml:space="preserve">re reasonably incurred </w:t>
      </w:r>
      <w:r w:rsidR="00A17A00" w:rsidRPr="00506DE1">
        <w:rPr>
          <w:sz w:val="26"/>
          <w:szCs w:val="26"/>
        </w:rPr>
        <w:t xml:space="preserve">is </w:t>
      </w:r>
      <w:r w:rsidRPr="00506DE1">
        <w:rPr>
          <w:sz w:val="26"/>
          <w:szCs w:val="26"/>
        </w:rPr>
        <w:t xml:space="preserve">deferred to the proceeding </w:t>
      </w:r>
      <w:r w:rsidR="004620F9">
        <w:rPr>
          <w:sz w:val="26"/>
          <w:szCs w:val="26"/>
        </w:rPr>
        <w:t xml:space="preserve">at </w:t>
      </w:r>
      <w:r w:rsidR="00BB29F5">
        <w:rPr>
          <w:i/>
          <w:sz w:val="26"/>
          <w:szCs w:val="26"/>
        </w:rPr>
        <w:t>Pa. PU</w:t>
      </w:r>
      <w:r w:rsidRPr="00506DE1">
        <w:rPr>
          <w:i/>
          <w:sz w:val="26"/>
          <w:szCs w:val="26"/>
        </w:rPr>
        <w:t>C v. PPL Electric Utilities Corporation, Supplement No. 110 to</w:t>
      </w:r>
      <w:r w:rsidR="004620F9">
        <w:rPr>
          <w:i/>
          <w:sz w:val="26"/>
          <w:szCs w:val="26"/>
        </w:rPr>
        <w:t xml:space="preserve"> Tariff Electric – PA. P.U.C. No</w:t>
      </w:r>
      <w:r w:rsidRPr="00506DE1">
        <w:rPr>
          <w:i/>
          <w:sz w:val="26"/>
          <w:szCs w:val="26"/>
        </w:rPr>
        <w:t xml:space="preserve">. 201 Time of Use Program, </w:t>
      </w:r>
      <w:r w:rsidRPr="00506DE1">
        <w:rPr>
          <w:sz w:val="26"/>
          <w:szCs w:val="26"/>
        </w:rPr>
        <w:t xml:space="preserve">R-2011-2264771, and its attendant complaints.  </w:t>
      </w:r>
    </w:p>
    <w:p w:rsidR="008248D6" w:rsidRPr="00506DE1" w:rsidRDefault="008248D6" w:rsidP="001A2D84">
      <w:pPr>
        <w:rPr>
          <w:sz w:val="26"/>
          <w:szCs w:val="26"/>
        </w:rPr>
      </w:pPr>
    </w:p>
    <w:p w:rsidR="00A17A00" w:rsidRPr="00506DE1" w:rsidRDefault="00A17A00" w:rsidP="001A2D84">
      <w:pPr>
        <w:rPr>
          <w:sz w:val="26"/>
          <w:szCs w:val="26"/>
        </w:rPr>
      </w:pPr>
      <w:r w:rsidRPr="00506DE1">
        <w:rPr>
          <w:sz w:val="26"/>
          <w:szCs w:val="26"/>
        </w:rPr>
        <w:tab/>
      </w:r>
      <w:r w:rsidRPr="00506DE1">
        <w:rPr>
          <w:sz w:val="26"/>
          <w:szCs w:val="26"/>
        </w:rPr>
        <w:tab/>
      </w:r>
      <w:r w:rsidR="00C82FEB">
        <w:rPr>
          <w:sz w:val="26"/>
          <w:szCs w:val="26"/>
        </w:rPr>
        <w:t>6</w:t>
      </w:r>
      <w:r w:rsidRPr="00506DE1">
        <w:rPr>
          <w:sz w:val="26"/>
          <w:szCs w:val="26"/>
        </w:rPr>
        <w:t>.</w:t>
      </w:r>
      <w:r w:rsidRPr="00506DE1">
        <w:rPr>
          <w:sz w:val="26"/>
          <w:szCs w:val="26"/>
        </w:rPr>
        <w:tab/>
        <w:t xml:space="preserve">That the proposal to include </w:t>
      </w:r>
      <w:r w:rsidR="00EA42DF" w:rsidRPr="00506DE1">
        <w:rPr>
          <w:sz w:val="26"/>
          <w:szCs w:val="26"/>
        </w:rPr>
        <w:t xml:space="preserve">the Time of Use </w:t>
      </w:r>
      <w:r w:rsidR="007D5345" w:rsidRPr="00506DE1">
        <w:rPr>
          <w:sz w:val="26"/>
          <w:szCs w:val="26"/>
        </w:rPr>
        <w:t>under collection</w:t>
      </w:r>
      <w:r w:rsidR="00EA42DF" w:rsidRPr="00506DE1">
        <w:rPr>
          <w:sz w:val="26"/>
          <w:szCs w:val="26"/>
        </w:rPr>
        <w:t xml:space="preserve"> amount </w:t>
      </w:r>
      <w:r w:rsidRPr="00506DE1">
        <w:rPr>
          <w:sz w:val="26"/>
          <w:szCs w:val="26"/>
        </w:rPr>
        <w:t>in the Reconciliation Rider</w:t>
      </w:r>
      <w:r w:rsidR="00EA42DF" w:rsidRPr="00506DE1">
        <w:rPr>
          <w:sz w:val="26"/>
          <w:szCs w:val="26"/>
        </w:rPr>
        <w:t xml:space="preserve"> </w:t>
      </w:r>
      <w:r w:rsidRPr="00506DE1">
        <w:rPr>
          <w:sz w:val="26"/>
          <w:szCs w:val="26"/>
        </w:rPr>
        <w:t>rates applicable to the respective Residential and Small C&amp;I customer classes</w:t>
      </w:r>
      <w:r w:rsidR="00EA42DF" w:rsidRPr="00506DE1">
        <w:rPr>
          <w:sz w:val="26"/>
          <w:szCs w:val="26"/>
        </w:rPr>
        <w:t xml:space="preserve">, </w:t>
      </w:r>
      <w:r w:rsidR="002932BF">
        <w:rPr>
          <w:sz w:val="26"/>
          <w:szCs w:val="26"/>
        </w:rPr>
        <w:t>is dismissed</w:t>
      </w:r>
      <w:r w:rsidR="00BB29F5">
        <w:rPr>
          <w:sz w:val="26"/>
          <w:szCs w:val="26"/>
        </w:rPr>
        <w:t xml:space="preserve"> as moot.</w:t>
      </w:r>
      <w:r w:rsidR="002932BF">
        <w:rPr>
          <w:sz w:val="26"/>
          <w:szCs w:val="26"/>
        </w:rPr>
        <w:t xml:space="preserve"> </w:t>
      </w:r>
    </w:p>
    <w:p w:rsidR="008248D6" w:rsidRPr="00506DE1" w:rsidRDefault="008248D6" w:rsidP="008248D6">
      <w:pPr>
        <w:rPr>
          <w:sz w:val="26"/>
          <w:szCs w:val="26"/>
        </w:rPr>
      </w:pPr>
    </w:p>
    <w:p w:rsidR="00A02290" w:rsidRDefault="00A17A00" w:rsidP="00EA42DF">
      <w:pPr>
        <w:rPr>
          <w:sz w:val="26"/>
          <w:szCs w:val="26"/>
        </w:rPr>
      </w:pPr>
      <w:r w:rsidRPr="00506DE1">
        <w:rPr>
          <w:sz w:val="26"/>
          <w:szCs w:val="26"/>
        </w:rPr>
        <w:tab/>
      </w:r>
      <w:r w:rsidRPr="00506DE1">
        <w:rPr>
          <w:sz w:val="26"/>
          <w:szCs w:val="26"/>
        </w:rPr>
        <w:tab/>
      </w:r>
      <w:r w:rsidR="00211136">
        <w:rPr>
          <w:sz w:val="26"/>
          <w:szCs w:val="26"/>
        </w:rPr>
        <w:t>7</w:t>
      </w:r>
      <w:r w:rsidR="008248D6" w:rsidRPr="00506DE1">
        <w:rPr>
          <w:sz w:val="26"/>
          <w:szCs w:val="26"/>
        </w:rPr>
        <w:t>.</w:t>
      </w:r>
      <w:r w:rsidR="008248D6" w:rsidRPr="00506DE1">
        <w:rPr>
          <w:sz w:val="26"/>
          <w:szCs w:val="26"/>
        </w:rPr>
        <w:tab/>
      </w:r>
      <w:r w:rsidR="00E75189" w:rsidRPr="00506DE1">
        <w:rPr>
          <w:sz w:val="26"/>
          <w:szCs w:val="26"/>
        </w:rPr>
        <w:t>That PPL Electric Utilities Corporation</w:t>
      </w:r>
      <w:r w:rsidR="000964BB">
        <w:rPr>
          <w:sz w:val="26"/>
          <w:szCs w:val="26"/>
        </w:rPr>
        <w:t>’</w:t>
      </w:r>
      <w:r w:rsidR="007F40CC" w:rsidRPr="00506DE1">
        <w:rPr>
          <w:sz w:val="26"/>
          <w:szCs w:val="26"/>
        </w:rPr>
        <w:t>s request to net</w:t>
      </w:r>
      <w:r w:rsidR="00E75189" w:rsidRPr="00506DE1">
        <w:rPr>
          <w:sz w:val="26"/>
          <w:szCs w:val="26"/>
        </w:rPr>
        <w:t xml:space="preserve"> the over and under collections of the respective Generation Supply Charge-1 and Generation Supply Charge-2 with the Transition Service Charge reconciliations for each customer class</w:t>
      </w:r>
      <w:r w:rsidR="007F40CC" w:rsidRPr="00506DE1">
        <w:rPr>
          <w:sz w:val="26"/>
          <w:szCs w:val="26"/>
        </w:rPr>
        <w:t xml:space="preserve"> is deferred until the resolution of </w:t>
      </w:r>
      <w:r w:rsidR="007F40CC" w:rsidRPr="00506DE1">
        <w:rPr>
          <w:i/>
          <w:sz w:val="26"/>
          <w:szCs w:val="26"/>
        </w:rPr>
        <w:t>PPL Electric Utilities Corporation Proposed Transmission Service Charge Reconciliation for the Twelve Months Ending November 30, 2010</w:t>
      </w:r>
      <w:r w:rsidR="007F40CC" w:rsidRPr="00506DE1">
        <w:rPr>
          <w:sz w:val="26"/>
          <w:szCs w:val="26"/>
        </w:rPr>
        <w:t>, Docket No. M-2010-2213754, Order entered May 19, 2011</w:t>
      </w:r>
      <w:r w:rsidR="00C855B0">
        <w:rPr>
          <w:sz w:val="26"/>
          <w:szCs w:val="26"/>
        </w:rPr>
        <w:t>.</w:t>
      </w:r>
    </w:p>
    <w:p w:rsidR="00BB29F5" w:rsidRDefault="00BB29F5" w:rsidP="00EA42DF">
      <w:pPr>
        <w:rPr>
          <w:sz w:val="26"/>
          <w:szCs w:val="26"/>
        </w:rPr>
      </w:pPr>
    </w:p>
    <w:p w:rsidR="00211136" w:rsidRDefault="00211136">
      <w:pPr>
        <w:autoSpaceDE/>
        <w:autoSpaceDN/>
        <w:jc w:val="center"/>
        <w:rPr>
          <w:sz w:val="26"/>
          <w:szCs w:val="26"/>
        </w:rPr>
      </w:pPr>
      <w:r>
        <w:rPr>
          <w:sz w:val="26"/>
          <w:szCs w:val="26"/>
        </w:rPr>
        <w:br w:type="page"/>
      </w:r>
    </w:p>
    <w:p w:rsidR="00EA42DF" w:rsidRDefault="00A02290" w:rsidP="00EA42DF">
      <w:pPr>
        <w:rPr>
          <w:sz w:val="26"/>
          <w:szCs w:val="26"/>
        </w:rPr>
      </w:pPr>
      <w:r>
        <w:rPr>
          <w:sz w:val="26"/>
          <w:szCs w:val="26"/>
        </w:rPr>
        <w:lastRenderedPageBreak/>
        <w:tab/>
      </w:r>
      <w:r>
        <w:rPr>
          <w:sz w:val="26"/>
          <w:szCs w:val="26"/>
        </w:rPr>
        <w:tab/>
      </w:r>
      <w:r w:rsidR="00211136">
        <w:rPr>
          <w:sz w:val="26"/>
          <w:szCs w:val="26"/>
        </w:rPr>
        <w:t>8</w:t>
      </w:r>
      <w:r>
        <w:rPr>
          <w:sz w:val="26"/>
          <w:szCs w:val="26"/>
        </w:rPr>
        <w:t>.</w:t>
      </w:r>
      <w:r>
        <w:rPr>
          <w:sz w:val="26"/>
          <w:szCs w:val="26"/>
        </w:rPr>
        <w:tab/>
        <w:t>That the record at Docket No. P-2011-2256365 shall be marked closed.</w:t>
      </w:r>
    </w:p>
    <w:p w:rsidR="00BB29F5" w:rsidRPr="00506DE1" w:rsidRDefault="00BB29F5" w:rsidP="00EA42DF">
      <w:pPr>
        <w:rPr>
          <w:sz w:val="26"/>
          <w:szCs w:val="26"/>
        </w:rPr>
      </w:pPr>
    </w:p>
    <w:p w:rsidR="00373104" w:rsidRPr="00246529" w:rsidRDefault="00905934" w:rsidP="00373104">
      <w:pPr>
        <w:pStyle w:val="BodyText2"/>
        <w:spacing w:line="360" w:lineRule="auto"/>
        <w:rPr>
          <w:b/>
          <w:sz w:val="26"/>
          <w:szCs w:val="26"/>
        </w:rPr>
      </w:pPr>
      <w:bookmarkStart w:id="90" w:name="_GoBack"/>
      <w:r w:rsidRPr="00A14635">
        <w:rPr>
          <w:noProof/>
        </w:rPr>
        <w:drawing>
          <wp:anchor distT="0" distB="0" distL="114300" distR="114300" simplePos="0" relativeHeight="251659264" behindDoc="1" locked="0" layoutInCell="1" allowOverlap="1" wp14:anchorId="0206BFCC" wp14:editId="57F8A4D6">
            <wp:simplePos x="0" y="0"/>
            <wp:positionH relativeFrom="column">
              <wp:posOffset>3318510</wp:posOffset>
            </wp:positionH>
            <wp:positionV relativeFrom="paragraph">
              <wp:posOffset>212725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90"/>
      <w:r w:rsidR="00373104" w:rsidRPr="00246529">
        <w:rPr>
          <w:sz w:val="26"/>
          <w:szCs w:val="26"/>
        </w:rPr>
        <w:tab/>
      </w:r>
      <w:r w:rsidR="00373104" w:rsidRPr="00246529">
        <w:rPr>
          <w:sz w:val="26"/>
          <w:szCs w:val="26"/>
        </w:rPr>
        <w:tab/>
      </w:r>
      <w:r w:rsidR="00373104" w:rsidRPr="00246529">
        <w:rPr>
          <w:sz w:val="26"/>
          <w:szCs w:val="26"/>
        </w:rPr>
        <w:tab/>
      </w:r>
      <w:r w:rsidR="00373104">
        <w:rPr>
          <w:sz w:val="26"/>
          <w:szCs w:val="26"/>
        </w:rPr>
        <w:tab/>
      </w:r>
      <w:r w:rsidR="00373104">
        <w:rPr>
          <w:sz w:val="26"/>
          <w:szCs w:val="26"/>
        </w:rPr>
        <w:tab/>
      </w:r>
      <w:r w:rsidR="00373104">
        <w:rPr>
          <w:sz w:val="26"/>
          <w:szCs w:val="26"/>
        </w:rPr>
        <w:tab/>
      </w:r>
      <w:r w:rsidR="00373104">
        <w:rPr>
          <w:sz w:val="26"/>
          <w:szCs w:val="26"/>
        </w:rPr>
        <w:tab/>
      </w:r>
      <w:r w:rsidR="00373104">
        <w:rPr>
          <w:sz w:val="26"/>
          <w:szCs w:val="26"/>
        </w:rPr>
        <w:tab/>
      </w:r>
      <w:r w:rsidR="00373104" w:rsidRPr="00246529">
        <w:rPr>
          <w:b/>
          <w:sz w:val="26"/>
          <w:szCs w:val="26"/>
        </w:rPr>
        <w:t>BY THE COMMISSION</w:t>
      </w:r>
      <w:r w:rsidR="00520A9D">
        <w:rPr>
          <w:b/>
          <w:sz w:val="26"/>
          <w:szCs w:val="26"/>
        </w:rPr>
        <w:t>,</w:t>
      </w:r>
    </w:p>
    <w:p w:rsidR="00373104" w:rsidRDefault="00373104" w:rsidP="00373104">
      <w:pPr>
        <w:pStyle w:val="BodyText2"/>
        <w:spacing w:line="360" w:lineRule="auto"/>
        <w:rPr>
          <w:b/>
          <w:sz w:val="26"/>
          <w:szCs w:val="26"/>
        </w:rPr>
      </w:pPr>
    </w:p>
    <w:p w:rsidR="00211136" w:rsidRPr="00246529" w:rsidRDefault="00211136" w:rsidP="00373104">
      <w:pPr>
        <w:pStyle w:val="BodyText2"/>
        <w:spacing w:line="360" w:lineRule="auto"/>
        <w:rPr>
          <w:b/>
          <w:sz w:val="26"/>
          <w:szCs w:val="26"/>
        </w:rPr>
      </w:pPr>
    </w:p>
    <w:p w:rsidR="00373104" w:rsidRPr="00246529" w:rsidRDefault="00373104" w:rsidP="00211136">
      <w:pPr>
        <w:pStyle w:val="BodyText2"/>
        <w:spacing w:after="0" w:line="240" w:lineRule="auto"/>
        <w:rPr>
          <w:sz w:val="26"/>
          <w:szCs w:val="26"/>
        </w:rPr>
      </w:pP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t>Rosemary Chiavetta</w:t>
      </w:r>
    </w:p>
    <w:p w:rsidR="00D94A5B" w:rsidRDefault="00373104" w:rsidP="00211136">
      <w:pPr>
        <w:pStyle w:val="BodyText2"/>
        <w:spacing w:after="0" w:line="240" w:lineRule="auto"/>
        <w:rPr>
          <w:sz w:val="26"/>
          <w:szCs w:val="26"/>
        </w:rPr>
      </w:pP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Pr="00246529">
        <w:rPr>
          <w:sz w:val="26"/>
          <w:szCs w:val="26"/>
        </w:rPr>
        <w:tab/>
      </w:r>
      <w:r w:rsidR="00D94A5B">
        <w:rPr>
          <w:sz w:val="26"/>
          <w:szCs w:val="26"/>
        </w:rPr>
        <w:t>Secretary</w:t>
      </w:r>
    </w:p>
    <w:p w:rsidR="00211136" w:rsidRDefault="00211136" w:rsidP="00211136">
      <w:pPr>
        <w:pStyle w:val="BodyText2"/>
        <w:spacing w:line="240" w:lineRule="auto"/>
        <w:rPr>
          <w:sz w:val="26"/>
          <w:szCs w:val="26"/>
        </w:rPr>
      </w:pPr>
    </w:p>
    <w:p w:rsidR="00520A9D" w:rsidRDefault="00520A9D" w:rsidP="00211136">
      <w:pPr>
        <w:pStyle w:val="BodyText2"/>
        <w:spacing w:line="240" w:lineRule="auto"/>
        <w:rPr>
          <w:sz w:val="26"/>
          <w:szCs w:val="26"/>
        </w:rPr>
      </w:pPr>
    </w:p>
    <w:p w:rsidR="00373104" w:rsidRDefault="00373104" w:rsidP="00211136">
      <w:pPr>
        <w:pStyle w:val="BodyText2"/>
        <w:spacing w:line="240" w:lineRule="auto"/>
        <w:rPr>
          <w:sz w:val="26"/>
          <w:szCs w:val="26"/>
        </w:rPr>
      </w:pPr>
      <w:r w:rsidRPr="00246529">
        <w:rPr>
          <w:sz w:val="26"/>
          <w:szCs w:val="26"/>
        </w:rPr>
        <w:t>(SEAL)</w:t>
      </w:r>
    </w:p>
    <w:p w:rsidR="00211136" w:rsidRPr="00246529" w:rsidRDefault="00211136" w:rsidP="00211136">
      <w:pPr>
        <w:pStyle w:val="BodyText2"/>
        <w:spacing w:line="240" w:lineRule="auto"/>
        <w:rPr>
          <w:sz w:val="26"/>
          <w:szCs w:val="26"/>
        </w:rPr>
      </w:pPr>
    </w:p>
    <w:p w:rsidR="00373104" w:rsidRDefault="00373104" w:rsidP="00373104">
      <w:pPr>
        <w:pStyle w:val="BodyText2"/>
        <w:spacing w:line="240" w:lineRule="auto"/>
        <w:ind w:hanging="86"/>
        <w:rPr>
          <w:sz w:val="26"/>
          <w:szCs w:val="26"/>
        </w:rPr>
      </w:pPr>
      <w:r w:rsidRPr="00246529">
        <w:rPr>
          <w:sz w:val="26"/>
          <w:szCs w:val="26"/>
        </w:rPr>
        <w:t>ORDER ADOPTED:  July 19, 2012</w:t>
      </w:r>
    </w:p>
    <w:p w:rsidR="00C04960" w:rsidRPr="00506DE1" w:rsidRDefault="00373104" w:rsidP="00D81F98">
      <w:pPr>
        <w:pStyle w:val="BodyText2"/>
        <w:spacing w:line="240" w:lineRule="auto"/>
        <w:ind w:hanging="86"/>
        <w:rPr>
          <w:sz w:val="26"/>
          <w:szCs w:val="26"/>
        </w:rPr>
      </w:pPr>
      <w:r w:rsidRPr="00246529">
        <w:rPr>
          <w:sz w:val="26"/>
          <w:szCs w:val="26"/>
        </w:rPr>
        <w:t>ORDER ENTERED:</w:t>
      </w:r>
      <w:r w:rsidR="00905934">
        <w:rPr>
          <w:sz w:val="26"/>
          <w:szCs w:val="26"/>
        </w:rPr>
        <w:t xml:space="preserve">  July 19, 2012</w:t>
      </w:r>
    </w:p>
    <w:sectPr w:rsidR="00C04960" w:rsidRPr="00506DE1" w:rsidSect="00BC146A">
      <w:footerReference w:type="default" r:id="rId18"/>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3C" w:rsidRDefault="0046193C" w:rsidP="00E7599F">
      <w:pPr>
        <w:spacing w:line="240" w:lineRule="auto"/>
      </w:pPr>
      <w:r>
        <w:separator/>
      </w:r>
    </w:p>
  </w:endnote>
  <w:endnote w:type="continuationSeparator" w:id="0">
    <w:p w:rsidR="0046193C" w:rsidRDefault="0046193C" w:rsidP="00E75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55709938"/>
      <w:docPartObj>
        <w:docPartGallery w:val="Page Numbers (Bottom of Page)"/>
        <w:docPartUnique/>
      </w:docPartObj>
    </w:sdtPr>
    <w:sdtEndPr>
      <w:rPr>
        <w:noProof/>
      </w:rPr>
    </w:sdtEndPr>
    <w:sdtContent>
      <w:p w:rsidR="00BC146A" w:rsidRPr="007C4E34" w:rsidRDefault="00BC146A" w:rsidP="007C4E34">
        <w:pPr>
          <w:pStyle w:val="Footer"/>
          <w:jc w:val="center"/>
          <w:rPr>
            <w:sz w:val="20"/>
          </w:rPr>
        </w:pPr>
        <w:r w:rsidRPr="007C4E34">
          <w:rPr>
            <w:sz w:val="20"/>
          </w:rPr>
          <w:fldChar w:fldCharType="begin"/>
        </w:r>
        <w:r w:rsidRPr="007C4E34">
          <w:rPr>
            <w:sz w:val="20"/>
          </w:rPr>
          <w:instrText xml:space="preserve"> PAGE   \* MERGEFORMAT </w:instrText>
        </w:r>
        <w:r w:rsidRPr="007C4E34">
          <w:rPr>
            <w:sz w:val="20"/>
          </w:rPr>
          <w:fldChar w:fldCharType="separate"/>
        </w:r>
        <w:r w:rsidR="00905934">
          <w:rPr>
            <w:noProof/>
            <w:sz w:val="20"/>
          </w:rPr>
          <w:t>ii</w:t>
        </w:r>
        <w:r w:rsidRPr="007C4E34">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6A" w:rsidRPr="00385ED0" w:rsidRDefault="00BC146A" w:rsidP="00385ED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0979"/>
      <w:docPartObj>
        <w:docPartGallery w:val="Page Numbers (Bottom of Page)"/>
        <w:docPartUnique/>
      </w:docPartObj>
    </w:sdtPr>
    <w:sdtEndPr>
      <w:rPr>
        <w:noProof/>
      </w:rPr>
    </w:sdtEndPr>
    <w:sdtContent>
      <w:p w:rsidR="00BC146A" w:rsidRPr="00487E4E" w:rsidRDefault="00BC146A" w:rsidP="00487E4E">
        <w:pPr>
          <w:pStyle w:val="Footer"/>
          <w:jc w:val="center"/>
        </w:pPr>
        <w:r>
          <w:fldChar w:fldCharType="begin"/>
        </w:r>
        <w:r>
          <w:instrText xml:space="preserve"> PAGE   \* MERGEFORMAT </w:instrText>
        </w:r>
        <w:r>
          <w:fldChar w:fldCharType="separate"/>
        </w:r>
        <w:r w:rsidR="00905934">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6A" w:rsidRPr="007C4E34" w:rsidRDefault="00BC146A" w:rsidP="007C4E34">
    <w:pPr>
      <w:pStyle w:val="Foote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8193"/>
      <w:docPartObj>
        <w:docPartGallery w:val="Page Numbers (Bottom of Page)"/>
        <w:docPartUnique/>
      </w:docPartObj>
    </w:sdtPr>
    <w:sdtEndPr>
      <w:rPr>
        <w:noProof/>
        <w:sz w:val="20"/>
      </w:rPr>
    </w:sdtEndPr>
    <w:sdtContent>
      <w:p w:rsidR="00BC146A" w:rsidRPr="00487E4E" w:rsidRDefault="00BC146A">
        <w:pPr>
          <w:pStyle w:val="Footer"/>
          <w:jc w:val="center"/>
          <w:rPr>
            <w:sz w:val="20"/>
          </w:rPr>
        </w:pPr>
        <w:r w:rsidRPr="00487E4E">
          <w:rPr>
            <w:sz w:val="20"/>
          </w:rPr>
          <w:fldChar w:fldCharType="begin"/>
        </w:r>
        <w:r w:rsidRPr="00487E4E">
          <w:rPr>
            <w:sz w:val="20"/>
          </w:rPr>
          <w:instrText xml:space="preserve"> PAGE   \* MERGEFORMAT </w:instrText>
        </w:r>
        <w:r w:rsidRPr="00487E4E">
          <w:rPr>
            <w:sz w:val="20"/>
          </w:rPr>
          <w:fldChar w:fldCharType="separate"/>
        </w:r>
        <w:r>
          <w:rPr>
            <w:noProof/>
            <w:sz w:val="20"/>
          </w:rPr>
          <w:t>1</w:t>
        </w:r>
        <w:r w:rsidRPr="00487E4E">
          <w:rPr>
            <w:noProof/>
            <w:sz w:val="20"/>
          </w:rPr>
          <w:fldChar w:fldCharType="end"/>
        </w:r>
      </w:p>
    </w:sdtContent>
  </w:sdt>
  <w:p w:rsidR="00BC146A" w:rsidRPr="00385ED0" w:rsidRDefault="00BC146A" w:rsidP="00487E4E">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10786"/>
      <w:docPartObj>
        <w:docPartGallery w:val="Page Numbers (Bottom of Page)"/>
        <w:docPartUnique/>
      </w:docPartObj>
    </w:sdtPr>
    <w:sdtEndPr>
      <w:rPr>
        <w:noProof/>
        <w:sz w:val="26"/>
        <w:szCs w:val="26"/>
      </w:rPr>
    </w:sdtEndPr>
    <w:sdtContent>
      <w:p w:rsidR="00BC146A" w:rsidRPr="00BC146A" w:rsidRDefault="00BC146A">
        <w:pPr>
          <w:pStyle w:val="Footer"/>
          <w:jc w:val="center"/>
          <w:rPr>
            <w:sz w:val="26"/>
            <w:szCs w:val="26"/>
          </w:rPr>
        </w:pPr>
        <w:r w:rsidRPr="00BC146A">
          <w:rPr>
            <w:sz w:val="26"/>
            <w:szCs w:val="26"/>
          </w:rPr>
          <w:fldChar w:fldCharType="begin"/>
        </w:r>
        <w:r w:rsidRPr="00BC146A">
          <w:rPr>
            <w:sz w:val="26"/>
            <w:szCs w:val="26"/>
          </w:rPr>
          <w:instrText xml:space="preserve"> PAGE   \* MERGEFORMAT </w:instrText>
        </w:r>
        <w:r w:rsidRPr="00BC146A">
          <w:rPr>
            <w:sz w:val="26"/>
            <w:szCs w:val="26"/>
          </w:rPr>
          <w:fldChar w:fldCharType="separate"/>
        </w:r>
        <w:r w:rsidR="00905934">
          <w:rPr>
            <w:noProof/>
            <w:sz w:val="26"/>
            <w:szCs w:val="26"/>
          </w:rPr>
          <w:t>52</w:t>
        </w:r>
        <w:r w:rsidRPr="00BC146A">
          <w:rPr>
            <w:noProof/>
            <w:sz w:val="26"/>
            <w:szCs w:val="26"/>
          </w:rPr>
          <w:fldChar w:fldCharType="end"/>
        </w:r>
      </w:p>
    </w:sdtContent>
  </w:sdt>
  <w:p w:rsidR="00BC146A" w:rsidRPr="007C4E34" w:rsidRDefault="00BC146A" w:rsidP="007C4E34">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3C" w:rsidRDefault="0046193C" w:rsidP="00E7599F">
      <w:pPr>
        <w:spacing w:line="240" w:lineRule="auto"/>
      </w:pPr>
      <w:r>
        <w:separator/>
      </w:r>
    </w:p>
  </w:footnote>
  <w:footnote w:type="continuationSeparator" w:id="0">
    <w:p w:rsidR="0046193C" w:rsidRDefault="0046193C" w:rsidP="00E7599F">
      <w:pPr>
        <w:spacing w:line="240" w:lineRule="auto"/>
      </w:pPr>
      <w:r>
        <w:continuationSeparator/>
      </w:r>
    </w:p>
  </w:footnote>
  <w:footnote w:id="1">
    <w:p w:rsidR="00BC146A" w:rsidRPr="005D6F28" w:rsidRDefault="00BC146A" w:rsidP="007B3469">
      <w:pPr>
        <w:pStyle w:val="FootnoteText"/>
        <w:ind w:firstLine="720"/>
        <w:rPr>
          <w:sz w:val="26"/>
          <w:szCs w:val="26"/>
        </w:rPr>
      </w:pPr>
      <w:r w:rsidRPr="005D6F28">
        <w:rPr>
          <w:rStyle w:val="FootnoteReference"/>
          <w:sz w:val="26"/>
          <w:szCs w:val="26"/>
        </w:rPr>
        <w:footnoteRef/>
      </w:r>
      <w:r>
        <w:rPr>
          <w:sz w:val="26"/>
          <w:szCs w:val="26"/>
        </w:rPr>
        <w:t xml:space="preserve"> </w:t>
      </w:r>
      <w:r>
        <w:rPr>
          <w:sz w:val="26"/>
          <w:szCs w:val="26"/>
        </w:rPr>
        <w:tab/>
        <w:t>For a full and complete history, please refer to the Recommended Decision at 1-3.</w:t>
      </w:r>
      <w:r w:rsidRPr="005D6F28">
        <w:rPr>
          <w:sz w:val="26"/>
          <w:szCs w:val="26"/>
        </w:rPr>
        <w:t xml:space="preserve"> </w:t>
      </w:r>
    </w:p>
  </w:footnote>
  <w:footnote w:id="2">
    <w:p w:rsidR="00BC146A" w:rsidRPr="004B6BEB" w:rsidRDefault="00BC146A" w:rsidP="004B6BEB">
      <w:pPr>
        <w:pStyle w:val="FootnoteText"/>
        <w:ind w:firstLine="720"/>
        <w:rPr>
          <w:sz w:val="26"/>
          <w:szCs w:val="26"/>
        </w:rPr>
      </w:pPr>
      <w:r w:rsidRPr="004B6BEB">
        <w:rPr>
          <w:rStyle w:val="FootnoteReference"/>
          <w:sz w:val="26"/>
          <w:szCs w:val="26"/>
        </w:rPr>
        <w:footnoteRef/>
      </w:r>
      <w:r w:rsidRPr="004B6BEB">
        <w:rPr>
          <w:sz w:val="26"/>
          <w:szCs w:val="26"/>
        </w:rPr>
        <w:tab/>
        <w:t>Although the Wal</w:t>
      </w:r>
      <w:r>
        <w:rPr>
          <w:sz w:val="26"/>
          <w:szCs w:val="26"/>
        </w:rPr>
        <w:t>-M</w:t>
      </w:r>
      <w:r w:rsidRPr="004B6BEB">
        <w:rPr>
          <w:sz w:val="26"/>
          <w:szCs w:val="26"/>
        </w:rPr>
        <w:t xml:space="preserve">art petition was filed after the deadline, it </w:t>
      </w:r>
      <w:r w:rsidRPr="00535C66">
        <w:rPr>
          <w:sz w:val="26"/>
          <w:szCs w:val="26"/>
        </w:rPr>
        <w:t>was not opposed</w:t>
      </w:r>
      <w:r>
        <w:rPr>
          <w:sz w:val="26"/>
          <w:szCs w:val="26"/>
        </w:rPr>
        <w:t xml:space="preserve">, it </w:t>
      </w:r>
      <w:r w:rsidRPr="004B6BEB">
        <w:rPr>
          <w:sz w:val="26"/>
          <w:szCs w:val="26"/>
        </w:rPr>
        <w:t xml:space="preserve">contained the appropriate discussion regarding late-filed interventions, </w:t>
      </w:r>
      <w:r>
        <w:rPr>
          <w:sz w:val="26"/>
          <w:szCs w:val="26"/>
        </w:rPr>
        <w:t xml:space="preserve">and it </w:t>
      </w:r>
      <w:r w:rsidRPr="004B6BEB">
        <w:rPr>
          <w:sz w:val="26"/>
          <w:szCs w:val="26"/>
        </w:rPr>
        <w:t>was filed well before the prehearing conference, thus reducing any claim of prejudice to any other party</w:t>
      </w:r>
      <w:r>
        <w:rPr>
          <w:sz w:val="26"/>
          <w:szCs w:val="26"/>
        </w:rPr>
        <w:t>.</w:t>
      </w:r>
    </w:p>
    <w:p w:rsidR="00BC146A" w:rsidRDefault="00BC146A" w:rsidP="007C4E34">
      <w:pPr>
        <w:pStyle w:val="FootnoteText"/>
      </w:pPr>
    </w:p>
  </w:footnote>
  <w:footnote w:id="3">
    <w:p w:rsidR="00BC146A" w:rsidRPr="007F04C7" w:rsidRDefault="00BC146A" w:rsidP="007F04C7">
      <w:pPr>
        <w:pStyle w:val="FootnoteText"/>
        <w:ind w:firstLine="720"/>
        <w:rPr>
          <w:sz w:val="26"/>
          <w:szCs w:val="26"/>
        </w:rPr>
      </w:pPr>
      <w:r w:rsidRPr="007F04C7">
        <w:rPr>
          <w:rStyle w:val="FootnoteReference"/>
          <w:sz w:val="26"/>
          <w:szCs w:val="26"/>
        </w:rPr>
        <w:footnoteRef/>
      </w:r>
      <w:r w:rsidRPr="007F04C7">
        <w:rPr>
          <w:sz w:val="26"/>
          <w:szCs w:val="26"/>
        </w:rPr>
        <w:t xml:space="preserve"> </w:t>
      </w:r>
      <w:r>
        <w:rPr>
          <w:sz w:val="26"/>
          <w:szCs w:val="26"/>
        </w:rPr>
        <w:tab/>
      </w:r>
      <w:r w:rsidRPr="00F92130">
        <w:rPr>
          <w:i/>
          <w:sz w:val="26"/>
          <w:szCs w:val="26"/>
        </w:rPr>
        <w:t>Pa. Public Utility Commission, et al. v. PPL Electric Utilities Corporation</w:t>
      </w:r>
      <w:r>
        <w:rPr>
          <w:i/>
          <w:sz w:val="26"/>
          <w:szCs w:val="26"/>
        </w:rPr>
        <w:t>,</w:t>
      </w:r>
      <w:r>
        <w:rPr>
          <w:sz w:val="26"/>
          <w:szCs w:val="26"/>
        </w:rPr>
        <w:t xml:space="preserve"> Docket No. R-2011-2264771 (Recommended Decision of ALJ Susan D. Colwell issued June 20, 2012) (</w:t>
      </w:r>
      <w:r w:rsidRPr="00F92130">
        <w:rPr>
          <w:i/>
          <w:sz w:val="26"/>
          <w:szCs w:val="26"/>
        </w:rPr>
        <w:t>Revised Time of Use Proceeding</w:t>
      </w:r>
      <w:r>
        <w:rPr>
          <w:sz w:val="26"/>
          <w:szCs w:val="26"/>
        </w:rPr>
        <w:t xml:space="preserve">). </w:t>
      </w:r>
    </w:p>
  </w:footnote>
  <w:footnote w:id="4">
    <w:p w:rsidR="00BC146A" w:rsidRPr="00E73D6A" w:rsidRDefault="00BC146A" w:rsidP="00E73D6A">
      <w:pPr>
        <w:pStyle w:val="FootnoteText"/>
        <w:ind w:firstLine="720"/>
        <w:rPr>
          <w:sz w:val="26"/>
          <w:szCs w:val="26"/>
        </w:rPr>
      </w:pPr>
      <w:r w:rsidRPr="00E73D6A">
        <w:rPr>
          <w:rStyle w:val="FootnoteReference"/>
          <w:sz w:val="26"/>
          <w:szCs w:val="26"/>
        </w:rPr>
        <w:footnoteRef/>
      </w:r>
      <w:r>
        <w:rPr>
          <w:sz w:val="26"/>
          <w:szCs w:val="26"/>
        </w:rPr>
        <w:tab/>
        <w:t>See, 66 Pa. C.S.</w:t>
      </w:r>
      <w:r w:rsidRPr="00E73D6A">
        <w:rPr>
          <w:sz w:val="26"/>
          <w:szCs w:val="26"/>
        </w:rPr>
        <w:t xml:space="preserve"> §§ 332(a), 315.</w:t>
      </w:r>
    </w:p>
  </w:footnote>
  <w:footnote w:id="5">
    <w:p w:rsidR="00BC146A" w:rsidRPr="003A79BF" w:rsidRDefault="00BC146A" w:rsidP="003A79BF">
      <w:pPr>
        <w:pStyle w:val="FootnoteText"/>
        <w:ind w:firstLine="720"/>
        <w:rPr>
          <w:sz w:val="26"/>
          <w:szCs w:val="26"/>
        </w:rPr>
      </w:pPr>
      <w:r w:rsidRPr="003A79BF">
        <w:rPr>
          <w:rStyle w:val="FootnoteReference"/>
          <w:sz w:val="26"/>
          <w:szCs w:val="26"/>
        </w:rPr>
        <w:footnoteRef/>
      </w:r>
      <w:r w:rsidRPr="003A79BF">
        <w:rPr>
          <w:sz w:val="26"/>
          <w:szCs w:val="26"/>
        </w:rPr>
        <w:t xml:space="preserve"> </w:t>
      </w:r>
      <w:r>
        <w:rPr>
          <w:sz w:val="26"/>
          <w:szCs w:val="26"/>
        </w:rPr>
        <w:tab/>
        <w:t xml:space="preserve">Act 129 of 2008, Oct.15, P.L. 1592, Codified at 66 Pa. C.S. §§ 2803 </w:t>
      </w:r>
      <w:r>
        <w:rPr>
          <w:i/>
          <w:sz w:val="26"/>
          <w:szCs w:val="26"/>
        </w:rPr>
        <w:t xml:space="preserve">et al. </w:t>
      </w:r>
      <w:r>
        <w:rPr>
          <w:sz w:val="26"/>
          <w:szCs w:val="26"/>
        </w:rPr>
        <w:t xml:space="preserve">(Act 129). </w:t>
      </w:r>
    </w:p>
  </w:footnote>
  <w:footnote w:id="6">
    <w:p w:rsidR="00BC146A" w:rsidRPr="00F27F83" w:rsidRDefault="00BC146A" w:rsidP="00F27F83">
      <w:pPr>
        <w:pStyle w:val="FootnoteText"/>
        <w:ind w:firstLine="720"/>
        <w:rPr>
          <w:sz w:val="26"/>
          <w:szCs w:val="26"/>
        </w:rPr>
      </w:pPr>
      <w:r w:rsidRPr="00F27F83">
        <w:rPr>
          <w:rStyle w:val="FootnoteReference"/>
          <w:sz w:val="26"/>
          <w:szCs w:val="26"/>
        </w:rPr>
        <w:footnoteRef/>
      </w:r>
      <w:r w:rsidRPr="00F27F83">
        <w:rPr>
          <w:sz w:val="26"/>
          <w:szCs w:val="26"/>
        </w:rPr>
        <w:t xml:space="preserve"> </w:t>
      </w:r>
      <w:r>
        <w:rPr>
          <w:sz w:val="26"/>
          <w:szCs w:val="26"/>
        </w:rPr>
        <w:tab/>
      </w:r>
      <w:r>
        <w:rPr>
          <w:i/>
          <w:sz w:val="26"/>
          <w:szCs w:val="26"/>
        </w:rPr>
        <w:t>Electricity Generation Customer Choice and Competition Act</w:t>
      </w:r>
      <w:r>
        <w:rPr>
          <w:sz w:val="26"/>
          <w:szCs w:val="26"/>
        </w:rPr>
        <w:t>, 1996, Dec.</w:t>
      </w:r>
      <w:r w:rsidR="004C3D20">
        <w:rPr>
          <w:sz w:val="26"/>
          <w:szCs w:val="26"/>
        </w:rPr>
        <w:t> </w:t>
      </w:r>
      <w:r>
        <w:rPr>
          <w:sz w:val="26"/>
          <w:szCs w:val="26"/>
        </w:rPr>
        <w:t xml:space="preserve">3, P.L. 802, No. 138, Codified at 66 Pa. C.S. §§ 2801 </w:t>
      </w:r>
      <w:r>
        <w:rPr>
          <w:i/>
          <w:sz w:val="26"/>
          <w:szCs w:val="26"/>
        </w:rPr>
        <w:t>et seq.</w:t>
      </w:r>
      <w:r>
        <w:rPr>
          <w:sz w:val="26"/>
          <w:szCs w:val="26"/>
        </w:rPr>
        <w:t xml:space="preserve"> (Competition Act).</w:t>
      </w:r>
    </w:p>
  </w:footnote>
  <w:footnote w:id="7">
    <w:p w:rsidR="00BC146A" w:rsidRPr="00B82AB8" w:rsidRDefault="00BC146A" w:rsidP="00B82AB8">
      <w:pPr>
        <w:pStyle w:val="FootnoteText"/>
        <w:ind w:firstLine="720"/>
        <w:rPr>
          <w:sz w:val="26"/>
          <w:szCs w:val="26"/>
        </w:rPr>
      </w:pPr>
      <w:r w:rsidRPr="00B82AB8">
        <w:rPr>
          <w:rStyle w:val="FootnoteReference"/>
          <w:sz w:val="26"/>
          <w:szCs w:val="26"/>
        </w:rPr>
        <w:footnoteRef/>
      </w:r>
      <w:r w:rsidRPr="00B82AB8">
        <w:rPr>
          <w:sz w:val="26"/>
          <w:szCs w:val="26"/>
        </w:rPr>
        <w:t xml:space="preserve"> </w:t>
      </w:r>
      <w:r>
        <w:rPr>
          <w:sz w:val="26"/>
          <w:szCs w:val="26"/>
        </w:rPr>
        <w:tab/>
        <w:t>Exhibit RJH-1</w:t>
      </w:r>
    </w:p>
  </w:footnote>
  <w:footnote w:id="8">
    <w:p w:rsidR="00BC146A" w:rsidRPr="00DF4E53" w:rsidRDefault="00BC146A" w:rsidP="00B82AB8">
      <w:pPr>
        <w:pStyle w:val="FootnoteText"/>
        <w:ind w:firstLine="720"/>
        <w:rPr>
          <w:sz w:val="26"/>
          <w:szCs w:val="26"/>
        </w:rPr>
      </w:pPr>
      <w:r w:rsidRPr="000B2CC0">
        <w:rPr>
          <w:rStyle w:val="FootnoteReference"/>
          <w:sz w:val="26"/>
          <w:szCs w:val="26"/>
        </w:rPr>
        <w:footnoteRef/>
      </w:r>
      <w:r w:rsidRPr="000B2CC0">
        <w:rPr>
          <w:sz w:val="26"/>
          <w:szCs w:val="26"/>
        </w:rPr>
        <w:tab/>
        <w:t xml:space="preserve">The GSC-1 is presently computed quarterly but is the subject of a </w:t>
      </w:r>
      <w:r>
        <w:rPr>
          <w:sz w:val="26"/>
          <w:szCs w:val="26"/>
        </w:rPr>
        <w:t xml:space="preserve">pending </w:t>
      </w:r>
      <w:r w:rsidRPr="000B2CC0">
        <w:rPr>
          <w:sz w:val="26"/>
          <w:szCs w:val="26"/>
        </w:rPr>
        <w:t xml:space="preserve">companion case, </w:t>
      </w:r>
      <w:r>
        <w:rPr>
          <w:sz w:val="26"/>
          <w:szCs w:val="26"/>
        </w:rPr>
        <w:t xml:space="preserve">the </w:t>
      </w:r>
      <w:r w:rsidRPr="000B2CC0">
        <w:rPr>
          <w:i/>
          <w:sz w:val="26"/>
          <w:szCs w:val="26"/>
        </w:rPr>
        <w:t>OSBA</w:t>
      </w:r>
      <w:r>
        <w:rPr>
          <w:i/>
          <w:sz w:val="26"/>
          <w:szCs w:val="26"/>
        </w:rPr>
        <w:t xml:space="preserve"> Complaint Proceeding, supra.</w:t>
      </w:r>
      <w:r w:rsidRPr="000B2CC0">
        <w:rPr>
          <w:sz w:val="26"/>
          <w:szCs w:val="26"/>
        </w:rPr>
        <w:t xml:space="preserve">; and the beginning and </w:t>
      </w:r>
      <w:r w:rsidRPr="00DF4E53">
        <w:rPr>
          <w:sz w:val="26"/>
          <w:szCs w:val="26"/>
        </w:rPr>
        <w:t>ending dates of several reconciliation charges have been changed to conform to the PJM planning year, resulting in a one-time five-month reconciliati</w:t>
      </w:r>
      <w:r>
        <w:rPr>
          <w:sz w:val="26"/>
          <w:szCs w:val="26"/>
        </w:rPr>
        <w:t>on period for those charges.</w:t>
      </w:r>
    </w:p>
  </w:footnote>
  <w:footnote w:id="9">
    <w:p w:rsidR="00BC146A" w:rsidRPr="00754741" w:rsidRDefault="00BC146A" w:rsidP="00E955A9">
      <w:pPr>
        <w:pStyle w:val="FootnoteText"/>
        <w:ind w:firstLine="720"/>
        <w:rPr>
          <w:sz w:val="26"/>
          <w:szCs w:val="26"/>
        </w:rPr>
      </w:pPr>
      <w:r w:rsidRPr="00754741">
        <w:rPr>
          <w:rStyle w:val="FootnoteReference"/>
          <w:sz w:val="26"/>
          <w:szCs w:val="26"/>
        </w:rPr>
        <w:footnoteRef/>
      </w:r>
      <w:r w:rsidRPr="00754741">
        <w:rPr>
          <w:sz w:val="26"/>
          <w:szCs w:val="26"/>
        </w:rPr>
        <w:t xml:space="preserve"> </w:t>
      </w:r>
      <w:r>
        <w:rPr>
          <w:sz w:val="26"/>
          <w:szCs w:val="26"/>
        </w:rPr>
        <w:tab/>
      </w:r>
      <w:r>
        <w:rPr>
          <w:i/>
          <w:sz w:val="26"/>
          <w:szCs w:val="26"/>
        </w:rPr>
        <w:t>Petition of PECO Energy Company for Approval of its Initial Dynamic Pricing and Customer Acceptance Plan,</w:t>
      </w:r>
      <w:r>
        <w:rPr>
          <w:sz w:val="26"/>
          <w:szCs w:val="26"/>
        </w:rPr>
        <w:t xml:space="preserve"> Docket No. M-2009-2123944 (Order entered April 15, 2011)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6A" w:rsidRDefault="00BC1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F60EAC"/>
    <w:lvl w:ilvl="0">
      <w:start w:val="1"/>
      <w:numFmt w:val="decimal"/>
      <w:pStyle w:val="ListNumber"/>
      <w:lvlText w:val="%1."/>
      <w:lvlJc w:val="left"/>
      <w:pPr>
        <w:tabs>
          <w:tab w:val="num" w:pos="0"/>
        </w:tabs>
        <w:ind w:left="-720" w:firstLine="720"/>
      </w:pPr>
    </w:lvl>
  </w:abstractNum>
  <w:abstractNum w:abstractNumId="1">
    <w:nsid w:val="1056655D"/>
    <w:multiLevelType w:val="hybridMultilevel"/>
    <w:tmpl w:val="9D54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020D"/>
    <w:multiLevelType w:val="hybridMultilevel"/>
    <w:tmpl w:val="78549BF0"/>
    <w:lvl w:ilvl="0" w:tplc="066CBD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C4A5B"/>
    <w:multiLevelType w:val="singleLevel"/>
    <w:tmpl w:val="F25C77B2"/>
    <w:lvl w:ilvl="0">
      <w:start w:val="1"/>
      <w:numFmt w:val="decimal"/>
      <w:lvlText w:val="%1."/>
      <w:lvlJc w:val="left"/>
      <w:pPr>
        <w:tabs>
          <w:tab w:val="num" w:pos="1440"/>
        </w:tabs>
        <w:ind w:left="0" w:firstLine="720"/>
      </w:pPr>
    </w:lvl>
  </w:abstractNum>
  <w:abstractNum w:abstractNumId="4">
    <w:nsid w:val="137E0BD0"/>
    <w:multiLevelType w:val="hybridMultilevel"/>
    <w:tmpl w:val="05305080"/>
    <w:lvl w:ilvl="0" w:tplc="B4FC9B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C1159"/>
    <w:multiLevelType w:val="hybridMultilevel"/>
    <w:tmpl w:val="10E0E906"/>
    <w:lvl w:ilvl="0" w:tplc="B4F005B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4397E"/>
    <w:multiLevelType w:val="multilevel"/>
    <w:tmpl w:val="D578FAFC"/>
    <w:name w:val="PS Standard"/>
    <w:lvl w:ilvl="0">
      <w:start w:val="1"/>
      <w:numFmt w:val="upperRoman"/>
      <w:lvlText w:val="%1."/>
      <w:lvlJc w:val="left"/>
      <w:pPr>
        <w:tabs>
          <w:tab w:val="num" w:pos="720"/>
        </w:tabs>
        <w:ind w:left="720" w:hanging="720"/>
      </w:pPr>
      <w:rPr>
        <w:caps w:val="0"/>
        <w:strike w:val="0"/>
        <w:dstrike w:val="0"/>
        <w:color w:val="010000"/>
        <w:u w:val="none"/>
        <w:effect w:val="none"/>
      </w:rPr>
    </w:lvl>
    <w:lvl w:ilvl="1">
      <w:start w:val="1"/>
      <w:numFmt w:val="upperLetter"/>
      <w:lvlText w:val="%2."/>
      <w:lvlJc w:val="left"/>
      <w:pPr>
        <w:tabs>
          <w:tab w:val="num" w:pos="1440"/>
        </w:tabs>
        <w:ind w:left="1440" w:hanging="720"/>
      </w:pPr>
      <w:rPr>
        <w:caps w:val="0"/>
        <w:strike w:val="0"/>
        <w:dstrike w:val="0"/>
        <w:color w:val="010000"/>
        <w:u w:val="none"/>
        <w:effect w:val="none"/>
      </w:rPr>
    </w:lvl>
    <w:lvl w:ilvl="2">
      <w:start w:val="1"/>
      <w:numFmt w:val="decimal"/>
      <w:lvlText w:val="%3."/>
      <w:lvlJc w:val="left"/>
      <w:pPr>
        <w:tabs>
          <w:tab w:val="num" w:pos="2160"/>
        </w:tabs>
        <w:ind w:left="2160" w:hanging="720"/>
      </w:pPr>
      <w:rPr>
        <w:caps w:val="0"/>
        <w:strike w:val="0"/>
        <w:dstrike w:val="0"/>
        <w:color w:val="010000"/>
        <w:u w:val="none"/>
        <w:effect w:val="none"/>
      </w:rPr>
    </w:lvl>
    <w:lvl w:ilvl="3">
      <w:start w:val="1"/>
      <w:numFmt w:val="lowerLetter"/>
      <w:pStyle w:val="Heading4"/>
      <w:lvlText w:val="%4."/>
      <w:lvlJc w:val="left"/>
      <w:pPr>
        <w:tabs>
          <w:tab w:val="num" w:pos="2880"/>
        </w:tabs>
        <w:ind w:left="2880" w:hanging="720"/>
      </w:pPr>
      <w:rPr>
        <w:caps w:val="0"/>
        <w:strike w:val="0"/>
        <w:dstrike w:val="0"/>
        <w:color w:val="010000"/>
        <w:u w:val="none"/>
        <w:effect w:val="none"/>
      </w:rPr>
    </w:lvl>
    <w:lvl w:ilvl="4">
      <w:start w:val="1"/>
      <w:numFmt w:val="lowerRoman"/>
      <w:pStyle w:val="Heading5"/>
      <w:lvlText w:val="%5."/>
      <w:lvlJc w:val="left"/>
      <w:pPr>
        <w:tabs>
          <w:tab w:val="num" w:pos="3600"/>
        </w:tabs>
        <w:ind w:left="3600" w:hanging="720"/>
      </w:pPr>
      <w:rPr>
        <w:caps w:val="0"/>
        <w:strike w:val="0"/>
        <w:dstrike w:val="0"/>
        <w:color w:val="010000"/>
        <w:u w:val="none"/>
        <w:effect w:val="none"/>
      </w:rPr>
    </w:lvl>
    <w:lvl w:ilvl="5">
      <w:start w:val="1"/>
      <w:numFmt w:val="upperLetter"/>
      <w:pStyle w:val="Heading6"/>
      <w:lvlText w:val="(%6)"/>
      <w:lvlJc w:val="left"/>
      <w:pPr>
        <w:tabs>
          <w:tab w:val="num" w:pos="4320"/>
        </w:tabs>
        <w:ind w:left="4320" w:hanging="720"/>
      </w:pPr>
      <w:rPr>
        <w:caps w:val="0"/>
        <w:strike w:val="0"/>
        <w:dstrike w:val="0"/>
        <w:color w:val="010000"/>
        <w:u w:val="none"/>
        <w:effect w:val="none"/>
      </w:rPr>
    </w:lvl>
    <w:lvl w:ilvl="6">
      <w:start w:val="1"/>
      <w:numFmt w:val="decimal"/>
      <w:pStyle w:val="Heading7"/>
      <w:lvlText w:val="(%7)"/>
      <w:lvlJc w:val="left"/>
      <w:pPr>
        <w:tabs>
          <w:tab w:val="num" w:pos="5040"/>
        </w:tabs>
        <w:ind w:left="5040" w:hanging="720"/>
      </w:pPr>
      <w:rPr>
        <w:caps w:val="0"/>
        <w:strike w:val="0"/>
        <w:dstrike w:val="0"/>
        <w:color w:val="010000"/>
        <w:u w:val="none"/>
        <w:effect w:val="none"/>
      </w:rPr>
    </w:lvl>
    <w:lvl w:ilvl="7">
      <w:start w:val="1"/>
      <w:numFmt w:val="lowerLetter"/>
      <w:pStyle w:val="Heading8"/>
      <w:lvlText w:val="(%8)"/>
      <w:lvlJc w:val="left"/>
      <w:pPr>
        <w:tabs>
          <w:tab w:val="num" w:pos="5760"/>
        </w:tabs>
        <w:ind w:left="5760" w:hanging="720"/>
      </w:pPr>
      <w:rPr>
        <w:caps w:val="0"/>
        <w:strike w:val="0"/>
        <w:dstrike w:val="0"/>
        <w:color w:val="010000"/>
        <w:u w:val="none"/>
        <w:effect w:val="none"/>
      </w:rPr>
    </w:lvl>
    <w:lvl w:ilvl="8">
      <w:start w:val="1"/>
      <w:numFmt w:val="lowerRoman"/>
      <w:pStyle w:val="Heading9"/>
      <w:lvlText w:val="(%9)"/>
      <w:lvlJc w:val="left"/>
      <w:pPr>
        <w:tabs>
          <w:tab w:val="num" w:pos="6480"/>
        </w:tabs>
        <w:ind w:left="6480" w:hanging="720"/>
      </w:pPr>
      <w:rPr>
        <w:caps w:val="0"/>
        <w:strike w:val="0"/>
        <w:dstrike w:val="0"/>
        <w:color w:val="010000"/>
        <w:u w:val="none"/>
        <w:effect w:val="none"/>
      </w:rPr>
    </w:lvl>
  </w:abstractNum>
  <w:abstractNum w:abstractNumId="7">
    <w:nsid w:val="249C224F"/>
    <w:multiLevelType w:val="hybridMultilevel"/>
    <w:tmpl w:val="F6388DB0"/>
    <w:lvl w:ilvl="0" w:tplc="4B820D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31949"/>
    <w:multiLevelType w:val="hybridMultilevel"/>
    <w:tmpl w:val="195C30C8"/>
    <w:lvl w:ilvl="0" w:tplc="93CA25E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93775"/>
    <w:multiLevelType w:val="hybridMultilevel"/>
    <w:tmpl w:val="09D0E9C6"/>
    <w:lvl w:ilvl="0" w:tplc="D518B102">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11">
    <w:nsid w:val="45FE5B4A"/>
    <w:multiLevelType w:val="hybridMultilevel"/>
    <w:tmpl w:val="9842BABC"/>
    <w:lvl w:ilvl="0" w:tplc="4BD6E7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412011"/>
    <w:multiLevelType w:val="hybridMultilevel"/>
    <w:tmpl w:val="4A32DD08"/>
    <w:lvl w:ilvl="0" w:tplc="795E7A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1822FE"/>
    <w:multiLevelType w:val="singleLevel"/>
    <w:tmpl w:val="12B89988"/>
    <w:name w:val=" Numbered List"/>
    <w:lvl w:ilvl="0">
      <w:start w:val="1"/>
      <w:numFmt w:val="decimal"/>
      <w:lvlText w:val="%1."/>
      <w:lvlJc w:val="left"/>
      <w:pPr>
        <w:tabs>
          <w:tab w:val="num" w:pos="1440"/>
        </w:tabs>
        <w:ind w:left="0" w:firstLine="720"/>
      </w:pPr>
    </w:lvl>
  </w:abstractNum>
  <w:abstractNum w:abstractNumId="14">
    <w:nsid w:val="5AF41E3A"/>
    <w:multiLevelType w:val="hybridMultilevel"/>
    <w:tmpl w:val="379242BA"/>
    <w:lvl w:ilvl="0" w:tplc="43CC3DC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0"/>
    <w:lvlOverride w:ilvl="0">
      <w:startOverride w:val="1"/>
    </w:lvlOverride>
  </w:num>
  <w:num w:numId="5">
    <w:abstractNumId w:val="3"/>
    <w:lvlOverride w:ilvl="0">
      <w:startOverride w:val="1"/>
    </w:lvlOverride>
  </w:num>
  <w:num w:numId="6">
    <w:abstractNumId w:val="3"/>
    <w:lvlOverride w:ilvl="0">
      <w:startOverride w:val="1"/>
    </w:lvlOverride>
  </w:num>
  <w:num w:numId="7">
    <w:abstractNumId w:val="9"/>
  </w:num>
  <w:num w:numId="8">
    <w:abstractNumId w:val="12"/>
  </w:num>
  <w:num w:numId="9">
    <w:abstractNumId w:val="1"/>
  </w:num>
  <w:num w:numId="10">
    <w:abstractNumId w:val="11"/>
  </w:num>
  <w:num w:numId="11">
    <w:abstractNumId w:val="14"/>
  </w:num>
  <w:num w:numId="12">
    <w:abstractNumId w:val="4"/>
  </w:num>
  <w:num w:numId="13">
    <w:abstractNumId w:val="2"/>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9F"/>
    <w:rsid w:val="00001E3A"/>
    <w:rsid w:val="00001E8B"/>
    <w:rsid w:val="00001EF6"/>
    <w:rsid w:val="000028EA"/>
    <w:rsid w:val="00003BD5"/>
    <w:rsid w:val="00003D11"/>
    <w:rsid w:val="0000457A"/>
    <w:rsid w:val="00004AA3"/>
    <w:rsid w:val="00004E15"/>
    <w:rsid w:val="00005558"/>
    <w:rsid w:val="00006425"/>
    <w:rsid w:val="00006949"/>
    <w:rsid w:val="000079FE"/>
    <w:rsid w:val="00010CFB"/>
    <w:rsid w:val="00012104"/>
    <w:rsid w:val="00012655"/>
    <w:rsid w:val="0001305A"/>
    <w:rsid w:val="00013E31"/>
    <w:rsid w:val="00015B1A"/>
    <w:rsid w:val="00015BC4"/>
    <w:rsid w:val="00016E55"/>
    <w:rsid w:val="0002023D"/>
    <w:rsid w:val="00020760"/>
    <w:rsid w:val="0002105C"/>
    <w:rsid w:val="0002110E"/>
    <w:rsid w:val="00022B3F"/>
    <w:rsid w:val="00022CD0"/>
    <w:rsid w:val="000239A5"/>
    <w:rsid w:val="00025D7A"/>
    <w:rsid w:val="000304BF"/>
    <w:rsid w:val="00032379"/>
    <w:rsid w:val="0003306B"/>
    <w:rsid w:val="00033303"/>
    <w:rsid w:val="000338CD"/>
    <w:rsid w:val="00033D91"/>
    <w:rsid w:val="00035BB8"/>
    <w:rsid w:val="00035BE2"/>
    <w:rsid w:val="000372C5"/>
    <w:rsid w:val="00037484"/>
    <w:rsid w:val="000377F5"/>
    <w:rsid w:val="00037E0F"/>
    <w:rsid w:val="0004002B"/>
    <w:rsid w:val="0004011C"/>
    <w:rsid w:val="00040EB6"/>
    <w:rsid w:val="00043739"/>
    <w:rsid w:val="00044B8B"/>
    <w:rsid w:val="00044FC0"/>
    <w:rsid w:val="0004643F"/>
    <w:rsid w:val="000466BF"/>
    <w:rsid w:val="00046714"/>
    <w:rsid w:val="00046940"/>
    <w:rsid w:val="000478E2"/>
    <w:rsid w:val="000541C0"/>
    <w:rsid w:val="0005423F"/>
    <w:rsid w:val="000543E1"/>
    <w:rsid w:val="00055078"/>
    <w:rsid w:val="00055CC5"/>
    <w:rsid w:val="000576ED"/>
    <w:rsid w:val="000605B6"/>
    <w:rsid w:val="00061278"/>
    <w:rsid w:val="00061753"/>
    <w:rsid w:val="000634EB"/>
    <w:rsid w:val="00063801"/>
    <w:rsid w:val="000669E5"/>
    <w:rsid w:val="0006752D"/>
    <w:rsid w:val="000676B2"/>
    <w:rsid w:val="00067CBC"/>
    <w:rsid w:val="00070AA1"/>
    <w:rsid w:val="00071A36"/>
    <w:rsid w:val="00072595"/>
    <w:rsid w:val="00072D46"/>
    <w:rsid w:val="00073BE1"/>
    <w:rsid w:val="00074065"/>
    <w:rsid w:val="00076092"/>
    <w:rsid w:val="000779CB"/>
    <w:rsid w:val="00081171"/>
    <w:rsid w:val="00082363"/>
    <w:rsid w:val="0008238D"/>
    <w:rsid w:val="00083ABD"/>
    <w:rsid w:val="00084D29"/>
    <w:rsid w:val="000852E5"/>
    <w:rsid w:val="00085909"/>
    <w:rsid w:val="00085A52"/>
    <w:rsid w:val="00086449"/>
    <w:rsid w:val="000900FC"/>
    <w:rsid w:val="000902E3"/>
    <w:rsid w:val="0009043B"/>
    <w:rsid w:val="00091F08"/>
    <w:rsid w:val="0009220F"/>
    <w:rsid w:val="00092B4E"/>
    <w:rsid w:val="00092E44"/>
    <w:rsid w:val="0009318F"/>
    <w:rsid w:val="000931F7"/>
    <w:rsid w:val="00093562"/>
    <w:rsid w:val="00093E43"/>
    <w:rsid w:val="00094E20"/>
    <w:rsid w:val="000964BB"/>
    <w:rsid w:val="00096B33"/>
    <w:rsid w:val="00096B3F"/>
    <w:rsid w:val="00097D77"/>
    <w:rsid w:val="000A2192"/>
    <w:rsid w:val="000A4368"/>
    <w:rsid w:val="000A4460"/>
    <w:rsid w:val="000A4551"/>
    <w:rsid w:val="000A46B0"/>
    <w:rsid w:val="000A4E7A"/>
    <w:rsid w:val="000A5DEA"/>
    <w:rsid w:val="000A652E"/>
    <w:rsid w:val="000A6807"/>
    <w:rsid w:val="000A770B"/>
    <w:rsid w:val="000B1BFC"/>
    <w:rsid w:val="000B2CC0"/>
    <w:rsid w:val="000B2D0C"/>
    <w:rsid w:val="000B339A"/>
    <w:rsid w:val="000B4BCD"/>
    <w:rsid w:val="000B5F7C"/>
    <w:rsid w:val="000B7111"/>
    <w:rsid w:val="000C0311"/>
    <w:rsid w:val="000C20F1"/>
    <w:rsid w:val="000C2696"/>
    <w:rsid w:val="000C2A2B"/>
    <w:rsid w:val="000C34F3"/>
    <w:rsid w:val="000C39C3"/>
    <w:rsid w:val="000C4163"/>
    <w:rsid w:val="000C5976"/>
    <w:rsid w:val="000C671F"/>
    <w:rsid w:val="000C6B6E"/>
    <w:rsid w:val="000C6EF0"/>
    <w:rsid w:val="000C7A4F"/>
    <w:rsid w:val="000D29BA"/>
    <w:rsid w:val="000D3A85"/>
    <w:rsid w:val="000D3E49"/>
    <w:rsid w:val="000D525D"/>
    <w:rsid w:val="000D5763"/>
    <w:rsid w:val="000E2F36"/>
    <w:rsid w:val="000E373F"/>
    <w:rsid w:val="000E42B0"/>
    <w:rsid w:val="000E44C4"/>
    <w:rsid w:val="000E49E6"/>
    <w:rsid w:val="000E4A38"/>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4543"/>
    <w:rsid w:val="00105AB2"/>
    <w:rsid w:val="00106EE8"/>
    <w:rsid w:val="001077F1"/>
    <w:rsid w:val="00110717"/>
    <w:rsid w:val="00111B03"/>
    <w:rsid w:val="00112816"/>
    <w:rsid w:val="00113B1B"/>
    <w:rsid w:val="00113F5E"/>
    <w:rsid w:val="001155EF"/>
    <w:rsid w:val="001159E8"/>
    <w:rsid w:val="00115BB6"/>
    <w:rsid w:val="00116578"/>
    <w:rsid w:val="001170B8"/>
    <w:rsid w:val="0012035F"/>
    <w:rsid w:val="00120D02"/>
    <w:rsid w:val="00120DE8"/>
    <w:rsid w:val="00121291"/>
    <w:rsid w:val="001219A5"/>
    <w:rsid w:val="0012343C"/>
    <w:rsid w:val="001240F4"/>
    <w:rsid w:val="00124101"/>
    <w:rsid w:val="001243FD"/>
    <w:rsid w:val="00124D49"/>
    <w:rsid w:val="00126739"/>
    <w:rsid w:val="0012770C"/>
    <w:rsid w:val="0013068D"/>
    <w:rsid w:val="00130A2C"/>
    <w:rsid w:val="00134B11"/>
    <w:rsid w:val="00135526"/>
    <w:rsid w:val="00140273"/>
    <w:rsid w:val="0014105E"/>
    <w:rsid w:val="00143142"/>
    <w:rsid w:val="00143C25"/>
    <w:rsid w:val="00144D2D"/>
    <w:rsid w:val="00145299"/>
    <w:rsid w:val="00145327"/>
    <w:rsid w:val="001459BC"/>
    <w:rsid w:val="00150084"/>
    <w:rsid w:val="00150BAA"/>
    <w:rsid w:val="00150F9C"/>
    <w:rsid w:val="00152794"/>
    <w:rsid w:val="00152FD8"/>
    <w:rsid w:val="001537E3"/>
    <w:rsid w:val="00153C39"/>
    <w:rsid w:val="00153CF7"/>
    <w:rsid w:val="00154F0C"/>
    <w:rsid w:val="0015569F"/>
    <w:rsid w:val="00155E87"/>
    <w:rsid w:val="0015737B"/>
    <w:rsid w:val="00157490"/>
    <w:rsid w:val="00157E46"/>
    <w:rsid w:val="00161C54"/>
    <w:rsid w:val="001627EF"/>
    <w:rsid w:val="00162A12"/>
    <w:rsid w:val="00162D2F"/>
    <w:rsid w:val="0016332A"/>
    <w:rsid w:val="0016435F"/>
    <w:rsid w:val="0016521D"/>
    <w:rsid w:val="001658B2"/>
    <w:rsid w:val="00165BBD"/>
    <w:rsid w:val="00170C77"/>
    <w:rsid w:val="00170FE6"/>
    <w:rsid w:val="00171416"/>
    <w:rsid w:val="00171FD4"/>
    <w:rsid w:val="00172857"/>
    <w:rsid w:val="00172B0B"/>
    <w:rsid w:val="00172E8C"/>
    <w:rsid w:val="00173570"/>
    <w:rsid w:val="00173C70"/>
    <w:rsid w:val="00174F7E"/>
    <w:rsid w:val="0017580D"/>
    <w:rsid w:val="00175F76"/>
    <w:rsid w:val="00176527"/>
    <w:rsid w:val="00176C44"/>
    <w:rsid w:val="001774E6"/>
    <w:rsid w:val="00177989"/>
    <w:rsid w:val="00181AB1"/>
    <w:rsid w:val="00182274"/>
    <w:rsid w:val="0018435C"/>
    <w:rsid w:val="001857EA"/>
    <w:rsid w:val="00186328"/>
    <w:rsid w:val="001868F5"/>
    <w:rsid w:val="00190B2C"/>
    <w:rsid w:val="00190D8F"/>
    <w:rsid w:val="00191522"/>
    <w:rsid w:val="00192EB5"/>
    <w:rsid w:val="00195C2B"/>
    <w:rsid w:val="001966CB"/>
    <w:rsid w:val="001969A7"/>
    <w:rsid w:val="00196C5A"/>
    <w:rsid w:val="0019791B"/>
    <w:rsid w:val="00197E5D"/>
    <w:rsid w:val="001A0F84"/>
    <w:rsid w:val="001A103D"/>
    <w:rsid w:val="001A1644"/>
    <w:rsid w:val="001A216A"/>
    <w:rsid w:val="001A2732"/>
    <w:rsid w:val="001A2D84"/>
    <w:rsid w:val="001A33F5"/>
    <w:rsid w:val="001A3A31"/>
    <w:rsid w:val="001A3D48"/>
    <w:rsid w:val="001A5421"/>
    <w:rsid w:val="001A6541"/>
    <w:rsid w:val="001A69B1"/>
    <w:rsid w:val="001A7F95"/>
    <w:rsid w:val="001B06B8"/>
    <w:rsid w:val="001B0CCD"/>
    <w:rsid w:val="001B1B1D"/>
    <w:rsid w:val="001B3572"/>
    <w:rsid w:val="001B3D6F"/>
    <w:rsid w:val="001B477B"/>
    <w:rsid w:val="001B4B2B"/>
    <w:rsid w:val="001B4EC8"/>
    <w:rsid w:val="001B6470"/>
    <w:rsid w:val="001B760E"/>
    <w:rsid w:val="001C0192"/>
    <w:rsid w:val="001C0410"/>
    <w:rsid w:val="001C054D"/>
    <w:rsid w:val="001C2137"/>
    <w:rsid w:val="001C2234"/>
    <w:rsid w:val="001C537D"/>
    <w:rsid w:val="001C64B4"/>
    <w:rsid w:val="001C65CD"/>
    <w:rsid w:val="001C6898"/>
    <w:rsid w:val="001C6984"/>
    <w:rsid w:val="001C7933"/>
    <w:rsid w:val="001D05DB"/>
    <w:rsid w:val="001D0876"/>
    <w:rsid w:val="001D0F4D"/>
    <w:rsid w:val="001D0F91"/>
    <w:rsid w:val="001D1F1B"/>
    <w:rsid w:val="001D2161"/>
    <w:rsid w:val="001D38C1"/>
    <w:rsid w:val="001D4223"/>
    <w:rsid w:val="001D4C12"/>
    <w:rsid w:val="001D556B"/>
    <w:rsid w:val="001D6B1E"/>
    <w:rsid w:val="001E0FC2"/>
    <w:rsid w:val="001E2642"/>
    <w:rsid w:val="001E3C9A"/>
    <w:rsid w:val="001E5447"/>
    <w:rsid w:val="001E583C"/>
    <w:rsid w:val="001E5DF5"/>
    <w:rsid w:val="001E604F"/>
    <w:rsid w:val="001E61CD"/>
    <w:rsid w:val="001E6F86"/>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4983"/>
    <w:rsid w:val="00205C33"/>
    <w:rsid w:val="00211136"/>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29CF"/>
    <w:rsid w:val="002241D0"/>
    <w:rsid w:val="00224756"/>
    <w:rsid w:val="0022478F"/>
    <w:rsid w:val="00226A17"/>
    <w:rsid w:val="00227A4A"/>
    <w:rsid w:val="00230CC6"/>
    <w:rsid w:val="002337D7"/>
    <w:rsid w:val="00234A05"/>
    <w:rsid w:val="00234DEB"/>
    <w:rsid w:val="0023584A"/>
    <w:rsid w:val="00236113"/>
    <w:rsid w:val="00236C44"/>
    <w:rsid w:val="00240343"/>
    <w:rsid w:val="002403E6"/>
    <w:rsid w:val="002421C8"/>
    <w:rsid w:val="002422D0"/>
    <w:rsid w:val="002448FF"/>
    <w:rsid w:val="00245181"/>
    <w:rsid w:val="002451F7"/>
    <w:rsid w:val="002455CC"/>
    <w:rsid w:val="00246523"/>
    <w:rsid w:val="0024777B"/>
    <w:rsid w:val="00247CE0"/>
    <w:rsid w:val="002502F2"/>
    <w:rsid w:val="00250571"/>
    <w:rsid w:val="00251E5A"/>
    <w:rsid w:val="00252DB6"/>
    <w:rsid w:val="00252F2A"/>
    <w:rsid w:val="0025351B"/>
    <w:rsid w:val="002546D8"/>
    <w:rsid w:val="00254AE7"/>
    <w:rsid w:val="002557C7"/>
    <w:rsid w:val="002558A3"/>
    <w:rsid w:val="00255930"/>
    <w:rsid w:val="00255ABE"/>
    <w:rsid w:val="00256505"/>
    <w:rsid w:val="00260459"/>
    <w:rsid w:val="00260814"/>
    <w:rsid w:val="00260A94"/>
    <w:rsid w:val="00261A49"/>
    <w:rsid w:val="00262A17"/>
    <w:rsid w:val="00262AF8"/>
    <w:rsid w:val="00262D2C"/>
    <w:rsid w:val="00263AD5"/>
    <w:rsid w:val="002649C7"/>
    <w:rsid w:val="002656EC"/>
    <w:rsid w:val="00266290"/>
    <w:rsid w:val="00266B4C"/>
    <w:rsid w:val="0026705F"/>
    <w:rsid w:val="002704DD"/>
    <w:rsid w:val="00270AF3"/>
    <w:rsid w:val="0027207B"/>
    <w:rsid w:val="0027210A"/>
    <w:rsid w:val="00272884"/>
    <w:rsid w:val="00273D63"/>
    <w:rsid w:val="002748C2"/>
    <w:rsid w:val="002752C3"/>
    <w:rsid w:val="00275659"/>
    <w:rsid w:val="002761E2"/>
    <w:rsid w:val="00277591"/>
    <w:rsid w:val="0028039E"/>
    <w:rsid w:val="00280A74"/>
    <w:rsid w:val="002814AD"/>
    <w:rsid w:val="00281C39"/>
    <w:rsid w:val="00283282"/>
    <w:rsid w:val="00284760"/>
    <w:rsid w:val="00286A34"/>
    <w:rsid w:val="002871C2"/>
    <w:rsid w:val="0028732E"/>
    <w:rsid w:val="00287CB1"/>
    <w:rsid w:val="0029096F"/>
    <w:rsid w:val="00290AD2"/>
    <w:rsid w:val="00291655"/>
    <w:rsid w:val="00292C01"/>
    <w:rsid w:val="002932BF"/>
    <w:rsid w:val="0029353E"/>
    <w:rsid w:val="00293B3A"/>
    <w:rsid w:val="00293F4E"/>
    <w:rsid w:val="00296B74"/>
    <w:rsid w:val="00297286"/>
    <w:rsid w:val="002A05C6"/>
    <w:rsid w:val="002A1522"/>
    <w:rsid w:val="002A17F4"/>
    <w:rsid w:val="002A1EFA"/>
    <w:rsid w:val="002A4E7E"/>
    <w:rsid w:val="002A5F4D"/>
    <w:rsid w:val="002A70E9"/>
    <w:rsid w:val="002A7A0A"/>
    <w:rsid w:val="002B0413"/>
    <w:rsid w:val="002B0D61"/>
    <w:rsid w:val="002B2AF4"/>
    <w:rsid w:val="002B3E20"/>
    <w:rsid w:val="002B421D"/>
    <w:rsid w:val="002B541A"/>
    <w:rsid w:val="002B5C30"/>
    <w:rsid w:val="002B754D"/>
    <w:rsid w:val="002B7C87"/>
    <w:rsid w:val="002B7D7E"/>
    <w:rsid w:val="002C0694"/>
    <w:rsid w:val="002C0BCF"/>
    <w:rsid w:val="002C1023"/>
    <w:rsid w:val="002C32E6"/>
    <w:rsid w:val="002C3579"/>
    <w:rsid w:val="002C4F02"/>
    <w:rsid w:val="002C69AD"/>
    <w:rsid w:val="002D008A"/>
    <w:rsid w:val="002D0E4D"/>
    <w:rsid w:val="002D11F2"/>
    <w:rsid w:val="002D1E71"/>
    <w:rsid w:val="002D1F10"/>
    <w:rsid w:val="002D29B0"/>
    <w:rsid w:val="002D2AA4"/>
    <w:rsid w:val="002D4CC7"/>
    <w:rsid w:val="002D5AEF"/>
    <w:rsid w:val="002D6AF9"/>
    <w:rsid w:val="002D6B36"/>
    <w:rsid w:val="002D7136"/>
    <w:rsid w:val="002D7978"/>
    <w:rsid w:val="002E0942"/>
    <w:rsid w:val="002E2283"/>
    <w:rsid w:val="002E2CAD"/>
    <w:rsid w:val="002E32C2"/>
    <w:rsid w:val="002E4CA0"/>
    <w:rsid w:val="002E5790"/>
    <w:rsid w:val="002E62D9"/>
    <w:rsid w:val="002E6CB4"/>
    <w:rsid w:val="002E7DDB"/>
    <w:rsid w:val="002F13B9"/>
    <w:rsid w:val="002F17FB"/>
    <w:rsid w:val="002F21B6"/>
    <w:rsid w:val="002F222D"/>
    <w:rsid w:val="002F2A4A"/>
    <w:rsid w:val="002F42FC"/>
    <w:rsid w:val="002F46BE"/>
    <w:rsid w:val="002F542C"/>
    <w:rsid w:val="002F5640"/>
    <w:rsid w:val="002F5C03"/>
    <w:rsid w:val="002F6F4F"/>
    <w:rsid w:val="002F75DA"/>
    <w:rsid w:val="00303526"/>
    <w:rsid w:val="00303761"/>
    <w:rsid w:val="00304AA1"/>
    <w:rsid w:val="0030682B"/>
    <w:rsid w:val="00306AED"/>
    <w:rsid w:val="00306C33"/>
    <w:rsid w:val="003073C3"/>
    <w:rsid w:val="00310D0C"/>
    <w:rsid w:val="00311531"/>
    <w:rsid w:val="003115D2"/>
    <w:rsid w:val="00312B51"/>
    <w:rsid w:val="00312F06"/>
    <w:rsid w:val="00313595"/>
    <w:rsid w:val="0031425A"/>
    <w:rsid w:val="00314713"/>
    <w:rsid w:val="003149F5"/>
    <w:rsid w:val="003151E4"/>
    <w:rsid w:val="003156D7"/>
    <w:rsid w:val="00315E91"/>
    <w:rsid w:val="00317261"/>
    <w:rsid w:val="0032130D"/>
    <w:rsid w:val="00321DB1"/>
    <w:rsid w:val="00322E4D"/>
    <w:rsid w:val="0032645E"/>
    <w:rsid w:val="00326EEE"/>
    <w:rsid w:val="00326F3E"/>
    <w:rsid w:val="00330A67"/>
    <w:rsid w:val="00332A51"/>
    <w:rsid w:val="003332BF"/>
    <w:rsid w:val="00333ADD"/>
    <w:rsid w:val="00334F62"/>
    <w:rsid w:val="00336496"/>
    <w:rsid w:val="003364EB"/>
    <w:rsid w:val="00336CE8"/>
    <w:rsid w:val="003425CF"/>
    <w:rsid w:val="0034272B"/>
    <w:rsid w:val="00342BFE"/>
    <w:rsid w:val="00344C34"/>
    <w:rsid w:val="00345C65"/>
    <w:rsid w:val="00346679"/>
    <w:rsid w:val="003470E8"/>
    <w:rsid w:val="0035100D"/>
    <w:rsid w:val="003534C5"/>
    <w:rsid w:val="003534EB"/>
    <w:rsid w:val="00354574"/>
    <w:rsid w:val="00354BD0"/>
    <w:rsid w:val="003550C3"/>
    <w:rsid w:val="00356988"/>
    <w:rsid w:val="00356E05"/>
    <w:rsid w:val="003601E1"/>
    <w:rsid w:val="00360427"/>
    <w:rsid w:val="00360F5F"/>
    <w:rsid w:val="0036124A"/>
    <w:rsid w:val="0036153E"/>
    <w:rsid w:val="00361A6D"/>
    <w:rsid w:val="003622D9"/>
    <w:rsid w:val="0036237C"/>
    <w:rsid w:val="003625F5"/>
    <w:rsid w:val="003643C9"/>
    <w:rsid w:val="003657F1"/>
    <w:rsid w:val="00365826"/>
    <w:rsid w:val="00365A2F"/>
    <w:rsid w:val="00366696"/>
    <w:rsid w:val="0036754C"/>
    <w:rsid w:val="0037119F"/>
    <w:rsid w:val="00373104"/>
    <w:rsid w:val="0037385D"/>
    <w:rsid w:val="0037559C"/>
    <w:rsid w:val="00375889"/>
    <w:rsid w:val="003760EB"/>
    <w:rsid w:val="00376D97"/>
    <w:rsid w:val="00380892"/>
    <w:rsid w:val="00381B05"/>
    <w:rsid w:val="003823DF"/>
    <w:rsid w:val="00383321"/>
    <w:rsid w:val="00385BF0"/>
    <w:rsid w:val="00385DAD"/>
    <w:rsid w:val="00385ED0"/>
    <w:rsid w:val="00386626"/>
    <w:rsid w:val="00387249"/>
    <w:rsid w:val="003908D7"/>
    <w:rsid w:val="00390929"/>
    <w:rsid w:val="00390DBB"/>
    <w:rsid w:val="00390FD0"/>
    <w:rsid w:val="00391CFF"/>
    <w:rsid w:val="003924CC"/>
    <w:rsid w:val="0039341B"/>
    <w:rsid w:val="00396333"/>
    <w:rsid w:val="00396ADD"/>
    <w:rsid w:val="0039716B"/>
    <w:rsid w:val="003975C9"/>
    <w:rsid w:val="003A06CB"/>
    <w:rsid w:val="003A0B9C"/>
    <w:rsid w:val="003A0E5A"/>
    <w:rsid w:val="003A0F8D"/>
    <w:rsid w:val="003A2AEC"/>
    <w:rsid w:val="003A5E83"/>
    <w:rsid w:val="003A62F9"/>
    <w:rsid w:val="003A645E"/>
    <w:rsid w:val="003A6A5F"/>
    <w:rsid w:val="003A6CD0"/>
    <w:rsid w:val="003A7581"/>
    <w:rsid w:val="003A79BF"/>
    <w:rsid w:val="003B27BA"/>
    <w:rsid w:val="003B2E77"/>
    <w:rsid w:val="003B3FDD"/>
    <w:rsid w:val="003B4D40"/>
    <w:rsid w:val="003B5D19"/>
    <w:rsid w:val="003B610B"/>
    <w:rsid w:val="003C1648"/>
    <w:rsid w:val="003C34F1"/>
    <w:rsid w:val="003C47E8"/>
    <w:rsid w:val="003C4DA0"/>
    <w:rsid w:val="003C5102"/>
    <w:rsid w:val="003C5586"/>
    <w:rsid w:val="003C610C"/>
    <w:rsid w:val="003C6962"/>
    <w:rsid w:val="003C6A5D"/>
    <w:rsid w:val="003C6F65"/>
    <w:rsid w:val="003D1F46"/>
    <w:rsid w:val="003D3F02"/>
    <w:rsid w:val="003D41CF"/>
    <w:rsid w:val="003D5045"/>
    <w:rsid w:val="003E1442"/>
    <w:rsid w:val="003E2749"/>
    <w:rsid w:val="003E2B14"/>
    <w:rsid w:val="003E2FDE"/>
    <w:rsid w:val="003E447A"/>
    <w:rsid w:val="003E5240"/>
    <w:rsid w:val="003E5D3E"/>
    <w:rsid w:val="003E611C"/>
    <w:rsid w:val="003E7E85"/>
    <w:rsid w:val="003F01A7"/>
    <w:rsid w:val="003F2E62"/>
    <w:rsid w:val="003F2F9A"/>
    <w:rsid w:val="003F3925"/>
    <w:rsid w:val="003F425B"/>
    <w:rsid w:val="003F6F08"/>
    <w:rsid w:val="00401386"/>
    <w:rsid w:val="004017C5"/>
    <w:rsid w:val="00401AD5"/>
    <w:rsid w:val="0040250F"/>
    <w:rsid w:val="004047B1"/>
    <w:rsid w:val="00404E55"/>
    <w:rsid w:val="0040584C"/>
    <w:rsid w:val="004065C5"/>
    <w:rsid w:val="00406807"/>
    <w:rsid w:val="00406EFD"/>
    <w:rsid w:val="004078EF"/>
    <w:rsid w:val="00407C2F"/>
    <w:rsid w:val="004100F5"/>
    <w:rsid w:val="004106CE"/>
    <w:rsid w:val="0041082C"/>
    <w:rsid w:val="00411425"/>
    <w:rsid w:val="00413B28"/>
    <w:rsid w:val="00413BA5"/>
    <w:rsid w:val="00413DAC"/>
    <w:rsid w:val="0041623E"/>
    <w:rsid w:val="00416A3B"/>
    <w:rsid w:val="00416A49"/>
    <w:rsid w:val="00416AB2"/>
    <w:rsid w:val="00421203"/>
    <w:rsid w:val="004212AA"/>
    <w:rsid w:val="004222CB"/>
    <w:rsid w:val="00423359"/>
    <w:rsid w:val="00425C94"/>
    <w:rsid w:val="00426277"/>
    <w:rsid w:val="004262B3"/>
    <w:rsid w:val="00426605"/>
    <w:rsid w:val="00431130"/>
    <w:rsid w:val="00433AE5"/>
    <w:rsid w:val="0043485A"/>
    <w:rsid w:val="00434CAE"/>
    <w:rsid w:val="00434FD6"/>
    <w:rsid w:val="00435727"/>
    <w:rsid w:val="00440521"/>
    <w:rsid w:val="004407EE"/>
    <w:rsid w:val="00441078"/>
    <w:rsid w:val="0044186E"/>
    <w:rsid w:val="00442254"/>
    <w:rsid w:val="00443307"/>
    <w:rsid w:val="004440AA"/>
    <w:rsid w:val="00444DBF"/>
    <w:rsid w:val="00444E41"/>
    <w:rsid w:val="00444F88"/>
    <w:rsid w:val="00445003"/>
    <w:rsid w:val="00445B46"/>
    <w:rsid w:val="00446B02"/>
    <w:rsid w:val="00446C81"/>
    <w:rsid w:val="00446CF6"/>
    <w:rsid w:val="0044708D"/>
    <w:rsid w:val="00447133"/>
    <w:rsid w:val="00447A63"/>
    <w:rsid w:val="00447B02"/>
    <w:rsid w:val="00447DB3"/>
    <w:rsid w:val="0045007D"/>
    <w:rsid w:val="0045199A"/>
    <w:rsid w:val="004521D4"/>
    <w:rsid w:val="00452EEE"/>
    <w:rsid w:val="0045300F"/>
    <w:rsid w:val="00453A6E"/>
    <w:rsid w:val="00454158"/>
    <w:rsid w:val="00454723"/>
    <w:rsid w:val="00455319"/>
    <w:rsid w:val="00455691"/>
    <w:rsid w:val="00456049"/>
    <w:rsid w:val="004565C0"/>
    <w:rsid w:val="00460024"/>
    <w:rsid w:val="00460031"/>
    <w:rsid w:val="00460140"/>
    <w:rsid w:val="00460EBF"/>
    <w:rsid w:val="0046193C"/>
    <w:rsid w:val="004620F9"/>
    <w:rsid w:val="0046238B"/>
    <w:rsid w:val="004625E8"/>
    <w:rsid w:val="00464B18"/>
    <w:rsid w:val="00465D71"/>
    <w:rsid w:val="00466D15"/>
    <w:rsid w:val="0047070D"/>
    <w:rsid w:val="00477A71"/>
    <w:rsid w:val="00480C51"/>
    <w:rsid w:val="00481269"/>
    <w:rsid w:val="0048236A"/>
    <w:rsid w:val="004839FC"/>
    <w:rsid w:val="00483C70"/>
    <w:rsid w:val="00484589"/>
    <w:rsid w:val="00484BCE"/>
    <w:rsid w:val="004850F2"/>
    <w:rsid w:val="00487E4E"/>
    <w:rsid w:val="00487E8F"/>
    <w:rsid w:val="00491F39"/>
    <w:rsid w:val="004938B5"/>
    <w:rsid w:val="00493AC3"/>
    <w:rsid w:val="0049422F"/>
    <w:rsid w:val="0049475D"/>
    <w:rsid w:val="00494866"/>
    <w:rsid w:val="0049575D"/>
    <w:rsid w:val="00496768"/>
    <w:rsid w:val="00496D95"/>
    <w:rsid w:val="00496DB8"/>
    <w:rsid w:val="004A11A6"/>
    <w:rsid w:val="004A1729"/>
    <w:rsid w:val="004A21F4"/>
    <w:rsid w:val="004A3363"/>
    <w:rsid w:val="004A4B6C"/>
    <w:rsid w:val="004A5318"/>
    <w:rsid w:val="004A5D57"/>
    <w:rsid w:val="004A741E"/>
    <w:rsid w:val="004B0321"/>
    <w:rsid w:val="004B1A37"/>
    <w:rsid w:val="004B1ADE"/>
    <w:rsid w:val="004B2625"/>
    <w:rsid w:val="004B46D2"/>
    <w:rsid w:val="004B570B"/>
    <w:rsid w:val="004B652A"/>
    <w:rsid w:val="004B6BEB"/>
    <w:rsid w:val="004B7DB2"/>
    <w:rsid w:val="004C015B"/>
    <w:rsid w:val="004C125D"/>
    <w:rsid w:val="004C1ABF"/>
    <w:rsid w:val="004C30D2"/>
    <w:rsid w:val="004C3AE2"/>
    <w:rsid w:val="004C3D20"/>
    <w:rsid w:val="004C4C1E"/>
    <w:rsid w:val="004C657C"/>
    <w:rsid w:val="004D0BE0"/>
    <w:rsid w:val="004D14F0"/>
    <w:rsid w:val="004D1505"/>
    <w:rsid w:val="004D17DF"/>
    <w:rsid w:val="004D38F8"/>
    <w:rsid w:val="004D4A68"/>
    <w:rsid w:val="004D5646"/>
    <w:rsid w:val="004D624B"/>
    <w:rsid w:val="004D6D13"/>
    <w:rsid w:val="004D6DCE"/>
    <w:rsid w:val="004E0311"/>
    <w:rsid w:val="004E1B61"/>
    <w:rsid w:val="004E1FD5"/>
    <w:rsid w:val="004E23ED"/>
    <w:rsid w:val="004E2B9A"/>
    <w:rsid w:val="004E429F"/>
    <w:rsid w:val="004E5776"/>
    <w:rsid w:val="004E60E4"/>
    <w:rsid w:val="004F160A"/>
    <w:rsid w:val="004F1A21"/>
    <w:rsid w:val="004F2F62"/>
    <w:rsid w:val="004F30BD"/>
    <w:rsid w:val="004F37CB"/>
    <w:rsid w:val="004F45CA"/>
    <w:rsid w:val="004F5216"/>
    <w:rsid w:val="004F616B"/>
    <w:rsid w:val="004F6475"/>
    <w:rsid w:val="004F64E4"/>
    <w:rsid w:val="00500A53"/>
    <w:rsid w:val="00503634"/>
    <w:rsid w:val="00504F92"/>
    <w:rsid w:val="0050518E"/>
    <w:rsid w:val="00505551"/>
    <w:rsid w:val="005068C2"/>
    <w:rsid w:val="00506DE1"/>
    <w:rsid w:val="005070BC"/>
    <w:rsid w:val="005078B3"/>
    <w:rsid w:val="00510A28"/>
    <w:rsid w:val="00511C54"/>
    <w:rsid w:val="0051292E"/>
    <w:rsid w:val="00514632"/>
    <w:rsid w:val="00515A85"/>
    <w:rsid w:val="00516207"/>
    <w:rsid w:val="005200DC"/>
    <w:rsid w:val="00520A9D"/>
    <w:rsid w:val="00520C27"/>
    <w:rsid w:val="00521B57"/>
    <w:rsid w:val="00522DE9"/>
    <w:rsid w:val="00522EF8"/>
    <w:rsid w:val="00522FE7"/>
    <w:rsid w:val="0052399F"/>
    <w:rsid w:val="00523F60"/>
    <w:rsid w:val="00523FBA"/>
    <w:rsid w:val="00524079"/>
    <w:rsid w:val="00524D9C"/>
    <w:rsid w:val="005255C0"/>
    <w:rsid w:val="005258BD"/>
    <w:rsid w:val="00526890"/>
    <w:rsid w:val="0052764F"/>
    <w:rsid w:val="00527AFE"/>
    <w:rsid w:val="00532268"/>
    <w:rsid w:val="005328F4"/>
    <w:rsid w:val="00535220"/>
    <w:rsid w:val="00535C66"/>
    <w:rsid w:val="005360AA"/>
    <w:rsid w:val="00536293"/>
    <w:rsid w:val="00536ABE"/>
    <w:rsid w:val="00536E9D"/>
    <w:rsid w:val="0054001E"/>
    <w:rsid w:val="00540B74"/>
    <w:rsid w:val="00540B8B"/>
    <w:rsid w:val="00540ED6"/>
    <w:rsid w:val="00541C1D"/>
    <w:rsid w:val="005449AC"/>
    <w:rsid w:val="00544A16"/>
    <w:rsid w:val="00546360"/>
    <w:rsid w:val="005472EC"/>
    <w:rsid w:val="00547C82"/>
    <w:rsid w:val="00550A2D"/>
    <w:rsid w:val="0055122B"/>
    <w:rsid w:val="005520F7"/>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4"/>
    <w:rsid w:val="0057454E"/>
    <w:rsid w:val="00575D4F"/>
    <w:rsid w:val="00575F27"/>
    <w:rsid w:val="00575F67"/>
    <w:rsid w:val="00576947"/>
    <w:rsid w:val="0058036C"/>
    <w:rsid w:val="0058073B"/>
    <w:rsid w:val="00580815"/>
    <w:rsid w:val="00582289"/>
    <w:rsid w:val="0058235F"/>
    <w:rsid w:val="0058363F"/>
    <w:rsid w:val="00583A67"/>
    <w:rsid w:val="00584CB9"/>
    <w:rsid w:val="00585BD9"/>
    <w:rsid w:val="00587B74"/>
    <w:rsid w:val="00591696"/>
    <w:rsid w:val="0059294B"/>
    <w:rsid w:val="00593FF1"/>
    <w:rsid w:val="00594648"/>
    <w:rsid w:val="00594E77"/>
    <w:rsid w:val="005961D9"/>
    <w:rsid w:val="0059623B"/>
    <w:rsid w:val="00596D1D"/>
    <w:rsid w:val="00597613"/>
    <w:rsid w:val="00597972"/>
    <w:rsid w:val="005A0C5B"/>
    <w:rsid w:val="005A1839"/>
    <w:rsid w:val="005A2923"/>
    <w:rsid w:val="005A3759"/>
    <w:rsid w:val="005A44D9"/>
    <w:rsid w:val="005A5826"/>
    <w:rsid w:val="005A5F39"/>
    <w:rsid w:val="005A6ADE"/>
    <w:rsid w:val="005B3703"/>
    <w:rsid w:val="005B3B74"/>
    <w:rsid w:val="005B3D45"/>
    <w:rsid w:val="005B3D4C"/>
    <w:rsid w:val="005B615C"/>
    <w:rsid w:val="005B78C4"/>
    <w:rsid w:val="005C2412"/>
    <w:rsid w:val="005C2CEB"/>
    <w:rsid w:val="005C373B"/>
    <w:rsid w:val="005C3DD2"/>
    <w:rsid w:val="005C4AAA"/>
    <w:rsid w:val="005C5507"/>
    <w:rsid w:val="005C610A"/>
    <w:rsid w:val="005C724B"/>
    <w:rsid w:val="005D1442"/>
    <w:rsid w:val="005D1660"/>
    <w:rsid w:val="005D1922"/>
    <w:rsid w:val="005D2788"/>
    <w:rsid w:val="005D312C"/>
    <w:rsid w:val="005D4281"/>
    <w:rsid w:val="005D6E32"/>
    <w:rsid w:val="005D6F28"/>
    <w:rsid w:val="005E06D4"/>
    <w:rsid w:val="005E1521"/>
    <w:rsid w:val="005E3768"/>
    <w:rsid w:val="005E391C"/>
    <w:rsid w:val="005E448D"/>
    <w:rsid w:val="005E7513"/>
    <w:rsid w:val="005F064D"/>
    <w:rsid w:val="005F3618"/>
    <w:rsid w:val="005F512E"/>
    <w:rsid w:val="005F520F"/>
    <w:rsid w:val="005F5A21"/>
    <w:rsid w:val="005F6A04"/>
    <w:rsid w:val="00600458"/>
    <w:rsid w:val="0060118D"/>
    <w:rsid w:val="0060237C"/>
    <w:rsid w:val="006024EE"/>
    <w:rsid w:val="0060369E"/>
    <w:rsid w:val="00603824"/>
    <w:rsid w:val="00603ABD"/>
    <w:rsid w:val="0060530E"/>
    <w:rsid w:val="00605D75"/>
    <w:rsid w:val="006073B5"/>
    <w:rsid w:val="00610CE1"/>
    <w:rsid w:val="006113D8"/>
    <w:rsid w:val="00612C6B"/>
    <w:rsid w:val="006151E3"/>
    <w:rsid w:val="00615397"/>
    <w:rsid w:val="00616232"/>
    <w:rsid w:val="00620802"/>
    <w:rsid w:val="00620850"/>
    <w:rsid w:val="006209DF"/>
    <w:rsid w:val="00620DB5"/>
    <w:rsid w:val="00621A59"/>
    <w:rsid w:val="0062201A"/>
    <w:rsid w:val="006225AC"/>
    <w:rsid w:val="006230A9"/>
    <w:rsid w:val="00623799"/>
    <w:rsid w:val="00624D32"/>
    <w:rsid w:val="006273ED"/>
    <w:rsid w:val="00627ACC"/>
    <w:rsid w:val="00630C84"/>
    <w:rsid w:val="00630E19"/>
    <w:rsid w:val="0063256A"/>
    <w:rsid w:val="006326D0"/>
    <w:rsid w:val="00632DE9"/>
    <w:rsid w:val="00634EB5"/>
    <w:rsid w:val="0063516D"/>
    <w:rsid w:val="00635AE1"/>
    <w:rsid w:val="00635DA6"/>
    <w:rsid w:val="00640BE5"/>
    <w:rsid w:val="00641212"/>
    <w:rsid w:val="006416B8"/>
    <w:rsid w:val="00641862"/>
    <w:rsid w:val="0064349A"/>
    <w:rsid w:val="00643E46"/>
    <w:rsid w:val="00646058"/>
    <w:rsid w:val="006466B3"/>
    <w:rsid w:val="0064692D"/>
    <w:rsid w:val="00646ED2"/>
    <w:rsid w:val="00646FCC"/>
    <w:rsid w:val="0064750C"/>
    <w:rsid w:val="00651F0A"/>
    <w:rsid w:val="00652EB5"/>
    <w:rsid w:val="006540C5"/>
    <w:rsid w:val="006543FB"/>
    <w:rsid w:val="006549F5"/>
    <w:rsid w:val="00655505"/>
    <w:rsid w:val="00655554"/>
    <w:rsid w:val="00655AA7"/>
    <w:rsid w:val="00655F80"/>
    <w:rsid w:val="00656541"/>
    <w:rsid w:val="006577B0"/>
    <w:rsid w:val="00660216"/>
    <w:rsid w:val="006621E9"/>
    <w:rsid w:val="00662904"/>
    <w:rsid w:val="006634C5"/>
    <w:rsid w:val="0066441D"/>
    <w:rsid w:val="00664A57"/>
    <w:rsid w:val="00664C73"/>
    <w:rsid w:val="00665455"/>
    <w:rsid w:val="00671999"/>
    <w:rsid w:val="006764EA"/>
    <w:rsid w:val="00677B03"/>
    <w:rsid w:val="00677B9C"/>
    <w:rsid w:val="00677DDE"/>
    <w:rsid w:val="00680B65"/>
    <w:rsid w:val="00680DD6"/>
    <w:rsid w:val="00681287"/>
    <w:rsid w:val="006815A6"/>
    <w:rsid w:val="00681FD9"/>
    <w:rsid w:val="0068285E"/>
    <w:rsid w:val="006831B4"/>
    <w:rsid w:val="006848D5"/>
    <w:rsid w:val="00684EF6"/>
    <w:rsid w:val="006856E2"/>
    <w:rsid w:val="006869C2"/>
    <w:rsid w:val="006901D1"/>
    <w:rsid w:val="00690E46"/>
    <w:rsid w:val="00691524"/>
    <w:rsid w:val="00693451"/>
    <w:rsid w:val="00693743"/>
    <w:rsid w:val="00693995"/>
    <w:rsid w:val="00693C61"/>
    <w:rsid w:val="00695397"/>
    <w:rsid w:val="0069562F"/>
    <w:rsid w:val="006A177A"/>
    <w:rsid w:val="006A1A5D"/>
    <w:rsid w:val="006A2EE6"/>
    <w:rsid w:val="006A3267"/>
    <w:rsid w:val="006A3790"/>
    <w:rsid w:val="006A4533"/>
    <w:rsid w:val="006A5968"/>
    <w:rsid w:val="006A5F8B"/>
    <w:rsid w:val="006A600F"/>
    <w:rsid w:val="006A6699"/>
    <w:rsid w:val="006B06CA"/>
    <w:rsid w:val="006B1A6D"/>
    <w:rsid w:val="006B2B00"/>
    <w:rsid w:val="006B2FA8"/>
    <w:rsid w:val="006B3210"/>
    <w:rsid w:val="006B3E08"/>
    <w:rsid w:val="006B49AE"/>
    <w:rsid w:val="006B529B"/>
    <w:rsid w:val="006C039B"/>
    <w:rsid w:val="006C2742"/>
    <w:rsid w:val="006C3BAF"/>
    <w:rsid w:val="006C4536"/>
    <w:rsid w:val="006C46F3"/>
    <w:rsid w:val="006C4D4E"/>
    <w:rsid w:val="006C51E2"/>
    <w:rsid w:val="006C5247"/>
    <w:rsid w:val="006C588E"/>
    <w:rsid w:val="006C62F8"/>
    <w:rsid w:val="006C71BB"/>
    <w:rsid w:val="006D0225"/>
    <w:rsid w:val="006D071F"/>
    <w:rsid w:val="006D1276"/>
    <w:rsid w:val="006D13C4"/>
    <w:rsid w:val="006D1E5C"/>
    <w:rsid w:val="006D2C14"/>
    <w:rsid w:val="006D3945"/>
    <w:rsid w:val="006D4950"/>
    <w:rsid w:val="006D4C15"/>
    <w:rsid w:val="006D5A72"/>
    <w:rsid w:val="006D7692"/>
    <w:rsid w:val="006E1753"/>
    <w:rsid w:val="006E25A0"/>
    <w:rsid w:val="006E34B8"/>
    <w:rsid w:val="006E3BF0"/>
    <w:rsid w:val="006E4E29"/>
    <w:rsid w:val="006E5D2E"/>
    <w:rsid w:val="006E670A"/>
    <w:rsid w:val="006E7C63"/>
    <w:rsid w:val="006F0C2E"/>
    <w:rsid w:val="006F15E9"/>
    <w:rsid w:val="006F252A"/>
    <w:rsid w:val="006F27FC"/>
    <w:rsid w:val="006F3153"/>
    <w:rsid w:val="006F4B6F"/>
    <w:rsid w:val="006F4F6D"/>
    <w:rsid w:val="006F6668"/>
    <w:rsid w:val="006F7354"/>
    <w:rsid w:val="0070008A"/>
    <w:rsid w:val="007021FA"/>
    <w:rsid w:val="0070357F"/>
    <w:rsid w:val="00703DA7"/>
    <w:rsid w:val="00703E05"/>
    <w:rsid w:val="00703E2D"/>
    <w:rsid w:val="00704A16"/>
    <w:rsid w:val="00705262"/>
    <w:rsid w:val="00705CA5"/>
    <w:rsid w:val="0070653C"/>
    <w:rsid w:val="00706ED7"/>
    <w:rsid w:val="00710289"/>
    <w:rsid w:val="00711085"/>
    <w:rsid w:val="00712ECC"/>
    <w:rsid w:val="00713444"/>
    <w:rsid w:val="0071374E"/>
    <w:rsid w:val="00714B6A"/>
    <w:rsid w:val="00716D0A"/>
    <w:rsid w:val="00717AF6"/>
    <w:rsid w:val="00720157"/>
    <w:rsid w:val="00720579"/>
    <w:rsid w:val="0072084E"/>
    <w:rsid w:val="00721ECF"/>
    <w:rsid w:val="00722D13"/>
    <w:rsid w:val="007230FE"/>
    <w:rsid w:val="00725BEA"/>
    <w:rsid w:val="00726409"/>
    <w:rsid w:val="007306D1"/>
    <w:rsid w:val="00730BE2"/>
    <w:rsid w:val="00732046"/>
    <w:rsid w:val="007335EB"/>
    <w:rsid w:val="00733707"/>
    <w:rsid w:val="007337E0"/>
    <w:rsid w:val="007344C3"/>
    <w:rsid w:val="00736C31"/>
    <w:rsid w:val="00737786"/>
    <w:rsid w:val="007419A1"/>
    <w:rsid w:val="0074239D"/>
    <w:rsid w:val="00742CE1"/>
    <w:rsid w:val="0074372C"/>
    <w:rsid w:val="00744C7C"/>
    <w:rsid w:val="00745862"/>
    <w:rsid w:val="00746657"/>
    <w:rsid w:val="0074687F"/>
    <w:rsid w:val="00746973"/>
    <w:rsid w:val="00747C4D"/>
    <w:rsid w:val="00751055"/>
    <w:rsid w:val="0075128B"/>
    <w:rsid w:val="007517A4"/>
    <w:rsid w:val="00751CEF"/>
    <w:rsid w:val="00752124"/>
    <w:rsid w:val="007540CE"/>
    <w:rsid w:val="00754741"/>
    <w:rsid w:val="00754BBB"/>
    <w:rsid w:val="0075585E"/>
    <w:rsid w:val="00755A77"/>
    <w:rsid w:val="007631D1"/>
    <w:rsid w:val="007635AC"/>
    <w:rsid w:val="00766B38"/>
    <w:rsid w:val="007708EF"/>
    <w:rsid w:val="00771109"/>
    <w:rsid w:val="00772458"/>
    <w:rsid w:val="00773CE7"/>
    <w:rsid w:val="00775812"/>
    <w:rsid w:val="00781068"/>
    <w:rsid w:val="00781AFB"/>
    <w:rsid w:val="00782461"/>
    <w:rsid w:val="0078261F"/>
    <w:rsid w:val="007833DA"/>
    <w:rsid w:val="00783492"/>
    <w:rsid w:val="00784522"/>
    <w:rsid w:val="0078470A"/>
    <w:rsid w:val="00784C15"/>
    <w:rsid w:val="0078583D"/>
    <w:rsid w:val="00785939"/>
    <w:rsid w:val="00785D73"/>
    <w:rsid w:val="00786FA8"/>
    <w:rsid w:val="00787AF1"/>
    <w:rsid w:val="00787CCD"/>
    <w:rsid w:val="0079132B"/>
    <w:rsid w:val="0079226B"/>
    <w:rsid w:val="0079360E"/>
    <w:rsid w:val="00795245"/>
    <w:rsid w:val="00795AF3"/>
    <w:rsid w:val="007969E6"/>
    <w:rsid w:val="00796DA1"/>
    <w:rsid w:val="007A28F8"/>
    <w:rsid w:val="007A2C57"/>
    <w:rsid w:val="007A3440"/>
    <w:rsid w:val="007A34B3"/>
    <w:rsid w:val="007A3779"/>
    <w:rsid w:val="007B07C7"/>
    <w:rsid w:val="007B1039"/>
    <w:rsid w:val="007B1644"/>
    <w:rsid w:val="007B33F8"/>
    <w:rsid w:val="007B3469"/>
    <w:rsid w:val="007B3B6F"/>
    <w:rsid w:val="007B3C34"/>
    <w:rsid w:val="007B3F3D"/>
    <w:rsid w:val="007B413B"/>
    <w:rsid w:val="007B4FD7"/>
    <w:rsid w:val="007B5461"/>
    <w:rsid w:val="007B5904"/>
    <w:rsid w:val="007B6474"/>
    <w:rsid w:val="007B7F0F"/>
    <w:rsid w:val="007C0E6F"/>
    <w:rsid w:val="007C19EC"/>
    <w:rsid w:val="007C2F55"/>
    <w:rsid w:val="007C342D"/>
    <w:rsid w:val="007C3C7F"/>
    <w:rsid w:val="007C42F3"/>
    <w:rsid w:val="007C4E33"/>
    <w:rsid w:val="007C4E34"/>
    <w:rsid w:val="007C51EB"/>
    <w:rsid w:val="007C60E2"/>
    <w:rsid w:val="007C7435"/>
    <w:rsid w:val="007D158A"/>
    <w:rsid w:val="007D5345"/>
    <w:rsid w:val="007D5B1C"/>
    <w:rsid w:val="007D6B90"/>
    <w:rsid w:val="007D6D87"/>
    <w:rsid w:val="007D6FD6"/>
    <w:rsid w:val="007E0ADA"/>
    <w:rsid w:val="007E15CF"/>
    <w:rsid w:val="007E1DB4"/>
    <w:rsid w:val="007E27F6"/>
    <w:rsid w:val="007E4102"/>
    <w:rsid w:val="007E45A6"/>
    <w:rsid w:val="007E5866"/>
    <w:rsid w:val="007E7C76"/>
    <w:rsid w:val="007E7E6F"/>
    <w:rsid w:val="007F04C7"/>
    <w:rsid w:val="007F07AF"/>
    <w:rsid w:val="007F2330"/>
    <w:rsid w:val="007F2A44"/>
    <w:rsid w:val="007F40CC"/>
    <w:rsid w:val="007F4F20"/>
    <w:rsid w:val="007F6E2B"/>
    <w:rsid w:val="007F7699"/>
    <w:rsid w:val="007F773D"/>
    <w:rsid w:val="008003C8"/>
    <w:rsid w:val="00801688"/>
    <w:rsid w:val="00802118"/>
    <w:rsid w:val="00802E12"/>
    <w:rsid w:val="00804065"/>
    <w:rsid w:val="008047DD"/>
    <w:rsid w:val="0080611B"/>
    <w:rsid w:val="00806213"/>
    <w:rsid w:val="008121D7"/>
    <w:rsid w:val="00812B80"/>
    <w:rsid w:val="008135B0"/>
    <w:rsid w:val="008168A2"/>
    <w:rsid w:val="008172EA"/>
    <w:rsid w:val="00820421"/>
    <w:rsid w:val="008213E7"/>
    <w:rsid w:val="0082147C"/>
    <w:rsid w:val="00821687"/>
    <w:rsid w:val="0082217D"/>
    <w:rsid w:val="00822A40"/>
    <w:rsid w:val="00823683"/>
    <w:rsid w:val="008236C7"/>
    <w:rsid w:val="00823E67"/>
    <w:rsid w:val="008248D6"/>
    <w:rsid w:val="00825272"/>
    <w:rsid w:val="00826045"/>
    <w:rsid w:val="008307DB"/>
    <w:rsid w:val="00830A48"/>
    <w:rsid w:val="0083107C"/>
    <w:rsid w:val="00833331"/>
    <w:rsid w:val="00833C36"/>
    <w:rsid w:val="00834B96"/>
    <w:rsid w:val="00836409"/>
    <w:rsid w:val="00836415"/>
    <w:rsid w:val="0083644A"/>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0EA6"/>
    <w:rsid w:val="0086268A"/>
    <w:rsid w:val="00864258"/>
    <w:rsid w:val="008644EC"/>
    <w:rsid w:val="00864B15"/>
    <w:rsid w:val="00864D3B"/>
    <w:rsid w:val="00865A57"/>
    <w:rsid w:val="00865C18"/>
    <w:rsid w:val="0086621E"/>
    <w:rsid w:val="00866542"/>
    <w:rsid w:val="0086717D"/>
    <w:rsid w:val="00867E2B"/>
    <w:rsid w:val="0087121E"/>
    <w:rsid w:val="00873619"/>
    <w:rsid w:val="00876B32"/>
    <w:rsid w:val="00882CB8"/>
    <w:rsid w:val="00883949"/>
    <w:rsid w:val="00884366"/>
    <w:rsid w:val="00884650"/>
    <w:rsid w:val="008851B9"/>
    <w:rsid w:val="00885F50"/>
    <w:rsid w:val="00886E0C"/>
    <w:rsid w:val="00887314"/>
    <w:rsid w:val="00890EB4"/>
    <w:rsid w:val="00890F66"/>
    <w:rsid w:val="00891D35"/>
    <w:rsid w:val="00893901"/>
    <w:rsid w:val="0089667B"/>
    <w:rsid w:val="0089728F"/>
    <w:rsid w:val="008A0874"/>
    <w:rsid w:val="008A0FF6"/>
    <w:rsid w:val="008A28F5"/>
    <w:rsid w:val="008A2A11"/>
    <w:rsid w:val="008A4795"/>
    <w:rsid w:val="008A5028"/>
    <w:rsid w:val="008A51AD"/>
    <w:rsid w:val="008A73B4"/>
    <w:rsid w:val="008B2982"/>
    <w:rsid w:val="008B2F05"/>
    <w:rsid w:val="008B456E"/>
    <w:rsid w:val="008B4AC3"/>
    <w:rsid w:val="008B51B9"/>
    <w:rsid w:val="008B5BC6"/>
    <w:rsid w:val="008B6119"/>
    <w:rsid w:val="008B62FA"/>
    <w:rsid w:val="008B7153"/>
    <w:rsid w:val="008C03AD"/>
    <w:rsid w:val="008C055D"/>
    <w:rsid w:val="008C0E35"/>
    <w:rsid w:val="008C11EE"/>
    <w:rsid w:val="008C1485"/>
    <w:rsid w:val="008C175C"/>
    <w:rsid w:val="008C2DAF"/>
    <w:rsid w:val="008C3720"/>
    <w:rsid w:val="008C3CCD"/>
    <w:rsid w:val="008C5F7D"/>
    <w:rsid w:val="008C668F"/>
    <w:rsid w:val="008C6C13"/>
    <w:rsid w:val="008D2DBA"/>
    <w:rsid w:val="008D530C"/>
    <w:rsid w:val="008D56D1"/>
    <w:rsid w:val="008D58AA"/>
    <w:rsid w:val="008D638B"/>
    <w:rsid w:val="008D69E4"/>
    <w:rsid w:val="008D760B"/>
    <w:rsid w:val="008D7ECE"/>
    <w:rsid w:val="008E01A0"/>
    <w:rsid w:val="008E14F2"/>
    <w:rsid w:val="008E1BF6"/>
    <w:rsid w:val="008E44FF"/>
    <w:rsid w:val="008E5A58"/>
    <w:rsid w:val="008E5F96"/>
    <w:rsid w:val="008E6FB7"/>
    <w:rsid w:val="008E7557"/>
    <w:rsid w:val="008E7FE5"/>
    <w:rsid w:val="008F171A"/>
    <w:rsid w:val="008F1874"/>
    <w:rsid w:val="008F1922"/>
    <w:rsid w:val="008F25DF"/>
    <w:rsid w:val="008F29E0"/>
    <w:rsid w:val="008F2FD9"/>
    <w:rsid w:val="008F4D40"/>
    <w:rsid w:val="008F4FCE"/>
    <w:rsid w:val="008F63E4"/>
    <w:rsid w:val="008F76B2"/>
    <w:rsid w:val="008F7843"/>
    <w:rsid w:val="008F7E50"/>
    <w:rsid w:val="00900008"/>
    <w:rsid w:val="00900E6A"/>
    <w:rsid w:val="00902EB1"/>
    <w:rsid w:val="00904A94"/>
    <w:rsid w:val="00904C01"/>
    <w:rsid w:val="009050BB"/>
    <w:rsid w:val="00905110"/>
    <w:rsid w:val="00905195"/>
    <w:rsid w:val="00905609"/>
    <w:rsid w:val="00905934"/>
    <w:rsid w:val="00905F7A"/>
    <w:rsid w:val="00906A31"/>
    <w:rsid w:val="00906A38"/>
    <w:rsid w:val="00906B1B"/>
    <w:rsid w:val="009073D2"/>
    <w:rsid w:val="00910398"/>
    <w:rsid w:val="0091039C"/>
    <w:rsid w:val="00911640"/>
    <w:rsid w:val="0091213F"/>
    <w:rsid w:val="00912783"/>
    <w:rsid w:val="0091335C"/>
    <w:rsid w:val="00913D36"/>
    <w:rsid w:val="0091451C"/>
    <w:rsid w:val="00915C3E"/>
    <w:rsid w:val="00915D45"/>
    <w:rsid w:val="00916C5E"/>
    <w:rsid w:val="00920088"/>
    <w:rsid w:val="009205D2"/>
    <w:rsid w:val="00922DF5"/>
    <w:rsid w:val="00923349"/>
    <w:rsid w:val="0092394F"/>
    <w:rsid w:val="00923CE8"/>
    <w:rsid w:val="009252D3"/>
    <w:rsid w:val="0092541C"/>
    <w:rsid w:val="00926002"/>
    <w:rsid w:val="00930061"/>
    <w:rsid w:val="00930EBA"/>
    <w:rsid w:val="0093151F"/>
    <w:rsid w:val="0093268C"/>
    <w:rsid w:val="0093309F"/>
    <w:rsid w:val="00934728"/>
    <w:rsid w:val="009347A5"/>
    <w:rsid w:val="00935580"/>
    <w:rsid w:val="009366E0"/>
    <w:rsid w:val="00936EB3"/>
    <w:rsid w:val="00940622"/>
    <w:rsid w:val="009412D9"/>
    <w:rsid w:val="00943FB1"/>
    <w:rsid w:val="00944730"/>
    <w:rsid w:val="00944858"/>
    <w:rsid w:val="00944EBB"/>
    <w:rsid w:val="009471B5"/>
    <w:rsid w:val="009471D1"/>
    <w:rsid w:val="009502D3"/>
    <w:rsid w:val="00950300"/>
    <w:rsid w:val="00951A6C"/>
    <w:rsid w:val="00952928"/>
    <w:rsid w:val="009531DA"/>
    <w:rsid w:val="00953CFD"/>
    <w:rsid w:val="00954025"/>
    <w:rsid w:val="009540FD"/>
    <w:rsid w:val="0095531C"/>
    <w:rsid w:val="0095579C"/>
    <w:rsid w:val="00956E7E"/>
    <w:rsid w:val="0096466E"/>
    <w:rsid w:val="0096539B"/>
    <w:rsid w:val="00966487"/>
    <w:rsid w:val="009664B9"/>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65FE"/>
    <w:rsid w:val="00987014"/>
    <w:rsid w:val="009871AC"/>
    <w:rsid w:val="00990892"/>
    <w:rsid w:val="00993523"/>
    <w:rsid w:val="00994EE9"/>
    <w:rsid w:val="0099627F"/>
    <w:rsid w:val="00997443"/>
    <w:rsid w:val="00997531"/>
    <w:rsid w:val="009A02B6"/>
    <w:rsid w:val="009A1BA1"/>
    <w:rsid w:val="009A2A81"/>
    <w:rsid w:val="009A2AFB"/>
    <w:rsid w:val="009A2D49"/>
    <w:rsid w:val="009A2DE2"/>
    <w:rsid w:val="009A386E"/>
    <w:rsid w:val="009A3B62"/>
    <w:rsid w:val="009A3ED4"/>
    <w:rsid w:val="009A3F76"/>
    <w:rsid w:val="009A4F48"/>
    <w:rsid w:val="009A4F6E"/>
    <w:rsid w:val="009A56EE"/>
    <w:rsid w:val="009A5C47"/>
    <w:rsid w:val="009A68E7"/>
    <w:rsid w:val="009A6BC5"/>
    <w:rsid w:val="009B0164"/>
    <w:rsid w:val="009B2948"/>
    <w:rsid w:val="009B2B90"/>
    <w:rsid w:val="009B4A92"/>
    <w:rsid w:val="009B4B7B"/>
    <w:rsid w:val="009B4CB6"/>
    <w:rsid w:val="009B66C0"/>
    <w:rsid w:val="009B6D07"/>
    <w:rsid w:val="009B72A1"/>
    <w:rsid w:val="009B74A5"/>
    <w:rsid w:val="009B7FB4"/>
    <w:rsid w:val="009C008A"/>
    <w:rsid w:val="009C0E90"/>
    <w:rsid w:val="009C24F9"/>
    <w:rsid w:val="009C54B7"/>
    <w:rsid w:val="009C638A"/>
    <w:rsid w:val="009C64C1"/>
    <w:rsid w:val="009D023E"/>
    <w:rsid w:val="009D1FD3"/>
    <w:rsid w:val="009D3AAC"/>
    <w:rsid w:val="009D536E"/>
    <w:rsid w:val="009D5B63"/>
    <w:rsid w:val="009D6C48"/>
    <w:rsid w:val="009D6CA9"/>
    <w:rsid w:val="009D7DD7"/>
    <w:rsid w:val="009E1679"/>
    <w:rsid w:val="009E1BE9"/>
    <w:rsid w:val="009E2348"/>
    <w:rsid w:val="009E239E"/>
    <w:rsid w:val="009E2501"/>
    <w:rsid w:val="009E271D"/>
    <w:rsid w:val="009E362F"/>
    <w:rsid w:val="009E40DF"/>
    <w:rsid w:val="009E59CA"/>
    <w:rsid w:val="009E5C22"/>
    <w:rsid w:val="009E6611"/>
    <w:rsid w:val="009E7B64"/>
    <w:rsid w:val="009F12DB"/>
    <w:rsid w:val="009F1879"/>
    <w:rsid w:val="009F1AEE"/>
    <w:rsid w:val="009F1DB1"/>
    <w:rsid w:val="009F1EA5"/>
    <w:rsid w:val="009F244B"/>
    <w:rsid w:val="009F326E"/>
    <w:rsid w:val="009F5E68"/>
    <w:rsid w:val="009F69E5"/>
    <w:rsid w:val="009F7476"/>
    <w:rsid w:val="009F768D"/>
    <w:rsid w:val="00A00F26"/>
    <w:rsid w:val="00A018F7"/>
    <w:rsid w:val="00A02290"/>
    <w:rsid w:val="00A02ABC"/>
    <w:rsid w:val="00A039B4"/>
    <w:rsid w:val="00A04AF0"/>
    <w:rsid w:val="00A0555A"/>
    <w:rsid w:val="00A063F2"/>
    <w:rsid w:val="00A0799C"/>
    <w:rsid w:val="00A07D8F"/>
    <w:rsid w:val="00A102A5"/>
    <w:rsid w:val="00A12531"/>
    <w:rsid w:val="00A129CB"/>
    <w:rsid w:val="00A13C95"/>
    <w:rsid w:val="00A15615"/>
    <w:rsid w:val="00A1641A"/>
    <w:rsid w:val="00A1707A"/>
    <w:rsid w:val="00A177B8"/>
    <w:rsid w:val="00A17A00"/>
    <w:rsid w:val="00A215E2"/>
    <w:rsid w:val="00A2164F"/>
    <w:rsid w:val="00A21E7C"/>
    <w:rsid w:val="00A23803"/>
    <w:rsid w:val="00A2496D"/>
    <w:rsid w:val="00A249F6"/>
    <w:rsid w:val="00A2509D"/>
    <w:rsid w:val="00A250AD"/>
    <w:rsid w:val="00A26704"/>
    <w:rsid w:val="00A27248"/>
    <w:rsid w:val="00A27289"/>
    <w:rsid w:val="00A3099F"/>
    <w:rsid w:val="00A30CA8"/>
    <w:rsid w:val="00A321F9"/>
    <w:rsid w:val="00A34AEC"/>
    <w:rsid w:val="00A35AA0"/>
    <w:rsid w:val="00A35AFD"/>
    <w:rsid w:val="00A3659B"/>
    <w:rsid w:val="00A37C47"/>
    <w:rsid w:val="00A40295"/>
    <w:rsid w:val="00A40731"/>
    <w:rsid w:val="00A40A39"/>
    <w:rsid w:val="00A4263F"/>
    <w:rsid w:val="00A429D5"/>
    <w:rsid w:val="00A42E39"/>
    <w:rsid w:val="00A433E2"/>
    <w:rsid w:val="00A43A0F"/>
    <w:rsid w:val="00A445FE"/>
    <w:rsid w:val="00A448EF"/>
    <w:rsid w:val="00A4598C"/>
    <w:rsid w:val="00A45BB4"/>
    <w:rsid w:val="00A46087"/>
    <w:rsid w:val="00A506EF"/>
    <w:rsid w:val="00A50A59"/>
    <w:rsid w:val="00A510EE"/>
    <w:rsid w:val="00A51638"/>
    <w:rsid w:val="00A51F60"/>
    <w:rsid w:val="00A52A4E"/>
    <w:rsid w:val="00A5343C"/>
    <w:rsid w:val="00A53A01"/>
    <w:rsid w:val="00A54A17"/>
    <w:rsid w:val="00A55081"/>
    <w:rsid w:val="00A5538B"/>
    <w:rsid w:val="00A57796"/>
    <w:rsid w:val="00A57AB1"/>
    <w:rsid w:val="00A61589"/>
    <w:rsid w:val="00A635D9"/>
    <w:rsid w:val="00A64836"/>
    <w:rsid w:val="00A64C8D"/>
    <w:rsid w:val="00A6721B"/>
    <w:rsid w:val="00A70355"/>
    <w:rsid w:val="00A7046F"/>
    <w:rsid w:val="00A711A7"/>
    <w:rsid w:val="00A71E4D"/>
    <w:rsid w:val="00A73547"/>
    <w:rsid w:val="00A73D17"/>
    <w:rsid w:val="00A73D4F"/>
    <w:rsid w:val="00A74128"/>
    <w:rsid w:val="00A7484B"/>
    <w:rsid w:val="00A7538D"/>
    <w:rsid w:val="00A75DD6"/>
    <w:rsid w:val="00A7618B"/>
    <w:rsid w:val="00A7646D"/>
    <w:rsid w:val="00A77155"/>
    <w:rsid w:val="00A774E2"/>
    <w:rsid w:val="00A77757"/>
    <w:rsid w:val="00A77C4C"/>
    <w:rsid w:val="00A8008F"/>
    <w:rsid w:val="00A8092D"/>
    <w:rsid w:val="00A80D3B"/>
    <w:rsid w:val="00A80E74"/>
    <w:rsid w:val="00A851A4"/>
    <w:rsid w:val="00A86BD8"/>
    <w:rsid w:val="00A86FE7"/>
    <w:rsid w:val="00A8787E"/>
    <w:rsid w:val="00A87D88"/>
    <w:rsid w:val="00A87EDF"/>
    <w:rsid w:val="00A87F8C"/>
    <w:rsid w:val="00A90897"/>
    <w:rsid w:val="00A909E1"/>
    <w:rsid w:val="00A90C67"/>
    <w:rsid w:val="00A92B4B"/>
    <w:rsid w:val="00A93509"/>
    <w:rsid w:val="00A935BC"/>
    <w:rsid w:val="00A93D80"/>
    <w:rsid w:val="00A940DD"/>
    <w:rsid w:val="00A9585F"/>
    <w:rsid w:val="00A96DA4"/>
    <w:rsid w:val="00A97150"/>
    <w:rsid w:val="00AA013D"/>
    <w:rsid w:val="00AA0422"/>
    <w:rsid w:val="00AA1496"/>
    <w:rsid w:val="00AA155D"/>
    <w:rsid w:val="00AA1B0F"/>
    <w:rsid w:val="00AA3354"/>
    <w:rsid w:val="00AA3C3C"/>
    <w:rsid w:val="00AA3D06"/>
    <w:rsid w:val="00AA4899"/>
    <w:rsid w:val="00AA4D37"/>
    <w:rsid w:val="00AA59F2"/>
    <w:rsid w:val="00AA639F"/>
    <w:rsid w:val="00AA6461"/>
    <w:rsid w:val="00AA753E"/>
    <w:rsid w:val="00AA7E15"/>
    <w:rsid w:val="00AB16AD"/>
    <w:rsid w:val="00AB1FDD"/>
    <w:rsid w:val="00AB24CE"/>
    <w:rsid w:val="00AB3CE6"/>
    <w:rsid w:val="00AB3E2B"/>
    <w:rsid w:val="00AB65C7"/>
    <w:rsid w:val="00AB671D"/>
    <w:rsid w:val="00AB6BFE"/>
    <w:rsid w:val="00AB7130"/>
    <w:rsid w:val="00AB7311"/>
    <w:rsid w:val="00AC0D42"/>
    <w:rsid w:val="00AC2C30"/>
    <w:rsid w:val="00AC2CE1"/>
    <w:rsid w:val="00AC3007"/>
    <w:rsid w:val="00AC350C"/>
    <w:rsid w:val="00AC3558"/>
    <w:rsid w:val="00AC3A1B"/>
    <w:rsid w:val="00AC46EE"/>
    <w:rsid w:val="00AC5254"/>
    <w:rsid w:val="00AC701A"/>
    <w:rsid w:val="00AC74A3"/>
    <w:rsid w:val="00AC7DAD"/>
    <w:rsid w:val="00AD02BB"/>
    <w:rsid w:val="00AD0393"/>
    <w:rsid w:val="00AD11DB"/>
    <w:rsid w:val="00AD2E14"/>
    <w:rsid w:val="00AD344D"/>
    <w:rsid w:val="00AD3B76"/>
    <w:rsid w:val="00AD3F55"/>
    <w:rsid w:val="00AD49BE"/>
    <w:rsid w:val="00AD4CFD"/>
    <w:rsid w:val="00AD53F5"/>
    <w:rsid w:val="00AD5E7B"/>
    <w:rsid w:val="00AD7989"/>
    <w:rsid w:val="00AE03D1"/>
    <w:rsid w:val="00AE0BFC"/>
    <w:rsid w:val="00AE1199"/>
    <w:rsid w:val="00AE1A08"/>
    <w:rsid w:val="00AE1BBA"/>
    <w:rsid w:val="00AE26B7"/>
    <w:rsid w:val="00AE4BA3"/>
    <w:rsid w:val="00AE5CD5"/>
    <w:rsid w:val="00AE7E8A"/>
    <w:rsid w:val="00AF32D8"/>
    <w:rsid w:val="00AF3F64"/>
    <w:rsid w:val="00AF40CA"/>
    <w:rsid w:val="00AF4C64"/>
    <w:rsid w:val="00AF6217"/>
    <w:rsid w:val="00AF70FF"/>
    <w:rsid w:val="00B00E05"/>
    <w:rsid w:val="00B01BE5"/>
    <w:rsid w:val="00B02385"/>
    <w:rsid w:val="00B03878"/>
    <w:rsid w:val="00B0522F"/>
    <w:rsid w:val="00B06DDF"/>
    <w:rsid w:val="00B07809"/>
    <w:rsid w:val="00B079A5"/>
    <w:rsid w:val="00B115D7"/>
    <w:rsid w:val="00B11C89"/>
    <w:rsid w:val="00B12A51"/>
    <w:rsid w:val="00B12D7A"/>
    <w:rsid w:val="00B134C7"/>
    <w:rsid w:val="00B136CC"/>
    <w:rsid w:val="00B143BA"/>
    <w:rsid w:val="00B14545"/>
    <w:rsid w:val="00B14EDA"/>
    <w:rsid w:val="00B17521"/>
    <w:rsid w:val="00B17683"/>
    <w:rsid w:val="00B20FAA"/>
    <w:rsid w:val="00B21806"/>
    <w:rsid w:val="00B21CD8"/>
    <w:rsid w:val="00B21FBA"/>
    <w:rsid w:val="00B23036"/>
    <w:rsid w:val="00B23264"/>
    <w:rsid w:val="00B265EF"/>
    <w:rsid w:val="00B2793E"/>
    <w:rsid w:val="00B3022C"/>
    <w:rsid w:val="00B304DA"/>
    <w:rsid w:val="00B32ABD"/>
    <w:rsid w:val="00B32E35"/>
    <w:rsid w:val="00B33B37"/>
    <w:rsid w:val="00B34A3B"/>
    <w:rsid w:val="00B35017"/>
    <w:rsid w:val="00B358BA"/>
    <w:rsid w:val="00B374E5"/>
    <w:rsid w:val="00B3764A"/>
    <w:rsid w:val="00B37AA5"/>
    <w:rsid w:val="00B40D86"/>
    <w:rsid w:val="00B41FA0"/>
    <w:rsid w:val="00B42826"/>
    <w:rsid w:val="00B430FA"/>
    <w:rsid w:val="00B43982"/>
    <w:rsid w:val="00B459AF"/>
    <w:rsid w:val="00B45DB6"/>
    <w:rsid w:val="00B475B6"/>
    <w:rsid w:val="00B51089"/>
    <w:rsid w:val="00B54049"/>
    <w:rsid w:val="00B54541"/>
    <w:rsid w:val="00B55219"/>
    <w:rsid w:val="00B55807"/>
    <w:rsid w:val="00B55869"/>
    <w:rsid w:val="00B55A2C"/>
    <w:rsid w:val="00B567F1"/>
    <w:rsid w:val="00B569FA"/>
    <w:rsid w:val="00B571D3"/>
    <w:rsid w:val="00B60E2D"/>
    <w:rsid w:val="00B635A5"/>
    <w:rsid w:val="00B63974"/>
    <w:rsid w:val="00B63BE5"/>
    <w:rsid w:val="00B64CAA"/>
    <w:rsid w:val="00B66D36"/>
    <w:rsid w:val="00B67568"/>
    <w:rsid w:val="00B7272B"/>
    <w:rsid w:val="00B732FB"/>
    <w:rsid w:val="00B7342D"/>
    <w:rsid w:val="00B73BCE"/>
    <w:rsid w:val="00B743E6"/>
    <w:rsid w:val="00B7490A"/>
    <w:rsid w:val="00B759EC"/>
    <w:rsid w:val="00B75F96"/>
    <w:rsid w:val="00B762BE"/>
    <w:rsid w:val="00B773AD"/>
    <w:rsid w:val="00B774F6"/>
    <w:rsid w:val="00B778CB"/>
    <w:rsid w:val="00B805CD"/>
    <w:rsid w:val="00B809D9"/>
    <w:rsid w:val="00B8168B"/>
    <w:rsid w:val="00B824F8"/>
    <w:rsid w:val="00B82AB8"/>
    <w:rsid w:val="00B8362D"/>
    <w:rsid w:val="00B8368B"/>
    <w:rsid w:val="00B83A9E"/>
    <w:rsid w:val="00B85935"/>
    <w:rsid w:val="00B85EF2"/>
    <w:rsid w:val="00B86F52"/>
    <w:rsid w:val="00B875AC"/>
    <w:rsid w:val="00B878F5"/>
    <w:rsid w:val="00B91893"/>
    <w:rsid w:val="00B926BD"/>
    <w:rsid w:val="00B92DE8"/>
    <w:rsid w:val="00B93D8F"/>
    <w:rsid w:val="00B96A32"/>
    <w:rsid w:val="00B9799D"/>
    <w:rsid w:val="00B97E28"/>
    <w:rsid w:val="00BA0417"/>
    <w:rsid w:val="00BA0471"/>
    <w:rsid w:val="00BA1322"/>
    <w:rsid w:val="00BA25FD"/>
    <w:rsid w:val="00BA2D85"/>
    <w:rsid w:val="00BA3814"/>
    <w:rsid w:val="00BA3A60"/>
    <w:rsid w:val="00BA3AA7"/>
    <w:rsid w:val="00BA3C3F"/>
    <w:rsid w:val="00BA5747"/>
    <w:rsid w:val="00BA5CEA"/>
    <w:rsid w:val="00BA5CFD"/>
    <w:rsid w:val="00BA690D"/>
    <w:rsid w:val="00BA6AB5"/>
    <w:rsid w:val="00BA7612"/>
    <w:rsid w:val="00BA78A2"/>
    <w:rsid w:val="00BB0438"/>
    <w:rsid w:val="00BB1D36"/>
    <w:rsid w:val="00BB29F5"/>
    <w:rsid w:val="00BB3631"/>
    <w:rsid w:val="00BB3FF6"/>
    <w:rsid w:val="00BB5630"/>
    <w:rsid w:val="00BB5F01"/>
    <w:rsid w:val="00BB6BE1"/>
    <w:rsid w:val="00BC146A"/>
    <w:rsid w:val="00BC392E"/>
    <w:rsid w:val="00BC4AA1"/>
    <w:rsid w:val="00BC60A6"/>
    <w:rsid w:val="00BC62E0"/>
    <w:rsid w:val="00BC67A6"/>
    <w:rsid w:val="00BC6FBF"/>
    <w:rsid w:val="00BD00D9"/>
    <w:rsid w:val="00BD1886"/>
    <w:rsid w:val="00BD23E3"/>
    <w:rsid w:val="00BD40BC"/>
    <w:rsid w:val="00BD6234"/>
    <w:rsid w:val="00BE0437"/>
    <w:rsid w:val="00BE04F6"/>
    <w:rsid w:val="00BE107D"/>
    <w:rsid w:val="00BE2D6C"/>
    <w:rsid w:val="00BE4C2B"/>
    <w:rsid w:val="00BE52CA"/>
    <w:rsid w:val="00BE5D1C"/>
    <w:rsid w:val="00BE66C7"/>
    <w:rsid w:val="00BE66D1"/>
    <w:rsid w:val="00BE701E"/>
    <w:rsid w:val="00BE7640"/>
    <w:rsid w:val="00BF0242"/>
    <w:rsid w:val="00BF0AE5"/>
    <w:rsid w:val="00BF144D"/>
    <w:rsid w:val="00BF214A"/>
    <w:rsid w:val="00BF377B"/>
    <w:rsid w:val="00BF3E1B"/>
    <w:rsid w:val="00BF5181"/>
    <w:rsid w:val="00BF635B"/>
    <w:rsid w:val="00BF6C41"/>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438"/>
    <w:rsid w:val="00C138A5"/>
    <w:rsid w:val="00C13C71"/>
    <w:rsid w:val="00C14B96"/>
    <w:rsid w:val="00C158D4"/>
    <w:rsid w:val="00C15974"/>
    <w:rsid w:val="00C17A96"/>
    <w:rsid w:val="00C211F9"/>
    <w:rsid w:val="00C22D4E"/>
    <w:rsid w:val="00C22F92"/>
    <w:rsid w:val="00C238EE"/>
    <w:rsid w:val="00C25927"/>
    <w:rsid w:val="00C25CB3"/>
    <w:rsid w:val="00C27126"/>
    <w:rsid w:val="00C273D7"/>
    <w:rsid w:val="00C2755A"/>
    <w:rsid w:val="00C3028D"/>
    <w:rsid w:val="00C302B0"/>
    <w:rsid w:val="00C310B8"/>
    <w:rsid w:val="00C31DBD"/>
    <w:rsid w:val="00C32633"/>
    <w:rsid w:val="00C32A51"/>
    <w:rsid w:val="00C3305D"/>
    <w:rsid w:val="00C33391"/>
    <w:rsid w:val="00C3343C"/>
    <w:rsid w:val="00C3343E"/>
    <w:rsid w:val="00C3643C"/>
    <w:rsid w:val="00C36C29"/>
    <w:rsid w:val="00C41646"/>
    <w:rsid w:val="00C4383B"/>
    <w:rsid w:val="00C44DA3"/>
    <w:rsid w:val="00C4601A"/>
    <w:rsid w:val="00C478FE"/>
    <w:rsid w:val="00C47C4E"/>
    <w:rsid w:val="00C502DD"/>
    <w:rsid w:val="00C54513"/>
    <w:rsid w:val="00C6058C"/>
    <w:rsid w:val="00C613E2"/>
    <w:rsid w:val="00C620C7"/>
    <w:rsid w:val="00C621E3"/>
    <w:rsid w:val="00C6430C"/>
    <w:rsid w:val="00C64E24"/>
    <w:rsid w:val="00C64EC3"/>
    <w:rsid w:val="00C65047"/>
    <w:rsid w:val="00C653CC"/>
    <w:rsid w:val="00C665D4"/>
    <w:rsid w:val="00C67E56"/>
    <w:rsid w:val="00C7124A"/>
    <w:rsid w:val="00C71623"/>
    <w:rsid w:val="00C73CE1"/>
    <w:rsid w:val="00C74775"/>
    <w:rsid w:val="00C762F4"/>
    <w:rsid w:val="00C763D7"/>
    <w:rsid w:val="00C7670E"/>
    <w:rsid w:val="00C76F9B"/>
    <w:rsid w:val="00C77064"/>
    <w:rsid w:val="00C800AC"/>
    <w:rsid w:val="00C80284"/>
    <w:rsid w:val="00C80AB6"/>
    <w:rsid w:val="00C824FE"/>
    <w:rsid w:val="00C82A62"/>
    <w:rsid w:val="00C82E48"/>
    <w:rsid w:val="00C82FEB"/>
    <w:rsid w:val="00C833D6"/>
    <w:rsid w:val="00C84CDE"/>
    <w:rsid w:val="00C855B0"/>
    <w:rsid w:val="00C8762A"/>
    <w:rsid w:val="00C9050E"/>
    <w:rsid w:val="00C91B0F"/>
    <w:rsid w:val="00C9216F"/>
    <w:rsid w:val="00C9306D"/>
    <w:rsid w:val="00C93320"/>
    <w:rsid w:val="00C95318"/>
    <w:rsid w:val="00C95A99"/>
    <w:rsid w:val="00C96B98"/>
    <w:rsid w:val="00C96F6B"/>
    <w:rsid w:val="00C97ED3"/>
    <w:rsid w:val="00CA043D"/>
    <w:rsid w:val="00CA069B"/>
    <w:rsid w:val="00CA09C4"/>
    <w:rsid w:val="00CA263D"/>
    <w:rsid w:val="00CA27F9"/>
    <w:rsid w:val="00CA28AD"/>
    <w:rsid w:val="00CA4F28"/>
    <w:rsid w:val="00CA5217"/>
    <w:rsid w:val="00CA7388"/>
    <w:rsid w:val="00CA78AC"/>
    <w:rsid w:val="00CB067C"/>
    <w:rsid w:val="00CB0A70"/>
    <w:rsid w:val="00CB15CA"/>
    <w:rsid w:val="00CB26B3"/>
    <w:rsid w:val="00CB3B7D"/>
    <w:rsid w:val="00CB4DC8"/>
    <w:rsid w:val="00CB51F5"/>
    <w:rsid w:val="00CB67AC"/>
    <w:rsid w:val="00CB687E"/>
    <w:rsid w:val="00CC0250"/>
    <w:rsid w:val="00CC0265"/>
    <w:rsid w:val="00CC074E"/>
    <w:rsid w:val="00CC1659"/>
    <w:rsid w:val="00CC1B69"/>
    <w:rsid w:val="00CC3092"/>
    <w:rsid w:val="00CC30C3"/>
    <w:rsid w:val="00CC363A"/>
    <w:rsid w:val="00CC3D4E"/>
    <w:rsid w:val="00CC4003"/>
    <w:rsid w:val="00CC6E79"/>
    <w:rsid w:val="00CC74BD"/>
    <w:rsid w:val="00CD0768"/>
    <w:rsid w:val="00CD2ACE"/>
    <w:rsid w:val="00CD30C8"/>
    <w:rsid w:val="00CD3CC4"/>
    <w:rsid w:val="00CD48F8"/>
    <w:rsid w:val="00CD788F"/>
    <w:rsid w:val="00CE047D"/>
    <w:rsid w:val="00CE1017"/>
    <w:rsid w:val="00CE358A"/>
    <w:rsid w:val="00CE373E"/>
    <w:rsid w:val="00CE43AF"/>
    <w:rsid w:val="00CE4903"/>
    <w:rsid w:val="00CE577D"/>
    <w:rsid w:val="00CE665D"/>
    <w:rsid w:val="00CE6758"/>
    <w:rsid w:val="00CE7731"/>
    <w:rsid w:val="00CF096F"/>
    <w:rsid w:val="00CF1226"/>
    <w:rsid w:val="00CF329F"/>
    <w:rsid w:val="00CF4A98"/>
    <w:rsid w:val="00CF5675"/>
    <w:rsid w:val="00CF6106"/>
    <w:rsid w:val="00CF6A79"/>
    <w:rsid w:val="00CF73D7"/>
    <w:rsid w:val="00D00AAE"/>
    <w:rsid w:val="00D01C16"/>
    <w:rsid w:val="00D02D5A"/>
    <w:rsid w:val="00D03B9D"/>
    <w:rsid w:val="00D0498A"/>
    <w:rsid w:val="00D065E6"/>
    <w:rsid w:val="00D06F2D"/>
    <w:rsid w:val="00D06FB3"/>
    <w:rsid w:val="00D10843"/>
    <w:rsid w:val="00D11B6A"/>
    <w:rsid w:val="00D13B2D"/>
    <w:rsid w:val="00D154A5"/>
    <w:rsid w:val="00D15660"/>
    <w:rsid w:val="00D16E7D"/>
    <w:rsid w:val="00D17731"/>
    <w:rsid w:val="00D20E86"/>
    <w:rsid w:val="00D20FB3"/>
    <w:rsid w:val="00D21DFB"/>
    <w:rsid w:val="00D2248C"/>
    <w:rsid w:val="00D227C4"/>
    <w:rsid w:val="00D23048"/>
    <w:rsid w:val="00D2352A"/>
    <w:rsid w:val="00D23DD0"/>
    <w:rsid w:val="00D243A5"/>
    <w:rsid w:val="00D24D3B"/>
    <w:rsid w:val="00D24E24"/>
    <w:rsid w:val="00D251C3"/>
    <w:rsid w:val="00D265AF"/>
    <w:rsid w:val="00D26CB5"/>
    <w:rsid w:val="00D27EA0"/>
    <w:rsid w:val="00D31593"/>
    <w:rsid w:val="00D33231"/>
    <w:rsid w:val="00D349E8"/>
    <w:rsid w:val="00D36240"/>
    <w:rsid w:val="00D36D3E"/>
    <w:rsid w:val="00D36DB7"/>
    <w:rsid w:val="00D40E5E"/>
    <w:rsid w:val="00D4138D"/>
    <w:rsid w:val="00D41493"/>
    <w:rsid w:val="00D4152F"/>
    <w:rsid w:val="00D438DC"/>
    <w:rsid w:val="00D43EF1"/>
    <w:rsid w:val="00D43F6F"/>
    <w:rsid w:val="00D44015"/>
    <w:rsid w:val="00D440A1"/>
    <w:rsid w:val="00D46755"/>
    <w:rsid w:val="00D46CFF"/>
    <w:rsid w:val="00D46FBF"/>
    <w:rsid w:val="00D47A7B"/>
    <w:rsid w:val="00D47BB6"/>
    <w:rsid w:val="00D510DC"/>
    <w:rsid w:val="00D54C37"/>
    <w:rsid w:val="00D5779A"/>
    <w:rsid w:val="00D62214"/>
    <w:rsid w:val="00D62ADB"/>
    <w:rsid w:val="00D632D1"/>
    <w:rsid w:val="00D64B7A"/>
    <w:rsid w:val="00D651A8"/>
    <w:rsid w:val="00D657AA"/>
    <w:rsid w:val="00D65AB8"/>
    <w:rsid w:val="00D65E10"/>
    <w:rsid w:val="00D66FA9"/>
    <w:rsid w:val="00D67337"/>
    <w:rsid w:val="00D67ADC"/>
    <w:rsid w:val="00D706BA"/>
    <w:rsid w:val="00D709A0"/>
    <w:rsid w:val="00D70A78"/>
    <w:rsid w:val="00D71394"/>
    <w:rsid w:val="00D722E3"/>
    <w:rsid w:val="00D72459"/>
    <w:rsid w:val="00D7252A"/>
    <w:rsid w:val="00D73BC0"/>
    <w:rsid w:val="00D76C93"/>
    <w:rsid w:val="00D80757"/>
    <w:rsid w:val="00D80799"/>
    <w:rsid w:val="00D81512"/>
    <w:rsid w:val="00D81F98"/>
    <w:rsid w:val="00D8229A"/>
    <w:rsid w:val="00D8249E"/>
    <w:rsid w:val="00D84747"/>
    <w:rsid w:val="00D84BD3"/>
    <w:rsid w:val="00D85346"/>
    <w:rsid w:val="00D8779C"/>
    <w:rsid w:val="00D9017C"/>
    <w:rsid w:val="00D90E7B"/>
    <w:rsid w:val="00D91EDC"/>
    <w:rsid w:val="00D92D94"/>
    <w:rsid w:val="00D94A5B"/>
    <w:rsid w:val="00D961DB"/>
    <w:rsid w:val="00D972B9"/>
    <w:rsid w:val="00DA0625"/>
    <w:rsid w:val="00DA20B2"/>
    <w:rsid w:val="00DA3748"/>
    <w:rsid w:val="00DA39B4"/>
    <w:rsid w:val="00DA4802"/>
    <w:rsid w:val="00DA4C82"/>
    <w:rsid w:val="00DA5FA9"/>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015B"/>
    <w:rsid w:val="00DC0373"/>
    <w:rsid w:val="00DC1ACA"/>
    <w:rsid w:val="00DC4772"/>
    <w:rsid w:val="00DC48CF"/>
    <w:rsid w:val="00DC4CEF"/>
    <w:rsid w:val="00DC57FC"/>
    <w:rsid w:val="00DC5BB0"/>
    <w:rsid w:val="00DC6711"/>
    <w:rsid w:val="00DC6826"/>
    <w:rsid w:val="00DD20E3"/>
    <w:rsid w:val="00DD2605"/>
    <w:rsid w:val="00DD2AAA"/>
    <w:rsid w:val="00DD32C0"/>
    <w:rsid w:val="00DD4CB5"/>
    <w:rsid w:val="00DD50B5"/>
    <w:rsid w:val="00DD5275"/>
    <w:rsid w:val="00DD5A94"/>
    <w:rsid w:val="00DD5F86"/>
    <w:rsid w:val="00DD6047"/>
    <w:rsid w:val="00DD7205"/>
    <w:rsid w:val="00DD771A"/>
    <w:rsid w:val="00DD7F78"/>
    <w:rsid w:val="00DE262A"/>
    <w:rsid w:val="00DE2759"/>
    <w:rsid w:val="00DE2977"/>
    <w:rsid w:val="00DE4037"/>
    <w:rsid w:val="00DE43F4"/>
    <w:rsid w:val="00DE466B"/>
    <w:rsid w:val="00DE4A72"/>
    <w:rsid w:val="00DE5120"/>
    <w:rsid w:val="00DE541D"/>
    <w:rsid w:val="00DE5D8B"/>
    <w:rsid w:val="00DE7607"/>
    <w:rsid w:val="00DE761A"/>
    <w:rsid w:val="00DF07F9"/>
    <w:rsid w:val="00DF0879"/>
    <w:rsid w:val="00DF2338"/>
    <w:rsid w:val="00DF37CE"/>
    <w:rsid w:val="00DF4C70"/>
    <w:rsid w:val="00DF4D56"/>
    <w:rsid w:val="00DF4DE9"/>
    <w:rsid w:val="00DF4E53"/>
    <w:rsid w:val="00DF63EB"/>
    <w:rsid w:val="00DF78BC"/>
    <w:rsid w:val="00DF7E2A"/>
    <w:rsid w:val="00E0212C"/>
    <w:rsid w:val="00E027E6"/>
    <w:rsid w:val="00E02A20"/>
    <w:rsid w:val="00E030AE"/>
    <w:rsid w:val="00E03296"/>
    <w:rsid w:val="00E04587"/>
    <w:rsid w:val="00E04EFF"/>
    <w:rsid w:val="00E05212"/>
    <w:rsid w:val="00E05D02"/>
    <w:rsid w:val="00E0690D"/>
    <w:rsid w:val="00E101A9"/>
    <w:rsid w:val="00E10656"/>
    <w:rsid w:val="00E1197F"/>
    <w:rsid w:val="00E12954"/>
    <w:rsid w:val="00E12A2F"/>
    <w:rsid w:val="00E12D9F"/>
    <w:rsid w:val="00E12FAE"/>
    <w:rsid w:val="00E13468"/>
    <w:rsid w:val="00E15499"/>
    <w:rsid w:val="00E155B0"/>
    <w:rsid w:val="00E1638A"/>
    <w:rsid w:val="00E16A44"/>
    <w:rsid w:val="00E200F2"/>
    <w:rsid w:val="00E20C05"/>
    <w:rsid w:val="00E217F9"/>
    <w:rsid w:val="00E24543"/>
    <w:rsid w:val="00E2457B"/>
    <w:rsid w:val="00E247DE"/>
    <w:rsid w:val="00E257AB"/>
    <w:rsid w:val="00E317A1"/>
    <w:rsid w:val="00E3212A"/>
    <w:rsid w:val="00E32221"/>
    <w:rsid w:val="00E32512"/>
    <w:rsid w:val="00E333C7"/>
    <w:rsid w:val="00E3374E"/>
    <w:rsid w:val="00E33A7F"/>
    <w:rsid w:val="00E34A79"/>
    <w:rsid w:val="00E35043"/>
    <w:rsid w:val="00E352B0"/>
    <w:rsid w:val="00E35ECD"/>
    <w:rsid w:val="00E376F7"/>
    <w:rsid w:val="00E37744"/>
    <w:rsid w:val="00E4104D"/>
    <w:rsid w:val="00E41293"/>
    <w:rsid w:val="00E41C3F"/>
    <w:rsid w:val="00E41CE3"/>
    <w:rsid w:val="00E42579"/>
    <w:rsid w:val="00E4277D"/>
    <w:rsid w:val="00E44479"/>
    <w:rsid w:val="00E45108"/>
    <w:rsid w:val="00E460C5"/>
    <w:rsid w:val="00E4622A"/>
    <w:rsid w:val="00E465C3"/>
    <w:rsid w:val="00E46B3B"/>
    <w:rsid w:val="00E46DE0"/>
    <w:rsid w:val="00E475F0"/>
    <w:rsid w:val="00E5099A"/>
    <w:rsid w:val="00E50CA8"/>
    <w:rsid w:val="00E519D9"/>
    <w:rsid w:val="00E525AE"/>
    <w:rsid w:val="00E536DE"/>
    <w:rsid w:val="00E538E6"/>
    <w:rsid w:val="00E5535A"/>
    <w:rsid w:val="00E553E9"/>
    <w:rsid w:val="00E562F2"/>
    <w:rsid w:val="00E563DF"/>
    <w:rsid w:val="00E569B2"/>
    <w:rsid w:val="00E577FD"/>
    <w:rsid w:val="00E61098"/>
    <w:rsid w:val="00E619A4"/>
    <w:rsid w:val="00E62177"/>
    <w:rsid w:val="00E622AF"/>
    <w:rsid w:val="00E62A45"/>
    <w:rsid w:val="00E638EF"/>
    <w:rsid w:val="00E645FC"/>
    <w:rsid w:val="00E6494D"/>
    <w:rsid w:val="00E64A80"/>
    <w:rsid w:val="00E65EB8"/>
    <w:rsid w:val="00E66241"/>
    <w:rsid w:val="00E6634F"/>
    <w:rsid w:val="00E6716A"/>
    <w:rsid w:val="00E67F40"/>
    <w:rsid w:val="00E70167"/>
    <w:rsid w:val="00E703C3"/>
    <w:rsid w:val="00E72958"/>
    <w:rsid w:val="00E73D6A"/>
    <w:rsid w:val="00E73F29"/>
    <w:rsid w:val="00E74899"/>
    <w:rsid w:val="00E75189"/>
    <w:rsid w:val="00E7599F"/>
    <w:rsid w:val="00E759B1"/>
    <w:rsid w:val="00E7625C"/>
    <w:rsid w:val="00E779AA"/>
    <w:rsid w:val="00E77EC5"/>
    <w:rsid w:val="00E80333"/>
    <w:rsid w:val="00E8107B"/>
    <w:rsid w:val="00E83629"/>
    <w:rsid w:val="00E838DB"/>
    <w:rsid w:val="00E83F7E"/>
    <w:rsid w:val="00E83F8B"/>
    <w:rsid w:val="00E865F0"/>
    <w:rsid w:val="00E868E7"/>
    <w:rsid w:val="00E872A1"/>
    <w:rsid w:val="00E87386"/>
    <w:rsid w:val="00E877CA"/>
    <w:rsid w:val="00E913A2"/>
    <w:rsid w:val="00E9310C"/>
    <w:rsid w:val="00E9366F"/>
    <w:rsid w:val="00E93979"/>
    <w:rsid w:val="00E93CD3"/>
    <w:rsid w:val="00E93F61"/>
    <w:rsid w:val="00E9501F"/>
    <w:rsid w:val="00E9554D"/>
    <w:rsid w:val="00E955A9"/>
    <w:rsid w:val="00E955B3"/>
    <w:rsid w:val="00E962BC"/>
    <w:rsid w:val="00E96723"/>
    <w:rsid w:val="00E9676A"/>
    <w:rsid w:val="00EA15A6"/>
    <w:rsid w:val="00EA379C"/>
    <w:rsid w:val="00EA419B"/>
    <w:rsid w:val="00EA42DF"/>
    <w:rsid w:val="00EA4CB5"/>
    <w:rsid w:val="00EA549A"/>
    <w:rsid w:val="00EA67B2"/>
    <w:rsid w:val="00EB0757"/>
    <w:rsid w:val="00EB3071"/>
    <w:rsid w:val="00EB3C74"/>
    <w:rsid w:val="00EB5926"/>
    <w:rsid w:val="00EB5D98"/>
    <w:rsid w:val="00EB683B"/>
    <w:rsid w:val="00EB6F4A"/>
    <w:rsid w:val="00EB7A35"/>
    <w:rsid w:val="00EC027A"/>
    <w:rsid w:val="00EC052E"/>
    <w:rsid w:val="00EC05B4"/>
    <w:rsid w:val="00EC074E"/>
    <w:rsid w:val="00EC0B10"/>
    <w:rsid w:val="00EC33EA"/>
    <w:rsid w:val="00EC41C2"/>
    <w:rsid w:val="00EC49F5"/>
    <w:rsid w:val="00EC4E71"/>
    <w:rsid w:val="00EC62F1"/>
    <w:rsid w:val="00EC6D3E"/>
    <w:rsid w:val="00EC6D41"/>
    <w:rsid w:val="00EC79CA"/>
    <w:rsid w:val="00ED03A3"/>
    <w:rsid w:val="00ED0AA7"/>
    <w:rsid w:val="00ED2737"/>
    <w:rsid w:val="00ED2F8A"/>
    <w:rsid w:val="00ED58AF"/>
    <w:rsid w:val="00ED7658"/>
    <w:rsid w:val="00EE13F4"/>
    <w:rsid w:val="00EE171F"/>
    <w:rsid w:val="00EE1EE5"/>
    <w:rsid w:val="00EE271B"/>
    <w:rsid w:val="00EE2928"/>
    <w:rsid w:val="00EE2E23"/>
    <w:rsid w:val="00EE359A"/>
    <w:rsid w:val="00EE388B"/>
    <w:rsid w:val="00EE4BD0"/>
    <w:rsid w:val="00EE5BA1"/>
    <w:rsid w:val="00EE61F2"/>
    <w:rsid w:val="00EF2966"/>
    <w:rsid w:val="00EF33F9"/>
    <w:rsid w:val="00EF5346"/>
    <w:rsid w:val="00EF7235"/>
    <w:rsid w:val="00F00A4D"/>
    <w:rsid w:val="00F00E5E"/>
    <w:rsid w:val="00F012E8"/>
    <w:rsid w:val="00F014D5"/>
    <w:rsid w:val="00F01EA8"/>
    <w:rsid w:val="00F023A3"/>
    <w:rsid w:val="00F02A6F"/>
    <w:rsid w:val="00F030F9"/>
    <w:rsid w:val="00F04308"/>
    <w:rsid w:val="00F04C8C"/>
    <w:rsid w:val="00F054DA"/>
    <w:rsid w:val="00F06144"/>
    <w:rsid w:val="00F06530"/>
    <w:rsid w:val="00F07B2D"/>
    <w:rsid w:val="00F07BCF"/>
    <w:rsid w:val="00F11B74"/>
    <w:rsid w:val="00F128B8"/>
    <w:rsid w:val="00F14666"/>
    <w:rsid w:val="00F14DA7"/>
    <w:rsid w:val="00F1597D"/>
    <w:rsid w:val="00F16EF8"/>
    <w:rsid w:val="00F16FAB"/>
    <w:rsid w:val="00F170B7"/>
    <w:rsid w:val="00F17476"/>
    <w:rsid w:val="00F20285"/>
    <w:rsid w:val="00F21CA5"/>
    <w:rsid w:val="00F255B6"/>
    <w:rsid w:val="00F26ED7"/>
    <w:rsid w:val="00F27F83"/>
    <w:rsid w:val="00F30F4B"/>
    <w:rsid w:val="00F31182"/>
    <w:rsid w:val="00F31625"/>
    <w:rsid w:val="00F31BDC"/>
    <w:rsid w:val="00F32232"/>
    <w:rsid w:val="00F32242"/>
    <w:rsid w:val="00F3367A"/>
    <w:rsid w:val="00F33ED5"/>
    <w:rsid w:val="00F361A3"/>
    <w:rsid w:val="00F36CDE"/>
    <w:rsid w:val="00F36E39"/>
    <w:rsid w:val="00F37B8F"/>
    <w:rsid w:val="00F4003B"/>
    <w:rsid w:val="00F40A8F"/>
    <w:rsid w:val="00F40D40"/>
    <w:rsid w:val="00F40FF5"/>
    <w:rsid w:val="00F41E1E"/>
    <w:rsid w:val="00F42E56"/>
    <w:rsid w:val="00F43ED1"/>
    <w:rsid w:val="00F44759"/>
    <w:rsid w:val="00F4502A"/>
    <w:rsid w:val="00F45144"/>
    <w:rsid w:val="00F46284"/>
    <w:rsid w:val="00F4680B"/>
    <w:rsid w:val="00F470D3"/>
    <w:rsid w:val="00F4734D"/>
    <w:rsid w:val="00F473D4"/>
    <w:rsid w:val="00F47445"/>
    <w:rsid w:val="00F5046F"/>
    <w:rsid w:val="00F5088C"/>
    <w:rsid w:val="00F510AC"/>
    <w:rsid w:val="00F51C1F"/>
    <w:rsid w:val="00F5374F"/>
    <w:rsid w:val="00F542A4"/>
    <w:rsid w:val="00F545DD"/>
    <w:rsid w:val="00F54ECF"/>
    <w:rsid w:val="00F55E69"/>
    <w:rsid w:val="00F578C1"/>
    <w:rsid w:val="00F579BE"/>
    <w:rsid w:val="00F57D3D"/>
    <w:rsid w:val="00F60359"/>
    <w:rsid w:val="00F606F4"/>
    <w:rsid w:val="00F60DF6"/>
    <w:rsid w:val="00F61E12"/>
    <w:rsid w:val="00F626E7"/>
    <w:rsid w:val="00F62D04"/>
    <w:rsid w:val="00F6434A"/>
    <w:rsid w:val="00F70887"/>
    <w:rsid w:val="00F70A7D"/>
    <w:rsid w:val="00F748DD"/>
    <w:rsid w:val="00F76633"/>
    <w:rsid w:val="00F77EEC"/>
    <w:rsid w:val="00F81710"/>
    <w:rsid w:val="00F81FF7"/>
    <w:rsid w:val="00F83E50"/>
    <w:rsid w:val="00F83E64"/>
    <w:rsid w:val="00F85DE3"/>
    <w:rsid w:val="00F86EF9"/>
    <w:rsid w:val="00F86FB1"/>
    <w:rsid w:val="00F87E61"/>
    <w:rsid w:val="00F9033B"/>
    <w:rsid w:val="00F9058E"/>
    <w:rsid w:val="00F908E0"/>
    <w:rsid w:val="00F90B86"/>
    <w:rsid w:val="00F91F1B"/>
    <w:rsid w:val="00F92130"/>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A600B"/>
    <w:rsid w:val="00FB058F"/>
    <w:rsid w:val="00FB106B"/>
    <w:rsid w:val="00FB2722"/>
    <w:rsid w:val="00FB4326"/>
    <w:rsid w:val="00FB4C6F"/>
    <w:rsid w:val="00FB64A1"/>
    <w:rsid w:val="00FB6686"/>
    <w:rsid w:val="00FB6732"/>
    <w:rsid w:val="00FB7D16"/>
    <w:rsid w:val="00FC0858"/>
    <w:rsid w:val="00FC110D"/>
    <w:rsid w:val="00FC223B"/>
    <w:rsid w:val="00FC3800"/>
    <w:rsid w:val="00FC4527"/>
    <w:rsid w:val="00FC4C9F"/>
    <w:rsid w:val="00FC65BE"/>
    <w:rsid w:val="00FC70C0"/>
    <w:rsid w:val="00FC7307"/>
    <w:rsid w:val="00FD1EEA"/>
    <w:rsid w:val="00FD30C0"/>
    <w:rsid w:val="00FD33CF"/>
    <w:rsid w:val="00FD36CA"/>
    <w:rsid w:val="00FD3B41"/>
    <w:rsid w:val="00FD4199"/>
    <w:rsid w:val="00FD4BF3"/>
    <w:rsid w:val="00FD4E22"/>
    <w:rsid w:val="00FD6C73"/>
    <w:rsid w:val="00FE1C43"/>
    <w:rsid w:val="00FE233B"/>
    <w:rsid w:val="00FE263F"/>
    <w:rsid w:val="00FE2906"/>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9F"/>
    <w:pPr>
      <w:autoSpaceDE w:val="0"/>
      <w:autoSpaceDN w:val="0"/>
      <w:jc w:val="left"/>
    </w:pPr>
    <w:rPr>
      <w:rFonts w:eastAsia="Times New Roman"/>
      <w:szCs w:val="20"/>
    </w:rPr>
  </w:style>
  <w:style w:type="paragraph" w:styleId="Heading1">
    <w:name w:val="heading 1"/>
    <w:basedOn w:val="Normal"/>
    <w:next w:val="BodyText2"/>
    <w:link w:val="Heading1Char"/>
    <w:qFormat/>
    <w:rsid w:val="00D81F98"/>
    <w:pPr>
      <w:jc w:val="center"/>
      <w:outlineLvl w:val="0"/>
    </w:pPr>
    <w:rPr>
      <w:b/>
      <w:sz w:val="26"/>
      <w:szCs w:val="26"/>
    </w:rPr>
  </w:style>
  <w:style w:type="paragraph" w:styleId="Heading2">
    <w:name w:val="heading 2"/>
    <w:basedOn w:val="Normal"/>
    <w:next w:val="BodyText2"/>
    <w:link w:val="Heading2Char"/>
    <w:unhideWhenUsed/>
    <w:qFormat/>
    <w:rsid w:val="00D81F98"/>
    <w:pPr>
      <w:outlineLvl w:val="1"/>
    </w:pPr>
    <w:rPr>
      <w:b/>
      <w:sz w:val="26"/>
      <w:szCs w:val="26"/>
    </w:rPr>
  </w:style>
  <w:style w:type="paragraph" w:styleId="Heading3">
    <w:name w:val="heading 3"/>
    <w:basedOn w:val="Normal"/>
    <w:next w:val="BodyText2"/>
    <w:link w:val="Heading3Char"/>
    <w:unhideWhenUsed/>
    <w:qFormat/>
    <w:rsid w:val="00D81F98"/>
    <w:pPr>
      <w:ind w:firstLine="720"/>
      <w:outlineLvl w:val="2"/>
    </w:pPr>
    <w:rPr>
      <w:b/>
      <w:sz w:val="26"/>
      <w:szCs w:val="26"/>
    </w:rPr>
  </w:style>
  <w:style w:type="paragraph" w:styleId="Heading4">
    <w:name w:val="heading 4"/>
    <w:basedOn w:val="Normal"/>
    <w:next w:val="BodyText2"/>
    <w:link w:val="Heading4Char"/>
    <w:unhideWhenUsed/>
    <w:qFormat/>
    <w:rsid w:val="007E7C76"/>
    <w:pPr>
      <w:numPr>
        <w:ilvl w:val="3"/>
        <w:numId w:val="2"/>
      </w:numPr>
      <w:autoSpaceDE/>
      <w:autoSpaceDN/>
      <w:spacing w:after="240" w:line="240" w:lineRule="auto"/>
      <w:jc w:val="both"/>
      <w:outlineLvl w:val="3"/>
    </w:pPr>
    <w:rPr>
      <w:b/>
      <w:bCs/>
      <w:szCs w:val="28"/>
    </w:rPr>
  </w:style>
  <w:style w:type="paragraph" w:styleId="Heading5">
    <w:name w:val="heading 5"/>
    <w:basedOn w:val="Normal"/>
    <w:next w:val="BodyText2"/>
    <w:link w:val="Heading5Char"/>
    <w:semiHidden/>
    <w:unhideWhenUsed/>
    <w:qFormat/>
    <w:rsid w:val="007E7C76"/>
    <w:pPr>
      <w:numPr>
        <w:ilvl w:val="4"/>
        <w:numId w:val="2"/>
      </w:numPr>
      <w:autoSpaceDE/>
      <w:autoSpaceDN/>
      <w:spacing w:after="240" w:line="240" w:lineRule="auto"/>
      <w:jc w:val="both"/>
      <w:outlineLvl w:val="4"/>
    </w:pPr>
    <w:rPr>
      <w:b/>
      <w:bCs/>
      <w:iCs/>
      <w:szCs w:val="26"/>
    </w:rPr>
  </w:style>
  <w:style w:type="paragraph" w:styleId="Heading6">
    <w:name w:val="heading 6"/>
    <w:basedOn w:val="Normal"/>
    <w:next w:val="BodyText2"/>
    <w:link w:val="Heading6Char"/>
    <w:semiHidden/>
    <w:unhideWhenUsed/>
    <w:qFormat/>
    <w:rsid w:val="007E7C76"/>
    <w:pPr>
      <w:numPr>
        <w:ilvl w:val="5"/>
        <w:numId w:val="2"/>
      </w:numPr>
      <w:autoSpaceDE/>
      <w:autoSpaceDN/>
      <w:spacing w:after="240" w:line="240" w:lineRule="auto"/>
      <w:outlineLvl w:val="5"/>
    </w:pPr>
    <w:rPr>
      <w:b/>
      <w:bCs/>
      <w:szCs w:val="22"/>
    </w:rPr>
  </w:style>
  <w:style w:type="paragraph" w:styleId="Heading7">
    <w:name w:val="heading 7"/>
    <w:basedOn w:val="Normal"/>
    <w:next w:val="BodyText2"/>
    <w:link w:val="Heading7Char"/>
    <w:semiHidden/>
    <w:unhideWhenUsed/>
    <w:qFormat/>
    <w:rsid w:val="007E7C76"/>
    <w:pPr>
      <w:numPr>
        <w:ilvl w:val="6"/>
        <w:numId w:val="2"/>
      </w:numPr>
      <w:autoSpaceDE/>
      <w:autoSpaceDN/>
      <w:spacing w:after="240" w:line="240" w:lineRule="auto"/>
      <w:outlineLvl w:val="6"/>
    </w:pPr>
    <w:rPr>
      <w:b/>
      <w:szCs w:val="24"/>
    </w:rPr>
  </w:style>
  <w:style w:type="paragraph" w:styleId="Heading8">
    <w:name w:val="heading 8"/>
    <w:basedOn w:val="Normal"/>
    <w:next w:val="BodyText2"/>
    <w:link w:val="Heading8Char"/>
    <w:semiHidden/>
    <w:unhideWhenUsed/>
    <w:qFormat/>
    <w:rsid w:val="007E7C76"/>
    <w:pPr>
      <w:numPr>
        <w:ilvl w:val="7"/>
        <w:numId w:val="2"/>
      </w:numPr>
      <w:autoSpaceDE/>
      <w:autoSpaceDN/>
      <w:spacing w:after="240" w:line="240" w:lineRule="auto"/>
      <w:jc w:val="both"/>
      <w:outlineLvl w:val="7"/>
    </w:pPr>
    <w:rPr>
      <w:b/>
      <w:iCs/>
      <w:szCs w:val="24"/>
    </w:rPr>
  </w:style>
  <w:style w:type="paragraph" w:styleId="Heading9">
    <w:name w:val="heading 9"/>
    <w:basedOn w:val="Normal"/>
    <w:next w:val="BodyText2"/>
    <w:link w:val="Heading9Char"/>
    <w:semiHidden/>
    <w:unhideWhenUsed/>
    <w:qFormat/>
    <w:rsid w:val="007E7C76"/>
    <w:pPr>
      <w:numPr>
        <w:ilvl w:val="8"/>
        <w:numId w:val="2"/>
      </w:numPr>
      <w:autoSpaceDE/>
      <w:autoSpaceDN/>
      <w:spacing w:after="240" w:line="240" w:lineRule="auto"/>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99F"/>
    <w:rPr>
      <w:color w:val="0000FF"/>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nhideWhenUsed/>
    <w:rsid w:val="00E7599F"/>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E7599F"/>
    <w:rPr>
      <w:rFonts w:eastAsia="Times New Roman"/>
      <w:sz w:val="20"/>
      <w:szCs w:val="20"/>
    </w:rPr>
  </w:style>
  <w:style w:type="character" w:styleId="FootnoteReference">
    <w:name w:val="footnote reference"/>
    <w:aliases w:val="o,fr"/>
    <w:basedOn w:val="DefaultParagraphFont"/>
    <w:unhideWhenUsed/>
    <w:rsid w:val="00E7599F"/>
    <w:rPr>
      <w:vertAlign w:val="superscript"/>
    </w:rPr>
  </w:style>
  <w:style w:type="paragraph" w:styleId="Footer">
    <w:name w:val="footer"/>
    <w:basedOn w:val="Normal"/>
    <w:link w:val="FooterChar"/>
    <w:uiPriority w:val="99"/>
    <w:unhideWhenUsed/>
    <w:rsid w:val="00E7599F"/>
    <w:pPr>
      <w:tabs>
        <w:tab w:val="center" w:pos="4680"/>
        <w:tab w:val="right" w:pos="9360"/>
      </w:tabs>
      <w:spacing w:line="240" w:lineRule="auto"/>
    </w:pPr>
  </w:style>
  <w:style w:type="character" w:customStyle="1" w:styleId="FooterChar">
    <w:name w:val="Footer Char"/>
    <w:basedOn w:val="DefaultParagraphFont"/>
    <w:link w:val="Footer"/>
    <w:uiPriority w:val="99"/>
    <w:rsid w:val="00E7599F"/>
    <w:rPr>
      <w:rFonts w:eastAsia="Times New Roman"/>
      <w:szCs w:val="20"/>
    </w:rPr>
  </w:style>
  <w:style w:type="paragraph" w:customStyle="1" w:styleId="Pleading2L1">
    <w:name w:val="Pleading2_L1"/>
    <w:basedOn w:val="Normal"/>
    <w:next w:val="BodyText"/>
    <w:rsid w:val="000E373F"/>
    <w:pPr>
      <w:numPr>
        <w:numId w:val="1"/>
      </w:numPr>
      <w:autoSpaceDE/>
      <w:autoSpaceDN/>
      <w:spacing w:after="240" w:line="240" w:lineRule="auto"/>
      <w:jc w:val="center"/>
      <w:outlineLvl w:val="0"/>
    </w:pPr>
    <w:rPr>
      <w:b/>
      <w:caps/>
      <w:u w:val="single"/>
    </w:rPr>
  </w:style>
  <w:style w:type="paragraph" w:customStyle="1" w:styleId="Pleading2L2">
    <w:name w:val="Pleading2_L2"/>
    <w:basedOn w:val="Pleading2L1"/>
    <w:rsid w:val="000E373F"/>
    <w:pPr>
      <w:numPr>
        <w:ilvl w:val="1"/>
      </w:numPr>
      <w:spacing w:after="0" w:line="480" w:lineRule="auto"/>
      <w:jc w:val="left"/>
      <w:outlineLvl w:val="1"/>
    </w:pPr>
    <w:rPr>
      <w:b w:val="0"/>
      <w:caps w:val="0"/>
      <w:u w:val="none"/>
    </w:rPr>
  </w:style>
  <w:style w:type="paragraph" w:customStyle="1" w:styleId="Pleading2L3">
    <w:name w:val="Pleading2_L3"/>
    <w:basedOn w:val="Pleading2L2"/>
    <w:rsid w:val="000E373F"/>
    <w:pPr>
      <w:numPr>
        <w:ilvl w:val="2"/>
      </w:numPr>
      <w:outlineLvl w:val="2"/>
    </w:pPr>
  </w:style>
  <w:style w:type="paragraph" w:customStyle="1" w:styleId="Pleading2L4">
    <w:name w:val="Pleading2_L4"/>
    <w:basedOn w:val="Pleading2L3"/>
    <w:rsid w:val="000E373F"/>
    <w:pPr>
      <w:numPr>
        <w:ilvl w:val="3"/>
      </w:numPr>
      <w:outlineLvl w:val="3"/>
    </w:pPr>
  </w:style>
  <w:style w:type="paragraph" w:customStyle="1" w:styleId="Pleading2L5">
    <w:name w:val="Pleading2_L5"/>
    <w:basedOn w:val="Pleading2L4"/>
    <w:rsid w:val="000E373F"/>
    <w:pPr>
      <w:keepNext/>
      <w:keepLines/>
      <w:widowControl w:val="0"/>
      <w:numPr>
        <w:ilvl w:val="4"/>
      </w:numPr>
      <w:spacing w:after="240" w:line="240" w:lineRule="auto"/>
      <w:outlineLvl w:val="4"/>
    </w:pPr>
  </w:style>
  <w:style w:type="paragraph" w:customStyle="1" w:styleId="Pleading2L6">
    <w:name w:val="Pleading2_L6"/>
    <w:basedOn w:val="Pleading2L5"/>
    <w:rsid w:val="000E373F"/>
    <w:pPr>
      <w:numPr>
        <w:ilvl w:val="5"/>
      </w:numPr>
      <w:outlineLvl w:val="5"/>
    </w:pPr>
  </w:style>
  <w:style w:type="paragraph" w:customStyle="1" w:styleId="Pleading2L7">
    <w:name w:val="Pleading2_L7"/>
    <w:basedOn w:val="Pleading2L6"/>
    <w:rsid w:val="000E373F"/>
    <w:pPr>
      <w:numPr>
        <w:ilvl w:val="6"/>
      </w:numPr>
      <w:outlineLvl w:val="6"/>
    </w:pPr>
  </w:style>
  <w:style w:type="paragraph" w:customStyle="1" w:styleId="Pleading2L8">
    <w:name w:val="Pleading2_L8"/>
    <w:basedOn w:val="Pleading2L7"/>
    <w:rsid w:val="000E373F"/>
    <w:pPr>
      <w:numPr>
        <w:ilvl w:val="7"/>
      </w:numPr>
      <w:outlineLvl w:val="7"/>
    </w:pPr>
  </w:style>
  <w:style w:type="paragraph" w:customStyle="1" w:styleId="Pleading2L9">
    <w:name w:val="Pleading2_L9"/>
    <w:basedOn w:val="Pleading2L8"/>
    <w:rsid w:val="000E373F"/>
    <w:pPr>
      <w:numPr>
        <w:ilvl w:val="8"/>
      </w:numPr>
      <w:outlineLvl w:val="8"/>
    </w:pPr>
  </w:style>
  <w:style w:type="paragraph" w:styleId="BodyText">
    <w:name w:val="Body Text"/>
    <w:basedOn w:val="Normal"/>
    <w:link w:val="BodyTextChar"/>
    <w:uiPriority w:val="99"/>
    <w:semiHidden/>
    <w:unhideWhenUsed/>
    <w:rsid w:val="000E373F"/>
    <w:pPr>
      <w:spacing w:after="120"/>
    </w:pPr>
  </w:style>
  <w:style w:type="character" w:customStyle="1" w:styleId="BodyTextChar">
    <w:name w:val="Body Text Char"/>
    <w:basedOn w:val="DefaultParagraphFont"/>
    <w:link w:val="BodyText"/>
    <w:uiPriority w:val="99"/>
    <w:semiHidden/>
    <w:rsid w:val="000E373F"/>
    <w:rPr>
      <w:rFonts w:eastAsia="Times New Roman"/>
      <w:szCs w:val="20"/>
    </w:rPr>
  </w:style>
  <w:style w:type="paragraph" w:styleId="BodyText2">
    <w:name w:val="Body Text 2"/>
    <w:basedOn w:val="Normal"/>
    <w:link w:val="BodyText2Char"/>
    <w:uiPriority w:val="99"/>
    <w:unhideWhenUsed/>
    <w:rsid w:val="007E7C76"/>
    <w:pPr>
      <w:spacing w:after="120" w:line="480" w:lineRule="auto"/>
    </w:pPr>
  </w:style>
  <w:style w:type="character" w:customStyle="1" w:styleId="BodyText2Char">
    <w:name w:val="Body Text 2 Char"/>
    <w:basedOn w:val="DefaultParagraphFont"/>
    <w:link w:val="BodyText2"/>
    <w:uiPriority w:val="99"/>
    <w:rsid w:val="007E7C76"/>
    <w:rPr>
      <w:rFonts w:eastAsia="Times New Roman"/>
      <w:szCs w:val="20"/>
    </w:rPr>
  </w:style>
  <w:style w:type="character" w:customStyle="1" w:styleId="Heading1Char">
    <w:name w:val="Heading 1 Char"/>
    <w:basedOn w:val="DefaultParagraphFont"/>
    <w:link w:val="Heading1"/>
    <w:rsid w:val="00D81F98"/>
    <w:rPr>
      <w:rFonts w:eastAsia="Times New Roman"/>
      <w:b/>
      <w:sz w:val="26"/>
      <w:szCs w:val="26"/>
    </w:rPr>
  </w:style>
  <w:style w:type="character" w:customStyle="1" w:styleId="Heading2Char">
    <w:name w:val="Heading 2 Char"/>
    <w:basedOn w:val="DefaultParagraphFont"/>
    <w:link w:val="Heading2"/>
    <w:rsid w:val="00D81F98"/>
    <w:rPr>
      <w:rFonts w:eastAsia="Times New Roman"/>
      <w:b/>
      <w:sz w:val="26"/>
      <w:szCs w:val="26"/>
    </w:rPr>
  </w:style>
  <w:style w:type="character" w:customStyle="1" w:styleId="Heading3Char">
    <w:name w:val="Heading 3 Char"/>
    <w:basedOn w:val="DefaultParagraphFont"/>
    <w:link w:val="Heading3"/>
    <w:rsid w:val="00D81F98"/>
    <w:rPr>
      <w:rFonts w:eastAsia="Times New Roman"/>
      <w:b/>
      <w:sz w:val="26"/>
      <w:szCs w:val="26"/>
    </w:rPr>
  </w:style>
  <w:style w:type="character" w:customStyle="1" w:styleId="Heading4Char">
    <w:name w:val="Heading 4 Char"/>
    <w:basedOn w:val="DefaultParagraphFont"/>
    <w:link w:val="Heading4"/>
    <w:semiHidden/>
    <w:rsid w:val="007E7C76"/>
    <w:rPr>
      <w:rFonts w:eastAsia="Times New Roman"/>
      <w:b/>
      <w:bCs/>
      <w:szCs w:val="28"/>
    </w:rPr>
  </w:style>
  <w:style w:type="character" w:customStyle="1" w:styleId="Heading5Char">
    <w:name w:val="Heading 5 Char"/>
    <w:basedOn w:val="DefaultParagraphFont"/>
    <w:link w:val="Heading5"/>
    <w:semiHidden/>
    <w:rsid w:val="007E7C76"/>
    <w:rPr>
      <w:rFonts w:eastAsia="Times New Roman"/>
      <w:b/>
      <w:bCs/>
      <w:iCs/>
      <w:szCs w:val="26"/>
    </w:rPr>
  </w:style>
  <w:style w:type="character" w:customStyle="1" w:styleId="Heading6Char">
    <w:name w:val="Heading 6 Char"/>
    <w:basedOn w:val="DefaultParagraphFont"/>
    <w:link w:val="Heading6"/>
    <w:semiHidden/>
    <w:rsid w:val="007E7C76"/>
    <w:rPr>
      <w:rFonts w:eastAsia="Times New Roman"/>
      <w:b/>
      <w:bCs/>
      <w:szCs w:val="22"/>
    </w:rPr>
  </w:style>
  <w:style w:type="character" w:customStyle="1" w:styleId="Heading7Char">
    <w:name w:val="Heading 7 Char"/>
    <w:basedOn w:val="DefaultParagraphFont"/>
    <w:link w:val="Heading7"/>
    <w:semiHidden/>
    <w:rsid w:val="007E7C76"/>
    <w:rPr>
      <w:rFonts w:eastAsia="Times New Roman"/>
      <w:b/>
    </w:rPr>
  </w:style>
  <w:style w:type="character" w:customStyle="1" w:styleId="Heading8Char">
    <w:name w:val="Heading 8 Char"/>
    <w:basedOn w:val="DefaultParagraphFont"/>
    <w:link w:val="Heading8"/>
    <w:semiHidden/>
    <w:rsid w:val="007E7C76"/>
    <w:rPr>
      <w:rFonts w:eastAsia="Times New Roman"/>
      <w:b/>
      <w:iCs/>
    </w:rPr>
  </w:style>
  <w:style w:type="character" w:customStyle="1" w:styleId="Heading9Char">
    <w:name w:val="Heading 9 Char"/>
    <w:basedOn w:val="DefaultParagraphFont"/>
    <w:link w:val="Heading9"/>
    <w:semiHidden/>
    <w:rsid w:val="007E7C76"/>
    <w:rPr>
      <w:rFonts w:eastAsia="Times New Roman"/>
      <w:b/>
      <w:szCs w:val="22"/>
    </w:rPr>
  </w:style>
  <w:style w:type="paragraph" w:styleId="BlockText">
    <w:name w:val="Block Text"/>
    <w:basedOn w:val="Normal"/>
    <w:rsid w:val="007E7C76"/>
    <w:pPr>
      <w:autoSpaceDE/>
      <w:autoSpaceDN/>
      <w:spacing w:after="240" w:line="240" w:lineRule="auto"/>
      <w:ind w:left="1440" w:right="1440"/>
      <w:jc w:val="both"/>
    </w:pPr>
    <w:rPr>
      <w:szCs w:val="24"/>
    </w:rPr>
  </w:style>
  <w:style w:type="paragraph" w:styleId="ListNumber">
    <w:name w:val="List Number"/>
    <w:basedOn w:val="Normal"/>
    <w:unhideWhenUsed/>
    <w:rsid w:val="00E35043"/>
    <w:pPr>
      <w:numPr>
        <w:numId w:val="4"/>
      </w:numPr>
      <w:tabs>
        <w:tab w:val="num" w:pos="1440"/>
      </w:tabs>
      <w:autoSpaceDE/>
      <w:autoSpaceDN/>
      <w:spacing w:line="480" w:lineRule="auto"/>
    </w:pPr>
    <w:rPr>
      <w:szCs w:val="24"/>
    </w:rPr>
  </w:style>
  <w:style w:type="paragraph" w:styleId="BalloonText">
    <w:name w:val="Balloon Text"/>
    <w:basedOn w:val="Normal"/>
    <w:link w:val="BalloonTextChar"/>
    <w:uiPriority w:val="99"/>
    <w:semiHidden/>
    <w:unhideWhenUsed/>
    <w:rsid w:val="00360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27"/>
    <w:rPr>
      <w:rFonts w:ascii="Tahoma" w:eastAsia="Times New Roman" w:hAnsi="Tahoma" w:cs="Tahoma"/>
      <w:sz w:val="16"/>
      <w:szCs w:val="16"/>
    </w:rPr>
  </w:style>
  <w:style w:type="paragraph" w:styleId="Header">
    <w:name w:val="header"/>
    <w:basedOn w:val="Normal"/>
    <w:link w:val="HeaderChar"/>
    <w:uiPriority w:val="99"/>
    <w:unhideWhenUsed/>
    <w:rsid w:val="00EC6D3E"/>
    <w:pPr>
      <w:tabs>
        <w:tab w:val="center" w:pos="4680"/>
        <w:tab w:val="right" w:pos="9360"/>
      </w:tabs>
      <w:spacing w:line="240" w:lineRule="auto"/>
    </w:pPr>
  </w:style>
  <w:style w:type="character" w:customStyle="1" w:styleId="HeaderChar">
    <w:name w:val="Header Char"/>
    <w:basedOn w:val="DefaultParagraphFont"/>
    <w:link w:val="Header"/>
    <w:uiPriority w:val="99"/>
    <w:rsid w:val="00EC6D3E"/>
    <w:rPr>
      <w:rFonts w:eastAsia="Times New Roman"/>
      <w:szCs w:val="20"/>
    </w:rPr>
  </w:style>
  <w:style w:type="paragraph" w:styleId="ListParagraph">
    <w:name w:val="List Paragraph"/>
    <w:basedOn w:val="Normal"/>
    <w:uiPriority w:val="34"/>
    <w:qFormat/>
    <w:rsid w:val="007C4E34"/>
    <w:pPr>
      <w:ind w:left="720"/>
      <w:contextualSpacing/>
    </w:pPr>
  </w:style>
  <w:style w:type="paragraph" w:styleId="TOC1">
    <w:name w:val="toc 1"/>
    <w:basedOn w:val="Normal"/>
    <w:next w:val="Normal"/>
    <w:autoRedefine/>
    <w:uiPriority w:val="39"/>
    <w:unhideWhenUsed/>
    <w:rsid w:val="009A4F6E"/>
    <w:pPr>
      <w:spacing w:after="100"/>
    </w:pPr>
    <w:rPr>
      <w:sz w:val="26"/>
    </w:rPr>
  </w:style>
  <w:style w:type="paragraph" w:styleId="TOC2">
    <w:name w:val="toc 2"/>
    <w:basedOn w:val="Normal"/>
    <w:next w:val="Normal"/>
    <w:autoRedefine/>
    <w:uiPriority w:val="39"/>
    <w:unhideWhenUsed/>
    <w:rsid w:val="00754BBB"/>
    <w:pPr>
      <w:spacing w:after="100"/>
      <w:ind w:left="720"/>
    </w:pPr>
    <w:rPr>
      <w:sz w:val="26"/>
    </w:rPr>
  </w:style>
  <w:style w:type="paragraph" w:styleId="TOC3">
    <w:name w:val="toc 3"/>
    <w:basedOn w:val="Normal"/>
    <w:next w:val="Normal"/>
    <w:autoRedefine/>
    <w:uiPriority w:val="39"/>
    <w:unhideWhenUsed/>
    <w:rsid w:val="00754BBB"/>
    <w:pPr>
      <w:spacing w:after="100"/>
      <w:ind w:left="1440"/>
    </w:pPr>
    <w:rPr>
      <w:sz w:val="26"/>
    </w:rPr>
  </w:style>
  <w:style w:type="paragraph" w:styleId="TOC4">
    <w:name w:val="toc 4"/>
    <w:basedOn w:val="Normal"/>
    <w:next w:val="Normal"/>
    <w:autoRedefine/>
    <w:uiPriority w:val="39"/>
    <w:unhideWhenUsed/>
    <w:rsid w:val="007E45A6"/>
    <w:pPr>
      <w:tabs>
        <w:tab w:val="left" w:pos="720"/>
        <w:tab w:val="right" w:leader="dot" w:pos="9350"/>
      </w:tabs>
      <w:spacing w:after="100"/>
    </w:pPr>
  </w:style>
  <w:style w:type="paragraph" w:styleId="Subtitle">
    <w:name w:val="Subtitle"/>
    <w:basedOn w:val="Normal"/>
    <w:link w:val="SubtitleChar"/>
    <w:qFormat/>
    <w:rsid w:val="00E913A2"/>
    <w:pPr>
      <w:autoSpaceDE/>
      <w:autoSpaceDN/>
      <w:spacing w:line="240" w:lineRule="auto"/>
      <w:jc w:val="center"/>
    </w:pPr>
    <w:rPr>
      <w:rFonts w:ascii="CG Times" w:hAnsi="CG Times"/>
      <w:b/>
    </w:rPr>
  </w:style>
  <w:style w:type="character" w:customStyle="1" w:styleId="SubtitleChar">
    <w:name w:val="Subtitle Char"/>
    <w:basedOn w:val="DefaultParagraphFont"/>
    <w:link w:val="Subtitle"/>
    <w:rsid w:val="00E913A2"/>
    <w:rPr>
      <w:rFonts w:ascii="CG Times" w:eastAsia="Times New Roman" w:hAnsi="CG Times"/>
      <w:b/>
      <w:szCs w:val="20"/>
    </w:rPr>
  </w:style>
  <w:style w:type="character" w:styleId="Emphasis">
    <w:name w:val="Emphasis"/>
    <w:basedOn w:val="DefaultParagraphFont"/>
    <w:qFormat/>
    <w:rsid w:val="001D6B1E"/>
    <w:rPr>
      <w:i/>
      <w:iCs/>
    </w:rPr>
  </w:style>
  <w:style w:type="paragraph" w:styleId="TOCHeading">
    <w:name w:val="TOC Heading"/>
    <w:basedOn w:val="Heading1"/>
    <w:next w:val="Normal"/>
    <w:uiPriority w:val="39"/>
    <w:semiHidden/>
    <w:unhideWhenUsed/>
    <w:qFormat/>
    <w:rsid w:val="00145299"/>
    <w:pPr>
      <w:keepNext/>
      <w:keepLines/>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9F"/>
    <w:pPr>
      <w:autoSpaceDE w:val="0"/>
      <w:autoSpaceDN w:val="0"/>
      <w:jc w:val="left"/>
    </w:pPr>
    <w:rPr>
      <w:rFonts w:eastAsia="Times New Roman"/>
      <w:szCs w:val="20"/>
    </w:rPr>
  </w:style>
  <w:style w:type="paragraph" w:styleId="Heading1">
    <w:name w:val="heading 1"/>
    <w:basedOn w:val="Normal"/>
    <w:next w:val="BodyText2"/>
    <w:link w:val="Heading1Char"/>
    <w:qFormat/>
    <w:rsid w:val="00D81F98"/>
    <w:pPr>
      <w:jc w:val="center"/>
      <w:outlineLvl w:val="0"/>
    </w:pPr>
    <w:rPr>
      <w:b/>
      <w:sz w:val="26"/>
      <w:szCs w:val="26"/>
    </w:rPr>
  </w:style>
  <w:style w:type="paragraph" w:styleId="Heading2">
    <w:name w:val="heading 2"/>
    <w:basedOn w:val="Normal"/>
    <w:next w:val="BodyText2"/>
    <w:link w:val="Heading2Char"/>
    <w:unhideWhenUsed/>
    <w:qFormat/>
    <w:rsid w:val="00D81F98"/>
    <w:pPr>
      <w:outlineLvl w:val="1"/>
    </w:pPr>
    <w:rPr>
      <w:b/>
      <w:sz w:val="26"/>
      <w:szCs w:val="26"/>
    </w:rPr>
  </w:style>
  <w:style w:type="paragraph" w:styleId="Heading3">
    <w:name w:val="heading 3"/>
    <w:basedOn w:val="Normal"/>
    <w:next w:val="BodyText2"/>
    <w:link w:val="Heading3Char"/>
    <w:unhideWhenUsed/>
    <w:qFormat/>
    <w:rsid w:val="00D81F98"/>
    <w:pPr>
      <w:ind w:firstLine="720"/>
      <w:outlineLvl w:val="2"/>
    </w:pPr>
    <w:rPr>
      <w:b/>
      <w:sz w:val="26"/>
      <w:szCs w:val="26"/>
    </w:rPr>
  </w:style>
  <w:style w:type="paragraph" w:styleId="Heading4">
    <w:name w:val="heading 4"/>
    <w:basedOn w:val="Normal"/>
    <w:next w:val="BodyText2"/>
    <w:link w:val="Heading4Char"/>
    <w:unhideWhenUsed/>
    <w:qFormat/>
    <w:rsid w:val="007E7C76"/>
    <w:pPr>
      <w:numPr>
        <w:ilvl w:val="3"/>
        <w:numId w:val="2"/>
      </w:numPr>
      <w:autoSpaceDE/>
      <w:autoSpaceDN/>
      <w:spacing w:after="240" w:line="240" w:lineRule="auto"/>
      <w:jc w:val="both"/>
      <w:outlineLvl w:val="3"/>
    </w:pPr>
    <w:rPr>
      <w:b/>
      <w:bCs/>
      <w:szCs w:val="28"/>
    </w:rPr>
  </w:style>
  <w:style w:type="paragraph" w:styleId="Heading5">
    <w:name w:val="heading 5"/>
    <w:basedOn w:val="Normal"/>
    <w:next w:val="BodyText2"/>
    <w:link w:val="Heading5Char"/>
    <w:semiHidden/>
    <w:unhideWhenUsed/>
    <w:qFormat/>
    <w:rsid w:val="007E7C76"/>
    <w:pPr>
      <w:numPr>
        <w:ilvl w:val="4"/>
        <w:numId w:val="2"/>
      </w:numPr>
      <w:autoSpaceDE/>
      <w:autoSpaceDN/>
      <w:spacing w:after="240" w:line="240" w:lineRule="auto"/>
      <w:jc w:val="both"/>
      <w:outlineLvl w:val="4"/>
    </w:pPr>
    <w:rPr>
      <w:b/>
      <w:bCs/>
      <w:iCs/>
      <w:szCs w:val="26"/>
    </w:rPr>
  </w:style>
  <w:style w:type="paragraph" w:styleId="Heading6">
    <w:name w:val="heading 6"/>
    <w:basedOn w:val="Normal"/>
    <w:next w:val="BodyText2"/>
    <w:link w:val="Heading6Char"/>
    <w:semiHidden/>
    <w:unhideWhenUsed/>
    <w:qFormat/>
    <w:rsid w:val="007E7C76"/>
    <w:pPr>
      <w:numPr>
        <w:ilvl w:val="5"/>
        <w:numId w:val="2"/>
      </w:numPr>
      <w:autoSpaceDE/>
      <w:autoSpaceDN/>
      <w:spacing w:after="240" w:line="240" w:lineRule="auto"/>
      <w:outlineLvl w:val="5"/>
    </w:pPr>
    <w:rPr>
      <w:b/>
      <w:bCs/>
      <w:szCs w:val="22"/>
    </w:rPr>
  </w:style>
  <w:style w:type="paragraph" w:styleId="Heading7">
    <w:name w:val="heading 7"/>
    <w:basedOn w:val="Normal"/>
    <w:next w:val="BodyText2"/>
    <w:link w:val="Heading7Char"/>
    <w:semiHidden/>
    <w:unhideWhenUsed/>
    <w:qFormat/>
    <w:rsid w:val="007E7C76"/>
    <w:pPr>
      <w:numPr>
        <w:ilvl w:val="6"/>
        <w:numId w:val="2"/>
      </w:numPr>
      <w:autoSpaceDE/>
      <w:autoSpaceDN/>
      <w:spacing w:after="240" w:line="240" w:lineRule="auto"/>
      <w:outlineLvl w:val="6"/>
    </w:pPr>
    <w:rPr>
      <w:b/>
      <w:szCs w:val="24"/>
    </w:rPr>
  </w:style>
  <w:style w:type="paragraph" w:styleId="Heading8">
    <w:name w:val="heading 8"/>
    <w:basedOn w:val="Normal"/>
    <w:next w:val="BodyText2"/>
    <w:link w:val="Heading8Char"/>
    <w:semiHidden/>
    <w:unhideWhenUsed/>
    <w:qFormat/>
    <w:rsid w:val="007E7C76"/>
    <w:pPr>
      <w:numPr>
        <w:ilvl w:val="7"/>
        <w:numId w:val="2"/>
      </w:numPr>
      <w:autoSpaceDE/>
      <w:autoSpaceDN/>
      <w:spacing w:after="240" w:line="240" w:lineRule="auto"/>
      <w:jc w:val="both"/>
      <w:outlineLvl w:val="7"/>
    </w:pPr>
    <w:rPr>
      <w:b/>
      <w:iCs/>
      <w:szCs w:val="24"/>
    </w:rPr>
  </w:style>
  <w:style w:type="paragraph" w:styleId="Heading9">
    <w:name w:val="heading 9"/>
    <w:basedOn w:val="Normal"/>
    <w:next w:val="BodyText2"/>
    <w:link w:val="Heading9Char"/>
    <w:semiHidden/>
    <w:unhideWhenUsed/>
    <w:qFormat/>
    <w:rsid w:val="007E7C76"/>
    <w:pPr>
      <w:numPr>
        <w:ilvl w:val="8"/>
        <w:numId w:val="2"/>
      </w:numPr>
      <w:autoSpaceDE/>
      <w:autoSpaceDN/>
      <w:spacing w:after="240" w:line="240" w:lineRule="auto"/>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99F"/>
    <w:rPr>
      <w:color w:val="0000FF"/>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nhideWhenUsed/>
    <w:rsid w:val="00E7599F"/>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E7599F"/>
    <w:rPr>
      <w:rFonts w:eastAsia="Times New Roman"/>
      <w:sz w:val="20"/>
      <w:szCs w:val="20"/>
    </w:rPr>
  </w:style>
  <w:style w:type="character" w:styleId="FootnoteReference">
    <w:name w:val="footnote reference"/>
    <w:aliases w:val="o,fr"/>
    <w:basedOn w:val="DefaultParagraphFont"/>
    <w:unhideWhenUsed/>
    <w:rsid w:val="00E7599F"/>
    <w:rPr>
      <w:vertAlign w:val="superscript"/>
    </w:rPr>
  </w:style>
  <w:style w:type="paragraph" w:styleId="Footer">
    <w:name w:val="footer"/>
    <w:basedOn w:val="Normal"/>
    <w:link w:val="FooterChar"/>
    <w:uiPriority w:val="99"/>
    <w:unhideWhenUsed/>
    <w:rsid w:val="00E7599F"/>
    <w:pPr>
      <w:tabs>
        <w:tab w:val="center" w:pos="4680"/>
        <w:tab w:val="right" w:pos="9360"/>
      </w:tabs>
      <w:spacing w:line="240" w:lineRule="auto"/>
    </w:pPr>
  </w:style>
  <w:style w:type="character" w:customStyle="1" w:styleId="FooterChar">
    <w:name w:val="Footer Char"/>
    <w:basedOn w:val="DefaultParagraphFont"/>
    <w:link w:val="Footer"/>
    <w:uiPriority w:val="99"/>
    <w:rsid w:val="00E7599F"/>
    <w:rPr>
      <w:rFonts w:eastAsia="Times New Roman"/>
      <w:szCs w:val="20"/>
    </w:rPr>
  </w:style>
  <w:style w:type="paragraph" w:customStyle="1" w:styleId="Pleading2L1">
    <w:name w:val="Pleading2_L1"/>
    <w:basedOn w:val="Normal"/>
    <w:next w:val="BodyText"/>
    <w:rsid w:val="000E373F"/>
    <w:pPr>
      <w:numPr>
        <w:numId w:val="1"/>
      </w:numPr>
      <w:autoSpaceDE/>
      <w:autoSpaceDN/>
      <w:spacing w:after="240" w:line="240" w:lineRule="auto"/>
      <w:jc w:val="center"/>
      <w:outlineLvl w:val="0"/>
    </w:pPr>
    <w:rPr>
      <w:b/>
      <w:caps/>
      <w:u w:val="single"/>
    </w:rPr>
  </w:style>
  <w:style w:type="paragraph" w:customStyle="1" w:styleId="Pleading2L2">
    <w:name w:val="Pleading2_L2"/>
    <w:basedOn w:val="Pleading2L1"/>
    <w:rsid w:val="000E373F"/>
    <w:pPr>
      <w:numPr>
        <w:ilvl w:val="1"/>
      </w:numPr>
      <w:spacing w:after="0" w:line="480" w:lineRule="auto"/>
      <w:jc w:val="left"/>
      <w:outlineLvl w:val="1"/>
    </w:pPr>
    <w:rPr>
      <w:b w:val="0"/>
      <w:caps w:val="0"/>
      <w:u w:val="none"/>
    </w:rPr>
  </w:style>
  <w:style w:type="paragraph" w:customStyle="1" w:styleId="Pleading2L3">
    <w:name w:val="Pleading2_L3"/>
    <w:basedOn w:val="Pleading2L2"/>
    <w:rsid w:val="000E373F"/>
    <w:pPr>
      <w:numPr>
        <w:ilvl w:val="2"/>
      </w:numPr>
      <w:outlineLvl w:val="2"/>
    </w:pPr>
  </w:style>
  <w:style w:type="paragraph" w:customStyle="1" w:styleId="Pleading2L4">
    <w:name w:val="Pleading2_L4"/>
    <w:basedOn w:val="Pleading2L3"/>
    <w:rsid w:val="000E373F"/>
    <w:pPr>
      <w:numPr>
        <w:ilvl w:val="3"/>
      </w:numPr>
      <w:outlineLvl w:val="3"/>
    </w:pPr>
  </w:style>
  <w:style w:type="paragraph" w:customStyle="1" w:styleId="Pleading2L5">
    <w:name w:val="Pleading2_L5"/>
    <w:basedOn w:val="Pleading2L4"/>
    <w:rsid w:val="000E373F"/>
    <w:pPr>
      <w:keepNext/>
      <w:keepLines/>
      <w:widowControl w:val="0"/>
      <w:numPr>
        <w:ilvl w:val="4"/>
      </w:numPr>
      <w:spacing w:after="240" w:line="240" w:lineRule="auto"/>
      <w:outlineLvl w:val="4"/>
    </w:pPr>
  </w:style>
  <w:style w:type="paragraph" w:customStyle="1" w:styleId="Pleading2L6">
    <w:name w:val="Pleading2_L6"/>
    <w:basedOn w:val="Pleading2L5"/>
    <w:rsid w:val="000E373F"/>
    <w:pPr>
      <w:numPr>
        <w:ilvl w:val="5"/>
      </w:numPr>
      <w:outlineLvl w:val="5"/>
    </w:pPr>
  </w:style>
  <w:style w:type="paragraph" w:customStyle="1" w:styleId="Pleading2L7">
    <w:name w:val="Pleading2_L7"/>
    <w:basedOn w:val="Pleading2L6"/>
    <w:rsid w:val="000E373F"/>
    <w:pPr>
      <w:numPr>
        <w:ilvl w:val="6"/>
      </w:numPr>
      <w:outlineLvl w:val="6"/>
    </w:pPr>
  </w:style>
  <w:style w:type="paragraph" w:customStyle="1" w:styleId="Pleading2L8">
    <w:name w:val="Pleading2_L8"/>
    <w:basedOn w:val="Pleading2L7"/>
    <w:rsid w:val="000E373F"/>
    <w:pPr>
      <w:numPr>
        <w:ilvl w:val="7"/>
      </w:numPr>
      <w:outlineLvl w:val="7"/>
    </w:pPr>
  </w:style>
  <w:style w:type="paragraph" w:customStyle="1" w:styleId="Pleading2L9">
    <w:name w:val="Pleading2_L9"/>
    <w:basedOn w:val="Pleading2L8"/>
    <w:rsid w:val="000E373F"/>
    <w:pPr>
      <w:numPr>
        <w:ilvl w:val="8"/>
      </w:numPr>
      <w:outlineLvl w:val="8"/>
    </w:pPr>
  </w:style>
  <w:style w:type="paragraph" w:styleId="BodyText">
    <w:name w:val="Body Text"/>
    <w:basedOn w:val="Normal"/>
    <w:link w:val="BodyTextChar"/>
    <w:uiPriority w:val="99"/>
    <w:semiHidden/>
    <w:unhideWhenUsed/>
    <w:rsid w:val="000E373F"/>
    <w:pPr>
      <w:spacing w:after="120"/>
    </w:pPr>
  </w:style>
  <w:style w:type="character" w:customStyle="1" w:styleId="BodyTextChar">
    <w:name w:val="Body Text Char"/>
    <w:basedOn w:val="DefaultParagraphFont"/>
    <w:link w:val="BodyText"/>
    <w:uiPriority w:val="99"/>
    <w:semiHidden/>
    <w:rsid w:val="000E373F"/>
    <w:rPr>
      <w:rFonts w:eastAsia="Times New Roman"/>
      <w:szCs w:val="20"/>
    </w:rPr>
  </w:style>
  <w:style w:type="paragraph" w:styleId="BodyText2">
    <w:name w:val="Body Text 2"/>
    <w:basedOn w:val="Normal"/>
    <w:link w:val="BodyText2Char"/>
    <w:uiPriority w:val="99"/>
    <w:unhideWhenUsed/>
    <w:rsid w:val="007E7C76"/>
    <w:pPr>
      <w:spacing w:after="120" w:line="480" w:lineRule="auto"/>
    </w:pPr>
  </w:style>
  <w:style w:type="character" w:customStyle="1" w:styleId="BodyText2Char">
    <w:name w:val="Body Text 2 Char"/>
    <w:basedOn w:val="DefaultParagraphFont"/>
    <w:link w:val="BodyText2"/>
    <w:uiPriority w:val="99"/>
    <w:rsid w:val="007E7C76"/>
    <w:rPr>
      <w:rFonts w:eastAsia="Times New Roman"/>
      <w:szCs w:val="20"/>
    </w:rPr>
  </w:style>
  <w:style w:type="character" w:customStyle="1" w:styleId="Heading1Char">
    <w:name w:val="Heading 1 Char"/>
    <w:basedOn w:val="DefaultParagraphFont"/>
    <w:link w:val="Heading1"/>
    <w:rsid w:val="00D81F98"/>
    <w:rPr>
      <w:rFonts w:eastAsia="Times New Roman"/>
      <w:b/>
      <w:sz w:val="26"/>
      <w:szCs w:val="26"/>
    </w:rPr>
  </w:style>
  <w:style w:type="character" w:customStyle="1" w:styleId="Heading2Char">
    <w:name w:val="Heading 2 Char"/>
    <w:basedOn w:val="DefaultParagraphFont"/>
    <w:link w:val="Heading2"/>
    <w:rsid w:val="00D81F98"/>
    <w:rPr>
      <w:rFonts w:eastAsia="Times New Roman"/>
      <w:b/>
      <w:sz w:val="26"/>
      <w:szCs w:val="26"/>
    </w:rPr>
  </w:style>
  <w:style w:type="character" w:customStyle="1" w:styleId="Heading3Char">
    <w:name w:val="Heading 3 Char"/>
    <w:basedOn w:val="DefaultParagraphFont"/>
    <w:link w:val="Heading3"/>
    <w:rsid w:val="00D81F98"/>
    <w:rPr>
      <w:rFonts w:eastAsia="Times New Roman"/>
      <w:b/>
      <w:sz w:val="26"/>
      <w:szCs w:val="26"/>
    </w:rPr>
  </w:style>
  <w:style w:type="character" w:customStyle="1" w:styleId="Heading4Char">
    <w:name w:val="Heading 4 Char"/>
    <w:basedOn w:val="DefaultParagraphFont"/>
    <w:link w:val="Heading4"/>
    <w:semiHidden/>
    <w:rsid w:val="007E7C76"/>
    <w:rPr>
      <w:rFonts w:eastAsia="Times New Roman"/>
      <w:b/>
      <w:bCs/>
      <w:szCs w:val="28"/>
    </w:rPr>
  </w:style>
  <w:style w:type="character" w:customStyle="1" w:styleId="Heading5Char">
    <w:name w:val="Heading 5 Char"/>
    <w:basedOn w:val="DefaultParagraphFont"/>
    <w:link w:val="Heading5"/>
    <w:semiHidden/>
    <w:rsid w:val="007E7C76"/>
    <w:rPr>
      <w:rFonts w:eastAsia="Times New Roman"/>
      <w:b/>
      <w:bCs/>
      <w:iCs/>
      <w:szCs w:val="26"/>
    </w:rPr>
  </w:style>
  <w:style w:type="character" w:customStyle="1" w:styleId="Heading6Char">
    <w:name w:val="Heading 6 Char"/>
    <w:basedOn w:val="DefaultParagraphFont"/>
    <w:link w:val="Heading6"/>
    <w:semiHidden/>
    <w:rsid w:val="007E7C76"/>
    <w:rPr>
      <w:rFonts w:eastAsia="Times New Roman"/>
      <w:b/>
      <w:bCs/>
      <w:szCs w:val="22"/>
    </w:rPr>
  </w:style>
  <w:style w:type="character" w:customStyle="1" w:styleId="Heading7Char">
    <w:name w:val="Heading 7 Char"/>
    <w:basedOn w:val="DefaultParagraphFont"/>
    <w:link w:val="Heading7"/>
    <w:semiHidden/>
    <w:rsid w:val="007E7C76"/>
    <w:rPr>
      <w:rFonts w:eastAsia="Times New Roman"/>
      <w:b/>
    </w:rPr>
  </w:style>
  <w:style w:type="character" w:customStyle="1" w:styleId="Heading8Char">
    <w:name w:val="Heading 8 Char"/>
    <w:basedOn w:val="DefaultParagraphFont"/>
    <w:link w:val="Heading8"/>
    <w:semiHidden/>
    <w:rsid w:val="007E7C76"/>
    <w:rPr>
      <w:rFonts w:eastAsia="Times New Roman"/>
      <w:b/>
      <w:iCs/>
    </w:rPr>
  </w:style>
  <w:style w:type="character" w:customStyle="1" w:styleId="Heading9Char">
    <w:name w:val="Heading 9 Char"/>
    <w:basedOn w:val="DefaultParagraphFont"/>
    <w:link w:val="Heading9"/>
    <w:semiHidden/>
    <w:rsid w:val="007E7C76"/>
    <w:rPr>
      <w:rFonts w:eastAsia="Times New Roman"/>
      <w:b/>
      <w:szCs w:val="22"/>
    </w:rPr>
  </w:style>
  <w:style w:type="paragraph" w:styleId="BlockText">
    <w:name w:val="Block Text"/>
    <w:basedOn w:val="Normal"/>
    <w:rsid w:val="007E7C76"/>
    <w:pPr>
      <w:autoSpaceDE/>
      <w:autoSpaceDN/>
      <w:spacing w:after="240" w:line="240" w:lineRule="auto"/>
      <w:ind w:left="1440" w:right="1440"/>
      <w:jc w:val="both"/>
    </w:pPr>
    <w:rPr>
      <w:szCs w:val="24"/>
    </w:rPr>
  </w:style>
  <w:style w:type="paragraph" w:styleId="ListNumber">
    <w:name w:val="List Number"/>
    <w:basedOn w:val="Normal"/>
    <w:unhideWhenUsed/>
    <w:rsid w:val="00E35043"/>
    <w:pPr>
      <w:numPr>
        <w:numId w:val="4"/>
      </w:numPr>
      <w:tabs>
        <w:tab w:val="num" w:pos="1440"/>
      </w:tabs>
      <w:autoSpaceDE/>
      <w:autoSpaceDN/>
      <w:spacing w:line="480" w:lineRule="auto"/>
    </w:pPr>
    <w:rPr>
      <w:szCs w:val="24"/>
    </w:rPr>
  </w:style>
  <w:style w:type="paragraph" w:styleId="BalloonText">
    <w:name w:val="Balloon Text"/>
    <w:basedOn w:val="Normal"/>
    <w:link w:val="BalloonTextChar"/>
    <w:uiPriority w:val="99"/>
    <w:semiHidden/>
    <w:unhideWhenUsed/>
    <w:rsid w:val="00360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27"/>
    <w:rPr>
      <w:rFonts w:ascii="Tahoma" w:eastAsia="Times New Roman" w:hAnsi="Tahoma" w:cs="Tahoma"/>
      <w:sz w:val="16"/>
      <w:szCs w:val="16"/>
    </w:rPr>
  </w:style>
  <w:style w:type="paragraph" w:styleId="Header">
    <w:name w:val="header"/>
    <w:basedOn w:val="Normal"/>
    <w:link w:val="HeaderChar"/>
    <w:uiPriority w:val="99"/>
    <w:unhideWhenUsed/>
    <w:rsid w:val="00EC6D3E"/>
    <w:pPr>
      <w:tabs>
        <w:tab w:val="center" w:pos="4680"/>
        <w:tab w:val="right" w:pos="9360"/>
      </w:tabs>
      <w:spacing w:line="240" w:lineRule="auto"/>
    </w:pPr>
  </w:style>
  <w:style w:type="character" w:customStyle="1" w:styleId="HeaderChar">
    <w:name w:val="Header Char"/>
    <w:basedOn w:val="DefaultParagraphFont"/>
    <w:link w:val="Header"/>
    <w:uiPriority w:val="99"/>
    <w:rsid w:val="00EC6D3E"/>
    <w:rPr>
      <w:rFonts w:eastAsia="Times New Roman"/>
      <w:szCs w:val="20"/>
    </w:rPr>
  </w:style>
  <w:style w:type="paragraph" w:styleId="ListParagraph">
    <w:name w:val="List Paragraph"/>
    <w:basedOn w:val="Normal"/>
    <w:uiPriority w:val="34"/>
    <w:qFormat/>
    <w:rsid w:val="007C4E34"/>
    <w:pPr>
      <w:ind w:left="720"/>
      <w:contextualSpacing/>
    </w:pPr>
  </w:style>
  <w:style w:type="paragraph" w:styleId="TOC1">
    <w:name w:val="toc 1"/>
    <w:basedOn w:val="Normal"/>
    <w:next w:val="Normal"/>
    <w:autoRedefine/>
    <w:uiPriority w:val="39"/>
    <w:unhideWhenUsed/>
    <w:rsid w:val="009A4F6E"/>
    <w:pPr>
      <w:spacing w:after="100"/>
    </w:pPr>
    <w:rPr>
      <w:sz w:val="26"/>
    </w:rPr>
  </w:style>
  <w:style w:type="paragraph" w:styleId="TOC2">
    <w:name w:val="toc 2"/>
    <w:basedOn w:val="Normal"/>
    <w:next w:val="Normal"/>
    <w:autoRedefine/>
    <w:uiPriority w:val="39"/>
    <w:unhideWhenUsed/>
    <w:rsid w:val="00754BBB"/>
    <w:pPr>
      <w:spacing w:after="100"/>
      <w:ind w:left="720"/>
    </w:pPr>
    <w:rPr>
      <w:sz w:val="26"/>
    </w:rPr>
  </w:style>
  <w:style w:type="paragraph" w:styleId="TOC3">
    <w:name w:val="toc 3"/>
    <w:basedOn w:val="Normal"/>
    <w:next w:val="Normal"/>
    <w:autoRedefine/>
    <w:uiPriority w:val="39"/>
    <w:unhideWhenUsed/>
    <w:rsid w:val="00754BBB"/>
    <w:pPr>
      <w:spacing w:after="100"/>
      <w:ind w:left="1440"/>
    </w:pPr>
    <w:rPr>
      <w:sz w:val="26"/>
    </w:rPr>
  </w:style>
  <w:style w:type="paragraph" w:styleId="TOC4">
    <w:name w:val="toc 4"/>
    <w:basedOn w:val="Normal"/>
    <w:next w:val="Normal"/>
    <w:autoRedefine/>
    <w:uiPriority w:val="39"/>
    <w:unhideWhenUsed/>
    <w:rsid w:val="007E45A6"/>
    <w:pPr>
      <w:tabs>
        <w:tab w:val="left" w:pos="720"/>
        <w:tab w:val="right" w:leader="dot" w:pos="9350"/>
      </w:tabs>
      <w:spacing w:after="100"/>
    </w:pPr>
  </w:style>
  <w:style w:type="paragraph" w:styleId="Subtitle">
    <w:name w:val="Subtitle"/>
    <w:basedOn w:val="Normal"/>
    <w:link w:val="SubtitleChar"/>
    <w:qFormat/>
    <w:rsid w:val="00E913A2"/>
    <w:pPr>
      <w:autoSpaceDE/>
      <w:autoSpaceDN/>
      <w:spacing w:line="240" w:lineRule="auto"/>
      <w:jc w:val="center"/>
    </w:pPr>
    <w:rPr>
      <w:rFonts w:ascii="CG Times" w:hAnsi="CG Times"/>
      <w:b/>
    </w:rPr>
  </w:style>
  <w:style w:type="character" w:customStyle="1" w:styleId="SubtitleChar">
    <w:name w:val="Subtitle Char"/>
    <w:basedOn w:val="DefaultParagraphFont"/>
    <w:link w:val="Subtitle"/>
    <w:rsid w:val="00E913A2"/>
    <w:rPr>
      <w:rFonts w:ascii="CG Times" w:eastAsia="Times New Roman" w:hAnsi="CG Times"/>
      <w:b/>
      <w:szCs w:val="20"/>
    </w:rPr>
  </w:style>
  <w:style w:type="character" w:styleId="Emphasis">
    <w:name w:val="Emphasis"/>
    <w:basedOn w:val="DefaultParagraphFont"/>
    <w:qFormat/>
    <w:rsid w:val="001D6B1E"/>
    <w:rPr>
      <w:i/>
      <w:iCs/>
    </w:rPr>
  </w:style>
  <w:style w:type="paragraph" w:styleId="TOCHeading">
    <w:name w:val="TOC Heading"/>
    <w:basedOn w:val="Heading1"/>
    <w:next w:val="Normal"/>
    <w:uiPriority w:val="39"/>
    <w:semiHidden/>
    <w:unhideWhenUsed/>
    <w:qFormat/>
    <w:rsid w:val="00145299"/>
    <w:pPr>
      <w:keepNext/>
      <w:keepLines/>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2929">
      <w:bodyDiv w:val="1"/>
      <w:marLeft w:val="0"/>
      <w:marRight w:val="0"/>
      <w:marTop w:val="0"/>
      <w:marBottom w:val="0"/>
      <w:divBdr>
        <w:top w:val="none" w:sz="0" w:space="0" w:color="auto"/>
        <w:left w:val="none" w:sz="0" w:space="0" w:color="auto"/>
        <w:bottom w:val="none" w:sz="0" w:space="0" w:color="auto"/>
        <w:right w:val="none" w:sz="0" w:space="0" w:color="auto"/>
      </w:divBdr>
    </w:div>
    <w:div w:id="16973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5517-697F-4838-B518-F9812F7B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14375</Words>
  <Characters>81940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Farner, Joyce</cp:lastModifiedBy>
  <cp:revision>3</cp:revision>
  <cp:lastPrinted>2012-07-19T17:37:00Z</cp:lastPrinted>
  <dcterms:created xsi:type="dcterms:W3CDTF">2012-07-18T18:14:00Z</dcterms:created>
  <dcterms:modified xsi:type="dcterms:W3CDTF">2012-07-19T17:38:00Z</dcterms:modified>
</cp:coreProperties>
</file>