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F3" w:rsidRPr="00FB1329" w:rsidRDefault="008A3AF3" w:rsidP="008A3AF3">
      <w:pPr>
        <w:tabs>
          <w:tab w:val="center" w:pos="4680"/>
        </w:tabs>
        <w:suppressAutoHyphens/>
        <w:jc w:val="center"/>
        <w:rPr>
          <w:b/>
          <w:bCs/>
          <w:spacing w:val="-3"/>
          <w:sz w:val="26"/>
          <w:szCs w:val="26"/>
        </w:rPr>
      </w:pPr>
      <w:r w:rsidRPr="00FB1329">
        <w:rPr>
          <w:b/>
          <w:bCs/>
          <w:spacing w:val="-3"/>
          <w:sz w:val="26"/>
          <w:szCs w:val="26"/>
        </w:rPr>
        <w:t>PENNSYLVANIA</w:t>
      </w:r>
    </w:p>
    <w:p w:rsidR="008A3AF3" w:rsidRPr="00FB1329" w:rsidRDefault="008A3AF3" w:rsidP="008A3AF3">
      <w:pPr>
        <w:tabs>
          <w:tab w:val="center" w:pos="4680"/>
        </w:tabs>
        <w:suppressAutoHyphens/>
        <w:jc w:val="center"/>
        <w:rPr>
          <w:b/>
          <w:bCs/>
          <w:spacing w:val="-3"/>
          <w:sz w:val="26"/>
          <w:szCs w:val="26"/>
        </w:rPr>
      </w:pPr>
      <w:r w:rsidRPr="00FB1329">
        <w:rPr>
          <w:b/>
          <w:bCs/>
          <w:spacing w:val="-3"/>
          <w:sz w:val="26"/>
          <w:szCs w:val="26"/>
        </w:rPr>
        <w:t>PUBLIC UTILITY COMMISSION</w:t>
      </w:r>
    </w:p>
    <w:p w:rsidR="008A3AF3" w:rsidRPr="00FB1329" w:rsidRDefault="008A3AF3" w:rsidP="008A3AF3">
      <w:pPr>
        <w:tabs>
          <w:tab w:val="center" w:pos="4680"/>
        </w:tabs>
        <w:suppressAutoHyphens/>
        <w:jc w:val="center"/>
        <w:rPr>
          <w:b/>
          <w:bCs/>
          <w:spacing w:val="-3"/>
          <w:sz w:val="26"/>
          <w:szCs w:val="26"/>
        </w:rPr>
      </w:pPr>
      <w:r w:rsidRPr="00FB1329">
        <w:rPr>
          <w:b/>
          <w:bCs/>
          <w:spacing w:val="-3"/>
          <w:sz w:val="26"/>
          <w:szCs w:val="26"/>
        </w:rPr>
        <w:t>Harrisburg, PA  17105-3265</w:t>
      </w:r>
    </w:p>
    <w:p w:rsidR="008A3AF3" w:rsidRPr="00FB1329" w:rsidRDefault="008A3AF3" w:rsidP="008A3AF3">
      <w:pPr>
        <w:tabs>
          <w:tab w:val="center" w:pos="4680"/>
        </w:tabs>
        <w:suppressAutoHyphens/>
        <w:jc w:val="center"/>
        <w:rPr>
          <w:b/>
          <w:bCs/>
          <w:spacing w:val="-3"/>
          <w:sz w:val="26"/>
          <w:szCs w:val="26"/>
        </w:rPr>
      </w:pPr>
    </w:p>
    <w:p w:rsidR="008A3AF3" w:rsidRPr="00FB1329" w:rsidRDefault="008A3AF3" w:rsidP="008A3AF3">
      <w:pPr>
        <w:tabs>
          <w:tab w:val="center" w:pos="4680"/>
        </w:tabs>
        <w:suppressAutoHyphens/>
        <w:jc w:val="center"/>
        <w:rPr>
          <w:b/>
          <w:bCs/>
          <w:spacing w:val="-3"/>
          <w:sz w:val="26"/>
          <w:szCs w:val="26"/>
        </w:rPr>
      </w:pPr>
    </w:p>
    <w:p w:rsidR="008A3AF3" w:rsidRPr="00FB1329" w:rsidRDefault="008A3AF3" w:rsidP="008A3AF3">
      <w:pPr>
        <w:tabs>
          <w:tab w:val="right" w:pos="9360"/>
        </w:tabs>
        <w:suppressAutoHyphens/>
        <w:rPr>
          <w:sz w:val="26"/>
          <w:szCs w:val="26"/>
        </w:rPr>
      </w:pPr>
      <w:r w:rsidRPr="00FB1329">
        <w:rPr>
          <w:sz w:val="26"/>
        </w:rPr>
        <w:tab/>
        <w:t>P</w:t>
      </w:r>
      <w:r w:rsidRPr="00FB1329">
        <w:rPr>
          <w:sz w:val="26"/>
          <w:szCs w:val="26"/>
        </w:rPr>
        <w:t xml:space="preserve">ublic Meeting held </w:t>
      </w:r>
      <w:r w:rsidR="00CC515D">
        <w:rPr>
          <w:sz w:val="26"/>
          <w:szCs w:val="26"/>
        </w:rPr>
        <w:t>September 27</w:t>
      </w:r>
      <w:r w:rsidR="00CC515D" w:rsidRPr="00EE4BF1">
        <w:rPr>
          <w:sz w:val="26"/>
          <w:szCs w:val="26"/>
        </w:rPr>
        <w:t>, 2012</w:t>
      </w:r>
    </w:p>
    <w:p w:rsidR="008A3AF3" w:rsidRPr="00FB1329" w:rsidRDefault="008A3AF3" w:rsidP="008A3AF3">
      <w:pPr>
        <w:tabs>
          <w:tab w:val="left" w:pos="-720"/>
        </w:tabs>
        <w:suppressAutoHyphens/>
        <w:rPr>
          <w:sz w:val="26"/>
        </w:rPr>
      </w:pPr>
    </w:p>
    <w:p w:rsidR="008A3AF3" w:rsidRPr="00FB1329" w:rsidRDefault="008A3AF3" w:rsidP="008A3AF3">
      <w:pPr>
        <w:tabs>
          <w:tab w:val="left" w:pos="-720"/>
        </w:tabs>
        <w:suppressAutoHyphens/>
        <w:rPr>
          <w:sz w:val="26"/>
        </w:rPr>
      </w:pPr>
      <w:r w:rsidRPr="00FB1329">
        <w:rPr>
          <w:sz w:val="26"/>
        </w:rPr>
        <w:t>Commissioners Present:</w:t>
      </w:r>
    </w:p>
    <w:p w:rsidR="008A3AF3" w:rsidRPr="00FB1329" w:rsidRDefault="008A3AF3" w:rsidP="008A3AF3">
      <w:pPr>
        <w:tabs>
          <w:tab w:val="left" w:pos="-720"/>
        </w:tabs>
        <w:suppressAutoHyphens/>
        <w:rPr>
          <w:sz w:val="26"/>
        </w:rPr>
      </w:pPr>
    </w:p>
    <w:tbl>
      <w:tblPr>
        <w:tblW w:w="0" w:type="auto"/>
        <w:tblLayout w:type="fixed"/>
        <w:tblLook w:val="0000" w:firstRow="0" w:lastRow="0" w:firstColumn="0" w:lastColumn="0" w:noHBand="0" w:noVBand="0"/>
      </w:tblPr>
      <w:tblGrid>
        <w:gridCol w:w="9468"/>
      </w:tblGrid>
      <w:tr w:rsidR="008A3AF3" w:rsidRPr="00FB1329" w:rsidTr="0050703D">
        <w:tc>
          <w:tcPr>
            <w:tcW w:w="9468" w:type="dxa"/>
          </w:tcPr>
          <w:p w:rsidR="008A3AF3" w:rsidRPr="00FB1329" w:rsidRDefault="008A3AF3" w:rsidP="00E257E0">
            <w:pPr>
              <w:pStyle w:val="p5"/>
              <w:ind w:left="360"/>
              <w:rPr>
                <w:szCs w:val="26"/>
              </w:rPr>
            </w:pPr>
            <w:r w:rsidRPr="00FB1329">
              <w:rPr>
                <w:szCs w:val="26"/>
              </w:rPr>
              <w:t>Robert F. Powelson, Chairman</w:t>
            </w:r>
          </w:p>
          <w:p w:rsidR="008A3AF3" w:rsidRPr="00FB1329" w:rsidRDefault="008A3AF3" w:rsidP="00E257E0">
            <w:pPr>
              <w:pStyle w:val="p5"/>
              <w:ind w:left="360"/>
              <w:rPr>
                <w:szCs w:val="26"/>
              </w:rPr>
            </w:pPr>
            <w:r w:rsidRPr="00FB1329">
              <w:rPr>
                <w:szCs w:val="26"/>
              </w:rPr>
              <w:t>John F. Coleman, Jr., Vice Chairman</w:t>
            </w:r>
          </w:p>
        </w:tc>
      </w:tr>
      <w:tr w:rsidR="008A3AF3" w:rsidRPr="00FB1329" w:rsidTr="0050703D">
        <w:tc>
          <w:tcPr>
            <w:tcW w:w="9468" w:type="dxa"/>
          </w:tcPr>
          <w:p w:rsidR="008A3AF3" w:rsidRPr="00FB1329" w:rsidRDefault="008A3AF3" w:rsidP="00E257E0">
            <w:pPr>
              <w:pStyle w:val="p5"/>
              <w:ind w:left="360"/>
              <w:rPr>
                <w:szCs w:val="26"/>
              </w:rPr>
            </w:pPr>
            <w:r w:rsidRPr="00FB1329">
              <w:rPr>
                <w:szCs w:val="26"/>
              </w:rPr>
              <w:t>Wayne E. Gardner</w:t>
            </w:r>
          </w:p>
          <w:p w:rsidR="008A3AF3" w:rsidRPr="00FB1329" w:rsidRDefault="008A3AF3" w:rsidP="00E257E0">
            <w:pPr>
              <w:pStyle w:val="p5"/>
              <w:ind w:left="360"/>
              <w:rPr>
                <w:szCs w:val="26"/>
              </w:rPr>
            </w:pPr>
            <w:r w:rsidRPr="00FB1329">
              <w:rPr>
                <w:szCs w:val="26"/>
              </w:rPr>
              <w:t>James H. Cawley</w:t>
            </w:r>
          </w:p>
        </w:tc>
      </w:tr>
      <w:tr w:rsidR="008A3AF3" w:rsidRPr="00FB1329" w:rsidTr="0050703D">
        <w:tc>
          <w:tcPr>
            <w:tcW w:w="9468" w:type="dxa"/>
          </w:tcPr>
          <w:p w:rsidR="008A3AF3" w:rsidRPr="00FB1329" w:rsidRDefault="008A3AF3" w:rsidP="00E257E0">
            <w:pPr>
              <w:pStyle w:val="p5"/>
              <w:ind w:left="360"/>
              <w:rPr>
                <w:szCs w:val="26"/>
              </w:rPr>
            </w:pPr>
            <w:r w:rsidRPr="00FB1329">
              <w:rPr>
                <w:szCs w:val="26"/>
              </w:rPr>
              <w:t>Pamela A. Witmer</w:t>
            </w:r>
          </w:p>
        </w:tc>
      </w:tr>
    </w:tbl>
    <w:p w:rsidR="008A3AF3" w:rsidRPr="00FB1329" w:rsidRDefault="008A3AF3" w:rsidP="008A3AF3">
      <w:pPr>
        <w:tabs>
          <w:tab w:val="left" w:pos="-720"/>
        </w:tabs>
        <w:suppressAutoHyphens/>
        <w:jc w:val="both"/>
        <w:rPr>
          <w:spacing w:val="-3"/>
          <w:sz w:val="26"/>
          <w:szCs w:val="26"/>
        </w:rPr>
      </w:pPr>
    </w:p>
    <w:p w:rsidR="008A3AF3" w:rsidRPr="00FB1329" w:rsidRDefault="008A3AF3" w:rsidP="008A3AF3">
      <w:pPr>
        <w:tabs>
          <w:tab w:val="left" w:pos="-720"/>
        </w:tabs>
        <w:suppressAutoHyphens/>
        <w:jc w:val="both"/>
        <w:rPr>
          <w:spacing w:val="-3"/>
          <w:sz w:val="26"/>
          <w:szCs w:val="26"/>
        </w:rPr>
      </w:pPr>
      <w:r w:rsidRPr="00FB1329">
        <w:rPr>
          <w:spacing w:val="-3"/>
          <w:sz w:val="26"/>
          <w:szCs w:val="26"/>
        </w:rPr>
        <w:t>Interim Guidelines</w:t>
      </w:r>
      <w:r w:rsidR="00D47B4C" w:rsidRPr="00D47B4C">
        <w:rPr>
          <w:spacing w:val="-3"/>
          <w:sz w:val="26"/>
          <w:szCs w:val="26"/>
        </w:rPr>
        <w:t xml:space="preserve"> </w:t>
      </w:r>
      <w:r w:rsidR="00D47B4C" w:rsidRPr="00FB1329">
        <w:rPr>
          <w:spacing w:val="-3"/>
          <w:sz w:val="26"/>
          <w:szCs w:val="26"/>
        </w:rPr>
        <w:t xml:space="preserve">For </w:t>
      </w:r>
      <w:r w:rsidR="00D47B4C">
        <w:rPr>
          <w:spacing w:val="-3"/>
          <w:sz w:val="26"/>
          <w:szCs w:val="26"/>
        </w:rPr>
        <w:t>Natural</w:t>
      </w:r>
      <w:r w:rsidRPr="00FB1329">
        <w:rPr>
          <w:spacing w:val="-3"/>
          <w:sz w:val="26"/>
          <w:szCs w:val="26"/>
        </w:rPr>
        <w:tab/>
      </w:r>
      <w:r w:rsidRPr="00FB1329">
        <w:rPr>
          <w:spacing w:val="-3"/>
          <w:sz w:val="26"/>
          <w:szCs w:val="26"/>
        </w:rPr>
        <w:tab/>
      </w:r>
      <w:r w:rsidRPr="00FB1329">
        <w:rPr>
          <w:spacing w:val="-3"/>
          <w:sz w:val="26"/>
          <w:szCs w:val="26"/>
        </w:rPr>
        <w:tab/>
      </w:r>
      <w:r w:rsidRPr="00FB1329">
        <w:rPr>
          <w:spacing w:val="-3"/>
          <w:sz w:val="26"/>
          <w:szCs w:val="26"/>
        </w:rPr>
        <w:tab/>
        <w:t>Docket No.</w:t>
      </w:r>
    </w:p>
    <w:p w:rsidR="004365AC" w:rsidRPr="00FB1329" w:rsidRDefault="004365AC" w:rsidP="004365AC">
      <w:pPr>
        <w:tabs>
          <w:tab w:val="left" w:pos="-720"/>
        </w:tabs>
        <w:suppressAutoHyphens/>
        <w:jc w:val="both"/>
        <w:rPr>
          <w:spacing w:val="-3"/>
          <w:sz w:val="26"/>
          <w:szCs w:val="26"/>
        </w:rPr>
      </w:pPr>
      <w:r>
        <w:rPr>
          <w:spacing w:val="-3"/>
          <w:sz w:val="26"/>
          <w:szCs w:val="26"/>
        </w:rPr>
        <w:t>Gas Distribution Company</w:t>
      </w:r>
      <w:r>
        <w:rPr>
          <w:spacing w:val="-3"/>
          <w:sz w:val="26"/>
          <w:szCs w:val="26"/>
        </w:rPr>
        <w:tab/>
      </w:r>
      <w:r>
        <w:rPr>
          <w:spacing w:val="-3"/>
          <w:sz w:val="26"/>
          <w:szCs w:val="26"/>
        </w:rPr>
        <w:tab/>
      </w:r>
      <w:r>
        <w:rPr>
          <w:spacing w:val="-3"/>
          <w:sz w:val="26"/>
          <w:szCs w:val="26"/>
        </w:rPr>
        <w:tab/>
      </w:r>
      <w:r w:rsidR="00D47B4C">
        <w:rPr>
          <w:spacing w:val="-3"/>
          <w:sz w:val="26"/>
          <w:szCs w:val="26"/>
        </w:rPr>
        <w:tab/>
      </w:r>
      <w:r w:rsidR="00D47B4C">
        <w:rPr>
          <w:spacing w:val="-3"/>
          <w:sz w:val="26"/>
          <w:szCs w:val="26"/>
        </w:rPr>
        <w:tab/>
      </w:r>
      <w:r w:rsidR="00345ED2" w:rsidRPr="00345ED2">
        <w:rPr>
          <w:spacing w:val="-3"/>
          <w:sz w:val="26"/>
          <w:szCs w:val="26"/>
        </w:rPr>
        <w:t>M-2012-2324075</w:t>
      </w:r>
    </w:p>
    <w:p w:rsidR="008A3AF3" w:rsidRDefault="008A3AF3" w:rsidP="008A3AF3">
      <w:pPr>
        <w:tabs>
          <w:tab w:val="left" w:pos="-720"/>
        </w:tabs>
        <w:suppressAutoHyphens/>
        <w:jc w:val="both"/>
        <w:rPr>
          <w:spacing w:val="-3"/>
          <w:sz w:val="26"/>
          <w:szCs w:val="26"/>
        </w:rPr>
      </w:pPr>
      <w:r w:rsidRPr="00FB1329">
        <w:rPr>
          <w:spacing w:val="-3"/>
          <w:sz w:val="26"/>
          <w:szCs w:val="26"/>
        </w:rPr>
        <w:t>Eligible Customer Lists</w:t>
      </w:r>
    </w:p>
    <w:p w:rsidR="008A3AF3" w:rsidRPr="00FB1329" w:rsidRDefault="008A3AF3" w:rsidP="008A3AF3">
      <w:pPr>
        <w:tabs>
          <w:tab w:val="left" w:pos="-720"/>
        </w:tabs>
        <w:suppressAutoHyphens/>
        <w:jc w:val="both"/>
        <w:rPr>
          <w:spacing w:val="-3"/>
          <w:sz w:val="26"/>
          <w:szCs w:val="26"/>
        </w:rPr>
      </w:pPr>
    </w:p>
    <w:p w:rsidR="008A3AF3" w:rsidRPr="00FB1329" w:rsidRDefault="008A3AF3" w:rsidP="008A3AF3">
      <w:pPr>
        <w:tabs>
          <w:tab w:val="left" w:pos="-720"/>
        </w:tabs>
        <w:suppressAutoHyphens/>
        <w:spacing w:line="360" w:lineRule="auto"/>
        <w:jc w:val="both"/>
        <w:rPr>
          <w:spacing w:val="-3"/>
          <w:sz w:val="26"/>
          <w:szCs w:val="26"/>
        </w:rPr>
      </w:pPr>
    </w:p>
    <w:p w:rsidR="008A3AF3" w:rsidRPr="00FB1329" w:rsidRDefault="00CC515D" w:rsidP="008A3AF3">
      <w:pPr>
        <w:spacing w:line="360" w:lineRule="auto"/>
        <w:jc w:val="center"/>
        <w:rPr>
          <w:b/>
          <w:bCs/>
          <w:spacing w:val="-3"/>
          <w:sz w:val="26"/>
          <w:szCs w:val="26"/>
        </w:rPr>
      </w:pPr>
      <w:r>
        <w:rPr>
          <w:b/>
          <w:bCs/>
          <w:caps/>
          <w:spacing w:val="-3"/>
          <w:sz w:val="26"/>
          <w:szCs w:val="26"/>
        </w:rPr>
        <w:t xml:space="preserve">TENTATIVE </w:t>
      </w:r>
      <w:r w:rsidR="008A3AF3">
        <w:rPr>
          <w:b/>
          <w:bCs/>
          <w:caps/>
          <w:spacing w:val="-3"/>
          <w:sz w:val="26"/>
          <w:szCs w:val="26"/>
        </w:rPr>
        <w:t>order</w:t>
      </w:r>
    </w:p>
    <w:p w:rsidR="008A3AF3" w:rsidRPr="00FB1329" w:rsidRDefault="008A3AF3" w:rsidP="008A3AF3">
      <w:pPr>
        <w:spacing w:line="360" w:lineRule="auto"/>
        <w:rPr>
          <w:b/>
          <w:bCs/>
          <w:spacing w:val="-3"/>
          <w:sz w:val="26"/>
          <w:szCs w:val="26"/>
        </w:rPr>
      </w:pPr>
    </w:p>
    <w:p w:rsidR="008A3AF3" w:rsidRPr="004365AC" w:rsidRDefault="008A3AF3" w:rsidP="008A3AF3">
      <w:pPr>
        <w:spacing w:line="360" w:lineRule="auto"/>
        <w:rPr>
          <w:b/>
          <w:bCs/>
          <w:spacing w:val="-3"/>
          <w:sz w:val="26"/>
          <w:szCs w:val="26"/>
        </w:rPr>
      </w:pPr>
      <w:r w:rsidRPr="00FB1329">
        <w:rPr>
          <w:b/>
          <w:bCs/>
          <w:spacing w:val="-3"/>
          <w:sz w:val="26"/>
          <w:szCs w:val="26"/>
        </w:rPr>
        <w:t>BY THE COMMISSION:</w:t>
      </w:r>
    </w:p>
    <w:p w:rsidR="00696C9C" w:rsidRPr="004365AC" w:rsidRDefault="00696C9C">
      <w:pPr>
        <w:rPr>
          <w:sz w:val="26"/>
          <w:szCs w:val="26"/>
        </w:rPr>
      </w:pPr>
    </w:p>
    <w:p w:rsidR="00D47B4C" w:rsidRDefault="00D47B4C" w:rsidP="00D47B4C">
      <w:pPr>
        <w:spacing w:line="360" w:lineRule="auto"/>
        <w:rPr>
          <w:bCs/>
          <w:spacing w:val="-3"/>
          <w:sz w:val="26"/>
          <w:szCs w:val="26"/>
        </w:rPr>
      </w:pPr>
      <w:r>
        <w:rPr>
          <w:bCs/>
          <w:spacing w:val="-3"/>
          <w:sz w:val="26"/>
          <w:szCs w:val="26"/>
        </w:rPr>
        <w:tab/>
      </w:r>
      <w:r w:rsidRPr="007620D2">
        <w:rPr>
          <w:bCs/>
          <w:spacing w:val="-3"/>
          <w:sz w:val="26"/>
          <w:szCs w:val="26"/>
        </w:rPr>
        <w:t>Before the Commission</w:t>
      </w:r>
      <w:r w:rsidR="00D4252E">
        <w:rPr>
          <w:bCs/>
          <w:spacing w:val="-3"/>
          <w:sz w:val="26"/>
          <w:szCs w:val="26"/>
        </w:rPr>
        <w:t>, upon our own motion,</w:t>
      </w:r>
      <w:r w:rsidRPr="007620D2">
        <w:rPr>
          <w:bCs/>
          <w:spacing w:val="-3"/>
          <w:sz w:val="26"/>
          <w:szCs w:val="26"/>
        </w:rPr>
        <w:t xml:space="preserve"> </w:t>
      </w:r>
      <w:r w:rsidR="00D4252E">
        <w:rPr>
          <w:bCs/>
          <w:spacing w:val="-3"/>
          <w:sz w:val="26"/>
          <w:szCs w:val="26"/>
        </w:rPr>
        <w:t xml:space="preserve">are proposed guidelines </w:t>
      </w:r>
      <w:r>
        <w:rPr>
          <w:bCs/>
          <w:spacing w:val="-3"/>
          <w:sz w:val="26"/>
          <w:szCs w:val="26"/>
        </w:rPr>
        <w:t xml:space="preserve">to provide for more uniformity in the </w:t>
      </w:r>
      <w:r w:rsidR="00D4252E">
        <w:rPr>
          <w:bCs/>
          <w:spacing w:val="-3"/>
          <w:sz w:val="26"/>
          <w:szCs w:val="26"/>
        </w:rPr>
        <w:t xml:space="preserve">customer account </w:t>
      </w:r>
      <w:r>
        <w:rPr>
          <w:bCs/>
          <w:spacing w:val="-3"/>
          <w:sz w:val="26"/>
          <w:szCs w:val="26"/>
        </w:rPr>
        <w:t xml:space="preserve">information provided by </w:t>
      </w:r>
      <w:r w:rsidR="00D4252E">
        <w:rPr>
          <w:bCs/>
          <w:spacing w:val="-3"/>
          <w:sz w:val="26"/>
          <w:szCs w:val="26"/>
        </w:rPr>
        <w:t>Natural Gas Distribution Companies (NGDCs)</w:t>
      </w:r>
      <w:r>
        <w:rPr>
          <w:bCs/>
          <w:spacing w:val="-3"/>
          <w:sz w:val="26"/>
          <w:szCs w:val="26"/>
        </w:rPr>
        <w:t xml:space="preserve"> to </w:t>
      </w:r>
      <w:r w:rsidR="00D4252E">
        <w:rPr>
          <w:bCs/>
          <w:spacing w:val="-3"/>
          <w:sz w:val="26"/>
          <w:szCs w:val="26"/>
        </w:rPr>
        <w:t>Natural Gas Suppliers (NGSs) to assist in the development of the retail market for natural gas supplies</w:t>
      </w:r>
      <w:r>
        <w:rPr>
          <w:bCs/>
          <w:spacing w:val="-3"/>
          <w:sz w:val="26"/>
          <w:szCs w:val="26"/>
        </w:rPr>
        <w:t xml:space="preserve">.  </w:t>
      </w:r>
      <w:r w:rsidR="00D4252E">
        <w:rPr>
          <w:bCs/>
          <w:spacing w:val="-3"/>
          <w:sz w:val="26"/>
          <w:szCs w:val="26"/>
        </w:rPr>
        <w:t>We take this action to provide guidance to NGDCs and NGSs alike similar to the non-binding guidelines we issued for the benefit of the electric industry.</w:t>
      </w:r>
      <w:r w:rsidR="00D4252E">
        <w:rPr>
          <w:rStyle w:val="FootnoteReference"/>
          <w:bCs/>
          <w:spacing w:val="-3"/>
          <w:sz w:val="26"/>
          <w:szCs w:val="26"/>
        </w:rPr>
        <w:footnoteReference w:id="1"/>
      </w:r>
      <w:r w:rsidR="00BB5FE0">
        <w:rPr>
          <w:bCs/>
          <w:spacing w:val="-3"/>
          <w:sz w:val="26"/>
          <w:szCs w:val="26"/>
        </w:rPr>
        <w:t xml:space="preserve"> </w:t>
      </w:r>
      <w:r w:rsidR="00D4252E">
        <w:rPr>
          <w:bCs/>
          <w:spacing w:val="-3"/>
          <w:sz w:val="26"/>
          <w:szCs w:val="26"/>
        </w:rPr>
        <w:t xml:space="preserve"> </w:t>
      </w:r>
      <w:r>
        <w:rPr>
          <w:bCs/>
          <w:spacing w:val="-3"/>
          <w:sz w:val="26"/>
          <w:szCs w:val="26"/>
        </w:rPr>
        <w:t>With this Tentative Order, we issue for public comment these draft interim</w:t>
      </w:r>
      <w:r w:rsidR="00D4252E">
        <w:rPr>
          <w:bCs/>
          <w:spacing w:val="-3"/>
          <w:sz w:val="26"/>
          <w:szCs w:val="26"/>
        </w:rPr>
        <w:t xml:space="preserve"> guidelines for Eligible Customer Lists (ECLs)</w:t>
      </w:r>
      <w:r w:rsidR="00402D1E">
        <w:rPr>
          <w:bCs/>
          <w:spacing w:val="-3"/>
          <w:sz w:val="26"/>
          <w:szCs w:val="26"/>
        </w:rPr>
        <w:t xml:space="preserve"> maintained by NGDCs.</w:t>
      </w:r>
      <w:r>
        <w:rPr>
          <w:bCs/>
          <w:spacing w:val="-3"/>
          <w:sz w:val="26"/>
          <w:szCs w:val="26"/>
        </w:rPr>
        <w:t xml:space="preserve">  </w:t>
      </w:r>
    </w:p>
    <w:p w:rsidR="00782A4F" w:rsidRPr="007620D2" w:rsidRDefault="00782A4F" w:rsidP="00782A4F">
      <w:pPr>
        <w:spacing w:line="360" w:lineRule="auto"/>
        <w:rPr>
          <w:bCs/>
          <w:spacing w:val="-3"/>
          <w:sz w:val="26"/>
          <w:szCs w:val="26"/>
        </w:rPr>
      </w:pPr>
    </w:p>
    <w:p w:rsidR="00782A4F" w:rsidRDefault="00782A4F">
      <w:pPr>
        <w:spacing w:after="200" w:line="276" w:lineRule="auto"/>
        <w:rPr>
          <w:b/>
          <w:bCs/>
          <w:spacing w:val="-3"/>
          <w:sz w:val="26"/>
          <w:szCs w:val="26"/>
        </w:rPr>
      </w:pPr>
      <w:r>
        <w:rPr>
          <w:b/>
          <w:bCs/>
          <w:spacing w:val="-3"/>
          <w:sz w:val="26"/>
          <w:szCs w:val="26"/>
        </w:rPr>
        <w:br w:type="page"/>
      </w:r>
    </w:p>
    <w:p w:rsidR="00782A4F" w:rsidRDefault="00807778" w:rsidP="00807778">
      <w:pPr>
        <w:spacing w:line="360" w:lineRule="auto"/>
        <w:rPr>
          <w:b/>
          <w:bCs/>
          <w:spacing w:val="-3"/>
          <w:sz w:val="26"/>
          <w:szCs w:val="26"/>
        </w:rPr>
      </w:pPr>
      <w:r>
        <w:rPr>
          <w:b/>
          <w:bCs/>
          <w:spacing w:val="-3"/>
          <w:sz w:val="26"/>
          <w:szCs w:val="26"/>
        </w:rPr>
        <w:lastRenderedPageBreak/>
        <w:t>BACKGROUND</w:t>
      </w:r>
    </w:p>
    <w:p w:rsidR="00CC515D" w:rsidRDefault="00CC515D">
      <w:pPr>
        <w:rPr>
          <w:sz w:val="26"/>
          <w:szCs w:val="26"/>
        </w:rPr>
      </w:pPr>
    </w:p>
    <w:p w:rsidR="00D17177" w:rsidRDefault="00D17177" w:rsidP="00AF26CD">
      <w:pPr>
        <w:spacing w:line="360" w:lineRule="auto"/>
        <w:rPr>
          <w:sz w:val="26"/>
          <w:szCs w:val="26"/>
        </w:rPr>
      </w:pPr>
      <w:r>
        <w:rPr>
          <w:sz w:val="26"/>
          <w:szCs w:val="26"/>
        </w:rPr>
        <w:tab/>
      </w:r>
      <w:r w:rsidR="004E21E7">
        <w:rPr>
          <w:sz w:val="26"/>
          <w:szCs w:val="26"/>
        </w:rPr>
        <w:t xml:space="preserve">On March 6, 2012, </w:t>
      </w:r>
      <w:r w:rsidR="004E21E7" w:rsidRPr="00EE4BF1">
        <w:rPr>
          <w:sz w:val="26"/>
          <w:szCs w:val="26"/>
        </w:rPr>
        <w:t>Dominion Retail, Inc., Interstate</w:t>
      </w:r>
      <w:r w:rsidR="004E21E7">
        <w:rPr>
          <w:sz w:val="26"/>
          <w:szCs w:val="26"/>
        </w:rPr>
        <w:t xml:space="preserve"> </w:t>
      </w:r>
      <w:r w:rsidR="004E21E7" w:rsidRPr="00EE4BF1">
        <w:rPr>
          <w:sz w:val="26"/>
          <w:szCs w:val="26"/>
        </w:rPr>
        <w:t>Gas Supply, Inc.</w:t>
      </w:r>
      <w:r w:rsidR="004E21E7">
        <w:rPr>
          <w:sz w:val="26"/>
          <w:szCs w:val="26"/>
        </w:rPr>
        <w:t>,</w:t>
      </w:r>
      <w:r w:rsidR="004E21E7" w:rsidRPr="00EE4BF1">
        <w:rPr>
          <w:sz w:val="26"/>
          <w:szCs w:val="26"/>
        </w:rPr>
        <w:t xml:space="preserve"> and Shipley Choice, LLC</w:t>
      </w:r>
      <w:r w:rsidR="004E21E7">
        <w:rPr>
          <w:sz w:val="26"/>
          <w:szCs w:val="26"/>
        </w:rPr>
        <w:t>, petitioned us</w:t>
      </w:r>
      <w:r w:rsidR="00AF26CD">
        <w:rPr>
          <w:sz w:val="26"/>
          <w:szCs w:val="26"/>
        </w:rPr>
        <w:t xml:space="preserve"> at Docket No. P-2012-2291983 </w:t>
      </w:r>
      <w:r w:rsidR="00CA41CA">
        <w:rPr>
          <w:sz w:val="26"/>
          <w:szCs w:val="26"/>
        </w:rPr>
        <w:t xml:space="preserve">(Petition) </w:t>
      </w:r>
      <w:r w:rsidR="004E21E7">
        <w:rPr>
          <w:sz w:val="26"/>
          <w:szCs w:val="26"/>
        </w:rPr>
        <w:t>for a declaratory order stating that NGDCs were under a continuing obligation to provide complete customer lists to NGSs operating in their service territories without the imposition of fees</w:t>
      </w:r>
      <w:r w:rsidR="00AF26CD">
        <w:rPr>
          <w:sz w:val="26"/>
          <w:szCs w:val="26"/>
        </w:rPr>
        <w:t xml:space="preserve"> on the NGSs.  </w:t>
      </w:r>
      <w:r w:rsidR="00A326D8">
        <w:rPr>
          <w:sz w:val="26"/>
          <w:szCs w:val="26"/>
        </w:rPr>
        <w:t xml:space="preserve">The </w:t>
      </w:r>
      <w:r w:rsidR="00CA41CA">
        <w:rPr>
          <w:sz w:val="26"/>
          <w:szCs w:val="26"/>
        </w:rPr>
        <w:t>P</w:t>
      </w:r>
      <w:r w:rsidR="00A326D8">
        <w:rPr>
          <w:sz w:val="26"/>
          <w:szCs w:val="26"/>
        </w:rPr>
        <w:t xml:space="preserve">etition was specifically directed at Columbia Gas of Pennsylvania and National Fuel Gas Distribution Corporation, both of which are NGDCs. </w:t>
      </w:r>
      <w:r w:rsidR="00AF26CD">
        <w:rPr>
          <w:sz w:val="26"/>
          <w:szCs w:val="26"/>
        </w:rPr>
        <w:t xml:space="preserve">The NGS petitioners in that proceeding were relying upon our order in </w:t>
      </w:r>
      <w:r w:rsidR="00AF26CD" w:rsidRPr="00BA227E">
        <w:rPr>
          <w:i/>
          <w:sz w:val="26"/>
          <w:szCs w:val="26"/>
        </w:rPr>
        <w:t>Procedures Applicable To Natural Gas Distribution Companies And Natural Gas Suppliers During the Transition to Full Retail Choice; Final Order</w:t>
      </w:r>
      <w:r w:rsidR="00AF26CD" w:rsidRPr="00BB5FE0">
        <w:rPr>
          <w:sz w:val="26"/>
          <w:szCs w:val="26"/>
        </w:rPr>
        <w:t>,</w:t>
      </w:r>
      <w:r w:rsidR="00AF26CD" w:rsidRPr="00BA227E">
        <w:rPr>
          <w:sz w:val="26"/>
          <w:szCs w:val="26"/>
        </w:rPr>
        <w:t xml:space="preserve"> Docket No.M-00991249F0009, F</w:t>
      </w:r>
      <w:r w:rsidR="00AF26CD">
        <w:rPr>
          <w:sz w:val="26"/>
          <w:szCs w:val="26"/>
        </w:rPr>
        <w:t xml:space="preserve">inal Order entered May 12, 2000 (Transition Final Order), the </w:t>
      </w:r>
      <w:r w:rsidR="00AF26CD" w:rsidRPr="00AF26CD">
        <w:rPr>
          <w:i/>
          <w:sz w:val="26"/>
          <w:szCs w:val="26"/>
        </w:rPr>
        <w:t>Transition Tentative Order</w:t>
      </w:r>
      <w:r w:rsidR="00F46BFD">
        <w:rPr>
          <w:rStyle w:val="FootnoteReference"/>
          <w:i/>
          <w:sz w:val="26"/>
          <w:szCs w:val="26"/>
        </w:rPr>
        <w:footnoteReference w:id="2"/>
      </w:r>
      <w:r w:rsidR="00AF26CD">
        <w:rPr>
          <w:sz w:val="26"/>
          <w:szCs w:val="26"/>
        </w:rPr>
        <w:t xml:space="preserve"> which proceeded it and our regulation </w:t>
      </w:r>
      <w:r w:rsidR="00EC001E">
        <w:rPr>
          <w:sz w:val="26"/>
          <w:szCs w:val="26"/>
        </w:rPr>
        <w:t>at 52 Pa. Code § 62.78 (</w:t>
      </w:r>
      <w:r w:rsidR="00E257E0">
        <w:rPr>
          <w:sz w:val="26"/>
          <w:szCs w:val="26"/>
        </w:rPr>
        <w:t>p</w:t>
      </w:r>
      <w:r w:rsidR="00EC001E">
        <w:rPr>
          <w:sz w:val="26"/>
          <w:szCs w:val="26"/>
        </w:rPr>
        <w:t>rivacy of customer information).</w:t>
      </w:r>
    </w:p>
    <w:p w:rsidR="00EC001E" w:rsidRDefault="00EC001E" w:rsidP="00AF26CD">
      <w:pPr>
        <w:spacing w:line="360" w:lineRule="auto"/>
        <w:rPr>
          <w:sz w:val="26"/>
          <w:szCs w:val="26"/>
        </w:rPr>
      </w:pPr>
    </w:p>
    <w:p w:rsidR="00807778" w:rsidRDefault="00EC001E" w:rsidP="00CA41CA">
      <w:pPr>
        <w:spacing w:line="360" w:lineRule="auto"/>
        <w:rPr>
          <w:sz w:val="26"/>
          <w:szCs w:val="26"/>
        </w:rPr>
      </w:pPr>
      <w:r>
        <w:rPr>
          <w:sz w:val="26"/>
          <w:szCs w:val="26"/>
        </w:rPr>
        <w:tab/>
      </w:r>
      <w:r w:rsidR="00E03234">
        <w:rPr>
          <w:sz w:val="26"/>
          <w:szCs w:val="26"/>
        </w:rPr>
        <w:t xml:space="preserve">In our </w:t>
      </w:r>
      <w:r w:rsidR="00CA41CA">
        <w:rPr>
          <w:sz w:val="26"/>
          <w:szCs w:val="26"/>
        </w:rPr>
        <w:t>O</w:t>
      </w:r>
      <w:r w:rsidR="00E03234">
        <w:rPr>
          <w:sz w:val="26"/>
          <w:szCs w:val="26"/>
        </w:rPr>
        <w:t xml:space="preserve">rder regarding the </w:t>
      </w:r>
      <w:r w:rsidR="00CA41CA">
        <w:rPr>
          <w:sz w:val="26"/>
          <w:szCs w:val="26"/>
        </w:rPr>
        <w:t>P</w:t>
      </w:r>
      <w:r w:rsidR="00E03234">
        <w:rPr>
          <w:sz w:val="26"/>
          <w:szCs w:val="26"/>
        </w:rPr>
        <w:t xml:space="preserve">etition we conclude that the </w:t>
      </w:r>
      <w:r w:rsidR="00CA41CA">
        <w:rPr>
          <w:sz w:val="26"/>
          <w:szCs w:val="26"/>
        </w:rPr>
        <w:t xml:space="preserve">Transition </w:t>
      </w:r>
      <w:r w:rsidR="00CA41CA" w:rsidRPr="00BB5FE0">
        <w:rPr>
          <w:sz w:val="26"/>
          <w:szCs w:val="26"/>
        </w:rPr>
        <w:t>Final Order, Transition Tentative Order</w:t>
      </w:r>
      <w:r w:rsidR="00E03234">
        <w:rPr>
          <w:sz w:val="26"/>
          <w:szCs w:val="26"/>
        </w:rPr>
        <w:t xml:space="preserve"> and </w:t>
      </w:r>
      <w:r w:rsidR="00CA41CA">
        <w:rPr>
          <w:sz w:val="26"/>
          <w:szCs w:val="26"/>
        </w:rPr>
        <w:t xml:space="preserve">our regulation at Section </w:t>
      </w:r>
      <w:r w:rsidR="00E03234">
        <w:rPr>
          <w:sz w:val="26"/>
          <w:szCs w:val="26"/>
        </w:rPr>
        <w:t xml:space="preserve">62.78 do not require the continued provision of customer lists at no cost to the NGS.  Both NGDCs </w:t>
      </w:r>
      <w:r w:rsidR="00056556">
        <w:rPr>
          <w:sz w:val="26"/>
          <w:szCs w:val="26"/>
        </w:rPr>
        <w:t>that</w:t>
      </w:r>
      <w:r w:rsidR="00E03234">
        <w:rPr>
          <w:sz w:val="26"/>
          <w:szCs w:val="26"/>
        </w:rPr>
        <w:t xml:space="preserve"> were the subject of the </w:t>
      </w:r>
      <w:r w:rsidR="00CA41CA">
        <w:rPr>
          <w:sz w:val="26"/>
          <w:szCs w:val="26"/>
        </w:rPr>
        <w:t>P</w:t>
      </w:r>
      <w:r w:rsidR="00E03234">
        <w:rPr>
          <w:sz w:val="26"/>
          <w:szCs w:val="26"/>
        </w:rPr>
        <w:t xml:space="preserve">etition stated that they will </w:t>
      </w:r>
      <w:r w:rsidR="00807778">
        <w:rPr>
          <w:sz w:val="26"/>
          <w:szCs w:val="26"/>
        </w:rPr>
        <w:t xml:space="preserve">continue to provide customer lists to NGSs on a voluntary basis and we are pleased with those actions.  However, it is apparent from the pleadings in that </w:t>
      </w:r>
      <w:r w:rsidR="00CA41CA">
        <w:rPr>
          <w:sz w:val="26"/>
          <w:szCs w:val="26"/>
        </w:rPr>
        <w:t xml:space="preserve">declaratory order </w:t>
      </w:r>
      <w:r w:rsidR="00807778">
        <w:rPr>
          <w:sz w:val="26"/>
          <w:szCs w:val="26"/>
        </w:rPr>
        <w:t>proceeding that there is much divergence among NGDCs concerning the provision of customer lists.</w:t>
      </w:r>
      <w:r w:rsidR="00CA41CA">
        <w:rPr>
          <w:sz w:val="26"/>
          <w:szCs w:val="26"/>
        </w:rPr>
        <w:t xml:space="preserve">  </w:t>
      </w:r>
      <w:r w:rsidR="00807778">
        <w:rPr>
          <w:sz w:val="26"/>
          <w:szCs w:val="26"/>
        </w:rPr>
        <w:t xml:space="preserve">The </w:t>
      </w:r>
      <w:r w:rsidR="00CA41CA">
        <w:rPr>
          <w:sz w:val="26"/>
          <w:szCs w:val="26"/>
        </w:rPr>
        <w:t>P</w:t>
      </w:r>
      <w:r w:rsidR="00807778">
        <w:rPr>
          <w:sz w:val="26"/>
          <w:szCs w:val="26"/>
        </w:rPr>
        <w:t xml:space="preserve">etition and the responses from the NGDCs and the marketers indicate to us that it would benefit the continued development of the retail market for natural gas </w:t>
      </w:r>
      <w:r w:rsidR="00054D98">
        <w:rPr>
          <w:sz w:val="26"/>
          <w:szCs w:val="26"/>
        </w:rPr>
        <w:t xml:space="preserve">supply </w:t>
      </w:r>
      <w:r w:rsidR="00807778">
        <w:rPr>
          <w:sz w:val="26"/>
          <w:szCs w:val="26"/>
        </w:rPr>
        <w:t>in Pennsylvania for the Commission to provide uniform guidelines concerning the composition of lists of eligible customers and the terms relating to the provision of these ECLs to NGSs.</w:t>
      </w:r>
    </w:p>
    <w:p w:rsidR="00BB5FE0" w:rsidRDefault="00BB5FE0" w:rsidP="00CA41CA">
      <w:pPr>
        <w:spacing w:line="360" w:lineRule="auto"/>
        <w:rPr>
          <w:sz w:val="26"/>
          <w:szCs w:val="26"/>
        </w:rPr>
      </w:pPr>
    </w:p>
    <w:p w:rsidR="00BB5FE0" w:rsidRDefault="00BB5FE0" w:rsidP="00CA41CA">
      <w:pPr>
        <w:spacing w:line="360" w:lineRule="auto"/>
        <w:rPr>
          <w:sz w:val="26"/>
          <w:szCs w:val="26"/>
        </w:rPr>
      </w:pPr>
    </w:p>
    <w:p w:rsidR="00D17177" w:rsidRPr="00FA44DD" w:rsidRDefault="00807778" w:rsidP="00BB5FE0">
      <w:pPr>
        <w:spacing w:after="200" w:line="276" w:lineRule="auto"/>
        <w:rPr>
          <w:b/>
          <w:sz w:val="26"/>
          <w:szCs w:val="26"/>
        </w:rPr>
      </w:pPr>
      <w:r>
        <w:rPr>
          <w:b/>
          <w:sz w:val="26"/>
          <w:szCs w:val="26"/>
        </w:rPr>
        <w:lastRenderedPageBreak/>
        <w:t>DISCUSSION</w:t>
      </w:r>
    </w:p>
    <w:p w:rsidR="00FA44DD" w:rsidRDefault="00FA44DD">
      <w:pPr>
        <w:rPr>
          <w:sz w:val="26"/>
          <w:szCs w:val="26"/>
        </w:rPr>
      </w:pPr>
    </w:p>
    <w:p w:rsidR="00807778" w:rsidRPr="00E45A4A" w:rsidRDefault="00807778" w:rsidP="00E45A4A">
      <w:pPr>
        <w:spacing w:line="360" w:lineRule="auto"/>
        <w:rPr>
          <w:sz w:val="26"/>
          <w:szCs w:val="26"/>
        </w:rPr>
      </w:pPr>
      <w:r>
        <w:rPr>
          <w:sz w:val="26"/>
          <w:szCs w:val="26"/>
        </w:rPr>
        <w:tab/>
      </w:r>
      <w:r w:rsidR="00E45A4A">
        <w:rPr>
          <w:sz w:val="26"/>
          <w:szCs w:val="26"/>
        </w:rPr>
        <w:t xml:space="preserve">In setting forth guidelines for NGDCs and NGSs to follow, we are guided by our </w:t>
      </w:r>
      <w:r w:rsidR="00E45A4A" w:rsidRPr="00E45A4A">
        <w:rPr>
          <w:i/>
          <w:sz w:val="26"/>
          <w:szCs w:val="26"/>
        </w:rPr>
        <w:t>Electric ECL Order</w:t>
      </w:r>
      <w:r w:rsidR="00E45A4A">
        <w:rPr>
          <w:i/>
          <w:sz w:val="26"/>
          <w:szCs w:val="26"/>
        </w:rPr>
        <w:t xml:space="preserve">.  </w:t>
      </w:r>
      <w:r w:rsidR="00E45A4A">
        <w:rPr>
          <w:sz w:val="26"/>
          <w:szCs w:val="26"/>
        </w:rPr>
        <w:t xml:space="preserve">The general parameters of </w:t>
      </w:r>
      <w:r w:rsidR="00CA41CA">
        <w:rPr>
          <w:sz w:val="26"/>
          <w:szCs w:val="26"/>
        </w:rPr>
        <w:t xml:space="preserve">retail </w:t>
      </w:r>
      <w:r w:rsidR="00E45A4A">
        <w:rPr>
          <w:sz w:val="26"/>
          <w:szCs w:val="26"/>
        </w:rPr>
        <w:t xml:space="preserve">marketing natural gas to the public should be little different from those governing the retail marketing of electric power.  </w:t>
      </w:r>
      <w:r w:rsidR="00B37562">
        <w:rPr>
          <w:sz w:val="26"/>
          <w:szCs w:val="26"/>
        </w:rPr>
        <w:t xml:space="preserve">Therefore, the major decisions made with regard to the electric industry will not be reconsidered here.  For example, </w:t>
      </w:r>
      <w:r w:rsidR="001D37CC">
        <w:rPr>
          <w:sz w:val="26"/>
          <w:szCs w:val="26"/>
        </w:rPr>
        <w:t xml:space="preserve">(1) licensed </w:t>
      </w:r>
      <w:r w:rsidR="00FE2A83">
        <w:rPr>
          <w:sz w:val="26"/>
          <w:szCs w:val="26"/>
        </w:rPr>
        <w:t>competitive</w:t>
      </w:r>
      <w:r w:rsidR="001D37CC">
        <w:rPr>
          <w:sz w:val="26"/>
          <w:szCs w:val="26"/>
        </w:rPr>
        <w:t xml:space="preserve"> suppliers should have access to the </w:t>
      </w:r>
      <w:r w:rsidR="00FE2A83">
        <w:rPr>
          <w:sz w:val="26"/>
          <w:szCs w:val="26"/>
        </w:rPr>
        <w:t xml:space="preserve">distribution utility </w:t>
      </w:r>
      <w:r w:rsidR="001D37CC">
        <w:rPr>
          <w:sz w:val="26"/>
          <w:szCs w:val="26"/>
        </w:rPr>
        <w:t xml:space="preserve">customer lists, (2) </w:t>
      </w:r>
      <w:r w:rsidR="00FE2A83">
        <w:rPr>
          <w:sz w:val="26"/>
          <w:szCs w:val="26"/>
        </w:rPr>
        <w:t xml:space="preserve">licensed competitive suppliers are obligated to safeguard the confidentiality of customer information and </w:t>
      </w:r>
      <w:r w:rsidR="001D37CC">
        <w:rPr>
          <w:sz w:val="26"/>
          <w:szCs w:val="26"/>
        </w:rPr>
        <w:t xml:space="preserve">(3) </w:t>
      </w:r>
      <w:r w:rsidR="00B37562">
        <w:rPr>
          <w:sz w:val="26"/>
          <w:szCs w:val="26"/>
        </w:rPr>
        <w:t xml:space="preserve">customers will have the opportunity to restrict the release of all of their account information, just the historical data or none of their account information.  </w:t>
      </w:r>
      <w:r w:rsidR="001F48AB" w:rsidRPr="00E45A4A">
        <w:rPr>
          <w:i/>
          <w:sz w:val="26"/>
          <w:szCs w:val="26"/>
        </w:rPr>
        <w:t>Electric ECL Order</w:t>
      </w:r>
      <w:r w:rsidR="001F48AB">
        <w:rPr>
          <w:sz w:val="26"/>
          <w:szCs w:val="26"/>
        </w:rPr>
        <w:t xml:space="preserve"> at </w:t>
      </w:r>
      <w:r w:rsidR="001902DC">
        <w:rPr>
          <w:sz w:val="26"/>
          <w:szCs w:val="26"/>
        </w:rPr>
        <w:t>2-3, 6-11.</w:t>
      </w:r>
      <w:r w:rsidR="001F48AB">
        <w:rPr>
          <w:sz w:val="26"/>
          <w:szCs w:val="26"/>
        </w:rPr>
        <w:t xml:space="preserve">  </w:t>
      </w:r>
      <w:r w:rsidR="00B37562">
        <w:rPr>
          <w:sz w:val="26"/>
          <w:szCs w:val="26"/>
        </w:rPr>
        <w:t xml:space="preserve">Absent a convincing argument why the nature of the nature gas industry compels us to adopt a different result, we will not </w:t>
      </w:r>
      <w:r w:rsidR="001F48AB">
        <w:rPr>
          <w:sz w:val="26"/>
          <w:szCs w:val="26"/>
        </w:rPr>
        <w:t>re-address these general principles</w:t>
      </w:r>
      <w:r w:rsidR="00E5678D">
        <w:rPr>
          <w:sz w:val="26"/>
          <w:szCs w:val="26"/>
        </w:rPr>
        <w:t>.</w:t>
      </w:r>
    </w:p>
    <w:p w:rsidR="00FA44DD" w:rsidRDefault="00FA44DD" w:rsidP="00BB5FE0">
      <w:pPr>
        <w:spacing w:line="360" w:lineRule="auto"/>
        <w:rPr>
          <w:sz w:val="26"/>
          <w:szCs w:val="26"/>
        </w:rPr>
      </w:pPr>
    </w:p>
    <w:p w:rsidR="00B00486" w:rsidRPr="00E5678D" w:rsidRDefault="004365AC" w:rsidP="00E5678D">
      <w:pPr>
        <w:spacing w:line="360" w:lineRule="auto"/>
        <w:jc w:val="center"/>
        <w:rPr>
          <w:sz w:val="26"/>
          <w:szCs w:val="26"/>
        </w:rPr>
      </w:pPr>
      <w:r w:rsidRPr="00E5678D">
        <w:rPr>
          <w:b/>
          <w:sz w:val="26"/>
          <w:szCs w:val="26"/>
        </w:rPr>
        <w:t>Data Points</w:t>
      </w:r>
    </w:p>
    <w:p w:rsidR="00E5678D" w:rsidRDefault="00E5678D" w:rsidP="00E5678D">
      <w:pPr>
        <w:spacing w:line="360" w:lineRule="auto"/>
        <w:rPr>
          <w:sz w:val="26"/>
          <w:szCs w:val="26"/>
        </w:rPr>
      </w:pPr>
      <w:r w:rsidRPr="00E5678D">
        <w:rPr>
          <w:sz w:val="26"/>
          <w:szCs w:val="26"/>
        </w:rPr>
        <w:tab/>
        <w:t xml:space="preserve">Our </w:t>
      </w:r>
      <w:r w:rsidRPr="00320EDE">
        <w:rPr>
          <w:i/>
          <w:sz w:val="26"/>
          <w:szCs w:val="26"/>
        </w:rPr>
        <w:t>Electric ECL Order</w:t>
      </w:r>
      <w:r w:rsidRPr="00E5678D">
        <w:rPr>
          <w:sz w:val="26"/>
          <w:szCs w:val="26"/>
        </w:rPr>
        <w:t xml:space="preserve"> specified a total of 25 data points</w:t>
      </w:r>
      <w:r w:rsidR="00016C34">
        <w:rPr>
          <w:sz w:val="26"/>
          <w:szCs w:val="26"/>
        </w:rPr>
        <w:t xml:space="preserve">, however, we believe that the </w:t>
      </w:r>
      <w:r w:rsidR="00320EDE">
        <w:rPr>
          <w:sz w:val="26"/>
          <w:szCs w:val="26"/>
        </w:rPr>
        <w:t>10</w:t>
      </w:r>
      <w:r w:rsidR="00016C34">
        <w:rPr>
          <w:sz w:val="26"/>
          <w:szCs w:val="26"/>
        </w:rPr>
        <w:t xml:space="preserve"> data points set forth in Appendix A to this Order</w:t>
      </w:r>
      <w:r w:rsidR="00B82EF8">
        <w:rPr>
          <w:sz w:val="26"/>
          <w:szCs w:val="26"/>
        </w:rPr>
        <w:t xml:space="preserve"> </w:t>
      </w:r>
      <w:r w:rsidR="00056556">
        <w:rPr>
          <w:sz w:val="26"/>
          <w:szCs w:val="26"/>
        </w:rPr>
        <w:t>are</w:t>
      </w:r>
      <w:r w:rsidR="00016C34">
        <w:rPr>
          <w:sz w:val="26"/>
          <w:szCs w:val="26"/>
        </w:rPr>
        <w:t xml:space="preserve"> sufficient for the natural</w:t>
      </w:r>
      <w:r w:rsidR="00A92EC7">
        <w:rPr>
          <w:sz w:val="26"/>
          <w:szCs w:val="26"/>
        </w:rPr>
        <w:t xml:space="preserve"> gas</w:t>
      </w:r>
      <w:r w:rsidR="00016C34">
        <w:rPr>
          <w:sz w:val="26"/>
          <w:szCs w:val="26"/>
        </w:rPr>
        <w:t xml:space="preserve"> industry.  </w:t>
      </w:r>
      <w:r w:rsidR="00320EDE">
        <w:rPr>
          <w:sz w:val="26"/>
          <w:szCs w:val="26"/>
        </w:rPr>
        <w:t xml:space="preserve">These 10 points contain such basic information as customer name, billing address, service address and account number.  We assume that all information not restricted by the customer will be provided to the NGS as part of the </w:t>
      </w:r>
      <w:r w:rsidR="001F48AB">
        <w:rPr>
          <w:sz w:val="26"/>
          <w:szCs w:val="26"/>
        </w:rPr>
        <w:t>ECL or access to a secure website</w:t>
      </w:r>
      <w:r w:rsidR="00320EDE">
        <w:rPr>
          <w:sz w:val="26"/>
          <w:szCs w:val="26"/>
        </w:rPr>
        <w:t xml:space="preserve">.  This means that </w:t>
      </w:r>
      <w:r w:rsidR="00DD6D85">
        <w:rPr>
          <w:sz w:val="26"/>
          <w:szCs w:val="26"/>
        </w:rPr>
        <w:t xml:space="preserve">a </w:t>
      </w:r>
      <w:r w:rsidR="00320EDE">
        <w:rPr>
          <w:sz w:val="26"/>
          <w:szCs w:val="26"/>
        </w:rPr>
        <w:t>NGDC will not withhold part of any data point</w:t>
      </w:r>
      <w:r w:rsidR="00BE320F">
        <w:rPr>
          <w:sz w:val="26"/>
          <w:szCs w:val="26"/>
        </w:rPr>
        <w:t xml:space="preserve"> such as an account number</w:t>
      </w:r>
      <w:r w:rsidR="00320EDE">
        <w:rPr>
          <w:sz w:val="26"/>
          <w:szCs w:val="26"/>
        </w:rPr>
        <w:t xml:space="preserve"> to act as a check</w:t>
      </w:r>
      <w:r w:rsidR="00DD6D85">
        <w:rPr>
          <w:sz w:val="26"/>
          <w:szCs w:val="26"/>
        </w:rPr>
        <w:t xml:space="preserve"> on the veracity of a NGS’s claim to serve a customer.  The Commission and NGDCs have sufficient mechanisms in place to address claims of slamming.</w:t>
      </w:r>
    </w:p>
    <w:p w:rsidR="006870A2" w:rsidRDefault="006870A2" w:rsidP="00E5678D">
      <w:pPr>
        <w:spacing w:line="360" w:lineRule="auto"/>
        <w:rPr>
          <w:sz w:val="26"/>
          <w:szCs w:val="26"/>
        </w:rPr>
      </w:pPr>
    </w:p>
    <w:p w:rsidR="006870A2" w:rsidRDefault="006870A2" w:rsidP="006870A2">
      <w:pPr>
        <w:spacing w:line="360" w:lineRule="auto"/>
        <w:rPr>
          <w:sz w:val="26"/>
          <w:szCs w:val="26"/>
        </w:rPr>
      </w:pPr>
      <w:r>
        <w:rPr>
          <w:sz w:val="26"/>
          <w:szCs w:val="26"/>
        </w:rPr>
        <w:tab/>
        <w:t xml:space="preserve">Customer telephone numbers are not part of the </w:t>
      </w:r>
      <w:r w:rsidR="001F48AB">
        <w:rPr>
          <w:sz w:val="26"/>
          <w:szCs w:val="26"/>
        </w:rPr>
        <w:t>ECL for the electric industry and, similarly, will not be part of the ECL for the natural gas industry</w:t>
      </w:r>
      <w:r>
        <w:rPr>
          <w:sz w:val="26"/>
          <w:szCs w:val="26"/>
        </w:rPr>
        <w:t xml:space="preserve">.  </w:t>
      </w:r>
      <w:r w:rsidR="001F48AB">
        <w:rPr>
          <w:sz w:val="26"/>
          <w:szCs w:val="26"/>
        </w:rPr>
        <w:t>Nonetheless, w</w:t>
      </w:r>
      <w:r>
        <w:rPr>
          <w:sz w:val="26"/>
          <w:szCs w:val="26"/>
        </w:rPr>
        <w:t xml:space="preserve">e will caution NGSs, other marketers and agents that they remain subject to the provisions of </w:t>
      </w:r>
      <w:r>
        <w:rPr>
          <w:sz w:val="26"/>
          <w:szCs w:val="26"/>
        </w:rPr>
        <w:lastRenderedPageBreak/>
        <w:t xml:space="preserve">the state and federal “do not call” laws as well as our consumer protection regulations at 52 Pa. Code § 56, </w:t>
      </w:r>
      <w:r w:rsidRPr="006E6CF4">
        <w:rPr>
          <w:i/>
          <w:sz w:val="26"/>
          <w:szCs w:val="26"/>
        </w:rPr>
        <w:t>et seq.</w:t>
      </w:r>
      <w:r>
        <w:rPr>
          <w:sz w:val="26"/>
          <w:szCs w:val="26"/>
        </w:rPr>
        <w:t xml:space="preserve"> </w:t>
      </w:r>
      <w:r w:rsidR="00B82EF8">
        <w:rPr>
          <w:sz w:val="26"/>
          <w:szCs w:val="26"/>
        </w:rPr>
        <w:t xml:space="preserve"> </w:t>
      </w:r>
      <w:r>
        <w:rPr>
          <w:sz w:val="26"/>
          <w:szCs w:val="26"/>
        </w:rPr>
        <w:t>(</w:t>
      </w:r>
      <w:r w:rsidRPr="006E6CF4">
        <w:rPr>
          <w:sz w:val="26"/>
          <w:szCs w:val="26"/>
        </w:rPr>
        <w:t>Standards and billing practices for residential utility service</w:t>
      </w:r>
      <w:r>
        <w:rPr>
          <w:sz w:val="26"/>
          <w:szCs w:val="26"/>
        </w:rPr>
        <w:t>).</w:t>
      </w:r>
    </w:p>
    <w:p w:rsidR="00DD6D85" w:rsidRDefault="00DD6D85" w:rsidP="00E5678D">
      <w:pPr>
        <w:spacing w:line="360" w:lineRule="auto"/>
        <w:rPr>
          <w:sz w:val="26"/>
          <w:szCs w:val="26"/>
        </w:rPr>
      </w:pPr>
    </w:p>
    <w:p w:rsidR="00DD6D85" w:rsidRDefault="00EE72AE" w:rsidP="00DD6D85">
      <w:pPr>
        <w:spacing w:line="360" w:lineRule="auto"/>
        <w:jc w:val="center"/>
        <w:rPr>
          <w:sz w:val="26"/>
          <w:szCs w:val="26"/>
        </w:rPr>
      </w:pPr>
      <w:r w:rsidRPr="00DD6D85">
        <w:rPr>
          <w:b/>
          <w:sz w:val="26"/>
          <w:szCs w:val="26"/>
        </w:rPr>
        <w:t>Solicitation</w:t>
      </w:r>
      <w:r w:rsidR="006218C3" w:rsidRPr="00DD6D85">
        <w:rPr>
          <w:b/>
          <w:sz w:val="26"/>
          <w:szCs w:val="26"/>
        </w:rPr>
        <w:t xml:space="preserve"> of </w:t>
      </w:r>
      <w:r w:rsidR="00E257E0">
        <w:rPr>
          <w:b/>
          <w:sz w:val="26"/>
          <w:szCs w:val="26"/>
        </w:rPr>
        <w:t>C</w:t>
      </w:r>
      <w:r w:rsidR="004365AC" w:rsidRPr="00DD6D85">
        <w:rPr>
          <w:b/>
          <w:sz w:val="26"/>
          <w:szCs w:val="26"/>
        </w:rPr>
        <w:t>ustomers</w:t>
      </w:r>
      <w:r w:rsidR="004365AC" w:rsidRPr="00E5678D">
        <w:rPr>
          <w:sz w:val="26"/>
          <w:szCs w:val="26"/>
        </w:rPr>
        <w:t xml:space="preserve"> </w:t>
      </w:r>
    </w:p>
    <w:p w:rsidR="00A94B5D" w:rsidRDefault="00DD6D85" w:rsidP="00DD6D85">
      <w:pPr>
        <w:spacing w:line="360" w:lineRule="auto"/>
        <w:rPr>
          <w:sz w:val="26"/>
          <w:szCs w:val="26"/>
        </w:rPr>
      </w:pPr>
      <w:r>
        <w:rPr>
          <w:sz w:val="26"/>
          <w:szCs w:val="26"/>
        </w:rPr>
        <w:tab/>
      </w:r>
      <w:r w:rsidR="00AC614E">
        <w:rPr>
          <w:sz w:val="26"/>
          <w:szCs w:val="26"/>
        </w:rPr>
        <w:t xml:space="preserve">As stated above, when a NGDC solicits its customers regarding the release of their account information, it shall offer the customer the choice to prohibit release of all of their account data or just the historical data.  The customer may make this </w:t>
      </w:r>
      <w:r w:rsidR="00056556">
        <w:rPr>
          <w:sz w:val="26"/>
          <w:szCs w:val="26"/>
        </w:rPr>
        <w:t xml:space="preserve">initial </w:t>
      </w:r>
      <w:r w:rsidR="00AC614E">
        <w:rPr>
          <w:sz w:val="26"/>
          <w:szCs w:val="26"/>
        </w:rPr>
        <w:t>choice by returning a form to the NGDC through the mail</w:t>
      </w:r>
      <w:r w:rsidR="00A979D6">
        <w:rPr>
          <w:sz w:val="26"/>
          <w:szCs w:val="26"/>
        </w:rPr>
        <w:t xml:space="preserve"> or by any other means discussed below</w:t>
      </w:r>
      <w:r w:rsidR="00AC614E">
        <w:rPr>
          <w:sz w:val="26"/>
          <w:szCs w:val="26"/>
        </w:rPr>
        <w:t xml:space="preserve">.  As with the </w:t>
      </w:r>
      <w:r w:rsidR="00A94B5D">
        <w:rPr>
          <w:sz w:val="26"/>
          <w:szCs w:val="26"/>
        </w:rPr>
        <w:t xml:space="preserve">electric industry, the NGDC </w:t>
      </w:r>
      <w:r w:rsidR="00F037AD">
        <w:rPr>
          <w:sz w:val="26"/>
          <w:szCs w:val="26"/>
        </w:rPr>
        <w:t>should</w:t>
      </w:r>
      <w:r w:rsidR="00A94B5D">
        <w:rPr>
          <w:sz w:val="26"/>
          <w:szCs w:val="26"/>
        </w:rPr>
        <w:t xml:space="preserve"> use an opt-out process.  </w:t>
      </w:r>
      <w:r w:rsidR="00A94B5D" w:rsidRPr="00A94B5D">
        <w:rPr>
          <w:i/>
          <w:sz w:val="26"/>
          <w:szCs w:val="26"/>
        </w:rPr>
        <w:t>See, Electric ECL Order</w:t>
      </w:r>
      <w:r w:rsidR="00A94B5D">
        <w:rPr>
          <w:sz w:val="26"/>
          <w:szCs w:val="26"/>
        </w:rPr>
        <w:t xml:space="preserve"> at 11-17.  </w:t>
      </w:r>
    </w:p>
    <w:p w:rsidR="00A94B5D" w:rsidRDefault="00A94B5D" w:rsidP="00DD6D85">
      <w:pPr>
        <w:spacing w:line="360" w:lineRule="auto"/>
        <w:rPr>
          <w:sz w:val="26"/>
          <w:szCs w:val="26"/>
        </w:rPr>
      </w:pPr>
    </w:p>
    <w:p w:rsidR="004365AC" w:rsidRPr="00E5678D" w:rsidRDefault="00A94B5D" w:rsidP="00DD6D85">
      <w:pPr>
        <w:spacing w:line="360" w:lineRule="auto"/>
        <w:rPr>
          <w:sz w:val="26"/>
          <w:szCs w:val="26"/>
        </w:rPr>
      </w:pPr>
      <w:r>
        <w:rPr>
          <w:sz w:val="26"/>
          <w:szCs w:val="26"/>
        </w:rPr>
        <w:tab/>
        <w:t xml:space="preserve">We will expect that each NGDC </w:t>
      </w:r>
      <w:r w:rsidR="00056556">
        <w:rPr>
          <w:sz w:val="26"/>
          <w:szCs w:val="26"/>
        </w:rPr>
        <w:t>that</w:t>
      </w:r>
      <w:r>
        <w:rPr>
          <w:sz w:val="26"/>
          <w:szCs w:val="26"/>
        </w:rPr>
        <w:t xml:space="preserve"> has not solicited its customer</w:t>
      </w:r>
      <w:r w:rsidR="00056556">
        <w:rPr>
          <w:sz w:val="26"/>
          <w:szCs w:val="26"/>
        </w:rPr>
        <w:t>s</w:t>
      </w:r>
      <w:r>
        <w:rPr>
          <w:sz w:val="26"/>
          <w:szCs w:val="26"/>
        </w:rPr>
        <w:t xml:space="preserve"> within the  12 months prior to of the effective date of the final order in this proceeding</w:t>
      </w:r>
      <w:r w:rsidRPr="00A94B5D">
        <w:rPr>
          <w:sz w:val="26"/>
          <w:szCs w:val="26"/>
        </w:rPr>
        <w:t xml:space="preserve"> </w:t>
      </w:r>
      <w:r>
        <w:rPr>
          <w:sz w:val="26"/>
          <w:szCs w:val="26"/>
        </w:rPr>
        <w:t xml:space="preserve">will solicit its customer within 90 days of that effective date.  All NGDCs </w:t>
      </w:r>
      <w:r w:rsidR="00056556">
        <w:rPr>
          <w:sz w:val="26"/>
          <w:szCs w:val="26"/>
        </w:rPr>
        <w:t>that</w:t>
      </w:r>
      <w:r>
        <w:rPr>
          <w:sz w:val="26"/>
          <w:szCs w:val="26"/>
        </w:rPr>
        <w:t xml:space="preserve"> have solicited their customers within that 12 month period will be expected to solicit those customers again not later than one year after the prior solicitation.</w:t>
      </w:r>
      <w:r w:rsidR="00855A98">
        <w:rPr>
          <w:sz w:val="26"/>
          <w:szCs w:val="26"/>
        </w:rPr>
        <w:t xml:space="preserve">  Furthermore, we expect NGDCs to develop new lists and require all customers to make their opt-out selections once every three years.  Customers that have previously opted out will need to opt out again during these tri-annual list updates.</w:t>
      </w:r>
    </w:p>
    <w:p w:rsidR="004365AC" w:rsidRPr="00E5678D" w:rsidRDefault="004365AC" w:rsidP="00A94B5D">
      <w:pPr>
        <w:spacing w:line="360" w:lineRule="auto"/>
        <w:rPr>
          <w:sz w:val="26"/>
          <w:szCs w:val="26"/>
        </w:rPr>
      </w:pPr>
    </w:p>
    <w:p w:rsidR="004365AC" w:rsidRPr="00A94B5D" w:rsidRDefault="004365AC" w:rsidP="00A94B5D">
      <w:pPr>
        <w:spacing w:line="360" w:lineRule="auto"/>
        <w:jc w:val="center"/>
        <w:rPr>
          <w:b/>
          <w:sz w:val="26"/>
          <w:szCs w:val="26"/>
        </w:rPr>
      </w:pPr>
      <w:r w:rsidRPr="00A94B5D">
        <w:rPr>
          <w:b/>
          <w:sz w:val="26"/>
          <w:szCs w:val="26"/>
        </w:rPr>
        <w:t xml:space="preserve">Frequency of </w:t>
      </w:r>
      <w:r w:rsidR="00E257E0">
        <w:rPr>
          <w:b/>
          <w:sz w:val="26"/>
          <w:szCs w:val="26"/>
        </w:rPr>
        <w:t>F</w:t>
      </w:r>
      <w:r w:rsidRPr="00A94B5D">
        <w:rPr>
          <w:b/>
          <w:sz w:val="26"/>
          <w:szCs w:val="26"/>
        </w:rPr>
        <w:t xml:space="preserve">uture </w:t>
      </w:r>
      <w:r w:rsidR="00E257E0">
        <w:rPr>
          <w:b/>
          <w:sz w:val="26"/>
          <w:szCs w:val="26"/>
        </w:rPr>
        <w:t>S</w:t>
      </w:r>
      <w:r w:rsidRPr="00A94B5D">
        <w:rPr>
          <w:b/>
          <w:sz w:val="26"/>
          <w:szCs w:val="26"/>
        </w:rPr>
        <w:t>olicitation</w:t>
      </w:r>
      <w:r w:rsidR="006218C3" w:rsidRPr="00A94B5D">
        <w:rPr>
          <w:b/>
          <w:sz w:val="26"/>
          <w:szCs w:val="26"/>
        </w:rPr>
        <w:t>s</w:t>
      </w:r>
    </w:p>
    <w:p w:rsidR="004365AC" w:rsidRDefault="00A94B5D" w:rsidP="00A94B5D">
      <w:pPr>
        <w:spacing w:line="360" w:lineRule="auto"/>
        <w:rPr>
          <w:sz w:val="26"/>
          <w:szCs w:val="26"/>
        </w:rPr>
      </w:pPr>
      <w:r>
        <w:rPr>
          <w:sz w:val="26"/>
          <w:szCs w:val="26"/>
        </w:rPr>
        <w:tab/>
      </w:r>
      <w:r w:rsidR="002D62AF">
        <w:rPr>
          <w:sz w:val="26"/>
          <w:szCs w:val="26"/>
        </w:rPr>
        <w:t>Each NGDC should solicit its customers at least annually, however, we will consider on-going activities in place of an annual solicitation.  In</w:t>
      </w:r>
      <w:r w:rsidR="0012719F">
        <w:rPr>
          <w:sz w:val="26"/>
          <w:szCs w:val="26"/>
        </w:rPr>
        <w:t xml:space="preserve"> our </w:t>
      </w:r>
      <w:r w:rsidR="0012719F" w:rsidRPr="0012719F">
        <w:rPr>
          <w:i/>
          <w:sz w:val="26"/>
          <w:szCs w:val="26"/>
        </w:rPr>
        <w:t>Electric ECL Order</w:t>
      </w:r>
      <w:r w:rsidR="0012719F">
        <w:rPr>
          <w:sz w:val="26"/>
          <w:szCs w:val="26"/>
        </w:rPr>
        <w:t xml:space="preserve"> we stated:</w:t>
      </w:r>
    </w:p>
    <w:p w:rsidR="0012719F" w:rsidRPr="00FB1329" w:rsidRDefault="0012719F" w:rsidP="0012719F">
      <w:pPr>
        <w:ind w:left="1440" w:right="1440" w:firstLine="720"/>
        <w:rPr>
          <w:sz w:val="26"/>
          <w:szCs w:val="26"/>
        </w:rPr>
      </w:pPr>
      <w:r w:rsidRPr="00FB1329">
        <w:rPr>
          <w:sz w:val="26"/>
          <w:szCs w:val="26"/>
        </w:rPr>
        <w:t xml:space="preserve">In lieu of annual companywide solicitations, EDCs shall actively notify customers of their withholding options through each new customer’s welcome package and through periodic announcements in customer bill inserts, e-mail, or a separate announcement included in the customer’s paper bill or electronic notification, if available.  The welcome package for new customers and periodic announcements for all </w:t>
      </w:r>
      <w:r w:rsidRPr="00FB1329">
        <w:rPr>
          <w:sz w:val="26"/>
          <w:szCs w:val="26"/>
        </w:rPr>
        <w:lastRenderedPageBreak/>
        <w:t xml:space="preserve">customers shall also provide guidance on how to make the selection through company-provided form, e-mails, written letter, toll-free numbers, or the EDC website.   </w:t>
      </w:r>
    </w:p>
    <w:p w:rsidR="0012719F" w:rsidRPr="00E5678D" w:rsidRDefault="0012719F" w:rsidP="00A94B5D">
      <w:pPr>
        <w:spacing w:line="360" w:lineRule="auto"/>
        <w:rPr>
          <w:sz w:val="26"/>
          <w:szCs w:val="26"/>
        </w:rPr>
      </w:pPr>
    </w:p>
    <w:p w:rsidR="0012719F" w:rsidRPr="0012719F" w:rsidRDefault="0012719F" w:rsidP="00A94B5D">
      <w:pPr>
        <w:spacing w:line="360" w:lineRule="auto"/>
        <w:rPr>
          <w:sz w:val="26"/>
          <w:szCs w:val="26"/>
        </w:rPr>
      </w:pPr>
      <w:r w:rsidRPr="0012719F">
        <w:rPr>
          <w:i/>
          <w:sz w:val="26"/>
          <w:szCs w:val="26"/>
        </w:rPr>
        <w:t>Electric ECL Order</w:t>
      </w:r>
      <w:r>
        <w:rPr>
          <w:sz w:val="26"/>
          <w:szCs w:val="26"/>
        </w:rPr>
        <w:t xml:space="preserve"> </w:t>
      </w:r>
      <w:r w:rsidRPr="0012719F">
        <w:rPr>
          <w:sz w:val="26"/>
          <w:szCs w:val="26"/>
        </w:rPr>
        <w:t>at 23.</w:t>
      </w:r>
      <w:r>
        <w:rPr>
          <w:sz w:val="26"/>
          <w:szCs w:val="26"/>
        </w:rPr>
        <w:t xml:space="preserve">  We believe that that policy makes good sense for the natural gas industry as it does for the electric and will follow it here.</w:t>
      </w:r>
    </w:p>
    <w:p w:rsidR="006870A2" w:rsidRDefault="006870A2">
      <w:pPr>
        <w:spacing w:after="200" w:line="276" w:lineRule="auto"/>
        <w:rPr>
          <w:b/>
          <w:sz w:val="26"/>
          <w:szCs w:val="26"/>
        </w:rPr>
      </w:pPr>
    </w:p>
    <w:p w:rsidR="00B00486" w:rsidRPr="0012719F" w:rsidRDefault="006218C3" w:rsidP="006870A2">
      <w:pPr>
        <w:spacing w:line="360" w:lineRule="auto"/>
        <w:jc w:val="center"/>
        <w:rPr>
          <w:b/>
          <w:sz w:val="26"/>
          <w:szCs w:val="26"/>
        </w:rPr>
      </w:pPr>
      <w:r w:rsidRPr="0012719F">
        <w:rPr>
          <w:b/>
          <w:sz w:val="26"/>
          <w:szCs w:val="26"/>
        </w:rPr>
        <w:t>Expense of solicitations</w:t>
      </w:r>
    </w:p>
    <w:p w:rsidR="00B00486" w:rsidRPr="00E5678D" w:rsidRDefault="0012719F" w:rsidP="00A94B5D">
      <w:pPr>
        <w:spacing w:line="360" w:lineRule="auto"/>
        <w:rPr>
          <w:sz w:val="26"/>
          <w:szCs w:val="26"/>
        </w:rPr>
      </w:pPr>
      <w:r>
        <w:rPr>
          <w:sz w:val="26"/>
          <w:szCs w:val="26"/>
        </w:rPr>
        <w:tab/>
      </w:r>
      <w:r w:rsidR="0030432A">
        <w:rPr>
          <w:sz w:val="26"/>
          <w:szCs w:val="26"/>
        </w:rPr>
        <w:t xml:space="preserve">We recognize that the costs of soliciting customers, preparing and distributing ECLs is a legitimate business expense for NGDCs. Therefore, NGDCs may </w:t>
      </w:r>
      <w:r w:rsidR="00F037AD">
        <w:rPr>
          <w:sz w:val="26"/>
          <w:szCs w:val="26"/>
        </w:rPr>
        <w:t>request recovery of</w:t>
      </w:r>
      <w:r w:rsidR="0030432A">
        <w:rPr>
          <w:sz w:val="26"/>
          <w:szCs w:val="26"/>
        </w:rPr>
        <w:t xml:space="preserve"> these expenses through base rates as opposed </w:t>
      </w:r>
      <w:r w:rsidR="00F037AD">
        <w:rPr>
          <w:sz w:val="26"/>
          <w:szCs w:val="26"/>
        </w:rPr>
        <w:t>to</w:t>
      </w:r>
      <w:r w:rsidR="0030432A">
        <w:rPr>
          <w:sz w:val="26"/>
          <w:szCs w:val="26"/>
        </w:rPr>
        <w:t xml:space="preserve"> a fee or surcharge levied on any one group of customers of NGSs.</w:t>
      </w:r>
      <w:r w:rsidR="00F037AD">
        <w:rPr>
          <w:sz w:val="26"/>
          <w:szCs w:val="26"/>
        </w:rPr>
        <w:t xml:space="preserve">  We note that our discussion here should in no way be deemed to be an approval of the level of any such expense claimed.</w:t>
      </w:r>
    </w:p>
    <w:p w:rsidR="00B00486" w:rsidRPr="004365AC" w:rsidRDefault="00B00486" w:rsidP="00A94B5D">
      <w:pPr>
        <w:spacing w:line="360" w:lineRule="auto"/>
        <w:rPr>
          <w:sz w:val="26"/>
          <w:szCs w:val="26"/>
        </w:rPr>
      </w:pPr>
    </w:p>
    <w:p w:rsidR="00BC74E4" w:rsidRDefault="00E5678D" w:rsidP="00A94B5D">
      <w:pPr>
        <w:keepNext/>
        <w:keepLines/>
        <w:tabs>
          <w:tab w:val="left" w:pos="204"/>
        </w:tabs>
        <w:spacing w:line="360" w:lineRule="auto"/>
        <w:rPr>
          <w:b/>
          <w:spacing w:val="-3"/>
          <w:sz w:val="26"/>
          <w:szCs w:val="26"/>
        </w:rPr>
      </w:pPr>
      <w:r w:rsidRPr="007620D2">
        <w:rPr>
          <w:b/>
          <w:spacing w:val="-3"/>
          <w:sz w:val="26"/>
          <w:szCs w:val="26"/>
        </w:rPr>
        <w:t>CONCLUSION</w:t>
      </w:r>
    </w:p>
    <w:p w:rsidR="00BC74E4" w:rsidRDefault="00BC74E4" w:rsidP="00BC74E4">
      <w:pPr>
        <w:keepNext/>
        <w:keepLines/>
        <w:tabs>
          <w:tab w:val="left" w:pos="204"/>
        </w:tabs>
        <w:spacing w:line="360" w:lineRule="auto"/>
        <w:jc w:val="center"/>
        <w:rPr>
          <w:b/>
          <w:spacing w:val="-3"/>
          <w:sz w:val="26"/>
          <w:szCs w:val="26"/>
        </w:rPr>
      </w:pPr>
    </w:p>
    <w:p w:rsidR="00BC74E4" w:rsidRDefault="00BC74E4" w:rsidP="00BC74E4">
      <w:pPr>
        <w:keepNext/>
        <w:keepLines/>
        <w:tabs>
          <w:tab w:val="left" w:pos="204"/>
        </w:tabs>
        <w:spacing w:line="360" w:lineRule="auto"/>
        <w:rPr>
          <w:b/>
          <w:sz w:val="26"/>
          <w:szCs w:val="26"/>
        </w:rPr>
      </w:pPr>
      <w:r>
        <w:rPr>
          <w:b/>
          <w:spacing w:val="-3"/>
          <w:sz w:val="26"/>
          <w:szCs w:val="26"/>
        </w:rPr>
        <w:tab/>
      </w:r>
      <w:r>
        <w:rPr>
          <w:b/>
          <w:spacing w:val="-3"/>
          <w:sz w:val="26"/>
          <w:szCs w:val="26"/>
        </w:rPr>
        <w:tab/>
      </w:r>
      <w:r>
        <w:rPr>
          <w:spacing w:val="-3"/>
          <w:sz w:val="26"/>
          <w:szCs w:val="26"/>
        </w:rPr>
        <w:t xml:space="preserve">This matter is being issued as a Tentative Order to provide market participants with the opportunity to comment on these issues.  Accordingly, we will direct that this Tentative Order be served on all NGDCs, NGSs licensed to provide service in the Commonwealth, the Bureau of Investigation and Enforcement, the Office of Consumer Advocate, the Office of Small Business Advocate and the Pennsylvania Coalition against Domestic Violence.  Comments to this Tentative Order shall be due within 30 days of the entry date. </w:t>
      </w:r>
      <w:r w:rsidR="00115BC2">
        <w:rPr>
          <w:spacing w:val="-3"/>
          <w:sz w:val="26"/>
          <w:szCs w:val="26"/>
        </w:rPr>
        <w:t xml:space="preserve">  Reply comments may be filed 15 days thereafter.  </w:t>
      </w:r>
      <w:r>
        <w:rPr>
          <w:spacing w:val="-3"/>
          <w:sz w:val="26"/>
          <w:szCs w:val="26"/>
        </w:rPr>
        <w:t>To the extent that a participant recommends an outcome</w:t>
      </w:r>
      <w:r w:rsidR="00056556">
        <w:rPr>
          <w:spacing w:val="-3"/>
          <w:sz w:val="26"/>
          <w:szCs w:val="26"/>
        </w:rPr>
        <w:t xml:space="preserve"> that</w:t>
      </w:r>
      <w:r>
        <w:rPr>
          <w:spacing w:val="-3"/>
          <w:sz w:val="26"/>
          <w:szCs w:val="26"/>
        </w:rPr>
        <w:t xml:space="preserve"> differs from the tentative determinations set forth above, the recommendation should be supported by sufficient technical and operational information </w:t>
      </w:r>
      <w:r w:rsidR="00056556">
        <w:rPr>
          <w:spacing w:val="-3"/>
          <w:sz w:val="26"/>
          <w:szCs w:val="26"/>
        </w:rPr>
        <w:t>that</w:t>
      </w:r>
      <w:r>
        <w:rPr>
          <w:spacing w:val="-3"/>
          <w:sz w:val="26"/>
          <w:szCs w:val="26"/>
        </w:rPr>
        <w:t xml:space="preserve"> would support a contrary finding; </w:t>
      </w:r>
      <w:r w:rsidRPr="007620D2">
        <w:rPr>
          <w:b/>
          <w:sz w:val="26"/>
          <w:szCs w:val="26"/>
        </w:rPr>
        <w:t>THEREFORE,</w:t>
      </w:r>
    </w:p>
    <w:p w:rsidR="00BC74E4" w:rsidRDefault="00BC74E4" w:rsidP="00BC74E4">
      <w:pPr>
        <w:tabs>
          <w:tab w:val="left" w:pos="204"/>
        </w:tabs>
        <w:spacing w:line="360" w:lineRule="auto"/>
        <w:rPr>
          <w:b/>
          <w:sz w:val="26"/>
          <w:szCs w:val="26"/>
        </w:rPr>
      </w:pPr>
    </w:p>
    <w:p w:rsidR="00BC74E4" w:rsidRDefault="00BC74E4" w:rsidP="00BC74E4">
      <w:pPr>
        <w:keepNext/>
        <w:keepLines/>
        <w:tabs>
          <w:tab w:val="left" w:pos="0"/>
        </w:tabs>
        <w:spacing w:line="360" w:lineRule="auto"/>
        <w:rPr>
          <w:b/>
          <w:sz w:val="26"/>
        </w:rPr>
      </w:pPr>
      <w:r>
        <w:rPr>
          <w:b/>
          <w:sz w:val="26"/>
        </w:rPr>
        <w:lastRenderedPageBreak/>
        <w:tab/>
      </w:r>
      <w:r w:rsidRPr="007620D2">
        <w:rPr>
          <w:b/>
          <w:sz w:val="26"/>
        </w:rPr>
        <w:t xml:space="preserve">IT IS ORDERED:  </w:t>
      </w:r>
    </w:p>
    <w:p w:rsidR="00BC74E4" w:rsidRPr="0035798D" w:rsidRDefault="00BC74E4" w:rsidP="00BC74E4">
      <w:pPr>
        <w:keepNext/>
        <w:keepLines/>
        <w:tabs>
          <w:tab w:val="left" w:pos="0"/>
        </w:tabs>
        <w:spacing w:line="360" w:lineRule="auto"/>
        <w:rPr>
          <w:sz w:val="26"/>
        </w:rPr>
      </w:pPr>
    </w:p>
    <w:p w:rsidR="00BC74E4" w:rsidRPr="0035798D" w:rsidRDefault="00BC74E4" w:rsidP="00BC74E4">
      <w:pPr>
        <w:keepNext/>
        <w:keepLines/>
        <w:tabs>
          <w:tab w:val="left" w:pos="0"/>
        </w:tabs>
        <w:spacing w:line="360" w:lineRule="auto"/>
        <w:rPr>
          <w:sz w:val="26"/>
          <w:szCs w:val="26"/>
        </w:rPr>
      </w:pPr>
      <w:r w:rsidRPr="0037739B">
        <w:rPr>
          <w:sz w:val="26"/>
        </w:rPr>
        <w:tab/>
      </w:r>
      <w:r w:rsidRPr="0037739B">
        <w:rPr>
          <w:sz w:val="26"/>
        </w:rPr>
        <w:tab/>
        <w:t>1.</w:t>
      </w:r>
      <w:r w:rsidR="00A979D6">
        <w:rPr>
          <w:sz w:val="26"/>
        </w:rPr>
        <w:tab/>
      </w:r>
      <w:r w:rsidRPr="0037739B">
        <w:rPr>
          <w:sz w:val="26"/>
        </w:rPr>
        <w:t xml:space="preserve">That the </w:t>
      </w:r>
      <w:r>
        <w:rPr>
          <w:sz w:val="26"/>
        </w:rPr>
        <w:t>Interim</w:t>
      </w:r>
      <w:r w:rsidRPr="0037739B">
        <w:rPr>
          <w:sz w:val="26"/>
        </w:rPr>
        <w:t xml:space="preserve"> Guidelines for Eligible Customer Lists as set forth in this Tentative Order are issued for comment.</w:t>
      </w:r>
    </w:p>
    <w:p w:rsidR="00BC74E4" w:rsidRPr="007620D2" w:rsidRDefault="00BC74E4" w:rsidP="00BC74E4">
      <w:pPr>
        <w:spacing w:line="360" w:lineRule="auto"/>
        <w:ind w:firstLine="1440"/>
        <w:rPr>
          <w:b/>
          <w:sz w:val="26"/>
        </w:rPr>
      </w:pPr>
    </w:p>
    <w:p w:rsidR="00BC74E4" w:rsidRDefault="00BC74E4" w:rsidP="00BC74E4">
      <w:pPr>
        <w:spacing w:line="360" w:lineRule="auto"/>
        <w:ind w:firstLine="1440"/>
        <w:rPr>
          <w:sz w:val="26"/>
        </w:rPr>
      </w:pPr>
      <w:r>
        <w:rPr>
          <w:sz w:val="26"/>
        </w:rPr>
        <w:t xml:space="preserve">2.  </w:t>
      </w:r>
      <w:r w:rsidR="00A979D6">
        <w:rPr>
          <w:sz w:val="26"/>
        </w:rPr>
        <w:tab/>
      </w:r>
      <w:r>
        <w:rPr>
          <w:sz w:val="26"/>
        </w:rPr>
        <w:t>That comments to this Tentative Order are due within 30 days of the entry date of this Tentative Order.  Interested parties may submit original written comments, no copies required, to the Secretary, Pennsylvania Public Utility Commission, P.O. Box 3265, Harrisburg, PA  17105-3265.  Comments may also be filed electronically through the Commission</w:t>
      </w:r>
      <w:r w:rsidR="00056556">
        <w:rPr>
          <w:sz w:val="26"/>
        </w:rPr>
        <w:t>’s</w:t>
      </w:r>
      <w:r>
        <w:rPr>
          <w:sz w:val="26"/>
        </w:rPr>
        <w:t xml:space="preserve"> e-File System.  </w:t>
      </w:r>
      <w:r w:rsidR="00115BC2">
        <w:rPr>
          <w:sz w:val="26"/>
        </w:rPr>
        <w:t>R</w:t>
      </w:r>
      <w:r>
        <w:rPr>
          <w:sz w:val="26"/>
        </w:rPr>
        <w:t xml:space="preserve">eply comments </w:t>
      </w:r>
      <w:r w:rsidR="00115BC2">
        <w:rPr>
          <w:sz w:val="26"/>
        </w:rPr>
        <w:t>may be filed 15 days thereafter</w:t>
      </w:r>
      <w:r>
        <w:rPr>
          <w:sz w:val="26"/>
        </w:rPr>
        <w:t>.</w:t>
      </w:r>
    </w:p>
    <w:p w:rsidR="00BC74E4" w:rsidRDefault="00BC74E4" w:rsidP="00BC74E4">
      <w:pPr>
        <w:spacing w:line="360" w:lineRule="auto"/>
        <w:ind w:firstLine="1440"/>
        <w:rPr>
          <w:sz w:val="26"/>
        </w:rPr>
      </w:pPr>
    </w:p>
    <w:p w:rsidR="00BC74E4" w:rsidRDefault="00BC74E4" w:rsidP="00BC74E4">
      <w:pPr>
        <w:spacing w:line="360" w:lineRule="auto"/>
        <w:ind w:firstLine="1440"/>
        <w:rPr>
          <w:sz w:val="26"/>
        </w:rPr>
      </w:pPr>
      <w:r>
        <w:rPr>
          <w:sz w:val="26"/>
        </w:rPr>
        <w:t xml:space="preserve">3.  </w:t>
      </w:r>
      <w:r w:rsidR="00A979D6">
        <w:rPr>
          <w:sz w:val="26"/>
        </w:rPr>
        <w:tab/>
      </w:r>
      <w:r>
        <w:rPr>
          <w:sz w:val="26"/>
        </w:rPr>
        <w:t xml:space="preserve">That this Tentative Order shall be served on all </w:t>
      </w:r>
      <w:r>
        <w:rPr>
          <w:bCs/>
          <w:spacing w:val="-3"/>
          <w:sz w:val="26"/>
          <w:szCs w:val="26"/>
        </w:rPr>
        <w:t xml:space="preserve">Natural Gas Distribution Companies, Natural Gas Suppliers </w:t>
      </w:r>
      <w:r>
        <w:rPr>
          <w:spacing w:val="-3"/>
          <w:sz w:val="26"/>
          <w:szCs w:val="26"/>
        </w:rPr>
        <w:t xml:space="preserve">licensed to provide service in the Commonwealth, the Bureau of Investigation and Enforcement, the Office of Consumer Advocate, the Office of Small Business Advocate and the Pennsylvania Coalition against Domestic Violence.  </w:t>
      </w:r>
    </w:p>
    <w:p w:rsidR="00BC74E4" w:rsidRDefault="00BC74E4" w:rsidP="00BC74E4">
      <w:pPr>
        <w:spacing w:line="360" w:lineRule="auto"/>
        <w:ind w:firstLine="1440"/>
        <w:rPr>
          <w:sz w:val="26"/>
        </w:rPr>
      </w:pPr>
    </w:p>
    <w:p w:rsidR="00BC74E4" w:rsidRDefault="00BC74E4" w:rsidP="00BC74E4">
      <w:pPr>
        <w:spacing w:line="360" w:lineRule="auto"/>
        <w:ind w:firstLine="1440"/>
        <w:rPr>
          <w:sz w:val="26"/>
        </w:rPr>
      </w:pPr>
      <w:r>
        <w:rPr>
          <w:sz w:val="26"/>
        </w:rPr>
        <w:t xml:space="preserve">4.  </w:t>
      </w:r>
      <w:r w:rsidR="00A979D6">
        <w:rPr>
          <w:sz w:val="26"/>
        </w:rPr>
        <w:tab/>
      </w:r>
      <w:r>
        <w:rPr>
          <w:sz w:val="26"/>
        </w:rPr>
        <w:t>That a copy of this Tentative Order shall be posted on the Commission’s website.</w:t>
      </w:r>
    </w:p>
    <w:p w:rsidR="00BC74E4" w:rsidRDefault="00BC74E4" w:rsidP="00BC74E4">
      <w:pPr>
        <w:spacing w:line="360" w:lineRule="auto"/>
        <w:ind w:firstLine="1440"/>
        <w:rPr>
          <w:sz w:val="26"/>
        </w:rPr>
      </w:pPr>
    </w:p>
    <w:p w:rsidR="00BC74E4" w:rsidRDefault="0041083B" w:rsidP="00BC74E4">
      <w:pPr>
        <w:spacing w:line="360" w:lineRule="auto"/>
        <w:ind w:firstLine="1440"/>
        <w:rPr>
          <w:sz w:val="26"/>
        </w:rPr>
      </w:pPr>
      <w:r>
        <w:rPr>
          <w:sz w:val="26"/>
        </w:rPr>
        <w:t>5</w:t>
      </w:r>
      <w:r w:rsidR="00BC74E4">
        <w:rPr>
          <w:sz w:val="26"/>
        </w:rPr>
        <w:t xml:space="preserve">.  </w:t>
      </w:r>
      <w:r w:rsidR="00A979D6">
        <w:rPr>
          <w:sz w:val="26"/>
        </w:rPr>
        <w:tab/>
      </w:r>
      <w:r w:rsidR="00BC74E4">
        <w:rPr>
          <w:sz w:val="26"/>
        </w:rPr>
        <w:t>That the contact person for this matter is Lawrence F. Barth, Assistant Counsel, 717-772-8579.</w:t>
      </w:r>
    </w:p>
    <w:p w:rsidR="00BC74E4" w:rsidRDefault="00BC74E4" w:rsidP="00BC74E4">
      <w:pPr>
        <w:spacing w:line="360" w:lineRule="auto"/>
        <w:ind w:firstLine="1440"/>
        <w:rPr>
          <w:sz w:val="26"/>
        </w:rPr>
      </w:pPr>
    </w:p>
    <w:p w:rsidR="00BB5FE0" w:rsidRDefault="00BB5FE0" w:rsidP="00BC74E4">
      <w:pPr>
        <w:spacing w:line="360" w:lineRule="auto"/>
        <w:ind w:firstLine="1440"/>
        <w:rPr>
          <w:sz w:val="26"/>
        </w:rPr>
      </w:pPr>
    </w:p>
    <w:p w:rsidR="00BB5FE0" w:rsidRDefault="00BB5FE0" w:rsidP="00BC74E4">
      <w:pPr>
        <w:spacing w:line="360" w:lineRule="auto"/>
        <w:ind w:firstLine="1440"/>
        <w:rPr>
          <w:sz w:val="26"/>
        </w:rPr>
      </w:pPr>
    </w:p>
    <w:p w:rsidR="00BB5FE0" w:rsidRDefault="00BB5FE0" w:rsidP="00BC74E4">
      <w:pPr>
        <w:spacing w:line="360" w:lineRule="auto"/>
        <w:ind w:firstLine="1440"/>
        <w:rPr>
          <w:sz w:val="26"/>
        </w:rPr>
      </w:pPr>
    </w:p>
    <w:p w:rsidR="00BB5FE0" w:rsidRDefault="00BB5FE0" w:rsidP="00BC74E4">
      <w:pPr>
        <w:spacing w:line="360" w:lineRule="auto"/>
        <w:ind w:firstLine="1440"/>
        <w:rPr>
          <w:sz w:val="26"/>
        </w:rPr>
      </w:pPr>
    </w:p>
    <w:p w:rsidR="00BB5FE0" w:rsidRDefault="00BB5FE0" w:rsidP="00BC74E4">
      <w:pPr>
        <w:spacing w:line="360" w:lineRule="auto"/>
        <w:ind w:firstLine="1440"/>
        <w:rPr>
          <w:sz w:val="26"/>
        </w:rPr>
      </w:pPr>
    </w:p>
    <w:p w:rsidR="00BC74E4" w:rsidRDefault="0041083B" w:rsidP="006059AE">
      <w:pPr>
        <w:spacing w:line="360" w:lineRule="auto"/>
        <w:ind w:firstLine="1440"/>
        <w:rPr>
          <w:sz w:val="26"/>
        </w:rPr>
      </w:pPr>
      <w:r>
        <w:rPr>
          <w:sz w:val="26"/>
        </w:rPr>
        <w:lastRenderedPageBreak/>
        <w:t>6</w:t>
      </w:r>
      <w:r w:rsidR="00BC74E4">
        <w:rPr>
          <w:sz w:val="26"/>
        </w:rPr>
        <w:t xml:space="preserve">.  </w:t>
      </w:r>
      <w:r w:rsidR="00A979D6">
        <w:rPr>
          <w:sz w:val="26"/>
        </w:rPr>
        <w:tab/>
      </w:r>
      <w:r w:rsidR="00BC74E4">
        <w:rPr>
          <w:sz w:val="26"/>
        </w:rPr>
        <w:t>That a final order shall be issued subsequent to the receipt and evaluation of any comments filed in accordance with this Tentative Order.</w:t>
      </w:r>
      <w:r w:rsidR="00BC74E4" w:rsidRPr="007620D2">
        <w:rPr>
          <w:sz w:val="26"/>
        </w:rPr>
        <w:tab/>
      </w:r>
    </w:p>
    <w:p w:rsidR="002D0B85" w:rsidRDefault="002D0B85" w:rsidP="00BC74E4">
      <w:pPr>
        <w:keepNext/>
        <w:keepLines/>
        <w:spacing w:line="360" w:lineRule="auto"/>
        <w:rPr>
          <w:b/>
          <w:sz w:val="26"/>
          <w:szCs w:val="26"/>
        </w:rPr>
      </w:pPr>
    </w:p>
    <w:p w:rsidR="00BC74E4" w:rsidRPr="007620D2" w:rsidRDefault="009210AD" w:rsidP="002D0B85">
      <w:pPr>
        <w:keepNext/>
        <w:keepLines/>
        <w:spacing w:line="360" w:lineRule="auto"/>
        <w:ind w:left="5040"/>
        <w:rPr>
          <w:b/>
          <w:sz w:val="26"/>
          <w:szCs w:val="26"/>
        </w:rPr>
      </w:pPr>
      <w:bookmarkStart w:id="0" w:name="_GoBack"/>
      <w:r>
        <w:rPr>
          <w:noProof/>
        </w:rPr>
        <w:drawing>
          <wp:anchor distT="0" distB="0" distL="114300" distR="114300" simplePos="0" relativeHeight="251659264" behindDoc="1" locked="0" layoutInCell="1" allowOverlap="1" wp14:anchorId="55F92461" wp14:editId="51F58C0E">
            <wp:simplePos x="0" y="0"/>
            <wp:positionH relativeFrom="column">
              <wp:posOffset>2971800</wp:posOffset>
            </wp:positionH>
            <wp:positionV relativeFrom="paragraph">
              <wp:posOffset>12700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BC74E4" w:rsidRPr="007620D2">
        <w:rPr>
          <w:b/>
          <w:sz w:val="26"/>
          <w:szCs w:val="26"/>
        </w:rPr>
        <w:t>BY THE COMMISSION,</w:t>
      </w:r>
    </w:p>
    <w:p w:rsidR="00BC74E4" w:rsidRDefault="00BC74E4" w:rsidP="002D0B85">
      <w:pPr>
        <w:keepNext/>
        <w:keepLines/>
        <w:ind w:left="5040"/>
        <w:rPr>
          <w:sz w:val="26"/>
          <w:szCs w:val="26"/>
        </w:rPr>
      </w:pPr>
    </w:p>
    <w:p w:rsidR="002D0B85" w:rsidRDefault="002D0B85" w:rsidP="002D0B85">
      <w:pPr>
        <w:keepNext/>
        <w:keepLines/>
        <w:ind w:left="5040"/>
        <w:rPr>
          <w:sz w:val="26"/>
          <w:szCs w:val="26"/>
        </w:rPr>
      </w:pPr>
    </w:p>
    <w:p w:rsidR="00BC74E4" w:rsidRPr="007620D2" w:rsidRDefault="00BC74E4" w:rsidP="002D0B85">
      <w:pPr>
        <w:keepNext/>
        <w:keepLines/>
        <w:ind w:left="5040"/>
        <w:rPr>
          <w:sz w:val="26"/>
          <w:szCs w:val="26"/>
        </w:rPr>
      </w:pPr>
    </w:p>
    <w:p w:rsidR="00BC74E4" w:rsidRPr="007620D2" w:rsidRDefault="00BC74E4" w:rsidP="002D0B85">
      <w:pPr>
        <w:keepNext/>
        <w:keepLines/>
        <w:ind w:left="5040"/>
        <w:rPr>
          <w:sz w:val="26"/>
          <w:szCs w:val="26"/>
        </w:rPr>
      </w:pPr>
      <w:r w:rsidRPr="007620D2">
        <w:rPr>
          <w:sz w:val="26"/>
          <w:szCs w:val="26"/>
        </w:rPr>
        <w:t>Rosemary Chiavetta</w:t>
      </w:r>
    </w:p>
    <w:p w:rsidR="00BC74E4" w:rsidRPr="007620D2" w:rsidRDefault="00BC74E4" w:rsidP="002D0B85">
      <w:pPr>
        <w:keepNext/>
        <w:keepLines/>
        <w:ind w:left="5040"/>
        <w:rPr>
          <w:sz w:val="26"/>
          <w:szCs w:val="26"/>
        </w:rPr>
      </w:pPr>
      <w:r w:rsidRPr="007620D2">
        <w:rPr>
          <w:sz w:val="26"/>
          <w:szCs w:val="26"/>
        </w:rPr>
        <w:t>Secretary</w:t>
      </w:r>
    </w:p>
    <w:p w:rsidR="00BC74E4" w:rsidRPr="007620D2" w:rsidRDefault="00BC74E4" w:rsidP="00BC74E4">
      <w:pPr>
        <w:keepNext/>
        <w:keepLines/>
        <w:rPr>
          <w:sz w:val="26"/>
          <w:szCs w:val="26"/>
        </w:rPr>
      </w:pPr>
    </w:p>
    <w:p w:rsidR="00BB5FE0" w:rsidRDefault="00BB5FE0" w:rsidP="00BC74E4">
      <w:pPr>
        <w:keepNext/>
        <w:keepLines/>
        <w:rPr>
          <w:sz w:val="26"/>
          <w:szCs w:val="26"/>
        </w:rPr>
      </w:pPr>
    </w:p>
    <w:p w:rsidR="00BC74E4" w:rsidRPr="007620D2" w:rsidRDefault="00BC74E4" w:rsidP="00BC74E4">
      <w:pPr>
        <w:keepNext/>
        <w:keepLines/>
        <w:rPr>
          <w:sz w:val="26"/>
          <w:szCs w:val="26"/>
        </w:rPr>
      </w:pPr>
      <w:r w:rsidRPr="007620D2">
        <w:rPr>
          <w:sz w:val="26"/>
          <w:szCs w:val="26"/>
        </w:rPr>
        <w:t>(SEAL)</w:t>
      </w:r>
    </w:p>
    <w:p w:rsidR="00BC74E4" w:rsidRPr="007620D2" w:rsidRDefault="00BC74E4" w:rsidP="00BC74E4">
      <w:pPr>
        <w:keepNext/>
        <w:keepLines/>
        <w:rPr>
          <w:sz w:val="26"/>
          <w:szCs w:val="26"/>
        </w:rPr>
      </w:pPr>
    </w:p>
    <w:p w:rsidR="00BC74E4" w:rsidRPr="007620D2" w:rsidRDefault="00BC74E4" w:rsidP="00BC74E4">
      <w:pPr>
        <w:keepNext/>
        <w:keepLines/>
        <w:rPr>
          <w:sz w:val="26"/>
          <w:szCs w:val="26"/>
        </w:rPr>
      </w:pPr>
      <w:r w:rsidRPr="007620D2">
        <w:rPr>
          <w:sz w:val="26"/>
          <w:szCs w:val="26"/>
        </w:rPr>
        <w:t xml:space="preserve">ORDER ADOPTED:  </w:t>
      </w:r>
      <w:r>
        <w:rPr>
          <w:sz w:val="26"/>
          <w:szCs w:val="26"/>
        </w:rPr>
        <w:t>September 27, 2012</w:t>
      </w:r>
    </w:p>
    <w:p w:rsidR="00BC74E4" w:rsidRPr="007620D2" w:rsidRDefault="00BC74E4" w:rsidP="00BC74E4">
      <w:pPr>
        <w:keepNext/>
        <w:keepLines/>
        <w:rPr>
          <w:sz w:val="26"/>
          <w:szCs w:val="26"/>
        </w:rPr>
      </w:pPr>
    </w:p>
    <w:p w:rsidR="00E257E0" w:rsidRPr="009210AD" w:rsidRDefault="00BC74E4" w:rsidP="009210AD">
      <w:pPr>
        <w:keepNext/>
        <w:keepLines/>
        <w:rPr>
          <w:sz w:val="26"/>
        </w:rPr>
        <w:sectPr w:rsidR="00E257E0" w:rsidRPr="009210AD" w:rsidSect="00E257E0">
          <w:footerReference w:type="default" r:id="rId10"/>
          <w:pgSz w:w="12240" w:h="15840"/>
          <w:pgMar w:top="1440" w:right="1440" w:bottom="1440" w:left="1440" w:header="720" w:footer="720" w:gutter="0"/>
          <w:cols w:space="720"/>
          <w:titlePg/>
          <w:docGrid w:linePitch="360"/>
        </w:sectPr>
      </w:pPr>
      <w:r w:rsidRPr="007620D2">
        <w:rPr>
          <w:sz w:val="26"/>
          <w:szCs w:val="26"/>
        </w:rPr>
        <w:t xml:space="preserve">ORDER ENTERED:  </w:t>
      </w:r>
      <w:r w:rsidR="009210AD">
        <w:rPr>
          <w:sz w:val="26"/>
        </w:rPr>
        <w:t xml:space="preserve"> September 27, 2012</w:t>
      </w:r>
    </w:p>
    <w:p w:rsidR="00B00486" w:rsidRPr="00B00486" w:rsidRDefault="00B00486" w:rsidP="00B00486">
      <w:pPr>
        <w:jc w:val="center"/>
        <w:rPr>
          <w:b/>
          <w:sz w:val="32"/>
          <w:szCs w:val="32"/>
          <w:u w:val="single"/>
        </w:rPr>
      </w:pPr>
      <w:r w:rsidRPr="00B00486">
        <w:rPr>
          <w:b/>
          <w:sz w:val="32"/>
          <w:szCs w:val="32"/>
          <w:u w:val="single"/>
        </w:rPr>
        <w:lastRenderedPageBreak/>
        <w:t>APPENDIX A</w:t>
      </w:r>
    </w:p>
    <w:p w:rsidR="00B00486" w:rsidRPr="00B00486" w:rsidRDefault="00B00486" w:rsidP="00B00486">
      <w:pPr>
        <w:jc w:val="center"/>
        <w:rPr>
          <w:b/>
          <w:sz w:val="32"/>
          <w:szCs w:val="32"/>
          <w:u w:val="single"/>
        </w:rPr>
      </w:pPr>
    </w:p>
    <w:p w:rsidR="00B00486" w:rsidRPr="00B00486" w:rsidRDefault="00B00486" w:rsidP="00B00486">
      <w:pPr>
        <w:jc w:val="center"/>
        <w:rPr>
          <w:b/>
          <w:sz w:val="32"/>
          <w:szCs w:val="32"/>
        </w:rPr>
      </w:pPr>
      <w:r>
        <w:rPr>
          <w:b/>
          <w:sz w:val="32"/>
          <w:szCs w:val="32"/>
        </w:rPr>
        <w:t xml:space="preserve">Natural Gas </w:t>
      </w:r>
      <w:r w:rsidRPr="00B00486">
        <w:rPr>
          <w:b/>
          <w:sz w:val="32"/>
          <w:szCs w:val="32"/>
        </w:rPr>
        <w:t>ECL Customer Data Elements</w:t>
      </w:r>
    </w:p>
    <w:p w:rsidR="00B00486" w:rsidRPr="00FB1329" w:rsidRDefault="00B00486" w:rsidP="00B00486">
      <w:pPr>
        <w:rPr>
          <w:b/>
        </w:rPr>
      </w:pPr>
    </w:p>
    <w:p w:rsidR="00B00486" w:rsidRPr="00FB1329" w:rsidRDefault="00B00486" w:rsidP="00B00486">
      <w:pPr>
        <w:pStyle w:val="ListParagraph"/>
        <w:numPr>
          <w:ilvl w:val="0"/>
          <w:numId w:val="1"/>
        </w:numPr>
        <w:spacing w:line="240" w:lineRule="auto"/>
        <w:rPr>
          <w:sz w:val="24"/>
          <w:szCs w:val="24"/>
        </w:rPr>
      </w:pPr>
      <w:r w:rsidRPr="00FB1329">
        <w:rPr>
          <w:sz w:val="24"/>
          <w:szCs w:val="24"/>
        </w:rPr>
        <w:t>Customer Account Number</w:t>
      </w:r>
    </w:p>
    <w:p w:rsidR="00B00486" w:rsidRPr="00FB1329" w:rsidRDefault="00B00486" w:rsidP="00B00486">
      <w:pPr>
        <w:pStyle w:val="ListParagraph"/>
        <w:numPr>
          <w:ilvl w:val="0"/>
          <w:numId w:val="1"/>
        </w:numPr>
        <w:spacing w:line="240" w:lineRule="auto"/>
        <w:rPr>
          <w:sz w:val="24"/>
          <w:szCs w:val="24"/>
        </w:rPr>
      </w:pPr>
      <w:r w:rsidRPr="00FB1329">
        <w:rPr>
          <w:sz w:val="24"/>
          <w:szCs w:val="24"/>
        </w:rPr>
        <w:t xml:space="preserve">Customer Name </w:t>
      </w:r>
    </w:p>
    <w:p w:rsidR="00B00486" w:rsidRPr="00FB1329" w:rsidRDefault="00B00486" w:rsidP="00B00486">
      <w:pPr>
        <w:pStyle w:val="ListParagraph"/>
        <w:numPr>
          <w:ilvl w:val="0"/>
          <w:numId w:val="1"/>
        </w:numPr>
        <w:spacing w:line="240" w:lineRule="auto"/>
        <w:rPr>
          <w:sz w:val="24"/>
          <w:szCs w:val="24"/>
        </w:rPr>
      </w:pPr>
      <w:r w:rsidRPr="00FB1329">
        <w:rPr>
          <w:sz w:val="24"/>
          <w:szCs w:val="24"/>
        </w:rPr>
        <w:t xml:space="preserve">Service Address </w:t>
      </w:r>
    </w:p>
    <w:p w:rsidR="00B00486" w:rsidRPr="00FB1329" w:rsidRDefault="00B00486" w:rsidP="00B00486">
      <w:pPr>
        <w:pStyle w:val="ListParagraph"/>
        <w:numPr>
          <w:ilvl w:val="0"/>
          <w:numId w:val="1"/>
        </w:numPr>
        <w:spacing w:line="240" w:lineRule="auto"/>
        <w:rPr>
          <w:sz w:val="24"/>
          <w:szCs w:val="24"/>
        </w:rPr>
      </w:pPr>
      <w:r w:rsidRPr="00FB1329">
        <w:rPr>
          <w:sz w:val="24"/>
          <w:szCs w:val="24"/>
        </w:rPr>
        <w:t>Billing Address</w:t>
      </w:r>
    </w:p>
    <w:p w:rsidR="00B00486" w:rsidRPr="00FB1329" w:rsidRDefault="00B00486" w:rsidP="00B00486">
      <w:pPr>
        <w:pStyle w:val="ListParagraph"/>
        <w:numPr>
          <w:ilvl w:val="0"/>
          <w:numId w:val="1"/>
        </w:numPr>
        <w:spacing w:line="240" w:lineRule="auto"/>
        <w:rPr>
          <w:sz w:val="24"/>
          <w:szCs w:val="24"/>
        </w:rPr>
      </w:pPr>
      <w:r w:rsidRPr="00FB1329">
        <w:rPr>
          <w:sz w:val="24"/>
          <w:szCs w:val="24"/>
        </w:rPr>
        <w:t>Tariff Rate Class and Schedule</w:t>
      </w:r>
    </w:p>
    <w:p w:rsidR="00B00486" w:rsidRPr="00FB1329" w:rsidRDefault="00B00486" w:rsidP="00B00486">
      <w:pPr>
        <w:pStyle w:val="ListParagraph"/>
        <w:numPr>
          <w:ilvl w:val="0"/>
          <w:numId w:val="1"/>
        </w:numPr>
        <w:spacing w:line="240" w:lineRule="auto"/>
        <w:rPr>
          <w:sz w:val="24"/>
          <w:szCs w:val="24"/>
        </w:rPr>
      </w:pPr>
      <w:r w:rsidRPr="00FB1329">
        <w:rPr>
          <w:sz w:val="24"/>
          <w:szCs w:val="24"/>
        </w:rPr>
        <w:t>Rate Subclass/Rate Subcode (if available)</w:t>
      </w:r>
    </w:p>
    <w:p w:rsidR="00B00486" w:rsidRPr="00FB1329" w:rsidRDefault="00B00486" w:rsidP="00B00486">
      <w:pPr>
        <w:pStyle w:val="ListParagraph"/>
        <w:numPr>
          <w:ilvl w:val="0"/>
          <w:numId w:val="1"/>
        </w:numPr>
        <w:spacing w:line="240" w:lineRule="auto"/>
        <w:rPr>
          <w:sz w:val="24"/>
          <w:szCs w:val="24"/>
        </w:rPr>
      </w:pPr>
      <w:r w:rsidRPr="00FB1329">
        <w:rPr>
          <w:sz w:val="24"/>
          <w:szCs w:val="24"/>
        </w:rPr>
        <w:t>Meter Read Cycle</w:t>
      </w:r>
    </w:p>
    <w:p w:rsidR="00B00486" w:rsidRPr="00FB1329" w:rsidRDefault="00B00486" w:rsidP="00B00486">
      <w:pPr>
        <w:pStyle w:val="ListParagraph"/>
        <w:numPr>
          <w:ilvl w:val="0"/>
          <w:numId w:val="1"/>
        </w:numPr>
        <w:spacing w:line="240" w:lineRule="auto"/>
        <w:rPr>
          <w:sz w:val="24"/>
          <w:szCs w:val="24"/>
        </w:rPr>
      </w:pPr>
      <w:r>
        <w:rPr>
          <w:sz w:val="24"/>
          <w:szCs w:val="24"/>
        </w:rPr>
        <w:t>S</w:t>
      </w:r>
      <w:r w:rsidRPr="00FB1329">
        <w:rPr>
          <w:sz w:val="24"/>
          <w:szCs w:val="24"/>
        </w:rPr>
        <w:t>OLR/Shopping Status (Y or N)</w:t>
      </w:r>
    </w:p>
    <w:p w:rsidR="00B00486" w:rsidRPr="00FB1329" w:rsidRDefault="00B00486" w:rsidP="00B00486">
      <w:pPr>
        <w:pStyle w:val="ListParagraph"/>
        <w:numPr>
          <w:ilvl w:val="0"/>
          <w:numId w:val="1"/>
        </w:numPr>
        <w:spacing w:line="240" w:lineRule="auto"/>
        <w:rPr>
          <w:sz w:val="24"/>
          <w:szCs w:val="24"/>
        </w:rPr>
      </w:pPr>
      <w:r w:rsidRPr="00FB1329">
        <w:rPr>
          <w:sz w:val="24"/>
          <w:szCs w:val="24"/>
        </w:rPr>
        <w:t>Monthly Consumption (each of 12 months)(</w:t>
      </w:r>
      <w:r>
        <w:rPr>
          <w:sz w:val="24"/>
          <w:szCs w:val="24"/>
        </w:rPr>
        <w:t>Mcf</w:t>
      </w:r>
      <w:r w:rsidRPr="00FB1329">
        <w:rPr>
          <w:sz w:val="24"/>
          <w:szCs w:val="24"/>
        </w:rPr>
        <w:t>)</w:t>
      </w:r>
    </w:p>
    <w:p w:rsidR="00B00486" w:rsidRPr="00FB1329" w:rsidRDefault="00B00486" w:rsidP="00B00486">
      <w:pPr>
        <w:pStyle w:val="ListParagraph"/>
        <w:numPr>
          <w:ilvl w:val="0"/>
          <w:numId w:val="1"/>
        </w:numPr>
        <w:spacing w:line="240" w:lineRule="auto"/>
        <w:rPr>
          <w:sz w:val="24"/>
          <w:szCs w:val="24"/>
        </w:rPr>
      </w:pPr>
      <w:r w:rsidRPr="00FB1329">
        <w:rPr>
          <w:sz w:val="24"/>
          <w:szCs w:val="24"/>
        </w:rPr>
        <w:t>Monthly Pea</w:t>
      </w:r>
      <w:r>
        <w:rPr>
          <w:sz w:val="24"/>
          <w:szCs w:val="24"/>
        </w:rPr>
        <w:t>k Demand (each of 12 months) (Mcf</w:t>
      </w:r>
      <w:r w:rsidR="00A979D6">
        <w:rPr>
          <w:sz w:val="24"/>
          <w:szCs w:val="24"/>
        </w:rPr>
        <w:t>/d</w:t>
      </w:r>
      <w:r w:rsidRPr="00FB1329">
        <w:rPr>
          <w:sz w:val="24"/>
          <w:szCs w:val="24"/>
        </w:rPr>
        <w:t>) (if available)</w:t>
      </w:r>
    </w:p>
    <w:p w:rsidR="00B00486" w:rsidRDefault="00B00486"/>
    <w:sectPr w:rsidR="00B00486" w:rsidSect="00E257E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D72" w:rsidRDefault="00F60D72" w:rsidP="00D4252E">
      <w:r>
        <w:separator/>
      </w:r>
    </w:p>
  </w:endnote>
  <w:endnote w:type="continuationSeparator" w:id="0">
    <w:p w:rsidR="00F60D72" w:rsidRDefault="00F60D72" w:rsidP="00D4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939195"/>
      <w:docPartObj>
        <w:docPartGallery w:val="Page Numbers (Bottom of Page)"/>
        <w:docPartUnique/>
      </w:docPartObj>
    </w:sdtPr>
    <w:sdtEndPr>
      <w:rPr>
        <w:noProof/>
      </w:rPr>
    </w:sdtEndPr>
    <w:sdtContent>
      <w:p w:rsidR="00E257E0" w:rsidRDefault="00E257E0" w:rsidP="00E257E0">
        <w:pPr>
          <w:pStyle w:val="Footer"/>
          <w:jc w:val="center"/>
        </w:pPr>
        <w:r w:rsidRPr="00E257E0">
          <w:rPr>
            <w:sz w:val="22"/>
            <w:szCs w:val="22"/>
          </w:rPr>
          <w:fldChar w:fldCharType="begin"/>
        </w:r>
        <w:r w:rsidRPr="00E257E0">
          <w:rPr>
            <w:sz w:val="22"/>
            <w:szCs w:val="22"/>
          </w:rPr>
          <w:instrText xml:space="preserve"> PAGE   \* MERGEFORMAT </w:instrText>
        </w:r>
        <w:r w:rsidRPr="00E257E0">
          <w:rPr>
            <w:sz w:val="22"/>
            <w:szCs w:val="22"/>
          </w:rPr>
          <w:fldChar w:fldCharType="separate"/>
        </w:r>
        <w:r w:rsidR="009210AD">
          <w:rPr>
            <w:noProof/>
            <w:sz w:val="22"/>
            <w:szCs w:val="22"/>
          </w:rPr>
          <w:t>7</w:t>
        </w:r>
        <w:r w:rsidRPr="00E257E0">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D72" w:rsidRDefault="00F60D72" w:rsidP="00D4252E">
      <w:r>
        <w:separator/>
      </w:r>
    </w:p>
  </w:footnote>
  <w:footnote w:type="continuationSeparator" w:id="0">
    <w:p w:rsidR="00F60D72" w:rsidRDefault="00F60D72" w:rsidP="00D4252E">
      <w:r>
        <w:continuationSeparator/>
      </w:r>
    </w:p>
  </w:footnote>
  <w:footnote w:id="1">
    <w:p w:rsidR="00D4252E" w:rsidRPr="00D4252E" w:rsidRDefault="00D4252E">
      <w:pPr>
        <w:pStyle w:val="FootnoteText"/>
        <w:rPr>
          <w:sz w:val="22"/>
          <w:szCs w:val="22"/>
        </w:rPr>
      </w:pPr>
      <w:r w:rsidRPr="00D4252E">
        <w:rPr>
          <w:rStyle w:val="FootnoteReference"/>
          <w:sz w:val="22"/>
          <w:szCs w:val="22"/>
        </w:rPr>
        <w:footnoteRef/>
      </w:r>
      <w:r w:rsidRPr="00D4252E">
        <w:rPr>
          <w:sz w:val="22"/>
          <w:szCs w:val="22"/>
        </w:rPr>
        <w:t xml:space="preserve"> </w:t>
      </w:r>
      <w:r w:rsidRPr="00D4252E">
        <w:rPr>
          <w:i/>
          <w:spacing w:val="-3"/>
          <w:sz w:val="22"/>
          <w:szCs w:val="22"/>
        </w:rPr>
        <w:t>Interim Guidelines For Eligible Customer Lists</w:t>
      </w:r>
      <w:r w:rsidRPr="00BB5FE0">
        <w:rPr>
          <w:spacing w:val="-3"/>
          <w:sz w:val="22"/>
          <w:szCs w:val="22"/>
        </w:rPr>
        <w:t>,</w:t>
      </w:r>
      <w:r w:rsidRPr="00D4252E">
        <w:rPr>
          <w:spacing w:val="-3"/>
          <w:sz w:val="22"/>
          <w:szCs w:val="22"/>
        </w:rPr>
        <w:t xml:space="preserve"> Docket No. M-2010-2183412, Final Order on Reconsideration entered November 15, 2011 (Electric ECL Order).</w:t>
      </w:r>
    </w:p>
  </w:footnote>
  <w:footnote w:id="2">
    <w:p w:rsidR="00F46BFD" w:rsidRPr="00F46BFD" w:rsidRDefault="00F46BFD">
      <w:pPr>
        <w:pStyle w:val="FootnoteText"/>
        <w:rPr>
          <w:sz w:val="22"/>
          <w:szCs w:val="22"/>
        </w:rPr>
      </w:pPr>
      <w:r w:rsidRPr="00F46BFD">
        <w:rPr>
          <w:rStyle w:val="FootnoteReference"/>
          <w:sz w:val="22"/>
          <w:szCs w:val="22"/>
        </w:rPr>
        <w:footnoteRef/>
      </w:r>
      <w:r w:rsidRPr="00F46BFD">
        <w:rPr>
          <w:sz w:val="22"/>
          <w:szCs w:val="22"/>
        </w:rPr>
        <w:t xml:space="preserve"> </w:t>
      </w:r>
      <w:r w:rsidRPr="00F46BFD">
        <w:rPr>
          <w:i/>
          <w:sz w:val="22"/>
          <w:szCs w:val="22"/>
        </w:rPr>
        <w:t>Procedures Applicable To Natural Gas Distribution Companies And Natural Gas Suppliers During the Transition to Full Retail Choice; Request for Comments</w:t>
      </w:r>
      <w:r w:rsidRPr="00BB5FE0">
        <w:rPr>
          <w:sz w:val="22"/>
          <w:szCs w:val="22"/>
        </w:rPr>
        <w:t>,</w:t>
      </w:r>
      <w:r w:rsidRPr="00F46BFD">
        <w:rPr>
          <w:sz w:val="22"/>
          <w:szCs w:val="22"/>
        </w:rPr>
        <w:t xml:space="preserve"> Docket No.</w:t>
      </w:r>
      <w:r w:rsidR="00BB5FE0">
        <w:rPr>
          <w:sz w:val="22"/>
          <w:szCs w:val="22"/>
        </w:rPr>
        <w:t xml:space="preserve"> </w:t>
      </w:r>
      <w:r w:rsidRPr="00F46BFD">
        <w:rPr>
          <w:sz w:val="22"/>
          <w:szCs w:val="22"/>
        </w:rPr>
        <w:t>M-00991249F0009, Tentative Order entered April 13, 2000 (Transition Tentative Order).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B2AEB"/>
    <w:multiLevelType w:val="hybridMultilevel"/>
    <w:tmpl w:val="6590D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F3"/>
    <w:rsid w:val="00013D13"/>
    <w:rsid w:val="00016C34"/>
    <w:rsid w:val="00054D98"/>
    <w:rsid w:val="00056556"/>
    <w:rsid w:val="00115BC2"/>
    <w:rsid w:val="0012719F"/>
    <w:rsid w:val="001902DC"/>
    <w:rsid w:val="001D37CC"/>
    <w:rsid w:val="001F48AB"/>
    <w:rsid w:val="00207479"/>
    <w:rsid w:val="002762AD"/>
    <w:rsid w:val="002D0B85"/>
    <w:rsid w:val="002D62AF"/>
    <w:rsid w:val="0030432A"/>
    <w:rsid w:val="00320EDE"/>
    <w:rsid w:val="00345ED2"/>
    <w:rsid w:val="00355AC9"/>
    <w:rsid w:val="003D2AF0"/>
    <w:rsid w:val="00401000"/>
    <w:rsid w:val="00402D1E"/>
    <w:rsid w:val="0041083B"/>
    <w:rsid w:val="004365AC"/>
    <w:rsid w:val="004E21E7"/>
    <w:rsid w:val="005114C4"/>
    <w:rsid w:val="00557EAB"/>
    <w:rsid w:val="00587B1C"/>
    <w:rsid w:val="005F485E"/>
    <w:rsid w:val="006059AE"/>
    <w:rsid w:val="006218C3"/>
    <w:rsid w:val="006870A2"/>
    <w:rsid w:val="00696C9C"/>
    <w:rsid w:val="006C7706"/>
    <w:rsid w:val="00782A4F"/>
    <w:rsid w:val="007E793A"/>
    <w:rsid w:val="007F2179"/>
    <w:rsid w:val="00807778"/>
    <w:rsid w:val="00855A98"/>
    <w:rsid w:val="008A3AF3"/>
    <w:rsid w:val="008B00C8"/>
    <w:rsid w:val="009210AD"/>
    <w:rsid w:val="00926565"/>
    <w:rsid w:val="009462E3"/>
    <w:rsid w:val="009869D5"/>
    <w:rsid w:val="0099102E"/>
    <w:rsid w:val="009F353F"/>
    <w:rsid w:val="00A326D8"/>
    <w:rsid w:val="00A92EC7"/>
    <w:rsid w:val="00A94B5D"/>
    <w:rsid w:val="00A979D6"/>
    <w:rsid w:val="00AC614E"/>
    <w:rsid w:val="00AF26CD"/>
    <w:rsid w:val="00B00486"/>
    <w:rsid w:val="00B11D3D"/>
    <w:rsid w:val="00B37562"/>
    <w:rsid w:val="00B82EF8"/>
    <w:rsid w:val="00BB5FE0"/>
    <w:rsid w:val="00BC74E4"/>
    <w:rsid w:val="00BE320F"/>
    <w:rsid w:val="00C43417"/>
    <w:rsid w:val="00CA41CA"/>
    <w:rsid w:val="00CC515D"/>
    <w:rsid w:val="00D17177"/>
    <w:rsid w:val="00D34250"/>
    <w:rsid w:val="00D4252E"/>
    <w:rsid w:val="00D47B4C"/>
    <w:rsid w:val="00D513B0"/>
    <w:rsid w:val="00DD6D85"/>
    <w:rsid w:val="00E03234"/>
    <w:rsid w:val="00E0625C"/>
    <w:rsid w:val="00E257E0"/>
    <w:rsid w:val="00E45A4A"/>
    <w:rsid w:val="00E5678D"/>
    <w:rsid w:val="00EC001E"/>
    <w:rsid w:val="00EE72AE"/>
    <w:rsid w:val="00F0092D"/>
    <w:rsid w:val="00F037AD"/>
    <w:rsid w:val="00F46BFD"/>
    <w:rsid w:val="00F60D72"/>
    <w:rsid w:val="00FA44DD"/>
    <w:rsid w:val="00FE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F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250"/>
    <w:rPr>
      <w:rFonts w:ascii="Arial" w:eastAsiaTheme="majorEastAsia" w:hAnsi="Arial" w:cstheme="majorBidi"/>
      <w:smallCaps/>
      <w:szCs w:val="20"/>
    </w:rPr>
  </w:style>
  <w:style w:type="paragraph" w:styleId="EnvelopeAddress">
    <w:name w:val="envelope address"/>
    <w:basedOn w:val="Normal"/>
    <w:uiPriority w:val="99"/>
    <w:semiHidden/>
    <w:unhideWhenUsed/>
    <w:rsid w:val="00D34250"/>
    <w:pPr>
      <w:framePr w:w="7920" w:h="1980" w:hRule="exact" w:hSpace="180" w:wrap="auto" w:hAnchor="page" w:xAlign="center" w:yAlign="bottom"/>
      <w:ind w:left="2880"/>
    </w:pPr>
    <w:rPr>
      <w:rFonts w:ascii="Arial" w:eastAsiaTheme="majorEastAsia" w:hAnsi="Arial" w:cstheme="majorBidi"/>
      <w:smallCaps/>
      <w:sz w:val="28"/>
    </w:rPr>
  </w:style>
  <w:style w:type="paragraph" w:customStyle="1" w:styleId="p5">
    <w:name w:val="p5"/>
    <w:basedOn w:val="Normal"/>
    <w:rsid w:val="008A3AF3"/>
    <w:pPr>
      <w:widowControl w:val="0"/>
      <w:tabs>
        <w:tab w:val="left" w:pos="391"/>
      </w:tabs>
      <w:autoSpaceDE w:val="0"/>
      <w:autoSpaceDN w:val="0"/>
      <w:adjustRightInd w:val="0"/>
      <w:ind w:left="1049"/>
    </w:pPr>
    <w:rPr>
      <w:rFonts w:eastAsiaTheme="minorHAnsi"/>
      <w:sz w:val="26"/>
    </w:rPr>
  </w:style>
  <w:style w:type="paragraph" w:styleId="ListParagraph">
    <w:name w:val="List Paragraph"/>
    <w:basedOn w:val="Normal"/>
    <w:uiPriority w:val="34"/>
    <w:qFormat/>
    <w:rsid w:val="00B00486"/>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D4252E"/>
    <w:rPr>
      <w:sz w:val="20"/>
      <w:szCs w:val="20"/>
    </w:rPr>
  </w:style>
  <w:style w:type="character" w:customStyle="1" w:styleId="FootnoteTextChar">
    <w:name w:val="Footnote Text Char"/>
    <w:basedOn w:val="DefaultParagraphFont"/>
    <w:link w:val="FootnoteText"/>
    <w:uiPriority w:val="99"/>
    <w:semiHidden/>
    <w:rsid w:val="00D4252E"/>
    <w:rPr>
      <w:rFonts w:eastAsia="Times New Roman" w:cs="Times New Roman"/>
      <w:sz w:val="20"/>
    </w:rPr>
  </w:style>
  <w:style w:type="character" w:styleId="FootnoteReference">
    <w:name w:val="footnote reference"/>
    <w:basedOn w:val="DefaultParagraphFont"/>
    <w:uiPriority w:val="99"/>
    <w:semiHidden/>
    <w:unhideWhenUsed/>
    <w:rsid w:val="00D4252E"/>
    <w:rPr>
      <w:vertAlign w:val="superscript"/>
    </w:rPr>
  </w:style>
  <w:style w:type="character" w:styleId="Hyperlink">
    <w:name w:val="Hyperlink"/>
    <w:basedOn w:val="DefaultParagraphFont"/>
    <w:rsid w:val="00BC74E4"/>
    <w:rPr>
      <w:color w:val="0000FF"/>
      <w:u w:val="single"/>
    </w:rPr>
  </w:style>
  <w:style w:type="paragraph" w:styleId="Header">
    <w:name w:val="header"/>
    <w:basedOn w:val="Normal"/>
    <w:link w:val="HeaderChar"/>
    <w:uiPriority w:val="99"/>
    <w:unhideWhenUsed/>
    <w:rsid w:val="00E257E0"/>
    <w:pPr>
      <w:tabs>
        <w:tab w:val="center" w:pos="4680"/>
        <w:tab w:val="right" w:pos="9360"/>
      </w:tabs>
    </w:pPr>
  </w:style>
  <w:style w:type="character" w:customStyle="1" w:styleId="HeaderChar">
    <w:name w:val="Header Char"/>
    <w:basedOn w:val="DefaultParagraphFont"/>
    <w:link w:val="Header"/>
    <w:uiPriority w:val="99"/>
    <w:rsid w:val="00E257E0"/>
    <w:rPr>
      <w:rFonts w:eastAsia="Times New Roman" w:cs="Times New Roman"/>
      <w:sz w:val="24"/>
      <w:szCs w:val="24"/>
    </w:rPr>
  </w:style>
  <w:style w:type="paragraph" w:styleId="Footer">
    <w:name w:val="footer"/>
    <w:basedOn w:val="Normal"/>
    <w:link w:val="FooterChar"/>
    <w:uiPriority w:val="99"/>
    <w:unhideWhenUsed/>
    <w:rsid w:val="00E257E0"/>
    <w:pPr>
      <w:tabs>
        <w:tab w:val="center" w:pos="4680"/>
        <w:tab w:val="right" w:pos="9360"/>
      </w:tabs>
    </w:pPr>
  </w:style>
  <w:style w:type="character" w:customStyle="1" w:styleId="FooterChar">
    <w:name w:val="Footer Char"/>
    <w:basedOn w:val="DefaultParagraphFont"/>
    <w:link w:val="Footer"/>
    <w:uiPriority w:val="99"/>
    <w:rsid w:val="00E257E0"/>
    <w:rPr>
      <w:rFonts w:eastAsia="Times New Roman" w:cs="Times New Roman"/>
      <w:sz w:val="24"/>
      <w:szCs w:val="24"/>
    </w:rPr>
  </w:style>
  <w:style w:type="paragraph" w:styleId="BalloonText">
    <w:name w:val="Balloon Text"/>
    <w:basedOn w:val="Normal"/>
    <w:link w:val="BalloonTextChar"/>
    <w:uiPriority w:val="99"/>
    <w:semiHidden/>
    <w:unhideWhenUsed/>
    <w:rsid w:val="00CA41CA"/>
    <w:rPr>
      <w:rFonts w:ascii="Tahoma" w:hAnsi="Tahoma" w:cs="Tahoma"/>
      <w:sz w:val="16"/>
      <w:szCs w:val="16"/>
    </w:rPr>
  </w:style>
  <w:style w:type="character" w:customStyle="1" w:styleId="BalloonTextChar">
    <w:name w:val="Balloon Text Char"/>
    <w:basedOn w:val="DefaultParagraphFont"/>
    <w:link w:val="BalloonText"/>
    <w:uiPriority w:val="99"/>
    <w:semiHidden/>
    <w:rsid w:val="00CA41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41CA"/>
    <w:rPr>
      <w:sz w:val="16"/>
      <w:szCs w:val="16"/>
    </w:rPr>
  </w:style>
  <w:style w:type="paragraph" w:styleId="CommentText">
    <w:name w:val="annotation text"/>
    <w:basedOn w:val="Normal"/>
    <w:link w:val="CommentTextChar"/>
    <w:uiPriority w:val="99"/>
    <w:semiHidden/>
    <w:unhideWhenUsed/>
    <w:rsid w:val="00CA41CA"/>
    <w:rPr>
      <w:sz w:val="20"/>
      <w:szCs w:val="20"/>
    </w:rPr>
  </w:style>
  <w:style w:type="character" w:customStyle="1" w:styleId="CommentTextChar">
    <w:name w:val="Comment Text Char"/>
    <w:basedOn w:val="DefaultParagraphFont"/>
    <w:link w:val="CommentText"/>
    <w:uiPriority w:val="99"/>
    <w:semiHidden/>
    <w:rsid w:val="00CA41CA"/>
    <w:rPr>
      <w:rFonts w:eastAsia="Times New Roman" w:cs="Times New Roman"/>
      <w:sz w:val="20"/>
    </w:rPr>
  </w:style>
  <w:style w:type="paragraph" w:styleId="CommentSubject">
    <w:name w:val="annotation subject"/>
    <w:basedOn w:val="CommentText"/>
    <w:next w:val="CommentText"/>
    <w:link w:val="CommentSubjectChar"/>
    <w:uiPriority w:val="99"/>
    <w:semiHidden/>
    <w:unhideWhenUsed/>
    <w:rsid w:val="00CA41CA"/>
    <w:rPr>
      <w:b/>
      <w:bCs/>
    </w:rPr>
  </w:style>
  <w:style w:type="character" w:customStyle="1" w:styleId="CommentSubjectChar">
    <w:name w:val="Comment Subject Char"/>
    <w:basedOn w:val="CommentTextChar"/>
    <w:link w:val="CommentSubject"/>
    <w:uiPriority w:val="99"/>
    <w:semiHidden/>
    <w:rsid w:val="00CA41CA"/>
    <w:rPr>
      <w:rFonts w:eastAsia="Times New Roman" w:cs="Times New Roman"/>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F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250"/>
    <w:rPr>
      <w:rFonts w:ascii="Arial" w:eastAsiaTheme="majorEastAsia" w:hAnsi="Arial" w:cstheme="majorBidi"/>
      <w:smallCaps/>
      <w:szCs w:val="20"/>
    </w:rPr>
  </w:style>
  <w:style w:type="paragraph" w:styleId="EnvelopeAddress">
    <w:name w:val="envelope address"/>
    <w:basedOn w:val="Normal"/>
    <w:uiPriority w:val="99"/>
    <w:semiHidden/>
    <w:unhideWhenUsed/>
    <w:rsid w:val="00D34250"/>
    <w:pPr>
      <w:framePr w:w="7920" w:h="1980" w:hRule="exact" w:hSpace="180" w:wrap="auto" w:hAnchor="page" w:xAlign="center" w:yAlign="bottom"/>
      <w:ind w:left="2880"/>
    </w:pPr>
    <w:rPr>
      <w:rFonts w:ascii="Arial" w:eastAsiaTheme="majorEastAsia" w:hAnsi="Arial" w:cstheme="majorBidi"/>
      <w:smallCaps/>
      <w:sz w:val="28"/>
    </w:rPr>
  </w:style>
  <w:style w:type="paragraph" w:customStyle="1" w:styleId="p5">
    <w:name w:val="p5"/>
    <w:basedOn w:val="Normal"/>
    <w:rsid w:val="008A3AF3"/>
    <w:pPr>
      <w:widowControl w:val="0"/>
      <w:tabs>
        <w:tab w:val="left" w:pos="391"/>
      </w:tabs>
      <w:autoSpaceDE w:val="0"/>
      <w:autoSpaceDN w:val="0"/>
      <w:adjustRightInd w:val="0"/>
      <w:ind w:left="1049"/>
    </w:pPr>
    <w:rPr>
      <w:rFonts w:eastAsiaTheme="minorHAnsi"/>
      <w:sz w:val="26"/>
    </w:rPr>
  </w:style>
  <w:style w:type="paragraph" w:styleId="ListParagraph">
    <w:name w:val="List Paragraph"/>
    <w:basedOn w:val="Normal"/>
    <w:uiPriority w:val="34"/>
    <w:qFormat/>
    <w:rsid w:val="00B00486"/>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D4252E"/>
    <w:rPr>
      <w:sz w:val="20"/>
      <w:szCs w:val="20"/>
    </w:rPr>
  </w:style>
  <w:style w:type="character" w:customStyle="1" w:styleId="FootnoteTextChar">
    <w:name w:val="Footnote Text Char"/>
    <w:basedOn w:val="DefaultParagraphFont"/>
    <w:link w:val="FootnoteText"/>
    <w:uiPriority w:val="99"/>
    <w:semiHidden/>
    <w:rsid w:val="00D4252E"/>
    <w:rPr>
      <w:rFonts w:eastAsia="Times New Roman" w:cs="Times New Roman"/>
      <w:sz w:val="20"/>
    </w:rPr>
  </w:style>
  <w:style w:type="character" w:styleId="FootnoteReference">
    <w:name w:val="footnote reference"/>
    <w:basedOn w:val="DefaultParagraphFont"/>
    <w:uiPriority w:val="99"/>
    <w:semiHidden/>
    <w:unhideWhenUsed/>
    <w:rsid w:val="00D4252E"/>
    <w:rPr>
      <w:vertAlign w:val="superscript"/>
    </w:rPr>
  </w:style>
  <w:style w:type="character" w:styleId="Hyperlink">
    <w:name w:val="Hyperlink"/>
    <w:basedOn w:val="DefaultParagraphFont"/>
    <w:rsid w:val="00BC74E4"/>
    <w:rPr>
      <w:color w:val="0000FF"/>
      <w:u w:val="single"/>
    </w:rPr>
  </w:style>
  <w:style w:type="paragraph" w:styleId="Header">
    <w:name w:val="header"/>
    <w:basedOn w:val="Normal"/>
    <w:link w:val="HeaderChar"/>
    <w:uiPriority w:val="99"/>
    <w:unhideWhenUsed/>
    <w:rsid w:val="00E257E0"/>
    <w:pPr>
      <w:tabs>
        <w:tab w:val="center" w:pos="4680"/>
        <w:tab w:val="right" w:pos="9360"/>
      </w:tabs>
    </w:pPr>
  </w:style>
  <w:style w:type="character" w:customStyle="1" w:styleId="HeaderChar">
    <w:name w:val="Header Char"/>
    <w:basedOn w:val="DefaultParagraphFont"/>
    <w:link w:val="Header"/>
    <w:uiPriority w:val="99"/>
    <w:rsid w:val="00E257E0"/>
    <w:rPr>
      <w:rFonts w:eastAsia="Times New Roman" w:cs="Times New Roman"/>
      <w:sz w:val="24"/>
      <w:szCs w:val="24"/>
    </w:rPr>
  </w:style>
  <w:style w:type="paragraph" w:styleId="Footer">
    <w:name w:val="footer"/>
    <w:basedOn w:val="Normal"/>
    <w:link w:val="FooterChar"/>
    <w:uiPriority w:val="99"/>
    <w:unhideWhenUsed/>
    <w:rsid w:val="00E257E0"/>
    <w:pPr>
      <w:tabs>
        <w:tab w:val="center" w:pos="4680"/>
        <w:tab w:val="right" w:pos="9360"/>
      </w:tabs>
    </w:pPr>
  </w:style>
  <w:style w:type="character" w:customStyle="1" w:styleId="FooterChar">
    <w:name w:val="Footer Char"/>
    <w:basedOn w:val="DefaultParagraphFont"/>
    <w:link w:val="Footer"/>
    <w:uiPriority w:val="99"/>
    <w:rsid w:val="00E257E0"/>
    <w:rPr>
      <w:rFonts w:eastAsia="Times New Roman" w:cs="Times New Roman"/>
      <w:sz w:val="24"/>
      <w:szCs w:val="24"/>
    </w:rPr>
  </w:style>
  <w:style w:type="paragraph" w:styleId="BalloonText">
    <w:name w:val="Balloon Text"/>
    <w:basedOn w:val="Normal"/>
    <w:link w:val="BalloonTextChar"/>
    <w:uiPriority w:val="99"/>
    <w:semiHidden/>
    <w:unhideWhenUsed/>
    <w:rsid w:val="00CA41CA"/>
    <w:rPr>
      <w:rFonts w:ascii="Tahoma" w:hAnsi="Tahoma" w:cs="Tahoma"/>
      <w:sz w:val="16"/>
      <w:szCs w:val="16"/>
    </w:rPr>
  </w:style>
  <w:style w:type="character" w:customStyle="1" w:styleId="BalloonTextChar">
    <w:name w:val="Balloon Text Char"/>
    <w:basedOn w:val="DefaultParagraphFont"/>
    <w:link w:val="BalloonText"/>
    <w:uiPriority w:val="99"/>
    <w:semiHidden/>
    <w:rsid w:val="00CA41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41CA"/>
    <w:rPr>
      <w:sz w:val="16"/>
      <w:szCs w:val="16"/>
    </w:rPr>
  </w:style>
  <w:style w:type="paragraph" w:styleId="CommentText">
    <w:name w:val="annotation text"/>
    <w:basedOn w:val="Normal"/>
    <w:link w:val="CommentTextChar"/>
    <w:uiPriority w:val="99"/>
    <w:semiHidden/>
    <w:unhideWhenUsed/>
    <w:rsid w:val="00CA41CA"/>
    <w:rPr>
      <w:sz w:val="20"/>
      <w:szCs w:val="20"/>
    </w:rPr>
  </w:style>
  <w:style w:type="character" w:customStyle="1" w:styleId="CommentTextChar">
    <w:name w:val="Comment Text Char"/>
    <w:basedOn w:val="DefaultParagraphFont"/>
    <w:link w:val="CommentText"/>
    <w:uiPriority w:val="99"/>
    <w:semiHidden/>
    <w:rsid w:val="00CA41CA"/>
    <w:rPr>
      <w:rFonts w:eastAsia="Times New Roman" w:cs="Times New Roman"/>
      <w:sz w:val="20"/>
    </w:rPr>
  </w:style>
  <w:style w:type="paragraph" w:styleId="CommentSubject">
    <w:name w:val="annotation subject"/>
    <w:basedOn w:val="CommentText"/>
    <w:next w:val="CommentText"/>
    <w:link w:val="CommentSubjectChar"/>
    <w:uiPriority w:val="99"/>
    <w:semiHidden/>
    <w:unhideWhenUsed/>
    <w:rsid w:val="00CA41CA"/>
    <w:rPr>
      <w:b/>
      <w:bCs/>
    </w:rPr>
  </w:style>
  <w:style w:type="character" w:customStyle="1" w:styleId="CommentSubjectChar">
    <w:name w:val="Comment Subject Char"/>
    <w:basedOn w:val="CommentTextChar"/>
    <w:link w:val="CommentSubject"/>
    <w:uiPriority w:val="99"/>
    <w:semiHidden/>
    <w:rsid w:val="00CA41CA"/>
    <w:rPr>
      <w:rFonts w:eastAsia="Times New Roman"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27605">
      <w:bodyDiv w:val="1"/>
      <w:marLeft w:val="0"/>
      <w:marRight w:val="0"/>
      <w:marTop w:val="100"/>
      <w:marBottom w:val="150"/>
      <w:divBdr>
        <w:top w:val="none" w:sz="0" w:space="0" w:color="auto"/>
        <w:left w:val="none" w:sz="0" w:space="0" w:color="auto"/>
        <w:bottom w:val="none" w:sz="0" w:space="0" w:color="auto"/>
        <w:right w:val="none" w:sz="0" w:space="0" w:color="auto"/>
      </w:divBdr>
      <w:divsChild>
        <w:div w:id="1345864948">
          <w:marLeft w:val="0"/>
          <w:marRight w:val="0"/>
          <w:marTop w:val="0"/>
          <w:marBottom w:val="0"/>
          <w:divBdr>
            <w:top w:val="single" w:sz="6" w:space="0" w:color="293D39"/>
            <w:left w:val="single" w:sz="6" w:space="0" w:color="293D39"/>
            <w:bottom w:val="single" w:sz="6" w:space="0" w:color="293D39"/>
            <w:right w:val="single" w:sz="6" w:space="0" w:color="293D39"/>
          </w:divBdr>
          <w:divsChild>
            <w:div w:id="596868063">
              <w:marLeft w:val="0"/>
              <w:marRight w:val="0"/>
              <w:marTop w:val="0"/>
              <w:marBottom w:val="480"/>
              <w:divBdr>
                <w:top w:val="none" w:sz="0" w:space="0" w:color="auto"/>
                <w:left w:val="none" w:sz="0" w:space="0" w:color="auto"/>
                <w:bottom w:val="none" w:sz="0" w:space="0" w:color="auto"/>
                <w:right w:val="none" w:sz="0" w:space="0" w:color="auto"/>
              </w:divBdr>
              <w:divsChild>
                <w:div w:id="1363281127">
                  <w:marLeft w:val="0"/>
                  <w:marRight w:val="0"/>
                  <w:marTop w:val="0"/>
                  <w:marBottom w:val="0"/>
                  <w:divBdr>
                    <w:top w:val="none" w:sz="0" w:space="0" w:color="auto"/>
                    <w:left w:val="none" w:sz="0" w:space="0" w:color="auto"/>
                    <w:bottom w:val="none" w:sz="0" w:space="0" w:color="auto"/>
                    <w:right w:val="none" w:sz="0" w:space="0" w:color="auto"/>
                  </w:divBdr>
                  <w:divsChild>
                    <w:div w:id="868032129">
                      <w:marLeft w:val="0"/>
                      <w:marRight w:val="0"/>
                      <w:marTop w:val="0"/>
                      <w:marBottom w:val="600"/>
                      <w:divBdr>
                        <w:top w:val="none" w:sz="0" w:space="0" w:color="auto"/>
                        <w:left w:val="none" w:sz="0" w:space="0" w:color="auto"/>
                        <w:bottom w:val="none" w:sz="0" w:space="0" w:color="auto"/>
                        <w:right w:val="none" w:sz="0" w:space="0" w:color="auto"/>
                      </w:divBdr>
                      <w:divsChild>
                        <w:div w:id="877472739">
                          <w:marLeft w:val="0"/>
                          <w:marRight w:val="0"/>
                          <w:marTop w:val="0"/>
                          <w:marBottom w:val="0"/>
                          <w:divBdr>
                            <w:top w:val="none" w:sz="0" w:space="0" w:color="auto"/>
                            <w:left w:val="none" w:sz="0" w:space="0" w:color="auto"/>
                            <w:bottom w:val="none" w:sz="0" w:space="0" w:color="auto"/>
                            <w:right w:val="none" w:sz="0" w:space="0" w:color="auto"/>
                          </w:divBdr>
                          <w:divsChild>
                            <w:div w:id="1747073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B36F-9C8B-4453-A74A-441905D2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Miller, Sara</cp:lastModifiedBy>
  <cp:revision>3</cp:revision>
  <cp:lastPrinted>2012-09-27T12:49:00Z</cp:lastPrinted>
  <dcterms:created xsi:type="dcterms:W3CDTF">2012-09-25T19:33:00Z</dcterms:created>
  <dcterms:modified xsi:type="dcterms:W3CDTF">2012-09-27T12:49:00Z</dcterms:modified>
</cp:coreProperties>
</file>