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58" w:rsidRPr="00EA224A" w:rsidRDefault="007B5858" w:rsidP="00047866">
      <w:pPr>
        <w:contextualSpacing/>
        <w:jc w:val="center"/>
        <w:rPr>
          <w:rFonts w:ascii="Times New Roman" w:hAnsi="Times New Roman" w:cs="Times New Roman"/>
          <w:b/>
        </w:rPr>
      </w:pPr>
      <w:r w:rsidRPr="00EA224A">
        <w:rPr>
          <w:rFonts w:ascii="Times New Roman" w:hAnsi="Times New Roman" w:cs="Times New Roman"/>
          <w:b/>
        </w:rPr>
        <w:t>BEFORE THE</w:t>
      </w:r>
    </w:p>
    <w:p w:rsidR="007B5858" w:rsidRPr="00EA224A" w:rsidRDefault="007B5858" w:rsidP="00047866">
      <w:pPr>
        <w:tabs>
          <w:tab w:val="center" w:pos="4680"/>
        </w:tabs>
        <w:suppressAutoHyphens/>
        <w:contextualSpacing/>
        <w:jc w:val="center"/>
        <w:rPr>
          <w:rFonts w:ascii="Times New Roman" w:hAnsi="Times New Roman" w:cs="Times New Roman"/>
          <w:b/>
          <w:bCs/>
          <w:spacing w:val="-3"/>
        </w:rPr>
      </w:pPr>
      <w:r w:rsidRPr="00EA224A">
        <w:rPr>
          <w:rFonts w:ascii="Times New Roman" w:hAnsi="Times New Roman" w:cs="Times New Roman"/>
          <w:b/>
          <w:bCs/>
          <w:spacing w:val="-3"/>
        </w:rPr>
        <w:t>PENNSYLVANIA PUBLIC UTILITY COMMISSION</w:t>
      </w:r>
    </w:p>
    <w:p w:rsidR="007B5858" w:rsidRPr="00EA224A" w:rsidRDefault="007B5858" w:rsidP="00047866">
      <w:pPr>
        <w:tabs>
          <w:tab w:val="left" w:pos="-720"/>
        </w:tabs>
        <w:suppressAutoHyphens/>
        <w:ind w:firstLine="1440"/>
        <w:contextualSpacing/>
        <w:rPr>
          <w:rFonts w:ascii="Times New Roman" w:hAnsi="Times New Roman" w:cs="Times New Roman"/>
          <w:spacing w:val="-3"/>
        </w:rPr>
      </w:pPr>
    </w:p>
    <w:p w:rsidR="007B5858" w:rsidRPr="00EA224A" w:rsidRDefault="007B5858" w:rsidP="00047866">
      <w:pPr>
        <w:tabs>
          <w:tab w:val="left" w:pos="-720"/>
        </w:tabs>
        <w:suppressAutoHyphens/>
        <w:ind w:firstLine="1440"/>
        <w:contextualSpacing/>
        <w:rPr>
          <w:rFonts w:ascii="Times New Roman" w:hAnsi="Times New Roman" w:cs="Times New Roman"/>
          <w:spacing w:val="-3"/>
        </w:rPr>
      </w:pPr>
    </w:p>
    <w:p w:rsidR="00C02959" w:rsidRPr="00EA224A" w:rsidRDefault="00C02959" w:rsidP="00047866">
      <w:pPr>
        <w:tabs>
          <w:tab w:val="left" w:pos="-720"/>
        </w:tabs>
        <w:suppressAutoHyphens/>
        <w:ind w:firstLine="1440"/>
        <w:contextualSpacing/>
        <w:rPr>
          <w:rFonts w:ascii="Times New Roman" w:hAnsi="Times New Roman" w:cs="Times New Roman"/>
          <w:spacing w:val="-3"/>
        </w:rPr>
      </w:pP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Pennsylvania Public Utility Commission</w:t>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fillin "Complainant's Name" \d ""</w:instrText>
      </w:r>
      <w:r w:rsidRPr="00EA224A">
        <w:rPr>
          <w:rFonts w:ascii="Times New Roman" w:eastAsia="Calibri" w:hAnsi="Times New Roman" w:cs="Times New Roman"/>
        </w:rPr>
        <w:fldChar w:fldCharType="end"/>
      </w: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 xml:space="preserve">: </w:t>
      </w:r>
    </w:p>
    <w:p w:rsidR="00D73B3B" w:rsidRPr="00EA224A" w:rsidRDefault="00D73B3B" w:rsidP="00F06452">
      <w:pPr>
        <w:autoSpaceDE/>
        <w:autoSpaceDN/>
        <w:ind w:firstLine="720"/>
        <w:contextualSpacing/>
        <w:jc w:val="both"/>
        <w:rPr>
          <w:rFonts w:ascii="Times New Roman" w:eastAsia="Calibri" w:hAnsi="Times New Roman" w:cs="Times New Roman"/>
        </w:rPr>
      </w:pPr>
      <w:r w:rsidRPr="00EA224A">
        <w:rPr>
          <w:rFonts w:ascii="Times New Roman" w:eastAsia="Calibri" w:hAnsi="Times New Roman" w:cs="Times New Roman"/>
        </w:rPr>
        <w:t>v.</w:t>
      </w:r>
      <w:r w:rsidRPr="00EA224A">
        <w:rPr>
          <w:rFonts w:ascii="Times New Roman" w:eastAsia="Calibri" w:hAnsi="Times New Roman" w:cs="Times New Roman"/>
        </w:rPr>
        <w:tab/>
      </w:r>
      <w:r w:rsidRPr="00EA224A">
        <w:rPr>
          <w:rFonts w:ascii="Times New Roman" w:eastAsia="Calibri" w:hAnsi="Times New Roman" w:cs="Times New Roman"/>
        </w:rPr>
        <w:tab/>
      </w:r>
      <w:r w:rsidR="00EA224A">
        <w:rPr>
          <w:rFonts w:ascii="Times New Roman" w:eastAsia="Calibri" w:hAnsi="Times New Roman" w:cs="Times New Roman"/>
        </w:rPr>
        <w:tab/>
      </w:r>
      <w:r w:rsidR="00F06452">
        <w:rPr>
          <w:rFonts w:ascii="Times New Roman" w:eastAsia="Calibri" w:hAnsi="Times New Roman" w:cs="Times New Roman"/>
        </w:rPr>
        <w:tab/>
      </w:r>
      <w:r w:rsidR="00F06452">
        <w:rPr>
          <w:rFonts w:ascii="Times New Roman" w:eastAsia="Calibri" w:hAnsi="Times New Roman" w:cs="Times New Roman"/>
        </w:rPr>
        <w:tab/>
      </w:r>
      <w:r w:rsidR="00F06452">
        <w:rPr>
          <w:rFonts w:ascii="Times New Roman" w:eastAsia="Calibri" w:hAnsi="Times New Roman" w:cs="Times New Roman"/>
        </w:rPr>
        <w:tab/>
      </w:r>
      <w:r w:rsidRPr="00EA224A">
        <w:rPr>
          <w:rFonts w:ascii="Times New Roman" w:eastAsia="Calibri" w:hAnsi="Times New Roman" w:cs="Times New Roman"/>
        </w:rPr>
        <w:t>:</w:t>
      </w:r>
      <w:r w:rsidRPr="00EA224A">
        <w:rPr>
          <w:rFonts w:ascii="Times New Roman" w:eastAsia="Calibri" w:hAnsi="Times New Roman" w:cs="Times New Roman"/>
        </w:rPr>
        <w:tab/>
      </w:r>
      <w:r w:rsidRPr="00EA224A">
        <w:rPr>
          <w:rFonts w:ascii="Times New Roman" w:eastAsia="Calibri" w:hAnsi="Times New Roman" w:cs="Times New Roman"/>
        </w:rPr>
        <w:tab/>
        <w:t>R-2013-2360798</w:t>
      </w: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t xml:space="preserve">  </w:t>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w:t>
      </w:r>
    </w:p>
    <w:p w:rsidR="00D73B3B" w:rsidRPr="00EA224A" w:rsidRDefault="00D73B3B" w:rsidP="00047866">
      <w:pPr>
        <w:tabs>
          <w:tab w:val="left" w:pos="1080"/>
          <w:tab w:val="left" w:pos="2610"/>
          <w:tab w:val="left" w:pos="4680"/>
        </w:tabs>
        <w:autoSpaceDE/>
        <w:autoSpaceDN/>
        <w:contextualSpacing/>
        <w:jc w:val="both"/>
        <w:rPr>
          <w:rFonts w:ascii="Times New Roman" w:eastAsia="Calibri" w:hAnsi="Times New Roman" w:cs="Times New Roman"/>
        </w:rPr>
      </w:pPr>
      <w:r w:rsidRPr="00EA224A">
        <w:rPr>
          <w:rFonts w:ascii="Times New Roman" w:eastAsia="Calibri" w:hAnsi="Times New Roman" w:cs="Times New Roman"/>
        </w:rPr>
        <w:t>The Columbia Water Company</w:t>
      </w:r>
      <w:r w:rsidRPr="00EA224A">
        <w:rPr>
          <w:rFonts w:ascii="Times New Roman" w:eastAsia="Calibri" w:hAnsi="Times New Roman" w:cs="Times New Roman"/>
        </w:rPr>
        <w:tab/>
      </w:r>
      <w:r w:rsidR="00EA224A">
        <w:rPr>
          <w:rFonts w:ascii="Times New Roman" w:eastAsia="Calibri" w:hAnsi="Times New Roman" w:cs="Times New Roman"/>
        </w:rPr>
        <w:tab/>
      </w:r>
      <w:r w:rsidRPr="00EA224A">
        <w:rPr>
          <w:rFonts w:ascii="Times New Roman" w:eastAsia="Calibri" w:hAnsi="Times New Roman" w:cs="Times New Roman"/>
        </w:rPr>
        <w:t>:</w:t>
      </w:r>
    </w:p>
    <w:p w:rsidR="00561D8A"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The Office of Consumer Advocate</w:t>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rPr>
        <w:tab/>
        <w:t>C-2013-2363612</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t>v.</w:t>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The Columbia Water Company</w:t>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The Office of Small Business Advocate</w:t>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F06452">
      <w:pPr>
        <w:ind w:firstLine="720"/>
        <w:contextualSpacing/>
        <w:rPr>
          <w:rFonts w:ascii="Times New Roman" w:hAnsi="Times New Roman" w:cs="Times New Roman"/>
        </w:rPr>
      </w:pPr>
      <w:r w:rsidRPr="00EA224A">
        <w:rPr>
          <w:rFonts w:ascii="Times New Roman" w:hAnsi="Times New Roman" w:cs="Times New Roman"/>
        </w:rPr>
        <w:t>v.</w:t>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rPr>
        <w:tab/>
        <w:t>C-2013-2363728</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The Columbia Water Company</w:t>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Vincent E. Collier</w:t>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F06452">
      <w:pPr>
        <w:ind w:firstLine="720"/>
        <w:contextualSpacing/>
        <w:rPr>
          <w:rFonts w:ascii="Times New Roman" w:hAnsi="Times New Roman" w:cs="Times New Roman"/>
        </w:rPr>
      </w:pPr>
      <w:r w:rsidRPr="00EA224A">
        <w:rPr>
          <w:rFonts w:ascii="Times New Roman" w:hAnsi="Times New Roman" w:cs="Times New Roman"/>
        </w:rPr>
        <w:t>v.</w:t>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r w:rsidR="00BB01D8" w:rsidRPr="00EA224A">
        <w:rPr>
          <w:rFonts w:ascii="Times New Roman" w:hAnsi="Times New Roman" w:cs="Times New Roman"/>
        </w:rPr>
        <w:tab/>
      </w:r>
      <w:r w:rsidR="00BB01D8" w:rsidRPr="00EA224A">
        <w:rPr>
          <w:rFonts w:ascii="Times New Roman" w:hAnsi="Times New Roman" w:cs="Times New Roman"/>
        </w:rPr>
        <w:tab/>
        <w:t>C-2013-2364726</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t>:</w:t>
      </w:r>
    </w:p>
    <w:p w:rsidR="00E178CF" w:rsidRPr="00EA224A" w:rsidRDefault="00E178CF" w:rsidP="00047866">
      <w:pPr>
        <w:contextualSpacing/>
        <w:rPr>
          <w:rFonts w:ascii="Times New Roman" w:hAnsi="Times New Roman" w:cs="Times New Roman"/>
        </w:rPr>
      </w:pPr>
      <w:r w:rsidRPr="00EA224A">
        <w:rPr>
          <w:rFonts w:ascii="Times New Roman" w:hAnsi="Times New Roman" w:cs="Times New Roman"/>
        </w:rPr>
        <w:t>The Columbia Water Company</w:t>
      </w:r>
      <w:r w:rsidRPr="00EA224A">
        <w:rPr>
          <w:rFonts w:ascii="Times New Roman" w:hAnsi="Times New Roman" w:cs="Times New Roman"/>
        </w:rPr>
        <w:tab/>
      </w:r>
      <w:r w:rsidRPr="00EA224A">
        <w:rPr>
          <w:rFonts w:ascii="Times New Roman" w:hAnsi="Times New Roman" w:cs="Times New Roman"/>
        </w:rPr>
        <w:tab/>
      </w:r>
      <w:r w:rsidR="00EA224A">
        <w:rPr>
          <w:rFonts w:ascii="Times New Roman" w:hAnsi="Times New Roman" w:cs="Times New Roman"/>
        </w:rPr>
        <w:tab/>
      </w:r>
      <w:r w:rsidRPr="00EA224A">
        <w:rPr>
          <w:rFonts w:ascii="Times New Roman" w:hAnsi="Times New Roman" w:cs="Times New Roman"/>
        </w:rPr>
        <w:t>:</w:t>
      </w:r>
    </w:p>
    <w:p w:rsidR="00E178CF" w:rsidRPr="00EA224A" w:rsidRDefault="00E178CF" w:rsidP="00047866">
      <w:pPr>
        <w:contextualSpacing/>
        <w:rPr>
          <w:rFonts w:ascii="Times New Roman" w:hAnsi="Times New Roman" w:cs="Times New Roman"/>
        </w:rPr>
      </w:pPr>
    </w:p>
    <w:p w:rsidR="00561D8A" w:rsidRPr="00EA224A" w:rsidRDefault="00561D8A" w:rsidP="00047866">
      <w:pPr>
        <w:contextualSpacing/>
        <w:rPr>
          <w:rFonts w:ascii="Times New Roman" w:hAnsi="Times New Roman" w:cs="Times New Roman"/>
        </w:rPr>
      </w:pPr>
    </w:p>
    <w:p w:rsidR="00AC06AF" w:rsidRPr="00EA224A" w:rsidRDefault="00AC06AF" w:rsidP="00047866">
      <w:pPr>
        <w:contextualSpacing/>
        <w:rPr>
          <w:rFonts w:ascii="Times New Roman" w:hAnsi="Times New Roman" w:cs="Times New Roman"/>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r w:rsidRPr="00EA224A">
        <w:rPr>
          <w:rFonts w:ascii="Times New Roman" w:hAnsi="Times New Roman" w:cs="Times New Roman"/>
          <w:b/>
          <w:bCs/>
          <w:spacing w:val="-3"/>
          <w:u w:val="single"/>
        </w:rPr>
        <w:t>RECOMMENDED DECISION</w:t>
      </w: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
          <w:bCs/>
          <w:spacing w:val="-3"/>
          <w:u w:val="single"/>
        </w:rPr>
      </w:pPr>
    </w:p>
    <w:p w:rsidR="00AC06AF" w:rsidRPr="00EA224A" w:rsidRDefault="00AC06AF" w:rsidP="00047866">
      <w:pPr>
        <w:tabs>
          <w:tab w:val="center" w:pos="4680"/>
        </w:tabs>
        <w:suppressAutoHyphens/>
        <w:autoSpaceDE/>
        <w:autoSpaceDN/>
        <w:contextualSpacing/>
        <w:jc w:val="center"/>
        <w:rPr>
          <w:rFonts w:ascii="Times New Roman" w:hAnsi="Times New Roman" w:cs="Times New Roman"/>
          <w:bCs/>
          <w:spacing w:val="-3"/>
        </w:rPr>
      </w:pPr>
      <w:r w:rsidRPr="00EA224A">
        <w:rPr>
          <w:rFonts w:ascii="Times New Roman" w:hAnsi="Times New Roman" w:cs="Times New Roman"/>
          <w:bCs/>
          <w:spacing w:val="-3"/>
        </w:rPr>
        <w:t>Before</w:t>
      </w:r>
    </w:p>
    <w:p w:rsidR="00AC06AF" w:rsidRPr="00EA224A" w:rsidRDefault="00AC06AF" w:rsidP="00047866">
      <w:pPr>
        <w:tabs>
          <w:tab w:val="center" w:pos="4680"/>
        </w:tabs>
        <w:suppressAutoHyphens/>
        <w:autoSpaceDE/>
        <w:autoSpaceDN/>
        <w:contextualSpacing/>
        <w:jc w:val="center"/>
        <w:rPr>
          <w:rFonts w:ascii="Times New Roman" w:hAnsi="Times New Roman" w:cs="Times New Roman"/>
          <w:bCs/>
          <w:spacing w:val="-3"/>
        </w:rPr>
      </w:pPr>
      <w:r w:rsidRPr="00EA224A">
        <w:rPr>
          <w:rFonts w:ascii="Times New Roman" w:hAnsi="Times New Roman" w:cs="Times New Roman"/>
          <w:bCs/>
          <w:spacing w:val="-3"/>
        </w:rPr>
        <w:t>Dennis J. Buckley</w:t>
      </w:r>
    </w:p>
    <w:p w:rsidR="00AC06AF" w:rsidRPr="00EA224A" w:rsidRDefault="00AC06AF" w:rsidP="00047866">
      <w:pPr>
        <w:tabs>
          <w:tab w:val="center" w:pos="4680"/>
        </w:tabs>
        <w:suppressAutoHyphens/>
        <w:autoSpaceDE/>
        <w:autoSpaceDN/>
        <w:spacing w:line="360" w:lineRule="auto"/>
        <w:contextualSpacing/>
        <w:jc w:val="center"/>
        <w:rPr>
          <w:rFonts w:ascii="Times New Roman" w:hAnsi="Times New Roman" w:cs="Times New Roman"/>
          <w:bCs/>
          <w:spacing w:val="-3"/>
        </w:rPr>
      </w:pPr>
      <w:r w:rsidRPr="00EA224A">
        <w:rPr>
          <w:rFonts w:ascii="Times New Roman" w:hAnsi="Times New Roman" w:cs="Times New Roman"/>
          <w:bCs/>
          <w:spacing w:val="-3"/>
        </w:rPr>
        <w:t>Administrative Law Judge</w:t>
      </w:r>
    </w:p>
    <w:p w:rsidR="00F80883" w:rsidRPr="00EA224A" w:rsidRDefault="00F80883" w:rsidP="00047866">
      <w:pPr>
        <w:spacing w:line="360" w:lineRule="auto"/>
        <w:contextualSpacing/>
        <w:rPr>
          <w:rFonts w:ascii="Times New Roman" w:hAnsi="Times New Roman" w:cs="Times New Roman"/>
        </w:rPr>
      </w:pPr>
    </w:p>
    <w:p w:rsidR="00F06452" w:rsidRDefault="00F06452" w:rsidP="00047866">
      <w:pPr>
        <w:spacing w:line="360" w:lineRule="auto"/>
        <w:contextualSpacing/>
        <w:jc w:val="center"/>
        <w:rPr>
          <w:rFonts w:ascii="Times New Roman" w:hAnsi="Times New Roman" w:cs="Times New Roman"/>
        </w:rPr>
        <w:sectPr w:rsidR="00F06452" w:rsidSect="00047866">
          <w:footerReference w:type="even" r:id="rId9"/>
          <w:footerReference w:type="default" r:id="rId10"/>
          <w:pgSz w:w="12240" w:h="15840" w:code="1"/>
          <w:pgMar w:top="1296" w:right="1296" w:bottom="1296" w:left="1296" w:header="720" w:footer="720" w:gutter="0"/>
          <w:cols w:space="720"/>
          <w:noEndnote/>
          <w:titlePg/>
          <w:docGrid w:linePitch="326"/>
        </w:sectPr>
      </w:pPr>
    </w:p>
    <w:p w:rsidR="00EA224A" w:rsidRDefault="00F06452" w:rsidP="00047866">
      <w:pPr>
        <w:spacing w:line="360" w:lineRule="auto"/>
        <w:contextualSpacing/>
        <w:jc w:val="center"/>
        <w:rPr>
          <w:rFonts w:ascii="Times New Roman" w:hAnsi="Times New Roman" w:cs="Times New Roman"/>
        </w:rPr>
      </w:pPr>
      <w:r>
        <w:rPr>
          <w:rFonts w:ascii="Times New Roman" w:hAnsi="Times New Roman" w:cs="Times New Roman"/>
        </w:rPr>
        <w:lastRenderedPageBreak/>
        <w:t>TABLE OF CONTENTS</w:t>
      </w:r>
    </w:p>
    <w:p w:rsidR="00F06452" w:rsidRDefault="00F06452" w:rsidP="00047866">
      <w:pPr>
        <w:spacing w:line="360" w:lineRule="auto"/>
        <w:contextualSpacing/>
        <w:jc w:val="center"/>
        <w:rPr>
          <w:rFonts w:ascii="Times New Roman" w:hAnsi="Times New Roman" w:cs="Times New Roman"/>
        </w:rPr>
      </w:pPr>
    </w:p>
    <w:p w:rsidR="000E74AA" w:rsidRDefault="000E74AA" w:rsidP="00C6545A">
      <w:pPr>
        <w:pStyle w:val="TOC1"/>
        <w:rPr>
          <w:noProof/>
        </w:rPr>
      </w:pPr>
      <w:r>
        <w:rPr>
          <w:rFonts w:ascii="Times New Roman" w:hAnsi="Times New Roman" w:cs="Times New Roman"/>
        </w:rPr>
        <w:fldChar w:fldCharType="begin"/>
      </w:r>
      <w:r>
        <w:rPr>
          <w:rFonts w:ascii="Times New Roman" w:hAnsi="Times New Roman" w:cs="Times New Roman"/>
        </w:rPr>
        <w:instrText xml:space="preserve"> TOC \f \h \z </w:instrText>
      </w:r>
      <w:r>
        <w:rPr>
          <w:rFonts w:ascii="Times New Roman" w:hAnsi="Times New Roman" w:cs="Times New Roman"/>
        </w:rPr>
        <w:fldChar w:fldCharType="separate"/>
      </w:r>
      <w:hyperlink w:anchor="_Toc372704677" w:history="1">
        <w:r w:rsidRPr="000650E1">
          <w:rPr>
            <w:rStyle w:val="Hyperlink"/>
            <w:rFonts w:ascii="Times New Roman" w:hAnsi="Times New Roman" w:cs="Times New Roman"/>
            <w:noProof/>
          </w:rPr>
          <w:t>I.</w:t>
        </w:r>
        <w:r>
          <w:rPr>
            <w:noProof/>
          </w:rPr>
          <w:tab/>
        </w:r>
        <w:r w:rsidRPr="000650E1">
          <w:rPr>
            <w:rStyle w:val="Hyperlink"/>
            <w:rFonts w:ascii="Times New Roman" w:hAnsi="Times New Roman" w:cs="Times New Roman"/>
            <w:noProof/>
          </w:rPr>
          <w:t>INTRODUCTION</w:t>
        </w:r>
        <w:r>
          <w:rPr>
            <w:noProof/>
            <w:webHidden/>
          </w:rPr>
          <w:tab/>
        </w:r>
        <w:r>
          <w:rPr>
            <w:noProof/>
            <w:webHidden/>
          </w:rPr>
          <w:fldChar w:fldCharType="begin"/>
        </w:r>
        <w:r>
          <w:rPr>
            <w:noProof/>
            <w:webHidden/>
          </w:rPr>
          <w:instrText xml:space="preserve"> PAGEREF _Toc372704677 \h </w:instrText>
        </w:r>
        <w:r>
          <w:rPr>
            <w:noProof/>
            <w:webHidden/>
          </w:rPr>
        </w:r>
        <w:r>
          <w:rPr>
            <w:noProof/>
            <w:webHidden/>
          </w:rPr>
          <w:fldChar w:fldCharType="separate"/>
        </w:r>
        <w:r w:rsidR="00E30674">
          <w:rPr>
            <w:noProof/>
            <w:webHidden/>
          </w:rPr>
          <w:t>1</w:t>
        </w:r>
        <w:r>
          <w:rPr>
            <w:noProof/>
            <w:webHidden/>
          </w:rPr>
          <w:fldChar w:fldCharType="end"/>
        </w:r>
      </w:hyperlink>
    </w:p>
    <w:p w:rsidR="000E74AA" w:rsidRDefault="00B05C89" w:rsidP="00C6545A">
      <w:pPr>
        <w:pStyle w:val="TOC1"/>
        <w:rPr>
          <w:noProof/>
        </w:rPr>
      </w:pPr>
      <w:hyperlink w:anchor="_Toc372704678" w:history="1">
        <w:r w:rsidR="000E74AA" w:rsidRPr="000650E1">
          <w:rPr>
            <w:rStyle w:val="Hyperlink"/>
            <w:rFonts w:ascii="Times New Roman" w:hAnsi="Times New Roman" w:cs="Times New Roman"/>
            <w:noProof/>
          </w:rPr>
          <w:t>II.</w:t>
        </w:r>
        <w:r w:rsidR="000E74AA">
          <w:rPr>
            <w:noProof/>
          </w:rPr>
          <w:tab/>
        </w:r>
        <w:r w:rsidR="000E74AA" w:rsidRPr="000650E1">
          <w:rPr>
            <w:rStyle w:val="Hyperlink"/>
            <w:rFonts w:ascii="Times New Roman" w:hAnsi="Times New Roman" w:cs="Times New Roman"/>
            <w:noProof/>
          </w:rPr>
          <w:t>HISTORY</w:t>
        </w:r>
        <w:r w:rsidR="000E74AA">
          <w:rPr>
            <w:noProof/>
            <w:webHidden/>
          </w:rPr>
          <w:tab/>
        </w:r>
        <w:r w:rsidR="000E74AA">
          <w:rPr>
            <w:noProof/>
            <w:webHidden/>
          </w:rPr>
          <w:fldChar w:fldCharType="begin"/>
        </w:r>
        <w:r w:rsidR="000E74AA">
          <w:rPr>
            <w:noProof/>
            <w:webHidden/>
          </w:rPr>
          <w:instrText xml:space="preserve"> PAGEREF _Toc372704678 \h </w:instrText>
        </w:r>
        <w:r w:rsidR="000E74AA">
          <w:rPr>
            <w:noProof/>
            <w:webHidden/>
          </w:rPr>
        </w:r>
        <w:r w:rsidR="000E74AA">
          <w:rPr>
            <w:noProof/>
            <w:webHidden/>
          </w:rPr>
          <w:fldChar w:fldCharType="separate"/>
        </w:r>
        <w:r w:rsidR="00E30674">
          <w:rPr>
            <w:noProof/>
            <w:webHidden/>
          </w:rPr>
          <w:t>1</w:t>
        </w:r>
        <w:r w:rsidR="000E74AA">
          <w:rPr>
            <w:noProof/>
            <w:webHidden/>
          </w:rPr>
          <w:fldChar w:fldCharType="end"/>
        </w:r>
      </w:hyperlink>
    </w:p>
    <w:p w:rsidR="000E74AA" w:rsidRDefault="00B05C89" w:rsidP="00C6545A">
      <w:pPr>
        <w:pStyle w:val="TOC1"/>
        <w:rPr>
          <w:noProof/>
        </w:rPr>
      </w:pPr>
      <w:hyperlink w:anchor="_Toc372704679" w:history="1">
        <w:r w:rsidR="000E74AA" w:rsidRPr="000650E1">
          <w:rPr>
            <w:rStyle w:val="Hyperlink"/>
            <w:rFonts w:ascii="Times New Roman" w:hAnsi="Times New Roman" w:cs="Times New Roman"/>
            <w:noProof/>
          </w:rPr>
          <w:t>III.</w:t>
        </w:r>
        <w:r w:rsidR="000E74AA">
          <w:rPr>
            <w:noProof/>
          </w:rPr>
          <w:tab/>
        </w:r>
        <w:r w:rsidR="000E74AA" w:rsidRPr="000650E1">
          <w:rPr>
            <w:rStyle w:val="Hyperlink"/>
            <w:rFonts w:ascii="Times New Roman" w:hAnsi="Times New Roman" w:cs="Times New Roman"/>
            <w:noProof/>
          </w:rPr>
          <w:t>FINDINGS OF FACT</w:t>
        </w:r>
        <w:r w:rsidR="000E74AA">
          <w:rPr>
            <w:noProof/>
            <w:webHidden/>
          </w:rPr>
          <w:tab/>
        </w:r>
        <w:r w:rsidR="000E74AA">
          <w:rPr>
            <w:noProof/>
            <w:webHidden/>
          </w:rPr>
          <w:fldChar w:fldCharType="begin"/>
        </w:r>
        <w:r w:rsidR="000E74AA">
          <w:rPr>
            <w:noProof/>
            <w:webHidden/>
          </w:rPr>
          <w:instrText xml:space="preserve"> PAGEREF _Toc372704679 \h </w:instrText>
        </w:r>
        <w:r w:rsidR="000E74AA">
          <w:rPr>
            <w:noProof/>
            <w:webHidden/>
          </w:rPr>
        </w:r>
        <w:r w:rsidR="000E74AA">
          <w:rPr>
            <w:noProof/>
            <w:webHidden/>
          </w:rPr>
          <w:fldChar w:fldCharType="separate"/>
        </w:r>
        <w:r w:rsidR="00E30674">
          <w:rPr>
            <w:noProof/>
            <w:webHidden/>
          </w:rPr>
          <w:t>4</w:t>
        </w:r>
        <w:r w:rsidR="000E74AA">
          <w:rPr>
            <w:noProof/>
            <w:webHidden/>
          </w:rPr>
          <w:fldChar w:fldCharType="end"/>
        </w:r>
      </w:hyperlink>
    </w:p>
    <w:p w:rsidR="000E74AA" w:rsidRDefault="00B05C89" w:rsidP="00C6545A">
      <w:pPr>
        <w:pStyle w:val="TOC1"/>
        <w:rPr>
          <w:noProof/>
        </w:rPr>
      </w:pPr>
      <w:hyperlink w:anchor="_Toc372704680" w:history="1">
        <w:r w:rsidR="000E74AA" w:rsidRPr="000650E1">
          <w:rPr>
            <w:rStyle w:val="Hyperlink"/>
            <w:rFonts w:ascii="Times New Roman" w:hAnsi="Times New Roman" w:cs="Times New Roman"/>
            <w:noProof/>
          </w:rPr>
          <w:t>IV.</w:t>
        </w:r>
        <w:r w:rsidR="000E74AA">
          <w:rPr>
            <w:noProof/>
          </w:rPr>
          <w:tab/>
        </w:r>
        <w:r w:rsidR="000E74AA" w:rsidRPr="000650E1">
          <w:rPr>
            <w:rStyle w:val="Hyperlink"/>
            <w:rFonts w:ascii="Times New Roman" w:hAnsi="Times New Roman" w:cs="Times New Roman"/>
            <w:noProof/>
          </w:rPr>
          <w:t>PUBLIC INPUT TESTIMONY</w:t>
        </w:r>
        <w:r w:rsidR="000E74AA">
          <w:rPr>
            <w:noProof/>
            <w:webHidden/>
          </w:rPr>
          <w:tab/>
        </w:r>
        <w:r w:rsidR="000E74AA">
          <w:rPr>
            <w:noProof/>
            <w:webHidden/>
          </w:rPr>
          <w:fldChar w:fldCharType="begin"/>
        </w:r>
        <w:r w:rsidR="000E74AA">
          <w:rPr>
            <w:noProof/>
            <w:webHidden/>
          </w:rPr>
          <w:instrText xml:space="preserve"> PAGEREF _Toc372704680 \h </w:instrText>
        </w:r>
        <w:r w:rsidR="000E74AA">
          <w:rPr>
            <w:noProof/>
            <w:webHidden/>
          </w:rPr>
        </w:r>
        <w:r w:rsidR="000E74AA">
          <w:rPr>
            <w:noProof/>
            <w:webHidden/>
          </w:rPr>
          <w:fldChar w:fldCharType="separate"/>
        </w:r>
        <w:r w:rsidR="00E30674">
          <w:rPr>
            <w:noProof/>
            <w:webHidden/>
          </w:rPr>
          <w:t>11</w:t>
        </w:r>
        <w:r w:rsidR="000E74AA">
          <w:rPr>
            <w:noProof/>
            <w:webHidden/>
          </w:rPr>
          <w:fldChar w:fldCharType="end"/>
        </w:r>
      </w:hyperlink>
    </w:p>
    <w:p w:rsidR="000E74AA" w:rsidRDefault="00B05C89" w:rsidP="00C6545A">
      <w:pPr>
        <w:pStyle w:val="TOC1"/>
        <w:rPr>
          <w:noProof/>
        </w:rPr>
      </w:pPr>
      <w:hyperlink w:anchor="_Toc372704681" w:history="1">
        <w:r w:rsidR="000E74AA" w:rsidRPr="000650E1">
          <w:rPr>
            <w:rStyle w:val="Hyperlink"/>
            <w:rFonts w:ascii="Times New Roman" w:hAnsi="Times New Roman" w:cs="Times New Roman"/>
            <w:noProof/>
          </w:rPr>
          <w:t>V.</w:t>
        </w:r>
        <w:r w:rsidR="000E74AA">
          <w:rPr>
            <w:noProof/>
          </w:rPr>
          <w:tab/>
        </w:r>
        <w:r w:rsidR="000E74AA" w:rsidRPr="000650E1">
          <w:rPr>
            <w:rStyle w:val="Hyperlink"/>
            <w:rFonts w:ascii="Times New Roman" w:hAnsi="Times New Roman" w:cs="Times New Roman"/>
            <w:noProof/>
          </w:rPr>
          <w:t>DISCUSSION</w:t>
        </w:r>
        <w:r w:rsidR="000E74AA">
          <w:rPr>
            <w:noProof/>
            <w:webHidden/>
          </w:rPr>
          <w:tab/>
        </w:r>
        <w:r w:rsidR="000E74AA">
          <w:rPr>
            <w:noProof/>
            <w:webHidden/>
          </w:rPr>
          <w:fldChar w:fldCharType="begin"/>
        </w:r>
        <w:r w:rsidR="000E74AA">
          <w:rPr>
            <w:noProof/>
            <w:webHidden/>
          </w:rPr>
          <w:instrText xml:space="preserve"> PAGEREF _Toc372704681 \h </w:instrText>
        </w:r>
        <w:r w:rsidR="000E74AA">
          <w:rPr>
            <w:noProof/>
            <w:webHidden/>
          </w:rPr>
        </w:r>
        <w:r w:rsidR="000E74AA">
          <w:rPr>
            <w:noProof/>
            <w:webHidden/>
          </w:rPr>
          <w:fldChar w:fldCharType="separate"/>
        </w:r>
        <w:r w:rsidR="00E30674">
          <w:rPr>
            <w:noProof/>
            <w:webHidden/>
          </w:rPr>
          <w:t>14</w:t>
        </w:r>
        <w:r w:rsidR="000E74AA">
          <w:rPr>
            <w:noProof/>
            <w:webHidden/>
          </w:rPr>
          <w:fldChar w:fldCharType="end"/>
        </w:r>
      </w:hyperlink>
    </w:p>
    <w:p w:rsidR="000E74AA" w:rsidRDefault="00B05C89" w:rsidP="00C6545A">
      <w:pPr>
        <w:pStyle w:val="TOC2"/>
        <w:rPr>
          <w:noProof/>
        </w:rPr>
      </w:pPr>
      <w:hyperlink w:anchor="_Toc372704682" w:history="1">
        <w:r w:rsidR="000E74AA" w:rsidRPr="000650E1">
          <w:rPr>
            <w:rStyle w:val="Hyperlink"/>
            <w:rFonts w:ascii="Times New Roman" w:hAnsi="Times New Roman" w:cs="Times New Roman"/>
            <w:noProof/>
          </w:rPr>
          <w:t>A.</w:t>
        </w:r>
        <w:r w:rsidR="000E74AA">
          <w:rPr>
            <w:noProof/>
          </w:rPr>
          <w:tab/>
        </w:r>
        <w:r w:rsidR="000E74AA" w:rsidRPr="000650E1">
          <w:rPr>
            <w:rStyle w:val="Hyperlink"/>
            <w:rFonts w:ascii="Times New Roman" w:hAnsi="Times New Roman" w:cs="Times New Roman"/>
            <w:noProof/>
          </w:rPr>
          <w:t>The Public Input Hearing of September 3, 2013</w:t>
        </w:r>
        <w:r w:rsidR="000E74AA">
          <w:rPr>
            <w:noProof/>
            <w:webHidden/>
          </w:rPr>
          <w:tab/>
        </w:r>
        <w:r w:rsidR="000E74AA">
          <w:rPr>
            <w:noProof/>
            <w:webHidden/>
          </w:rPr>
          <w:fldChar w:fldCharType="begin"/>
        </w:r>
        <w:r w:rsidR="000E74AA">
          <w:rPr>
            <w:noProof/>
            <w:webHidden/>
          </w:rPr>
          <w:instrText xml:space="preserve"> PAGEREF _Toc372704682 \h </w:instrText>
        </w:r>
        <w:r w:rsidR="000E74AA">
          <w:rPr>
            <w:noProof/>
            <w:webHidden/>
          </w:rPr>
        </w:r>
        <w:r w:rsidR="000E74AA">
          <w:rPr>
            <w:noProof/>
            <w:webHidden/>
          </w:rPr>
          <w:fldChar w:fldCharType="separate"/>
        </w:r>
        <w:r w:rsidR="00E30674">
          <w:rPr>
            <w:noProof/>
            <w:webHidden/>
          </w:rPr>
          <w:t>16</w:t>
        </w:r>
        <w:r w:rsidR="000E74AA">
          <w:rPr>
            <w:noProof/>
            <w:webHidden/>
          </w:rPr>
          <w:fldChar w:fldCharType="end"/>
        </w:r>
      </w:hyperlink>
    </w:p>
    <w:p w:rsidR="000E74AA" w:rsidRDefault="00B05C89" w:rsidP="00C6545A">
      <w:pPr>
        <w:pStyle w:val="TOC2"/>
        <w:rPr>
          <w:noProof/>
        </w:rPr>
      </w:pPr>
      <w:hyperlink w:anchor="_Toc372704683" w:history="1">
        <w:r w:rsidR="000E74AA" w:rsidRPr="000650E1">
          <w:rPr>
            <w:rStyle w:val="Hyperlink"/>
            <w:rFonts w:ascii="Times New Roman" w:hAnsi="Times New Roman" w:cs="Times New Roman"/>
            <w:noProof/>
          </w:rPr>
          <w:t>B.</w:t>
        </w:r>
        <w:r w:rsidR="000E74AA">
          <w:rPr>
            <w:noProof/>
          </w:rPr>
          <w:tab/>
        </w:r>
        <w:r w:rsidR="000E74AA" w:rsidRPr="000650E1">
          <w:rPr>
            <w:rStyle w:val="Hyperlink"/>
            <w:rFonts w:ascii="Times New Roman" w:hAnsi="Times New Roman" w:cs="Times New Roman"/>
            <w:noProof/>
          </w:rPr>
          <w:t>Recommendations of the OCA and I&amp;E</w:t>
        </w:r>
        <w:r w:rsidR="000E74AA">
          <w:rPr>
            <w:noProof/>
            <w:webHidden/>
          </w:rPr>
          <w:tab/>
        </w:r>
        <w:r w:rsidR="000E74AA">
          <w:rPr>
            <w:noProof/>
            <w:webHidden/>
          </w:rPr>
          <w:fldChar w:fldCharType="begin"/>
        </w:r>
        <w:r w:rsidR="000E74AA">
          <w:rPr>
            <w:noProof/>
            <w:webHidden/>
          </w:rPr>
          <w:instrText xml:space="preserve"> PAGEREF _Toc372704683 \h </w:instrText>
        </w:r>
        <w:r w:rsidR="000E74AA">
          <w:rPr>
            <w:noProof/>
            <w:webHidden/>
          </w:rPr>
        </w:r>
        <w:r w:rsidR="000E74AA">
          <w:rPr>
            <w:noProof/>
            <w:webHidden/>
          </w:rPr>
          <w:fldChar w:fldCharType="separate"/>
        </w:r>
        <w:r w:rsidR="00E30674">
          <w:rPr>
            <w:noProof/>
            <w:webHidden/>
          </w:rPr>
          <w:t>17</w:t>
        </w:r>
        <w:r w:rsidR="000E74AA">
          <w:rPr>
            <w:noProof/>
            <w:webHidden/>
          </w:rPr>
          <w:fldChar w:fldCharType="end"/>
        </w:r>
      </w:hyperlink>
    </w:p>
    <w:p w:rsidR="000E74AA" w:rsidRDefault="00B05C89" w:rsidP="00C6545A">
      <w:pPr>
        <w:pStyle w:val="TOC2"/>
        <w:rPr>
          <w:noProof/>
        </w:rPr>
      </w:pPr>
      <w:hyperlink w:anchor="_Toc372704684" w:history="1">
        <w:r w:rsidR="000E74AA" w:rsidRPr="000650E1">
          <w:rPr>
            <w:rStyle w:val="Hyperlink"/>
            <w:rFonts w:ascii="Times New Roman" w:hAnsi="Times New Roman" w:cs="Times New Roman"/>
            <w:noProof/>
          </w:rPr>
          <w:t>C.</w:t>
        </w:r>
        <w:r w:rsidR="000E74AA">
          <w:rPr>
            <w:noProof/>
          </w:rPr>
          <w:tab/>
        </w:r>
        <w:r w:rsidR="000E74AA" w:rsidRPr="000650E1">
          <w:rPr>
            <w:rStyle w:val="Hyperlink"/>
            <w:rFonts w:ascii="Times New Roman" w:hAnsi="Times New Roman" w:cs="Times New Roman"/>
            <w:noProof/>
          </w:rPr>
          <w:t>Cash Working Capital</w:t>
        </w:r>
        <w:r w:rsidR="000E74AA">
          <w:rPr>
            <w:noProof/>
            <w:webHidden/>
          </w:rPr>
          <w:tab/>
        </w:r>
        <w:r w:rsidR="000E74AA">
          <w:rPr>
            <w:noProof/>
            <w:webHidden/>
          </w:rPr>
          <w:fldChar w:fldCharType="begin"/>
        </w:r>
        <w:r w:rsidR="000E74AA">
          <w:rPr>
            <w:noProof/>
            <w:webHidden/>
          </w:rPr>
          <w:instrText xml:space="preserve"> PAGEREF _Toc372704684 \h </w:instrText>
        </w:r>
        <w:r w:rsidR="000E74AA">
          <w:rPr>
            <w:noProof/>
            <w:webHidden/>
          </w:rPr>
        </w:r>
        <w:r w:rsidR="000E74AA">
          <w:rPr>
            <w:noProof/>
            <w:webHidden/>
          </w:rPr>
          <w:fldChar w:fldCharType="separate"/>
        </w:r>
        <w:r w:rsidR="00E30674">
          <w:rPr>
            <w:noProof/>
            <w:webHidden/>
          </w:rPr>
          <w:t>19</w:t>
        </w:r>
        <w:r w:rsidR="000E74AA">
          <w:rPr>
            <w:noProof/>
            <w:webHidden/>
          </w:rPr>
          <w:fldChar w:fldCharType="end"/>
        </w:r>
      </w:hyperlink>
    </w:p>
    <w:p w:rsidR="000E74AA" w:rsidRDefault="00B05C89" w:rsidP="00C6545A">
      <w:pPr>
        <w:pStyle w:val="TOC2"/>
        <w:rPr>
          <w:noProof/>
        </w:rPr>
      </w:pPr>
      <w:hyperlink w:anchor="_Toc372704685" w:history="1">
        <w:r w:rsidR="000E74AA" w:rsidRPr="000650E1">
          <w:rPr>
            <w:rStyle w:val="Hyperlink"/>
            <w:rFonts w:ascii="Times New Roman" w:hAnsi="Times New Roman" w:cs="Times New Roman"/>
            <w:noProof/>
          </w:rPr>
          <w:t>D.</w:t>
        </w:r>
        <w:r w:rsidR="000E74AA">
          <w:rPr>
            <w:noProof/>
          </w:rPr>
          <w:tab/>
        </w:r>
        <w:r w:rsidR="000E74AA" w:rsidRPr="000650E1">
          <w:rPr>
            <w:rStyle w:val="Hyperlink"/>
            <w:rFonts w:ascii="Times New Roman" w:hAnsi="Times New Roman" w:cs="Times New Roman"/>
            <w:noProof/>
          </w:rPr>
          <w:t>Unresolved Issues</w:t>
        </w:r>
        <w:r w:rsidR="000E74AA">
          <w:rPr>
            <w:noProof/>
            <w:webHidden/>
          </w:rPr>
          <w:tab/>
        </w:r>
        <w:r w:rsidR="000E74AA">
          <w:rPr>
            <w:noProof/>
            <w:webHidden/>
          </w:rPr>
          <w:fldChar w:fldCharType="begin"/>
        </w:r>
        <w:r w:rsidR="000E74AA">
          <w:rPr>
            <w:noProof/>
            <w:webHidden/>
          </w:rPr>
          <w:instrText xml:space="preserve"> PAGEREF _Toc372704685 \h </w:instrText>
        </w:r>
        <w:r w:rsidR="000E74AA">
          <w:rPr>
            <w:noProof/>
            <w:webHidden/>
          </w:rPr>
        </w:r>
        <w:r w:rsidR="000E74AA">
          <w:rPr>
            <w:noProof/>
            <w:webHidden/>
          </w:rPr>
          <w:fldChar w:fldCharType="separate"/>
        </w:r>
        <w:r w:rsidR="00E30674">
          <w:rPr>
            <w:noProof/>
            <w:webHidden/>
          </w:rPr>
          <w:t>20</w:t>
        </w:r>
        <w:r w:rsidR="000E74AA">
          <w:rPr>
            <w:noProof/>
            <w:webHidden/>
          </w:rPr>
          <w:fldChar w:fldCharType="end"/>
        </w:r>
      </w:hyperlink>
    </w:p>
    <w:p w:rsidR="000E74AA" w:rsidRDefault="00B05C89" w:rsidP="00C6545A">
      <w:pPr>
        <w:pStyle w:val="TOC3"/>
        <w:rPr>
          <w:noProof/>
        </w:rPr>
      </w:pPr>
      <w:hyperlink w:anchor="_Toc372704686" w:history="1">
        <w:r w:rsidR="000E74AA" w:rsidRPr="000650E1">
          <w:rPr>
            <w:rStyle w:val="Hyperlink"/>
            <w:rFonts w:ascii="Times New Roman" w:hAnsi="Times New Roman" w:cs="Times New Roman"/>
            <w:noProof/>
          </w:rPr>
          <w:t>1.</w:t>
        </w:r>
        <w:r w:rsidR="000E74AA">
          <w:rPr>
            <w:noProof/>
          </w:rPr>
          <w:tab/>
        </w:r>
        <w:r w:rsidR="000E74AA" w:rsidRPr="000650E1">
          <w:rPr>
            <w:rStyle w:val="Hyperlink"/>
            <w:rFonts w:ascii="Times New Roman" w:hAnsi="Times New Roman" w:cs="Times New Roman"/>
            <w:noProof/>
          </w:rPr>
          <w:t>Pennvest Book Depreciation Reserve</w:t>
        </w:r>
        <w:r w:rsidR="000E74AA">
          <w:rPr>
            <w:noProof/>
            <w:webHidden/>
          </w:rPr>
          <w:tab/>
        </w:r>
        <w:r w:rsidR="000E74AA">
          <w:rPr>
            <w:noProof/>
            <w:webHidden/>
          </w:rPr>
          <w:fldChar w:fldCharType="begin"/>
        </w:r>
        <w:r w:rsidR="000E74AA">
          <w:rPr>
            <w:noProof/>
            <w:webHidden/>
          </w:rPr>
          <w:instrText xml:space="preserve"> PAGEREF _Toc372704686 \h </w:instrText>
        </w:r>
        <w:r w:rsidR="000E74AA">
          <w:rPr>
            <w:noProof/>
            <w:webHidden/>
          </w:rPr>
        </w:r>
        <w:r w:rsidR="000E74AA">
          <w:rPr>
            <w:noProof/>
            <w:webHidden/>
          </w:rPr>
          <w:fldChar w:fldCharType="separate"/>
        </w:r>
        <w:r w:rsidR="00E30674">
          <w:rPr>
            <w:noProof/>
            <w:webHidden/>
          </w:rPr>
          <w:t>20</w:t>
        </w:r>
        <w:r w:rsidR="000E74AA">
          <w:rPr>
            <w:noProof/>
            <w:webHidden/>
          </w:rPr>
          <w:fldChar w:fldCharType="end"/>
        </w:r>
      </w:hyperlink>
    </w:p>
    <w:p w:rsidR="000E74AA" w:rsidRDefault="00B05C89" w:rsidP="00C6545A">
      <w:pPr>
        <w:pStyle w:val="TOC3"/>
        <w:rPr>
          <w:noProof/>
        </w:rPr>
      </w:pPr>
      <w:hyperlink w:anchor="_Toc372704687" w:history="1">
        <w:r w:rsidR="000E74AA" w:rsidRPr="000650E1">
          <w:rPr>
            <w:rStyle w:val="Hyperlink"/>
            <w:rFonts w:ascii="Times New Roman" w:hAnsi="Times New Roman" w:cs="Times New Roman"/>
            <w:bCs/>
            <w:noProof/>
          </w:rPr>
          <w:t>2.</w:t>
        </w:r>
        <w:r w:rsidR="000E74AA">
          <w:rPr>
            <w:noProof/>
          </w:rPr>
          <w:tab/>
        </w:r>
        <w:r w:rsidR="000E74AA" w:rsidRPr="000650E1">
          <w:rPr>
            <w:rStyle w:val="Hyperlink"/>
            <w:rFonts w:ascii="Times New Roman" w:hAnsi="Times New Roman" w:cs="Times New Roman"/>
            <w:bCs/>
            <w:noProof/>
          </w:rPr>
          <w:t>Materials &amp; Supplies</w:t>
        </w:r>
        <w:r w:rsidR="000E74AA">
          <w:rPr>
            <w:noProof/>
            <w:webHidden/>
          </w:rPr>
          <w:tab/>
        </w:r>
        <w:r w:rsidR="000E74AA">
          <w:rPr>
            <w:noProof/>
            <w:webHidden/>
          </w:rPr>
          <w:fldChar w:fldCharType="begin"/>
        </w:r>
        <w:r w:rsidR="000E74AA">
          <w:rPr>
            <w:noProof/>
            <w:webHidden/>
          </w:rPr>
          <w:instrText xml:space="preserve"> PAGEREF _Toc372704687 \h </w:instrText>
        </w:r>
        <w:r w:rsidR="000E74AA">
          <w:rPr>
            <w:noProof/>
            <w:webHidden/>
          </w:rPr>
        </w:r>
        <w:r w:rsidR="000E74AA">
          <w:rPr>
            <w:noProof/>
            <w:webHidden/>
          </w:rPr>
          <w:fldChar w:fldCharType="separate"/>
        </w:r>
        <w:r w:rsidR="00E30674">
          <w:rPr>
            <w:noProof/>
            <w:webHidden/>
          </w:rPr>
          <w:t>22</w:t>
        </w:r>
        <w:r w:rsidR="000E74AA">
          <w:rPr>
            <w:noProof/>
            <w:webHidden/>
          </w:rPr>
          <w:fldChar w:fldCharType="end"/>
        </w:r>
      </w:hyperlink>
    </w:p>
    <w:p w:rsidR="000E74AA" w:rsidRDefault="00B05C89" w:rsidP="00C6545A">
      <w:pPr>
        <w:pStyle w:val="TOC3"/>
        <w:rPr>
          <w:noProof/>
        </w:rPr>
      </w:pPr>
      <w:hyperlink w:anchor="_Toc372704688" w:history="1">
        <w:r w:rsidR="000E74AA" w:rsidRPr="000650E1">
          <w:rPr>
            <w:rStyle w:val="Hyperlink"/>
            <w:rFonts w:ascii="Times New Roman" w:hAnsi="Times New Roman" w:cs="Times New Roman"/>
            <w:noProof/>
          </w:rPr>
          <w:t>3.</w:t>
        </w:r>
        <w:r w:rsidR="000E74AA">
          <w:rPr>
            <w:noProof/>
          </w:rPr>
          <w:tab/>
        </w:r>
        <w:r w:rsidR="000E74AA" w:rsidRPr="000650E1">
          <w:rPr>
            <w:rStyle w:val="Hyperlink"/>
            <w:rFonts w:ascii="Times New Roman" w:hAnsi="Times New Roman" w:cs="Times New Roman"/>
            <w:noProof/>
          </w:rPr>
          <w:t>Merchandising Sales and Jobbing Work</w:t>
        </w:r>
        <w:r w:rsidR="000E74AA">
          <w:rPr>
            <w:noProof/>
            <w:webHidden/>
          </w:rPr>
          <w:tab/>
        </w:r>
        <w:r w:rsidR="000E74AA">
          <w:rPr>
            <w:noProof/>
            <w:webHidden/>
          </w:rPr>
          <w:fldChar w:fldCharType="begin"/>
        </w:r>
        <w:r w:rsidR="000E74AA">
          <w:rPr>
            <w:noProof/>
            <w:webHidden/>
          </w:rPr>
          <w:instrText xml:space="preserve"> PAGEREF _Toc372704688 \h </w:instrText>
        </w:r>
        <w:r w:rsidR="000E74AA">
          <w:rPr>
            <w:noProof/>
            <w:webHidden/>
          </w:rPr>
        </w:r>
        <w:r w:rsidR="000E74AA">
          <w:rPr>
            <w:noProof/>
            <w:webHidden/>
          </w:rPr>
          <w:fldChar w:fldCharType="separate"/>
        </w:r>
        <w:r w:rsidR="00E30674">
          <w:rPr>
            <w:noProof/>
            <w:webHidden/>
          </w:rPr>
          <w:t>22</w:t>
        </w:r>
        <w:r w:rsidR="000E74AA">
          <w:rPr>
            <w:noProof/>
            <w:webHidden/>
          </w:rPr>
          <w:fldChar w:fldCharType="end"/>
        </w:r>
      </w:hyperlink>
    </w:p>
    <w:p w:rsidR="000E74AA" w:rsidRDefault="00B05C89" w:rsidP="00C6545A">
      <w:pPr>
        <w:pStyle w:val="TOC3"/>
        <w:rPr>
          <w:noProof/>
        </w:rPr>
      </w:pPr>
      <w:hyperlink w:anchor="_Toc372704689" w:history="1">
        <w:r w:rsidR="000E74AA" w:rsidRPr="000650E1">
          <w:rPr>
            <w:rStyle w:val="Hyperlink"/>
            <w:rFonts w:ascii="Times New Roman" w:hAnsi="Times New Roman" w:cs="Times New Roman"/>
            <w:bCs/>
            <w:iCs/>
            <w:noProof/>
          </w:rPr>
          <w:t>4.</w:t>
        </w:r>
        <w:r w:rsidR="000E74AA">
          <w:rPr>
            <w:noProof/>
          </w:rPr>
          <w:tab/>
        </w:r>
        <w:r w:rsidR="000E74AA" w:rsidRPr="000650E1">
          <w:rPr>
            <w:rStyle w:val="Hyperlink"/>
            <w:rFonts w:ascii="Times New Roman" w:hAnsi="Times New Roman" w:cs="Times New Roman"/>
            <w:bCs/>
            <w:iCs/>
            <w:noProof/>
          </w:rPr>
          <w:t>Acquisition Adjustment</w:t>
        </w:r>
        <w:r w:rsidR="000E74AA">
          <w:rPr>
            <w:noProof/>
            <w:webHidden/>
          </w:rPr>
          <w:tab/>
        </w:r>
        <w:r w:rsidR="000E74AA">
          <w:rPr>
            <w:noProof/>
            <w:webHidden/>
          </w:rPr>
          <w:fldChar w:fldCharType="begin"/>
        </w:r>
        <w:r w:rsidR="000E74AA">
          <w:rPr>
            <w:noProof/>
            <w:webHidden/>
          </w:rPr>
          <w:instrText xml:space="preserve"> PAGEREF _Toc372704689 \h </w:instrText>
        </w:r>
        <w:r w:rsidR="000E74AA">
          <w:rPr>
            <w:noProof/>
            <w:webHidden/>
          </w:rPr>
        </w:r>
        <w:r w:rsidR="000E74AA">
          <w:rPr>
            <w:noProof/>
            <w:webHidden/>
          </w:rPr>
          <w:fldChar w:fldCharType="separate"/>
        </w:r>
        <w:r w:rsidR="00E30674">
          <w:rPr>
            <w:noProof/>
            <w:webHidden/>
          </w:rPr>
          <w:t>23</w:t>
        </w:r>
        <w:r w:rsidR="000E74AA">
          <w:rPr>
            <w:noProof/>
            <w:webHidden/>
          </w:rPr>
          <w:fldChar w:fldCharType="end"/>
        </w:r>
      </w:hyperlink>
    </w:p>
    <w:p w:rsidR="000E74AA" w:rsidRDefault="00B05C89" w:rsidP="00C6545A">
      <w:pPr>
        <w:pStyle w:val="TOC3"/>
        <w:rPr>
          <w:noProof/>
        </w:rPr>
      </w:pPr>
      <w:hyperlink w:anchor="_Toc372704690" w:history="1">
        <w:r w:rsidR="000E74AA" w:rsidRPr="000650E1">
          <w:rPr>
            <w:rStyle w:val="Hyperlink"/>
            <w:rFonts w:ascii="Times New Roman" w:hAnsi="Times New Roman" w:cs="Times New Roman"/>
            <w:bCs/>
            <w:iCs/>
            <w:noProof/>
          </w:rPr>
          <w:t>5.</w:t>
        </w:r>
        <w:r w:rsidR="000E74AA">
          <w:rPr>
            <w:noProof/>
          </w:rPr>
          <w:tab/>
        </w:r>
        <w:r w:rsidR="000E74AA" w:rsidRPr="000650E1">
          <w:rPr>
            <w:rStyle w:val="Hyperlink"/>
            <w:rFonts w:ascii="Times New Roman" w:hAnsi="Times New Roman" w:cs="Times New Roman"/>
            <w:bCs/>
            <w:iCs/>
            <w:noProof/>
          </w:rPr>
          <w:t>Engineering</w:t>
        </w:r>
        <w:r w:rsidR="000E74AA">
          <w:rPr>
            <w:noProof/>
            <w:webHidden/>
          </w:rPr>
          <w:tab/>
        </w:r>
        <w:r w:rsidR="000E74AA">
          <w:rPr>
            <w:noProof/>
            <w:webHidden/>
          </w:rPr>
          <w:fldChar w:fldCharType="begin"/>
        </w:r>
        <w:r w:rsidR="000E74AA">
          <w:rPr>
            <w:noProof/>
            <w:webHidden/>
          </w:rPr>
          <w:instrText xml:space="preserve"> PAGEREF _Toc372704690 \h </w:instrText>
        </w:r>
        <w:r w:rsidR="000E74AA">
          <w:rPr>
            <w:noProof/>
            <w:webHidden/>
          </w:rPr>
        </w:r>
        <w:r w:rsidR="000E74AA">
          <w:rPr>
            <w:noProof/>
            <w:webHidden/>
          </w:rPr>
          <w:fldChar w:fldCharType="separate"/>
        </w:r>
        <w:r w:rsidR="00E30674">
          <w:rPr>
            <w:noProof/>
            <w:webHidden/>
          </w:rPr>
          <w:t>26</w:t>
        </w:r>
        <w:r w:rsidR="000E74AA">
          <w:rPr>
            <w:noProof/>
            <w:webHidden/>
          </w:rPr>
          <w:fldChar w:fldCharType="end"/>
        </w:r>
      </w:hyperlink>
    </w:p>
    <w:p w:rsidR="000E74AA" w:rsidRDefault="00B05C89" w:rsidP="00C6545A">
      <w:pPr>
        <w:pStyle w:val="TOC3"/>
        <w:rPr>
          <w:noProof/>
        </w:rPr>
      </w:pPr>
      <w:hyperlink w:anchor="_Toc372704691" w:history="1">
        <w:r w:rsidR="000E74AA" w:rsidRPr="000650E1">
          <w:rPr>
            <w:rStyle w:val="Hyperlink"/>
            <w:rFonts w:ascii="Times New Roman" w:hAnsi="Times New Roman" w:cs="Times New Roman"/>
            <w:bCs/>
            <w:iCs/>
            <w:noProof/>
          </w:rPr>
          <w:t>6.</w:t>
        </w:r>
        <w:r w:rsidR="000E74AA">
          <w:rPr>
            <w:noProof/>
          </w:rPr>
          <w:tab/>
        </w:r>
        <w:r w:rsidR="000E74AA" w:rsidRPr="000650E1">
          <w:rPr>
            <w:rStyle w:val="Hyperlink"/>
            <w:rFonts w:ascii="Times New Roman" w:hAnsi="Times New Roman" w:cs="Times New Roman"/>
            <w:bCs/>
            <w:iCs/>
            <w:noProof/>
          </w:rPr>
          <w:t>Bad Debt Expense</w:t>
        </w:r>
        <w:r w:rsidR="000E74AA">
          <w:rPr>
            <w:noProof/>
            <w:webHidden/>
          </w:rPr>
          <w:tab/>
        </w:r>
        <w:r w:rsidR="000E74AA">
          <w:rPr>
            <w:noProof/>
            <w:webHidden/>
          </w:rPr>
          <w:fldChar w:fldCharType="begin"/>
        </w:r>
        <w:r w:rsidR="000E74AA">
          <w:rPr>
            <w:noProof/>
            <w:webHidden/>
          </w:rPr>
          <w:instrText xml:space="preserve"> PAGEREF _Toc372704691 \h </w:instrText>
        </w:r>
        <w:r w:rsidR="000E74AA">
          <w:rPr>
            <w:noProof/>
            <w:webHidden/>
          </w:rPr>
        </w:r>
        <w:r w:rsidR="000E74AA">
          <w:rPr>
            <w:noProof/>
            <w:webHidden/>
          </w:rPr>
          <w:fldChar w:fldCharType="separate"/>
        </w:r>
        <w:r w:rsidR="00E30674">
          <w:rPr>
            <w:noProof/>
            <w:webHidden/>
          </w:rPr>
          <w:t>27</w:t>
        </w:r>
        <w:r w:rsidR="000E74AA">
          <w:rPr>
            <w:noProof/>
            <w:webHidden/>
          </w:rPr>
          <w:fldChar w:fldCharType="end"/>
        </w:r>
      </w:hyperlink>
    </w:p>
    <w:p w:rsidR="000E74AA" w:rsidRDefault="00B05C89" w:rsidP="00C6545A">
      <w:pPr>
        <w:pStyle w:val="TOC3"/>
        <w:rPr>
          <w:noProof/>
        </w:rPr>
      </w:pPr>
      <w:hyperlink w:anchor="_Toc372704692" w:history="1">
        <w:r w:rsidR="000E74AA" w:rsidRPr="000650E1">
          <w:rPr>
            <w:rStyle w:val="Hyperlink"/>
            <w:rFonts w:ascii="Times New Roman" w:eastAsia="Calibri" w:hAnsi="Times New Roman" w:cs="Times New Roman"/>
            <w:noProof/>
          </w:rPr>
          <w:t>7.</w:t>
        </w:r>
        <w:r w:rsidR="000E74AA">
          <w:rPr>
            <w:noProof/>
          </w:rPr>
          <w:tab/>
        </w:r>
        <w:r w:rsidR="000E74AA" w:rsidRPr="000650E1">
          <w:rPr>
            <w:rStyle w:val="Hyperlink"/>
            <w:rFonts w:ascii="Times New Roman" w:hAnsi="Times New Roman" w:cs="Times New Roman"/>
            <w:bCs/>
            <w:iCs/>
            <w:noProof/>
          </w:rPr>
          <w:t>Employee Salaries and Wages and Related Adjustment to Payroll Taxes</w:t>
        </w:r>
        <w:r w:rsidR="000E74AA">
          <w:rPr>
            <w:noProof/>
            <w:webHidden/>
          </w:rPr>
          <w:tab/>
        </w:r>
        <w:r w:rsidR="000E74AA">
          <w:rPr>
            <w:noProof/>
            <w:webHidden/>
          </w:rPr>
          <w:fldChar w:fldCharType="begin"/>
        </w:r>
        <w:r w:rsidR="000E74AA">
          <w:rPr>
            <w:noProof/>
            <w:webHidden/>
          </w:rPr>
          <w:instrText xml:space="preserve"> PAGEREF _Toc372704692 \h </w:instrText>
        </w:r>
        <w:r w:rsidR="000E74AA">
          <w:rPr>
            <w:noProof/>
            <w:webHidden/>
          </w:rPr>
        </w:r>
        <w:r w:rsidR="000E74AA">
          <w:rPr>
            <w:noProof/>
            <w:webHidden/>
          </w:rPr>
          <w:fldChar w:fldCharType="separate"/>
        </w:r>
        <w:r w:rsidR="00E30674">
          <w:rPr>
            <w:noProof/>
            <w:webHidden/>
          </w:rPr>
          <w:t>28</w:t>
        </w:r>
        <w:r w:rsidR="000E74AA">
          <w:rPr>
            <w:noProof/>
            <w:webHidden/>
          </w:rPr>
          <w:fldChar w:fldCharType="end"/>
        </w:r>
      </w:hyperlink>
    </w:p>
    <w:p w:rsidR="000E74AA" w:rsidRDefault="00B05C89" w:rsidP="00C6545A">
      <w:pPr>
        <w:pStyle w:val="TOC3"/>
        <w:rPr>
          <w:noProof/>
        </w:rPr>
      </w:pPr>
      <w:hyperlink w:anchor="_Toc372704693" w:history="1">
        <w:r w:rsidR="000E74AA" w:rsidRPr="000650E1">
          <w:rPr>
            <w:rStyle w:val="Hyperlink"/>
            <w:rFonts w:ascii="Times New Roman" w:hAnsi="Times New Roman" w:cs="Times New Roman"/>
            <w:bCs/>
            <w:iCs/>
            <w:noProof/>
          </w:rPr>
          <w:t>8.</w:t>
        </w:r>
        <w:r w:rsidR="000E74AA">
          <w:rPr>
            <w:noProof/>
          </w:rPr>
          <w:tab/>
        </w:r>
        <w:r w:rsidR="000E74AA" w:rsidRPr="000650E1">
          <w:rPr>
            <w:rStyle w:val="Hyperlink"/>
            <w:rFonts w:ascii="Times New Roman" w:hAnsi="Times New Roman" w:cs="Times New Roman"/>
            <w:bCs/>
            <w:iCs/>
            <w:noProof/>
          </w:rPr>
          <w:t>Pensions &amp; Benefits</w:t>
        </w:r>
        <w:r w:rsidR="000E74AA">
          <w:rPr>
            <w:noProof/>
            <w:webHidden/>
          </w:rPr>
          <w:tab/>
        </w:r>
        <w:r w:rsidR="000E74AA">
          <w:rPr>
            <w:noProof/>
            <w:webHidden/>
          </w:rPr>
          <w:fldChar w:fldCharType="begin"/>
        </w:r>
        <w:r w:rsidR="000E74AA">
          <w:rPr>
            <w:noProof/>
            <w:webHidden/>
          </w:rPr>
          <w:instrText xml:space="preserve"> PAGEREF _Toc372704693 \h </w:instrText>
        </w:r>
        <w:r w:rsidR="000E74AA">
          <w:rPr>
            <w:noProof/>
            <w:webHidden/>
          </w:rPr>
        </w:r>
        <w:r w:rsidR="000E74AA">
          <w:rPr>
            <w:noProof/>
            <w:webHidden/>
          </w:rPr>
          <w:fldChar w:fldCharType="separate"/>
        </w:r>
        <w:r w:rsidR="00E30674">
          <w:rPr>
            <w:noProof/>
            <w:webHidden/>
          </w:rPr>
          <w:t>30</w:t>
        </w:r>
        <w:r w:rsidR="000E74AA">
          <w:rPr>
            <w:noProof/>
            <w:webHidden/>
          </w:rPr>
          <w:fldChar w:fldCharType="end"/>
        </w:r>
      </w:hyperlink>
    </w:p>
    <w:p w:rsidR="000E74AA" w:rsidRDefault="00B05C89" w:rsidP="00C6545A">
      <w:pPr>
        <w:pStyle w:val="TOC3"/>
        <w:rPr>
          <w:noProof/>
        </w:rPr>
      </w:pPr>
      <w:hyperlink w:anchor="_Toc372704694" w:history="1">
        <w:r w:rsidR="000E74AA" w:rsidRPr="000650E1">
          <w:rPr>
            <w:rStyle w:val="Hyperlink"/>
            <w:rFonts w:ascii="Times New Roman" w:hAnsi="Times New Roman" w:cs="Times New Roman"/>
            <w:bCs/>
            <w:noProof/>
          </w:rPr>
          <w:t>9.</w:t>
        </w:r>
        <w:r w:rsidR="000E74AA">
          <w:rPr>
            <w:noProof/>
          </w:rPr>
          <w:tab/>
        </w:r>
        <w:r w:rsidR="000E74AA" w:rsidRPr="000650E1">
          <w:rPr>
            <w:rStyle w:val="Hyperlink"/>
            <w:rFonts w:ascii="Times New Roman" w:hAnsi="Times New Roman" w:cs="Times New Roman"/>
            <w:bCs/>
            <w:noProof/>
          </w:rPr>
          <w:t>OCA Pension Adjustment</w:t>
        </w:r>
        <w:r w:rsidR="000E74AA">
          <w:rPr>
            <w:noProof/>
            <w:webHidden/>
          </w:rPr>
          <w:tab/>
        </w:r>
        <w:r w:rsidR="000E74AA">
          <w:rPr>
            <w:noProof/>
            <w:webHidden/>
          </w:rPr>
          <w:fldChar w:fldCharType="begin"/>
        </w:r>
        <w:r w:rsidR="000E74AA">
          <w:rPr>
            <w:noProof/>
            <w:webHidden/>
          </w:rPr>
          <w:instrText xml:space="preserve"> PAGEREF _Toc372704694 \h </w:instrText>
        </w:r>
        <w:r w:rsidR="000E74AA">
          <w:rPr>
            <w:noProof/>
            <w:webHidden/>
          </w:rPr>
        </w:r>
        <w:r w:rsidR="000E74AA">
          <w:rPr>
            <w:noProof/>
            <w:webHidden/>
          </w:rPr>
          <w:fldChar w:fldCharType="separate"/>
        </w:r>
        <w:r w:rsidR="00E30674">
          <w:rPr>
            <w:noProof/>
            <w:webHidden/>
          </w:rPr>
          <w:t>30</w:t>
        </w:r>
        <w:r w:rsidR="000E74AA">
          <w:rPr>
            <w:noProof/>
            <w:webHidden/>
          </w:rPr>
          <w:fldChar w:fldCharType="end"/>
        </w:r>
      </w:hyperlink>
    </w:p>
    <w:p w:rsidR="000E74AA" w:rsidRDefault="00B05C89" w:rsidP="00C6545A">
      <w:pPr>
        <w:pStyle w:val="TOC3"/>
        <w:rPr>
          <w:noProof/>
        </w:rPr>
      </w:pPr>
      <w:hyperlink w:anchor="_Toc372704695" w:history="1">
        <w:r w:rsidR="000E74AA" w:rsidRPr="000650E1">
          <w:rPr>
            <w:rStyle w:val="Hyperlink"/>
            <w:rFonts w:ascii="Times New Roman" w:eastAsia="Calibri" w:hAnsi="Times New Roman" w:cs="Times New Roman"/>
            <w:noProof/>
          </w:rPr>
          <w:t>10.</w:t>
        </w:r>
        <w:r w:rsidR="000E74AA">
          <w:rPr>
            <w:noProof/>
          </w:rPr>
          <w:tab/>
        </w:r>
        <w:r w:rsidR="000E74AA" w:rsidRPr="000650E1">
          <w:rPr>
            <w:rStyle w:val="Hyperlink"/>
            <w:rFonts w:ascii="Times New Roman" w:hAnsi="Times New Roman" w:cs="Times New Roman"/>
            <w:bCs/>
            <w:noProof/>
          </w:rPr>
          <w:t>Disability and Life Insurance</w:t>
        </w:r>
        <w:r w:rsidR="000E74AA">
          <w:rPr>
            <w:noProof/>
            <w:webHidden/>
          </w:rPr>
          <w:tab/>
        </w:r>
        <w:r w:rsidR="000E74AA">
          <w:rPr>
            <w:noProof/>
            <w:webHidden/>
          </w:rPr>
          <w:fldChar w:fldCharType="begin"/>
        </w:r>
        <w:r w:rsidR="000E74AA">
          <w:rPr>
            <w:noProof/>
            <w:webHidden/>
          </w:rPr>
          <w:instrText xml:space="preserve"> PAGEREF _Toc372704695 \h </w:instrText>
        </w:r>
        <w:r w:rsidR="000E74AA">
          <w:rPr>
            <w:noProof/>
            <w:webHidden/>
          </w:rPr>
        </w:r>
        <w:r w:rsidR="000E74AA">
          <w:rPr>
            <w:noProof/>
            <w:webHidden/>
          </w:rPr>
          <w:fldChar w:fldCharType="separate"/>
        </w:r>
        <w:r w:rsidR="00E30674">
          <w:rPr>
            <w:noProof/>
            <w:webHidden/>
          </w:rPr>
          <w:t>31</w:t>
        </w:r>
        <w:r w:rsidR="000E74AA">
          <w:rPr>
            <w:noProof/>
            <w:webHidden/>
          </w:rPr>
          <w:fldChar w:fldCharType="end"/>
        </w:r>
      </w:hyperlink>
    </w:p>
    <w:p w:rsidR="000E74AA" w:rsidRDefault="00B05C89" w:rsidP="00C6545A">
      <w:pPr>
        <w:pStyle w:val="TOC3"/>
        <w:rPr>
          <w:noProof/>
        </w:rPr>
      </w:pPr>
      <w:hyperlink w:anchor="_Toc372704696" w:history="1">
        <w:r w:rsidR="000E74AA" w:rsidRPr="000650E1">
          <w:rPr>
            <w:rStyle w:val="Hyperlink"/>
            <w:rFonts w:ascii="Times New Roman" w:hAnsi="Times New Roman" w:cs="Times New Roman"/>
            <w:bCs/>
            <w:noProof/>
          </w:rPr>
          <w:t>11.</w:t>
        </w:r>
        <w:r w:rsidR="000E74AA">
          <w:rPr>
            <w:noProof/>
          </w:rPr>
          <w:tab/>
        </w:r>
        <w:r w:rsidR="000E74AA" w:rsidRPr="000650E1">
          <w:rPr>
            <w:rStyle w:val="Hyperlink"/>
            <w:rFonts w:ascii="Times New Roman" w:hAnsi="Times New Roman" w:cs="Times New Roman"/>
            <w:bCs/>
            <w:noProof/>
          </w:rPr>
          <w:t>Employee Recognition</w:t>
        </w:r>
        <w:r w:rsidR="000E74AA">
          <w:rPr>
            <w:noProof/>
            <w:webHidden/>
          </w:rPr>
          <w:tab/>
        </w:r>
      </w:hyperlink>
      <w:r w:rsidR="00A9720F">
        <w:rPr>
          <w:noProof/>
        </w:rPr>
        <w:t>32</w:t>
      </w:r>
    </w:p>
    <w:p w:rsidR="000E74AA" w:rsidRDefault="00B05C89" w:rsidP="00C6545A">
      <w:pPr>
        <w:pStyle w:val="TOC3"/>
        <w:rPr>
          <w:noProof/>
        </w:rPr>
      </w:pPr>
      <w:hyperlink w:anchor="_Toc372704697" w:history="1">
        <w:r w:rsidR="000E74AA" w:rsidRPr="000650E1">
          <w:rPr>
            <w:rStyle w:val="Hyperlink"/>
            <w:rFonts w:ascii="Times New Roman" w:hAnsi="Times New Roman"/>
            <w:noProof/>
          </w:rPr>
          <w:t>12.</w:t>
        </w:r>
        <w:r w:rsidR="000E74AA">
          <w:rPr>
            <w:noProof/>
          </w:rPr>
          <w:tab/>
        </w:r>
        <w:r w:rsidR="000E74AA" w:rsidRPr="000650E1">
          <w:rPr>
            <w:rStyle w:val="Hyperlink"/>
            <w:rFonts w:ascii="Times New Roman" w:hAnsi="Times New Roman"/>
            <w:noProof/>
          </w:rPr>
          <w:t>Vehicle Insurance</w:t>
        </w:r>
        <w:r w:rsidR="000E74AA">
          <w:rPr>
            <w:noProof/>
            <w:webHidden/>
          </w:rPr>
          <w:tab/>
        </w:r>
        <w:r w:rsidR="000E74AA">
          <w:rPr>
            <w:noProof/>
            <w:webHidden/>
          </w:rPr>
          <w:fldChar w:fldCharType="begin"/>
        </w:r>
        <w:r w:rsidR="000E74AA">
          <w:rPr>
            <w:noProof/>
            <w:webHidden/>
          </w:rPr>
          <w:instrText xml:space="preserve"> PAGEREF _Toc372704697 \h </w:instrText>
        </w:r>
        <w:r w:rsidR="000E74AA">
          <w:rPr>
            <w:noProof/>
            <w:webHidden/>
          </w:rPr>
        </w:r>
        <w:r w:rsidR="000E74AA">
          <w:rPr>
            <w:noProof/>
            <w:webHidden/>
          </w:rPr>
          <w:fldChar w:fldCharType="separate"/>
        </w:r>
        <w:r w:rsidR="00E30674">
          <w:rPr>
            <w:noProof/>
            <w:webHidden/>
          </w:rPr>
          <w:t>32</w:t>
        </w:r>
        <w:r w:rsidR="000E74AA">
          <w:rPr>
            <w:noProof/>
            <w:webHidden/>
          </w:rPr>
          <w:fldChar w:fldCharType="end"/>
        </w:r>
      </w:hyperlink>
    </w:p>
    <w:p w:rsidR="000E74AA" w:rsidRDefault="00B05C89" w:rsidP="00C6545A">
      <w:pPr>
        <w:pStyle w:val="TOC3"/>
        <w:rPr>
          <w:noProof/>
        </w:rPr>
      </w:pPr>
      <w:hyperlink w:anchor="_Toc372704698" w:history="1">
        <w:r w:rsidR="000E74AA" w:rsidRPr="000650E1">
          <w:rPr>
            <w:rStyle w:val="Hyperlink"/>
            <w:rFonts w:ascii="Times New Roman" w:hAnsi="Times New Roman"/>
            <w:noProof/>
          </w:rPr>
          <w:t>13.</w:t>
        </w:r>
        <w:r w:rsidR="000E74AA">
          <w:rPr>
            <w:noProof/>
          </w:rPr>
          <w:tab/>
        </w:r>
        <w:r w:rsidR="000E74AA" w:rsidRPr="000650E1">
          <w:rPr>
            <w:rStyle w:val="Hyperlink"/>
            <w:rFonts w:ascii="Times New Roman" w:hAnsi="Times New Roman"/>
            <w:noProof/>
          </w:rPr>
          <w:t>Worker’s Compensation Insurance</w:t>
        </w:r>
        <w:r w:rsidR="000E74AA">
          <w:rPr>
            <w:noProof/>
            <w:webHidden/>
          </w:rPr>
          <w:tab/>
        </w:r>
        <w:r w:rsidR="000E74AA">
          <w:rPr>
            <w:noProof/>
            <w:webHidden/>
          </w:rPr>
          <w:fldChar w:fldCharType="begin"/>
        </w:r>
        <w:r w:rsidR="000E74AA">
          <w:rPr>
            <w:noProof/>
            <w:webHidden/>
          </w:rPr>
          <w:instrText xml:space="preserve"> PAGEREF _Toc372704698 \h </w:instrText>
        </w:r>
        <w:r w:rsidR="000E74AA">
          <w:rPr>
            <w:noProof/>
            <w:webHidden/>
          </w:rPr>
        </w:r>
        <w:r w:rsidR="000E74AA">
          <w:rPr>
            <w:noProof/>
            <w:webHidden/>
          </w:rPr>
          <w:fldChar w:fldCharType="separate"/>
        </w:r>
        <w:r w:rsidR="00E30674">
          <w:rPr>
            <w:noProof/>
            <w:webHidden/>
          </w:rPr>
          <w:t>33</w:t>
        </w:r>
        <w:r w:rsidR="000E74AA">
          <w:rPr>
            <w:noProof/>
            <w:webHidden/>
          </w:rPr>
          <w:fldChar w:fldCharType="end"/>
        </w:r>
      </w:hyperlink>
    </w:p>
    <w:p w:rsidR="000E74AA" w:rsidRDefault="00B05C89" w:rsidP="00C6545A">
      <w:pPr>
        <w:pStyle w:val="TOC3"/>
        <w:rPr>
          <w:noProof/>
        </w:rPr>
      </w:pPr>
      <w:hyperlink w:anchor="_Toc372704699" w:history="1">
        <w:r w:rsidR="000E74AA" w:rsidRPr="000650E1">
          <w:rPr>
            <w:rStyle w:val="Hyperlink"/>
            <w:rFonts w:ascii="Times New Roman" w:hAnsi="Times New Roman" w:cs="Times New Roman"/>
            <w:noProof/>
          </w:rPr>
          <w:t>14.</w:t>
        </w:r>
        <w:r w:rsidR="000E74AA">
          <w:rPr>
            <w:noProof/>
          </w:rPr>
          <w:tab/>
        </w:r>
        <w:r w:rsidR="000E74AA" w:rsidRPr="000650E1">
          <w:rPr>
            <w:rStyle w:val="Hyperlink"/>
            <w:rFonts w:ascii="Times New Roman" w:hAnsi="Times New Roman" w:cs="Times New Roman"/>
            <w:noProof/>
          </w:rPr>
          <w:t>Accounting</w:t>
        </w:r>
        <w:r w:rsidR="000E74AA">
          <w:rPr>
            <w:noProof/>
            <w:webHidden/>
          </w:rPr>
          <w:tab/>
        </w:r>
        <w:r w:rsidR="000E74AA">
          <w:rPr>
            <w:noProof/>
            <w:webHidden/>
          </w:rPr>
          <w:fldChar w:fldCharType="begin"/>
        </w:r>
        <w:r w:rsidR="000E74AA">
          <w:rPr>
            <w:noProof/>
            <w:webHidden/>
          </w:rPr>
          <w:instrText xml:space="preserve"> PAGEREF _Toc372704699 \h </w:instrText>
        </w:r>
        <w:r w:rsidR="000E74AA">
          <w:rPr>
            <w:noProof/>
            <w:webHidden/>
          </w:rPr>
        </w:r>
        <w:r w:rsidR="000E74AA">
          <w:rPr>
            <w:noProof/>
            <w:webHidden/>
          </w:rPr>
          <w:fldChar w:fldCharType="separate"/>
        </w:r>
        <w:r w:rsidR="00E30674">
          <w:rPr>
            <w:noProof/>
            <w:webHidden/>
          </w:rPr>
          <w:t>34</w:t>
        </w:r>
        <w:r w:rsidR="000E74AA">
          <w:rPr>
            <w:noProof/>
            <w:webHidden/>
          </w:rPr>
          <w:fldChar w:fldCharType="end"/>
        </w:r>
      </w:hyperlink>
    </w:p>
    <w:p w:rsidR="000E74AA" w:rsidRDefault="00B05C89" w:rsidP="00C6545A">
      <w:pPr>
        <w:pStyle w:val="TOC3"/>
        <w:rPr>
          <w:noProof/>
        </w:rPr>
      </w:pPr>
      <w:hyperlink w:anchor="_Toc372704700" w:history="1">
        <w:r w:rsidR="000E74AA" w:rsidRPr="000650E1">
          <w:rPr>
            <w:rStyle w:val="Hyperlink"/>
            <w:rFonts w:ascii="Times New Roman" w:hAnsi="Times New Roman"/>
            <w:noProof/>
          </w:rPr>
          <w:t>15.</w:t>
        </w:r>
        <w:r w:rsidR="000E74AA">
          <w:rPr>
            <w:noProof/>
          </w:rPr>
          <w:tab/>
        </w:r>
        <w:r w:rsidR="000E74AA" w:rsidRPr="000650E1">
          <w:rPr>
            <w:rStyle w:val="Hyperlink"/>
            <w:rFonts w:ascii="Times New Roman" w:hAnsi="Times New Roman"/>
            <w:noProof/>
          </w:rPr>
          <w:t>Office Expenses and Utilities</w:t>
        </w:r>
        <w:r w:rsidR="000E74AA">
          <w:rPr>
            <w:noProof/>
            <w:webHidden/>
          </w:rPr>
          <w:tab/>
        </w:r>
        <w:r w:rsidR="000E74AA">
          <w:rPr>
            <w:noProof/>
            <w:webHidden/>
          </w:rPr>
          <w:fldChar w:fldCharType="begin"/>
        </w:r>
        <w:r w:rsidR="000E74AA">
          <w:rPr>
            <w:noProof/>
            <w:webHidden/>
          </w:rPr>
          <w:instrText xml:space="preserve"> PAGEREF _Toc372704700 \h </w:instrText>
        </w:r>
        <w:r w:rsidR="000E74AA">
          <w:rPr>
            <w:noProof/>
            <w:webHidden/>
          </w:rPr>
        </w:r>
        <w:r w:rsidR="000E74AA">
          <w:rPr>
            <w:noProof/>
            <w:webHidden/>
          </w:rPr>
          <w:fldChar w:fldCharType="separate"/>
        </w:r>
        <w:r w:rsidR="00E30674">
          <w:rPr>
            <w:noProof/>
            <w:webHidden/>
          </w:rPr>
          <w:t>35</w:t>
        </w:r>
        <w:r w:rsidR="000E74AA">
          <w:rPr>
            <w:noProof/>
            <w:webHidden/>
          </w:rPr>
          <w:fldChar w:fldCharType="end"/>
        </w:r>
      </w:hyperlink>
    </w:p>
    <w:p w:rsidR="000E74AA" w:rsidRDefault="00B05C89" w:rsidP="00C6545A">
      <w:pPr>
        <w:pStyle w:val="TOC3"/>
        <w:rPr>
          <w:noProof/>
        </w:rPr>
      </w:pPr>
      <w:hyperlink w:anchor="_Toc372704701" w:history="1">
        <w:r w:rsidR="000E74AA" w:rsidRPr="000650E1">
          <w:rPr>
            <w:rStyle w:val="Hyperlink"/>
            <w:rFonts w:ascii="Times New Roman" w:hAnsi="Times New Roman"/>
            <w:noProof/>
          </w:rPr>
          <w:t>16.</w:t>
        </w:r>
        <w:r w:rsidR="000E74AA">
          <w:rPr>
            <w:noProof/>
          </w:rPr>
          <w:tab/>
        </w:r>
        <w:r w:rsidR="000E74AA" w:rsidRPr="000650E1">
          <w:rPr>
            <w:rStyle w:val="Hyperlink"/>
            <w:rFonts w:ascii="Times New Roman" w:hAnsi="Times New Roman"/>
            <w:noProof/>
          </w:rPr>
          <w:t>Officers and Directors</w:t>
        </w:r>
        <w:r w:rsidR="000E74AA">
          <w:rPr>
            <w:noProof/>
            <w:webHidden/>
          </w:rPr>
          <w:tab/>
        </w:r>
        <w:r w:rsidR="000E74AA">
          <w:rPr>
            <w:noProof/>
            <w:webHidden/>
          </w:rPr>
          <w:fldChar w:fldCharType="begin"/>
        </w:r>
        <w:r w:rsidR="000E74AA">
          <w:rPr>
            <w:noProof/>
            <w:webHidden/>
          </w:rPr>
          <w:instrText xml:space="preserve"> PAGEREF _Toc372704701 \h </w:instrText>
        </w:r>
        <w:r w:rsidR="000E74AA">
          <w:rPr>
            <w:noProof/>
            <w:webHidden/>
          </w:rPr>
        </w:r>
        <w:r w:rsidR="000E74AA">
          <w:rPr>
            <w:noProof/>
            <w:webHidden/>
          </w:rPr>
          <w:fldChar w:fldCharType="separate"/>
        </w:r>
        <w:r w:rsidR="00E30674">
          <w:rPr>
            <w:noProof/>
            <w:webHidden/>
          </w:rPr>
          <w:t>35</w:t>
        </w:r>
        <w:r w:rsidR="000E74AA">
          <w:rPr>
            <w:noProof/>
            <w:webHidden/>
          </w:rPr>
          <w:fldChar w:fldCharType="end"/>
        </w:r>
      </w:hyperlink>
    </w:p>
    <w:p w:rsidR="000E74AA" w:rsidRDefault="00B05C89" w:rsidP="00C6545A">
      <w:pPr>
        <w:pStyle w:val="TOC4"/>
        <w:rPr>
          <w:noProof/>
        </w:rPr>
      </w:pPr>
      <w:hyperlink w:anchor="_Toc372704702" w:history="1">
        <w:r w:rsidR="000E74AA" w:rsidRPr="000650E1">
          <w:rPr>
            <w:rStyle w:val="Hyperlink"/>
            <w:rFonts w:ascii="Times New Roman" w:hAnsi="Times New Roman" w:cs="Times New Roman"/>
            <w:noProof/>
          </w:rPr>
          <w:t>a.</w:t>
        </w:r>
        <w:r w:rsidR="000E74AA">
          <w:rPr>
            <w:noProof/>
          </w:rPr>
          <w:tab/>
        </w:r>
        <w:r w:rsidR="000E74AA" w:rsidRPr="000650E1">
          <w:rPr>
            <w:rStyle w:val="Hyperlink"/>
            <w:rFonts w:ascii="Times New Roman" w:hAnsi="Times New Roman" w:cs="Times New Roman"/>
            <w:noProof/>
          </w:rPr>
          <w:t>Adjustment to Reduce Salaries and Fees</w:t>
        </w:r>
        <w:r w:rsidR="000E74AA">
          <w:rPr>
            <w:noProof/>
            <w:webHidden/>
          </w:rPr>
          <w:tab/>
        </w:r>
        <w:r w:rsidR="000E74AA">
          <w:rPr>
            <w:noProof/>
            <w:webHidden/>
          </w:rPr>
          <w:fldChar w:fldCharType="begin"/>
        </w:r>
        <w:r w:rsidR="000E74AA">
          <w:rPr>
            <w:noProof/>
            <w:webHidden/>
          </w:rPr>
          <w:instrText xml:space="preserve"> PAGEREF _Toc372704702 \h </w:instrText>
        </w:r>
        <w:r w:rsidR="000E74AA">
          <w:rPr>
            <w:noProof/>
            <w:webHidden/>
          </w:rPr>
        </w:r>
        <w:r w:rsidR="000E74AA">
          <w:rPr>
            <w:noProof/>
            <w:webHidden/>
          </w:rPr>
          <w:fldChar w:fldCharType="separate"/>
        </w:r>
        <w:r w:rsidR="00E30674">
          <w:rPr>
            <w:noProof/>
            <w:webHidden/>
          </w:rPr>
          <w:t>36</w:t>
        </w:r>
        <w:r w:rsidR="000E74AA">
          <w:rPr>
            <w:noProof/>
            <w:webHidden/>
          </w:rPr>
          <w:fldChar w:fldCharType="end"/>
        </w:r>
      </w:hyperlink>
    </w:p>
    <w:p w:rsidR="000E74AA" w:rsidRDefault="00B05C89" w:rsidP="00C6545A">
      <w:pPr>
        <w:pStyle w:val="TOC4"/>
        <w:rPr>
          <w:noProof/>
        </w:rPr>
      </w:pPr>
      <w:hyperlink w:anchor="_Toc372704703" w:history="1">
        <w:r w:rsidR="000E74AA" w:rsidRPr="000650E1">
          <w:rPr>
            <w:rStyle w:val="Hyperlink"/>
            <w:rFonts w:ascii="Times New Roman" w:hAnsi="Times New Roman" w:cs="Times New Roman"/>
            <w:noProof/>
          </w:rPr>
          <w:t>b.</w:t>
        </w:r>
        <w:r w:rsidR="000E74AA">
          <w:rPr>
            <w:noProof/>
          </w:rPr>
          <w:tab/>
        </w:r>
        <w:r w:rsidR="000E74AA" w:rsidRPr="000650E1">
          <w:rPr>
            <w:rStyle w:val="Hyperlink"/>
            <w:rFonts w:ascii="Times New Roman" w:hAnsi="Times New Roman" w:cs="Times New Roman"/>
            <w:noProof/>
          </w:rPr>
          <w:t>The Commission’s Ongoing Requirement for Time Records Should Continue</w:t>
        </w:r>
        <w:r w:rsidR="000E74AA">
          <w:rPr>
            <w:noProof/>
            <w:webHidden/>
          </w:rPr>
          <w:tab/>
        </w:r>
        <w:r w:rsidR="000E74AA">
          <w:rPr>
            <w:noProof/>
            <w:webHidden/>
          </w:rPr>
          <w:fldChar w:fldCharType="begin"/>
        </w:r>
        <w:r w:rsidR="000E74AA">
          <w:rPr>
            <w:noProof/>
            <w:webHidden/>
          </w:rPr>
          <w:instrText xml:space="preserve"> PAGEREF _Toc372704703 \h </w:instrText>
        </w:r>
        <w:r w:rsidR="000E74AA">
          <w:rPr>
            <w:noProof/>
            <w:webHidden/>
          </w:rPr>
        </w:r>
        <w:r w:rsidR="000E74AA">
          <w:rPr>
            <w:noProof/>
            <w:webHidden/>
          </w:rPr>
          <w:fldChar w:fldCharType="separate"/>
        </w:r>
        <w:r w:rsidR="00E30674">
          <w:rPr>
            <w:noProof/>
            <w:webHidden/>
          </w:rPr>
          <w:t>37</w:t>
        </w:r>
        <w:r w:rsidR="000E74AA">
          <w:rPr>
            <w:noProof/>
            <w:webHidden/>
          </w:rPr>
          <w:fldChar w:fldCharType="end"/>
        </w:r>
      </w:hyperlink>
    </w:p>
    <w:p w:rsidR="000E74AA" w:rsidRDefault="00B05C89" w:rsidP="00C6545A">
      <w:pPr>
        <w:pStyle w:val="TOC4"/>
        <w:rPr>
          <w:noProof/>
        </w:rPr>
      </w:pPr>
      <w:hyperlink w:anchor="_Toc372704704" w:history="1">
        <w:r w:rsidR="000E74AA" w:rsidRPr="000650E1">
          <w:rPr>
            <w:rStyle w:val="Hyperlink"/>
            <w:rFonts w:ascii="Times New Roman" w:hAnsi="Times New Roman" w:cs="Times New Roman"/>
            <w:noProof/>
          </w:rPr>
          <w:t>c.</w:t>
        </w:r>
        <w:r w:rsidR="000E74AA">
          <w:rPr>
            <w:noProof/>
          </w:rPr>
          <w:tab/>
        </w:r>
        <w:r w:rsidR="000E74AA" w:rsidRPr="000650E1">
          <w:rPr>
            <w:rStyle w:val="Hyperlink"/>
            <w:rFonts w:ascii="Times New Roman" w:hAnsi="Times New Roman" w:cs="Times New Roman"/>
            <w:noProof/>
          </w:rPr>
          <w:t>Allocation</w:t>
        </w:r>
        <w:r w:rsidR="000E74AA">
          <w:rPr>
            <w:noProof/>
            <w:webHidden/>
          </w:rPr>
          <w:tab/>
        </w:r>
        <w:r w:rsidR="000E74AA">
          <w:rPr>
            <w:noProof/>
            <w:webHidden/>
          </w:rPr>
          <w:fldChar w:fldCharType="begin"/>
        </w:r>
        <w:r w:rsidR="000E74AA">
          <w:rPr>
            <w:noProof/>
            <w:webHidden/>
          </w:rPr>
          <w:instrText xml:space="preserve"> PAGEREF _Toc372704704 \h </w:instrText>
        </w:r>
        <w:r w:rsidR="000E74AA">
          <w:rPr>
            <w:noProof/>
            <w:webHidden/>
          </w:rPr>
        </w:r>
        <w:r w:rsidR="000E74AA">
          <w:rPr>
            <w:noProof/>
            <w:webHidden/>
          </w:rPr>
          <w:fldChar w:fldCharType="separate"/>
        </w:r>
        <w:r w:rsidR="00E30674">
          <w:rPr>
            <w:noProof/>
            <w:webHidden/>
          </w:rPr>
          <w:t>38</w:t>
        </w:r>
        <w:r w:rsidR="000E74AA">
          <w:rPr>
            <w:noProof/>
            <w:webHidden/>
          </w:rPr>
          <w:fldChar w:fldCharType="end"/>
        </w:r>
      </w:hyperlink>
    </w:p>
    <w:p w:rsidR="000E74AA" w:rsidRDefault="00B05C89" w:rsidP="00C6545A">
      <w:pPr>
        <w:pStyle w:val="TOC2"/>
        <w:rPr>
          <w:noProof/>
        </w:rPr>
      </w:pPr>
      <w:hyperlink w:anchor="_Toc372704705" w:history="1">
        <w:r w:rsidR="000E74AA" w:rsidRPr="000650E1">
          <w:rPr>
            <w:rStyle w:val="Hyperlink"/>
            <w:rFonts w:ascii="Times New Roman" w:hAnsi="Times New Roman" w:cs="Times New Roman"/>
            <w:noProof/>
          </w:rPr>
          <w:t>E.</w:t>
        </w:r>
        <w:r w:rsidR="000E74AA">
          <w:rPr>
            <w:noProof/>
          </w:rPr>
          <w:tab/>
        </w:r>
        <w:r w:rsidR="000E74AA" w:rsidRPr="000650E1">
          <w:rPr>
            <w:rStyle w:val="Hyperlink"/>
            <w:rFonts w:ascii="Times New Roman" w:hAnsi="Times New Roman" w:cs="Times New Roman"/>
            <w:noProof/>
          </w:rPr>
          <w:t>I&amp;E Proposed Adjustments</w:t>
        </w:r>
        <w:r w:rsidR="000E74AA">
          <w:rPr>
            <w:noProof/>
            <w:webHidden/>
          </w:rPr>
          <w:tab/>
        </w:r>
        <w:r w:rsidR="000E74AA">
          <w:rPr>
            <w:noProof/>
            <w:webHidden/>
          </w:rPr>
          <w:fldChar w:fldCharType="begin"/>
        </w:r>
        <w:r w:rsidR="000E74AA">
          <w:rPr>
            <w:noProof/>
            <w:webHidden/>
          </w:rPr>
          <w:instrText xml:space="preserve"> PAGEREF _Toc372704705 \h </w:instrText>
        </w:r>
        <w:r w:rsidR="000E74AA">
          <w:rPr>
            <w:noProof/>
            <w:webHidden/>
          </w:rPr>
        </w:r>
        <w:r w:rsidR="000E74AA">
          <w:rPr>
            <w:noProof/>
            <w:webHidden/>
          </w:rPr>
          <w:fldChar w:fldCharType="separate"/>
        </w:r>
        <w:r w:rsidR="00E30674">
          <w:rPr>
            <w:noProof/>
            <w:webHidden/>
          </w:rPr>
          <w:t>39</w:t>
        </w:r>
        <w:r w:rsidR="000E74AA">
          <w:rPr>
            <w:noProof/>
            <w:webHidden/>
          </w:rPr>
          <w:fldChar w:fldCharType="end"/>
        </w:r>
      </w:hyperlink>
    </w:p>
    <w:p w:rsidR="000E74AA" w:rsidRDefault="00B05C89" w:rsidP="00C6545A">
      <w:pPr>
        <w:pStyle w:val="TOC3"/>
        <w:rPr>
          <w:noProof/>
        </w:rPr>
      </w:pPr>
      <w:hyperlink w:anchor="_Toc372704706" w:history="1">
        <w:r w:rsidR="000E74AA" w:rsidRPr="000650E1">
          <w:rPr>
            <w:rStyle w:val="Hyperlink"/>
            <w:rFonts w:ascii="Times New Roman" w:hAnsi="Times New Roman" w:cs="Times New Roman"/>
            <w:noProof/>
          </w:rPr>
          <w:t>1.</w:t>
        </w:r>
        <w:r w:rsidR="000E74AA">
          <w:rPr>
            <w:noProof/>
          </w:rPr>
          <w:tab/>
        </w:r>
        <w:r w:rsidR="000E74AA" w:rsidRPr="000650E1">
          <w:rPr>
            <w:rStyle w:val="Hyperlink"/>
            <w:rFonts w:ascii="Times New Roman" w:hAnsi="Times New Roman" w:cs="Times New Roman"/>
            <w:noProof/>
          </w:rPr>
          <w:t>PennVest Plant</w:t>
        </w:r>
        <w:r w:rsidR="000E74AA">
          <w:rPr>
            <w:noProof/>
            <w:webHidden/>
          </w:rPr>
          <w:tab/>
        </w:r>
        <w:r w:rsidR="000E74AA">
          <w:rPr>
            <w:noProof/>
            <w:webHidden/>
          </w:rPr>
          <w:fldChar w:fldCharType="begin"/>
        </w:r>
        <w:r w:rsidR="000E74AA">
          <w:rPr>
            <w:noProof/>
            <w:webHidden/>
          </w:rPr>
          <w:instrText xml:space="preserve"> PAGEREF _Toc372704706 \h </w:instrText>
        </w:r>
        <w:r w:rsidR="000E74AA">
          <w:rPr>
            <w:noProof/>
            <w:webHidden/>
          </w:rPr>
        </w:r>
        <w:r w:rsidR="000E74AA">
          <w:rPr>
            <w:noProof/>
            <w:webHidden/>
          </w:rPr>
          <w:fldChar w:fldCharType="separate"/>
        </w:r>
        <w:r w:rsidR="00E30674">
          <w:rPr>
            <w:noProof/>
            <w:webHidden/>
          </w:rPr>
          <w:t>39</w:t>
        </w:r>
        <w:r w:rsidR="000E74AA">
          <w:rPr>
            <w:noProof/>
            <w:webHidden/>
          </w:rPr>
          <w:fldChar w:fldCharType="end"/>
        </w:r>
      </w:hyperlink>
    </w:p>
    <w:p w:rsidR="000E74AA" w:rsidRDefault="00B05C89" w:rsidP="00C6545A">
      <w:pPr>
        <w:pStyle w:val="TOC3"/>
        <w:rPr>
          <w:noProof/>
        </w:rPr>
      </w:pPr>
      <w:hyperlink w:anchor="_Toc372704707" w:history="1">
        <w:r w:rsidR="000E74AA" w:rsidRPr="000650E1">
          <w:rPr>
            <w:rStyle w:val="Hyperlink"/>
            <w:rFonts w:ascii="Times New Roman" w:hAnsi="Times New Roman" w:cs="Times New Roman"/>
            <w:noProof/>
          </w:rPr>
          <w:t>2.</w:t>
        </w:r>
        <w:r w:rsidR="000E74AA">
          <w:rPr>
            <w:noProof/>
          </w:rPr>
          <w:tab/>
        </w:r>
        <w:r w:rsidR="000E74AA" w:rsidRPr="000650E1">
          <w:rPr>
            <w:rStyle w:val="Hyperlink"/>
            <w:rFonts w:ascii="Times New Roman" w:hAnsi="Times New Roman" w:cs="Times New Roman"/>
            <w:noProof/>
          </w:rPr>
          <w:t>Officers, Directors, &amp; Majority Stockholders Salaries</w:t>
        </w:r>
        <w:r w:rsidR="000E74AA">
          <w:rPr>
            <w:noProof/>
            <w:webHidden/>
          </w:rPr>
          <w:tab/>
        </w:r>
        <w:r w:rsidR="000E74AA">
          <w:rPr>
            <w:noProof/>
            <w:webHidden/>
          </w:rPr>
          <w:fldChar w:fldCharType="begin"/>
        </w:r>
        <w:r w:rsidR="000E74AA">
          <w:rPr>
            <w:noProof/>
            <w:webHidden/>
          </w:rPr>
          <w:instrText xml:space="preserve"> PAGEREF _Toc372704707 \h </w:instrText>
        </w:r>
        <w:r w:rsidR="000E74AA">
          <w:rPr>
            <w:noProof/>
            <w:webHidden/>
          </w:rPr>
        </w:r>
        <w:r w:rsidR="000E74AA">
          <w:rPr>
            <w:noProof/>
            <w:webHidden/>
          </w:rPr>
          <w:fldChar w:fldCharType="separate"/>
        </w:r>
        <w:r w:rsidR="00E30674">
          <w:rPr>
            <w:noProof/>
            <w:webHidden/>
          </w:rPr>
          <w:t>40</w:t>
        </w:r>
        <w:r w:rsidR="000E74AA">
          <w:rPr>
            <w:noProof/>
            <w:webHidden/>
          </w:rPr>
          <w:fldChar w:fldCharType="end"/>
        </w:r>
      </w:hyperlink>
    </w:p>
    <w:p w:rsidR="000E74AA" w:rsidRDefault="00B05C89" w:rsidP="00C6545A">
      <w:pPr>
        <w:pStyle w:val="TOC3"/>
        <w:rPr>
          <w:noProof/>
        </w:rPr>
      </w:pPr>
      <w:hyperlink w:anchor="_Toc372704708" w:history="1">
        <w:r w:rsidR="000E74AA" w:rsidRPr="000650E1">
          <w:rPr>
            <w:rStyle w:val="Hyperlink"/>
            <w:rFonts w:ascii="Times New Roman" w:hAnsi="Times New Roman" w:cs="Times New Roman"/>
            <w:noProof/>
          </w:rPr>
          <w:t>3.</w:t>
        </w:r>
        <w:r w:rsidR="000E74AA">
          <w:rPr>
            <w:noProof/>
          </w:rPr>
          <w:tab/>
        </w:r>
        <w:r w:rsidR="000E74AA" w:rsidRPr="000650E1">
          <w:rPr>
            <w:rStyle w:val="Hyperlink"/>
            <w:rFonts w:ascii="Times New Roman" w:hAnsi="Times New Roman" w:cs="Times New Roman"/>
            <w:noProof/>
          </w:rPr>
          <w:t>Employee Recognition Expense Claim</w:t>
        </w:r>
        <w:r w:rsidR="000E74AA">
          <w:rPr>
            <w:noProof/>
            <w:webHidden/>
          </w:rPr>
          <w:tab/>
        </w:r>
        <w:r w:rsidR="000E74AA">
          <w:rPr>
            <w:noProof/>
            <w:webHidden/>
          </w:rPr>
          <w:fldChar w:fldCharType="begin"/>
        </w:r>
        <w:r w:rsidR="000E74AA">
          <w:rPr>
            <w:noProof/>
            <w:webHidden/>
          </w:rPr>
          <w:instrText xml:space="preserve"> PAGEREF _Toc372704708 \h </w:instrText>
        </w:r>
        <w:r w:rsidR="000E74AA">
          <w:rPr>
            <w:noProof/>
            <w:webHidden/>
          </w:rPr>
        </w:r>
        <w:r w:rsidR="000E74AA">
          <w:rPr>
            <w:noProof/>
            <w:webHidden/>
          </w:rPr>
          <w:fldChar w:fldCharType="separate"/>
        </w:r>
        <w:r w:rsidR="00E30674">
          <w:rPr>
            <w:noProof/>
            <w:webHidden/>
          </w:rPr>
          <w:t>41</w:t>
        </w:r>
        <w:r w:rsidR="000E74AA">
          <w:rPr>
            <w:noProof/>
            <w:webHidden/>
          </w:rPr>
          <w:fldChar w:fldCharType="end"/>
        </w:r>
      </w:hyperlink>
    </w:p>
    <w:p w:rsidR="000E74AA" w:rsidRDefault="00B05C89" w:rsidP="00C6545A">
      <w:pPr>
        <w:pStyle w:val="TOC3"/>
        <w:rPr>
          <w:noProof/>
        </w:rPr>
      </w:pPr>
      <w:hyperlink w:anchor="_Toc372704709" w:history="1">
        <w:r w:rsidR="000E74AA" w:rsidRPr="000650E1">
          <w:rPr>
            <w:rStyle w:val="Hyperlink"/>
            <w:rFonts w:ascii="Times New Roman" w:hAnsi="Times New Roman" w:cs="Times New Roman"/>
            <w:noProof/>
          </w:rPr>
          <w:t>4.</w:t>
        </w:r>
        <w:r w:rsidR="000E74AA">
          <w:rPr>
            <w:noProof/>
          </w:rPr>
          <w:tab/>
        </w:r>
        <w:r w:rsidR="000E74AA" w:rsidRPr="000650E1">
          <w:rPr>
            <w:rStyle w:val="Hyperlink"/>
            <w:rFonts w:ascii="Times New Roman" w:hAnsi="Times New Roman" w:cs="Times New Roman"/>
            <w:noProof/>
          </w:rPr>
          <w:t>Taxes</w:t>
        </w:r>
        <w:r w:rsidR="000E74AA">
          <w:rPr>
            <w:noProof/>
            <w:webHidden/>
          </w:rPr>
          <w:tab/>
        </w:r>
        <w:r w:rsidR="000E74AA">
          <w:rPr>
            <w:noProof/>
            <w:webHidden/>
          </w:rPr>
          <w:fldChar w:fldCharType="begin"/>
        </w:r>
        <w:r w:rsidR="000E74AA">
          <w:rPr>
            <w:noProof/>
            <w:webHidden/>
          </w:rPr>
          <w:instrText xml:space="preserve"> PAGEREF _Toc372704709 \h </w:instrText>
        </w:r>
        <w:r w:rsidR="000E74AA">
          <w:rPr>
            <w:noProof/>
            <w:webHidden/>
          </w:rPr>
        </w:r>
        <w:r w:rsidR="000E74AA">
          <w:rPr>
            <w:noProof/>
            <w:webHidden/>
          </w:rPr>
          <w:fldChar w:fldCharType="separate"/>
        </w:r>
        <w:r w:rsidR="00E30674">
          <w:rPr>
            <w:noProof/>
            <w:webHidden/>
          </w:rPr>
          <w:t>41</w:t>
        </w:r>
        <w:r w:rsidR="000E74AA">
          <w:rPr>
            <w:noProof/>
            <w:webHidden/>
          </w:rPr>
          <w:fldChar w:fldCharType="end"/>
        </w:r>
      </w:hyperlink>
    </w:p>
    <w:p w:rsidR="000E74AA" w:rsidRDefault="00B05C89" w:rsidP="00C6545A">
      <w:pPr>
        <w:pStyle w:val="TOC2"/>
        <w:rPr>
          <w:noProof/>
        </w:rPr>
      </w:pPr>
      <w:hyperlink w:anchor="_Toc372704710" w:history="1">
        <w:r w:rsidR="000E74AA" w:rsidRPr="000650E1">
          <w:rPr>
            <w:rStyle w:val="Hyperlink"/>
            <w:rFonts w:ascii="Times New Roman" w:hAnsi="Times New Roman" w:cs="Times New Roman"/>
            <w:noProof/>
          </w:rPr>
          <w:t>F.</w:t>
        </w:r>
        <w:r w:rsidR="000E74AA">
          <w:rPr>
            <w:noProof/>
          </w:rPr>
          <w:tab/>
        </w:r>
        <w:r w:rsidR="000E74AA" w:rsidRPr="000650E1">
          <w:rPr>
            <w:rStyle w:val="Hyperlink"/>
            <w:rFonts w:ascii="Times New Roman" w:hAnsi="Times New Roman" w:cs="Times New Roman"/>
            <w:noProof/>
          </w:rPr>
          <w:t>Rate of Return</w:t>
        </w:r>
        <w:r w:rsidR="000E74AA">
          <w:rPr>
            <w:noProof/>
            <w:webHidden/>
          </w:rPr>
          <w:tab/>
        </w:r>
        <w:r w:rsidR="000E74AA">
          <w:rPr>
            <w:noProof/>
            <w:webHidden/>
          </w:rPr>
          <w:fldChar w:fldCharType="begin"/>
        </w:r>
        <w:r w:rsidR="000E74AA">
          <w:rPr>
            <w:noProof/>
            <w:webHidden/>
          </w:rPr>
          <w:instrText xml:space="preserve"> PAGEREF _Toc372704710 \h </w:instrText>
        </w:r>
        <w:r w:rsidR="000E74AA">
          <w:rPr>
            <w:noProof/>
            <w:webHidden/>
          </w:rPr>
        </w:r>
        <w:r w:rsidR="000E74AA">
          <w:rPr>
            <w:noProof/>
            <w:webHidden/>
          </w:rPr>
          <w:fldChar w:fldCharType="separate"/>
        </w:r>
        <w:r w:rsidR="00E30674">
          <w:rPr>
            <w:noProof/>
            <w:webHidden/>
          </w:rPr>
          <w:t>42</w:t>
        </w:r>
        <w:r w:rsidR="000E74AA">
          <w:rPr>
            <w:noProof/>
            <w:webHidden/>
          </w:rPr>
          <w:fldChar w:fldCharType="end"/>
        </w:r>
      </w:hyperlink>
    </w:p>
    <w:p w:rsidR="000E74AA" w:rsidRDefault="00B05C89" w:rsidP="00C6545A">
      <w:pPr>
        <w:pStyle w:val="TOC2"/>
        <w:rPr>
          <w:noProof/>
        </w:rPr>
      </w:pPr>
      <w:hyperlink w:anchor="_Toc372704711" w:history="1">
        <w:r w:rsidR="000E74AA" w:rsidRPr="000650E1">
          <w:rPr>
            <w:rStyle w:val="Hyperlink"/>
            <w:rFonts w:ascii="Times New Roman" w:hAnsi="Times New Roman" w:cs="Times New Roman"/>
            <w:noProof/>
          </w:rPr>
          <w:t>G.</w:t>
        </w:r>
        <w:r w:rsidR="000E74AA">
          <w:rPr>
            <w:noProof/>
          </w:rPr>
          <w:tab/>
        </w:r>
        <w:r w:rsidR="000E74AA" w:rsidRPr="000650E1">
          <w:rPr>
            <w:rStyle w:val="Hyperlink"/>
            <w:rFonts w:ascii="Times New Roman" w:hAnsi="Times New Roman" w:cs="Times New Roman"/>
            <w:noProof/>
          </w:rPr>
          <w:t>Columbia’s Proposed Adjustments for Performance</w:t>
        </w:r>
        <w:r w:rsidR="000E74AA">
          <w:rPr>
            <w:noProof/>
            <w:webHidden/>
          </w:rPr>
          <w:tab/>
        </w:r>
        <w:r w:rsidR="000E74AA">
          <w:rPr>
            <w:noProof/>
            <w:webHidden/>
          </w:rPr>
          <w:fldChar w:fldCharType="begin"/>
        </w:r>
        <w:r w:rsidR="000E74AA">
          <w:rPr>
            <w:noProof/>
            <w:webHidden/>
          </w:rPr>
          <w:instrText xml:space="preserve"> PAGEREF _Toc372704711 \h </w:instrText>
        </w:r>
        <w:r w:rsidR="000E74AA">
          <w:rPr>
            <w:noProof/>
            <w:webHidden/>
          </w:rPr>
        </w:r>
        <w:r w:rsidR="000E74AA">
          <w:rPr>
            <w:noProof/>
            <w:webHidden/>
          </w:rPr>
          <w:fldChar w:fldCharType="separate"/>
        </w:r>
        <w:r w:rsidR="00E30674">
          <w:rPr>
            <w:noProof/>
            <w:webHidden/>
          </w:rPr>
          <w:t>45</w:t>
        </w:r>
        <w:r w:rsidR="000E74AA">
          <w:rPr>
            <w:noProof/>
            <w:webHidden/>
          </w:rPr>
          <w:fldChar w:fldCharType="end"/>
        </w:r>
      </w:hyperlink>
    </w:p>
    <w:p w:rsidR="000E74AA" w:rsidRDefault="00B05C89" w:rsidP="00C6545A">
      <w:pPr>
        <w:pStyle w:val="TOC2"/>
        <w:rPr>
          <w:noProof/>
        </w:rPr>
      </w:pPr>
      <w:hyperlink w:anchor="_Toc372704712" w:history="1">
        <w:r w:rsidR="000E74AA" w:rsidRPr="000650E1">
          <w:rPr>
            <w:rStyle w:val="Hyperlink"/>
            <w:rFonts w:ascii="Times New Roman" w:hAnsi="Times New Roman" w:cs="Times New Roman"/>
            <w:noProof/>
          </w:rPr>
          <w:t>H.</w:t>
        </w:r>
        <w:r w:rsidR="000E74AA">
          <w:rPr>
            <w:noProof/>
          </w:rPr>
          <w:tab/>
        </w:r>
        <w:r w:rsidR="000E74AA" w:rsidRPr="000650E1">
          <w:rPr>
            <w:rStyle w:val="Hyperlink"/>
            <w:rFonts w:ascii="Times New Roman" w:hAnsi="Times New Roman" w:cs="Times New Roman"/>
            <w:noProof/>
          </w:rPr>
          <w:t>Rate Structure</w:t>
        </w:r>
        <w:r w:rsidR="000E74AA">
          <w:rPr>
            <w:noProof/>
            <w:webHidden/>
          </w:rPr>
          <w:tab/>
        </w:r>
        <w:r w:rsidR="000E74AA">
          <w:rPr>
            <w:noProof/>
            <w:webHidden/>
          </w:rPr>
          <w:fldChar w:fldCharType="begin"/>
        </w:r>
        <w:r w:rsidR="000E74AA">
          <w:rPr>
            <w:noProof/>
            <w:webHidden/>
          </w:rPr>
          <w:instrText xml:space="preserve"> PAGEREF _Toc372704712 \h </w:instrText>
        </w:r>
        <w:r w:rsidR="000E74AA">
          <w:rPr>
            <w:noProof/>
            <w:webHidden/>
          </w:rPr>
        </w:r>
        <w:r w:rsidR="000E74AA">
          <w:rPr>
            <w:noProof/>
            <w:webHidden/>
          </w:rPr>
          <w:fldChar w:fldCharType="separate"/>
        </w:r>
        <w:r w:rsidR="00E30674">
          <w:rPr>
            <w:noProof/>
            <w:webHidden/>
          </w:rPr>
          <w:t>47</w:t>
        </w:r>
        <w:r w:rsidR="000E74AA">
          <w:rPr>
            <w:noProof/>
            <w:webHidden/>
          </w:rPr>
          <w:fldChar w:fldCharType="end"/>
        </w:r>
      </w:hyperlink>
    </w:p>
    <w:p w:rsidR="000E74AA" w:rsidRDefault="00B05C89" w:rsidP="00C6545A">
      <w:pPr>
        <w:pStyle w:val="TOC1"/>
        <w:rPr>
          <w:noProof/>
        </w:rPr>
      </w:pPr>
      <w:hyperlink w:anchor="_Toc372704713" w:history="1">
        <w:r w:rsidR="000E74AA" w:rsidRPr="000650E1">
          <w:rPr>
            <w:rStyle w:val="Hyperlink"/>
            <w:rFonts w:ascii="Times New Roman" w:hAnsi="Times New Roman" w:cs="Times New Roman"/>
            <w:noProof/>
          </w:rPr>
          <w:t>VI.</w:t>
        </w:r>
        <w:r w:rsidR="000E74AA">
          <w:rPr>
            <w:noProof/>
          </w:rPr>
          <w:tab/>
        </w:r>
        <w:r w:rsidR="000E74AA" w:rsidRPr="000650E1">
          <w:rPr>
            <w:rStyle w:val="Hyperlink"/>
            <w:rFonts w:ascii="Times New Roman" w:hAnsi="Times New Roman" w:cs="Times New Roman"/>
            <w:noProof/>
          </w:rPr>
          <w:t>CONCLUSION</w:t>
        </w:r>
        <w:r w:rsidR="000E74AA">
          <w:rPr>
            <w:noProof/>
            <w:webHidden/>
          </w:rPr>
          <w:tab/>
        </w:r>
        <w:r w:rsidR="000E74AA">
          <w:rPr>
            <w:noProof/>
            <w:webHidden/>
          </w:rPr>
          <w:fldChar w:fldCharType="begin"/>
        </w:r>
        <w:r w:rsidR="000E74AA">
          <w:rPr>
            <w:noProof/>
            <w:webHidden/>
          </w:rPr>
          <w:instrText xml:space="preserve"> PAGEREF _Toc372704713 \h </w:instrText>
        </w:r>
        <w:r w:rsidR="000E74AA">
          <w:rPr>
            <w:noProof/>
            <w:webHidden/>
          </w:rPr>
        </w:r>
        <w:r w:rsidR="000E74AA">
          <w:rPr>
            <w:noProof/>
            <w:webHidden/>
          </w:rPr>
          <w:fldChar w:fldCharType="separate"/>
        </w:r>
        <w:r w:rsidR="00E30674">
          <w:rPr>
            <w:noProof/>
            <w:webHidden/>
          </w:rPr>
          <w:t>47</w:t>
        </w:r>
        <w:r w:rsidR="000E74AA">
          <w:rPr>
            <w:noProof/>
            <w:webHidden/>
          </w:rPr>
          <w:fldChar w:fldCharType="end"/>
        </w:r>
      </w:hyperlink>
    </w:p>
    <w:p w:rsidR="000E74AA" w:rsidRDefault="00B05C89" w:rsidP="00C6545A">
      <w:pPr>
        <w:pStyle w:val="TOC1"/>
        <w:rPr>
          <w:noProof/>
        </w:rPr>
      </w:pPr>
      <w:hyperlink w:anchor="_Toc372704714" w:history="1">
        <w:r w:rsidR="000E74AA" w:rsidRPr="000650E1">
          <w:rPr>
            <w:rStyle w:val="Hyperlink"/>
            <w:rFonts w:ascii="Times New Roman" w:hAnsi="Times New Roman" w:cs="Times New Roman"/>
            <w:noProof/>
          </w:rPr>
          <w:t>VII.</w:t>
        </w:r>
        <w:r w:rsidR="000E74AA">
          <w:rPr>
            <w:noProof/>
          </w:rPr>
          <w:tab/>
        </w:r>
        <w:r w:rsidR="000E74AA" w:rsidRPr="000650E1">
          <w:rPr>
            <w:rStyle w:val="Hyperlink"/>
            <w:rFonts w:ascii="Times New Roman" w:hAnsi="Times New Roman" w:cs="Times New Roman"/>
            <w:noProof/>
          </w:rPr>
          <w:t>CONCLUSIONS OF LAW</w:t>
        </w:r>
        <w:r w:rsidR="000E74AA">
          <w:rPr>
            <w:noProof/>
            <w:webHidden/>
          </w:rPr>
          <w:tab/>
        </w:r>
        <w:r w:rsidR="000E74AA">
          <w:rPr>
            <w:noProof/>
            <w:webHidden/>
          </w:rPr>
          <w:fldChar w:fldCharType="begin"/>
        </w:r>
        <w:r w:rsidR="000E74AA">
          <w:rPr>
            <w:noProof/>
            <w:webHidden/>
          </w:rPr>
          <w:instrText xml:space="preserve"> PAGEREF _Toc372704714 \h </w:instrText>
        </w:r>
        <w:r w:rsidR="000E74AA">
          <w:rPr>
            <w:noProof/>
            <w:webHidden/>
          </w:rPr>
        </w:r>
        <w:r w:rsidR="000E74AA">
          <w:rPr>
            <w:noProof/>
            <w:webHidden/>
          </w:rPr>
          <w:fldChar w:fldCharType="separate"/>
        </w:r>
        <w:r w:rsidR="00E30674">
          <w:rPr>
            <w:noProof/>
            <w:webHidden/>
          </w:rPr>
          <w:t>49</w:t>
        </w:r>
        <w:r w:rsidR="000E74AA">
          <w:rPr>
            <w:noProof/>
            <w:webHidden/>
          </w:rPr>
          <w:fldChar w:fldCharType="end"/>
        </w:r>
      </w:hyperlink>
    </w:p>
    <w:p w:rsidR="000E74AA" w:rsidRDefault="00B05C89" w:rsidP="00C6545A">
      <w:pPr>
        <w:pStyle w:val="TOC1"/>
        <w:rPr>
          <w:noProof/>
        </w:rPr>
      </w:pPr>
      <w:hyperlink w:anchor="_Toc372704715" w:history="1">
        <w:r w:rsidR="000E74AA" w:rsidRPr="000650E1">
          <w:rPr>
            <w:rStyle w:val="Hyperlink"/>
            <w:rFonts w:ascii="Times New Roman" w:hAnsi="Times New Roman" w:cs="Times New Roman"/>
            <w:noProof/>
          </w:rPr>
          <w:t>VIII.</w:t>
        </w:r>
        <w:r w:rsidR="000E74AA">
          <w:rPr>
            <w:noProof/>
          </w:rPr>
          <w:tab/>
        </w:r>
        <w:r w:rsidR="000E74AA" w:rsidRPr="000650E1">
          <w:rPr>
            <w:rStyle w:val="Hyperlink"/>
            <w:rFonts w:ascii="Times New Roman" w:hAnsi="Times New Roman" w:cs="Times New Roman"/>
            <w:noProof/>
          </w:rPr>
          <w:t>ORDER</w:t>
        </w:r>
        <w:r w:rsidR="000E74AA">
          <w:rPr>
            <w:noProof/>
            <w:webHidden/>
          </w:rPr>
          <w:tab/>
        </w:r>
        <w:r w:rsidR="000E74AA">
          <w:rPr>
            <w:noProof/>
            <w:webHidden/>
          </w:rPr>
          <w:fldChar w:fldCharType="begin"/>
        </w:r>
        <w:r w:rsidR="000E74AA">
          <w:rPr>
            <w:noProof/>
            <w:webHidden/>
          </w:rPr>
          <w:instrText xml:space="preserve"> PAGEREF _Toc372704715 \h </w:instrText>
        </w:r>
        <w:r w:rsidR="000E74AA">
          <w:rPr>
            <w:noProof/>
            <w:webHidden/>
          </w:rPr>
        </w:r>
        <w:r w:rsidR="000E74AA">
          <w:rPr>
            <w:noProof/>
            <w:webHidden/>
          </w:rPr>
          <w:fldChar w:fldCharType="separate"/>
        </w:r>
        <w:r w:rsidR="00E30674">
          <w:rPr>
            <w:noProof/>
            <w:webHidden/>
          </w:rPr>
          <w:t>50</w:t>
        </w:r>
        <w:r w:rsidR="000E74AA">
          <w:rPr>
            <w:noProof/>
            <w:webHidden/>
          </w:rPr>
          <w:fldChar w:fldCharType="end"/>
        </w:r>
      </w:hyperlink>
    </w:p>
    <w:p w:rsidR="00F06452" w:rsidRDefault="000E74AA" w:rsidP="000E74AA">
      <w:pPr>
        <w:spacing w:line="360" w:lineRule="auto"/>
        <w:contextualSpacing/>
        <w:rPr>
          <w:rFonts w:ascii="Times New Roman" w:hAnsi="Times New Roman" w:cs="Times New Roman"/>
        </w:rPr>
      </w:pPr>
      <w:r>
        <w:rPr>
          <w:rFonts w:ascii="Times New Roman" w:hAnsi="Times New Roman" w:cs="Times New Roman"/>
        </w:rPr>
        <w:fldChar w:fldCharType="end"/>
      </w:r>
    </w:p>
    <w:p w:rsidR="00F06452" w:rsidRDefault="00F06452" w:rsidP="00047866">
      <w:pPr>
        <w:spacing w:line="360" w:lineRule="auto"/>
        <w:contextualSpacing/>
        <w:jc w:val="center"/>
        <w:rPr>
          <w:rFonts w:ascii="Times New Roman" w:hAnsi="Times New Roman" w:cs="Times New Roman"/>
        </w:rPr>
      </w:pPr>
    </w:p>
    <w:p w:rsidR="00F06452" w:rsidRDefault="00F06452" w:rsidP="00047866">
      <w:pPr>
        <w:spacing w:line="360" w:lineRule="auto"/>
        <w:contextualSpacing/>
        <w:jc w:val="center"/>
        <w:rPr>
          <w:rFonts w:ascii="Times New Roman" w:hAnsi="Times New Roman" w:cs="Times New Roman"/>
        </w:rPr>
        <w:sectPr w:rsidR="00F06452" w:rsidSect="000E74AA">
          <w:footerReference w:type="first" r:id="rId11"/>
          <w:pgSz w:w="12240" w:h="15840" w:code="1"/>
          <w:pgMar w:top="1296" w:right="1296" w:bottom="1296" w:left="1296" w:header="720" w:footer="720" w:gutter="0"/>
          <w:pgNumType w:fmt="lowerRoman" w:start="1"/>
          <w:cols w:space="720"/>
          <w:noEndnote/>
          <w:titlePg/>
          <w:docGrid w:linePitch="326"/>
        </w:sectPr>
      </w:pPr>
    </w:p>
    <w:p w:rsidR="00F06452" w:rsidRDefault="00F06452" w:rsidP="00047866">
      <w:pPr>
        <w:spacing w:line="360" w:lineRule="auto"/>
        <w:contextualSpacing/>
        <w:jc w:val="center"/>
        <w:rPr>
          <w:rFonts w:ascii="Times New Roman" w:hAnsi="Times New Roman" w:cs="Times New Roman"/>
        </w:rPr>
      </w:pPr>
    </w:p>
    <w:p w:rsidR="00F80883" w:rsidRPr="00EA224A" w:rsidRDefault="00F80883"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I.</w:t>
      </w:r>
      <w:r w:rsidRPr="00EA224A">
        <w:rPr>
          <w:rFonts w:ascii="Times New Roman" w:hAnsi="Times New Roman" w:cs="Times New Roman"/>
        </w:rPr>
        <w:tab/>
      </w:r>
      <w:r w:rsidRPr="00EA224A">
        <w:rPr>
          <w:rFonts w:ascii="Times New Roman" w:hAnsi="Times New Roman" w:cs="Times New Roman"/>
          <w:u w:val="single"/>
        </w:rPr>
        <w:t>INTRODUCTION</w:t>
      </w:r>
      <w:r w:rsidR="000E74AA">
        <w:rPr>
          <w:rFonts w:ascii="Times New Roman" w:hAnsi="Times New Roman" w:cs="Times New Roman"/>
          <w:u w:val="single"/>
        </w:rPr>
        <w:fldChar w:fldCharType="begin"/>
      </w:r>
      <w:r w:rsidR="000E74AA">
        <w:instrText xml:space="preserve"> TC "</w:instrText>
      </w:r>
      <w:bookmarkStart w:id="0" w:name="_Toc372704677"/>
      <w:r w:rsidR="000E74AA" w:rsidRPr="00831096">
        <w:rPr>
          <w:rFonts w:ascii="Times New Roman" w:hAnsi="Times New Roman" w:cs="Times New Roman"/>
        </w:rPr>
        <w:instrText>I.</w:instrText>
      </w:r>
      <w:r w:rsidR="000E74AA" w:rsidRPr="00831096">
        <w:rPr>
          <w:rFonts w:ascii="Times New Roman" w:hAnsi="Times New Roman" w:cs="Times New Roman"/>
        </w:rPr>
        <w:tab/>
      </w:r>
      <w:r w:rsidR="000E74AA" w:rsidRPr="00831096">
        <w:rPr>
          <w:rFonts w:ascii="Times New Roman" w:hAnsi="Times New Roman" w:cs="Times New Roman"/>
          <w:u w:val="single"/>
        </w:rPr>
        <w:instrText>INTRODUCTION</w:instrText>
      </w:r>
      <w:bookmarkEnd w:id="0"/>
      <w:r w:rsidR="000E74AA">
        <w:instrText xml:space="preserve">" \f C \l "1" </w:instrText>
      </w:r>
      <w:r w:rsidR="000E74AA">
        <w:rPr>
          <w:rFonts w:ascii="Times New Roman" w:hAnsi="Times New Roman" w:cs="Times New Roman"/>
          <w:u w:val="single"/>
        </w:rPr>
        <w:fldChar w:fldCharType="end"/>
      </w:r>
    </w:p>
    <w:p w:rsidR="00F80883" w:rsidRPr="00EA224A" w:rsidRDefault="00F80883" w:rsidP="00047866">
      <w:pPr>
        <w:spacing w:line="360" w:lineRule="auto"/>
        <w:contextualSpacing/>
        <w:rPr>
          <w:rFonts w:ascii="Times New Roman" w:hAnsi="Times New Roman" w:cs="Times New Roman"/>
        </w:rPr>
      </w:pPr>
    </w:p>
    <w:p w:rsidR="00D73B3B"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7A6F57" w:rsidRPr="00EA224A">
        <w:rPr>
          <w:rFonts w:ascii="Times New Roman" w:hAnsi="Times New Roman" w:cs="Times New Roman"/>
        </w:rPr>
        <w:t xml:space="preserve">This Recommended Decision considers </w:t>
      </w:r>
      <w:r w:rsidR="00D73B3B" w:rsidRPr="00EA224A">
        <w:rPr>
          <w:rFonts w:ascii="Times New Roman" w:hAnsi="Times New Roman" w:cs="Times New Roman"/>
        </w:rPr>
        <w:t>the outstanding issues in a base rate case filed by The Columbia Water Company (Columbia or Company).</w:t>
      </w:r>
      <w:r w:rsidR="002B5A8F" w:rsidRPr="00EA224A">
        <w:rPr>
          <w:rStyle w:val="FootnoteReference"/>
          <w:rFonts w:ascii="Times New Roman" w:hAnsi="Times New Roman" w:cs="Times New Roman"/>
        </w:rPr>
        <w:footnoteReference w:id="1"/>
      </w:r>
      <w:r w:rsidR="00D73B3B" w:rsidRPr="00EA224A">
        <w:rPr>
          <w:rFonts w:ascii="Times New Roman" w:hAnsi="Times New Roman" w:cs="Times New Roman"/>
        </w:rPr>
        <w:t xml:space="preserve">  </w:t>
      </w:r>
      <w:r w:rsidR="00A93D0C" w:rsidRPr="00EA224A">
        <w:rPr>
          <w:rFonts w:ascii="Times New Roman" w:hAnsi="Times New Roman" w:cs="Times New Roman"/>
        </w:rPr>
        <w:t xml:space="preserve">This Recommended Decision rejects the proposed rate increase </w:t>
      </w:r>
      <w:r w:rsidR="005A07B1" w:rsidRPr="00EA224A">
        <w:rPr>
          <w:rFonts w:ascii="Times New Roman" w:hAnsi="Times New Roman" w:cs="Times New Roman"/>
        </w:rPr>
        <w:t>of $773,210 a</w:t>
      </w:r>
      <w:r w:rsidR="00A93D0C" w:rsidRPr="00EA224A">
        <w:rPr>
          <w:rFonts w:ascii="Times New Roman" w:hAnsi="Times New Roman" w:cs="Times New Roman"/>
        </w:rPr>
        <w:t xml:space="preserve">s filed in that it is not just and reasonable, and so is not in the public interest, but directs Columbia to file an appropriately designed tariff that provides for an opportunity to collect </w:t>
      </w:r>
      <w:r w:rsidR="005A07B1" w:rsidRPr="00EA224A">
        <w:rPr>
          <w:rFonts w:ascii="Times New Roman" w:hAnsi="Times New Roman" w:cs="Times New Roman"/>
        </w:rPr>
        <w:t>additional</w:t>
      </w:r>
      <w:r w:rsidR="00A93D0C" w:rsidRPr="00EA224A">
        <w:rPr>
          <w:rFonts w:ascii="Times New Roman" w:hAnsi="Times New Roman" w:cs="Times New Roman"/>
        </w:rPr>
        <w:t xml:space="preserve"> revenues</w:t>
      </w:r>
      <w:r w:rsidR="00E178CF" w:rsidRPr="00EA224A">
        <w:rPr>
          <w:rFonts w:ascii="Times New Roman" w:hAnsi="Times New Roman" w:cs="Times New Roman"/>
        </w:rPr>
        <w:t xml:space="preserve"> </w:t>
      </w:r>
      <w:r w:rsidR="00DC1CB7">
        <w:rPr>
          <w:rFonts w:ascii="Times New Roman" w:hAnsi="Times New Roman" w:cs="Times New Roman"/>
        </w:rPr>
        <w:t>of $</w:t>
      </w:r>
      <w:r w:rsidR="00FF6A3A">
        <w:rPr>
          <w:rFonts w:ascii="Times New Roman" w:hAnsi="Times New Roman" w:cs="Times New Roman"/>
        </w:rPr>
        <w:t>87,699</w:t>
      </w:r>
      <w:r w:rsidR="00DC1CB7" w:rsidRPr="00DC1CB7">
        <w:rPr>
          <w:rFonts w:ascii="Times New Roman" w:hAnsi="Times New Roman" w:cs="Times New Roman"/>
        </w:rPr>
        <w:t xml:space="preserve"> </w:t>
      </w:r>
      <w:r w:rsidR="00E178CF" w:rsidRPr="00EA224A">
        <w:rPr>
          <w:rFonts w:ascii="Times New Roman" w:hAnsi="Times New Roman" w:cs="Times New Roman"/>
        </w:rPr>
        <w:t>consistent with this Recommended Decision</w:t>
      </w:r>
      <w:r w:rsidR="00A93D0C" w:rsidRPr="00EA224A">
        <w:rPr>
          <w:rFonts w:ascii="Times New Roman" w:hAnsi="Times New Roman" w:cs="Times New Roman"/>
        </w:rPr>
        <w:t>.  A Commission decision in this matter is due no later than January 24, 2014.</w:t>
      </w:r>
    </w:p>
    <w:p w:rsidR="00F80883" w:rsidRPr="00EA224A" w:rsidRDefault="00F80883" w:rsidP="00047866">
      <w:pPr>
        <w:spacing w:line="360" w:lineRule="auto"/>
        <w:contextualSpacing/>
        <w:rPr>
          <w:rFonts w:ascii="Times New Roman" w:hAnsi="Times New Roman" w:cs="Times New Roman"/>
        </w:rPr>
      </w:pPr>
    </w:p>
    <w:p w:rsidR="00F80883"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Columbia has two water divisions</w:t>
      </w:r>
      <w:r w:rsidR="00DC1CB7">
        <w:rPr>
          <w:rFonts w:ascii="Times New Roman" w:hAnsi="Times New Roman" w:cs="Times New Roman"/>
        </w:rPr>
        <w:t>.</w:t>
      </w:r>
      <w:r w:rsidRPr="00EA224A">
        <w:rPr>
          <w:rFonts w:ascii="Times New Roman" w:hAnsi="Times New Roman" w:cs="Times New Roman"/>
        </w:rPr>
        <w:t xml:space="preserve"> </w:t>
      </w:r>
      <w:r w:rsidR="00DC1CB7">
        <w:rPr>
          <w:rFonts w:ascii="Times New Roman" w:hAnsi="Times New Roman" w:cs="Times New Roman"/>
        </w:rPr>
        <w:t xml:space="preserve"> T</w:t>
      </w:r>
      <w:r w:rsidRPr="00EA224A">
        <w:rPr>
          <w:rFonts w:ascii="Times New Roman" w:hAnsi="Times New Roman" w:cs="Times New Roman"/>
        </w:rPr>
        <w:t>he Marietta Division provides water service in Marietta Borough and East Donegal Township in Lancaster County, and in Hellam Township in York County.  The Columbia Division provides water service in Columbia and Mountville Boroughs, and in West Hempfield and Manor Townships, all located in Lancaster County.  Columbia serves approximately 8,870 customers.  CWC St. 1 at 2-3.</w:t>
      </w:r>
      <w:r w:rsidR="00DC1CB7">
        <w:rPr>
          <w:rFonts w:ascii="Times New Roman" w:hAnsi="Times New Roman" w:cs="Times New Roman"/>
        </w:rPr>
        <w:t xml:space="preserve">  </w:t>
      </w:r>
    </w:p>
    <w:p w:rsidR="00DC1CB7" w:rsidRPr="00EA224A" w:rsidRDefault="00DC1CB7" w:rsidP="00047866">
      <w:pPr>
        <w:spacing w:line="360" w:lineRule="auto"/>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Columbia draws water from the Susquehanna River to supply its customers.  Water from the Susquehanna River travels through pipes into Columbia’s receiving wells where water treatment begins.  Columbia pumps the water from the receiving wells through a parallel sedimentation train and then into six dual media gravity filters.  Water from the filters then enters a clearwell and is disinfected using chlorine.  Columbia then pumps the water from the clearwell into its distribution system.  Water quality samples are taken from various areas of the distribution system to assure quality.  Weekly reports of all tests and operations of the plant are submitted to the Pennsylvania Department of Environmental Protection.  CWC St. 1 at 3.</w:t>
      </w:r>
    </w:p>
    <w:p w:rsidR="00705C62" w:rsidRDefault="00705C62" w:rsidP="00047866">
      <w:pPr>
        <w:spacing w:line="360" w:lineRule="auto"/>
        <w:contextualSpacing/>
        <w:rPr>
          <w:rFonts w:ascii="Times New Roman" w:hAnsi="Times New Roman" w:cs="Times New Roman"/>
        </w:rPr>
      </w:pPr>
    </w:p>
    <w:p w:rsidR="00705C62" w:rsidRPr="00EA224A" w:rsidRDefault="00AC06AF"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I</w:t>
      </w:r>
      <w:r w:rsidR="00F80883" w:rsidRPr="00EA224A">
        <w:rPr>
          <w:rFonts w:ascii="Times New Roman" w:hAnsi="Times New Roman" w:cs="Times New Roman"/>
        </w:rPr>
        <w:t>I</w:t>
      </w:r>
      <w:r w:rsidRPr="00EA224A">
        <w:rPr>
          <w:rFonts w:ascii="Times New Roman" w:hAnsi="Times New Roman" w:cs="Times New Roman"/>
        </w:rPr>
        <w:t>.</w:t>
      </w:r>
      <w:r w:rsidRPr="00EA224A">
        <w:rPr>
          <w:rFonts w:ascii="Times New Roman" w:hAnsi="Times New Roman" w:cs="Times New Roman"/>
        </w:rPr>
        <w:tab/>
      </w:r>
      <w:r w:rsidR="00705C62" w:rsidRPr="00EA224A">
        <w:rPr>
          <w:rFonts w:ascii="Times New Roman" w:hAnsi="Times New Roman" w:cs="Times New Roman"/>
          <w:u w:val="single"/>
        </w:rPr>
        <w:t>HISTORY</w:t>
      </w:r>
      <w:r w:rsidR="000E74AA">
        <w:rPr>
          <w:rFonts w:ascii="Times New Roman" w:hAnsi="Times New Roman" w:cs="Times New Roman"/>
          <w:u w:val="single"/>
        </w:rPr>
        <w:fldChar w:fldCharType="begin"/>
      </w:r>
      <w:r w:rsidR="000E74AA">
        <w:instrText xml:space="preserve"> TC "</w:instrText>
      </w:r>
      <w:bookmarkStart w:id="2" w:name="_Toc372704678"/>
      <w:r w:rsidR="000E74AA" w:rsidRPr="00831096">
        <w:rPr>
          <w:rFonts w:ascii="Times New Roman" w:hAnsi="Times New Roman" w:cs="Times New Roman"/>
        </w:rPr>
        <w:instrText>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HISTORY</w:instrText>
      </w:r>
      <w:bookmarkEnd w:id="2"/>
      <w:r w:rsidR="000E74AA">
        <w:instrText xml:space="preserve">" \f C \l "1" </w:instrText>
      </w:r>
      <w:r w:rsidR="000E74AA">
        <w:rPr>
          <w:rFonts w:ascii="Times New Roman" w:hAnsi="Times New Roman" w:cs="Times New Roman"/>
          <w:u w:val="single"/>
        </w:rPr>
        <w:fldChar w:fldCharType="end"/>
      </w:r>
    </w:p>
    <w:p w:rsidR="00705C62" w:rsidRDefault="00705C62" w:rsidP="00047866">
      <w:pPr>
        <w:spacing w:line="360" w:lineRule="auto"/>
        <w:contextualSpacing/>
        <w:rPr>
          <w:rFonts w:ascii="Times New Roman" w:hAnsi="Times New Roman" w:cs="Times New Roman"/>
        </w:rPr>
      </w:pPr>
    </w:p>
    <w:p w:rsidR="00D73B3B" w:rsidRPr="00EA224A" w:rsidRDefault="00A12A3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73B3B" w:rsidRPr="00EA224A">
        <w:rPr>
          <w:rFonts w:ascii="Times New Roman" w:hAnsi="Times New Roman" w:cs="Times New Roman"/>
        </w:rPr>
        <w:t>On April 25, 2013, the Columbia Water Company (Columbia or Company) filed Suppleme</w:t>
      </w:r>
      <w:r w:rsidR="00D5546A">
        <w:rPr>
          <w:rFonts w:ascii="Times New Roman" w:hAnsi="Times New Roman" w:cs="Times New Roman"/>
        </w:rPr>
        <w:t>nt No. 60 to Tariff-Water-Pa. PUC</w:t>
      </w:r>
      <w:r w:rsidR="00D73B3B" w:rsidRPr="00EA224A">
        <w:rPr>
          <w:rFonts w:ascii="Times New Roman" w:hAnsi="Times New Roman" w:cs="Times New Roman"/>
        </w:rPr>
        <w:t xml:space="preserve"> No. 7, which contained proposed changes in rates, rules, and regulations calculated to recover an estimated annual increase in base rate revenues of $773,210 from customers of its Columbia Division.</w:t>
      </w:r>
      <w:r w:rsidR="00D73B3B" w:rsidRPr="00EA224A">
        <w:rPr>
          <w:rFonts w:ascii="Times New Roman" w:hAnsi="Times New Roman" w:cs="Times New Roman"/>
          <w:vertAlign w:val="superscript"/>
        </w:rPr>
        <w:footnoteReference w:id="2"/>
      </w:r>
      <w:r w:rsidR="00D73B3B" w:rsidRPr="00EA224A">
        <w:rPr>
          <w:rFonts w:ascii="Times New Roman" w:hAnsi="Times New Roman" w:cs="Times New Roman"/>
        </w:rPr>
        <w:t xml:space="preserve">  The increase </w:t>
      </w:r>
      <w:r w:rsidR="00964A70">
        <w:rPr>
          <w:rFonts w:ascii="Times New Roman" w:hAnsi="Times New Roman" w:cs="Times New Roman"/>
        </w:rPr>
        <w:t>was to become effective on June </w:t>
      </w:r>
      <w:r w:rsidR="00D73B3B" w:rsidRPr="00EA224A">
        <w:rPr>
          <w:rFonts w:ascii="Times New Roman" w:hAnsi="Times New Roman" w:cs="Times New Roman"/>
        </w:rPr>
        <w:t>24, 2013.</w:t>
      </w:r>
    </w:p>
    <w:p w:rsidR="001B3CA5" w:rsidRPr="00EA224A" w:rsidRDefault="001B3CA5" w:rsidP="00047866">
      <w:pPr>
        <w:spacing w:line="360" w:lineRule="auto"/>
        <w:contextualSpacing/>
        <w:rPr>
          <w:rFonts w:ascii="Times New Roman" w:hAnsi="Times New Roman" w:cs="Times New Roman"/>
        </w:rPr>
      </w:pPr>
    </w:p>
    <w:p w:rsidR="001B3CA5" w:rsidRPr="00EA224A" w:rsidRDefault="001B3CA5"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Complaints against the proposed rate increase were filed: </w:t>
      </w:r>
      <w:r w:rsidR="00D63A94" w:rsidRPr="00EA224A">
        <w:rPr>
          <w:rFonts w:ascii="Times New Roman" w:hAnsi="Times New Roman" w:cs="Times New Roman"/>
        </w:rPr>
        <w:t xml:space="preserve">on </w:t>
      </w:r>
      <w:r w:rsidRPr="00EA224A">
        <w:rPr>
          <w:rFonts w:ascii="Times New Roman" w:hAnsi="Times New Roman" w:cs="Times New Roman"/>
        </w:rPr>
        <w:t>May 16, 2013, by the Office of Consumer Advocate (OCA) at Docket No. C-2013-2363612, on May 17, 2013, by the Office of Small Business Advocate (OSBA) at Docket</w:t>
      </w:r>
      <w:r w:rsidR="00AD1303">
        <w:rPr>
          <w:rFonts w:ascii="Times New Roman" w:hAnsi="Times New Roman" w:cs="Times New Roman"/>
        </w:rPr>
        <w:t xml:space="preserve"> No. C-2013-2363728, and on May 15, </w:t>
      </w:r>
      <w:r w:rsidRPr="00EA224A">
        <w:rPr>
          <w:rFonts w:ascii="Times New Roman" w:hAnsi="Times New Roman" w:cs="Times New Roman"/>
        </w:rPr>
        <w:t>2013, by Mr. Vincent E. Collier at Docket No. C-2013-2364726.  On May 21, 2013, the Commission’s Bureau of Investigation &amp; Enforcement (I&amp;E) entered an appearance in this proceeding.</w:t>
      </w:r>
    </w:p>
    <w:p w:rsidR="00D73B3B" w:rsidRPr="00EA224A" w:rsidRDefault="00D73B3B" w:rsidP="00047866">
      <w:pPr>
        <w:spacing w:line="360" w:lineRule="auto"/>
        <w:contextualSpacing/>
        <w:rPr>
          <w:rFonts w:ascii="Times New Roman" w:hAnsi="Times New Roman" w:cs="Times New Roman"/>
        </w:rPr>
      </w:pPr>
    </w:p>
    <w:p w:rsidR="00D73B3B" w:rsidRPr="00EA224A" w:rsidRDefault="00D73B3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5E2124" w:rsidRPr="00EA224A">
        <w:rPr>
          <w:rFonts w:ascii="Times New Roman" w:hAnsi="Times New Roman" w:cs="Times New Roman"/>
        </w:rPr>
        <w:t xml:space="preserve">By Order entered </w:t>
      </w:r>
      <w:r w:rsidRPr="00EA224A">
        <w:rPr>
          <w:rFonts w:ascii="Times New Roman" w:hAnsi="Times New Roman" w:cs="Times New Roman"/>
        </w:rPr>
        <w:t xml:space="preserve">June 13, 2013, the </w:t>
      </w:r>
      <w:r w:rsidR="005E2124" w:rsidRPr="00EA224A">
        <w:rPr>
          <w:rFonts w:ascii="Times New Roman" w:hAnsi="Times New Roman" w:cs="Times New Roman"/>
        </w:rPr>
        <w:t xml:space="preserve">Commission suspended the </w:t>
      </w:r>
      <w:r w:rsidRPr="00EA224A">
        <w:rPr>
          <w:rFonts w:ascii="Times New Roman" w:hAnsi="Times New Roman" w:cs="Times New Roman"/>
        </w:rPr>
        <w:t>filing by operation of law until January 24, 2014.</w:t>
      </w:r>
    </w:p>
    <w:p w:rsidR="005E2124" w:rsidRPr="00EA224A" w:rsidRDefault="005E2124" w:rsidP="00047866">
      <w:pPr>
        <w:spacing w:line="360" w:lineRule="auto"/>
        <w:contextualSpacing/>
        <w:rPr>
          <w:rFonts w:ascii="Times New Roman" w:hAnsi="Times New Roman" w:cs="Times New Roman"/>
        </w:rPr>
      </w:pPr>
    </w:p>
    <w:p w:rsidR="005E2124" w:rsidRPr="00EA224A" w:rsidRDefault="005E2124"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A standard form Prehearing Order was issued on June 24, 2013.</w:t>
      </w:r>
    </w:p>
    <w:p w:rsidR="005E2124" w:rsidRPr="00EA224A" w:rsidRDefault="005E2124" w:rsidP="00047866">
      <w:pPr>
        <w:spacing w:line="360" w:lineRule="auto"/>
        <w:contextualSpacing/>
        <w:rPr>
          <w:rFonts w:ascii="Times New Roman" w:hAnsi="Times New Roman" w:cs="Times New Roman"/>
        </w:rPr>
      </w:pPr>
    </w:p>
    <w:p w:rsidR="005E2124" w:rsidRPr="00EA224A" w:rsidRDefault="005E2124"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A </w:t>
      </w:r>
      <w:r w:rsidR="001B3CA5" w:rsidRPr="00EA224A">
        <w:rPr>
          <w:rFonts w:ascii="Times New Roman" w:hAnsi="Times New Roman" w:cs="Times New Roman"/>
        </w:rPr>
        <w:t xml:space="preserve">prehearing conference </w:t>
      </w:r>
      <w:r w:rsidR="00D63A94" w:rsidRPr="00EA224A">
        <w:rPr>
          <w:rFonts w:ascii="Times New Roman" w:hAnsi="Times New Roman" w:cs="Times New Roman"/>
        </w:rPr>
        <w:t xml:space="preserve">was </w:t>
      </w:r>
      <w:r w:rsidR="001B3CA5" w:rsidRPr="00EA224A">
        <w:rPr>
          <w:rFonts w:ascii="Times New Roman" w:hAnsi="Times New Roman" w:cs="Times New Roman"/>
        </w:rPr>
        <w:t>convened at the Commission’s office in Harrisburg, Pennsylvania, on July 3, 2013.  Counsel for each of the active parties attended.</w:t>
      </w:r>
      <w:r w:rsidR="001B3CA5" w:rsidRPr="00EA224A">
        <w:rPr>
          <w:rStyle w:val="FootnoteReference"/>
          <w:rFonts w:ascii="Times New Roman" w:hAnsi="Times New Roman" w:cs="Times New Roman"/>
        </w:rPr>
        <w:footnoteReference w:id="3"/>
      </w:r>
    </w:p>
    <w:p w:rsidR="001B3CA5" w:rsidRPr="00EA224A" w:rsidRDefault="001B3CA5" w:rsidP="00047866">
      <w:pPr>
        <w:spacing w:line="360" w:lineRule="auto"/>
        <w:contextualSpacing/>
        <w:rPr>
          <w:rFonts w:ascii="Times New Roman" w:hAnsi="Times New Roman" w:cs="Times New Roman"/>
        </w:rPr>
      </w:pPr>
    </w:p>
    <w:p w:rsidR="001B3CA5" w:rsidRPr="00EA224A" w:rsidRDefault="001B3CA5"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On July 16, 2013, a second Prehearing Order established the procedural schedule in this case and memorialized agreements entered into by the parties at the Prehearing Conference on July 3, 2013.</w:t>
      </w:r>
    </w:p>
    <w:p w:rsidR="001B3CA5" w:rsidRPr="00EA224A" w:rsidRDefault="001B3CA5" w:rsidP="00047866">
      <w:pPr>
        <w:spacing w:line="360" w:lineRule="auto"/>
        <w:contextualSpacing/>
        <w:rPr>
          <w:rFonts w:ascii="Times New Roman" w:hAnsi="Times New Roman" w:cs="Times New Roman"/>
        </w:rPr>
      </w:pPr>
    </w:p>
    <w:p w:rsidR="001B3CA5" w:rsidRPr="00EA224A" w:rsidRDefault="001B3CA5"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894452" w:rsidRPr="00EA224A">
        <w:rPr>
          <w:rFonts w:ascii="Times New Roman" w:hAnsi="Times New Roman" w:cs="Times New Roman"/>
        </w:rPr>
        <w:t xml:space="preserve">On July 23, 2013, a third Prehearing Order denied a Motion to Compel filed </w:t>
      </w:r>
      <w:r w:rsidR="00D63A94" w:rsidRPr="00EA224A">
        <w:rPr>
          <w:rFonts w:ascii="Times New Roman" w:hAnsi="Times New Roman" w:cs="Times New Roman"/>
        </w:rPr>
        <w:t xml:space="preserve">on </w:t>
      </w:r>
      <w:r w:rsidR="009438AD">
        <w:rPr>
          <w:rFonts w:ascii="Times New Roman" w:hAnsi="Times New Roman" w:cs="Times New Roman"/>
        </w:rPr>
        <w:t>July </w:t>
      </w:r>
      <w:r w:rsidR="00894452" w:rsidRPr="00EA224A">
        <w:rPr>
          <w:rFonts w:ascii="Times New Roman" w:hAnsi="Times New Roman" w:cs="Times New Roman"/>
        </w:rPr>
        <w:t>1, 2013, by the OCA and sustained the Objection to OCA Set I, Interrogatory No. 26, filed by Columbia on June 10, 2013.</w:t>
      </w:r>
      <w:r w:rsidR="00894452" w:rsidRPr="00EA224A">
        <w:rPr>
          <w:rStyle w:val="FootnoteReference"/>
          <w:rFonts w:ascii="Times New Roman" w:hAnsi="Times New Roman" w:cs="Times New Roman"/>
        </w:rPr>
        <w:footnoteReference w:id="4"/>
      </w:r>
    </w:p>
    <w:p w:rsidR="00EB4CDB" w:rsidRPr="00EA224A" w:rsidRDefault="00EB4CDB" w:rsidP="00047866">
      <w:pPr>
        <w:spacing w:line="360" w:lineRule="auto"/>
        <w:contextualSpacing/>
        <w:rPr>
          <w:rFonts w:ascii="Times New Roman" w:hAnsi="Times New Roman" w:cs="Times New Roman"/>
        </w:rPr>
      </w:pPr>
    </w:p>
    <w:p w:rsidR="00EB4CDB" w:rsidRPr="00EA224A" w:rsidRDefault="00EB4CDB" w:rsidP="00047866">
      <w:pPr>
        <w:spacing w:line="360" w:lineRule="auto"/>
        <w:contextualSpacing/>
        <w:rPr>
          <w:rFonts w:ascii="Times New Roman" w:hAnsi="Times New Roman" w:cs="Times New Roman"/>
        </w:rPr>
      </w:pPr>
      <w:r w:rsidRPr="00EA224A">
        <w:rPr>
          <w:rFonts w:ascii="Times New Roman" w:hAnsi="Times New Roman" w:cs="Times New Roman"/>
        </w:rPr>
        <w:tab/>
      </w:r>
      <w:r w:rsidR="00DC1CB7">
        <w:rPr>
          <w:rFonts w:ascii="Times New Roman" w:hAnsi="Times New Roman" w:cs="Times New Roman"/>
        </w:rPr>
        <w:tab/>
      </w:r>
      <w:r w:rsidRPr="00EA224A">
        <w:rPr>
          <w:rFonts w:ascii="Times New Roman" w:hAnsi="Times New Roman" w:cs="Times New Roman"/>
        </w:rPr>
        <w:t xml:space="preserve">On August 1, 2013, a Notice of Hearing </w:t>
      </w:r>
      <w:r w:rsidR="00DC1CB7">
        <w:rPr>
          <w:rFonts w:ascii="Times New Roman" w:hAnsi="Times New Roman" w:cs="Times New Roman"/>
        </w:rPr>
        <w:t xml:space="preserve">was </w:t>
      </w:r>
      <w:r w:rsidRPr="00EA224A">
        <w:rPr>
          <w:rFonts w:ascii="Times New Roman" w:hAnsi="Times New Roman" w:cs="Times New Roman"/>
        </w:rPr>
        <w:t>issued establishing September 4-6 as the dates for an evidentiary hearing in this case.</w:t>
      </w:r>
    </w:p>
    <w:p w:rsidR="006906E0" w:rsidRPr="00EA224A" w:rsidRDefault="006906E0" w:rsidP="00047866">
      <w:pPr>
        <w:spacing w:line="360" w:lineRule="auto"/>
        <w:contextualSpacing/>
        <w:rPr>
          <w:rFonts w:ascii="Times New Roman" w:hAnsi="Times New Roman" w:cs="Times New Roman"/>
        </w:rPr>
      </w:pPr>
    </w:p>
    <w:p w:rsidR="006906E0" w:rsidRPr="00EA224A" w:rsidRDefault="006906E0"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5F309D" w:rsidRPr="00EA224A">
        <w:rPr>
          <w:rFonts w:ascii="Times New Roman" w:hAnsi="Times New Roman" w:cs="Times New Roman"/>
        </w:rPr>
        <w:t xml:space="preserve">On August 20, 2013, a Notice of Hearing </w:t>
      </w:r>
      <w:r w:rsidR="00D63A94" w:rsidRPr="00EA224A">
        <w:rPr>
          <w:rFonts w:ascii="Times New Roman" w:hAnsi="Times New Roman" w:cs="Times New Roman"/>
        </w:rPr>
        <w:t xml:space="preserve">was </w:t>
      </w:r>
      <w:r w:rsidR="005F309D" w:rsidRPr="00EA224A">
        <w:rPr>
          <w:rFonts w:ascii="Times New Roman" w:hAnsi="Times New Roman" w:cs="Times New Roman"/>
        </w:rPr>
        <w:t>issued setting September 3, 2013 as the date for a public input hearing in Columbia, Pennsylvania.  Originally, no public input hearing had been requested by any of the public advocates.</w:t>
      </w:r>
    </w:p>
    <w:p w:rsidR="00EB4CDB" w:rsidRPr="00EA224A" w:rsidRDefault="00EB4CDB" w:rsidP="00047866">
      <w:pPr>
        <w:spacing w:line="360" w:lineRule="auto"/>
        <w:contextualSpacing/>
        <w:rPr>
          <w:rFonts w:ascii="Times New Roman" w:hAnsi="Times New Roman" w:cs="Times New Roman"/>
        </w:rPr>
      </w:pPr>
    </w:p>
    <w:p w:rsidR="005F309D" w:rsidRPr="00EA224A" w:rsidRDefault="00D73B3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5F309D" w:rsidRPr="00EA224A">
        <w:rPr>
          <w:rFonts w:ascii="Times New Roman" w:hAnsi="Times New Roman" w:cs="Times New Roman"/>
        </w:rPr>
        <w:t>On September 3, 2013, a</w:t>
      </w:r>
      <w:r w:rsidRPr="00EA224A">
        <w:rPr>
          <w:rFonts w:ascii="Times New Roman" w:hAnsi="Times New Roman" w:cs="Times New Roman"/>
        </w:rPr>
        <w:t xml:space="preserve"> </w:t>
      </w:r>
      <w:r w:rsidR="005F309D" w:rsidRPr="00EA224A">
        <w:rPr>
          <w:rFonts w:ascii="Times New Roman" w:hAnsi="Times New Roman" w:cs="Times New Roman"/>
        </w:rPr>
        <w:t>p</w:t>
      </w:r>
      <w:r w:rsidRPr="00EA224A">
        <w:rPr>
          <w:rFonts w:ascii="Times New Roman" w:hAnsi="Times New Roman" w:cs="Times New Roman"/>
        </w:rPr>
        <w:t xml:space="preserve">ublic </w:t>
      </w:r>
      <w:r w:rsidR="005F309D" w:rsidRPr="00EA224A">
        <w:rPr>
          <w:rFonts w:ascii="Times New Roman" w:hAnsi="Times New Roman" w:cs="Times New Roman"/>
        </w:rPr>
        <w:t>i</w:t>
      </w:r>
      <w:r w:rsidRPr="00EA224A">
        <w:rPr>
          <w:rFonts w:ascii="Times New Roman" w:hAnsi="Times New Roman" w:cs="Times New Roman"/>
        </w:rPr>
        <w:t xml:space="preserve">nput </w:t>
      </w:r>
      <w:r w:rsidR="005F309D" w:rsidRPr="00EA224A">
        <w:rPr>
          <w:rFonts w:ascii="Times New Roman" w:hAnsi="Times New Roman" w:cs="Times New Roman"/>
        </w:rPr>
        <w:t>h</w:t>
      </w:r>
      <w:r w:rsidRPr="00EA224A">
        <w:rPr>
          <w:rFonts w:ascii="Times New Roman" w:hAnsi="Times New Roman" w:cs="Times New Roman"/>
        </w:rPr>
        <w:t xml:space="preserve">earing was held in Columbia, Pennsylvania, </w:t>
      </w:r>
      <w:r w:rsidR="00D53C1A" w:rsidRPr="00EA224A">
        <w:rPr>
          <w:rFonts w:ascii="Times New Roman" w:hAnsi="Times New Roman" w:cs="Times New Roman"/>
        </w:rPr>
        <w:t xml:space="preserve">at which twelve witnesses gave sworn testimony.  That hearing </w:t>
      </w:r>
      <w:r w:rsidRPr="00EA224A">
        <w:rPr>
          <w:rFonts w:ascii="Times New Roman" w:hAnsi="Times New Roman" w:cs="Times New Roman"/>
        </w:rPr>
        <w:t>produced a transcript consisting of 84 pages and 4 exhibits.</w:t>
      </w:r>
      <w:r w:rsidR="00667979">
        <w:rPr>
          <w:rStyle w:val="FootnoteReference"/>
          <w:rFonts w:ascii="Times New Roman" w:hAnsi="Times New Roman" w:cs="Times New Roman"/>
        </w:rPr>
        <w:footnoteReference w:id="5"/>
      </w:r>
    </w:p>
    <w:p w:rsidR="005F309D" w:rsidRPr="00EA224A" w:rsidRDefault="005F309D" w:rsidP="00047866">
      <w:pPr>
        <w:spacing w:line="360" w:lineRule="auto"/>
        <w:contextualSpacing/>
        <w:rPr>
          <w:rFonts w:ascii="Times New Roman" w:hAnsi="Times New Roman" w:cs="Times New Roman"/>
        </w:rPr>
      </w:pPr>
    </w:p>
    <w:p w:rsidR="005F309D" w:rsidRPr="00EA224A" w:rsidRDefault="005F309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After </w:t>
      </w:r>
      <w:r w:rsidR="00D53C1A" w:rsidRPr="00EA224A">
        <w:rPr>
          <w:rFonts w:ascii="Times New Roman" w:hAnsi="Times New Roman" w:cs="Times New Roman"/>
        </w:rPr>
        <w:t xml:space="preserve">the public input hearing and </w:t>
      </w:r>
      <w:r w:rsidRPr="00EA224A">
        <w:rPr>
          <w:rFonts w:ascii="Times New Roman" w:hAnsi="Times New Roman" w:cs="Times New Roman"/>
        </w:rPr>
        <w:t>consultation among the parties, it was decided that a three day hearing would be unnecessary in t</w:t>
      </w:r>
      <w:r w:rsidR="00B34FF1">
        <w:rPr>
          <w:rFonts w:ascii="Times New Roman" w:hAnsi="Times New Roman" w:cs="Times New Roman"/>
        </w:rPr>
        <w:t>his case.  Therefore, on August 29, </w:t>
      </w:r>
      <w:r w:rsidRPr="00EA224A">
        <w:rPr>
          <w:rFonts w:ascii="Times New Roman" w:hAnsi="Times New Roman" w:cs="Times New Roman"/>
        </w:rPr>
        <w:t xml:space="preserve">2013, a Notice </w:t>
      </w:r>
      <w:r w:rsidR="00D63A94" w:rsidRPr="00EA224A">
        <w:rPr>
          <w:rFonts w:ascii="Times New Roman" w:hAnsi="Times New Roman" w:cs="Times New Roman"/>
        </w:rPr>
        <w:t xml:space="preserve">was </w:t>
      </w:r>
      <w:r w:rsidRPr="00EA224A">
        <w:rPr>
          <w:rFonts w:ascii="Times New Roman" w:hAnsi="Times New Roman" w:cs="Times New Roman"/>
        </w:rPr>
        <w:t>issued cancelling the hearing set for September 4, 2013.</w:t>
      </w:r>
    </w:p>
    <w:p w:rsidR="005F309D" w:rsidRPr="00EA224A" w:rsidRDefault="005F309D" w:rsidP="00047866">
      <w:pPr>
        <w:spacing w:line="360" w:lineRule="auto"/>
        <w:contextualSpacing/>
        <w:rPr>
          <w:rFonts w:ascii="Times New Roman" w:hAnsi="Times New Roman" w:cs="Times New Roman"/>
        </w:rPr>
      </w:pPr>
    </w:p>
    <w:p w:rsidR="00D73B3B" w:rsidRPr="00EA224A" w:rsidRDefault="005F309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O</w:t>
      </w:r>
      <w:r w:rsidR="00D73B3B" w:rsidRPr="00EA224A">
        <w:rPr>
          <w:rFonts w:ascii="Times New Roman" w:hAnsi="Times New Roman" w:cs="Times New Roman"/>
        </w:rPr>
        <w:t xml:space="preserve">n September 5, 2013, </w:t>
      </w:r>
      <w:r w:rsidR="001E6220" w:rsidRPr="00EA224A">
        <w:rPr>
          <w:rFonts w:ascii="Times New Roman" w:hAnsi="Times New Roman" w:cs="Times New Roman"/>
        </w:rPr>
        <w:t>an evidentiary hearing was held in Harrisburg, Pennsylvania.  A</w:t>
      </w:r>
      <w:r w:rsidR="00D63A94" w:rsidRPr="00EA224A">
        <w:rPr>
          <w:rFonts w:ascii="Times New Roman" w:hAnsi="Times New Roman" w:cs="Times New Roman"/>
        </w:rPr>
        <w:t>t</w:t>
      </w:r>
      <w:r w:rsidR="001E6220" w:rsidRPr="00EA224A">
        <w:rPr>
          <w:rFonts w:ascii="Times New Roman" w:hAnsi="Times New Roman" w:cs="Times New Roman"/>
        </w:rPr>
        <w:t xml:space="preserve"> that hearing, Columbia was represented by Thomas J. Sniscak, Esquire, and William E. Lehman, Esquire.  The OCA was represented by</w:t>
      </w:r>
      <w:r w:rsidR="00D63A94" w:rsidRPr="00EA224A">
        <w:rPr>
          <w:rFonts w:ascii="Times New Roman" w:hAnsi="Times New Roman" w:cs="Times New Roman"/>
        </w:rPr>
        <w:t xml:space="preserve"> Erin L. Gannon, Esquire.  </w:t>
      </w:r>
      <w:r w:rsidR="001E6220" w:rsidRPr="00EA224A">
        <w:rPr>
          <w:rFonts w:ascii="Times New Roman" w:hAnsi="Times New Roman" w:cs="Times New Roman"/>
        </w:rPr>
        <w:t>I&amp;E was represented by Richard A. Kanaskie, Esquire.  The OSBA</w:t>
      </w:r>
      <w:r w:rsidR="00D53C1A" w:rsidRPr="00EA224A">
        <w:rPr>
          <w:rFonts w:ascii="Times New Roman" w:hAnsi="Times New Roman" w:cs="Times New Roman"/>
        </w:rPr>
        <w:t xml:space="preserve"> </w:t>
      </w:r>
      <w:r w:rsidR="001E6220" w:rsidRPr="00EA224A">
        <w:rPr>
          <w:rFonts w:ascii="Times New Roman" w:hAnsi="Times New Roman" w:cs="Times New Roman"/>
        </w:rPr>
        <w:t xml:space="preserve">was represented by Daniel G. Asmus, Esquire.  Testimony was received from David T. Lewis and Gary D. Shambaugh for Columbia.  Testimony was received from Ethan H. Cline on behalf of I&amp;E.  Testimony was provided by Ashley E. Everette on behalf of the OCA.  The OSBA did not present any witnesses.  The hearing </w:t>
      </w:r>
      <w:r w:rsidR="00D73B3B" w:rsidRPr="00EA224A">
        <w:rPr>
          <w:rFonts w:ascii="Times New Roman" w:hAnsi="Times New Roman" w:cs="Times New Roman"/>
        </w:rPr>
        <w:t>produced a transcript consisting of 118 pages, and 14 exhibits.</w:t>
      </w:r>
      <w:r w:rsidR="001E6220" w:rsidRPr="00EA224A">
        <w:rPr>
          <w:rFonts w:ascii="Times New Roman" w:hAnsi="Times New Roman" w:cs="Times New Roman"/>
        </w:rPr>
        <w:t xml:space="preserve">  The parties subsequently e-filed their testimony with the Secretary of the Commission.</w:t>
      </w:r>
    </w:p>
    <w:p w:rsidR="00EF6996" w:rsidRPr="00EA224A" w:rsidRDefault="00EF6996" w:rsidP="00047866">
      <w:pPr>
        <w:spacing w:line="360" w:lineRule="auto"/>
        <w:contextualSpacing/>
        <w:rPr>
          <w:rFonts w:ascii="Times New Roman" w:hAnsi="Times New Roman" w:cs="Times New Roman"/>
        </w:rPr>
      </w:pPr>
    </w:p>
    <w:p w:rsidR="00EF6996" w:rsidRPr="00EA224A" w:rsidRDefault="00EF6996"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667979">
        <w:rPr>
          <w:rFonts w:ascii="Times New Roman" w:hAnsi="Times New Roman" w:cs="Times New Roman"/>
        </w:rPr>
        <w:t xml:space="preserve">The parties filed </w:t>
      </w:r>
      <w:r w:rsidRPr="00EA224A">
        <w:rPr>
          <w:rFonts w:ascii="Times New Roman" w:hAnsi="Times New Roman" w:cs="Times New Roman"/>
        </w:rPr>
        <w:t xml:space="preserve">Main Briefs on September 26, 2013, </w:t>
      </w:r>
      <w:r w:rsidR="00A26264">
        <w:rPr>
          <w:rFonts w:ascii="Times New Roman" w:hAnsi="Times New Roman" w:cs="Times New Roman"/>
        </w:rPr>
        <w:t>with Reply Briefs filed October 7, </w:t>
      </w:r>
      <w:r w:rsidRPr="00EA224A">
        <w:rPr>
          <w:rFonts w:ascii="Times New Roman" w:hAnsi="Times New Roman" w:cs="Times New Roman"/>
        </w:rPr>
        <w:t>2013.</w:t>
      </w:r>
      <w:r w:rsidRPr="00EA224A">
        <w:rPr>
          <w:rStyle w:val="FootnoteReference"/>
          <w:rFonts w:ascii="Times New Roman" w:hAnsi="Times New Roman" w:cs="Times New Roman"/>
        </w:rPr>
        <w:footnoteReference w:id="6"/>
      </w:r>
    </w:p>
    <w:p w:rsidR="00EF6996" w:rsidRPr="00EA224A" w:rsidRDefault="00EF6996" w:rsidP="00047866">
      <w:pPr>
        <w:spacing w:line="360" w:lineRule="auto"/>
        <w:contextualSpacing/>
        <w:rPr>
          <w:rFonts w:ascii="Times New Roman" w:hAnsi="Times New Roman" w:cs="Times New Roman"/>
        </w:rPr>
      </w:pPr>
    </w:p>
    <w:p w:rsidR="00EF6996" w:rsidRPr="00EA224A" w:rsidRDefault="00EF6996"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On October 31, 2013, Columbia filed an unopposed Petition for Protective Order.  The Petition was granted and a Protective Order was issued that day.</w:t>
      </w:r>
      <w:r w:rsidR="00667979">
        <w:rPr>
          <w:rFonts w:ascii="Times New Roman" w:hAnsi="Times New Roman" w:cs="Times New Roman"/>
        </w:rPr>
        <w:t xml:space="preserve">  The record closed on October 31, 2013.</w:t>
      </w:r>
    </w:p>
    <w:p w:rsidR="00EF6996" w:rsidRPr="00EA224A" w:rsidRDefault="00EF6996" w:rsidP="00047866">
      <w:pPr>
        <w:spacing w:line="360" w:lineRule="auto"/>
        <w:contextualSpacing/>
        <w:rPr>
          <w:rFonts w:ascii="Times New Roman" w:hAnsi="Times New Roman" w:cs="Times New Roman"/>
        </w:rPr>
      </w:pPr>
    </w:p>
    <w:p w:rsidR="00EF6996" w:rsidRPr="00EA224A" w:rsidRDefault="00EF6996"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This case is now ready for </w:t>
      </w:r>
      <w:r w:rsidR="005A07B1" w:rsidRPr="00EA224A">
        <w:rPr>
          <w:rFonts w:ascii="Times New Roman" w:hAnsi="Times New Roman" w:cs="Times New Roman"/>
        </w:rPr>
        <w:t>decision</w:t>
      </w:r>
      <w:r w:rsidRPr="00EA224A">
        <w:rPr>
          <w:rFonts w:ascii="Times New Roman" w:hAnsi="Times New Roman" w:cs="Times New Roman"/>
        </w:rPr>
        <w:t>.</w:t>
      </w:r>
    </w:p>
    <w:p w:rsidR="00695806" w:rsidRPr="00EA224A" w:rsidRDefault="00695806" w:rsidP="00047866">
      <w:pPr>
        <w:spacing w:line="360" w:lineRule="auto"/>
        <w:contextualSpacing/>
        <w:rPr>
          <w:rFonts w:ascii="Times New Roman" w:hAnsi="Times New Roman" w:cs="Times New Roman"/>
        </w:rPr>
      </w:pPr>
    </w:p>
    <w:p w:rsidR="00F3691C" w:rsidRPr="00EA224A" w:rsidRDefault="00CE4189" w:rsidP="00047866">
      <w:pPr>
        <w:spacing w:line="360" w:lineRule="auto"/>
        <w:contextualSpacing/>
        <w:jc w:val="center"/>
        <w:rPr>
          <w:rFonts w:ascii="Times New Roman" w:hAnsi="Times New Roman" w:cs="Times New Roman"/>
        </w:rPr>
      </w:pPr>
      <w:r w:rsidRPr="00EA224A">
        <w:rPr>
          <w:rFonts w:ascii="Times New Roman" w:hAnsi="Times New Roman" w:cs="Times New Roman"/>
        </w:rPr>
        <w:t>I</w:t>
      </w:r>
      <w:r w:rsidR="00F80883" w:rsidRPr="00EA224A">
        <w:rPr>
          <w:rFonts w:ascii="Times New Roman" w:hAnsi="Times New Roman" w:cs="Times New Roman"/>
        </w:rPr>
        <w:t>I</w:t>
      </w:r>
      <w:r w:rsidRPr="00EA224A">
        <w:rPr>
          <w:rFonts w:ascii="Times New Roman" w:hAnsi="Times New Roman" w:cs="Times New Roman"/>
        </w:rPr>
        <w:t>I.</w:t>
      </w:r>
      <w:r w:rsidRPr="00EA224A">
        <w:rPr>
          <w:rFonts w:ascii="Times New Roman" w:hAnsi="Times New Roman" w:cs="Times New Roman"/>
        </w:rPr>
        <w:tab/>
      </w:r>
      <w:r w:rsidR="00F3691C" w:rsidRPr="00EA224A">
        <w:rPr>
          <w:rFonts w:ascii="Times New Roman" w:hAnsi="Times New Roman" w:cs="Times New Roman"/>
          <w:u w:val="single"/>
        </w:rPr>
        <w:t>FINDINGS OF FACT</w:t>
      </w:r>
      <w:r w:rsidR="000E74AA">
        <w:rPr>
          <w:rFonts w:ascii="Times New Roman" w:hAnsi="Times New Roman" w:cs="Times New Roman"/>
          <w:u w:val="single"/>
        </w:rPr>
        <w:fldChar w:fldCharType="begin"/>
      </w:r>
      <w:r w:rsidR="000E74AA">
        <w:instrText xml:space="preserve"> TC "</w:instrText>
      </w:r>
      <w:bookmarkStart w:id="3" w:name="_Toc372704679"/>
      <w:r w:rsidR="000E74AA" w:rsidRPr="00831096">
        <w:rPr>
          <w:rFonts w:ascii="Times New Roman" w:hAnsi="Times New Roman" w:cs="Times New Roman"/>
        </w:rPr>
        <w:instrText>III.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FINDINGS OF FACT</w:instrText>
      </w:r>
      <w:bookmarkEnd w:id="3"/>
      <w:r w:rsidR="000E74AA">
        <w:instrText xml:space="preserve">" \f C \l "1" </w:instrText>
      </w:r>
      <w:r w:rsidR="000E74AA">
        <w:rPr>
          <w:rFonts w:ascii="Times New Roman" w:hAnsi="Times New Roman" w:cs="Times New Roman"/>
          <w:u w:val="single"/>
        </w:rPr>
        <w:fldChar w:fldCharType="end"/>
      </w:r>
    </w:p>
    <w:p w:rsidR="00F3691C" w:rsidRPr="00EA224A" w:rsidRDefault="00F3691C"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w:t>
      </w:r>
      <w:r w:rsidRPr="00EA224A">
        <w:rPr>
          <w:rFonts w:ascii="Times New Roman" w:hAnsi="Times New Roman" w:cs="Times New Roman"/>
        </w:rPr>
        <w:tab/>
      </w:r>
      <w:r w:rsidR="00F3691C" w:rsidRPr="00EA224A">
        <w:rPr>
          <w:rFonts w:ascii="Times New Roman" w:hAnsi="Times New Roman" w:cs="Times New Roman"/>
        </w:rPr>
        <w:t>Columbia’s original claim for rate bas</w:t>
      </w:r>
      <w:r w:rsidR="00695806">
        <w:rPr>
          <w:rFonts w:ascii="Times New Roman" w:hAnsi="Times New Roman" w:cs="Times New Roman"/>
        </w:rPr>
        <w:t>e in its filing, as of December 31, </w:t>
      </w:r>
      <w:r w:rsidR="00667979">
        <w:rPr>
          <w:rFonts w:ascii="Times New Roman" w:hAnsi="Times New Roman" w:cs="Times New Roman"/>
        </w:rPr>
        <w:t>2013, was $13,</w:t>
      </w:r>
      <w:r w:rsidR="00F3691C" w:rsidRPr="00EA224A">
        <w:rPr>
          <w:rFonts w:ascii="Times New Roman" w:hAnsi="Times New Roman" w:cs="Times New Roman"/>
        </w:rPr>
        <w:t>527,774.  (CWC Statement No. 2 at 11:14-15; GDS Exhibit No.1 at 1-17)  During the course of the proceeding, the Company increased its rate base claim to $13,796,7</w:t>
      </w:r>
      <w:r w:rsidR="0015082B">
        <w:rPr>
          <w:rFonts w:ascii="Times New Roman" w:hAnsi="Times New Roman" w:cs="Times New Roman"/>
        </w:rPr>
        <w:t>45</w:t>
      </w:r>
      <w:r w:rsidR="00F3691C" w:rsidRPr="00EA224A">
        <w:rPr>
          <w:rFonts w:ascii="Times New Roman" w:hAnsi="Times New Roman" w:cs="Times New Roman"/>
        </w:rPr>
        <w:t>.  (GDS Rebuttal Exhibit No. 3 (Revised) at 3)  The individual adjustments resulting in the revised r</w:t>
      </w:r>
      <w:r w:rsidR="00667F83">
        <w:rPr>
          <w:rFonts w:ascii="Times New Roman" w:hAnsi="Times New Roman" w:cs="Times New Roman"/>
        </w:rPr>
        <w:t xml:space="preserve">ate base claim are as follows: (1) </w:t>
      </w:r>
      <w:r w:rsidR="00F3691C" w:rsidRPr="00EA224A">
        <w:rPr>
          <w:rFonts w:ascii="Times New Roman" w:hAnsi="Times New Roman" w:cs="Times New Roman"/>
        </w:rPr>
        <w:t>Reserve adjustment (4% CIM – PennVest Plant): Add $339,038 (CWC Statement No. 2R at 20:12-21; GDS Reb</w:t>
      </w:r>
      <w:r w:rsidR="00A5142A">
        <w:rPr>
          <w:rFonts w:ascii="Times New Roman" w:hAnsi="Times New Roman" w:cs="Times New Roman"/>
        </w:rPr>
        <w:t xml:space="preserve">uttal Exhibit No. 3 at 3); (2) </w:t>
      </w:r>
      <w:r w:rsidR="00F3691C" w:rsidRPr="00EA224A">
        <w:rPr>
          <w:rFonts w:ascii="Times New Roman" w:hAnsi="Times New Roman" w:cs="Times New Roman"/>
        </w:rPr>
        <w:t>Cash working capital: Add $2,688 (GDS Rebuttal Exhibit No. 3 (Revised) at 3)</w:t>
      </w:r>
      <w:r w:rsidR="00A5142A">
        <w:rPr>
          <w:rFonts w:ascii="Times New Roman" w:hAnsi="Times New Roman" w:cs="Times New Roman"/>
        </w:rPr>
        <w:t>.</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w:t>
      </w:r>
      <w:r w:rsidRPr="00EA224A">
        <w:rPr>
          <w:rFonts w:ascii="Times New Roman" w:hAnsi="Times New Roman" w:cs="Times New Roman"/>
        </w:rPr>
        <w:tab/>
        <w:t>Columbia</w:t>
      </w:r>
      <w:r w:rsidR="00F3691C" w:rsidRPr="00EA224A">
        <w:rPr>
          <w:rFonts w:ascii="Times New Roman" w:hAnsi="Times New Roman" w:cs="Times New Roman"/>
        </w:rPr>
        <w:t xml:space="preserve"> adjusted its total depreciated plant in service from its original filing of $24,706,812 to $25,045,850.  (CWC Statement No. 2R at 20:12-21; GDS Rebuttal Exhibit No. 3 (Revised) at 3)</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w:t>
      </w:r>
      <w:r w:rsidRPr="00EA224A">
        <w:rPr>
          <w:rFonts w:ascii="Times New Roman" w:hAnsi="Times New Roman" w:cs="Times New Roman"/>
        </w:rPr>
        <w:tab/>
      </w:r>
      <w:r w:rsidR="00F3691C" w:rsidRPr="00EA224A">
        <w:rPr>
          <w:rFonts w:ascii="Times New Roman" w:hAnsi="Times New Roman" w:cs="Times New Roman"/>
        </w:rPr>
        <w:t>The reason for this adjustment is because Columbia overstated the book depreciation reserve related to the PennVest plant in service.  The Company’s book depreciation ($1,853,844) for this plant includes annual depreciation accruals based upon the straight-line average remaining life methodology.  However, the PennVest rate was based solely on the 4% Compound Interest method during the term of the rate.  Therefore, there exists a difference between the book depreciation reserve and the capital recovery through customer rates of approximately $339,038 for this plant.  (CWC Statement No. 2R at 20:12-21; Tr. at 142)</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w:t>
      </w:r>
      <w:r w:rsidRPr="00EA224A">
        <w:rPr>
          <w:rFonts w:ascii="Times New Roman" w:hAnsi="Times New Roman" w:cs="Times New Roman"/>
        </w:rPr>
        <w:tab/>
      </w:r>
      <w:r w:rsidR="00F3691C" w:rsidRPr="00EA224A">
        <w:rPr>
          <w:rFonts w:ascii="Times New Roman" w:hAnsi="Times New Roman" w:cs="Times New Roman"/>
        </w:rPr>
        <w:t>The Company’s cla</w:t>
      </w:r>
      <w:r w:rsidR="00876026" w:rsidRPr="00EA224A">
        <w:rPr>
          <w:rFonts w:ascii="Times New Roman" w:hAnsi="Times New Roman" w:cs="Times New Roman"/>
        </w:rPr>
        <w:t>im for Materials and Supplies (M&amp;S</w:t>
      </w:r>
      <w:r w:rsidR="00F3691C" w:rsidRPr="00EA224A">
        <w:rPr>
          <w:rFonts w:ascii="Times New Roman" w:hAnsi="Times New Roman" w:cs="Times New Roman"/>
        </w:rPr>
        <w:t>) in Inventory is $62,314.  (GDS Exhibit No. 1 at 1-17)</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5.</w:t>
      </w:r>
      <w:r w:rsidRPr="00EA224A">
        <w:rPr>
          <w:rFonts w:ascii="Times New Roman" w:hAnsi="Times New Roman" w:cs="Times New Roman"/>
        </w:rPr>
        <w:tab/>
      </w:r>
      <w:r w:rsidR="00F3691C" w:rsidRPr="00EA224A">
        <w:rPr>
          <w:rFonts w:ascii="Times New Roman" w:hAnsi="Times New Roman" w:cs="Times New Roman"/>
        </w:rPr>
        <w:t>OCA witness Everette recommended a negative adjustment of $4,592</w:t>
      </w:r>
      <w:r w:rsidR="00667979">
        <w:rPr>
          <w:rFonts w:ascii="Times New Roman" w:hAnsi="Times New Roman" w:cs="Times New Roman"/>
        </w:rPr>
        <w:t xml:space="preserve"> for materials and supplies</w:t>
      </w:r>
      <w:r w:rsidR="00F3691C" w:rsidRPr="00EA224A">
        <w:rPr>
          <w:rFonts w:ascii="Times New Roman" w:hAnsi="Times New Roman" w:cs="Times New Roman"/>
        </w:rPr>
        <w:t xml:space="preserve"> based on her use of a 13-month average, from January</w:t>
      </w:r>
      <w:r w:rsidR="00C103C4">
        <w:rPr>
          <w:rFonts w:ascii="Times New Roman" w:hAnsi="Times New Roman" w:cs="Times New Roman"/>
        </w:rPr>
        <w:t>,</w:t>
      </w:r>
      <w:r w:rsidR="00F3691C" w:rsidRPr="00EA224A">
        <w:rPr>
          <w:rFonts w:ascii="Times New Roman" w:hAnsi="Times New Roman" w:cs="Times New Roman"/>
        </w:rPr>
        <w:t xml:space="preserve"> 2012 to January</w:t>
      </w:r>
      <w:r w:rsidR="00C103C4">
        <w:rPr>
          <w:rFonts w:ascii="Times New Roman" w:hAnsi="Times New Roman" w:cs="Times New Roman"/>
        </w:rPr>
        <w:t>,</w:t>
      </w:r>
      <w:r w:rsidR="00F3691C" w:rsidRPr="00EA224A">
        <w:rPr>
          <w:rFonts w:ascii="Times New Roman" w:hAnsi="Times New Roman" w:cs="Times New Roman"/>
        </w:rPr>
        <w:t xml:space="preserve"> 2013, instead of the Company’s 3-year average. </w:t>
      </w:r>
      <w:r w:rsidR="00C103C4">
        <w:rPr>
          <w:rFonts w:ascii="Times New Roman" w:hAnsi="Times New Roman" w:cs="Times New Roman"/>
        </w:rPr>
        <w:t xml:space="preserve"> </w:t>
      </w:r>
      <w:r w:rsidR="00F3691C" w:rsidRPr="00EA224A">
        <w:rPr>
          <w:rFonts w:ascii="Times New Roman" w:hAnsi="Times New Roman" w:cs="Times New Roman"/>
        </w:rPr>
        <w:t>(OCA Statement No. 1 at 7:4-1</w:t>
      </w:r>
      <w:r w:rsidR="00C103C4">
        <w:rPr>
          <w:rFonts w:ascii="Times New Roman" w:hAnsi="Times New Roman" w:cs="Times New Roman"/>
        </w:rPr>
        <w:t>2; OCA Exhibit AEE-1S, Schedule </w:t>
      </w:r>
      <w:r w:rsidR="00F3691C" w:rsidRPr="00EA224A">
        <w:rPr>
          <w:rFonts w:ascii="Times New Roman" w:hAnsi="Times New Roman" w:cs="Times New Roman"/>
        </w:rPr>
        <w:t>1S, line 3)</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6.</w:t>
      </w:r>
      <w:r w:rsidRPr="00EA224A">
        <w:rPr>
          <w:rFonts w:ascii="Times New Roman" w:hAnsi="Times New Roman" w:cs="Times New Roman"/>
        </w:rPr>
        <w:tab/>
      </w:r>
      <w:r w:rsidR="00F3691C" w:rsidRPr="00EA224A">
        <w:rPr>
          <w:rFonts w:ascii="Times New Roman" w:hAnsi="Times New Roman" w:cs="Times New Roman"/>
        </w:rPr>
        <w:t>To accurately reflect a 13</w:t>
      </w:r>
      <w:r w:rsidR="00F3691C" w:rsidRPr="00EA224A">
        <w:rPr>
          <w:rFonts w:ascii="Times New Roman" w:hAnsi="Times New Roman" w:cs="Times New Roman"/>
        </w:rPr>
        <w:noBreakHyphen/>
        <w:t xml:space="preserve">month average of materials and supplies, the Company would have to close its books on a monthly basis, which it does not. </w:t>
      </w:r>
      <w:r w:rsidR="00D309B0">
        <w:rPr>
          <w:rFonts w:ascii="Times New Roman" w:hAnsi="Times New Roman" w:cs="Times New Roman"/>
        </w:rPr>
        <w:t xml:space="preserve"> </w:t>
      </w:r>
      <w:r w:rsidR="00F3691C" w:rsidRPr="00EA224A">
        <w:rPr>
          <w:rFonts w:ascii="Times New Roman" w:hAnsi="Times New Roman" w:cs="Times New Roman"/>
        </w:rPr>
        <w:t>(CWC Statement No. 2R at 14:18-20).</w:t>
      </w:r>
    </w:p>
    <w:p w:rsidR="00876026" w:rsidRPr="00EA224A" w:rsidRDefault="00876026" w:rsidP="00047866">
      <w:pPr>
        <w:spacing w:line="360" w:lineRule="auto"/>
        <w:contextualSpacing/>
        <w:rPr>
          <w:rFonts w:ascii="Times New Roman" w:hAnsi="Times New Roman" w:cs="Times New Roman"/>
        </w:rPr>
      </w:pPr>
    </w:p>
    <w:p w:rsidR="00876026"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7.</w:t>
      </w:r>
      <w:r w:rsidRPr="00EA224A">
        <w:rPr>
          <w:rFonts w:ascii="Times New Roman" w:hAnsi="Times New Roman" w:cs="Times New Roman"/>
        </w:rPr>
        <w:tab/>
      </w:r>
      <w:r w:rsidR="00667979">
        <w:rPr>
          <w:rFonts w:ascii="Times New Roman" w:hAnsi="Times New Roman" w:cs="Times New Roman"/>
        </w:rPr>
        <w:t>Columbia</w:t>
      </w:r>
      <w:r w:rsidR="00F3691C" w:rsidRPr="00EA224A">
        <w:rPr>
          <w:rFonts w:ascii="Times New Roman" w:hAnsi="Times New Roman" w:cs="Times New Roman"/>
        </w:rPr>
        <w:t xml:space="preserve"> closes its books annually, which is more economical for smaller companies, and these annual audited numbers, based on actual inventory, better represents M&amp;S than Ms. Everette’s use of monthly estimates.  (Tr. at 135-136)</w:t>
      </w:r>
    </w:p>
    <w:p w:rsidR="00876026" w:rsidRPr="00EA224A" w:rsidRDefault="00876026"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8.</w:t>
      </w:r>
      <w:r w:rsidRPr="00EA224A">
        <w:rPr>
          <w:rFonts w:ascii="Times New Roman" w:hAnsi="Times New Roman" w:cs="Times New Roman"/>
        </w:rPr>
        <w:tab/>
      </w:r>
      <w:r w:rsidR="00F3691C" w:rsidRPr="00EA224A">
        <w:rPr>
          <w:rFonts w:ascii="Times New Roman" w:hAnsi="Times New Roman" w:cs="Times New Roman"/>
        </w:rPr>
        <w:t xml:space="preserve">The 3-year average better represents what smaller companies do and has been approved by the Commission in previous cases, including Columbia’s last rate case, </w:t>
      </w:r>
      <w:r w:rsidR="003A0CD5">
        <w:rPr>
          <w:rFonts w:ascii="Times New Roman" w:hAnsi="Times New Roman" w:cs="Times New Roman"/>
          <w:i/>
        </w:rPr>
        <w:t>Pa. PUC</w:t>
      </w:r>
      <w:r w:rsidR="00F3691C" w:rsidRPr="00EA224A">
        <w:rPr>
          <w:rFonts w:ascii="Times New Roman" w:hAnsi="Times New Roman" w:cs="Times New Roman"/>
          <w:i/>
        </w:rPr>
        <w:t xml:space="preserve"> v. Columbia Water Company</w:t>
      </w:r>
      <w:r w:rsidR="00F3691C" w:rsidRPr="00EA224A">
        <w:rPr>
          <w:rFonts w:ascii="Times New Roman" w:hAnsi="Times New Roman" w:cs="Times New Roman"/>
        </w:rPr>
        <w:t>, Dkt No. R-2008-20</w:t>
      </w:r>
      <w:r w:rsidR="003A0CD5">
        <w:rPr>
          <w:rFonts w:ascii="Times New Roman" w:hAnsi="Times New Roman" w:cs="Times New Roman"/>
        </w:rPr>
        <w:t>45157 (Final Order entered June 10, </w:t>
      </w:r>
      <w:r w:rsidR="00F3691C" w:rsidRPr="00EA224A">
        <w:rPr>
          <w:rFonts w:ascii="Times New Roman" w:hAnsi="Times New Roman" w:cs="Times New Roman"/>
        </w:rPr>
        <w:t>2009) at 29-32</w:t>
      </w:r>
      <w:r w:rsidR="00F3691C" w:rsidRPr="00EA224A">
        <w:rPr>
          <w:rFonts w:ascii="Times New Roman" w:hAnsi="Times New Roman" w:cs="Times New Roman"/>
        </w:rPr>
        <w:fldChar w:fldCharType="begin"/>
      </w:r>
      <w:r w:rsidR="00F3691C" w:rsidRPr="00EA224A">
        <w:rPr>
          <w:rFonts w:ascii="Times New Roman" w:hAnsi="Times New Roman" w:cs="Times New Roman"/>
        </w:rPr>
        <w:instrText xml:space="preserve"> TA \l "</w:instrText>
      </w:r>
      <w:r w:rsidR="00220A4C">
        <w:rPr>
          <w:rFonts w:ascii="Times New Roman" w:hAnsi="Times New Roman" w:cs="Times New Roman"/>
          <w:i/>
        </w:rPr>
        <w:instrText>Pa. PUC</w:instrText>
      </w:r>
      <w:r w:rsidR="00F3691C" w:rsidRPr="00EA224A">
        <w:rPr>
          <w:rFonts w:ascii="Times New Roman" w:hAnsi="Times New Roman" w:cs="Times New Roman"/>
          <w:i/>
        </w:rPr>
        <w:instrText xml:space="preserve"> v. Columbia Water Company</w:instrText>
      </w:r>
      <w:r w:rsidR="00F3691C" w:rsidRPr="00EA224A">
        <w:rPr>
          <w:rFonts w:ascii="Times New Roman" w:hAnsi="Times New Roman" w:cs="Times New Roman"/>
        </w:rPr>
        <w:instrText>, Dkt No. R-2008-2045157 (Final Order entered Jun</w:instrText>
      </w:r>
      <w:r w:rsidR="00220A4C">
        <w:rPr>
          <w:rFonts w:ascii="Times New Roman" w:hAnsi="Times New Roman" w:cs="Times New Roman"/>
        </w:rPr>
        <w:instrText>e 10, 2009) at 29-32" \s "Pa. PUC</w:instrText>
      </w:r>
      <w:r w:rsidR="00F3691C" w:rsidRPr="00EA224A">
        <w:rPr>
          <w:rFonts w:ascii="Times New Roman" w:hAnsi="Times New Roman" w:cs="Times New Roman"/>
        </w:rPr>
        <w:instrText xml:space="preserve"> v. Columbia Water Company, Dkt No. R-2008-2045157 (Final Order entered June 10, 2009) at 29-32" \c 1 </w:instrText>
      </w:r>
      <w:r w:rsidR="00F3691C" w:rsidRPr="00EA224A">
        <w:rPr>
          <w:rFonts w:ascii="Times New Roman" w:hAnsi="Times New Roman" w:cs="Times New Roman"/>
        </w:rPr>
        <w:fldChar w:fldCharType="end"/>
      </w:r>
      <w:r w:rsidR="00220A4C">
        <w:rPr>
          <w:rFonts w:ascii="Times New Roman" w:hAnsi="Times New Roman" w:cs="Times New Roman"/>
        </w:rPr>
        <w:t>.  (Tr. At </w:t>
      </w:r>
      <w:r w:rsidR="00F3691C" w:rsidRPr="00EA224A">
        <w:rPr>
          <w:rFonts w:ascii="Times New Roman" w:hAnsi="Times New Roman" w:cs="Times New Roman"/>
        </w:rPr>
        <w:t>165 and 169)</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9.</w:t>
      </w:r>
      <w:r w:rsidRPr="00EA224A">
        <w:rPr>
          <w:rFonts w:ascii="Times New Roman" w:hAnsi="Times New Roman" w:cs="Times New Roman"/>
        </w:rPr>
        <w:tab/>
      </w:r>
      <w:r w:rsidR="00F3691C" w:rsidRPr="00EA224A">
        <w:rPr>
          <w:rFonts w:ascii="Times New Roman" w:hAnsi="Times New Roman" w:cs="Times New Roman"/>
        </w:rPr>
        <w:t xml:space="preserve">The Company’s original claim for cash working capital was $248,967. </w:t>
      </w:r>
      <w:r w:rsidR="0006490E">
        <w:rPr>
          <w:rFonts w:ascii="Times New Roman" w:hAnsi="Times New Roman" w:cs="Times New Roman"/>
        </w:rPr>
        <w:t xml:space="preserve"> </w:t>
      </w:r>
      <w:r w:rsidR="00F3691C" w:rsidRPr="00EA224A">
        <w:rPr>
          <w:rFonts w:ascii="Times New Roman" w:hAnsi="Times New Roman" w:cs="Times New Roman"/>
        </w:rPr>
        <w:t xml:space="preserve">(GDS Exhibit No. 1 at 1-17)  Based on certain adjustments made during the course of this proceeding the Company’s revised claim is $251,655. </w:t>
      </w:r>
      <w:r w:rsidR="006D05CE">
        <w:rPr>
          <w:rFonts w:ascii="Times New Roman" w:hAnsi="Times New Roman" w:cs="Times New Roman"/>
        </w:rPr>
        <w:t xml:space="preserve"> </w:t>
      </w:r>
      <w:r w:rsidR="00F3691C" w:rsidRPr="00EA224A">
        <w:rPr>
          <w:rFonts w:ascii="Times New Roman" w:hAnsi="Times New Roman" w:cs="Times New Roman"/>
        </w:rPr>
        <w:t>(GDS Rebu</w:t>
      </w:r>
      <w:r w:rsidR="006D05CE">
        <w:rPr>
          <w:rFonts w:ascii="Times New Roman" w:hAnsi="Times New Roman" w:cs="Times New Roman"/>
        </w:rPr>
        <w:t>ttal Exhibit No. 2 (Revised) at </w:t>
      </w:r>
      <w:r w:rsidR="00F3691C" w:rsidRPr="00EA224A">
        <w:rPr>
          <w:rFonts w:ascii="Times New Roman" w:hAnsi="Times New Roman" w:cs="Times New Roman"/>
        </w:rPr>
        <w:t>3)</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10.</w:t>
      </w:r>
      <w:r w:rsidRPr="00EA224A">
        <w:rPr>
          <w:rFonts w:ascii="Times New Roman" w:hAnsi="Times New Roman" w:cs="Times New Roman"/>
        </w:rPr>
        <w:tab/>
      </w:r>
      <w:r w:rsidR="00F3691C" w:rsidRPr="00EA224A">
        <w:rPr>
          <w:rFonts w:ascii="Times New Roman" w:hAnsi="Times New Roman" w:cs="Times New Roman"/>
        </w:rPr>
        <w:t xml:space="preserve">The Company’s </w:t>
      </w:r>
      <w:r w:rsidR="00F3691C" w:rsidRPr="00D34102">
        <w:rPr>
          <w:rFonts w:ascii="Times New Roman" w:hAnsi="Times New Roman" w:cs="Times New Roman"/>
          <w:i/>
        </w:rPr>
        <w:t>pro forma</w:t>
      </w:r>
      <w:r w:rsidR="00F3691C" w:rsidRPr="00EA224A">
        <w:rPr>
          <w:rFonts w:ascii="Times New Roman" w:hAnsi="Times New Roman" w:cs="Times New Roman"/>
        </w:rPr>
        <w:t xml:space="preserve"> claim for Plant in Service is $35,003,303.  (GDS Exhibit No. 1 at 2-9)</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11.</w:t>
      </w:r>
      <w:r w:rsidRPr="00EA224A">
        <w:rPr>
          <w:rFonts w:ascii="Times New Roman" w:hAnsi="Times New Roman" w:cs="Times New Roman"/>
        </w:rPr>
        <w:tab/>
      </w:r>
      <w:r w:rsidR="00F3691C" w:rsidRPr="00EA224A">
        <w:rPr>
          <w:rFonts w:ascii="Times New Roman" w:hAnsi="Times New Roman" w:cs="Times New Roman"/>
        </w:rPr>
        <w:t>In 1993</w:t>
      </w:r>
      <w:r w:rsidR="00667979">
        <w:rPr>
          <w:rFonts w:ascii="Times New Roman" w:hAnsi="Times New Roman" w:cs="Times New Roman"/>
        </w:rPr>
        <w:t>,</w:t>
      </w:r>
      <w:r w:rsidR="00F3691C" w:rsidRPr="00EA224A">
        <w:rPr>
          <w:rFonts w:ascii="Times New Roman" w:hAnsi="Times New Roman" w:cs="Times New Roman"/>
        </w:rPr>
        <w:t xml:space="preserve"> the Company constructed $4,902,136 of fixed capital plant that included, but was not limited to, source of supply, pumping, transmission and distribution mains and customer service infrastructure improvements.  The Company funded the construction by obtaining and being subject to the obligations of a PennVest loan.  The Company has been recovering their investment in the PennVest plant through a volume charge applicable to all customer classes.  (CWC Statement No. 2R at 29-16)</w:t>
      </w:r>
    </w:p>
    <w:p w:rsidR="00760360" w:rsidRPr="00EA224A" w:rsidRDefault="00760360" w:rsidP="00047866">
      <w:pPr>
        <w:spacing w:line="360" w:lineRule="auto"/>
        <w:contextualSpacing/>
        <w:rPr>
          <w:rFonts w:ascii="Times New Roman" w:hAnsi="Times New Roman" w:cs="Times New Roman"/>
        </w:rPr>
      </w:pPr>
    </w:p>
    <w:p w:rsidR="00F3691C"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12.</w:t>
      </w:r>
      <w:r w:rsidRPr="00EA224A">
        <w:rPr>
          <w:rFonts w:ascii="Times New Roman" w:hAnsi="Times New Roman" w:cs="Times New Roman"/>
        </w:rPr>
        <w:tab/>
      </w:r>
      <w:r w:rsidR="00F3691C" w:rsidRPr="00EA224A">
        <w:rPr>
          <w:rFonts w:ascii="Times New Roman" w:hAnsi="Times New Roman" w:cs="Times New Roman"/>
        </w:rPr>
        <w:t>In 1993, at Docket No. R-00932594</w:t>
      </w:r>
      <w:r w:rsidR="00F3691C" w:rsidRPr="00EA224A">
        <w:rPr>
          <w:rFonts w:ascii="Times New Roman" w:hAnsi="Times New Roman" w:cs="Times New Roman"/>
        </w:rPr>
        <w:fldChar w:fldCharType="begin"/>
      </w:r>
      <w:r w:rsidR="00F3691C" w:rsidRPr="00EA224A">
        <w:rPr>
          <w:rFonts w:ascii="Times New Roman" w:hAnsi="Times New Roman" w:cs="Times New Roman"/>
        </w:rPr>
        <w:instrText xml:space="preserve"> TA \s "Docket No. R-00932594" </w:instrText>
      </w:r>
      <w:r w:rsidR="00F3691C" w:rsidRPr="00EA224A">
        <w:rPr>
          <w:rFonts w:ascii="Times New Roman" w:hAnsi="Times New Roman" w:cs="Times New Roman"/>
        </w:rPr>
        <w:fldChar w:fldCharType="end"/>
      </w:r>
      <w:r w:rsidR="00F3691C" w:rsidRPr="00EA224A">
        <w:rPr>
          <w:rFonts w:ascii="Times New Roman" w:hAnsi="Times New Roman" w:cs="Times New Roman"/>
        </w:rPr>
        <w:t xml:space="preserve">, the Commission adopted, in Ordering Paragraph No. 4 of its Final Order entered June 1, 1993, the Joint Stipulation of Settlement, dated April 30, 1993, which was entered into by the Company and OCA.  The Commission allowed a return-on and a recovery of (annual depreciation expense) the investment in the PennVest plant and facilities. </w:t>
      </w:r>
      <w:r w:rsidR="007D7CE6">
        <w:rPr>
          <w:rFonts w:ascii="Times New Roman" w:hAnsi="Times New Roman" w:cs="Times New Roman"/>
        </w:rPr>
        <w:t xml:space="preserve"> </w:t>
      </w:r>
      <w:r w:rsidR="00F3691C" w:rsidRPr="00EA224A">
        <w:rPr>
          <w:rFonts w:ascii="Times New Roman" w:hAnsi="Times New Roman" w:cs="Times New Roman"/>
        </w:rPr>
        <w:t>The Joint Stipulation for Settlement on page 3, paragraph 7 (GDS Rebuttal Exhibit No. 1) sets forth the ratemaking treatment as follows:</w:t>
      </w:r>
    </w:p>
    <w:p w:rsidR="00F3691C" w:rsidRPr="00EA224A" w:rsidRDefault="00F3691C" w:rsidP="00047866">
      <w:pPr>
        <w:spacing w:line="360" w:lineRule="auto"/>
        <w:contextualSpacing/>
        <w:rPr>
          <w:rFonts w:ascii="Times New Roman" w:hAnsi="Times New Roman" w:cs="Times New Roman"/>
        </w:rPr>
      </w:pPr>
    </w:p>
    <w:p w:rsidR="00F3691C" w:rsidRPr="00EA224A" w:rsidRDefault="00047866" w:rsidP="00047866">
      <w:pPr>
        <w:ind w:left="1440" w:right="1728" w:firstLine="720"/>
        <w:contextualSpacing/>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F3691C" w:rsidRPr="00EA224A">
        <w:rPr>
          <w:rFonts w:ascii="Times New Roman" w:hAnsi="Times New Roman" w:cs="Times New Roman"/>
        </w:rPr>
        <w:t>Regarding the ratemaking treatment of Plant in Service, the Company agrees to Rate Base treatment for plant additions of $4,547,617, constituting amount attributable to PennVest funding, rather than apply a surcharge equal to the debt service on the PennVest loan.  The following items are also reflected in the total revenue of increase proposed in this Stipulation: (a) the inclusion of these plant additions in the rate base, along with the return on the increase plant at an overall rate of return of 7.27%; (b) depreciation expense computed at the Company’s current composite depreciation rate; (c) reflection of increased deferred income taxes.  (CWC Statement No. 2R at 13:1-15; GDS Rebuttal Exhibit No. 1)</w:t>
      </w:r>
    </w:p>
    <w:p w:rsidR="00760360" w:rsidRPr="00EA224A" w:rsidRDefault="00760360" w:rsidP="00047866">
      <w:pPr>
        <w:spacing w:line="360" w:lineRule="auto"/>
        <w:ind w:left="720"/>
        <w:contextualSpacing/>
        <w:rPr>
          <w:rFonts w:ascii="Times New Roman" w:hAnsi="Times New Roman" w:cs="Times New Roman"/>
        </w:rPr>
      </w:pPr>
    </w:p>
    <w:p w:rsidR="00F3691C"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13.</w:t>
      </w:r>
      <w:r w:rsidRPr="00EA224A">
        <w:rPr>
          <w:rFonts w:ascii="Times New Roman" w:hAnsi="Times New Roman" w:cs="Times New Roman"/>
        </w:rPr>
        <w:tab/>
      </w:r>
      <w:r w:rsidR="00F3691C" w:rsidRPr="00EA224A">
        <w:rPr>
          <w:rFonts w:ascii="Times New Roman" w:hAnsi="Times New Roman" w:cs="Times New Roman"/>
        </w:rPr>
        <w:t>The PennVest volume rate was an unbundled rate base/rate of return rate which eventually became reconcilable.  The 1997 Commission Order</w:t>
      </w:r>
      <w:r w:rsidR="00667979">
        <w:rPr>
          <w:rStyle w:val="FootnoteReference"/>
          <w:rFonts w:ascii="Times New Roman" w:hAnsi="Times New Roman" w:cs="Times New Roman"/>
        </w:rPr>
        <w:footnoteReference w:id="7"/>
      </w:r>
      <w:r w:rsidR="00F3691C" w:rsidRPr="00EA224A">
        <w:rPr>
          <w:rFonts w:ascii="Times New Roman" w:hAnsi="Times New Roman" w:cs="Times New Roman"/>
        </w:rPr>
        <w:t xml:space="preserve"> allowed Columbia Water to reconcile their rate, but the rate remained one developed based on rate base/rate of return.  The reconciliation was to refine the rate to ensure it hit its rate base/rate of return income target.  (Tr. at</w:t>
      </w:r>
      <w:r w:rsidR="00047866">
        <w:rPr>
          <w:rFonts w:ascii="Times New Roman" w:hAnsi="Times New Roman" w:cs="Times New Roman"/>
        </w:rPr>
        <w:t> </w:t>
      </w:r>
      <w:r w:rsidR="00F3691C" w:rsidRPr="00EA224A">
        <w:rPr>
          <w:rFonts w:ascii="Times New Roman" w:hAnsi="Times New Roman" w:cs="Times New Roman"/>
        </w:rPr>
        <w:t>139)</w:t>
      </w:r>
    </w:p>
    <w:p w:rsidR="00F3691C" w:rsidRPr="00EA224A" w:rsidRDefault="00F3691C" w:rsidP="00047866">
      <w:pPr>
        <w:spacing w:line="360" w:lineRule="auto"/>
        <w:contextualSpacing/>
        <w:rPr>
          <w:rFonts w:ascii="Times New Roman" w:hAnsi="Times New Roman" w:cs="Times New Roman"/>
        </w:rPr>
      </w:pPr>
    </w:p>
    <w:p w:rsidR="00F3691C"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14.</w:t>
      </w:r>
      <w:r w:rsidRPr="00EA224A">
        <w:rPr>
          <w:rFonts w:ascii="Times New Roman" w:hAnsi="Times New Roman" w:cs="Times New Roman"/>
        </w:rPr>
        <w:tab/>
        <w:t xml:space="preserve">The Commission’s policy statement at 52 Pa.Code § 69.361 was intended to apply to companies who had not yet elected rate base or surcharge treatment, and Columbia’s election in 1993 precedes the 1994 policy statement. </w:t>
      </w:r>
      <w:r w:rsidR="008514B7">
        <w:rPr>
          <w:rFonts w:ascii="Times New Roman" w:hAnsi="Times New Roman" w:cs="Times New Roman"/>
        </w:rPr>
        <w:t xml:space="preserve"> </w:t>
      </w:r>
      <w:r w:rsidRPr="00EA224A">
        <w:rPr>
          <w:rFonts w:ascii="Times New Roman" w:hAnsi="Times New Roman" w:cs="Times New Roman"/>
        </w:rPr>
        <w:t>(Tr. at 179)</w:t>
      </w:r>
    </w:p>
    <w:p w:rsidR="00D44EA9" w:rsidRPr="00EA224A" w:rsidRDefault="00D44EA9"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15.</w:t>
      </w:r>
      <w:r w:rsidRPr="00EA224A">
        <w:rPr>
          <w:rFonts w:ascii="Times New Roman" w:hAnsi="Times New Roman" w:cs="Times New Roman"/>
        </w:rPr>
        <w:tab/>
      </w:r>
      <w:r w:rsidR="00F3691C" w:rsidRPr="00EA224A">
        <w:rPr>
          <w:rFonts w:ascii="Times New Roman" w:hAnsi="Times New Roman" w:cs="Times New Roman"/>
        </w:rPr>
        <w:t xml:space="preserve">The ratepayers did not sign for the loan, promissory note or the pledge of accounts nor do they own the PennVest plant. </w:t>
      </w:r>
      <w:r w:rsidR="00C93168">
        <w:rPr>
          <w:rFonts w:ascii="Times New Roman" w:hAnsi="Times New Roman" w:cs="Times New Roman"/>
        </w:rPr>
        <w:t xml:space="preserve"> </w:t>
      </w:r>
      <w:r w:rsidR="00F3691C" w:rsidRPr="00EA224A">
        <w:rPr>
          <w:rFonts w:ascii="Times New Roman" w:hAnsi="Times New Roman" w:cs="Times New Roman"/>
        </w:rPr>
        <w:t>(Tr. at 177)</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16.</w:t>
      </w:r>
      <w:r w:rsidRPr="00EA224A">
        <w:rPr>
          <w:rFonts w:ascii="Times New Roman" w:hAnsi="Times New Roman" w:cs="Times New Roman"/>
        </w:rPr>
        <w:tab/>
      </w:r>
      <w:r w:rsidR="00F3691C" w:rsidRPr="00EA224A">
        <w:rPr>
          <w:rFonts w:ascii="Times New Roman" w:hAnsi="Times New Roman" w:cs="Times New Roman"/>
        </w:rPr>
        <w:t>Columbia has claimed in its filing an amortization expense of $15,039 for the expenses incurred in the acquisition of Marietta Gravity Water Company at Docket Nos. A-2012-2282219 and A-2012-2282221</w:t>
      </w:r>
      <w:r w:rsidR="00F3691C" w:rsidRPr="00EA224A">
        <w:rPr>
          <w:rFonts w:ascii="Times New Roman" w:hAnsi="Times New Roman" w:cs="Times New Roman"/>
        </w:rPr>
        <w:fldChar w:fldCharType="begin"/>
      </w:r>
      <w:r w:rsidR="00F3691C" w:rsidRPr="00EA224A">
        <w:rPr>
          <w:rFonts w:ascii="Times New Roman" w:hAnsi="Times New Roman" w:cs="Times New Roman"/>
        </w:rPr>
        <w:instrText xml:space="preserve"> TA \s "Docket Nos. A-2012-2282219 and A-2012-2282221" </w:instrText>
      </w:r>
      <w:r w:rsidR="00F3691C" w:rsidRPr="00EA224A">
        <w:rPr>
          <w:rFonts w:ascii="Times New Roman" w:hAnsi="Times New Roman" w:cs="Times New Roman"/>
        </w:rPr>
        <w:fldChar w:fldCharType="end"/>
      </w:r>
      <w:r w:rsidR="00F3691C" w:rsidRPr="00EA224A">
        <w:rPr>
          <w:rFonts w:ascii="Times New Roman" w:hAnsi="Times New Roman" w:cs="Times New Roman"/>
        </w:rPr>
        <w:t>.  (CWC Statement 2R at 19:9; GDS Exhibit No. 1 at 1-14)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17.</w:t>
      </w:r>
      <w:r w:rsidRPr="00EA224A">
        <w:rPr>
          <w:rFonts w:ascii="Times New Roman" w:hAnsi="Times New Roman" w:cs="Times New Roman"/>
        </w:rPr>
        <w:tab/>
      </w:r>
      <w:r w:rsidR="00F3691C" w:rsidRPr="00EA224A">
        <w:rPr>
          <w:rFonts w:ascii="Times New Roman" w:hAnsi="Times New Roman" w:cs="Times New Roman"/>
        </w:rPr>
        <w:t xml:space="preserve">Columbia has claimed </w:t>
      </w:r>
      <w:r w:rsidR="00F3691C" w:rsidRPr="00D34102">
        <w:rPr>
          <w:rFonts w:ascii="Times New Roman" w:hAnsi="Times New Roman" w:cs="Times New Roman"/>
          <w:i/>
        </w:rPr>
        <w:t>pro forma</w:t>
      </w:r>
      <w:r w:rsidR="00F3691C" w:rsidRPr="00EA224A">
        <w:rPr>
          <w:rFonts w:ascii="Times New Roman" w:hAnsi="Times New Roman" w:cs="Times New Roman"/>
        </w:rPr>
        <w:t xml:space="preserve"> bad debt expense in the amount of $11,000. </w:t>
      </w:r>
      <w:r w:rsidR="00D34102">
        <w:rPr>
          <w:rFonts w:ascii="Times New Roman" w:hAnsi="Times New Roman" w:cs="Times New Roman"/>
        </w:rPr>
        <w:t xml:space="preserve"> </w:t>
      </w:r>
      <w:r w:rsidR="00F3691C" w:rsidRPr="00EA224A">
        <w:rPr>
          <w:rFonts w:ascii="Times New Roman" w:hAnsi="Times New Roman" w:cs="Times New Roman"/>
        </w:rPr>
        <w:t>(GDS Exhibit No. 1 at 1-15)</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18.</w:t>
      </w:r>
      <w:r w:rsidRPr="00EA224A">
        <w:rPr>
          <w:rFonts w:ascii="Times New Roman" w:hAnsi="Times New Roman" w:cs="Times New Roman"/>
        </w:rPr>
        <w:tab/>
      </w:r>
      <w:r w:rsidR="00760360" w:rsidRPr="00EA224A">
        <w:rPr>
          <w:rFonts w:ascii="Times New Roman" w:hAnsi="Times New Roman" w:cs="Times New Roman"/>
        </w:rPr>
        <w:t>Columbia’s</w:t>
      </w:r>
      <w:r w:rsidR="00F3691C" w:rsidRPr="00EA224A">
        <w:rPr>
          <w:rFonts w:ascii="Times New Roman" w:hAnsi="Times New Roman" w:cs="Times New Roman"/>
        </w:rPr>
        <w:t xml:space="preserve"> filing has a known and measurable level of bad debt expense. </w:t>
      </w:r>
      <w:r w:rsidR="00181EA0">
        <w:rPr>
          <w:rFonts w:ascii="Times New Roman" w:hAnsi="Times New Roman" w:cs="Times New Roman"/>
        </w:rPr>
        <w:t xml:space="preserve"> </w:t>
      </w:r>
      <w:r w:rsidR="00F3691C" w:rsidRPr="00EA224A">
        <w:rPr>
          <w:rFonts w:ascii="Times New Roman" w:hAnsi="Times New Roman" w:cs="Times New Roman"/>
        </w:rPr>
        <w:t>(Tr. at 134)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19.</w:t>
      </w:r>
      <w:r w:rsidRPr="00EA224A">
        <w:rPr>
          <w:rFonts w:ascii="Times New Roman" w:hAnsi="Times New Roman" w:cs="Times New Roman"/>
        </w:rPr>
        <w:tab/>
      </w:r>
      <w:r w:rsidR="00760360" w:rsidRPr="00EA224A">
        <w:rPr>
          <w:rFonts w:ascii="Times New Roman" w:hAnsi="Times New Roman" w:cs="Times New Roman"/>
        </w:rPr>
        <w:t>Columbia’s</w:t>
      </w:r>
      <w:r w:rsidR="00F3691C" w:rsidRPr="00EA224A">
        <w:rPr>
          <w:rFonts w:ascii="Times New Roman" w:hAnsi="Times New Roman" w:cs="Times New Roman"/>
        </w:rPr>
        <w:t xml:space="preserve"> </w:t>
      </w:r>
      <w:r w:rsidR="00760360" w:rsidRPr="00EA224A">
        <w:rPr>
          <w:rFonts w:ascii="Times New Roman" w:hAnsi="Times New Roman" w:cs="Times New Roman"/>
        </w:rPr>
        <w:t>method</w:t>
      </w:r>
      <w:r w:rsidR="00F3691C" w:rsidRPr="00EA224A">
        <w:rPr>
          <w:rFonts w:ascii="Times New Roman" w:hAnsi="Times New Roman" w:cs="Times New Roman"/>
        </w:rPr>
        <w:t xml:space="preserve"> of using audited, known and measurable current numbers is a</w:t>
      </w:r>
      <w:r w:rsidRPr="00EA224A">
        <w:rPr>
          <w:rFonts w:ascii="Times New Roman" w:hAnsi="Times New Roman" w:cs="Times New Roman"/>
        </w:rPr>
        <w:t>n</w:t>
      </w:r>
      <w:r w:rsidR="00F3691C" w:rsidRPr="00EA224A">
        <w:rPr>
          <w:rFonts w:ascii="Times New Roman" w:hAnsi="Times New Roman" w:cs="Times New Roman"/>
        </w:rPr>
        <w:t xml:space="preserve"> accurate way of predicting bad debt expense.</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20.</w:t>
      </w:r>
      <w:r w:rsidRPr="00EA224A">
        <w:rPr>
          <w:rFonts w:ascii="Times New Roman" w:hAnsi="Times New Roman" w:cs="Times New Roman"/>
        </w:rPr>
        <w:tab/>
      </w:r>
      <w:r w:rsidR="00760360" w:rsidRPr="00EA224A">
        <w:rPr>
          <w:rFonts w:ascii="Times New Roman" w:hAnsi="Times New Roman" w:cs="Times New Roman"/>
        </w:rPr>
        <w:t>Columbia</w:t>
      </w:r>
      <w:r w:rsidR="00F3691C" w:rsidRPr="00EA224A">
        <w:rPr>
          <w:rFonts w:ascii="Times New Roman" w:hAnsi="Times New Roman" w:cs="Times New Roman"/>
        </w:rPr>
        <w:t xml:space="preserve"> ha</w:t>
      </w:r>
      <w:r w:rsidR="00760360" w:rsidRPr="00EA224A">
        <w:rPr>
          <w:rFonts w:ascii="Times New Roman" w:hAnsi="Times New Roman" w:cs="Times New Roman"/>
        </w:rPr>
        <w:t>s</w:t>
      </w:r>
      <w:r w:rsidR="00F3691C" w:rsidRPr="00EA224A">
        <w:rPr>
          <w:rFonts w:ascii="Times New Roman" w:hAnsi="Times New Roman" w:cs="Times New Roman"/>
        </w:rPr>
        <w:t xml:space="preserve"> already allocated an average of 8% of its employees’ time to the Marietta Division; however, the specific percentage varies by employee and the specific amount of time devoted to Marietta Division tasks.  (CWC Statement 1R at 2:14-3:8)</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21.</w:t>
      </w:r>
      <w:r w:rsidRPr="00EA224A">
        <w:rPr>
          <w:rFonts w:ascii="Times New Roman" w:hAnsi="Times New Roman" w:cs="Times New Roman"/>
        </w:rPr>
        <w:tab/>
      </w:r>
      <w:r w:rsidR="00F3691C" w:rsidRPr="00EA224A">
        <w:rPr>
          <w:rFonts w:ascii="Times New Roman" w:hAnsi="Times New Roman" w:cs="Times New Roman"/>
        </w:rPr>
        <w:t xml:space="preserve">The Company’s original allocation of 2.31% for the salary of the sales person was based upon time spent in the fourth quarter (of 2012) and it is based upon the way Columbia assigns employees to do work tasks. </w:t>
      </w:r>
      <w:r w:rsidR="000C26AF">
        <w:rPr>
          <w:rFonts w:ascii="Times New Roman" w:hAnsi="Times New Roman" w:cs="Times New Roman"/>
        </w:rPr>
        <w:t xml:space="preserve"> </w:t>
      </w:r>
      <w:r w:rsidR="00F3691C" w:rsidRPr="00EA224A">
        <w:rPr>
          <w:rFonts w:ascii="Times New Roman" w:hAnsi="Times New Roman" w:cs="Times New Roman"/>
        </w:rPr>
        <w:t>(Tr. at 109)</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22.</w:t>
      </w:r>
      <w:r w:rsidRPr="00EA224A">
        <w:rPr>
          <w:rFonts w:ascii="Times New Roman" w:hAnsi="Times New Roman" w:cs="Times New Roman"/>
        </w:rPr>
        <w:tab/>
      </w:r>
      <w:r w:rsidR="00F3691C" w:rsidRPr="00EA224A">
        <w:rPr>
          <w:rFonts w:ascii="Times New Roman" w:hAnsi="Times New Roman" w:cs="Times New Roman"/>
        </w:rPr>
        <w:t>Health insurance costs vary widely from employee to employee.  Some employees opt out of coverage.  Some employees enroll just themselves while others enroll their entire families.  (Tr. at 113-114)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23.</w:t>
      </w:r>
      <w:r w:rsidRPr="00EA224A">
        <w:rPr>
          <w:rFonts w:ascii="Times New Roman" w:hAnsi="Times New Roman" w:cs="Times New Roman"/>
        </w:rPr>
        <w:tab/>
      </w:r>
      <w:r w:rsidR="00F3691C" w:rsidRPr="00EA224A">
        <w:rPr>
          <w:rFonts w:ascii="Times New Roman" w:hAnsi="Times New Roman" w:cs="Times New Roman"/>
        </w:rPr>
        <w:t xml:space="preserve">The allocations that </w:t>
      </w:r>
      <w:r w:rsidRPr="00EA224A">
        <w:rPr>
          <w:rFonts w:ascii="Times New Roman" w:hAnsi="Times New Roman" w:cs="Times New Roman"/>
        </w:rPr>
        <w:t>Columbia</w:t>
      </w:r>
      <w:r w:rsidR="00F3691C" w:rsidRPr="00EA224A">
        <w:rPr>
          <w:rFonts w:ascii="Times New Roman" w:hAnsi="Times New Roman" w:cs="Times New Roman"/>
        </w:rPr>
        <w:t xml:space="preserve"> provided take into account discrete, employee-specific, varying health insurance costs. </w:t>
      </w:r>
      <w:r w:rsidR="00552028">
        <w:rPr>
          <w:rFonts w:ascii="Times New Roman" w:hAnsi="Times New Roman" w:cs="Times New Roman"/>
        </w:rPr>
        <w:t xml:space="preserve"> </w:t>
      </w:r>
      <w:r w:rsidR="00F3691C" w:rsidRPr="00EA224A">
        <w:rPr>
          <w:rFonts w:ascii="Times New Roman" w:hAnsi="Times New Roman" w:cs="Times New Roman"/>
        </w:rPr>
        <w:t xml:space="preserve">(Tr. at 114)  The Company’s allocations of employee health insurance benefits were based upon the percentage of the person’s time allocated to the Marietta Division and the actual costs of the person’s benefits. </w:t>
      </w:r>
      <w:r w:rsidR="00C968A1">
        <w:rPr>
          <w:rFonts w:ascii="Times New Roman" w:hAnsi="Times New Roman" w:cs="Times New Roman"/>
        </w:rPr>
        <w:t xml:space="preserve"> (CWC Statement </w:t>
      </w:r>
      <w:r w:rsidR="00F3691C" w:rsidRPr="00EA224A">
        <w:rPr>
          <w:rFonts w:ascii="Times New Roman" w:hAnsi="Times New Roman" w:cs="Times New Roman"/>
        </w:rPr>
        <w:t>1R at 9:11-14)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24.</w:t>
      </w:r>
      <w:r w:rsidRPr="00EA224A">
        <w:rPr>
          <w:rFonts w:ascii="Times New Roman" w:hAnsi="Times New Roman" w:cs="Times New Roman"/>
        </w:rPr>
        <w:tab/>
      </w:r>
      <w:r w:rsidR="00F3691C" w:rsidRPr="00EA224A">
        <w:rPr>
          <w:rFonts w:ascii="Times New Roman" w:hAnsi="Times New Roman" w:cs="Times New Roman"/>
        </w:rPr>
        <w:t xml:space="preserve">The Company’s allocation of employee health insurance benefits to the Marietta </w:t>
      </w:r>
      <w:r w:rsidR="004320F9">
        <w:rPr>
          <w:rFonts w:ascii="Times New Roman" w:hAnsi="Times New Roman" w:cs="Times New Roman"/>
        </w:rPr>
        <w:t>D</w:t>
      </w:r>
      <w:r w:rsidR="00F3691C" w:rsidRPr="00EA224A">
        <w:rPr>
          <w:rFonts w:ascii="Times New Roman" w:hAnsi="Times New Roman" w:cs="Times New Roman"/>
        </w:rPr>
        <w:t xml:space="preserve">ivision were based upon the percentage of the person’s time allocated to the Marietta division and the actual costs of the person’s benefits. </w:t>
      </w:r>
      <w:r w:rsidR="00134F9B">
        <w:rPr>
          <w:rFonts w:ascii="Times New Roman" w:hAnsi="Times New Roman" w:cs="Times New Roman"/>
        </w:rPr>
        <w:t xml:space="preserve"> </w:t>
      </w:r>
      <w:r w:rsidR="00F3691C" w:rsidRPr="00EA224A">
        <w:rPr>
          <w:rFonts w:ascii="Times New Roman" w:hAnsi="Times New Roman" w:cs="Times New Roman"/>
        </w:rPr>
        <w:t>(CWC Statement 1R at 9:11-14)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25.</w:t>
      </w:r>
      <w:r w:rsidRPr="00EA224A">
        <w:rPr>
          <w:rFonts w:ascii="Times New Roman" w:hAnsi="Times New Roman" w:cs="Times New Roman"/>
        </w:rPr>
        <w:tab/>
      </w:r>
      <w:r w:rsidR="00F3691C" w:rsidRPr="00EA224A">
        <w:rPr>
          <w:rFonts w:ascii="Times New Roman" w:hAnsi="Times New Roman" w:cs="Times New Roman"/>
        </w:rPr>
        <w:t xml:space="preserve">The Company’s allocations of pension expenses were based upon the percentage of the person’s time allocated to the Marietta </w:t>
      </w:r>
      <w:r w:rsidR="004320F9">
        <w:rPr>
          <w:rFonts w:ascii="Times New Roman" w:hAnsi="Times New Roman" w:cs="Times New Roman"/>
        </w:rPr>
        <w:t>D</w:t>
      </w:r>
      <w:r w:rsidR="00F3691C" w:rsidRPr="00EA224A">
        <w:rPr>
          <w:rFonts w:ascii="Times New Roman" w:hAnsi="Times New Roman" w:cs="Times New Roman"/>
        </w:rPr>
        <w:t xml:space="preserve">ivision and the actual costs of the person’s benefits. </w:t>
      </w:r>
      <w:r w:rsidR="00DA2708">
        <w:rPr>
          <w:rFonts w:ascii="Times New Roman" w:hAnsi="Times New Roman" w:cs="Times New Roman"/>
        </w:rPr>
        <w:t xml:space="preserve"> </w:t>
      </w:r>
      <w:r w:rsidR="00F3691C" w:rsidRPr="00EA224A">
        <w:rPr>
          <w:rFonts w:ascii="Times New Roman" w:hAnsi="Times New Roman" w:cs="Times New Roman"/>
        </w:rPr>
        <w:t>(CWC Statement 1R at 9:11-14)</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26.</w:t>
      </w:r>
      <w:r w:rsidRPr="00EA224A">
        <w:rPr>
          <w:rFonts w:ascii="Times New Roman" w:hAnsi="Times New Roman" w:cs="Times New Roman"/>
        </w:rPr>
        <w:tab/>
      </w:r>
      <w:r w:rsidR="00F3691C" w:rsidRPr="00EA224A">
        <w:rPr>
          <w:rFonts w:ascii="Times New Roman" w:hAnsi="Times New Roman" w:cs="Times New Roman"/>
        </w:rPr>
        <w:t>The Marietta Division has its own vehicle, and, thus, most of the vehicle costs are associated with that vehicle.  (Tr. at 114)  Many of the employees that do Marietta Division work do not use vehicles; for example, customer service personnel, the office manager, and the production superintendent.  Even meter readers mainly walk and only use the vehicle to get to the service area.  (Tr. at 114)</w:t>
      </w:r>
    </w:p>
    <w:p w:rsidR="00CE4189" w:rsidRPr="00EA224A" w:rsidRDefault="00CE4189"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27.</w:t>
      </w:r>
      <w:r w:rsidRPr="00EA224A">
        <w:rPr>
          <w:rFonts w:ascii="Times New Roman" w:hAnsi="Times New Roman" w:cs="Times New Roman"/>
        </w:rPr>
        <w:tab/>
      </w:r>
      <w:r w:rsidR="00F3691C" w:rsidRPr="00EA224A">
        <w:rPr>
          <w:rFonts w:ascii="Times New Roman" w:hAnsi="Times New Roman" w:cs="Times New Roman"/>
        </w:rPr>
        <w:t>The Company, based upon a notice from its insurance carrier received during this rate case that its vehicle insurance rates will be increasing, has adjusted its expense claim upward by $837 due to the increase in the vehicle insurance premium.</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28.</w:t>
      </w:r>
      <w:r w:rsidRPr="00EA224A">
        <w:rPr>
          <w:rFonts w:ascii="Times New Roman" w:hAnsi="Times New Roman" w:cs="Times New Roman"/>
        </w:rPr>
        <w:tab/>
      </w:r>
      <w:r w:rsidR="00F3691C" w:rsidRPr="00EA224A">
        <w:rPr>
          <w:rFonts w:ascii="Times New Roman" w:hAnsi="Times New Roman" w:cs="Times New Roman"/>
        </w:rPr>
        <w:t>Workers compensation insurance premiums are based upon wages and the classification of the employee</w:t>
      </w:r>
      <w:r w:rsidR="00667979">
        <w:rPr>
          <w:rFonts w:ascii="Times New Roman" w:hAnsi="Times New Roman" w:cs="Times New Roman"/>
        </w:rPr>
        <w:t xml:space="preserve">.  </w:t>
      </w:r>
      <w:r w:rsidR="00F3691C" w:rsidRPr="00EA224A">
        <w:rPr>
          <w:rFonts w:ascii="Times New Roman" w:hAnsi="Times New Roman" w:cs="Times New Roman"/>
        </w:rPr>
        <w:t xml:space="preserve">Using the actual </w:t>
      </w:r>
      <w:r w:rsidR="00667979">
        <w:rPr>
          <w:rFonts w:ascii="Times New Roman" w:hAnsi="Times New Roman" w:cs="Times New Roman"/>
        </w:rPr>
        <w:t xml:space="preserve">employee </w:t>
      </w:r>
      <w:r w:rsidR="00F3691C" w:rsidRPr="00EA224A">
        <w:rPr>
          <w:rFonts w:ascii="Times New Roman" w:hAnsi="Times New Roman" w:cs="Times New Roman"/>
        </w:rPr>
        <w:t xml:space="preserve">hours worked </w:t>
      </w:r>
      <w:r w:rsidR="00667979">
        <w:rPr>
          <w:rFonts w:ascii="Times New Roman" w:hAnsi="Times New Roman" w:cs="Times New Roman"/>
        </w:rPr>
        <w:t xml:space="preserve">for the Marietta Division </w:t>
      </w:r>
      <w:r w:rsidR="00F3691C" w:rsidRPr="00EA224A">
        <w:rPr>
          <w:rFonts w:ascii="Times New Roman" w:hAnsi="Times New Roman" w:cs="Times New Roman"/>
        </w:rPr>
        <w:t>results in Columbia’s 3.8% allocation.  (CWC Statement 1R at 13:14-19)</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29.</w:t>
      </w:r>
      <w:r w:rsidRPr="00EA224A">
        <w:rPr>
          <w:rFonts w:ascii="Times New Roman" w:hAnsi="Times New Roman" w:cs="Times New Roman"/>
        </w:rPr>
        <w:tab/>
      </w:r>
      <w:r w:rsidR="00F3691C" w:rsidRPr="00EA224A">
        <w:rPr>
          <w:rFonts w:ascii="Times New Roman" w:hAnsi="Times New Roman" w:cs="Times New Roman"/>
        </w:rPr>
        <w:t>The Company has increased its expense claim by $2,752 based upon information received from the carrier during this case due to an increase in the worker’s compensation premium.  (CWC Statement No. 1R at 13:21-22; DTL Rebuttal Exhibit No. 1)</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30.</w:t>
      </w:r>
      <w:r w:rsidRPr="00EA224A">
        <w:rPr>
          <w:rFonts w:ascii="Times New Roman" w:hAnsi="Times New Roman" w:cs="Times New Roman"/>
        </w:rPr>
        <w:tab/>
      </w:r>
      <w:r w:rsidR="00F3691C" w:rsidRPr="00EA224A">
        <w:rPr>
          <w:rFonts w:ascii="Times New Roman" w:hAnsi="Times New Roman" w:cs="Times New Roman"/>
        </w:rPr>
        <w:t>The Marietta Division has different rates, and the Company needs to use separate accounting tools to properly track and account for the costs associated with the Marietta Division.  (Tr. at 115)  The auditors will use the separate books of the two divisions to prepare one consolidated tax return.  (Tr. at 116)</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31.</w:t>
      </w:r>
      <w:r w:rsidRPr="00EA224A">
        <w:rPr>
          <w:rFonts w:ascii="Times New Roman" w:hAnsi="Times New Roman" w:cs="Times New Roman"/>
        </w:rPr>
        <w:tab/>
      </w:r>
      <w:r w:rsidR="00F3691C" w:rsidRPr="00EA224A">
        <w:rPr>
          <w:rFonts w:ascii="Times New Roman" w:hAnsi="Times New Roman" w:cs="Times New Roman"/>
        </w:rPr>
        <w:t>With the separate divisions, Columbia will be preparing separate budgets, keeping separate books, and preparing separate depreciation calculations and accruals.  (CWC Statement 1R at 14:6-11)</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32.</w:t>
      </w:r>
      <w:r w:rsidRPr="00EA224A">
        <w:rPr>
          <w:rFonts w:ascii="Times New Roman" w:hAnsi="Times New Roman" w:cs="Times New Roman"/>
        </w:rPr>
        <w:tab/>
      </w:r>
      <w:r w:rsidR="00F3691C" w:rsidRPr="00EA224A">
        <w:rPr>
          <w:rFonts w:ascii="Times New Roman" w:hAnsi="Times New Roman" w:cs="Times New Roman"/>
        </w:rPr>
        <w:t xml:space="preserve">The Company originally made an expense claim for Officers’ salaries of $68,000. </w:t>
      </w:r>
      <w:r w:rsidR="00913E8F">
        <w:rPr>
          <w:rFonts w:ascii="Times New Roman" w:hAnsi="Times New Roman" w:cs="Times New Roman"/>
        </w:rPr>
        <w:t xml:space="preserve"> </w:t>
      </w:r>
      <w:r w:rsidR="00F3691C" w:rsidRPr="00EA224A">
        <w:rPr>
          <w:rFonts w:ascii="Times New Roman" w:hAnsi="Times New Roman" w:cs="Times New Roman"/>
        </w:rPr>
        <w:t>(GDS Exhibit No. 1 at 1-15)  The claim was subsequently adjusted to $66,144 to reflect a 4.3% allocation of the Officers’ salaries to the Marietta Division.  (Tr. at 128; GDS Rebuttal Exhibit No. 3 (Revised) at 2)</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33.</w:t>
      </w:r>
      <w:r w:rsidRPr="00EA224A">
        <w:rPr>
          <w:rFonts w:ascii="Times New Roman" w:hAnsi="Times New Roman" w:cs="Times New Roman"/>
        </w:rPr>
        <w:tab/>
      </w:r>
      <w:r w:rsidR="00F3691C" w:rsidRPr="00EA224A">
        <w:rPr>
          <w:rFonts w:ascii="Times New Roman" w:hAnsi="Times New Roman" w:cs="Times New Roman"/>
        </w:rPr>
        <w:t>Neither the Company’s Officers nor Directors have had any raise in salaries or fees since 2009.  (CWC Statement No. 1 at 17:17-18)</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34.</w:t>
      </w:r>
      <w:r w:rsidRPr="00EA224A">
        <w:rPr>
          <w:rFonts w:ascii="Times New Roman" w:hAnsi="Times New Roman" w:cs="Times New Roman"/>
        </w:rPr>
        <w:tab/>
        <w:t>Columbia</w:t>
      </w:r>
      <w:r w:rsidR="00F3691C" w:rsidRPr="00EA224A">
        <w:rPr>
          <w:rFonts w:ascii="Times New Roman" w:hAnsi="Times New Roman" w:cs="Times New Roman"/>
        </w:rPr>
        <w:t xml:space="preserve"> has agreed to allocate 4.3% of it Officers’ salaries and Directors’ fees to the Marietta Division, thus reducing its claim for Officers’ salaries to $66,144 and Directors’ fees to $60,036.  (CWC Statement No. 1R at 21:4-5; GDS Rebuttal Exhibit No. 3 (Revised), page 2)</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35.</w:t>
      </w:r>
      <w:r w:rsidRPr="00EA224A">
        <w:rPr>
          <w:rFonts w:ascii="Times New Roman" w:hAnsi="Times New Roman" w:cs="Times New Roman"/>
        </w:rPr>
        <w:tab/>
      </w:r>
      <w:r w:rsidR="00F3691C" w:rsidRPr="00EA224A">
        <w:rPr>
          <w:rFonts w:ascii="Times New Roman" w:hAnsi="Times New Roman" w:cs="Times New Roman"/>
        </w:rPr>
        <w:t>The Company’s General Manager, Dave Lewis, has established that the Company meets or exceeds all Federal and State water quality standards and requirements.  (CWC Statement No. 1 at 5:8-16)</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36.</w:t>
      </w:r>
      <w:r w:rsidRPr="00EA224A">
        <w:rPr>
          <w:rFonts w:ascii="Times New Roman" w:hAnsi="Times New Roman" w:cs="Times New Roman"/>
        </w:rPr>
        <w:tab/>
      </w:r>
      <w:r w:rsidR="00F3691C" w:rsidRPr="00EA224A">
        <w:rPr>
          <w:rFonts w:ascii="Times New Roman" w:hAnsi="Times New Roman" w:cs="Times New Roman"/>
        </w:rPr>
        <w:t>From 2010 until present, the Company has had only two operational issues.  In September</w:t>
      </w:r>
      <w:r w:rsidR="00F10991">
        <w:rPr>
          <w:rFonts w:ascii="Times New Roman" w:hAnsi="Times New Roman" w:cs="Times New Roman"/>
        </w:rPr>
        <w:t>,</w:t>
      </w:r>
      <w:r w:rsidR="00F3691C" w:rsidRPr="00EA224A">
        <w:rPr>
          <w:rFonts w:ascii="Times New Roman" w:hAnsi="Times New Roman" w:cs="Times New Roman"/>
        </w:rPr>
        <w:t xml:space="preserve"> 2011, Columbia issued a boil water notice as a precaution due to flooding that occurred as a result of Tropical Storm Lee; however, no water quality issues were detected and the notice was issued as a precaution only.  In March</w:t>
      </w:r>
      <w:r w:rsidR="00834F55">
        <w:rPr>
          <w:rFonts w:ascii="Times New Roman" w:hAnsi="Times New Roman" w:cs="Times New Roman"/>
        </w:rPr>
        <w:t>,</w:t>
      </w:r>
      <w:r w:rsidR="00F3691C" w:rsidRPr="00EA224A">
        <w:rPr>
          <w:rFonts w:ascii="Times New Roman" w:hAnsi="Times New Roman" w:cs="Times New Roman"/>
        </w:rPr>
        <w:t xml:space="preserve"> 2013, Columbia issued a “Do Not Consume” Notice in response to someone who broke into a locked finished water storage tank.  The Pennsylvania Department of Environmental Protection (Pa. DEP) found that the water was safe to consume and the notice was lifted.  Pa. DEP complimented Columbia on how the situation was handled.  (CWC Statement No. 1 at 5:18-6:3; Appendix 2 to CWC Statement No. 1)</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37.</w:t>
      </w:r>
      <w:r w:rsidRPr="00EA224A">
        <w:rPr>
          <w:rFonts w:ascii="Times New Roman" w:hAnsi="Times New Roman" w:cs="Times New Roman"/>
        </w:rPr>
        <w:tab/>
      </w:r>
      <w:r w:rsidR="00F3691C" w:rsidRPr="00EA224A">
        <w:rPr>
          <w:rFonts w:ascii="Times New Roman" w:hAnsi="Times New Roman" w:cs="Times New Roman"/>
        </w:rPr>
        <w:t>The Company’s water pressure throughout its system meets all standards.  (CWC Statement No. 1 at 6:11)</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38.</w:t>
      </w:r>
      <w:r w:rsidRPr="00EA224A">
        <w:rPr>
          <w:rFonts w:ascii="Times New Roman" w:hAnsi="Times New Roman" w:cs="Times New Roman"/>
        </w:rPr>
        <w:tab/>
      </w:r>
      <w:r w:rsidR="00F3691C" w:rsidRPr="00EA224A">
        <w:rPr>
          <w:rFonts w:ascii="Times New Roman" w:hAnsi="Times New Roman" w:cs="Times New Roman"/>
        </w:rPr>
        <w:t>Since 2010, Co</w:t>
      </w:r>
      <w:r w:rsidR="00667979">
        <w:rPr>
          <w:rFonts w:ascii="Times New Roman" w:hAnsi="Times New Roman" w:cs="Times New Roman"/>
        </w:rPr>
        <w:t>lumbia</w:t>
      </w:r>
      <w:r w:rsidR="00F3691C" w:rsidRPr="00EA224A">
        <w:rPr>
          <w:rFonts w:ascii="Times New Roman" w:hAnsi="Times New Roman" w:cs="Times New Roman"/>
        </w:rPr>
        <w:t xml:space="preserve"> has had no informal complaints and only one formal complaint filed against it with the Commission.  The formal complaint alleged that Columbia caused a leak in the customer’s plumbing when a meter was replaced.  </w:t>
      </w:r>
      <w:r w:rsidR="00667979">
        <w:rPr>
          <w:rFonts w:ascii="Times New Roman" w:hAnsi="Times New Roman" w:cs="Times New Roman"/>
        </w:rPr>
        <w:t>Columbia resolved the issue, crediti</w:t>
      </w:r>
      <w:r w:rsidR="00F3691C" w:rsidRPr="00EA224A">
        <w:rPr>
          <w:rFonts w:ascii="Times New Roman" w:hAnsi="Times New Roman" w:cs="Times New Roman"/>
        </w:rPr>
        <w:t xml:space="preserve">ng the customer’s account $75.00.  </w:t>
      </w:r>
      <w:r w:rsidR="00667979">
        <w:rPr>
          <w:rFonts w:ascii="Times New Roman" w:hAnsi="Times New Roman" w:cs="Times New Roman"/>
        </w:rPr>
        <w:t>Columbia</w:t>
      </w:r>
      <w:r w:rsidR="00F3691C" w:rsidRPr="00EA224A">
        <w:rPr>
          <w:rFonts w:ascii="Times New Roman" w:hAnsi="Times New Roman" w:cs="Times New Roman"/>
        </w:rPr>
        <w:t xml:space="preserve"> has consistently had UCARE statistics that are equal to or better than all the other Class A utilities.  (CWC Statement No. 1 at 6:13-19)</w:t>
      </w:r>
    </w:p>
    <w:p w:rsidR="00760360" w:rsidRPr="00EA224A" w:rsidRDefault="00760360" w:rsidP="00047866">
      <w:pPr>
        <w:spacing w:line="360" w:lineRule="auto"/>
        <w:contextualSpacing/>
        <w:rPr>
          <w:rFonts w:ascii="Times New Roman" w:hAnsi="Times New Roman" w:cs="Times New Roman"/>
        </w:rPr>
      </w:pPr>
    </w:p>
    <w:p w:rsidR="00760360"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39.</w:t>
      </w:r>
      <w:r w:rsidRPr="00EA224A">
        <w:rPr>
          <w:rFonts w:ascii="Times New Roman" w:hAnsi="Times New Roman" w:cs="Times New Roman"/>
        </w:rPr>
        <w:tab/>
      </w:r>
      <w:r w:rsidR="00F3691C" w:rsidRPr="00EA224A">
        <w:rPr>
          <w:rFonts w:ascii="Times New Roman" w:hAnsi="Times New Roman" w:cs="Times New Roman"/>
        </w:rPr>
        <w:t>Since 2010, the Company has received no complaints regarding the taste or the odor of its water.  (Tr. at 120-121)</w:t>
      </w:r>
    </w:p>
    <w:p w:rsidR="00760360" w:rsidRPr="00EA224A" w:rsidRDefault="00760360" w:rsidP="00047866">
      <w:pPr>
        <w:spacing w:line="360" w:lineRule="auto"/>
        <w:contextualSpacing/>
        <w:rPr>
          <w:rFonts w:ascii="Times New Roman" w:hAnsi="Times New Roman" w:cs="Times New Roman"/>
        </w:rPr>
      </w:pPr>
    </w:p>
    <w:p w:rsidR="00F3691C" w:rsidRPr="00EA224A" w:rsidRDefault="00CE4189"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40.</w:t>
      </w:r>
      <w:r w:rsidRPr="00EA224A">
        <w:rPr>
          <w:rFonts w:ascii="Times New Roman" w:hAnsi="Times New Roman" w:cs="Times New Roman"/>
        </w:rPr>
        <w:tab/>
      </w:r>
      <w:r w:rsidR="00F3691C" w:rsidRPr="00EA224A">
        <w:rPr>
          <w:rFonts w:ascii="Times New Roman" w:hAnsi="Times New Roman" w:cs="Times New Roman"/>
        </w:rPr>
        <w:t>Columbia has complied with Ordering Paragraph No. 5 of its 2008 Rate Case Order, and has provided officers’ and directors’ hours in i</w:t>
      </w:r>
      <w:r w:rsidR="00535D1D">
        <w:rPr>
          <w:rFonts w:ascii="Times New Roman" w:hAnsi="Times New Roman" w:cs="Times New Roman"/>
        </w:rPr>
        <w:t>ts testimony (CWC Statement No. </w:t>
      </w:r>
      <w:r w:rsidR="00F3691C" w:rsidRPr="00EA224A">
        <w:rPr>
          <w:rFonts w:ascii="Times New Roman" w:hAnsi="Times New Roman" w:cs="Times New Roman"/>
        </w:rPr>
        <w:t>1 at 15:12-16 and 17:3-5)</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41.</w:t>
      </w:r>
      <w:r w:rsidRPr="00EA224A">
        <w:rPr>
          <w:rFonts w:ascii="Times New Roman" w:hAnsi="Times New Roman" w:cs="Times New Roman"/>
        </w:rPr>
        <w:tab/>
        <w:t>Columbia’s inclusion of its remaining used and useful undepreciated PennVest Plant and facilities in rate base is appropriate.</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42.</w:t>
      </w:r>
      <w:r w:rsidRPr="00EA224A">
        <w:rPr>
          <w:rFonts w:ascii="Times New Roman" w:hAnsi="Times New Roman" w:cs="Times New Roman"/>
        </w:rPr>
        <w:tab/>
        <w:t xml:space="preserve">Columbia’s claimed expense of $15,039, representing a fifteen year amortization of $225,581 </w:t>
      </w:r>
      <w:r w:rsidR="002C0B54">
        <w:rPr>
          <w:rFonts w:ascii="Times New Roman" w:hAnsi="Times New Roman" w:cs="Times New Roman"/>
        </w:rPr>
        <w:t xml:space="preserve">in </w:t>
      </w:r>
      <w:r w:rsidRPr="00EA224A">
        <w:rPr>
          <w:rFonts w:ascii="Times New Roman" w:hAnsi="Times New Roman" w:cs="Times New Roman"/>
        </w:rPr>
        <w:t>expenses incurred while acquiring the Marietta Gravity Water Company is not appropriate.</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43.</w:t>
      </w:r>
      <w:r w:rsidRPr="00EA224A">
        <w:rPr>
          <w:rFonts w:ascii="Times New Roman" w:hAnsi="Times New Roman" w:cs="Times New Roman"/>
        </w:rPr>
        <w:tab/>
        <w:t>Because it appears that Mr. Ron Weigel’s professional services are related directly to the acquisition of Marietta Gravity Water Company and not to this rate case, this $5,505 expense must be removed.</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44.</w:t>
      </w:r>
      <w:r w:rsidRPr="00EA224A">
        <w:rPr>
          <w:rFonts w:ascii="Times New Roman" w:hAnsi="Times New Roman" w:cs="Times New Roman"/>
        </w:rPr>
        <w:tab/>
        <w:t xml:space="preserve">Columbia’s Pensions and Benefits claim </w:t>
      </w:r>
      <w:r w:rsidR="002C0B54">
        <w:rPr>
          <w:rFonts w:ascii="Times New Roman" w:hAnsi="Times New Roman" w:cs="Times New Roman"/>
        </w:rPr>
        <w:t xml:space="preserve">which </w:t>
      </w:r>
      <w:r w:rsidRPr="00EA224A">
        <w:rPr>
          <w:rFonts w:ascii="Times New Roman" w:hAnsi="Times New Roman" w:cs="Times New Roman"/>
        </w:rPr>
        <w:t>includes $6,051 for Employee Recognition</w:t>
      </w:r>
      <w:r w:rsidR="002C0B54">
        <w:rPr>
          <w:rFonts w:ascii="Times New Roman" w:hAnsi="Times New Roman" w:cs="Times New Roman"/>
        </w:rPr>
        <w:t>,</w:t>
      </w:r>
      <w:r w:rsidRPr="00EA224A">
        <w:rPr>
          <w:rFonts w:ascii="Times New Roman" w:hAnsi="Times New Roman" w:cs="Times New Roman"/>
        </w:rPr>
        <w:t xml:space="preserve"> is inappropriate and must be removed.</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45.</w:t>
      </w:r>
      <w:r w:rsidRPr="00EA224A">
        <w:rPr>
          <w:rFonts w:ascii="Times New Roman" w:hAnsi="Times New Roman" w:cs="Times New Roman"/>
        </w:rPr>
        <w:tab/>
        <w:t>The Columbia and Marietta Divisions keep separate books, budgets and depreciation calculations, and as Accounting costs are built into the Marietta Division’s rates $2,364 in Accounting costs must be attributed to the Marietta Division and must be removed.</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46.</w:t>
      </w:r>
      <w:r w:rsidRPr="00EA224A">
        <w:rPr>
          <w:rFonts w:ascii="Times New Roman" w:hAnsi="Times New Roman" w:cs="Times New Roman"/>
        </w:rPr>
        <w:tab/>
        <w:t>Both Columbia and the OCA agree that 4.3% is an accurate reflection of the office and utility expenses that should be allocated to the Marietta Division, so 4.3% of Columbia’s claimed office expenses and utilities (or $774) must be allocated to the Marietta Division.</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47.</w:t>
      </w:r>
      <w:r w:rsidRPr="00EA224A">
        <w:rPr>
          <w:rFonts w:ascii="Times New Roman" w:hAnsi="Times New Roman" w:cs="Times New Roman"/>
        </w:rPr>
        <w:tab/>
        <w:t>The I&amp;E recommendation of a 7.07% overall rate of return derived from the use of recommended debt cost rate of 5.00%, recommended 50/50 capital structure, and recommended 9.15% cost of common equity is reasonable.</w:t>
      </w:r>
    </w:p>
    <w:p w:rsidR="005A07B1" w:rsidRPr="00EA224A" w:rsidRDefault="005A07B1" w:rsidP="00047866">
      <w:pPr>
        <w:spacing w:line="360" w:lineRule="auto"/>
        <w:contextualSpacing/>
        <w:rPr>
          <w:rFonts w:ascii="Times New Roman" w:hAnsi="Times New Roman" w:cs="Times New Roman"/>
        </w:rPr>
      </w:pPr>
    </w:p>
    <w:p w:rsidR="005A07B1"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48.</w:t>
      </w:r>
      <w:r w:rsidRPr="00EA224A">
        <w:rPr>
          <w:rFonts w:ascii="Times New Roman" w:hAnsi="Times New Roman" w:cs="Times New Roman"/>
        </w:rPr>
        <w:tab/>
        <w:t>An additional 50 basis point premium to reflect Columbia’s management efficiency, a 1998 acquisition of a neighboring water system, and a 2012 acquisition of an affiliate water system is not supported by the evidence of record or reasonable.</w:t>
      </w:r>
    </w:p>
    <w:p w:rsidR="00CE4189" w:rsidRPr="00EA224A" w:rsidRDefault="00CE4189" w:rsidP="00047866">
      <w:pPr>
        <w:spacing w:line="360" w:lineRule="auto"/>
        <w:contextualSpacing/>
        <w:rPr>
          <w:rFonts w:ascii="Times New Roman" w:hAnsi="Times New Roman" w:cs="Times New Roman"/>
        </w:rPr>
      </w:pPr>
    </w:p>
    <w:p w:rsidR="007374B2" w:rsidRPr="00EA224A" w:rsidRDefault="00CE4189"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I</w:t>
      </w:r>
      <w:r w:rsidR="00F80883" w:rsidRPr="00EA224A">
        <w:rPr>
          <w:rFonts w:ascii="Times New Roman" w:hAnsi="Times New Roman" w:cs="Times New Roman"/>
        </w:rPr>
        <w:t>V</w:t>
      </w:r>
      <w:r w:rsidRPr="00EA224A">
        <w:rPr>
          <w:rFonts w:ascii="Times New Roman" w:hAnsi="Times New Roman" w:cs="Times New Roman"/>
        </w:rPr>
        <w:t>.</w:t>
      </w:r>
      <w:r w:rsidRPr="00EA224A">
        <w:rPr>
          <w:rFonts w:ascii="Times New Roman" w:hAnsi="Times New Roman" w:cs="Times New Roman"/>
        </w:rPr>
        <w:tab/>
      </w:r>
      <w:r w:rsidR="007374B2" w:rsidRPr="00EA224A">
        <w:rPr>
          <w:rFonts w:ascii="Times New Roman" w:hAnsi="Times New Roman" w:cs="Times New Roman"/>
          <w:u w:val="single"/>
        </w:rPr>
        <w:t>PUBLIC INPUT TESTIMONY</w:t>
      </w:r>
      <w:r w:rsidR="000E74AA">
        <w:rPr>
          <w:rFonts w:ascii="Times New Roman" w:hAnsi="Times New Roman" w:cs="Times New Roman"/>
          <w:u w:val="single"/>
        </w:rPr>
        <w:fldChar w:fldCharType="begin"/>
      </w:r>
      <w:r w:rsidR="000E74AA">
        <w:instrText xml:space="preserve"> TC "</w:instrText>
      </w:r>
      <w:bookmarkStart w:id="4" w:name="_Toc372704680"/>
      <w:r w:rsidR="000E74AA" w:rsidRPr="00831096">
        <w:rPr>
          <w:rFonts w:ascii="Times New Roman" w:hAnsi="Times New Roman" w:cs="Times New Roman"/>
        </w:rPr>
        <w:instrText>IV.</w:instrText>
      </w:r>
      <w:r w:rsidR="000E74AA" w:rsidRPr="00831096">
        <w:rPr>
          <w:rFonts w:ascii="Times New Roman" w:hAnsi="Times New Roman" w:cs="Times New Roman"/>
        </w:rPr>
        <w:tab/>
      </w:r>
      <w:r w:rsidR="000E74AA" w:rsidRPr="00831096">
        <w:rPr>
          <w:rFonts w:ascii="Times New Roman" w:hAnsi="Times New Roman" w:cs="Times New Roman"/>
          <w:u w:val="single"/>
        </w:rPr>
        <w:instrText>PUBLIC INPUT TESTIMONY</w:instrText>
      </w:r>
      <w:bookmarkEnd w:id="4"/>
      <w:r w:rsidR="000E74AA">
        <w:instrText xml:space="preserve">" \f C \l "1" </w:instrText>
      </w:r>
      <w:r w:rsidR="000E74AA">
        <w:rPr>
          <w:rFonts w:ascii="Times New Roman" w:hAnsi="Times New Roman" w:cs="Times New Roman"/>
          <w:u w:val="single"/>
        </w:rPr>
        <w:fldChar w:fldCharType="end"/>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On September 3, 2013, a public input hearing was held in Columbia, Pennsylvania, which produced a transcript consisting of 84 pages, and 4 exhibits.  The following are summaries of the testimony presented at that hearing.</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Mary C. Wickenheiser</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Ms. Wickenheiser i</w:t>
      </w:r>
      <w:r w:rsidR="007374B2" w:rsidRPr="00EA224A">
        <w:rPr>
          <w:rFonts w:ascii="Times New Roman" w:hAnsi="Times New Roman" w:cs="Times New Roman"/>
        </w:rPr>
        <w:t>s the Vice President of the Columbia Borough Council.  She stated that the borough is just beginning to see some economic development and is of the opinion that a rate increase of the magnitude requested would discourage any water dependent business or industry from looking seriously at the borough as a possible location.</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Samuel Sulkosky</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Sulkosky i</w:t>
      </w:r>
      <w:r w:rsidR="007374B2" w:rsidRPr="00EA224A">
        <w:rPr>
          <w:rFonts w:ascii="Times New Roman" w:hAnsi="Times New Roman" w:cs="Times New Roman"/>
        </w:rPr>
        <w:t>s the Borough Manager of Columbia and sent a letter to the Commission which led to the scheduling of the public input hearing.  Mr. Sulkosky related that at a meeting of the borough council on June 10, 2013, the Council voted to object to the proposed rate increase.  Mr. Sulkosky testified that he believes that Columbia’s current rates and rate of return are adequate.  Mr. Sulkosky believes that the proposed rate increase was undertaken by the Company to raise the rate of return, which is unjustified.  Mr. Sulkosky also objected to the Company’s decision to separate the Marietta Division from the Columbia Division and to treat the two divisions differently, and contended that the Company is impermissibly passing along upgrade and acquisition cos</w:t>
      </w:r>
      <w:r w:rsidR="004320F9">
        <w:rPr>
          <w:rFonts w:ascii="Times New Roman" w:hAnsi="Times New Roman" w:cs="Times New Roman"/>
        </w:rPr>
        <w:t>ts related to the Marietta D</w:t>
      </w:r>
      <w:r w:rsidR="007374B2" w:rsidRPr="00EA224A">
        <w:rPr>
          <w:rFonts w:ascii="Times New Roman" w:hAnsi="Times New Roman" w:cs="Times New Roman"/>
        </w:rPr>
        <w:t>ivision.  Mr. Sulkosky pointed out that the borough is economically challenged, and that its population includes a disproportionately high percentage of low income, senior citizen and rental housing.  Mr. Sulkosky reiterated that increasing utility rates will make economic development difficult and asked that the rate increase be denied or substantially reduced, or rolled back.</w:t>
      </w:r>
    </w:p>
    <w:p w:rsidR="00FC2945" w:rsidRDefault="00FC2945" w:rsidP="00047866">
      <w:pPr>
        <w:spacing w:line="360" w:lineRule="auto"/>
        <w:contextualSpacing/>
        <w:rPr>
          <w:rFonts w:ascii="Times New Roman" w:hAnsi="Times New Roman" w:cs="Times New Roman"/>
          <w:u w:val="single"/>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Leo S. Lutz</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 xml:space="preserve">Mr. Lutz is </w:t>
      </w:r>
      <w:r w:rsidR="007374B2" w:rsidRPr="00EA224A">
        <w:rPr>
          <w:rFonts w:ascii="Times New Roman" w:hAnsi="Times New Roman" w:cs="Times New Roman"/>
        </w:rPr>
        <w:t xml:space="preserve">the Mayor of Columbia Borough and complained that the rate structure </w:t>
      </w:r>
      <w:r w:rsidR="002C0B54">
        <w:rPr>
          <w:rFonts w:ascii="Times New Roman" w:hAnsi="Times New Roman" w:cs="Times New Roman"/>
        </w:rPr>
        <w:t>used</w:t>
      </w:r>
      <w:r w:rsidR="007374B2" w:rsidRPr="00EA224A">
        <w:rPr>
          <w:rFonts w:ascii="Times New Roman" w:hAnsi="Times New Roman" w:cs="Times New Roman"/>
        </w:rPr>
        <w:t xml:space="preserve"> by Columbia is confusing.  He objected to a 21% rate increase as stifling the economic development and revitalization efforts of the borough.  He complained that the proposed rate increase would raise the current $35,000 for fire hydrant service up to $42,350, which would be a substantial increase to Columbia Borough and the ratepayers.</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Vincent E. Collier</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Collier f</w:t>
      </w:r>
      <w:r w:rsidR="007374B2" w:rsidRPr="00EA224A">
        <w:rPr>
          <w:rFonts w:ascii="Times New Roman" w:hAnsi="Times New Roman" w:cs="Times New Roman"/>
        </w:rPr>
        <w:t xml:space="preserve">iled a formal Complaint against the proposed rate increase at Docket No. C-2013-2364726. </w:t>
      </w:r>
      <w:r w:rsidR="00D63A94" w:rsidRPr="00EA224A">
        <w:rPr>
          <w:rFonts w:ascii="Times New Roman" w:hAnsi="Times New Roman" w:cs="Times New Roman"/>
        </w:rPr>
        <w:t xml:space="preserve"> </w:t>
      </w:r>
      <w:r w:rsidR="007374B2" w:rsidRPr="00EA224A">
        <w:rPr>
          <w:rFonts w:ascii="Times New Roman" w:hAnsi="Times New Roman" w:cs="Times New Roman"/>
        </w:rPr>
        <w:t xml:space="preserve">He testified that elderly people on fixed incomes and younger people on low incomes have not received a 21 percent increase in their incomes.  He asked that the rate increase request be denied in its entirety and that any cost reductions should “start at the top of this top heavy company.” </w:t>
      </w:r>
      <w:r w:rsidR="00FC2945">
        <w:rPr>
          <w:rFonts w:ascii="Times New Roman" w:hAnsi="Times New Roman" w:cs="Times New Roman"/>
        </w:rPr>
        <w:t xml:space="preserve"> </w:t>
      </w:r>
      <w:r w:rsidR="007374B2" w:rsidRPr="00EA224A">
        <w:rPr>
          <w:rFonts w:ascii="Times New Roman" w:hAnsi="Times New Roman" w:cs="Times New Roman"/>
        </w:rPr>
        <w:t xml:space="preserve">He asked that salaries, benefits and what he characterized as “frivolous expenses” be reduced. </w:t>
      </w:r>
      <w:r w:rsidR="00597F95">
        <w:rPr>
          <w:rFonts w:ascii="Times New Roman" w:hAnsi="Times New Roman" w:cs="Times New Roman"/>
        </w:rPr>
        <w:t xml:space="preserve"> </w:t>
      </w:r>
      <w:r w:rsidR="007374B2" w:rsidRPr="00EA224A">
        <w:rPr>
          <w:rFonts w:ascii="Times New Roman" w:hAnsi="Times New Roman" w:cs="Times New Roman"/>
        </w:rPr>
        <w:t>He alleged that he has seen company vehicles being used for non-business purposes (i.e. transporting items from yard sales).  He complained that East Hempfield Water Company charges from 2.25 to 2.5 percent less for better quality water than does Columbia.</w:t>
      </w:r>
      <w:r w:rsidR="007374B2" w:rsidRPr="00EA224A">
        <w:rPr>
          <w:rFonts w:ascii="Times New Roman" w:hAnsi="Times New Roman" w:cs="Times New Roman"/>
          <w:vertAlign w:val="superscript"/>
        </w:rPr>
        <w:footnoteReference w:id="8"/>
      </w:r>
      <w:r w:rsidR="007374B2" w:rsidRPr="00EA224A">
        <w:rPr>
          <w:rFonts w:ascii="Times New Roman" w:hAnsi="Times New Roman" w:cs="Times New Roman"/>
        </w:rPr>
        <w:t xml:space="preserve"> He complained about the monthly service charge being imposed before any water is even used.</w:t>
      </w:r>
    </w:p>
    <w:p w:rsidR="007374B2" w:rsidRDefault="007374B2" w:rsidP="00047866">
      <w:pPr>
        <w:spacing w:line="360" w:lineRule="auto"/>
        <w:contextualSpacing/>
        <w:rPr>
          <w:rFonts w:ascii="Times New Roman" w:hAnsi="Times New Roman" w:cs="Times New Roman"/>
        </w:rPr>
      </w:pPr>
    </w:p>
    <w:p w:rsidR="00B00C43" w:rsidRDefault="00B00C43" w:rsidP="00047866">
      <w:pPr>
        <w:spacing w:line="360" w:lineRule="auto"/>
        <w:contextualSpacing/>
        <w:rPr>
          <w:rFonts w:ascii="Times New Roman" w:hAnsi="Times New Roman" w:cs="Times New Roman"/>
        </w:rPr>
      </w:pPr>
    </w:p>
    <w:p w:rsidR="00B00C43" w:rsidRPr="00EA224A" w:rsidRDefault="00B00C43"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Ronald Fritz</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Fritz t</w:t>
      </w:r>
      <w:r w:rsidR="007374B2" w:rsidRPr="00EA224A">
        <w:rPr>
          <w:rFonts w:ascii="Times New Roman" w:hAnsi="Times New Roman" w:cs="Times New Roman"/>
        </w:rPr>
        <w:t>estified that he also is very concerned about the potential impact of a rate increase on economic prospects for the borough, and particularly for industrial customers.  He stated that he is worried about his children and the many poor children in Columbia.  He stated that more should be done to keep domestic businesses from locating overseas.</w:t>
      </w:r>
    </w:p>
    <w:p w:rsidR="001B7181" w:rsidRDefault="001B7181" w:rsidP="00047866">
      <w:pPr>
        <w:spacing w:line="360" w:lineRule="auto"/>
        <w:contextualSpacing/>
        <w:rPr>
          <w:rFonts w:ascii="Times New Roman" w:hAnsi="Times New Roman" w:cs="Times New Roman"/>
          <w:u w:val="single"/>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Richard Spiegel</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Spiegel s</w:t>
      </w:r>
      <w:r w:rsidR="007374B2" w:rsidRPr="00EA224A">
        <w:rPr>
          <w:rFonts w:ascii="Times New Roman" w:hAnsi="Times New Roman" w:cs="Times New Roman"/>
        </w:rPr>
        <w:t>tated that while he realizes that a business needs to make money, and that the Company has not had a rate increase since 2008, a lot of people have not received income increases for even longer than that.  He stated that he had recently received correspondence from the Company demanding that he install a dual check valve.  He pointed out the advantage that the Company enjoys as a regulated monopoly, without any competition, and stated that he would like to see the Company undertake cost control rather than ask for a substantial rate increase.  He characterized a requested 20 percent rate increase as “unbelievable.”</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Robert Snyder</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Snyder testified that he i</w:t>
      </w:r>
      <w:r w:rsidR="007374B2" w:rsidRPr="00EA224A">
        <w:rPr>
          <w:rFonts w:ascii="Times New Roman" w:hAnsi="Times New Roman" w:cs="Times New Roman"/>
        </w:rPr>
        <w:t>s totally against the requested rate increase.</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Tonja Gerlitzki</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Ms. Gerlitzki testified that she f</w:t>
      </w:r>
      <w:r w:rsidR="007374B2" w:rsidRPr="00EA224A">
        <w:rPr>
          <w:rFonts w:ascii="Times New Roman" w:hAnsi="Times New Roman" w:cs="Times New Roman"/>
        </w:rPr>
        <w:t>inds it ironic that the rate increase has been made af</w:t>
      </w:r>
      <w:r w:rsidR="00D63A94" w:rsidRPr="00EA224A">
        <w:rPr>
          <w:rFonts w:ascii="Times New Roman" w:hAnsi="Times New Roman" w:cs="Times New Roman"/>
        </w:rPr>
        <w:t>ter the Marietta acquisition.  Sh</w:t>
      </w:r>
      <w:r w:rsidR="007374B2" w:rsidRPr="00EA224A">
        <w:rPr>
          <w:rFonts w:ascii="Times New Roman" w:hAnsi="Times New Roman" w:cs="Times New Roman"/>
        </w:rPr>
        <w:t>e drinks bottled water in h</w:t>
      </w:r>
      <w:r w:rsidR="00D63A94" w:rsidRPr="00EA224A">
        <w:rPr>
          <w:rFonts w:ascii="Times New Roman" w:hAnsi="Times New Roman" w:cs="Times New Roman"/>
        </w:rPr>
        <w:t>er</w:t>
      </w:r>
      <w:r w:rsidR="007374B2" w:rsidRPr="00EA224A">
        <w:rPr>
          <w:rFonts w:ascii="Times New Roman" w:hAnsi="Times New Roman" w:cs="Times New Roman"/>
        </w:rPr>
        <w:t xml:space="preserve"> home.  </w:t>
      </w:r>
      <w:r w:rsidR="00D63A94" w:rsidRPr="00EA224A">
        <w:rPr>
          <w:rFonts w:ascii="Times New Roman" w:hAnsi="Times New Roman" w:cs="Times New Roman"/>
        </w:rPr>
        <w:t xml:space="preserve">Her </w:t>
      </w:r>
      <w:r w:rsidR="007374B2" w:rsidRPr="00EA224A">
        <w:rPr>
          <w:rFonts w:ascii="Times New Roman" w:hAnsi="Times New Roman" w:cs="Times New Roman"/>
        </w:rPr>
        <w:t>wages have not gone up 21 percent in the last eight years while costs continue to increase.  While she would understand a slight increase, she considers a 21 percent rate increase outrageous.</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Frank Motley</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Motley c</w:t>
      </w:r>
      <w:r w:rsidR="007374B2" w:rsidRPr="00EA224A">
        <w:rPr>
          <w:rFonts w:ascii="Times New Roman" w:hAnsi="Times New Roman" w:cs="Times New Roman"/>
        </w:rPr>
        <w:t xml:space="preserve">omplained about the quality of the water, both taste and smell.  He stated that the flavor is highly chlorinated, and that you can smell the chlorine.  He uses a water filter. </w:t>
      </w:r>
      <w:r w:rsidR="001B7181">
        <w:rPr>
          <w:rFonts w:ascii="Times New Roman" w:hAnsi="Times New Roman" w:cs="Times New Roman"/>
        </w:rPr>
        <w:t xml:space="preserve"> </w:t>
      </w:r>
      <w:r w:rsidR="007374B2" w:rsidRPr="00EA224A">
        <w:rPr>
          <w:rFonts w:ascii="Times New Roman" w:hAnsi="Times New Roman" w:cs="Times New Roman"/>
        </w:rPr>
        <w:t>He lives below the poverty line and has not had income for two years.  Additionally, his health is deteriorating.  While he understands that a company needs rate increases from time to time, 21 percent is way too high.  As the water becomes less desirable to drink, an increase in rates is ridiculous.</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Sandra Agee</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Ms. Agee testified that she t</w:t>
      </w:r>
      <w:r w:rsidR="007374B2" w:rsidRPr="00EA224A">
        <w:rPr>
          <w:rFonts w:ascii="Times New Roman" w:hAnsi="Times New Roman" w:cs="Times New Roman"/>
        </w:rPr>
        <w:t>hinks that the requested increase is too high.  She also complained about the smell of chlorine in the water.</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u w:val="single"/>
        </w:rPr>
      </w:pPr>
      <w:r w:rsidRPr="00EA224A">
        <w:rPr>
          <w:rFonts w:ascii="Times New Roman" w:hAnsi="Times New Roman" w:cs="Times New Roman"/>
          <w:u w:val="single"/>
        </w:rPr>
        <w:t>Carol Swain</w:t>
      </w:r>
    </w:p>
    <w:p w:rsidR="007374B2" w:rsidRPr="00EA224A" w:rsidRDefault="007374B2" w:rsidP="00047866">
      <w:pPr>
        <w:spacing w:line="360" w:lineRule="auto"/>
        <w:contextualSpacing/>
        <w:rPr>
          <w:rFonts w:ascii="Times New Roman" w:hAnsi="Times New Roman" w:cs="Times New Roman"/>
        </w:rPr>
      </w:pPr>
    </w:p>
    <w:p w:rsidR="007374B2"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Ms. Swain t</w:t>
      </w:r>
      <w:r w:rsidR="007374B2" w:rsidRPr="00EA224A">
        <w:rPr>
          <w:rFonts w:ascii="Times New Roman" w:hAnsi="Times New Roman" w:cs="Times New Roman"/>
        </w:rPr>
        <w:t>estified that the quality of the water in Marietta is much better than the quality of the water in Columbia.  She drinks bottled water in Columbia.</w:t>
      </w:r>
    </w:p>
    <w:p w:rsidR="007374B2" w:rsidRPr="00EA224A" w:rsidRDefault="007374B2" w:rsidP="00047866">
      <w:pPr>
        <w:spacing w:line="360" w:lineRule="auto"/>
        <w:contextualSpacing/>
        <w:rPr>
          <w:rFonts w:ascii="Times New Roman" w:hAnsi="Times New Roman" w:cs="Times New Roman"/>
        </w:rPr>
      </w:pPr>
    </w:p>
    <w:p w:rsidR="007374B2" w:rsidRPr="00EA224A" w:rsidRDefault="007374B2" w:rsidP="00047866">
      <w:pPr>
        <w:spacing w:line="360" w:lineRule="auto"/>
        <w:contextualSpacing/>
        <w:rPr>
          <w:rFonts w:ascii="Times New Roman" w:hAnsi="Times New Roman" w:cs="Times New Roman"/>
        </w:rPr>
      </w:pPr>
      <w:r w:rsidRPr="00EA224A">
        <w:rPr>
          <w:rFonts w:ascii="Times New Roman" w:hAnsi="Times New Roman" w:cs="Times New Roman"/>
          <w:u w:val="single"/>
        </w:rPr>
        <w:t>Joe Lintner</w:t>
      </w:r>
    </w:p>
    <w:p w:rsidR="007374B2" w:rsidRPr="00EA224A" w:rsidRDefault="007374B2" w:rsidP="00047866">
      <w:pPr>
        <w:spacing w:line="360" w:lineRule="auto"/>
        <w:contextualSpacing/>
        <w:rPr>
          <w:rFonts w:ascii="Times New Roman" w:hAnsi="Times New Roman" w:cs="Times New Roman"/>
        </w:rPr>
      </w:pPr>
    </w:p>
    <w:p w:rsidR="005660BA" w:rsidRPr="00EA224A" w:rsidRDefault="005A07B1"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Mr. Lintner t</w:t>
      </w:r>
      <w:r w:rsidR="007374B2" w:rsidRPr="00EA224A">
        <w:rPr>
          <w:rFonts w:ascii="Times New Roman" w:hAnsi="Times New Roman" w:cs="Times New Roman"/>
        </w:rPr>
        <w:t>estified that a storage tank owned by Columbia had a lock cut off in March, 2013.  The water was found to be safe to drink, but asked whether increased security measures had been put in place.</w:t>
      </w:r>
    </w:p>
    <w:p w:rsidR="00EA6965" w:rsidRPr="00EA224A" w:rsidRDefault="00EA6965" w:rsidP="00047866">
      <w:pPr>
        <w:spacing w:line="360" w:lineRule="auto"/>
        <w:contextualSpacing/>
        <w:rPr>
          <w:rFonts w:ascii="Times New Roman" w:hAnsi="Times New Roman" w:cs="Times New Roman"/>
        </w:rPr>
      </w:pPr>
    </w:p>
    <w:p w:rsidR="00AC06AF" w:rsidRPr="00EA224A" w:rsidRDefault="00CE4189" w:rsidP="00047866">
      <w:pPr>
        <w:spacing w:line="360" w:lineRule="auto"/>
        <w:contextualSpacing/>
        <w:jc w:val="center"/>
        <w:rPr>
          <w:rFonts w:ascii="Times New Roman" w:hAnsi="Times New Roman" w:cs="Times New Roman"/>
        </w:rPr>
      </w:pPr>
      <w:r w:rsidRPr="00EA224A">
        <w:rPr>
          <w:rFonts w:ascii="Times New Roman" w:hAnsi="Times New Roman" w:cs="Times New Roman"/>
        </w:rPr>
        <w:t>V</w:t>
      </w:r>
      <w:r w:rsidR="009D3F59" w:rsidRPr="00EA224A">
        <w:rPr>
          <w:rFonts w:ascii="Times New Roman" w:hAnsi="Times New Roman" w:cs="Times New Roman"/>
        </w:rPr>
        <w:t>.</w:t>
      </w:r>
      <w:r w:rsidR="007D04E9" w:rsidRPr="00EA224A">
        <w:rPr>
          <w:rFonts w:ascii="Times New Roman" w:hAnsi="Times New Roman" w:cs="Times New Roman"/>
        </w:rPr>
        <w:tab/>
      </w:r>
      <w:r w:rsidR="00AC06AF" w:rsidRPr="00EA224A">
        <w:rPr>
          <w:rFonts w:ascii="Times New Roman" w:hAnsi="Times New Roman" w:cs="Times New Roman"/>
          <w:u w:val="single"/>
        </w:rPr>
        <w:t>DISCUSSION</w:t>
      </w:r>
      <w:r w:rsidR="000E74AA">
        <w:rPr>
          <w:rFonts w:ascii="Times New Roman" w:hAnsi="Times New Roman" w:cs="Times New Roman"/>
          <w:u w:val="single"/>
        </w:rPr>
        <w:fldChar w:fldCharType="begin"/>
      </w:r>
      <w:r w:rsidR="000E74AA">
        <w:instrText xml:space="preserve"> TC "</w:instrText>
      </w:r>
      <w:bookmarkStart w:id="5" w:name="_Toc372704681"/>
      <w:r w:rsidR="000E74AA" w:rsidRPr="00831096">
        <w:rPr>
          <w:rFonts w:ascii="Times New Roman" w:hAnsi="Times New Roman" w:cs="Times New Roman"/>
        </w:rPr>
        <w:instrText>V.</w:instrText>
      </w:r>
      <w:r w:rsidR="000E74AA" w:rsidRPr="00831096">
        <w:rPr>
          <w:rFonts w:ascii="Times New Roman" w:hAnsi="Times New Roman" w:cs="Times New Roman"/>
        </w:rPr>
        <w:tab/>
      </w:r>
      <w:r w:rsidR="000E74AA" w:rsidRPr="00831096">
        <w:rPr>
          <w:rFonts w:ascii="Times New Roman" w:hAnsi="Times New Roman" w:cs="Times New Roman"/>
          <w:u w:val="single"/>
        </w:rPr>
        <w:instrText>DISCUSSION</w:instrText>
      </w:r>
      <w:bookmarkEnd w:id="5"/>
      <w:r w:rsidR="000E74AA">
        <w:instrText xml:space="preserve">" \f C \l "1" </w:instrText>
      </w:r>
      <w:r w:rsidR="000E74AA">
        <w:rPr>
          <w:rFonts w:ascii="Times New Roman" w:hAnsi="Times New Roman" w:cs="Times New Roman"/>
          <w:u w:val="single"/>
        </w:rPr>
        <w:fldChar w:fldCharType="end"/>
      </w:r>
    </w:p>
    <w:p w:rsidR="003C555B" w:rsidRPr="00EA224A" w:rsidRDefault="003C555B" w:rsidP="00047866">
      <w:pPr>
        <w:spacing w:line="360" w:lineRule="auto"/>
        <w:ind w:firstLine="1440"/>
        <w:contextualSpacing/>
        <w:rPr>
          <w:rFonts w:ascii="Times New Roman" w:hAnsi="Times New Roman" w:cs="Times New Roman"/>
        </w:rPr>
      </w:pPr>
    </w:p>
    <w:p w:rsidR="003C555B" w:rsidRPr="00EA224A" w:rsidRDefault="003C555B" w:rsidP="002C0B54">
      <w:pPr>
        <w:spacing w:line="360" w:lineRule="auto"/>
        <w:ind w:firstLine="1440"/>
        <w:contextualSpacing/>
        <w:rPr>
          <w:rFonts w:ascii="Times New Roman" w:hAnsi="Times New Roman" w:cs="Times New Roman"/>
        </w:rPr>
      </w:pPr>
      <w:r w:rsidRPr="00EA224A">
        <w:rPr>
          <w:rFonts w:ascii="Times New Roman" w:hAnsi="Times New Roman" w:cs="Times New Roman"/>
        </w:rPr>
        <w:t xml:space="preserve">A public utility has the burden of proof to establish the justness and reasonableness of every element of its rate increase request </w:t>
      </w:r>
      <w:r w:rsidR="00132AFD">
        <w:rPr>
          <w:rFonts w:ascii="Times New Roman" w:hAnsi="Times New Roman" w:cs="Times New Roman"/>
        </w:rPr>
        <w:t>in all proceedings under 66 Pa.</w:t>
      </w:r>
      <w:r w:rsidRPr="00EA224A">
        <w:rPr>
          <w:rFonts w:ascii="Times New Roman" w:hAnsi="Times New Roman" w:cs="Times New Roman"/>
        </w:rPr>
        <w:t xml:space="preserve">C.S. § 1308(d).  The standard to be met by the public utility is set forth at </w:t>
      </w:r>
      <w:r w:rsidR="00546D78">
        <w:rPr>
          <w:rFonts w:ascii="Times New Roman" w:hAnsi="Times New Roman" w:cs="Times New Roman"/>
        </w:rPr>
        <w:t>66 Pa.</w:t>
      </w:r>
      <w:r w:rsidRPr="00EA224A">
        <w:rPr>
          <w:rFonts w:ascii="Times New Roman" w:hAnsi="Times New Roman" w:cs="Times New Roman"/>
        </w:rPr>
        <w:t>C.S. § 315(a):</w:t>
      </w:r>
    </w:p>
    <w:p w:rsidR="003C555B" w:rsidRPr="00EA224A" w:rsidRDefault="003C555B" w:rsidP="00047866">
      <w:pPr>
        <w:spacing w:line="360" w:lineRule="auto"/>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b/>
        </w:rPr>
        <w:t>Reasonableness of rates.</w:t>
      </w:r>
      <w:r w:rsidRPr="00EA224A">
        <w:rPr>
          <w:rFonts w:ascii="Times New Roman" w:hAnsi="Times New Roman" w:cs="Times New Roman"/>
        </w:rPr>
        <w:t xml:space="preserve"> –In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p>
    <w:p w:rsidR="003C555B" w:rsidRPr="00EA224A" w:rsidRDefault="00546D78" w:rsidP="00047866">
      <w:pPr>
        <w:ind w:left="1440" w:right="1440"/>
        <w:contextualSpacing/>
        <w:rPr>
          <w:rFonts w:ascii="Times New Roman" w:hAnsi="Times New Roman" w:cs="Times New Roman"/>
        </w:rPr>
      </w:pPr>
      <w:r>
        <w:rPr>
          <w:rFonts w:ascii="Times New Roman" w:hAnsi="Times New Roman" w:cs="Times New Roman"/>
        </w:rPr>
        <w:t>66 Pa.</w:t>
      </w:r>
      <w:r w:rsidR="003C555B" w:rsidRPr="00EA224A">
        <w:rPr>
          <w:rFonts w:ascii="Times New Roman" w:hAnsi="Times New Roman" w:cs="Times New Roman"/>
        </w:rPr>
        <w:t>C.S. § 315(a)</w:t>
      </w:r>
    </w:p>
    <w:p w:rsidR="003C555B" w:rsidRPr="00EA224A" w:rsidRDefault="003C555B" w:rsidP="00047866">
      <w:pPr>
        <w:spacing w:line="360" w:lineRule="auto"/>
        <w:ind w:right="1440"/>
        <w:contextualSpacing/>
        <w:rPr>
          <w:rFonts w:ascii="Times New Roman" w:hAnsi="Times New Roman" w:cs="Times New Roman"/>
        </w:rPr>
      </w:pPr>
    </w:p>
    <w:p w:rsidR="003C555B" w:rsidRPr="00EA224A" w:rsidRDefault="00546D78" w:rsidP="00047866">
      <w:pPr>
        <w:spacing w:line="360" w:lineRule="auto"/>
        <w:ind w:firstLine="1440"/>
        <w:contextualSpacing/>
        <w:rPr>
          <w:rFonts w:ascii="Times New Roman" w:hAnsi="Times New Roman" w:cs="Times New Roman"/>
        </w:rPr>
      </w:pPr>
      <w:r>
        <w:rPr>
          <w:rFonts w:ascii="Times New Roman" w:hAnsi="Times New Roman" w:cs="Times New Roman"/>
        </w:rPr>
        <w:br w:type="page"/>
      </w:r>
      <w:r w:rsidR="003C555B" w:rsidRPr="00EA224A">
        <w:rPr>
          <w:rFonts w:ascii="Times New Roman" w:hAnsi="Times New Roman" w:cs="Times New Roman"/>
        </w:rPr>
        <w:t>The Commonwealth Court of Pennsylvania set forth the utility’s burden of proof in a rat</w:t>
      </w:r>
      <w:r w:rsidR="00AE3CD0">
        <w:rPr>
          <w:rFonts w:ascii="Times New Roman" w:hAnsi="Times New Roman" w:cs="Times New Roman"/>
        </w:rPr>
        <w:t>e proceeding pursuant to 66 Pa.</w:t>
      </w:r>
      <w:r w:rsidR="003C555B" w:rsidRPr="00EA224A">
        <w:rPr>
          <w:rFonts w:ascii="Times New Roman" w:hAnsi="Times New Roman" w:cs="Times New Roman"/>
        </w:rPr>
        <w:t>C.S. § 315(a) as follows:</w:t>
      </w:r>
    </w:p>
    <w:p w:rsidR="003C555B" w:rsidRPr="00EA224A" w:rsidRDefault="003C555B" w:rsidP="00047866">
      <w:pPr>
        <w:spacing w:line="360" w:lineRule="auto"/>
        <w:ind w:firstLine="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rPr>
        <w:t xml:space="preserve">Section 315(a) of </w:t>
      </w:r>
      <w:r w:rsidR="00AE3CD0">
        <w:rPr>
          <w:rFonts w:ascii="Times New Roman" w:hAnsi="Times New Roman" w:cs="Times New Roman"/>
        </w:rPr>
        <w:t>the Public Utility Code, 66 Pa.C.S. Section </w:t>
      </w:r>
      <w:r w:rsidRPr="00EA224A">
        <w:rPr>
          <w:rFonts w:ascii="Times New Roman" w:hAnsi="Times New Roman" w:cs="Times New Roman"/>
        </w:rPr>
        <w:t xml:space="preserve">315(a), places the burden of proving the justness and reasonableness of a proposed rate hike squarely on the public utility.  </w:t>
      </w:r>
      <w:r w:rsidRPr="00EA224A">
        <w:rPr>
          <w:rFonts w:ascii="Times New Roman" w:hAnsi="Times New Roman" w:cs="Times New Roman"/>
          <w:i/>
        </w:rPr>
        <w:t>It is well-established that the evidence adduced by a utility to meet this burden must be substantial</w:t>
      </w:r>
      <w:r w:rsidRPr="00EA224A">
        <w:rPr>
          <w:rFonts w:ascii="Times New Roman" w:hAnsi="Times New Roman" w:cs="Times New Roman"/>
        </w:rPr>
        <w:t>.</w:t>
      </w:r>
    </w:p>
    <w:p w:rsidR="003C555B" w:rsidRPr="00EA224A" w:rsidRDefault="003C555B" w:rsidP="00047866">
      <w:pPr>
        <w:ind w:left="1440" w:right="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i/>
        </w:rPr>
        <w:t>Lower Frederick Twp. Water Co. v. P</w:t>
      </w:r>
      <w:r w:rsidR="004320F9">
        <w:rPr>
          <w:rFonts w:ascii="Times New Roman" w:hAnsi="Times New Roman" w:cs="Times New Roman"/>
          <w:i/>
        </w:rPr>
        <w:t>a.</w:t>
      </w:r>
      <w:r w:rsidRPr="00EA224A">
        <w:rPr>
          <w:rFonts w:ascii="Times New Roman" w:hAnsi="Times New Roman" w:cs="Times New Roman"/>
          <w:i/>
        </w:rPr>
        <w:t xml:space="preserve"> Pub. Util. Comm’n</w:t>
      </w:r>
      <w:r w:rsidRPr="00EA224A">
        <w:rPr>
          <w:rFonts w:ascii="Times New Roman" w:hAnsi="Times New Roman" w:cs="Times New Roman"/>
        </w:rPr>
        <w:t xml:space="preserve">., 48 Pa. Cmwlth. 222, 226-227, 409 A.2d 505, 507 (1980) (emphasis added).  </w:t>
      </w:r>
      <w:r w:rsidRPr="00EA224A">
        <w:rPr>
          <w:rFonts w:ascii="Times New Roman" w:hAnsi="Times New Roman" w:cs="Times New Roman"/>
          <w:i/>
        </w:rPr>
        <w:t>See also</w:t>
      </w:r>
      <w:r w:rsidRPr="00EA224A">
        <w:rPr>
          <w:rFonts w:ascii="Times New Roman" w:hAnsi="Times New Roman" w:cs="Times New Roman"/>
        </w:rPr>
        <w:t xml:space="preserve">, </w:t>
      </w:r>
      <w:r w:rsidRPr="00EA224A">
        <w:rPr>
          <w:rFonts w:ascii="Times New Roman" w:hAnsi="Times New Roman" w:cs="Times New Roman"/>
          <w:i/>
        </w:rPr>
        <w:t>Brockway Glass Co. v. P</w:t>
      </w:r>
      <w:r w:rsidR="004320F9">
        <w:rPr>
          <w:rFonts w:ascii="Times New Roman" w:hAnsi="Times New Roman" w:cs="Times New Roman"/>
          <w:i/>
        </w:rPr>
        <w:t xml:space="preserve">a. </w:t>
      </w:r>
      <w:r w:rsidRPr="00EA224A">
        <w:rPr>
          <w:rFonts w:ascii="Times New Roman" w:hAnsi="Times New Roman" w:cs="Times New Roman"/>
          <w:i/>
        </w:rPr>
        <w:t>Pub. Util. Comm’n</w:t>
      </w:r>
      <w:r w:rsidRPr="00EA224A">
        <w:rPr>
          <w:rFonts w:ascii="Times New Roman" w:hAnsi="Times New Roman" w:cs="Times New Roman"/>
        </w:rPr>
        <w:t>., 63 Pa. Cmwlth. 238, 437 A.2d 1067 (1981).</w:t>
      </w:r>
    </w:p>
    <w:p w:rsidR="003C555B" w:rsidRPr="00EA224A" w:rsidRDefault="003C555B" w:rsidP="00047866">
      <w:pPr>
        <w:spacing w:line="360" w:lineRule="auto"/>
        <w:ind w:right="1440"/>
        <w:contextualSpacing/>
        <w:rPr>
          <w:rFonts w:ascii="Times New Roman" w:hAnsi="Times New Roman" w:cs="Times New Roman"/>
        </w:rPr>
      </w:pPr>
    </w:p>
    <w:p w:rsidR="003C555B" w:rsidRPr="00EA224A" w:rsidRDefault="003C555B"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In general rate increase proceedings, the burden of proof does not shift to parties challenging a requested rate increase.  Rather, the utility’s burden of proof to establish the justness and reasonableness of every component of its rate request is an affirmative one and that burden of proof remains with the public utility throughout the course of the rate proceeding.  There is no similar burden placed on other parties to justify a proposed adjustment to the public utility’s filing.  The Pennsylvania Supreme Court has held:</w:t>
      </w:r>
    </w:p>
    <w:p w:rsidR="003C555B" w:rsidRPr="00EA224A" w:rsidRDefault="003C555B" w:rsidP="00047866">
      <w:pPr>
        <w:spacing w:line="360" w:lineRule="auto"/>
        <w:ind w:firstLine="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rPr>
        <w:t>[T]he appellants did not have the burden of proving that the plant additions were improper, unnecessary or too costly; on the contrary, that burden is, by statute, on the utility to demonstrate the reasonable necessity and cost of the installations, and that is the burden which the utility patently failed to carry.</w:t>
      </w:r>
    </w:p>
    <w:p w:rsidR="003C555B" w:rsidRPr="00EA224A" w:rsidRDefault="003C555B" w:rsidP="00047866">
      <w:pPr>
        <w:ind w:left="1440" w:right="1440"/>
        <w:contextualSpacing/>
        <w:rPr>
          <w:rFonts w:ascii="Times New Roman" w:hAnsi="Times New Roman" w:cs="Times New Roman"/>
        </w:rPr>
      </w:pPr>
    </w:p>
    <w:p w:rsidR="003C555B" w:rsidRPr="00EA224A" w:rsidRDefault="003C555B" w:rsidP="00047866">
      <w:pPr>
        <w:ind w:left="1440" w:right="1440"/>
        <w:contextualSpacing/>
        <w:rPr>
          <w:rFonts w:ascii="Times New Roman" w:hAnsi="Times New Roman" w:cs="Times New Roman"/>
        </w:rPr>
      </w:pPr>
      <w:r w:rsidRPr="00EA224A">
        <w:rPr>
          <w:rFonts w:ascii="Times New Roman" w:hAnsi="Times New Roman" w:cs="Times New Roman"/>
          <w:i/>
        </w:rPr>
        <w:t>Berner v. P</w:t>
      </w:r>
      <w:r w:rsidR="004320F9">
        <w:rPr>
          <w:rFonts w:ascii="Times New Roman" w:hAnsi="Times New Roman" w:cs="Times New Roman"/>
          <w:i/>
        </w:rPr>
        <w:t>a.</w:t>
      </w:r>
      <w:r w:rsidRPr="00EA224A">
        <w:rPr>
          <w:rFonts w:ascii="Times New Roman" w:hAnsi="Times New Roman" w:cs="Times New Roman"/>
          <w:i/>
        </w:rPr>
        <w:t xml:space="preserve"> Pub. Util. Comm’n</w:t>
      </w:r>
      <w:r w:rsidRPr="00EA224A">
        <w:rPr>
          <w:rFonts w:ascii="Times New Roman" w:hAnsi="Times New Roman" w:cs="Times New Roman"/>
        </w:rPr>
        <w:t>., 382 Pa. 622, 631, 116 A.2d 738, 744 (1955).</w:t>
      </w:r>
    </w:p>
    <w:p w:rsidR="003C555B" w:rsidRPr="00EA224A" w:rsidRDefault="003C555B" w:rsidP="00047866">
      <w:pPr>
        <w:spacing w:line="360" w:lineRule="auto"/>
        <w:ind w:right="1440"/>
        <w:contextualSpacing/>
        <w:rPr>
          <w:rFonts w:ascii="Times New Roman" w:hAnsi="Times New Roman" w:cs="Times New Roman"/>
        </w:rPr>
      </w:pPr>
    </w:p>
    <w:p w:rsidR="003C555B" w:rsidRPr="00EA224A" w:rsidRDefault="003C555B" w:rsidP="00047866">
      <w:pPr>
        <w:tabs>
          <w:tab w:val="left" w:pos="-720"/>
        </w:tabs>
        <w:suppressAutoHyphens/>
        <w:spacing w:line="360" w:lineRule="auto"/>
        <w:ind w:firstLine="1440"/>
        <w:contextualSpacing/>
        <w:rPr>
          <w:rFonts w:ascii="Times New Roman" w:hAnsi="Times New Roman" w:cs="Times New Roman"/>
          <w:spacing w:val="-3"/>
        </w:rPr>
      </w:pPr>
      <w:r w:rsidRPr="00EA224A">
        <w:rPr>
          <w:rFonts w:ascii="Times New Roman" w:hAnsi="Times New Roman" w:cs="Times New Roman"/>
          <w:spacing w:val="-3"/>
        </w:rPr>
        <w:t>However, a public utility does not need to affirmatively defend every claim it has made in its filing, even those which no other party has questioned, in proving that its proposed rates are just and reasonable.  The Pennsylvania Commonwealth Court has held:</w:t>
      </w:r>
    </w:p>
    <w:p w:rsidR="003C555B" w:rsidRPr="00EA224A" w:rsidRDefault="003C555B" w:rsidP="00047866">
      <w:pPr>
        <w:tabs>
          <w:tab w:val="left" w:pos="-720"/>
        </w:tabs>
        <w:suppressAutoHyphens/>
        <w:spacing w:line="360" w:lineRule="auto"/>
        <w:ind w:firstLine="1440"/>
        <w:contextualSpacing/>
        <w:rPr>
          <w:rFonts w:ascii="Times New Roman" w:hAnsi="Times New Roman" w:cs="Times New Roman"/>
          <w:spacing w:val="-3"/>
        </w:rPr>
      </w:pPr>
    </w:p>
    <w:p w:rsidR="003C555B" w:rsidRPr="00EA224A" w:rsidRDefault="003C555B" w:rsidP="00047866">
      <w:pPr>
        <w:ind w:left="1440" w:right="1440"/>
        <w:contextualSpacing/>
        <w:rPr>
          <w:rFonts w:ascii="Times New Roman" w:hAnsi="Times New Roman" w:cs="Times New Roman"/>
          <w:spacing w:val="-3"/>
        </w:rPr>
      </w:pPr>
      <w:r w:rsidRPr="00EA224A">
        <w:rPr>
          <w:rFonts w:ascii="Times New Roman" w:hAnsi="Times New Roman" w:cs="Times New Roman"/>
          <w:spacing w:val="-3"/>
        </w:rPr>
        <w:t>While it is axiomatic that a utility has the burden of proving the justness and reasonableness of its proposed rates, it cannot be called upon to account for every action absent prior notice that such action is to be challenged.</w:t>
      </w:r>
    </w:p>
    <w:p w:rsidR="003C555B" w:rsidRPr="00EA224A" w:rsidRDefault="003C555B" w:rsidP="00047866">
      <w:pPr>
        <w:ind w:left="1440" w:right="1440"/>
        <w:contextualSpacing/>
        <w:rPr>
          <w:rFonts w:ascii="Times New Roman" w:hAnsi="Times New Roman" w:cs="Times New Roman"/>
          <w:spacing w:val="-3"/>
        </w:rPr>
      </w:pPr>
    </w:p>
    <w:p w:rsidR="003C555B" w:rsidRPr="00EA224A" w:rsidRDefault="003C555B" w:rsidP="00047866">
      <w:pPr>
        <w:ind w:left="1440" w:right="1440"/>
        <w:contextualSpacing/>
        <w:rPr>
          <w:rFonts w:ascii="Times New Roman" w:hAnsi="Times New Roman" w:cs="Times New Roman"/>
          <w:spacing w:val="-3"/>
        </w:rPr>
      </w:pPr>
      <w:r w:rsidRPr="00EA224A">
        <w:rPr>
          <w:rFonts w:ascii="Times New Roman" w:hAnsi="Times New Roman" w:cs="Times New Roman"/>
          <w:i/>
          <w:spacing w:val="-3"/>
        </w:rPr>
        <w:t>Allegheny Center Assocs. v. P</w:t>
      </w:r>
      <w:r w:rsidR="004320F9">
        <w:rPr>
          <w:rFonts w:ascii="Times New Roman" w:hAnsi="Times New Roman" w:cs="Times New Roman"/>
          <w:i/>
          <w:spacing w:val="-3"/>
        </w:rPr>
        <w:t>a.</w:t>
      </w:r>
      <w:r w:rsidRPr="00EA224A">
        <w:rPr>
          <w:rFonts w:ascii="Times New Roman" w:hAnsi="Times New Roman" w:cs="Times New Roman"/>
          <w:i/>
          <w:spacing w:val="-3"/>
        </w:rPr>
        <w:t xml:space="preserve"> Pub. Util. Comm’n.</w:t>
      </w:r>
      <w:r w:rsidRPr="00EA224A">
        <w:rPr>
          <w:rFonts w:ascii="Times New Roman" w:hAnsi="Times New Roman" w:cs="Times New Roman"/>
          <w:spacing w:val="-3"/>
        </w:rPr>
        <w:t>, 131 Pa. Cmwlth. 352, 359, 570 A.2d 149, 153 (1990) (citation omitted).  See also</w:t>
      </w:r>
      <w:r w:rsidRPr="00EA224A">
        <w:rPr>
          <w:rFonts w:ascii="Times New Roman" w:hAnsi="Times New Roman" w:cs="Times New Roman"/>
          <w:i/>
          <w:spacing w:val="-3"/>
        </w:rPr>
        <w:t>, P</w:t>
      </w:r>
      <w:r w:rsidR="004320F9">
        <w:rPr>
          <w:rFonts w:ascii="Times New Roman" w:hAnsi="Times New Roman" w:cs="Times New Roman"/>
          <w:i/>
          <w:spacing w:val="-3"/>
        </w:rPr>
        <w:t xml:space="preserve">a. </w:t>
      </w:r>
      <w:r w:rsidRPr="00EA224A">
        <w:rPr>
          <w:rFonts w:ascii="Times New Roman" w:hAnsi="Times New Roman" w:cs="Times New Roman"/>
          <w:i/>
          <w:spacing w:val="-3"/>
        </w:rPr>
        <w:t>Pub. Util. Comm’n. v. Equitable Gas Co.</w:t>
      </w:r>
      <w:r w:rsidR="00B63A10">
        <w:rPr>
          <w:rFonts w:ascii="Times New Roman" w:hAnsi="Times New Roman" w:cs="Times New Roman"/>
          <w:spacing w:val="-3"/>
        </w:rPr>
        <w:t>, 73 Pa. PUC</w:t>
      </w:r>
      <w:r w:rsidRPr="00EA224A">
        <w:rPr>
          <w:rFonts w:ascii="Times New Roman" w:hAnsi="Times New Roman" w:cs="Times New Roman"/>
          <w:spacing w:val="-3"/>
        </w:rPr>
        <w:t xml:space="preserve"> 310, 359 – 360 (1990).</w:t>
      </w:r>
    </w:p>
    <w:p w:rsidR="003C555B" w:rsidRPr="00EA224A" w:rsidRDefault="003C555B" w:rsidP="00047866">
      <w:pPr>
        <w:spacing w:line="360" w:lineRule="auto"/>
        <w:ind w:firstLine="1440"/>
        <w:contextualSpacing/>
        <w:rPr>
          <w:rFonts w:ascii="Times New Roman" w:hAnsi="Times New Roman" w:cs="Times New Roman"/>
          <w:spacing w:val="-3"/>
        </w:rPr>
      </w:pPr>
    </w:p>
    <w:p w:rsidR="003C555B" w:rsidRPr="00EA224A" w:rsidRDefault="003C555B" w:rsidP="00047866">
      <w:pPr>
        <w:spacing w:line="360" w:lineRule="auto"/>
        <w:ind w:firstLine="1440"/>
        <w:contextualSpacing/>
        <w:rPr>
          <w:rFonts w:ascii="Times New Roman" w:hAnsi="Times New Roman" w:cs="Times New Roman"/>
        </w:rPr>
      </w:pPr>
      <w:r w:rsidRPr="00EA224A">
        <w:rPr>
          <w:rFonts w:ascii="Times New Roman" w:hAnsi="Times New Roman" w:cs="Times New Roman"/>
          <w:spacing w:val="-3"/>
        </w:rPr>
        <w:t xml:space="preserve">Additionally, </w:t>
      </w:r>
      <w:r w:rsidRPr="00EA224A">
        <w:rPr>
          <w:rFonts w:ascii="Times New Roman" w:hAnsi="Times New Roman" w:cs="Times New Roman"/>
        </w:rPr>
        <w:t>66 Pa.C.S. § 315(a) does not place the burden of proof on the utility with respect to an issue the utility did not include in its general rate case filing and which, frequently, the utility would oppose.  The burden of proof must be on a party to a general rate increase case who proposes a rate increase beyond that sought by the utility.</w:t>
      </w:r>
    </w:p>
    <w:p w:rsidR="00F80883" w:rsidRPr="00EA224A" w:rsidRDefault="00F80883" w:rsidP="00047866">
      <w:pPr>
        <w:spacing w:line="360" w:lineRule="auto"/>
        <w:ind w:firstLine="1440"/>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w:t>
      </w:r>
      <w:r w:rsidRPr="00EA224A">
        <w:rPr>
          <w:rFonts w:ascii="Times New Roman" w:hAnsi="Times New Roman" w:cs="Times New Roman"/>
        </w:rPr>
        <w:tab/>
        <w:t>The Public Input Hearing of September 3, 2013</w:t>
      </w:r>
      <w:r w:rsidR="000E74AA">
        <w:rPr>
          <w:rFonts w:ascii="Times New Roman" w:hAnsi="Times New Roman" w:cs="Times New Roman"/>
        </w:rPr>
        <w:fldChar w:fldCharType="begin"/>
      </w:r>
      <w:r w:rsidR="000E74AA">
        <w:instrText xml:space="preserve"> TC "</w:instrText>
      </w:r>
      <w:bookmarkStart w:id="6" w:name="_Toc372704682"/>
      <w:r w:rsidR="000E74AA" w:rsidRPr="00831096">
        <w:rPr>
          <w:rFonts w:ascii="Times New Roman" w:hAnsi="Times New Roman" w:cs="Times New Roman"/>
        </w:rPr>
        <w:instrText>A.</w:instrText>
      </w:r>
      <w:r w:rsidR="000E74AA" w:rsidRPr="00831096">
        <w:rPr>
          <w:rFonts w:ascii="Times New Roman" w:hAnsi="Times New Roman" w:cs="Times New Roman"/>
        </w:rPr>
        <w:tab/>
        <w:instrText>The Public Input Hearing of September 3, 2013</w:instrText>
      </w:r>
      <w:bookmarkEnd w:id="6"/>
      <w:r w:rsidR="000E74AA">
        <w:instrText xml:space="preserve">" \f C \l "2" </w:instrText>
      </w:r>
      <w:r w:rsidR="000E74AA">
        <w:rPr>
          <w:rFonts w:ascii="Times New Roman" w:hAnsi="Times New Roman" w:cs="Times New Roman"/>
        </w:rPr>
        <w:fldChar w:fldCharType="end"/>
      </w:r>
    </w:p>
    <w:p w:rsidR="00F80883" w:rsidRPr="00EA224A" w:rsidRDefault="00F80883" w:rsidP="00047866">
      <w:pPr>
        <w:spacing w:line="360" w:lineRule="auto"/>
        <w:ind w:firstLine="1440"/>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Compelling testimony was presented by Columbi</w:t>
      </w:r>
      <w:r w:rsidR="001827F1">
        <w:rPr>
          <w:rFonts w:ascii="Times New Roman" w:hAnsi="Times New Roman" w:cs="Times New Roman"/>
        </w:rPr>
        <w:t>a’s ratepayers at the September 3, </w:t>
      </w:r>
      <w:r w:rsidRPr="00EA224A">
        <w:rPr>
          <w:rFonts w:ascii="Times New Roman" w:hAnsi="Times New Roman" w:cs="Times New Roman"/>
        </w:rPr>
        <w:t>2013 public input hearing, and their comments need to be considered, here.  I understand that the vast majority of Columbia’s ratepayers have not received a 21% increase in income since 2008.  On the contrary, the events in the national an</w:t>
      </w:r>
      <w:r w:rsidR="00562460">
        <w:rPr>
          <w:rFonts w:ascii="Times New Roman" w:hAnsi="Times New Roman" w:cs="Times New Roman"/>
        </w:rPr>
        <w:t>d international economies since </w:t>
      </w:r>
      <w:r w:rsidRPr="00EA224A">
        <w:rPr>
          <w:rFonts w:ascii="Times New Roman" w:hAnsi="Times New Roman" w:cs="Times New Roman"/>
        </w:rPr>
        <w:t>2008 cannot be ignored, and I do understand that every cost increase has real-world consequences for those who must pay them.</w:t>
      </w:r>
    </w:p>
    <w:p w:rsidR="00F80883" w:rsidRPr="00EA224A" w:rsidRDefault="00F80883" w:rsidP="00047866">
      <w:pPr>
        <w:spacing w:line="360" w:lineRule="auto"/>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 must, however, point out that Columbia provides an essential service of a life-sustaining commodity, and Columbia is a public utility.  Columbia, like all public utilities, must ask for a rate increase in the full light of day, subject to the scrutiny not only of the ratepayers, but of the public advocates, the Presiding Officer and the Commission.  A utility cannot “hide” a rate increase in successively smaller packaging or adulterated products, and it should not be imperiled by the withholding of justified rate increases.  My task, and that of the Commission, is to strike the appropriate balance between what the Company has requested, and what it has justified.</w:t>
      </w:r>
    </w:p>
    <w:p w:rsidR="00F80883" w:rsidRPr="00EA224A" w:rsidRDefault="00F80883" w:rsidP="00047866">
      <w:pPr>
        <w:spacing w:line="360" w:lineRule="auto"/>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Similarly, I understand the testimony of the elected representati</w:t>
      </w:r>
      <w:r w:rsidR="002C0B54">
        <w:rPr>
          <w:rFonts w:ascii="Times New Roman" w:hAnsi="Times New Roman" w:cs="Times New Roman"/>
        </w:rPr>
        <w:t xml:space="preserve">ves who testified on September </w:t>
      </w:r>
      <w:r w:rsidRPr="00EA224A">
        <w:rPr>
          <w:rFonts w:ascii="Times New Roman" w:hAnsi="Times New Roman" w:cs="Times New Roman"/>
        </w:rPr>
        <w:t>3, 2013.  If the cost of local infrastructure is too high, then it will have a potential negative effect on the decisions of business owners considering whether to locate their operations in that area.  Columbia, like all other communities, is competing for the jobs that come with economic development.  But again, I must point out that there is another side to this.  The lack of adequate infrastructure is as much if not more of a deterrent to economic development as is an excessive cost structure.  It is in the interest of the citizens that Columbia continue as a sound public utility.</w:t>
      </w:r>
    </w:p>
    <w:p w:rsidR="00F80883" w:rsidRPr="00EA224A" w:rsidRDefault="00F80883" w:rsidP="00047866">
      <w:pPr>
        <w:spacing w:line="360" w:lineRule="auto"/>
        <w:contextualSpacing/>
        <w:rPr>
          <w:rFonts w:ascii="Times New Roman" w:hAnsi="Times New Roman" w:cs="Times New Roman"/>
        </w:rPr>
      </w:pPr>
    </w:p>
    <w:p w:rsidR="00F80883"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B.</w:t>
      </w:r>
      <w:r w:rsidRPr="00EA224A">
        <w:rPr>
          <w:rFonts w:ascii="Times New Roman" w:hAnsi="Times New Roman" w:cs="Times New Roman"/>
        </w:rPr>
        <w:tab/>
        <w:t>Rec</w:t>
      </w:r>
      <w:r w:rsidR="00047866">
        <w:rPr>
          <w:rFonts w:ascii="Times New Roman" w:hAnsi="Times New Roman" w:cs="Times New Roman"/>
        </w:rPr>
        <w:t>ommendations of the OCA and I&amp;E</w:t>
      </w:r>
      <w:r w:rsidR="000E74AA">
        <w:rPr>
          <w:rFonts w:ascii="Times New Roman" w:hAnsi="Times New Roman" w:cs="Times New Roman"/>
        </w:rPr>
        <w:fldChar w:fldCharType="begin"/>
      </w:r>
      <w:r w:rsidR="000E74AA">
        <w:instrText xml:space="preserve"> TC "</w:instrText>
      </w:r>
      <w:bookmarkStart w:id="7" w:name="_Toc372704683"/>
      <w:r w:rsidR="000E74AA" w:rsidRPr="00831096">
        <w:rPr>
          <w:rFonts w:ascii="Times New Roman" w:hAnsi="Times New Roman" w:cs="Times New Roman"/>
        </w:rPr>
        <w:instrText>B.</w:instrText>
      </w:r>
      <w:r w:rsidR="000E74AA" w:rsidRPr="00831096">
        <w:rPr>
          <w:rFonts w:ascii="Times New Roman" w:hAnsi="Times New Roman" w:cs="Times New Roman"/>
        </w:rPr>
        <w:tab/>
        <w:instrText>Recommendations of the OCA and I&amp;E</w:instrText>
      </w:r>
      <w:bookmarkEnd w:id="7"/>
      <w:r w:rsidR="000E74AA">
        <w:instrText xml:space="preserve">" \f C \l "2" </w:instrText>
      </w:r>
      <w:r w:rsidR="000E74AA">
        <w:rPr>
          <w:rFonts w:ascii="Times New Roman" w:hAnsi="Times New Roman" w:cs="Times New Roman"/>
        </w:rPr>
        <w:fldChar w:fldCharType="end"/>
      </w:r>
    </w:p>
    <w:p w:rsidR="00BF36CB" w:rsidRPr="00EA224A" w:rsidRDefault="00BF36CB" w:rsidP="00047866">
      <w:pPr>
        <w:spacing w:line="360" w:lineRule="auto"/>
        <w:ind w:firstLine="1440"/>
        <w:contextualSpacing/>
        <w:rPr>
          <w:rFonts w:ascii="Times New Roman" w:hAnsi="Times New Roman" w:cs="Times New Roman"/>
        </w:rPr>
      </w:pPr>
    </w:p>
    <w:p w:rsidR="00BF36CB" w:rsidRPr="00EA224A"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As active parties in this case, both the OCA and I&amp;E have recommended multiple adjustments that would result in a rate rollback from Columbia’s present level of rates.  Both parties presented the testimony of qualified witnesses in support of their recommendations.  In some cases, and as will be explained below, I agree with the parties.  But in many cases, I ask whether Columbia is being held to too strict a standard with respect to its operations.  For example, in one matter, the OCA witness would have Columbia use a 13 month average whereas Columbia retorts that such an approach would be unduly burdensome for a small company as it would require Columbia to close its books every month (a contention with which the OCA witness disagrees).  My analysis is not what Columbia could do in an ideal world of management practice.  Instead, I accept Columbia’s contention that as a small company it does not have the luxury of a large staff overseeing internal operations to achieve results that, in theory, accommodate the valid, but in themselves costly, recommendations of the public advocates.</w:t>
      </w:r>
    </w:p>
    <w:p w:rsidR="00BF36CB" w:rsidRPr="00EA224A" w:rsidRDefault="00BF36CB" w:rsidP="00047866">
      <w:pPr>
        <w:spacing w:line="360" w:lineRule="auto"/>
        <w:contextualSpacing/>
        <w:rPr>
          <w:rFonts w:ascii="Times New Roman" w:hAnsi="Times New Roman" w:cs="Times New Roman"/>
        </w:rPr>
      </w:pPr>
    </w:p>
    <w:p w:rsidR="00BF36CB" w:rsidRPr="00EA224A"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Columbia is a relatively small, “local” water company not, say, a major provider of intrastate electric service.  From my perspective, the proposed adjustments should not be about what Columbia </w:t>
      </w:r>
      <w:r w:rsidRPr="00EA224A">
        <w:rPr>
          <w:rFonts w:ascii="Times New Roman" w:hAnsi="Times New Roman" w:cs="Times New Roman"/>
          <w:i/>
        </w:rPr>
        <w:t>might</w:t>
      </w:r>
      <w:r w:rsidRPr="00EA224A">
        <w:rPr>
          <w:rFonts w:ascii="Times New Roman" w:hAnsi="Times New Roman" w:cs="Times New Roman"/>
        </w:rPr>
        <w:t xml:space="preserve"> do in an ideal world, but what Columbia has presented and whether that evidence supports Columbia’s rate request.  Overall, Columbia’s management of its affairs as they relate to this </w:t>
      </w:r>
      <w:r w:rsidR="005A07B1" w:rsidRPr="00EA224A">
        <w:rPr>
          <w:rFonts w:ascii="Times New Roman" w:hAnsi="Times New Roman" w:cs="Times New Roman"/>
        </w:rPr>
        <w:t xml:space="preserve">specific </w:t>
      </w:r>
      <w:r w:rsidRPr="00EA224A">
        <w:rPr>
          <w:rFonts w:ascii="Times New Roman" w:hAnsi="Times New Roman" w:cs="Times New Roman"/>
        </w:rPr>
        <w:t>case have been reasonable and, with limited exceptions, I am reluctant to accept proposed adjustments</w:t>
      </w:r>
      <w:r w:rsidR="002C0B54">
        <w:rPr>
          <w:rFonts w:ascii="Times New Roman" w:hAnsi="Times New Roman" w:cs="Times New Roman"/>
        </w:rPr>
        <w:t>,</w:t>
      </w:r>
      <w:r w:rsidRPr="00EA224A">
        <w:rPr>
          <w:rFonts w:ascii="Times New Roman" w:hAnsi="Times New Roman" w:cs="Times New Roman"/>
        </w:rPr>
        <w:t xml:space="preserve"> that while in and of themselves may be supportable, are not reasonable for this utility.  As has oft been stated, the Commission is not a super-board of directors, nor should it act as such</w:t>
      </w:r>
      <w:r w:rsidR="005A07B1" w:rsidRPr="00EA224A">
        <w:rPr>
          <w:rFonts w:ascii="Times New Roman" w:hAnsi="Times New Roman" w:cs="Times New Roman"/>
        </w:rPr>
        <w:t>, and I am concerned that a number of the proposed adjustments would have that effect if accepted</w:t>
      </w:r>
      <w:r w:rsidRPr="00EA224A">
        <w:rPr>
          <w:rFonts w:ascii="Times New Roman" w:hAnsi="Times New Roman" w:cs="Times New Roman"/>
        </w:rPr>
        <w:t>.</w:t>
      </w:r>
      <w:r w:rsidR="005A07B1" w:rsidRPr="00EA224A">
        <w:rPr>
          <w:rFonts w:ascii="Times New Roman" w:hAnsi="Times New Roman" w:cs="Times New Roman"/>
        </w:rPr>
        <w:t xml:space="preserve"> </w:t>
      </w:r>
      <w:r w:rsidRPr="00EA224A">
        <w:rPr>
          <w:rFonts w:ascii="Times New Roman" w:hAnsi="Times New Roman" w:cs="Times New Roman"/>
        </w:rPr>
        <w:t xml:space="preserve"> </w:t>
      </w:r>
      <w:r w:rsidRPr="00EA224A">
        <w:rPr>
          <w:rFonts w:ascii="Times New Roman" w:hAnsi="Times New Roman" w:cs="Times New Roman"/>
          <w:i/>
        </w:rPr>
        <w:t>Met Ed v</w:t>
      </w:r>
      <w:r w:rsidR="002C0B54">
        <w:rPr>
          <w:rFonts w:ascii="Times New Roman" w:hAnsi="Times New Roman" w:cs="Times New Roman"/>
          <w:i/>
        </w:rPr>
        <w:t>.</w:t>
      </w:r>
      <w:r w:rsidRPr="00EA224A">
        <w:rPr>
          <w:rFonts w:ascii="Times New Roman" w:hAnsi="Times New Roman" w:cs="Times New Roman"/>
          <w:i/>
        </w:rPr>
        <w:t xml:space="preserve"> P</w:t>
      </w:r>
      <w:r w:rsidR="002C0B54">
        <w:rPr>
          <w:rFonts w:ascii="Times New Roman" w:hAnsi="Times New Roman" w:cs="Times New Roman"/>
          <w:i/>
        </w:rPr>
        <w:t>a.</w:t>
      </w:r>
      <w:r w:rsidRPr="00EA224A">
        <w:rPr>
          <w:rFonts w:ascii="Times New Roman" w:hAnsi="Times New Roman" w:cs="Times New Roman"/>
          <w:i/>
        </w:rPr>
        <w:t>PUC</w:t>
      </w:r>
      <w:r w:rsidRPr="00EA224A">
        <w:rPr>
          <w:rFonts w:ascii="Times New Roman" w:hAnsi="Times New Roman" w:cs="Times New Roman"/>
        </w:rPr>
        <w:t xml:space="preserve"> 437 A.2d 76 (1981) citing </w:t>
      </w:r>
      <w:r w:rsidRPr="00EA224A">
        <w:rPr>
          <w:rFonts w:ascii="Times New Roman" w:hAnsi="Times New Roman" w:cs="Times New Roman"/>
          <w:i/>
        </w:rPr>
        <w:t>Northern Pa Power Co v</w:t>
      </w:r>
      <w:r w:rsidR="002C0B54">
        <w:rPr>
          <w:rFonts w:ascii="Times New Roman" w:hAnsi="Times New Roman" w:cs="Times New Roman"/>
          <w:i/>
        </w:rPr>
        <w:t>.</w:t>
      </w:r>
      <w:r w:rsidRPr="00EA224A">
        <w:rPr>
          <w:rFonts w:ascii="Times New Roman" w:hAnsi="Times New Roman" w:cs="Times New Roman"/>
          <w:i/>
        </w:rPr>
        <w:t xml:space="preserve"> Pa PUC</w:t>
      </w:r>
      <w:r w:rsidRPr="00EA224A">
        <w:rPr>
          <w:rFonts w:ascii="Times New Roman" w:hAnsi="Times New Roman" w:cs="Times New Roman"/>
        </w:rPr>
        <w:t xml:space="preserve"> 5 A.2d 133 (1939).</w:t>
      </w:r>
    </w:p>
    <w:p w:rsidR="00BF36CB" w:rsidRPr="00EA224A" w:rsidRDefault="00BF36CB" w:rsidP="00047866">
      <w:pPr>
        <w:spacing w:line="360" w:lineRule="auto"/>
        <w:contextualSpacing/>
        <w:rPr>
          <w:rFonts w:ascii="Times New Roman" w:hAnsi="Times New Roman" w:cs="Times New Roman"/>
        </w:rPr>
      </w:pPr>
    </w:p>
    <w:p w:rsidR="00BF36CB" w:rsidRPr="00EA224A"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The OCA has proposed adjustments to Columbia’s proposed capital structure, the cost of equity, rate base, and net operating income claims, including PennVest plant, materials and s</w:t>
      </w:r>
      <w:r w:rsidR="002C0B54">
        <w:rPr>
          <w:rFonts w:ascii="Times New Roman" w:hAnsi="Times New Roman" w:cs="Times New Roman"/>
        </w:rPr>
        <w:t xml:space="preserve">upplies, cash working capital, </w:t>
      </w:r>
      <w:r w:rsidRPr="00EA224A">
        <w:rPr>
          <w:rFonts w:ascii="Times New Roman" w:hAnsi="Times New Roman" w:cs="Times New Roman"/>
        </w:rPr>
        <w:t xml:space="preserve">miscellaneous revenues, the amortization of an acquisition adjustment, engineering expense, bad debts, membership dues, registration fees, charitable contributions, allocations to the Marietta Division, general liability insurance, officers’ salaries and directors’ fees and regulatory assessments.  If accepted, these adjustments would result in the OCA’s recommended </w:t>
      </w:r>
      <w:r w:rsidR="00A07541">
        <w:rPr>
          <w:rFonts w:ascii="Times New Roman" w:hAnsi="Times New Roman" w:cs="Times New Roman"/>
        </w:rPr>
        <w:t xml:space="preserve">revenue decrease of $320,267.  </w:t>
      </w:r>
      <w:r w:rsidRPr="00EA224A">
        <w:rPr>
          <w:rFonts w:ascii="Times New Roman" w:hAnsi="Times New Roman" w:cs="Times New Roman"/>
        </w:rPr>
        <w:t>As such, Commission adoption of the overall OCA position would require a recommended rate rollback from Columbia’s present level of rates, rather than any authorization for any requested level of increased rates.  As will be discussed, below, many if not most of the proposed adjustments reflect an ongoing effort by the OCA to re-allocate costs bet</w:t>
      </w:r>
      <w:r w:rsidR="004320F9">
        <w:rPr>
          <w:rFonts w:ascii="Times New Roman" w:hAnsi="Times New Roman" w:cs="Times New Roman"/>
        </w:rPr>
        <w:t>ween Columbia and its Marietta D</w:t>
      </w:r>
      <w:r w:rsidRPr="00EA224A">
        <w:rPr>
          <w:rFonts w:ascii="Times New Roman" w:hAnsi="Times New Roman" w:cs="Times New Roman"/>
        </w:rPr>
        <w:t>ivision.  CWC St. 1R at 19.</w:t>
      </w:r>
    </w:p>
    <w:p w:rsidR="00BF36CB" w:rsidRPr="00EA224A" w:rsidRDefault="00BF36CB" w:rsidP="00047866">
      <w:pPr>
        <w:spacing w:line="360" w:lineRule="auto"/>
        <w:ind w:firstLine="1440"/>
        <w:contextualSpacing/>
        <w:rPr>
          <w:rFonts w:ascii="Times New Roman" w:hAnsi="Times New Roman" w:cs="Times New Roman"/>
        </w:rPr>
      </w:pPr>
    </w:p>
    <w:p w:rsidR="00BF36CB" w:rsidRPr="00EA224A"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recommended a level of annual revenues that is $243,609 lower than Columbia’s updated current annual revenues figure of $4,227,272.  As such, Commission adoption of the overall I&amp;E position would require a recommended rate rollback from Columbia’s present level of rates, rather than any authorization for any requested level of increased rates.  As I&amp;E cogently states:</w:t>
      </w:r>
    </w:p>
    <w:p w:rsidR="00BF36CB" w:rsidRPr="00EA224A" w:rsidRDefault="00BF36CB" w:rsidP="00047866">
      <w:pPr>
        <w:spacing w:line="360" w:lineRule="auto"/>
        <w:ind w:firstLine="1440"/>
        <w:contextualSpacing/>
        <w:rPr>
          <w:rFonts w:ascii="Times New Roman" w:hAnsi="Times New Roman" w:cs="Times New Roman"/>
        </w:rPr>
      </w:pPr>
    </w:p>
    <w:p w:rsidR="00BF36CB" w:rsidRPr="00EA224A" w:rsidRDefault="00BF36CB" w:rsidP="00047866">
      <w:pPr>
        <w:ind w:left="1440" w:right="1728"/>
        <w:contextualSpacing/>
        <w:rPr>
          <w:rFonts w:ascii="Times New Roman" w:hAnsi="Times New Roman" w:cs="Times New Roman"/>
        </w:rPr>
      </w:pPr>
      <w:r w:rsidRPr="00EA224A">
        <w:rPr>
          <w:rFonts w:ascii="Times New Roman" w:hAnsi="Times New Roman" w:cs="Times New Roman"/>
        </w:rPr>
        <w:t xml:space="preserve">A thorough review of the record produced in this proceeding demonstrates that, as explained herein, this Company has simply failed to provide substantial evidence in support of the reasonableness </w:t>
      </w:r>
      <w:r w:rsidR="008B4702">
        <w:rPr>
          <w:rFonts w:ascii="Times New Roman" w:hAnsi="Times New Roman" w:cs="Times New Roman"/>
        </w:rPr>
        <w:t xml:space="preserve">of its claims for a rate hike. </w:t>
      </w:r>
      <w:r w:rsidRPr="00EA224A">
        <w:rPr>
          <w:rFonts w:ascii="Times New Roman" w:hAnsi="Times New Roman" w:cs="Times New Roman"/>
        </w:rPr>
        <w:t xml:space="preserve"> Nor, as I&amp;E asserts, has the Company’s presentation even justified the maintenance of its present level of base rates.  The various Company claims identified herein should be rejected due to the failure to sustain the burden of proving their appropriateness.  Failing to satisfy this burden, neither this utility’s proposed or present rates are in the public interest, and rather the rates that are just and reasonable will be those that provide for the I&amp;E recommended level of annual revenues - rates that will generate revenues lower than those current </w:t>
      </w:r>
      <w:r w:rsidR="00241EDA">
        <w:rPr>
          <w:rFonts w:ascii="Times New Roman" w:hAnsi="Times New Roman" w:cs="Times New Roman"/>
        </w:rPr>
        <w:t xml:space="preserve">[sic] </w:t>
      </w:r>
      <w:r w:rsidRPr="00EA224A">
        <w:rPr>
          <w:rFonts w:ascii="Times New Roman" w:hAnsi="Times New Roman" w:cs="Times New Roman"/>
        </w:rPr>
        <w:t>allowed for this public utility.</w:t>
      </w:r>
      <w:r w:rsidR="009D3F59" w:rsidRPr="00EA224A">
        <w:rPr>
          <w:rFonts w:ascii="Times New Roman" w:hAnsi="Times New Roman" w:cs="Times New Roman"/>
        </w:rPr>
        <w:t xml:space="preserve">  I&amp;E MB at 9-10.</w:t>
      </w:r>
    </w:p>
    <w:p w:rsidR="00BF36CB" w:rsidRDefault="00BF36CB" w:rsidP="00047866">
      <w:pPr>
        <w:spacing w:line="360" w:lineRule="auto"/>
        <w:ind w:firstLine="1440"/>
        <w:contextualSpacing/>
        <w:rPr>
          <w:rFonts w:ascii="Times New Roman" w:hAnsi="Times New Roman" w:cs="Times New Roman"/>
        </w:rPr>
      </w:pPr>
    </w:p>
    <w:p w:rsidR="009438AD" w:rsidRPr="00EA224A" w:rsidRDefault="009438AD" w:rsidP="00047866">
      <w:pPr>
        <w:spacing w:line="360" w:lineRule="auto"/>
        <w:ind w:firstLine="1440"/>
        <w:contextualSpacing/>
        <w:rPr>
          <w:rFonts w:ascii="Times New Roman" w:hAnsi="Times New Roman" w:cs="Times New Roman"/>
        </w:rPr>
      </w:pPr>
    </w:p>
    <w:p w:rsidR="00BF36CB" w:rsidRPr="00EA224A" w:rsidRDefault="00BF36CB"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Specific I&amp;E recommended adjustments include: the removal (reduction to rate base) of PennVest Plant, the removal of PennVest Accumulated Depreciation, the recommended removal of a portion of the expense claim for Officers, Directors, &amp; Majority Stockholders Salaries by allocating 12% of the claim to the Marietta Division, the Company-accepted elimination of the “Charitable Contributions, the removal of disputed “Employee Recognition,” the Company-accepted partial reduction to “Membership Dues” the removal of PennVest Depreciation Expense.</w:t>
      </w:r>
    </w:p>
    <w:p w:rsidR="00BF36CB" w:rsidRPr="00EA224A" w:rsidRDefault="00BF36CB" w:rsidP="00047866">
      <w:pPr>
        <w:spacing w:line="360" w:lineRule="auto"/>
        <w:ind w:firstLine="1440"/>
        <w:contextualSpacing/>
        <w:rPr>
          <w:rFonts w:ascii="Times New Roman" w:hAnsi="Times New Roman" w:cs="Times New Roman"/>
        </w:rPr>
      </w:pPr>
    </w:p>
    <w:p w:rsidR="00BF36CB" w:rsidRPr="00EA224A" w:rsidRDefault="00BF36CB"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The OCA and I&amp;E proposed adjustments are considered and decided, below.</w:t>
      </w:r>
    </w:p>
    <w:p w:rsidR="006C089B" w:rsidRPr="00EA224A" w:rsidRDefault="006C089B" w:rsidP="00047866">
      <w:pPr>
        <w:spacing w:line="360" w:lineRule="auto"/>
        <w:contextualSpacing/>
        <w:rPr>
          <w:rFonts w:ascii="Times New Roman" w:hAnsi="Times New Roman" w:cs="Times New Roman"/>
        </w:rPr>
      </w:pPr>
    </w:p>
    <w:p w:rsidR="00D63A94" w:rsidRPr="00EA224A" w:rsidRDefault="00D63A94"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The point of departure in framing this discussion is to recognize several adjustments that Columbia made.</w:t>
      </w:r>
    </w:p>
    <w:p w:rsidR="00806CA6" w:rsidRPr="00EA224A" w:rsidRDefault="00806CA6" w:rsidP="00047866">
      <w:pPr>
        <w:spacing w:line="360" w:lineRule="auto"/>
        <w:ind w:firstLine="1440"/>
        <w:contextualSpacing/>
        <w:rPr>
          <w:rFonts w:ascii="Times New Roman" w:hAnsi="Times New Roman" w:cs="Times New Roman"/>
        </w:rPr>
      </w:pPr>
    </w:p>
    <w:p w:rsidR="001C4BE5" w:rsidRPr="00EA224A" w:rsidRDefault="00806CA6"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D63A94" w:rsidRPr="00EA224A">
        <w:rPr>
          <w:rFonts w:ascii="Times New Roman" w:hAnsi="Times New Roman" w:cs="Times New Roman"/>
        </w:rPr>
        <w:t>Columbia’s original claim for rate base in its filing, as of December 31, 2013, was $13,527,774.  (CWC Statement No. 2 at 11:14-</w:t>
      </w:r>
      <w:r w:rsidR="004C7C28">
        <w:rPr>
          <w:rFonts w:ascii="Times New Roman" w:hAnsi="Times New Roman" w:cs="Times New Roman"/>
        </w:rPr>
        <w:t xml:space="preserve">15; GDS Exhibit No.1 at 1-17)  </w:t>
      </w:r>
      <w:r w:rsidR="00D63A94" w:rsidRPr="00EA224A">
        <w:rPr>
          <w:rFonts w:ascii="Times New Roman" w:hAnsi="Times New Roman" w:cs="Times New Roman"/>
        </w:rPr>
        <w:t xml:space="preserve">However, during the course of the proceeding, Columbia discovered an error and its correction increased the rate base claim to $13,796,707.  (GDS Rebuttal Exhibit No. 3 (Revised) at 3)  </w:t>
      </w:r>
      <w:r w:rsidRPr="00EA224A">
        <w:rPr>
          <w:rFonts w:ascii="Times New Roman" w:hAnsi="Times New Roman" w:cs="Times New Roman"/>
        </w:rPr>
        <w:t>During the course of this case, Columbia made a revised rate base claim with several adjustments: (1) Reserve adjustment (4% CIM – Pen</w:t>
      </w:r>
      <w:r w:rsidR="002E1050">
        <w:rPr>
          <w:rFonts w:ascii="Times New Roman" w:hAnsi="Times New Roman" w:cs="Times New Roman"/>
        </w:rPr>
        <w:t xml:space="preserve">nVest Plant): </w:t>
      </w:r>
      <w:r w:rsidRPr="00EA224A">
        <w:rPr>
          <w:rFonts w:ascii="Times New Roman" w:hAnsi="Times New Roman" w:cs="Times New Roman"/>
        </w:rPr>
        <w:t>Add $339,038 (CWC Statement No. 2R at 20; GDS Rebuttal Exhibit No. 3 at</w:t>
      </w:r>
      <w:r w:rsidR="00DB423A">
        <w:rPr>
          <w:rFonts w:ascii="Times New Roman" w:hAnsi="Times New Roman" w:cs="Times New Roman"/>
        </w:rPr>
        <w:t xml:space="preserve"> 3); (2) Cash working capital: </w:t>
      </w:r>
      <w:r w:rsidRPr="00EA224A">
        <w:rPr>
          <w:rFonts w:ascii="Times New Roman" w:hAnsi="Times New Roman" w:cs="Times New Roman"/>
        </w:rPr>
        <w:t>Add $2,688 (GDS Rebuttal Exhibit No. 3 (Revised) at 3);</w:t>
      </w:r>
      <w:r w:rsidR="00D63A94" w:rsidRPr="00EA224A">
        <w:rPr>
          <w:rFonts w:ascii="Times New Roman" w:hAnsi="Times New Roman" w:cs="Times New Roman"/>
        </w:rPr>
        <w:t xml:space="preserve"> </w:t>
      </w:r>
      <w:r w:rsidRPr="00EA224A">
        <w:rPr>
          <w:rFonts w:ascii="Times New Roman" w:hAnsi="Times New Roman" w:cs="Times New Roman"/>
        </w:rPr>
        <w:t xml:space="preserve">(3) </w:t>
      </w:r>
      <w:r w:rsidR="00321E33">
        <w:rPr>
          <w:rFonts w:ascii="Times New Roman" w:hAnsi="Times New Roman" w:cs="Times New Roman"/>
        </w:rPr>
        <w:t xml:space="preserve">Deferred Federal Income Taxes: </w:t>
      </w:r>
      <w:r w:rsidRPr="00EA224A">
        <w:rPr>
          <w:rFonts w:ascii="Times New Roman" w:hAnsi="Times New Roman" w:cs="Times New Roman"/>
        </w:rPr>
        <w:t>Deduct $72,793 (GDS Rebuttal Exhibit No 3 (Revised) at 3).</w:t>
      </w:r>
    </w:p>
    <w:p w:rsidR="001C4BE5" w:rsidRPr="00EA224A" w:rsidRDefault="001C4BE5" w:rsidP="00047866">
      <w:pPr>
        <w:spacing w:line="360" w:lineRule="auto"/>
        <w:contextualSpacing/>
        <w:rPr>
          <w:rFonts w:ascii="Times New Roman" w:hAnsi="Times New Roman" w:cs="Times New Roman"/>
        </w:rPr>
      </w:pPr>
    </w:p>
    <w:p w:rsidR="00806CA6" w:rsidRPr="00EA224A" w:rsidRDefault="001C4BE5"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9C5A9E" w:rsidRPr="00EA224A">
        <w:rPr>
          <w:rFonts w:ascii="Times New Roman" w:hAnsi="Times New Roman" w:cs="Times New Roman"/>
        </w:rPr>
        <w:t>Columbia explains that the reason for this adjustment is because Columbia overstated the book depreciation reserve related to the PennVest plant in service.  The Company’s book depreciation ($1,853,844) for this plant includes annual depreciation accruals based upon the straight-line average remaining life methodology.  However, Columbia witness Shambaugh testified that the PennVest rate was based solely on the 4% Compound Interest method during the term of the rate.  Therefore, there exists a difference between the book depreciation reserve and the capital recovery customer rates of approximately $339,038 for this plant.  (CWC Statement No. 2R at 20:12-21; Tr. at 142).</w:t>
      </w:r>
    </w:p>
    <w:p w:rsidR="00D63A94" w:rsidRPr="00EA224A" w:rsidRDefault="00D63A94" w:rsidP="00047866">
      <w:pPr>
        <w:spacing w:line="360" w:lineRule="auto"/>
        <w:contextualSpacing/>
        <w:rPr>
          <w:rFonts w:ascii="Times New Roman" w:hAnsi="Times New Roman" w:cs="Times New Roman"/>
        </w:rPr>
      </w:pPr>
    </w:p>
    <w:p w:rsidR="004F69ED"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C</w:t>
      </w:r>
      <w:r w:rsidR="004F69ED" w:rsidRPr="00EA224A">
        <w:rPr>
          <w:rFonts w:ascii="Times New Roman" w:hAnsi="Times New Roman" w:cs="Times New Roman"/>
        </w:rPr>
        <w:t>.</w:t>
      </w:r>
      <w:r w:rsidR="004F69ED" w:rsidRPr="00EA224A">
        <w:rPr>
          <w:rFonts w:ascii="Times New Roman" w:hAnsi="Times New Roman" w:cs="Times New Roman"/>
        </w:rPr>
        <w:tab/>
        <w:t>Cash Working Capital</w:t>
      </w:r>
      <w:r w:rsidR="000E74AA">
        <w:rPr>
          <w:rFonts w:ascii="Times New Roman" w:hAnsi="Times New Roman" w:cs="Times New Roman"/>
        </w:rPr>
        <w:fldChar w:fldCharType="begin"/>
      </w:r>
      <w:r w:rsidR="000E74AA">
        <w:instrText xml:space="preserve"> TC "</w:instrText>
      </w:r>
      <w:bookmarkStart w:id="8" w:name="_Toc372704684"/>
      <w:r w:rsidR="000E74AA" w:rsidRPr="00831096">
        <w:rPr>
          <w:rFonts w:ascii="Times New Roman" w:hAnsi="Times New Roman" w:cs="Times New Roman"/>
        </w:rPr>
        <w:instrText>C.</w:instrText>
      </w:r>
      <w:r w:rsidR="000E74AA" w:rsidRPr="00831096">
        <w:rPr>
          <w:rFonts w:ascii="Times New Roman" w:hAnsi="Times New Roman" w:cs="Times New Roman"/>
        </w:rPr>
        <w:tab/>
        <w:instrText>Cash Working Capital</w:instrText>
      </w:r>
      <w:bookmarkEnd w:id="8"/>
      <w:r w:rsidR="000E74AA">
        <w:instrText xml:space="preserve">" \f C \l "2" </w:instrText>
      </w:r>
      <w:r w:rsidR="000E74AA">
        <w:rPr>
          <w:rFonts w:ascii="Times New Roman" w:hAnsi="Times New Roman" w:cs="Times New Roman"/>
        </w:rPr>
        <w:fldChar w:fldCharType="end"/>
      </w:r>
    </w:p>
    <w:p w:rsidR="00A42D74" w:rsidRPr="00EA224A" w:rsidRDefault="00A42D74" w:rsidP="00047866">
      <w:pPr>
        <w:spacing w:line="360" w:lineRule="auto"/>
        <w:contextualSpacing/>
        <w:rPr>
          <w:rFonts w:ascii="Times New Roman" w:hAnsi="Times New Roman" w:cs="Times New Roman"/>
        </w:rPr>
      </w:pPr>
    </w:p>
    <w:p w:rsidR="004F69ED" w:rsidRPr="00EA224A" w:rsidRDefault="004F69ED" w:rsidP="00047866">
      <w:pPr>
        <w:spacing w:line="360" w:lineRule="auto"/>
        <w:ind w:firstLine="1440"/>
        <w:contextualSpacing/>
        <w:rPr>
          <w:rFonts w:ascii="Times New Roman" w:hAnsi="Times New Roman" w:cs="Times New Roman"/>
          <w:color w:val="FF0000"/>
        </w:rPr>
      </w:pPr>
      <w:r w:rsidRPr="00EA224A">
        <w:rPr>
          <w:rFonts w:ascii="Times New Roman" w:hAnsi="Times New Roman" w:cs="Times New Roman"/>
        </w:rPr>
        <w:t xml:space="preserve">The parties agree on the methodology to be used to calculate cash working capital for Columbia Water.  Specifically, the Company has used the formula method, or one-eighth (12.5%) of operating and maintenance (O&amp;M) expenses.  GDS Exh. No. 1 at 1-17.  Using this method, Columbia calculated a claim for cash working capital of $248,967.  </w:t>
      </w:r>
      <w:r w:rsidR="009D3F59" w:rsidRPr="00EA224A">
        <w:rPr>
          <w:rFonts w:ascii="Times New Roman" w:hAnsi="Times New Roman" w:cs="Times New Roman"/>
        </w:rPr>
        <w:t>Cash Working Capital will change and be ultimately established based upon the outcome of the Commission’s final ratemaking determinations.</w:t>
      </w:r>
    </w:p>
    <w:p w:rsidR="005660BA" w:rsidRPr="00EA224A" w:rsidRDefault="005660BA" w:rsidP="00047866">
      <w:pPr>
        <w:spacing w:line="360" w:lineRule="auto"/>
        <w:contextualSpacing/>
        <w:rPr>
          <w:rFonts w:ascii="Times New Roman" w:hAnsi="Times New Roman" w:cs="Times New Roman"/>
        </w:rPr>
      </w:pPr>
    </w:p>
    <w:p w:rsidR="009D3F59" w:rsidRPr="00EA224A" w:rsidRDefault="00F80883" w:rsidP="00047866">
      <w:pPr>
        <w:spacing w:line="360" w:lineRule="auto"/>
        <w:contextualSpacing/>
        <w:rPr>
          <w:rFonts w:ascii="Times New Roman" w:hAnsi="Times New Roman" w:cs="Times New Roman"/>
        </w:rPr>
      </w:pPr>
      <w:r w:rsidRPr="00EA224A">
        <w:rPr>
          <w:rFonts w:ascii="Times New Roman" w:hAnsi="Times New Roman" w:cs="Times New Roman"/>
        </w:rPr>
        <w:t>D</w:t>
      </w:r>
      <w:r w:rsidR="004F69ED" w:rsidRPr="00EA224A">
        <w:rPr>
          <w:rFonts w:ascii="Times New Roman" w:hAnsi="Times New Roman" w:cs="Times New Roman"/>
        </w:rPr>
        <w:t>.</w:t>
      </w:r>
      <w:r w:rsidR="004F69ED" w:rsidRPr="00EA224A">
        <w:rPr>
          <w:rFonts w:ascii="Times New Roman" w:hAnsi="Times New Roman" w:cs="Times New Roman"/>
        </w:rPr>
        <w:tab/>
      </w:r>
      <w:r w:rsidR="009D3F59" w:rsidRPr="00EA224A">
        <w:rPr>
          <w:rFonts w:ascii="Times New Roman" w:hAnsi="Times New Roman" w:cs="Times New Roman"/>
        </w:rPr>
        <w:t>Unresolved Issues</w:t>
      </w:r>
      <w:r w:rsidR="000E74AA">
        <w:rPr>
          <w:rFonts w:ascii="Times New Roman" w:hAnsi="Times New Roman" w:cs="Times New Roman"/>
        </w:rPr>
        <w:fldChar w:fldCharType="begin"/>
      </w:r>
      <w:r w:rsidR="000E74AA">
        <w:instrText xml:space="preserve"> TC "</w:instrText>
      </w:r>
      <w:bookmarkStart w:id="9" w:name="_Toc372704685"/>
      <w:r w:rsidR="000E74AA" w:rsidRPr="00831096">
        <w:rPr>
          <w:rFonts w:ascii="Times New Roman" w:hAnsi="Times New Roman" w:cs="Times New Roman"/>
        </w:rPr>
        <w:instrText>D.</w:instrText>
      </w:r>
      <w:r w:rsidR="000E74AA" w:rsidRPr="00831096">
        <w:rPr>
          <w:rFonts w:ascii="Times New Roman" w:hAnsi="Times New Roman" w:cs="Times New Roman"/>
        </w:rPr>
        <w:tab/>
        <w:instrText>Unresolved Issues</w:instrText>
      </w:r>
      <w:bookmarkEnd w:id="9"/>
      <w:r w:rsidR="000E74AA">
        <w:instrText xml:space="preserve">" \f C \l "2" </w:instrText>
      </w:r>
      <w:r w:rsidR="000E74AA">
        <w:rPr>
          <w:rFonts w:ascii="Times New Roman" w:hAnsi="Times New Roman" w:cs="Times New Roman"/>
        </w:rPr>
        <w:fldChar w:fldCharType="end"/>
      </w:r>
    </w:p>
    <w:p w:rsidR="009D3F59" w:rsidRPr="00EA224A" w:rsidRDefault="009D3F59" w:rsidP="00047866">
      <w:pPr>
        <w:spacing w:line="360" w:lineRule="auto"/>
        <w:contextualSpacing/>
        <w:rPr>
          <w:rFonts w:ascii="Times New Roman" w:hAnsi="Times New Roman" w:cs="Times New Roman"/>
        </w:rPr>
      </w:pPr>
    </w:p>
    <w:p w:rsidR="004F69ED" w:rsidRPr="00EA224A" w:rsidRDefault="009D3F59" w:rsidP="000E74AA">
      <w:pPr>
        <w:spacing w:line="360" w:lineRule="auto"/>
        <w:ind w:left="1440" w:hanging="720"/>
        <w:contextualSpacing/>
        <w:rPr>
          <w:rFonts w:ascii="Times New Roman" w:hAnsi="Times New Roman" w:cs="Times New Roman"/>
        </w:rPr>
      </w:pPr>
      <w:r w:rsidRPr="00EA224A">
        <w:rPr>
          <w:rFonts w:ascii="Times New Roman" w:hAnsi="Times New Roman" w:cs="Times New Roman"/>
        </w:rPr>
        <w:t>1.</w:t>
      </w:r>
      <w:r w:rsidRPr="00EA224A">
        <w:rPr>
          <w:rFonts w:ascii="Times New Roman" w:hAnsi="Times New Roman" w:cs="Times New Roman"/>
        </w:rPr>
        <w:tab/>
      </w:r>
      <w:r w:rsidR="004F69ED" w:rsidRPr="00EA224A">
        <w:rPr>
          <w:rFonts w:ascii="Times New Roman" w:hAnsi="Times New Roman" w:cs="Times New Roman"/>
        </w:rPr>
        <w:t>Pennvest Book Depreciation Reserve</w:t>
      </w:r>
      <w:r w:rsidR="000E74AA">
        <w:rPr>
          <w:rFonts w:ascii="Times New Roman" w:hAnsi="Times New Roman" w:cs="Times New Roman"/>
        </w:rPr>
        <w:fldChar w:fldCharType="begin"/>
      </w:r>
      <w:r w:rsidR="000E74AA">
        <w:instrText xml:space="preserve"> TC "</w:instrText>
      </w:r>
      <w:bookmarkStart w:id="10" w:name="_Toc372704686"/>
      <w:r w:rsidR="000E74AA" w:rsidRPr="00831096">
        <w:rPr>
          <w:rFonts w:ascii="Times New Roman" w:hAnsi="Times New Roman" w:cs="Times New Roman"/>
        </w:rPr>
        <w:instrText>1.</w:instrText>
      </w:r>
      <w:r w:rsidR="000E74AA" w:rsidRPr="00831096">
        <w:rPr>
          <w:rFonts w:ascii="Times New Roman" w:hAnsi="Times New Roman" w:cs="Times New Roman"/>
        </w:rPr>
        <w:tab/>
        <w:instrText>Pennvest Book Depreciation Reserve</w:instrText>
      </w:r>
      <w:bookmarkEnd w:id="10"/>
      <w:r w:rsidR="000E74AA">
        <w:instrText xml:space="preserve">" \f C \l "3" </w:instrText>
      </w:r>
      <w:r w:rsidR="000E74AA">
        <w:rPr>
          <w:rFonts w:ascii="Times New Roman" w:hAnsi="Times New Roman" w:cs="Times New Roman"/>
        </w:rPr>
        <w:fldChar w:fldCharType="end"/>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The most contentious issue in this litigation is whether the PennVest book depreciation reserve should be added to rate base.  Columbia says emphatically “Yes,” whereas the OCA and I&amp;E say just as emphatically, “No.”</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The OCA and I&amp;E position is that utilities may choose to finance plant additions through inclusion in rate base </w:t>
      </w:r>
      <w:r w:rsidRPr="00EA224A">
        <w:rPr>
          <w:rFonts w:ascii="Times New Roman" w:hAnsi="Times New Roman" w:cs="Times New Roman"/>
          <w:u w:val="single"/>
        </w:rPr>
        <w:t>or</w:t>
      </w:r>
      <w:r w:rsidRPr="00EA224A">
        <w:rPr>
          <w:rFonts w:ascii="Times New Roman" w:hAnsi="Times New Roman" w:cs="Times New Roman"/>
        </w:rPr>
        <w:t xml:space="preserve"> a principle and interest surcha</w:t>
      </w:r>
      <w:r w:rsidR="00B84108">
        <w:rPr>
          <w:rFonts w:ascii="Times New Roman" w:hAnsi="Times New Roman" w:cs="Times New Roman"/>
        </w:rPr>
        <w:t>rge.  OCA St. 1S at 38; I&amp;E St. </w:t>
      </w:r>
      <w:r w:rsidRPr="00EA224A">
        <w:rPr>
          <w:rFonts w:ascii="Times New Roman" w:hAnsi="Times New Roman" w:cs="Times New Roman"/>
        </w:rPr>
        <w:t>3SR at 4.  Without that “or,” Columbia can make a double recovery.  As I&amp;E states in its Main Brief:</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ind w:left="1440" w:right="1440"/>
        <w:contextualSpacing/>
        <w:rPr>
          <w:rFonts w:ascii="Times New Roman" w:hAnsi="Times New Roman" w:cs="Times New Roman"/>
        </w:rPr>
      </w:pPr>
      <w:r w:rsidRPr="00EA224A">
        <w:rPr>
          <w:rFonts w:ascii="Times New Roman" w:hAnsi="Times New Roman" w:cs="Times New Roman"/>
        </w:rPr>
        <w:t>That PennVest loan had been completely repaid by the Company in 2011 from proceeds received as a result of the Company’s decision to increase customer rates on a volumetric basis.  Given the Company’s collection of the entire amount of the monies used to add the PennVest-financed plant to the system, it is fair and accurate to state that not one penny of the cost of this portion of plant has come out of the pockets of the Company and they have no right whatsoever to claim that they are entitled to a return of and a return on monies they’ve invested in the plant – because there are none.  I&amp;E MB at 21.</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Likewise, the OCA maintains that Columbia’s argument flies in the face of established treatment of this issue:</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ind w:left="1440" w:right="1440"/>
        <w:contextualSpacing/>
        <w:rPr>
          <w:rFonts w:ascii="Times New Roman" w:hAnsi="Times New Roman" w:cs="Times New Roman"/>
        </w:rPr>
      </w:pPr>
      <w:r w:rsidRPr="00EA224A">
        <w:rPr>
          <w:rFonts w:ascii="Times New Roman" w:hAnsi="Times New Roman" w:cs="Times New Roman"/>
        </w:rPr>
        <w:t xml:space="preserve">Historically, the Commission has recognized two methods of recovery of the costs of plant funded by PennVest loans.  The utility may choose to put the plant in rate base and recover the associated costs through depreciation expense and the opportunity to earn a return on the undepreciated plant over the useful life of the plant.  Citing: </w:t>
      </w:r>
      <w:r w:rsidRPr="00EA224A">
        <w:rPr>
          <w:rFonts w:ascii="Times New Roman" w:hAnsi="Times New Roman" w:cs="Times New Roman"/>
          <w:i/>
        </w:rPr>
        <w:t>Pa. P</w:t>
      </w:r>
      <w:r w:rsidR="00120535">
        <w:rPr>
          <w:rFonts w:ascii="Times New Roman" w:hAnsi="Times New Roman" w:cs="Times New Roman"/>
          <w:i/>
        </w:rPr>
        <w:t>UC</w:t>
      </w:r>
      <w:r w:rsidRPr="00EA224A">
        <w:rPr>
          <w:rFonts w:ascii="Times New Roman" w:hAnsi="Times New Roman" w:cs="Times New Roman"/>
          <w:i/>
        </w:rPr>
        <w:t xml:space="preserve"> v. National Util., Inc.,</w:t>
      </w:r>
      <w:r w:rsidRPr="00EA224A">
        <w:rPr>
          <w:rFonts w:ascii="Times New Roman" w:hAnsi="Times New Roman" w:cs="Times New Roman"/>
        </w:rPr>
        <w:t xml:space="preserve"> 1994 Pa. PUC LEXIS 55 at *17 (noting that the Commission permitted plant financed by WFLB loans to be included in the rate base of York Water Company in Docket N</w:t>
      </w:r>
      <w:r w:rsidR="00A64AE6">
        <w:rPr>
          <w:rFonts w:ascii="Times New Roman" w:hAnsi="Times New Roman" w:cs="Times New Roman"/>
        </w:rPr>
        <w:t>o. R-850268, Order entered Nov. </w:t>
      </w:r>
      <w:r w:rsidRPr="00EA224A">
        <w:rPr>
          <w:rFonts w:ascii="Times New Roman" w:hAnsi="Times New Roman" w:cs="Times New Roman"/>
        </w:rPr>
        <w:t>25,</w:t>
      </w:r>
      <w:r w:rsidR="00A64AE6">
        <w:rPr>
          <w:rFonts w:ascii="Times New Roman" w:hAnsi="Times New Roman" w:cs="Times New Roman"/>
        </w:rPr>
        <w:t> </w:t>
      </w:r>
      <w:r w:rsidRPr="00EA224A">
        <w:rPr>
          <w:rFonts w:ascii="Times New Roman" w:hAnsi="Times New Roman" w:cs="Times New Roman"/>
        </w:rPr>
        <w:t xml:space="preserve">1986); </w:t>
      </w:r>
      <w:r w:rsidR="00A64AE6">
        <w:rPr>
          <w:rFonts w:ascii="Times New Roman" w:hAnsi="Times New Roman" w:cs="Times New Roman"/>
          <w:i/>
        </w:rPr>
        <w:t>Pa. PUC</w:t>
      </w:r>
      <w:r w:rsidRPr="00EA224A">
        <w:rPr>
          <w:rFonts w:ascii="Times New Roman" w:hAnsi="Times New Roman" w:cs="Times New Roman"/>
          <w:i/>
        </w:rPr>
        <w:t xml:space="preserve"> v. Shickshinny Water Co</w:t>
      </w:r>
      <w:r w:rsidRPr="00EA224A">
        <w:rPr>
          <w:rFonts w:ascii="Times New Roman" w:hAnsi="Times New Roman" w:cs="Times New Roman"/>
        </w:rPr>
        <w:t>., 67 Pa</w:t>
      </w:r>
      <w:r w:rsidR="00A64AE6">
        <w:rPr>
          <w:rFonts w:ascii="Times New Roman" w:hAnsi="Times New Roman" w:cs="Times New Roman"/>
        </w:rPr>
        <w:t>. PUC 3, </w:t>
      </w:r>
      <w:r w:rsidRPr="00EA224A">
        <w:rPr>
          <w:rFonts w:ascii="Times New Roman" w:hAnsi="Times New Roman" w:cs="Times New Roman"/>
        </w:rPr>
        <w:t xml:space="preserve">6, 12-13 (1988) (denying utilities’ requests for rate base treatment and approving a principle/interest surcharge) (Shickshinny); </w:t>
      </w:r>
      <w:r w:rsidRPr="00EA224A">
        <w:rPr>
          <w:rFonts w:ascii="Times New Roman" w:hAnsi="Times New Roman" w:cs="Times New Roman"/>
          <w:i/>
        </w:rPr>
        <w:t>Pa. P.U.C. v. Lemont Water Co.</w:t>
      </w:r>
      <w:r w:rsidRPr="00EA224A">
        <w:rPr>
          <w:rFonts w:ascii="Times New Roman" w:hAnsi="Times New Roman" w:cs="Times New Roman"/>
        </w:rPr>
        <w:t>, R-000912114, Order (June 19, 1992) (allowing the Company to include the PennVest-financed plant in rate base instead of recovering a principle and interest surcharge) (Lemont).  OCA MB at 10.</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The OCA argues that consistent with those cases, Section 69.363 of the Commission’s regulations provides that only principle/interest may be recovered through a surcharge mechanism:</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ind w:left="1440" w:right="1440"/>
        <w:contextualSpacing/>
        <w:rPr>
          <w:rFonts w:ascii="Times New Roman" w:hAnsi="Times New Roman" w:cs="Times New Roman"/>
        </w:rPr>
      </w:pPr>
      <w:r w:rsidRPr="00EA224A">
        <w:rPr>
          <w:rFonts w:ascii="Times New Roman" w:hAnsi="Times New Roman" w:cs="Times New Roman"/>
        </w:rPr>
        <w:t xml:space="preserve">Water and wastewater companies with outstanding PennVest obligations that have not been reflected in rates or future PennVest obligations, may establish . . . an automatic adjustment by means of a sliding scale of rates or other method </w:t>
      </w:r>
      <w:r w:rsidRPr="00EA224A">
        <w:rPr>
          <w:rFonts w:ascii="Times New Roman" w:hAnsi="Times New Roman" w:cs="Times New Roman"/>
          <w:u w:val="single"/>
        </w:rPr>
        <w:t>limited solely to recovery of the company’s PennVest principal and interest obligations</w:t>
      </w:r>
      <w:r w:rsidRPr="00EA224A">
        <w:rPr>
          <w:rFonts w:ascii="Times New Roman" w:hAnsi="Times New Roman" w:cs="Times New Roman"/>
        </w:rPr>
        <w:t>.</w:t>
      </w:r>
    </w:p>
    <w:p w:rsidR="004F69ED" w:rsidRPr="00EA224A" w:rsidRDefault="004F69ED" w:rsidP="00047866">
      <w:pPr>
        <w:ind w:left="1440" w:right="1440"/>
        <w:contextualSpacing/>
        <w:rPr>
          <w:rFonts w:ascii="Times New Roman" w:hAnsi="Times New Roman" w:cs="Times New Roman"/>
        </w:rPr>
      </w:pPr>
    </w:p>
    <w:p w:rsidR="004F69ED" w:rsidRPr="00EA224A" w:rsidRDefault="00D92CFC" w:rsidP="00047866">
      <w:pPr>
        <w:ind w:left="1440" w:right="1440"/>
        <w:contextualSpacing/>
        <w:rPr>
          <w:rFonts w:ascii="Times New Roman" w:hAnsi="Times New Roman" w:cs="Times New Roman"/>
        </w:rPr>
      </w:pPr>
      <w:r>
        <w:rPr>
          <w:rFonts w:ascii="Times New Roman" w:hAnsi="Times New Roman" w:cs="Times New Roman"/>
        </w:rPr>
        <w:t>52 Pa.</w:t>
      </w:r>
      <w:r w:rsidR="004F69ED" w:rsidRPr="00EA224A">
        <w:rPr>
          <w:rFonts w:ascii="Times New Roman" w:hAnsi="Times New Roman" w:cs="Times New Roman"/>
        </w:rPr>
        <w:t>Code § 69.363 (emphasis added).</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In reply, Columbia points to the Commission’s Opinion and Order in </w:t>
      </w:r>
      <w:r w:rsidR="00D92CFC">
        <w:rPr>
          <w:rFonts w:ascii="Times New Roman" w:hAnsi="Times New Roman" w:cs="Times New Roman"/>
          <w:i/>
        </w:rPr>
        <w:t>Pa. PUC</w:t>
      </w:r>
      <w:r w:rsidRPr="00EA224A">
        <w:rPr>
          <w:rFonts w:ascii="Times New Roman" w:hAnsi="Times New Roman" w:cs="Times New Roman"/>
          <w:i/>
        </w:rPr>
        <w:t xml:space="preserve"> v. Columbia Water Company</w:t>
      </w:r>
      <w:r w:rsidRPr="00EA224A">
        <w:rPr>
          <w:rFonts w:ascii="Times New Roman" w:hAnsi="Times New Roman" w:cs="Times New Roman"/>
        </w:rPr>
        <w:t>, Docket No. R</w:t>
      </w:r>
      <w:r w:rsidR="002C0B54">
        <w:rPr>
          <w:rFonts w:ascii="Times New Roman" w:hAnsi="Times New Roman" w:cs="Times New Roman"/>
        </w:rPr>
        <w:t>-</w:t>
      </w:r>
      <w:r w:rsidRPr="00EA224A">
        <w:rPr>
          <w:rFonts w:ascii="Times New Roman" w:hAnsi="Times New Roman" w:cs="Times New Roman"/>
        </w:rPr>
        <w:t xml:space="preserve">00932594 (1993) as the basis for the rate base/rate of return treatment approved for this plant, and </w:t>
      </w:r>
      <w:r w:rsidR="002C0B54">
        <w:rPr>
          <w:rFonts w:ascii="Times New Roman" w:hAnsi="Times New Roman" w:cs="Times New Roman"/>
        </w:rPr>
        <w:t xml:space="preserve">insists </w:t>
      </w:r>
      <w:r w:rsidRPr="00EA224A">
        <w:rPr>
          <w:rFonts w:ascii="Times New Roman" w:hAnsi="Times New Roman" w:cs="Times New Roman"/>
        </w:rPr>
        <w:t>that by arguing that the 1993 Commission-approved PennVest volumetric rate base/rate of return rate is a debt-service only surcharge, the OCA and I&amp;E are challenging a Commission-approved rate.  Columbia RB at 7-8.</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Columbia goes on to argue that the OCA and I&amp;E position conflicts with the United States Tax Code, renders depreciation lives meaningless, transforms company financed debt or loans used to construct plant into retroactive </w:t>
      </w:r>
      <w:r w:rsidR="00241EDA">
        <w:rPr>
          <w:rFonts w:ascii="Times New Roman" w:hAnsi="Times New Roman" w:cs="Times New Roman"/>
        </w:rPr>
        <w:t>Contributions in Aid of Construction (</w:t>
      </w:r>
      <w:r w:rsidRPr="00EA224A">
        <w:rPr>
          <w:rFonts w:ascii="Times New Roman" w:hAnsi="Times New Roman" w:cs="Times New Roman"/>
        </w:rPr>
        <w:t>CIACs</w:t>
      </w:r>
      <w:r w:rsidR="00241EDA">
        <w:rPr>
          <w:rFonts w:ascii="Times New Roman" w:hAnsi="Times New Roman" w:cs="Times New Roman"/>
        </w:rPr>
        <w:t>)</w:t>
      </w:r>
      <w:r w:rsidRPr="00EA224A">
        <w:rPr>
          <w:rFonts w:ascii="Times New Roman" w:hAnsi="Times New Roman" w:cs="Times New Roman"/>
        </w:rPr>
        <w:t xml:space="preserve"> simply because the debt or loan was paid off using rate revenues as a source of monies, all of which violate the fundamental Constitutional provisions against confiscation of property and the right to earn a return on and of plant investment, Generally Accepted Accounting Principles (GAAP), and well-established ratemaking principles.  Columbia concludes that once the plant t</w:t>
      </w:r>
      <w:r w:rsidR="00A42D74" w:rsidRPr="00EA224A">
        <w:rPr>
          <w:rFonts w:ascii="Times New Roman" w:hAnsi="Times New Roman" w:cs="Times New Roman"/>
        </w:rPr>
        <w:t>reatment was approved by final O</w:t>
      </w:r>
      <w:r w:rsidRPr="00EA224A">
        <w:rPr>
          <w:rFonts w:ascii="Times New Roman" w:hAnsi="Times New Roman" w:cs="Times New Roman"/>
        </w:rPr>
        <w:t>rder in 1993 as a rate base/rate of return volumetric rate, it became “</w:t>
      </w:r>
      <w:r w:rsidRPr="00EA224A">
        <w:rPr>
          <w:rFonts w:ascii="Times New Roman" w:hAnsi="Times New Roman" w:cs="Times New Roman"/>
          <w:i/>
        </w:rPr>
        <w:t>prima facia</w:t>
      </w:r>
      <w:r w:rsidRPr="00EA224A">
        <w:rPr>
          <w:rFonts w:ascii="Times New Roman" w:hAnsi="Times New Roman" w:cs="Times New Roman"/>
        </w:rPr>
        <w:t xml:space="preserve"> evidence of the facts found and remains conclusive upon all parties affected thereby, unless set aside, annulled or modifi</w:t>
      </w:r>
      <w:r w:rsidR="006550DC">
        <w:rPr>
          <w:rFonts w:ascii="Times New Roman" w:hAnsi="Times New Roman" w:cs="Times New Roman"/>
        </w:rPr>
        <w:t>ed on judicial review.”  66 Pa.</w:t>
      </w:r>
      <w:r w:rsidRPr="00EA224A">
        <w:rPr>
          <w:rFonts w:ascii="Times New Roman" w:hAnsi="Times New Roman" w:cs="Times New Roman"/>
        </w:rPr>
        <w:t>C.S.A. § 316.  The volumetric rate base/rate of return rate for this plant was never appealed, an</w:t>
      </w:r>
      <w:r w:rsidR="00474492">
        <w:rPr>
          <w:rFonts w:ascii="Times New Roman" w:hAnsi="Times New Roman" w:cs="Times New Roman"/>
        </w:rPr>
        <w:t xml:space="preserve">d thus it remains conclusive.  </w:t>
      </w:r>
      <w:r w:rsidRPr="00EA224A">
        <w:rPr>
          <w:rFonts w:ascii="Times New Roman" w:hAnsi="Times New Roman" w:cs="Times New Roman"/>
        </w:rPr>
        <w:t>Columbia RB at 8-9.</w:t>
      </w:r>
    </w:p>
    <w:p w:rsidR="004F69ED" w:rsidRPr="00EA224A" w:rsidRDefault="004F69ED" w:rsidP="00047866">
      <w:pPr>
        <w:spacing w:line="360" w:lineRule="auto"/>
        <w:contextualSpacing/>
        <w:rPr>
          <w:rFonts w:ascii="Times New Roman" w:hAnsi="Times New Roman" w:cs="Times New Roman"/>
        </w:rPr>
      </w:pPr>
    </w:p>
    <w:p w:rsidR="004F69ED" w:rsidRPr="00EA224A" w:rsidRDefault="004F69ED"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A42D74" w:rsidRPr="00EA224A">
        <w:rPr>
          <w:rFonts w:ascii="Times New Roman" w:hAnsi="Times New Roman" w:cs="Times New Roman"/>
        </w:rPr>
        <w:t xml:space="preserve">I agree.  </w:t>
      </w:r>
      <w:r w:rsidRPr="00EA224A">
        <w:rPr>
          <w:rFonts w:ascii="Times New Roman" w:hAnsi="Times New Roman" w:cs="Times New Roman"/>
        </w:rPr>
        <w:t xml:space="preserve">The Commission’s Opinion and Order in </w:t>
      </w:r>
      <w:r w:rsidR="00CD43F0">
        <w:rPr>
          <w:rFonts w:ascii="Times New Roman" w:hAnsi="Times New Roman" w:cs="Times New Roman"/>
          <w:i/>
        </w:rPr>
        <w:t>Pa. PUC</w:t>
      </w:r>
      <w:r w:rsidRPr="00EA224A">
        <w:rPr>
          <w:rFonts w:ascii="Times New Roman" w:hAnsi="Times New Roman" w:cs="Times New Roman"/>
          <w:i/>
        </w:rPr>
        <w:t xml:space="preserve"> v. Columbia Water Company</w:t>
      </w:r>
      <w:r w:rsidRPr="00EA224A">
        <w:rPr>
          <w:rFonts w:ascii="Times New Roman" w:hAnsi="Times New Roman" w:cs="Times New Roman"/>
        </w:rPr>
        <w:t>, Docket No. R</w:t>
      </w:r>
      <w:r w:rsidR="002C0B54">
        <w:rPr>
          <w:rFonts w:ascii="Times New Roman" w:hAnsi="Times New Roman" w:cs="Times New Roman"/>
        </w:rPr>
        <w:t>-</w:t>
      </w:r>
      <w:r w:rsidRPr="00EA224A">
        <w:rPr>
          <w:rFonts w:ascii="Times New Roman" w:hAnsi="Times New Roman" w:cs="Times New Roman"/>
        </w:rPr>
        <w:t>00932594 (1993) cannot be ignored.  Columbia’s inclusion of its remaining used and useful undepreciated PennVest Plant and facilities in rate base is appropriate.</w:t>
      </w:r>
    </w:p>
    <w:p w:rsidR="00B40409" w:rsidRPr="00EA224A" w:rsidRDefault="00B40409" w:rsidP="00047866">
      <w:pPr>
        <w:spacing w:line="360" w:lineRule="auto"/>
        <w:contextualSpacing/>
        <w:rPr>
          <w:rFonts w:ascii="Times New Roman" w:hAnsi="Times New Roman" w:cs="Times New Roman"/>
        </w:rPr>
      </w:pPr>
    </w:p>
    <w:p w:rsidR="00047866" w:rsidRDefault="009D3F59" w:rsidP="000E74AA">
      <w:pPr>
        <w:keepNext/>
        <w:numPr>
          <w:ilvl w:val="2"/>
          <w:numId w:val="0"/>
        </w:numPr>
        <w:autoSpaceDE/>
        <w:autoSpaceDN/>
        <w:spacing w:line="360" w:lineRule="auto"/>
        <w:ind w:left="1440" w:hanging="720"/>
        <w:contextualSpacing/>
        <w:jc w:val="both"/>
        <w:outlineLvl w:val="2"/>
        <w:rPr>
          <w:rFonts w:ascii="Times New Roman" w:hAnsi="Times New Roman" w:cs="Times New Roman"/>
          <w:bCs/>
        </w:rPr>
      </w:pPr>
      <w:bookmarkStart w:id="11" w:name="_Toc367958613"/>
      <w:r w:rsidRPr="00EA224A">
        <w:rPr>
          <w:rFonts w:ascii="Times New Roman" w:hAnsi="Times New Roman" w:cs="Times New Roman"/>
          <w:bCs/>
        </w:rPr>
        <w:t>2</w:t>
      </w:r>
      <w:r w:rsidR="004F69ED" w:rsidRPr="00EA224A">
        <w:rPr>
          <w:rFonts w:ascii="Times New Roman" w:hAnsi="Times New Roman" w:cs="Times New Roman"/>
          <w:bCs/>
        </w:rPr>
        <w:t>.</w:t>
      </w:r>
      <w:r w:rsidR="004F69ED" w:rsidRPr="00EA224A">
        <w:rPr>
          <w:rFonts w:ascii="Times New Roman" w:hAnsi="Times New Roman" w:cs="Times New Roman"/>
          <w:bCs/>
        </w:rPr>
        <w:tab/>
        <w:t>Materials &amp; Supplies</w:t>
      </w:r>
      <w:bookmarkEnd w:id="11"/>
      <w:r w:rsidR="000E74AA">
        <w:rPr>
          <w:rFonts w:ascii="Times New Roman" w:hAnsi="Times New Roman" w:cs="Times New Roman"/>
          <w:bCs/>
        </w:rPr>
        <w:fldChar w:fldCharType="begin"/>
      </w:r>
      <w:r w:rsidR="000E74AA">
        <w:instrText xml:space="preserve"> TC "</w:instrText>
      </w:r>
      <w:bookmarkStart w:id="12" w:name="_Toc372704687"/>
      <w:r w:rsidR="000E74AA" w:rsidRPr="00831096">
        <w:rPr>
          <w:rFonts w:ascii="Times New Roman" w:hAnsi="Times New Roman" w:cs="Times New Roman"/>
          <w:bCs/>
        </w:rPr>
        <w:instrText>2.</w:instrText>
      </w:r>
      <w:r w:rsidR="000E74AA" w:rsidRPr="00831096">
        <w:rPr>
          <w:rFonts w:ascii="Times New Roman" w:hAnsi="Times New Roman" w:cs="Times New Roman"/>
          <w:bCs/>
        </w:rPr>
        <w:tab/>
        <w:instrText>Materials &amp; Supplies</w:instrText>
      </w:r>
      <w:bookmarkEnd w:id="12"/>
      <w:r w:rsidR="000E74AA">
        <w:instrText xml:space="preserve">" \f C \l "3" </w:instrText>
      </w:r>
      <w:r w:rsidR="000E74AA">
        <w:rPr>
          <w:rFonts w:ascii="Times New Roman" w:hAnsi="Times New Roman" w:cs="Times New Roman"/>
          <w:bCs/>
        </w:rPr>
        <w:fldChar w:fldCharType="end"/>
      </w:r>
    </w:p>
    <w:p w:rsidR="00047866" w:rsidRPr="00EA224A" w:rsidRDefault="00047866" w:rsidP="00047866">
      <w:pPr>
        <w:keepNext/>
        <w:numPr>
          <w:ilvl w:val="2"/>
          <w:numId w:val="0"/>
        </w:numPr>
        <w:autoSpaceDE/>
        <w:autoSpaceDN/>
        <w:spacing w:line="360" w:lineRule="auto"/>
        <w:contextualSpacing/>
        <w:jc w:val="both"/>
        <w:outlineLvl w:val="2"/>
        <w:rPr>
          <w:rFonts w:ascii="Times New Roman" w:hAnsi="Times New Roman" w:cs="Times New Roman"/>
          <w:bCs/>
        </w:rPr>
      </w:pPr>
    </w:p>
    <w:p w:rsidR="00A42D74" w:rsidRPr="00EA224A" w:rsidRDefault="009D3F59" w:rsidP="00047866">
      <w:pPr>
        <w:keepNext/>
        <w:numPr>
          <w:ilvl w:val="2"/>
          <w:numId w:val="0"/>
        </w:numPr>
        <w:autoSpaceDE/>
        <w:autoSpaceDN/>
        <w:spacing w:line="360" w:lineRule="auto"/>
        <w:contextualSpacing/>
        <w:outlineLvl w:val="2"/>
        <w:rPr>
          <w:rFonts w:ascii="Times New Roman" w:hAnsi="Times New Roman" w:cs="Times New Roman"/>
          <w:bCs/>
        </w:rPr>
      </w:pPr>
      <w:r w:rsidRPr="00EA224A">
        <w:rPr>
          <w:rFonts w:ascii="Times New Roman" w:hAnsi="Times New Roman" w:cs="Times New Roman"/>
        </w:rPr>
        <w:tab/>
      </w:r>
      <w:r w:rsidRPr="00EA224A">
        <w:rPr>
          <w:rFonts w:ascii="Times New Roman" w:hAnsi="Times New Roman" w:cs="Times New Roman"/>
        </w:rPr>
        <w:tab/>
      </w:r>
      <w:r w:rsidR="004F69ED" w:rsidRPr="00EA224A">
        <w:rPr>
          <w:rFonts w:ascii="Times New Roman" w:hAnsi="Times New Roman" w:cs="Times New Roman"/>
        </w:rPr>
        <w:t xml:space="preserve">Columbia claimed Materials &amp; Supplies in rate </w:t>
      </w:r>
      <w:r w:rsidR="00CF6464">
        <w:rPr>
          <w:rFonts w:ascii="Times New Roman" w:hAnsi="Times New Roman" w:cs="Times New Roman"/>
        </w:rPr>
        <w:t>base of $62,314.  GDS Exh. 1 at </w:t>
      </w:r>
      <w:r w:rsidR="004F69ED" w:rsidRPr="00EA224A">
        <w:rPr>
          <w:rFonts w:ascii="Times New Roman" w:hAnsi="Times New Roman" w:cs="Times New Roman"/>
        </w:rPr>
        <w:t>1-17.  This claim is based on a three year average of the Company’s Materials &amp; Supplies inventory.  OCA Witness Everette explained that it is Commission policy to use a thirteen-month average of materials and supplies</w:t>
      </w:r>
      <w:r w:rsidR="005660BA" w:rsidRPr="00EA224A">
        <w:rPr>
          <w:rFonts w:ascii="Times New Roman" w:hAnsi="Times New Roman" w:cs="Times New Roman"/>
        </w:rPr>
        <w:t xml:space="preserve">.  </w:t>
      </w:r>
      <w:r w:rsidR="004F69ED" w:rsidRPr="00EA224A">
        <w:rPr>
          <w:rFonts w:ascii="Times New Roman" w:hAnsi="Times New Roman" w:cs="Times New Roman"/>
        </w:rPr>
        <w:t>In rebuttal, Company witness Shambaugh argued that if the expense is volatile</w:t>
      </w:r>
      <w:r w:rsidR="002C0B54">
        <w:rPr>
          <w:rFonts w:ascii="Times New Roman" w:hAnsi="Times New Roman" w:cs="Times New Roman"/>
        </w:rPr>
        <w:t>,</w:t>
      </w:r>
      <w:r w:rsidR="004F69ED" w:rsidRPr="00EA224A">
        <w:rPr>
          <w:rFonts w:ascii="Times New Roman" w:hAnsi="Times New Roman" w:cs="Times New Roman"/>
        </w:rPr>
        <w:t xml:space="preserve"> an average of a longer period should be used.  CWC St. 2R at 14-15.  Mr. Shambaugh also contended that the Company would have to close its books on a monthly basis in order to accurately reflect a 13-month average.  CWC St. 2R at 14.  </w:t>
      </w:r>
      <w:r w:rsidR="00A42D74" w:rsidRPr="00EA224A">
        <w:rPr>
          <w:rFonts w:ascii="Times New Roman" w:hAnsi="Times New Roman" w:cs="Times New Roman"/>
        </w:rPr>
        <w:t xml:space="preserve">I agree with Mr. Shambaugh.  As stated above, this is an instance of where “what works and what is reasonable,” for this utility specifically should not be disturbed by what another party thinks is optimal and requests based on general policy.  </w:t>
      </w:r>
      <w:r w:rsidR="005660BA" w:rsidRPr="00EA224A">
        <w:rPr>
          <w:rFonts w:ascii="Times New Roman" w:hAnsi="Times New Roman" w:cs="Times New Roman"/>
        </w:rPr>
        <w:t>T</w:t>
      </w:r>
      <w:r w:rsidR="004F69ED" w:rsidRPr="00EA224A">
        <w:rPr>
          <w:rFonts w:ascii="Times New Roman" w:hAnsi="Times New Roman" w:cs="Times New Roman"/>
        </w:rPr>
        <w:t>he OCA’s recommendation to reduce Columbia’s rate base claim by $4,592 should</w:t>
      </w:r>
      <w:r w:rsidR="005660BA" w:rsidRPr="00EA224A">
        <w:rPr>
          <w:rFonts w:ascii="Times New Roman" w:hAnsi="Times New Roman" w:cs="Times New Roman"/>
        </w:rPr>
        <w:t xml:space="preserve"> not</w:t>
      </w:r>
      <w:r w:rsidR="004F69ED" w:rsidRPr="00EA224A">
        <w:rPr>
          <w:rFonts w:ascii="Times New Roman" w:hAnsi="Times New Roman" w:cs="Times New Roman"/>
        </w:rPr>
        <w:t xml:space="preserve"> be adopted.</w:t>
      </w:r>
    </w:p>
    <w:p w:rsidR="004F69ED" w:rsidRPr="00EA224A" w:rsidRDefault="004F69ED" w:rsidP="00047866">
      <w:pPr>
        <w:autoSpaceDE/>
        <w:autoSpaceDN/>
        <w:spacing w:line="360" w:lineRule="auto"/>
        <w:ind w:firstLine="720"/>
        <w:contextualSpacing/>
        <w:jc w:val="both"/>
        <w:rPr>
          <w:rFonts w:ascii="Times New Roman" w:hAnsi="Times New Roman" w:cs="Times New Roman"/>
        </w:rPr>
      </w:pPr>
    </w:p>
    <w:p w:rsidR="00F96CE8" w:rsidRPr="00EA224A" w:rsidRDefault="009D3F59" w:rsidP="000E74AA">
      <w:pPr>
        <w:autoSpaceDE/>
        <w:autoSpaceDN/>
        <w:spacing w:line="360" w:lineRule="auto"/>
        <w:ind w:left="1440" w:hanging="720"/>
        <w:contextualSpacing/>
        <w:jc w:val="both"/>
        <w:rPr>
          <w:rFonts w:ascii="Times New Roman" w:hAnsi="Times New Roman" w:cs="Times New Roman"/>
        </w:rPr>
      </w:pPr>
      <w:r w:rsidRPr="00EA224A">
        <w:rPr>
          <w:rFonts w:ascii="Times New Roman" w:hAnsi="Times New Roman" w:cs="Times New Roman"/>
        </w:rPr>
        <w:t>3</w:t>
      </w:r>
      <w:r w:rsidR="00F96CE8" w:rsidRPr="00EA224A">
        <w:rPr>
          <w:rFonts w:ascii="Times New Roman" w:hAnsi="Times New Roman" w:cs="Times New Roman"/>
        </w:rPr>
        <w:t>.</w:t>
      </w:r>
      <w:r w:rsidR="00F96CE8" w:rsidRPr="00EA224A">
        <w:rPr>
          <w:rFonts w:ascii="Times New Roman" w:hAnsi="Times New Roman" w:cs="Times New Roman"/>
        </w:rPr>
        <w:tab/>
      </w:r>
      <w:bookmarkStart w:id="13" w:name="_Toc367958616"/>
      <w:r w:rsidR="00F96CE8" w:rsidRPr="00EA224A">
        <w:rPr>
          <w:rFonts w:ascii="Times New Roman" w:hAnsi="Times New Roman" w:cs="Times New Roman"/>
        </w:rPr>
        <w:t>Merchandising Sales and Jobbing Work</w:t>
      </w:r>
      <w:bookmarkEnd w:id="13"/>
      <w:r w:rsidR="000E74AA">
        <w:rPr>
          <w:rFonts w:ascii="Times New Roman" w:hAnsi="Times New Roman" w:cs="Times New Roman"/>
        </w:rPr>
        <w:fldChar w:fldCharType="begin"/>
      </w:r>
      <w:r w:rsidR="000E74AA">
        <w:instrText xml:space="preserve"> TC "</w:instrText>
      </w:r>
      <w:bookmarkStart w:id="14" w:name="_Toc372704688"/>
      <w:r w:rsidR="000E74AA" w:rsidRPr="00831096">
        <w:rPr>
          <w:rFonts w:ascii="Times New Roman" w:hAnsi="Times New Roman" w:cs="Times New Roman"/>
        </w:rPr>
        <w:instrText>3.</w:instrText>
      </w:r>
      <w:r w:rsidR="000E74AA" w:rsidRPr="00831096">
        <w:rPr>
          <w:rFonts w:ascii="Times New Roman" w:hAnsi="Times New Roman" w:cs="Times New Roman"/>
        </w:rPr>
        <w:tab/>
        <w:instrText>Merchandising Sales and Jobbing Work</w:instrText>
      </w:r>
      <w:bookmarkEnd w:id="14"/>
      <w:r w:rsidR="000E74AA">
        <w:instrText xml:space="preserve">" \f C \l "3" </w:instrText>
      </w:r>
      <w:r w:rsidR="000E74AA">
        <w:rPr>
          <w:rFonts w:ascii="Times New Roman" w:hAnsi="Times New Roman" w:cs="Times New Roman"/>
        </w:rPr>
        <w:fldChar w:fldCharType="end"/>
      </w:r>
    </w:p>
    <w:p w:rsidR="009D3F59" w:rsidRPr="00EA224A" w:rsidRDefault="009D3F59" w:rsidP="00047866">
      <w:pPr>
        <w:autoSpaceDE/>
        <w:autoSpaceDN/>
        <w:spacing w:line="360" w:lineRule="auto"/>
        <w:contextualSpacing/>
        <w:jc w:val="both"/>
        <w:rPr>
          <w:rFonts w:ascii="Times New Roman" w:hAnsi="Times New Roman" w:cs="Times New Roman"/>
        </w:rPr>
      </w:pPr>
    </w:p>
    <w:p w:rsidR="00F96CE8" w:rsidRPr="00EA224A" w:rsidRDefault="00F96CE8" w:rsidP="00047866">
      <w:pPr>
        <w:spacing w:line="360" w:lineRule="auto"/>
        <w:contextualSpacing/>
        <w:rPr>
          <w:rFonts w:ascii="Times New Roman" w:hAnsi="Times New Roman" w:cs="Times New Roman"/>
        </w:rPr>
      </w:pPr>
      <w:r w:rsidRPr="00EA224A">
        <w:rPr>
          <w:rFonts w:ascii="Times New Roman" w:hAnsi="Times New Roman" w:cs="Times New Roman"/>
        </w:rPr>
        <w:tab/>
      </w:r>
      <w:r w:rsidR="00DC04EF" w:rsidRPr="00EA224A">
        <w:rPr>
          <w:rFonts w:ascii="Times New Roman" w:hAnsi="Times New Roman" w:cs="Times New Roman"/>
        </w:rPr>
        <w:tab/>
      </w:r>
      <w:r w:rsidRPr="00EA224A">
        <w:rPr>
          <w:rFonts w:ascii="Times New Roman" w:hAnsi="Times New Roman" w:cs="Times New Roman"/>
        </w:rPr>
        <w:t>The Company claimed $15,762 of revenue received for Merchandising Sales and Jobbing Work as non-operating income.  GDS Exh. No. 1 at 1-22; OCA St. 1 at 8.  The OCA contends that the revenue for Merchandising Sales and Jobbing Work in the amount of $15,762 should be included in Columbia’s above-the-line operating reven</w:t>
      </w:r>
      <w:r w:rsidR="00376A17">
        <w:rPr>
          <w:rFonts w:ascii="Times New Roman" w:hAnsi="Times New Roman" w:cs="Times New Roman"/>
        </w:rPr>
        <w:t>ue.  OCA St. 1 at 8-10; OCA St. </w:t>
      </w:r>
      <w:r w:rsidRPr="00EA224A">
        <w:rPr>
          <w:rFonts w:ascii="Times New Roman" w:hAnsi="Times New Roman" w:cs="Times New Roman"/>
        </w:rPr>
        <w:t>1S at 2-3.  The Company has already admitted that the $9,932 associated with sewer billing data should be categorized as operating revenue.  The remaining $5,83</w:t>
      </w:r>
      <w:r w:rsidR="002C0B54">
        <w:rPr>
          <w:rFonts w:ascii="Times New Roman" w:hAnsi="Times New Roman" w:cs="Times New Roman"/>
        </w:rPr>
        <w:t>0</w:t>
      </w:r>
      <w:r w:rsidRPr="00EA224A">
        <w:rPr>
          <w:rFonts w:ascii="Times New Roman" w:hAnsi="Times New Roman" w:cs="Times New Roman"/>
        </w:rPr>
        <w:t xml:space="preserve"> includes the revenues for bulk water sales and assisting Columbia Borough with turn-offs and turn-ons and are nearly identical to those in the Company’s 2008 rate case in which the Commission adopted the adjustment to operating revenue.  In addition, the Company has charged the expenses associated with these revenues to the customers of Columbia Water Company.  OCA Table II ; OCA Exh. AEE-1S, Sch. 1S.</w:t>
      </w:r>
    </w:p>
    <w:p w:rsidR="009D3F59" w:rsidRPr="00EA224A" w:rsidRDefault="009D3F59" w:rsidP="00047866">
      <w:pPr>
        <w:spacing w:line="360" w:lineRule="auto"/>
        <w:contextualSpacing/>
        <w:jc w:val="both"/>
        <w:rPr>
          <w:rFonts w:ascii="Times New Roman" w:hAnsi="Times New Roman" w:cs="Times New Roman"/>
        </w:rPr>
      </w:pPr>
    </w:p>
    <w:p w:rsidR="009D3F59" w:rsidRPr="00EA224A" w:rsidRDefault="009D3F59" w:rsidP="00047866">
      <w:pPr>
        <w:spacing w:line="360" w:lineRule="auto"/>
        <w:contextualSpacing/>
        <w:jc w:val="both"/>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Columbia disagrees that the $5,83</w:t>
      </w:r>
      <w:r w:rsidR="002C0B54">
        <w:rPr>
          <w:rFonts w:ascii="Times New Roman" w:hAnsi="Times New Roman" w:cs="Times New Roman"/>
        </w:rPr>
        <w:t>0</w:t>
      </w:r>
      <w:r w:rsidRPr="00EA224A">
        <w:rPr>
          <w:rFonts w:ascii="Times New Roman" w:hAnsi="Times New Roman" w:cs="Times New Roman"/>
        </w:rPr>
        <w:t xml:space="preserve"> increase recommended by OCA should be included in operating revenues, arguing as follows:</w:t>
      </w:r>
    </w:p>
    <w:p w:rsidR="009D3F59" w:rsidRPr="00EA224A" w:rsidRDefault="009D3F59" w:rsidP="00047866">
      <w:pPr>
        <w:spacing w:line="360" w:lineRule="auto"/>
        <w:contextualSpacing/>
        <w:jc w:val="both"/>
        <w:rPr>
          <w:rFonts w:ascii="Times New Roman" w:hAnsi="Times New Roman" w:cs="Times New Roman"/>
        </w:rPr>
      </w:pPr>
    </w:p>
    <w:p w:rsidR="009D3F59" w:rsidRPr="00EA224A" w:rsidRDefault="009D3F59" w:rsidP="00047866">
      <w:pPr>
        <w:ind w:left="1440" w:right="1728"/>
        <w:contextualSpacing/>
        <w:rPr>
          <w:rFonts w:ascii="Times New Roman" w:hAnsi="Times New Roman" w:cs="Times New Roman"/>
        </w:rPr>
      </w:pPr>
      <w:r w:rsidRPr="00EA224A">
        <w:rPr>
          <w:rFonts w:ascii="Times New Roman" w:hAnsi="Times New Roman" w:cs="Times New Roman"/>
        </w:rPr>
        <w:t xml:space="preserve">As Mr. Shambaugh explained, “relative to the other items for bulk water sales and customer disconnect revenue, an average basis calculation will not reflect the lack of stability in those items.  Those items are not under the direct control of the Company.”  (Tr. at 133-134)  Mr. Shambaugh testified that those revenues should be booked to the depreciation reserve for the respective plant items under the Uniform System of Accounts.  (CWC Statement No. 2R at 17:13-17; GDS Rebuttal Exhibit No. 2)  I&amp;E witness Wilson agreed. </w:t>
      </w:r>
      <w:r w:rsidR="009E1ADB">
        <w:rPr>
          <w:rFonts w:ascii="Times New Roman" w:hAnsi="Times New Roman" w:cs="Times New Roman"/>
        </w:rPr>
        <w:t xml:space="preserve"> </w:t>
      </w:r>
      <w:r w:rsidRPr="00EA224A">
        <w:rPr>
          <w:rFonts w:ascii="Times New Roman" w:hAnsi="Times New Roman" w:cs="Times New Roman"/>
        </w:rPr>
        <w:t xml:space="preserve">(I&amp;E Statement No. 2-SR at 3:4-19)  Mr. Shambaugh also concluded that “funds received from the sale of meters (salvage) and the damage of a fence and air compressor (insurance) must be recorded to the accumulated depreciation reserve and not recognized as revenue for book and ratemaking purposes.” </w:t>
      </w:r>
      <w:r w:rsidR="00EC3B4F">
        <w:rPr>
          <w:rFonts w:ascii="Times New Roman" w:hAnsi="Times New Roman" w:cs="Times New Roman"/>
        </w:rPr>
        <w:t xml:space="preserve"> </w:t>
      </w:r>
      <w:r w:rsidRPr="00EA224A">
        <w:rPr>
          <w:rFonts w:ascii="Times New Roman" w:hAnsi="Times New Roman" w:cs="Times New Roman"/>
        </w:rPr>
        <w:t>(CWC Statement No. 2R at 18:8-11)  Furthermore, he stated that “proper utility accounting dictates that a utility should not recognize the gain or loss on the sale or disposal of fixed capital plant assets.  Therefore, any adjustments necessary for the disposal of utility plant should be booked to the respe</w:t>
      </w:r>
      <w:r w:rsidR="00AD1680">
        <w:rPr>
          <w:rFonts w:ascii="Times New Roman" w:hAnsi="Times New Roman" w:cs="Times New Roman"/>
        </w:rPr>
        <w:t xml:space="preserve">ctive depreciation reserves.”  </w:t>
      </w:r>
      <w:r w:rsidRPr="00EA224A">
        <w:rPr>
          <w:rFonts w:ascii="Times New Roman" w:hAnsi="Times New Roman" w:cs="Times New Roman"/>
        </w:rPr>
        <w:t>(CWC Statement No. 2R at 18:12-16)  Columbia RB at 27-28.</w:t>
      </w:r>
    </w:p>
    <w:p w:rsidR="009D3F59" w:rsidRPr="00EA224A" w:rsidRDefault="009D3F59" w:rsidP="00047866">
      <w:pPr>
        <w:spacing w:line="360" w:lineRule="auto"/>
        <w:contextualSpacing/>
        <w:jc w:val="both"/>
        <w:rPr>
          <w:rFonts w:ascii="Times New Roman" w:hAnsi="Times New Roman" w:cs="Times New Roman"/>
          <w:color w:val="000000" w:themeColor="text1"/>
        </w:rPr>
      </w:pPr>
    </w:p>
    <w:p w:rsidR="009D3F59" w:rsidRPr="00EA224A" w:rsidRDefault="009D3F59" w:rsidP="00047866">
      <w:pPr>
        <w:spacing w:line="360" w:lineRule="auto"/>
        <w:contextualSpacing/>
        <w:rPr>
          <w:rFonts w:ascii="Times New Roman" w:hAnsi="Times New Roman" w:cs="Times New Roman"/>
          <w:color w:val="000000" w:themeColor="text1"/>
        </w:rPr>
      </w:pPr>
      <w:r w:rsidRPr="00EA224A">
        <w:rPr>
          <w:rFonts w:ascii="Times New Roman" w:hAnsi="Times New Roman" w:cs="Times New Roman"/>
          <w:color w:val="000000" w:themeColor="text1"/>
        </w:rPr>
        <w:tab/>
      </w:r>
      <w:r w:rsidRPr="00EA224A">
        <w:rPr>
          <w:rFonts w:ascii="Times New Roman" w:hAnsi="Times New Roman" w:cs="Times New Roman"/>
          <w:color w:val="000000" w:themeColor="text1"/>
        </w:rPr>
        <w:tab/>
        <w:t>Columbia is correct.  The requested $5,83</w:t>
      </w:r>
      <w:r w:rsidR="002C0B54">
        <w:rPr>
          <w:rFonts w:ascii="Times New Roman" w:hAnsi="Times New Roman" w:cs="Times New Roman"/>
          <w:color w:val="000000" w:themeColor="text1"/>
        </w:rPr>
        <w:t>0</w:t>
      </w:r>
      <w:r w:rsidRPr="00EA224A">
        <w:rPr>
          <w:rFonts w:ascii="Times New Roman" w:hAnsi="Times New Roman" w:cs="Times New Roman"/>
          <w:color w:val="000000" w:themeColor="text1"/>
        </w:rPr>
        <w:t xml:space="preserve"> addition to revenue for the sale of bulk water, meters and damage insurance is rejected</w:t>
      </w:r>
      <w:r w:rsidR="002C0B54">
        <w:rPr>
          <w:rFonts w:ascii="Times New Roman" w:hAnsi="Times New Roman" w:cs="Times New Roman"/>
          <w:color w:val="000000" w:themeColor="text1"/>
        </w:rPr>
        <w:t>.</w:t>
      </w:r>
    </w:p>
    <w:p w:rsidR="009D3F59" w:rsidRPr="00EA224A" w:rsidRDefault="009D3F59" w:rsidP="00047866">
      <w:pPr>
        <w:spacing w:line="360" w:lineRule="auto"/>
        <w:contextualSpacing/>
        <w:jc w:val="both"/>
        <w:rPr>
          <w:rFonts w:ascii="Times New Roman" w:hAnsi="Times New Roman" w:cs="Times New Roman"/>
          <w:color w:val="000000" w:themeColor="text1"/>
        </w:rPr>
      </w:pPr>
    </w:p>
    <w:p w:rsidR="00CA6A9D" w:rsidRPr="00EA224A" w:rsidRDefault="009D3F59" w:rsidP="000E74AA">
      <w:pPr>
        <w:keepNext/>
        <w:autoSpaceDE/>
        <w:autoSpaceDN/>
        <w:spacing w:line="360" w:lineRule="auto"/>
        <w:ind w:left="1440" w:hanging="720"/>
        <w:contextualSpacing/>
        <w:outlineLvl w:val="1"/>
        <w:rPr>
          <w:rFonts w:ascii="Times New Roman" w:hAnsi="Times New Roman" w:cs="Times New Roman"/>
          <w:bCs/>
          <w:iCs/>
        </w:rPr>
      </w:pPr>
      <w:bookmarkStart w:id="15" w:name="_Toc367958619"/>
      <w:r w:rsidRPr="00EA224A">
        <w:rPr>
          <w:rFonts w:ascii="Times New Roman" w:hAnsi="Times New Roman" w:cs="Times New Roman"/>
          <w:bCs/>
          <w:iCs/>
        </w:rPr>
        <w:t>4</w:t>
      </w:r>
      <w:r w:rsidR="00CA6A9D" w:rsidRPr="00EA224A">
        <w:rPr>
          <w:rFonts w:ascii="Times New Roman" w:hAnsi="Times New Roman" w:cs="Times New Roman"/>
          <w:bCs/>
          <w:iCs/>
        </w:rPr>
        <w:t>.</w:t>
      </w:r>
      <w:r w:rsidR="00CA6A9D" w:rsidRPr="00EA224A">
        <w:rPr>
          <w:rFonts w:ascii="Times New Roman" w:hAnsi="Times New Roman" w:cs="Times New Roman"/>
          <w:bCs/>
          <w:iCs/>
        </w:rPr>
        <w:tab/>
        <w:t>Acquisition Adjustment</w:t>
      </w:r>
      <w:bookmarkEnd w:id="15"/>
      <w:r w:rsidR="000E74AA">
        <w:rPr>
          <w:rFonts w:ascii="Times New Roman" w:hAnsi="Times New Roman" w:cs="Times New Roman"/>
          <w:bCs/>
          <w:iCs/>
        </w:rPr>
        <w:fldChar w:fldCharType="begin"/>
      </w:r>
      <w:r w:rsidR="000E74AA">
        <w:instrText xml:space="preserve"> TC "</w:instrText>
      </w:r>
      <w:bookmarkStart w:id="16" w:name="_Toc372704689"/>
      <w:r w:rsidR="000E74AA" w:rsidRPr="00831096">
        <w:rPr>
          <w:rFonts w:ascii="Times New Roman" w:hAnsi="Times New Roman" w:cs="Times New Roman"/>
          <w:bCs/>
          <w:iCs/>
        </w:rPr>
        <w:instrText>4.</w:instrText>
      </w:r>
      <w:r w:rsidR="000E74AA" w:rsidRPr="00831096">
        <w:rPr>
          <w:rFonts w:ascii="Times New Roman" w:hAnsi="Times New Roman" w:cs="Times New Roman"/>
          <w:bCs/>
          <w:iCs/>
        </w:rPr>
        <w:tab/>
        <w:instrText>Acquisition Adjustment</w:instrText>
      </w:r>
      <w:bookmarkEnd w:id="16"/>
      <w:r w:rsidR="000E74AA">
        <w:instrText xml:space="preserve">" \f C \l "3" </w:instrText>
      </w:r>
      <w:r w:rsidR="000E74AA">
        <w:rPr>
          <w:rFonts w:ascii="Times New Roman" w:hAnsi="Times New Roman" w:cs="Times New Roman"/>
          <w:bCs/>
          <w:iCs/>
        </w:rPr>
        <w:fldChar w:fldCharType="end"/>
      </w:r>
    </w:p>
    <w:p w:rsidR="009D3F59" w:rsidRPr="00EA224A" w:rsidRDefault="009D3F59" w:rsidP="00047866">
      <w:pPr>
        <w:keepNext/>
        <w:autoSpaceDE/>
        <w:autoSpaceDN/>
        <w:spacing w:line="360" w:lineRule="auto"/>
        <w:contextualSpacing/>
        <w:jc w:val="both"/>
        <w:outlineLvl w:val="1"/>
        <w:rPr>
          <w:rFonts w:ascii="Times New Roman" w:hAnsi="Times New Roman" w:cs="Times New Roman"/>
          <w:bCs/>
          <w:iCs/>
        </w:rPr>
      </w:pPr>
    </w:p>
    <w:p w:rsidR="00CA6A9D" w:rsidRPr="00EA224A" w:rsidRDefault="00CA6A9D" w:rsidP="00047866">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1055F6" w:rsidRPr="00EA224A">
        <w:rPr>
          <w:rFonts w:ascii="Times New Roman" w:eastAsia="Calibri" w:hAnsi="Times New Roman" w:cs="Times New Roman"/>
        </w:rPr>
        <w:tab/>
      </w:r>
      <w:r w:rsidRPr="00EA224A">
        <w:rPr>
          <w:rFonts w:ascii="Times New Roman" w:eastAsia="Calibri" w:hAnsi="Times New Roman" w:cs="Times New Roman"/>
        </w:rPr>
        <w:t xml:space="preserve">Columbia </w:t>
      </w:r>
      <w:r w:rsidR="001055F6" w:rsidRPr="00EA224A">
        <w:rPr>
          <w:rFonts w:ascii="Times New Roman" w:eastAsia="Calibri" w:hAnsi="Times New Roman" w:cs="Times New Roman"/>
        </w:rPr>
        <w:t xml:space="preserve">has </w:t>
      </w:r>
      <w:r w:rsidRPr="00EA224A">
        <w:rPr>
          <w:rFonts w:ascii="Times New Roman" w:eastAsia="Calibri" w:hAnsi="Times New Roman" w:cs="Times New Roman"/>
        </w:rPr>
        <w:t>request</w:t>
      </w:r>
      <w:r w:rsidR="001055F6" w:rsidRPr="00EA224A">
        <w:rPr>
          <w:rFonts w:ascii="Times New Roman" w:eastAsia="Calibri" w:hAnsi="Times New Roman" w:cs="Times New Roman"/>
        </w:rPr>
        <w:t>ed</w:t>
      </w:r>
      <w:r w:rsidRPr="00EA224A">
        <w:rPr>
          <w:rFonts w:ascii="Times New Roman" w:eastAsia="Calibri" w:hAnsi="Times New Roman" w:cs="Times New Roman"/>
        </w:rPr>
        <w:t xml:space="preserve"> that an acquisition adjustment of $225,581 (the amount of the purchase price less the net original cost) be reflected in expenses in this case by amortizing it over 15 years, for an annual amount of $15,039.  OCA St. 1 at 10.  The amortization is related to the acquisition of Marietta Gravity Water Company (MGWC).  The </w:t>
      </w:r>
      <w:r w:rsidR="005660BA" w:rsidRPr="00EA224A">
        <w:rPr>
          <w:rFonts w:ascii="Times New Roman" w:eastAsia="Calibri" w:hAnsi="Times New Roman" w:cs="Times New Roman"/>
        </w:rPr>
        <w:t xml:space="preserve">OCA maintains that the </w:t>
      </w:r>
      <w:r w:rsidRPr="00EA224A">
        <w:rPr>
          <w:rFonts w:ascii="Times New Roman" w:eastAsia="Calibri" w:hAnsi="Times New Roman" w:cs="Times New Roman"/>
        </w:rPr>
        <w:t xml:space="preserve">Company’s claimed expense related to the acquisition of MGWC should be rejected because the Company is not eligible for an acquisition adjustment under Section 1327.  OCA St. 1 at 10-17; OCA St. 1S at 3-6.  </w:t>
      </w:r>
      <w:r w:rsidR="001055F6" w:rsidRPr="00EA224A">
        <w:rPr>
          <w:rFonts w:ascii="Times New Roman" w:eastAsia="Calibri" w:hAnsi="Times New Roman" w:cs="Times New Roman"/>
        </w:rPr>
        <w:t xml:space="preserve">Columbia </w:t>
      </w:r>
      <w:r w:rsidRPr="00EA224A">
        <w:rPr>
          <w:rFonts w:ascii="Times New Roman" w:eastAsia="Calibri" w:hAnsi="Times New Roman" w:cs="Times New Roman"/>
        </w:rPr>
        <w:t xml:space="preserve">has not included the cost of MGWC assets in rate base, but has claimed an expense of $15,039, which represents a fifteen year amortization of $225,581, the amount of expense incurred in the process of acquiring the MGWC assets.  </w:t>
      </w:r>
      <w:r w:rsidR="001055F6" w:rsidRPr="00EA224A">
        <w:rPr>
          <w:rFonts w:ascii="Times New Roman" w:eastAsia="Calibri" w:hAnsi="Times New Roman" w:cs="Times New Roman"/>
        </w:rPr>
        <w:t xml:space="preserve">OCA contends that </w:t>
      </w:r>
      <w:r w:rsidRPr="00EA224A">
        <w:rPr>
          <w:rFonts w:ascii="Times New Roman" w:eastAsia="Calibri" w:hAnsi="Times New Roman" w:cs="Times New Roman"/>
        </w:rPr>
        <w:t xml:space="preserve">Section 1327(a) establishes nine criteria that must be met before a utility can claim an acquisition adjustment in rate base and an amortization of the acquisition adjustment in </w:t>
      </w:r>
      <w:r w:rsidR="008C0DAA">
        <w:rPr>
          <w:rFonts w:ascii="Times New Roman" w:eastAsia="Calibri" w:hAnsi="Times New Roman" w:cs="Times New Roman"/>
        </w:rPr>
        <w:t>expenses.  66 Pa.</w:t>
      </w:r>
      <w:r w:rsidRPr="00EA224A">
        <w:rPr>
          <w:rFonts w:ascii="Times New Roman" w:eastAsia="Calibri" w:hAnsi="Times New Roman" w:cs="Times New Roman"/>
        </w:rPr>
        <w:t>C.S. § 1327</w:t>
      </w:r>
      <w:r w:rsidRPr="00EA224A">
        <w:rPr>
          <w:rFonts w:ascii="Times New Roman" w:eastAsia="Calibri" w:hAnsi="Times New Roman" w:cs="Times New Roman"/>
        </w:rPr>
        <w:fldChar w:fldCharType="begin"/>
      </w:r>
      <w:r w:rsidR="00586D0C">
        <w:rPr>
          <w:rFonts w:ascii="Times New Roman" w:eastAsia="Calibri" w:hAnsi="Times New Roman" w:cs="Times New Roman"/>
        </w:rPr>
        <w:instrText xml:space="preserve"> TA \l "66 Pa.C.S. § 1327" \s "66 Pa.</w:instrText>
      </w:r>
      <w:r w:rsidRPr="00EA224A">
        <w:rPr>
          <w:rFonts w:ascii="Times New Roman" w:eastAsia="Calibri" w:hAnsi="Times New Roman" w:cs="Times New Roman"/>
        </w:rPr>
        <w:instrText xml:space="preserve">C.S. § 1327"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Relevant to the instant proceeding, </w:t>
      </w:r>
      <w:r w:rsidR="001055F6" w:rsidRPr="00EA224A">
        <w:rPr>
          <w:rFonts w:ascii="Times New Roman" w:eastAsia="Calibri" w:hAnsi="Times New Roman" w:cs="Times New Roman"/>
        </w:rPr>
        <w:t>OCA states that Columbia</w:t>
      </w:r>
      <w:r w:rsidRPr="00EA224A">
        <w:rPr>
          <w:rFonts w:ascii="Times New Roman" w:eastAsia="Calibri" w:hAnsi="Times New Roman" w:cs="Times New Roman"/>
        </w:rPr>
        <w:t xml:space="preserve"> fails to satisfy subsections (a)(3)</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"(a)(3)" \s "(a)(3)"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(a)(7)</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"(a)(7)" \s "(a)(7)"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and (a)(9)</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"(a)(9)" \s "(a)(9)"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Section 1327(a)(3)</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"Section 1327(a)(3)" \s "Section 1327(a)(3)"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requires that the acquired utility “was not, at the time of acquisition, furnishing and maintaining adequate, efficient, safe and reasonable service </w:t>
      </w:r>
      <w:r w:rsidR="00586D0C">
        <w:rPr>
          <w:rFonts w:ascii="Times New Roman" w:eastAsia="Calibri" w:hAnsi="Times New Roman" w:cs="Times New Roman"/>
        </w:rPr>
        <w:t>and facilities . . . .”  66 Pa.</w:t>
      </w:r>
      <w:r w:rsidRPr="00EA224A">
        <w:rPr>
          <w:rFonts w:ascii="Times New Roman" w:eastAsia="Calibri" w:hAnsi="Times New Roman" w:cs="Times New Roman"/>
        </w:rPr>
        <w:t>C.S. 1327(a)(3</w:t>
      </w:r>
      <w:r w:rsidRPr="00EA224A">
        <w:rPr>
          <w:rFonts w:ascii="Times New Roman" w:eastAsia="Calibri" w:hAnsi="Times New Roman" w:cs="Times New Roman"/>
        </w:rPr>
        <w:fldChar w:fldCharType="begin"/>
      </w:r>
      <w:r w:rsidR="00586D0C">
        <w:rPr>
          <w:rFonts w:ascii="Times New Roman" w:eastAsia="Calibri" w:hAnsi="Times New Roman" w:cs="Times New Roman"/>
        </w:rPr>
        <w:instrText xml:space="preserve"> TA \l "66 Pa.</w:instrText>
      </w:r>
      <w:r w:rsidRPr="00EA224A">
        <w:rPr>
          <w:rFonts w:ascii="Times New Roman" w:eastAsia="Calibri" w:hAnsi="Times New Roman" w:cs="Times New Roman"/>
        </w:rPr>
        <w:instrText xml:space="preserve">C.S. 1327(a)(3" \s "66 Pa. C.S. 1327(a)(3"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w:t>
      </w:r>
      <w:r w:rsidR="001055F6" w:rsidRPr="00EA224A">
        <w:rPr>
          <w:rFonts w:ascii="Times New Roman" w:eastAsia="Calibri" w:hAnsi="Times New Roman" w:cs="Times New Roman"/>
        </w:rPr>
        <w:t xml:space="preserve"> OCA witness Terry L</w:t>
      </w:r>
      <w:r w:rsidR="002C0B54">
        <w:rPr>
          <w:rFonts w:ascii="Times New Roman" w:eastAsia="Calibri" w:hAnsi="Times New Roman" w:cs="Times New Roman"/>
        </w:rPr>
        <w:t>.</w:t>
      </w:r>
      <w:r w:rsidR="001055F6" w:rsidRPr="00EA224A">
        <w:rPr>
          <w:rFonts w:ascii="Times New Roman" w:eastAsia="Calibri" w:hAnsi="Times New Roman" w:cs="Times New Roman"/>
        </w:rPr>
        <w:t xml:space="preserve"> Fought </w:t>
      </w:r>
      <w:r w:rsidRPr="00EA224A">
        <w:rPr>
          <w:rFonts w:ascii="Times New Roman" w:eastAsia="Calibri" w:hAnsi="Times New Roman" w:cs="Times New Roman"/>
        </w:rPr>
        <w:t xml:space="preserve">testified that MGWC was a viable water system at the time it was acquired by Columbia.  OCA St. 3 at 6.  OCA </w:t>
      </w:r>
      <w:r w:rsidR="00241EDA">
        <w:rPr>
          <w:rFonts w:ascii="Times New Roman" w:eastAsia="Calibri" w:hAnsi="Times New Roman" w:cs="Times New Roman"/>
        </w:rPr>
        <w:t>w</w:t>
      </w:r>
      <w:r w:rsidRPr="00EA224A">
        <w:rPr>
          <w:rFonts w:ascii="Times New Roman" w:eastAsia="Calibri" w:hAnsi="Times New Roman" w:cs="Times New Roman"/>
        </w:rPr>
        <w:t xml:space="preserve">itness Everette testified that MGWC had adequate supply because of an existing interconnection between CWC and MGWC, which provided “spare capacity to respond to future growth in its service territory without significant capital additions for storage and sources of supply.”  OCA St. 1 at 14 (citing </w:t>
      </w:r>
      <w:r w:rsidRPr="00EA224A">
        <w:rPr>
          <w:rFonts w:ascii="Times New Roman" w:eastAsia="Calibri" w:hAnsi="Times New Roman" w:cs="Times New Roman"/>
          <w:u w:val="single"/>
        </w:rPr>
        <w:t>2008 Order</w:t>
      </w:r>
      <w:r w:rsidRPr="00EA224A">
        <w:rPr>
          <w:rFonts w:ascii="Times New Roman" w:eastAsia="Calibri" w:hAnsi="Times New Roman" w:cs="Times New Roman"/>
          <w:u w:val="single"/>
        </w:rPr>
        <w:fldChar w:fldCharType="begin"/>
      </w:r>
      <w:r w:rsidR="00586D0C">
        <w:rPr>
          <w:rFonts w:ascii="Times New Roman" w:eastAsia="Calibri" w:hAnsi="Times New Roman" w:cs="Times New Roman"/>
        </w:rPr>
        <w:instrText xml:space="preserve"> TA \s "Pa. PUC</w:instrText>
      </w:r>
      <w:r w:rsidRPr="00EA224A">
        <w:rPr>
          <w:rFonts w:ascii="Times New Roman" w:eastAsia="Calibri" w:hAnsi="Times New Roman" w:cs="Times New Roman"/>
        </w:rPr>
        <w:instrText xml:space="preserve"> v. Columbia Water Co., 2009 Pa. PUC LEXIS 1423 (May 28, 2009)" </w:instrText>
      </w:r>
      <w:r w:rsidRPr="00EA224A">
        <w:rPr>
          <w:rFonts w:ascii="Times New Roman" w:eastAsia="Calibri" w:hAnsi="Times New Roman" w:cs="Times New Roman"/>
          <w:u w:val="single"/>
        </w:rPr>
        <w:fldChar w:fldCharType="end"/>
      </w:r>
      <w:r w:rsidRPr="00EA224A">
        <w:rPr>
          <w:rFonts w:ascii="Times New Roman" w:eastAsia="Calibri" w:hAnsi="Times New Roman" w:cs="Times New Roman"/>
        </w:rPr>
        <w:t xml:space="preserve"> at *127).  With respect to MGWC’s financial fitness, OCA </w:t>
      </w:r>
      <w:r w:rsidR="00241EDA">
        <w:rPr>
          <w:rFonts w:ascii="Times New Roman" w:eastAsia="Calibri" w:hAnsi="Times New Roman" w:cs="Times New Roman"/>
        </w:rPr>
        <w:t>w</w:t>
      </w:r>
      <w:r w:rsidRPr="00EA224A">
        <w:rPr>
          <w:rFonts w:ascii="Times New Roman" w:eastAsia="Calibri" w:hAnsi="Times New Roman" w:cs="Times New Roman"/>
        </w:rPr>
        <w:t>itness Everette testified as follows:</w:t>
      </w:r>
    </w:p>
    <w:p w:rsidR="006B215C" w:rsidRPr="00EA224A" w:rsidRDefault="006B215C" w:rsidP="00047866">
      <w:pPr>
        <w:autoSpaceDE/>
        <w:autoSpaceDN/>
        <w:spacing w:line="360" w:lineRule="auto"/>
        <w:contextualSpacing/>
        <w:jc w:val="both"/>
        <w:rPr>
          <w:rFonts w:ascii="Times New Roman" w:eastAsia="Calibri" w:hAnsi="Times New Roman" w:cs="Times New Roman"/>
        </w:rPr>
      </w:pPr>
    </w:p>
    <w:p w:rsidR="00CA6A9D" w:rsidRDefault="00CA6A9D" w:rsidP="00047866">
      <w:pPr>
        <w:tabs>
          <w:tab w:val="left" w:pos="-1440"/>
          <w:tab w:val="left" w:pos="7920"/>
        </w:tabs>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[T]he Commission has made no findings of financial, managerial or technical inabilities on the part of MGWC. In fact, with regard to MGWC’s financial standing, the Annual Reports to the Commission filed by MGWC show net income of $206,454, $197,977, $160,768, $354,287 an</w:t>
      </w:r>
      <w:r w:rsidR="00586D0C">
        <w:rPr>
          <w:rFonts w:ascii="Times New Roman" w:eastAsia="Calibri" w:hAnsi="Times New Roman" w:cs="Times New Roman"/>
        </w:rPr>
        <w:t>d $117,579, for the years 2008, </w:t>
      </w:r>
      <w:r w:rsidRPr="00EA224A">
        <w:rPr>
          <w:rFonts w:ascii="Times New Roman" w:eastAsia="Calibri" w:hAnsi="Times New Roman" w:cs="Times New Roman"/>
        </w:rPr>
        <w:t xml:space="preserve">2009, 2010, 2011 and 2012 through October 4 (the time of acquisition), respectively. </w:t>
      </w:r>
      <w:r w:rsidR="00FC21B5">
        <w:rPr>
          <w:rFonts w:ascii="Times New Roman" w:eastAsia="Calibri" w:hAnsi="Times New Roman" w:cs="Times New Roman"/>
        </w:rPr>
        <w:t xml:space="preserve"> </w:t>
      </w:r>
      <w:r w:rsidRPr="00EA224A">
        <w:rPr>
          <w:rFonts w:ascii="Times New Roman" w:eastAsia="Calibri" w:hAnsi="Times New Roman" w:cs="Times New Roman"/>
        </w:rPr>
        <w:t xml:space="preserve">These amounts range from 18% to 44% of total operating revenue for these years. </w:t>
      </w:r>
      <w:r w:rsidR="00F27D88">
        <w:rPr>
          <w:rFonts w:ascii="Times New Roman" w:eastAsia="Calibri" w:hAnsi="Times New Roman" w:cs="Times New Roman"/>
        </w:rPr>
        <w:t xml:space="preserve"> </w:t>
      </w:r>
      <w:r w:rsidRPr="00EA224A">
        <w:rPr>
          <w:rFonts w:ascii="Times New Roman" w:eastAsia="Calibri" w:hAnsi="Times New Roman" w:cs="Times New Roman"/>
        </w:rPr>
        <w:t xml:space="preserve">With regard to MGWC’s managerial fitness, David Lewis, the Vice President and General Manager of CWC, was also employed by MGWC as Superintendent for several years prior to the acquisition. </w:t>
      </w:r>
      <w:r w:rsidR="00EC7998">
        <w:rPr>
          <w:rFonts w:ascii="Times New Roman" w:eastAsia="Calibri" w:hAnsi="Times New Roman" w:cs="Times New Roman"/>
        </w:rPr>
        <w:t xml:space="preserve"> </w:t>
      </w:r>
      <w:r w:rsidRPr="00EA224A">
        <w:rPr>
          <w:rFonts w:ascii="Times New Roman" w:eastAsia="Calibri" w:hAnsi="Times New Roman" w:cs="Times New Roman"/>
        </w:rPr>
        <w:t xml:space="preserve">With regard to MGWC’s technical abilities, as mentioned, David Lewis was MGWC’s Superintendent prior to the acquisition. </w:t>
      </w:r>
      <w:r w:rsidR="00855A9A">
        <w:rPr>
          <w:rFonts w:ascii="Times New Roman" w:eastAsia="Calibri" w:hAnsi="Times New Roman" w:cs="Times New Roman"/>
        </w:rPr>
        <w:t xml:space="preserve"> </w:t>
      </w:r>
      <w:r w:rsidRPr="00EA224A">
        <w:rPr>
          <w:rFonts w:ascii="Times New Roman" w:eastAsia="Calibri" w:hAnsi="Times New Roman" w:cs="Times New Roman"/>
        </w:rPr>
        <w:t>Mr. Lewis’ technical capabilities as a Professional Engineer were as much available to MGWC as to CWC prior to the acquisition.  [Further], MGWC has sought and received base rate increases when necessary (i.e., R-00050814, R-00005305, R-0</w:t>
      </w:r>
      <w:r w:rsidR="00566074">
        <w:rPr>
          <w:rFonts w:ascii="Times New Roman" w:eastAsia="Calibri" w:hAnsi="Times New Roman" w:cs="Times New Roman"/>
        </w:rPr>
        <w:t>0963828).</w:t>
      </w:r>
    </w:p>
    <w:p w:rsidR="00424779" w:rsidRPr="00EA224A" w:rsidRDefault="00424779" w:rsidP="00047866">
      <w:pPr>
        <w:tabs>
          <w:tab w:val="left" w:pos="-1440"/>
          <w:tab w:val="left" w:pos="7920"/>
        </w:tabs>
        <w:autoSpaceDE/>
        <w:autoSpaceDN/>
        <w:ind w:left="1440" w:right="1440"/>
        <w:contextualSpacing/>
        <w:rPr>
          <w:rFonts w:ascii="Times New Roman" w:eastAsia="Calibri" w:hAnsi="Times New Roman" w:cs="Times New Roman"/>
        </w:rPr>
      </w:pPr>
    </w:p>
    <w:p w:rsidR="001055F6" w:rsidRDefault="00CA6A9D" w:rsidP="00047866">
      <w:pPr>
        <w:tabs>
          <w:tab w:val="left" w:pos="-1440"/>
        </w:tabs>
        <w:autoSpaceDE/>
        <w:autoSpaceDN/>
        <w:spacing w:line="480" w:lineRule="auto"/>
        <w:contextualSpacing/>
        <w:jc w:val="both"/>
        <w:rPr>
          <w:rFonts w:ascii="Times New Roman" w:eastAsia="Calibri" w:hAnsi="Times New Roman" w:cs="Times New Roman"/>
        </w:rPr>
      </w:pPr>
      <w:r w:rsidRPr="00EA224A">
        <w:rPr>
          <w:rFonts w:ascii="Times New Roman" w:eastAsia="Calibri" w:hAnsi="Times New Roman" w:cs="Times New Roman"/>
        </w:rPr>
        <w:t>OCA St. 1 at 13-14.</w:t>
      </w:r>
    </w:p>
    <w:p w:rsidR="00FF102A" w:rsidRPr="00EA224A" w:rsidRDefault="00FF102A" w:rsidP="00047866">
      <w:pPr>
        <w:tabs>
          <w:tab w:val="left" w:pos="-1440"/>
        </w:tabs>
        <w:autoSpaceDE/>
        <w:autoSpaceDN/>
        <w:spacing w:line="360" w:lineRule="auto"/>
        <w:contextualSpacing/>
        <w:jc w:val="both"/>
        <w:rPr>
          <w:rFonts w:ascii="Times New Roman" w:eastAsia="Calibri" w:hAnsi="Times New Roman" w:cs="Times New Roman"/>
        </w:rPr>
      </w:pPr>
    </w:p>
    <w:p w:rsidR="001055F6" w:rsidRPr="00EA224A" w:rsidRDefault="001055F6" w:rsidP="00047866">
      <w:pPr>
        <w:tabs>
          <w:tab w:val="left" w:pos="-1440"/>
        </w:tabs>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t xml:space="preserve">The OCA concludes that Columbia </w:t>
      </w:r>
      <w:r w:rsidR="00CA6A9D" w:rsidRPr="00EA224A">
        <w:rPr>
          <w:rFonts w:ascii="Times New Roman" w:eastAsia="Calibri" w:hAnsi="Times New Roman" w:cs="Times New Roman"/>
        </w:rPr>
        <w:t>has not established that MGWC was not furnishing and maintaining adequate, efficient, safe and reasonable service and facilities as required by Section 1327(a)(3)</w:t>
      </w:r>
      <w:r w:rsidR="00CA6A9D" w:rsidRPr="00EA224A">
        <w:rPr>
          <w:rFonts w:ascii="Times New Roman" w:eastAsia="Calibri" w:hAnsi="Times New Roman" w:cs="Times New Roman"/>
        </w:rPr>
        <w:fldChar w:fldCharType="begin"/>
      </w:r>
      <w:r w:rsidR="00CA6A9D" w:rsidRPr="00EA224A">
        <w:rPr>
          <w:rFonts w:ascii="Times New Roman" w:eastAsia="Calibri" w:hAnsi="Times New Roman" w:cs="Times New Roman"/>
        </w:rPr>
        <w:instrText xml:space="preserve"> TA \l "1327(a)(3)" \s "1327(a)(3)" \c 2 </w:instrText>
      </w:r>
      <w:r w:rsidR="00CA6A9D" w:rsidRPr="00EA224A">
        <w:rPr>
          <w:rFonts w:ascii="Times New Roman" w:eastAsia="Calibri" w:hAnsi="Times New Roman" w:cs="Times New Roman"/>
        </w:rPr>
        <w:fldChar w:fldCharType="end"/>
      </w:r>
      <w:r w:rsidR="00CA6A9D" w:rsidRPr="00EA224A">
        <w:rPr>
          <w:rFonts w:ascii="Times New Roman" w:eastAsia="Calibri" w:hAnsi="Times New Roman" w:cs="Times New Roman"/>
        </w:rPr>
        <w:t>.</w:t>
      </w:r>
    </w:p>
    <w:p w:rsidR="00CA6A9D" w:rsidRPr="00EA224A" w:rsidRDefault="00CA6A9D" w:rsidP="00047866">
      <w:pPr>
        <w:tabs>
          <w:tab w:val="left" w:pos="-1440"/>
        </w:tabs>
        <w:autoSpaceDE/>
        <w:autoSpaceDN/>
        <w:spacing w:line="360" w:lineRule="auto"/>
        <w:contextualSpacing/>
        <w:jc w:val="both"/>
        <w:rPr>
          <w:rFonts w:ascii="Times New Roman" w:eastAsia="Calibri" w:hAnsi="Times New Roman" w:cs="Times New Roman"/>
        </w:rPr>
      </w:pPr>
    </w:p>
    <w:p w:rsidR="00CA6A9D" w:rsidRPr="00EA224A" w:rsidRDefault="00CA6A9D" w:rsidP="00047866">
      <w:pPr>
        <w:tabs>
          <w:tab w:val="left" w:pos="-1440"/>
        </w:tabs>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1055F6" w:rsidRPr="00EA224A">
        <w:rPr>
          <w:rFonts w:ascii="Times New Roman" w:eastAsia="Calibri" w:hAnsi="Times New Roman" w:cs="Times New Roman"/>
        </w:rPr>
        <w:tab/>
        <w:t>The OCA further contends that Columbia</w:t>
      </w:r>
      <w:r w:rsidRPr="00EA224A">
        <w:rPr>
          <w:rFonts w:ascii="Times New Roman" w:eastAsia="Calibri" w:hAnsi="Times New Roman" w:cs="Times New Roman"/>
        </w:rPr>
        <w:t xml:space="preserve"> fail</w:t>
      </w:r>
      <w:r w:rsidR="001055F6" w:rsidRPr="00EA224A">
        <w:rPr>
          <w:rFonts w:ascii="Times New Roman" w:eastAsia="Calibri" w:hAnsi="Times New Roman" w:cs="Times New Roman"/>
        </w:rPr>
        <w:t>ed</w:t>
      </w:r>
      <w:r w:rsidRPr="00EA224A">
        <w:rPr>
          <w:rFonts w:ascii="Times New Roman" w:eastAsia="Calibri" w:hAnsi="Times New Roman" w:cs="Times New Roman"/>
        </w:rPr>
        <w:t xml:space="preserve"> to satisfy Section 1327(a)(7)</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\s "(a)(7)"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and Section 1327(a)(9)</w:t>
      </w:r>
      <w:r w:rsidR="001055F6" w:rsidRPr="00EA224A">
        <w:rPr>
          <w:rFonts w:ascii="Times New Roman" w:eastAsia="Calibri" w:hAnsi="Times New Roman" w:cs="Times New Roman"/>
        </w:rPr>
        <w:t xml:space="preserve"> of the Code</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\s "(a)(9)" </w:instrText>
      </w:r>
      <w:r w:rsidRPr="00EA224A">
        <w:rPr>
          <w:rFonts w:ascii="Times New Roman" w:eastAsia="Calibri" w:hAnsi="Times New Roman" w:cs="Times New Roman"/>
        </w:rPr>
        <w:fldChar w:fldCharType="end"/>
      </w:r>
      <w:r w:rsidR="0041770D">
        <w:rPr>
          <w:rFonts w:ascii="Times New Roman" w:eastAsia="Calibri" w:hAnsi="Times New Roman" w:cs="Times New Roman"/>
        </w:rPr>
        <w:t xml:space="preserve">.  </w:t>
      </w:r>
      <w:r w:rsidRPr="00EA224A">
        <w:rPr>
          <w:rFonts w:ascii="Times New Roman" w:eastAsia="Calibri" w:hAnsi="Times New Roman" w:cs="Times New Roman"/>
        </w:rPr>
        <w:t>Section 1327(a)(7)</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\s "(a)(7)"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requires that “neither the acquiring nor the selling public utility, municipal corporation or person is an affiliated </w:t>
      </w:r>
      <w:r w:rsidR="0041770D">
        <w:rPr>
          <w:rFonts w:ascii="Times New Roman" w:eastAsia="Calibri" w:hAnsi="Times New Roman" w:cs="Times New Roman"/>
        </w:rPr>
        <w:t>interest of the other.”  66 Pa.</w:t>
      </w:r>
      <w:r w:rsidRPr="00EA224A">
        <w:rPr>
          <w:rFonts w:ascii="Times New Roman" w:eastAsia="Calibri" w:hAnsi="Times New Roman" w:cs="Times New Roman"/>
        </w:rPr>
        <w:t>C.S. § 1327(a)(7)</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\s "(a)(7)"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w:t>
      </w:r>
      <w:r w:rsidR="001055F6" w:rsidRPr="00EA224A">
        <w:rPr>
          <w:rFonts w:ascii="Times New Roman" w:eastAsia="Calibri" w:hAnsi="Times New Roman" w:cs="Times New Roman"/>
        </w:rPr>
        <w:t>O</w:t>
      </w:r>
      <w:r w:rsidRPr="00EA224A">
        <w:rPr>
          <w:rFonts w:ascii="Times New Roman" w:eastAsia="Calibri" w:hAnsi="Times New Roman" w:cs="Times New Roman"/>
        </w:rPr>
        <w:t xml:space="preserve">CA </w:t>
      </w:r>
      <w:r w:rsidR="00241EDA">
        <w:rPr>
          <w:rFonts w:ascii="Times New Roman" w:eastAsia="Calibri" w:hAnsi="Times New Roman" w:cs="Times New Roman"/>
        </w:rPr>
        <w:t>w</w:t>
      </w:r>
      <w:r w:rsidRPr="00EA224A">
        <w:rPr>
          <w:rFonts w:ascii="Times New Roman" w:eastAsia="Calibri" w:hAnsi="Times New Roman" w:cs="Times New Roman"/>
        </w:rPr>
        <w:t>itness Everette testified</w:t>
      </w:r>
      <w:r w:rsidR="001055F6" w:rsidRPr="00EA224A">
        <w:rPr>
          <w:rFonts w:ascii="Times New Roman" w:eastAsia="Calibri" w:hAnsi="Times New Roman" w:cs="Times New Roman"/>
        </w:rPr>
        <w:t xml:space="preserve"> that C</w:t>
      </w:r>
      <w:r w:rsidRPr="00EA224A">
        <w:rPr>
          <w:rFonts w:ascii="Times New Roman" w:eastAsia="Calibri" w:hAnsi="Times New Roman" w:cs="Times New Roman"/>
        </w:rPr>
        <w:t>olumbia and MGWC were affiliat</w:t>
      </w:r>
      <w:r w:rsidR="0041770D">
        <w:rPr>
          <w:rFonts w:ascii="Times New Roman" w:eastAsia="Calibri" w:hAnsi="Times New Roman" w:cs="Times New Roman"/>
        </w:rPr>
        <w:t>ed interests pursuant to 66 Pa.</w:t>
      </w:r>
      <w:r w:rsidRPr="00EA224A">
        <w:rPr>
          <w:rFonts w:ascii="Times New Roman" w:eastAsia="Calibri" w:hAnsi="Times New Roman" w:cs="Times New Roman"/>
        </w:rPr>
        <w:t>C.S. § 2101(a)(3)</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"66 Pa</w:instrText>
      </w:r>
      <w:r w:rsidR="0041770D">
        <w:rPr>
          <w:rFonts w:ascii="Times New Roman" w:eastAsia="Calibri" w:hAnsi="Times New Roman" w:cs="Times New Roman"/>
        </w:rPr>
        <w:instrText>. C.S. § 2101(a)(3)" \s "66 Pa.</w:instrText>
      </w:r>
      <w:r w:rsidRPr="00EA224A">
        <w:rPr>
          <w:rFonts w:ascii="Times New Roman" w:eastAsia="Calibri" w:hAnsi="Times New Roman" w:cs="Times New Roman"/>
        </w:rPr>
        <w:instrText xml:space="preserve">C.S. § 2101(a)(3)"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w:t>
      </w:r>
    </w:p>
    <w:p w:rsidR="006B215C" w:rsidRPr="00EA224A" w:rsidRDefault="006B215C" w:rsidP="00047866">
      <w:pPr>
        <w:tabs>
          <w:tab w:val="left" w:pos="-1440"/>
        </w:tabs>
        <w:autoSpaceDE/>
        <w:autoSpaceDN/>
        <w:spacing w:line="360" w:lineRule="auto"/>
        <w:contextualSpacing/>
        <w:jc w:val="both"/>
        <w:rPr>
          <w:rFonts w:ascii="Times New Roman" w:eastAsia="Calibri" w:hAnsi="Times New Roman" w:cs="Times New Roman"/>
        </w:rPr>
      </w:pPr>
    </w:p>
    <w:p w:rsidR="00CA6A9D" w:rsidRPr="00EA224A" w:rsidRDefault="00CA6A9D" w:rsidP="00047866">
      <w:pPr>
        <w:tabs>
          <w:tab w:val="left" w:pos="-1440"/>
        </w:tabs>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 xml:space="preserve">Donald Nikolaus was the President of and served on the Board of Directors of both CWC and MGWC. As shown in the Annual Reports to the Commission, at the time of acquisition, CWC and MGWC had several common shareholders who held in excess of one percent of the voting securities of each company. </w:t>
      </w:r>
      <w:r w:rsidR="001276DF">
        <w:rPr>
          <w:rFonts w:ascii="Times New Roman" w:eastAsia="Calibri" w:hAnsi="Times New Roman" w:cs="Times New Roman"/>
        </w:rPr>
        <w:t xml:space="preserve"> </w:t>
      </w:r>
      <w:r w:rsidRPr="00EA224A">
        <w:rPr>
          <w:rFonts w:ascii="Times New Roman" w:eastAsia="Calibri" w:hAnsi="Times New Roman" w:cs="Times New Roman"/>
        </w:rPr>
        <w:t>At the end of 2011, Mr. Nikolaus held 17.95% and 18.71% of CWC and MGWC, respectively.  This qualifies the two companies as affiliated int</w:t>
      </w:r>
      <w:r w:rsidR="00955902">
        <w:rPr>
          <w:rFonts w:ascii="Times New Roman" w:eastAsia="Calibri" w:hAnsi="Times New Roman" w:cs="Times New Roman"/>
        </w:rPr>
        <w:t xml:space="preserve">erests under 66 </w:t>
      </w:r>
      <w:r w:rsidRPr="00EA224A">
        <w:rPr>
          <w:rFonts w:ascii="Times New Roman" w:eastAsia="Calibri" w:hAnsi="Times New Roman" w:cs="Times New Roman"/>
        </w:rPr>
        <w:t xml:space="preserve">Pa.C.S. § 2101 (a), criteria 3. </w:t>
      </w:r>
      <w:r w:rsidR="00955902">
        <w:rPr>
          <w:rFonts w:ascii="Times New Roman" w:eastAsia="Calibri" w:hAnsi="Times New Roman" w:cs="Times New Roman"/>
        </w:rPr>
        <w:t xml:space="preserve"> </w:t>
      </w:r>
      <w:r w:rsidRPr="00EA224A">
        <w:rPr>
          <w:rFonts w:ascii="Times New Roman" w:eastAsia="Calibri" w:hAnsi="Times New Roman" w:cs="Times New Roman"/>
        </w:rPr>
        <w:t>Additionally, as noted above, David Lewis was employed as the highest level manager of both companies prior to the acquisition.</w:t>
      </w:r>
    </w:p>
    <w:p w:rsidR="00CA6A9D" w:rsidRPr="00EA224A" w:rsidRDefault="00CA6A9D" w:rsidP="00047866">
      <w:pPr>
        <w:tabs>
          <w:tab w:val="left" w:pos="-1440"/>
        </w:tabs>
        <w:autoSpaceDE/>
        <w:autoSpaceDN/>
        <w:ind w:left="720" w:right="720"/>
        <w:contextualSpacing/>
        <w:jc w:val="both"/>
        <w:rPr>
          <w:rFonts w:ascii="Times New Roman" w:eastAsia="Calibri" w:hAnsi="Times New Roman" w:cs="Times New Roman"/>
        </w:rPr>
      </w:pPr>
    </w:p>
    <w:p w:rsidR="00CA6A9D" w:rsidRDefault="00CA6A9D" w:rsidP="00047866">
      <w:pPr>
        <w:tabs>
          <w:tab w:val="left" w:pos="-1440"/>
        </w:tabs>
        <w:autoSpaceDE/>
        <w:autoSpaceDN/>
        <w:spacing w:line="480" w:lineRule="auto"/>
        <w:contextualSpacing/>
        <w:jc w:val="both"/>
        <w:rPr>
          <w:rFonts w:ascii="Times New Roman" w:eastAsia="Calibri" w:hAnsi="Times New Roman" w:cs="Times New Roman"/>
        </w:rPr>
      </w:pPr>
      <w:r w:rsidRPr="00EA224A">
        <w:rPr>
          <w:rFonts w:ascii="Times New Roman" w:eastAsia="Calibri" w:hAnsi="Times New Roman" w:cs="Times New Roman"/>
        </w:rPr>
        <w:t>OCA St. 1 at 15.</w:t>
      </w:r>
    </w:p>
    <w:p w:rsidR="00503BE6" w:rsidRPr="00EA224A" w:rsidRDefault="00503BE6" w:rsidP="00047866">
      <w:pPr>
        <w:tabs>
          <w:tab w:val="left" w:pos="-1440"/>
        </w:tabs>
        <w:autoSpaceDE/>
        <w:autoSpaceDN/>
        <w:spacing w:line="360" w:lineRule="auto"/>
        <w:contextualSpacing/>
        <w:jc w:val="both"/>
        <w:rPr>
          <w:rFonts w:ascii="Times New Roman" w:eastAsia="Calibri" w:hAnsi="Times New Roman" w:cs="Times New Roman"/>
        </w:rPr>
      </w:pPr>
    </w:p>
    <w:p w:rsidR="001055F6" w:rsidRPr="00EA224A" w:rsidRDefault="00CA6A9D" w:rsidP="00047866">
      <w:pPr>
        <w:tabs>
          <w:tab w:val="left" w:pos="-1440"/>
        </w:tabs>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1055F6" w:rsidRPr="00EA224A">
        <w:rPr>
          <w:rFonts w:ascii="Times New Roman" w:eastAsia="Calibri" w:hAnsi="Times New Roman" w:cs="Times New Roman"/>
        </w:rPr>
        <w:tab/>
      </w:r>
      <w:r w:rsidRPr="00EA224A">
        <w:rPr>
          <w:rFonts w:ascii="Times New Roman" w:eastAsia="Calibri" w:hAnsi="Times New Roman" w:cs="Times New Roman"/>
        </w:rPr>
        <w:t>Section 1327(a)(9) states that the “excess of the acquisition cost over the depreciated original cost will be added to the rate base to be amortized as an addition to expense over a reasonable period of time with corresponding reduct</w:t>
      </w:r>
      <w:r w:rsidR="00503BE6">
        <w:rPr>
          <w:rFonts w:ascii="Times New Roman" w:eastAsia="Calibri" w:hAnsi="Times New Roman" w:cs="Times New Roman"/>
        </w:rPr>
        <w:t>ions in the rate base.”  66 Pa.</w:t>
      </w:r>
      <w:r w:rsidRPr="00EA224A">
        <w:rPr>
          <w:rFonts w:ascii="Times New Roman" w:eastAsia="Calibri" w:hAnsi="Times New Roman" w:cs="Times New Roman"/>
        </w:rPr>
        <w:t>C.S. § 1327(a)(9)</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\s "(a)(9)"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w:t>
      </w:r>
      <w:r w:rsidR="001055F6" w:rsidRPr="00EA224A">
        <w:rPr>
          <w:rFonts w:ascii="Times New Roman" w:eastAsia="Calibri" w:hAnsi="Times New Roman" w:cs="Times New Roman"/>
        </w:rPr>
        <w:t>The OCA points out that a</w:t>
      </w:r>
      <w:r w:rsidRPr="00EA224A">
        <w:rPr>
          <w:rFonts w:ascii="Times New Roman" w:eastAsia="Calibri" w:hAnsi="Times New Roman" w:cs="Times New Roman"/>
        </w:rPr>
        <w:t>lthough the Company has not included any amount of the acquisition adjustment in rate base, it has included a fifteen year amortization of the adjustment i</w:t>
      </w:r>
      <w:r w:rsidR="001E02A9">
        <w:rPr>
          <w:rFonts w:ascii="Times New Roman" w:eastAsia="Calibri" w:hAnsi="Times New Roman" w:cs="Times New Roman"/>
        </w:rPr>
        <w:t xml:space="preserve">n expenses.  OCA St. 1 at 15.  </w:t>
      </w:r>
      <w:r w:rsidR="001055F6" w:rsidRPr="00EA224A">
        <w:rPr>
          <w:rFonts w:ascii="Times New Roman" w:eastAsia="Calibri" w:hAnsi="Times New Roman" w:cs="Times New Roman"/>
        </w:rPr>
        <w:t>The OCA contends that b</w:t>
      </w:r>
      <w:r w:rsidRPr="00EA224A">
        <w:rPr>
          <w:rFonts w:ascii="Times New Roman" w:eastAsia="Calibri" w:hAnsi="Times New Roman" w:cs="Times New Roman"/>
        </w:rPr>
        <w:t xml:space="preserve">ased on the foregoing, </w:t>
      </w:r>
      <w:r w:rsidR="001055F6" w:rsidRPr="00EA224A">
        <w:rPr>
          <w:rFonts w:ascii="Times New Roman" w:eastAsia="Calibri" w:hAnsi="Times New Roman" w:cs="Times New Roman"/>
        </w:rPr>
        <w:t xml:space="preserve">Columbia </w:t>
      </w:r>
      <w:r w:rsidRPr="00EA224A">
        <w:rPr>
          <w:rFonts w:ascii="Times New Roman" w:eastAsia="Calibri" w:hAnsi="Times New Roman" w:cs="Times New Roman"/>
        </w:rPr>
        <w:t>has failed to satisfy all nine criteria of Section 1327</w:t>
      </w:r>
      <w:r w:rsidRPr="00EA224A">
        <w:rPr>
          <w:rFonts w:ascii="Times New Roman" w:eastAsia="Calibri" w:hAnsi="Times New Roman" w:cs="Times New Roman"/>
        </w:rPr>
        <w:fldChar w:fldCharType="begin"/>
      </w:r>
      <w:r w:rsidRPr="00EA224A">
        <w:rPr>
          <w:rFonts w:ascii="Times New Roman" w:eastAsia="Calibri" w:hAnsi="Times New Roman" w:cs="Times New Roman"/>
        </w:rPr>
        <w:instrText xml:space="preserve"> TA \l "1327" \s "1327" \c 2 </w:instrText>
      </w:r>
      <w:r w:rsidRPr="00EA224A">
        <w:rPr>
          <w:rFonts w:ascii="Times New Roman" w:eastAsia="Calibri" w:hAnsi="Times New Roman" w:cs="Times New Roman"/>
        </w:rPr>
        <w:fldChar w:fldCharType="end"/>
      </w:r>
      <w:r w:rsidRPr="00EA224A">
        <w:rPr>
          <w:rFonts w:ascii="Times New Roman" w:eastAsia="Calibri" w:hAnsi="Times New Roman" w:cs="Times New Roman"/>
        </w:rPr>
        <w:t xml:space="preserve"> that must be met for a utility to be eligible for an acquisition adjustment.</w:t>
      </w:r>
    </w:p>
    <w:p w:rsidR="00CA6A9D" w:rsidRPr="00EA224A" w:rsidRDefault="00CA6A9D" w:rsidP="00047866">
      <w:pPr>
        <w:tabs>
          <w:tab w:val="left" w:pos="-1440"/>
        </w:tabs>
        <w:autoSpaceDE/>
        <w:autoSpaceDN/>
        <w:spacing w:line="360" w:lineRule="auto"/>
        <w:contextualSpacing/>
        <w:jc w:val="both"/>
        <w:rPr>
          <w:rFonts w:ascii="Times New Roman" w:eastAsia="Calibri" w:hAnsi="Times New Roman" w:cs="Times New Roman"/>
        </w:rPr>
      </w:pPr>
    </w:p>
    <w:p w:rsidR="00CA6A9D" w:rsidRPr="00EA224A" w:rsidRDefault="001055F6" w:rsidP="00047866">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Columbia</w:t>
      </w:r>
      <w:r w:rsidR="00CA6A9D" w:rsidRPr="00EA224A">
        <w:rPr>
          <w:rFonts w:ascii="Times New Roman" w:eastAsia="Calibri" w:hAnsi="Times New Roman" w:cs="Times New Roman"/>
        </w:rPr>
        <w:t xml:space="preserve"> argues that the claimed expense is not a purchase price adjustment because the “Company is simply requesting a 15 year amortization of expenses incurred, </w:t>
      </w:r>
      <w:r w:rsidR="00CA6A9D" w:rsidRPr="00EA224A">
        <w:rPr>
          <w:rFonts w:ascii="Times New Roman" w:eastAsia="Calibri" w:hAnsi="Times New Roman" w:cs="Times New Roman"/>
          <w:u w:val="single"/>
        </w:rPr>
        <w:t>not</w:t>
      </w:r>
      <w:r w:rsidR="00CA6A9D" w:rsidRPr="00EA224A">
        <w:rPr>
          <w:rFonts w:ascii="Times New Roman" w:eastAsia="Calibri" w:hAnsi="Times New Roman" w:cs="Times New Roman"/>
        </w:rPr>
        <w:t xml:space="preserve"> price of assets, to acquire the Marietta Gravity Water Company.”  CWC St. 2R </w:t>
      </w:r>
      <w:r w:rsidR="001D796D">
        <w:rPr>
          <w:rFonts w:ascii="Times New Roman" w:eastAsia="Calibri" w:hAnsi="Times New Roman" w:cs="Times New Roman"/>
        </w:rPr>
        <w:t xml:space="preserve">at 19 (emphasis in original).  </w:t>
      </w:r>
      <w:r w:rsidRPr="00EA224A">
        <w:rPr>
          <w:rFonts w:ascii="Times New Roman" w:eastAsia="Calibri" w:hAnsi="Times New Roman" w:cs="Times New Roman"/>
        </w:rPr>
        <w:t>The OCA contends that d</w:t>
      </w:r>
      <w:r w:rsidR="00CA6A9D" w:rsidRPr="00EA224A">
        <w:rPr>
          <w:rFonts w:ascii="Times New Roman" w:eastAsia="Calibri" w:hAnsi="Times New Roman" w:cs="Times New Roman"/>
        </w:rPr>
        <w:t xml:space="preserve">espite the Company’s attempt to bifurcate the cost of MGWC assets and the expenses incurred to acquire the assets, the expenses incurred to purchase MGWC are part of the purchase price acquisition adjustment.  OCA St. 1S at 4.  </w:t>
      </w:r>
      <w:r w:rsidRPr="00EA224A">
        <w:rPr>
          <w:rFonts w:ascii="Times New Roman" w:eastAsia="Calibri" w:hAnsi="Times New Roman" w:cs="Times New Roman"/>
        </w:rPr>
        <w:t>The OCA points out that Columbia</w:t>
      </w:r>
      <w:r w:rsidR="00CA6A9D" w:rsidRPr="00EA224A">
        <w:rPr>
          <w:rFonts w:ascii="Times New Roman" w:eastAsia="Calibri" w:hAnsi="Times New Roman" w:cs="Times New Roman"/>
        </w:rPr>
        <w:t xml:space="preserve"> has recognized that the acquisition cost includes all incurred costs by calling the claimed expense the “Utility Plant Acquisition Adjustment.”  GDS Exhibit 1 at 1-14; GDS Rebuttal Exhibit at 1.</w:t>
      </w:r>
    </w:p>
    <w:p w:rsidR="001055F6" w:rsidRPr="00EA224A" w:rsidRDefault="001055F6" w:rsidP="00047866">
      <w:pPr>
        <w:autoSpaceDE/>
        <w:autoSpaceDN/>
        <w:spacing w:line="360" w:lineRule="auto"/>
        <w:ind w:firstLine="720"/>
        <w:contextualSpacing/>
        <w:jc w:val="both"/>
        <w:rPr>
          <w:rFonts w:ascii="Times New Roman" w:eastAsia="Calibri" w:hAnsi="Times New Roman" w:cs="Times New Roman"/>
        </w:rPr>
      </w:pPr>
    </w:p>
    <w:p w:rsidR="00CA6A9D" w:rsidRPr="00EA224A" w:rsidRDefault="001055F6" w:rsidP="00047866">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T</w:t>
      </w:r>
      <w:r w:rsidR="00504CBF" w:rsidRPr="00EA224A">
        <w:rPr>
          <w:rFonts w:ascii="Times New Roman" w:eastAsia="Calibri" w:hAnsi="Times New Roman" w:cs="Times New Roman"/>
        </w:rPr>
        <w:t>he</w:t>
      </w:r>
      <w:r w:rsidRPr="00EA224A">
        <w:rPr>
          <w:rFonts w:ascii="Times New Roman" w:eastAsia="Calibri" w:hAnsi="Times New Roman" w:cs="Times New Roman"/>
        </w:rPr>
        <w:t xml:space="preserve"> OCA points out that i</w:t>
      </w:r>
      <w:r w:rsidR="00CA6A9D" w:rsidRPr="00EA224A">
        <w:rPr>
          <w:rFonts w:ascii="Times New Roman" w:eastAsia="Calibri" w:hAnsi="Times New Roman" w:cs="Times New Roman"/>
        </w:rPr>
        <w:t>n rejoinder, Co</w:t>
      </w:r>
      <w:r w:rsidRPr="00EA224A">
        <w:rPr>
          <w:rFonts w:ascii="Times New Roman" w:eastAsia="Calibri" w:hAnsi="Times New Roman" w:cs="Times New Roman"/>
        </w:rPr>
        <w:t>lumbia</w:t>
      </w:r>
      <w:r w:rsidR="00CA6A9D" w:rsidRPr="00EA224A">
        <w:rPr>
          <w:rFonts w:ascii="Times New Roman" w:eastAsia="Calibri" w:hAnsi="Times New Roman" w:cs="Times New Roman"/>
        </w:rPr>
        <w:t xml:space="preserve"> witness Shambaugh stated, for the first time</w:t>
      </w:r>
      <w:r w:rsidR="00CC0BE3" w:rsidRPr="00EA224A">
        <w:rPr>
          <w:rFonts w:ascii="Times New Roman" w:eastAsia="Calibri" w:hAnsi="Times New Roman" w:cs="Times New Roman"/>
        </w:rPr>
        <w:t>,</w:t>
      </w:r>
      <w:r w:rsidR="00CA6A9D" w:rsidRPr="00EA224A">
        <w:rPr>
          <w:rFonts w:ascii="Times New Roman" w:eastAsia="Calibri" w:hAnsi="Times New Roman" w:cs="Times New Roman"/>
        </w:rPr>
        <w:t xml:space="preserve"> that at a minimum, $120,902 of costs should be capitalized.  Tr. 138.  </w:t>
      </w:r>
      <w:r w:rsidRPr="00EA224A">
        <w:rPr>
          <w:rFonts w:ascii="Times New Roman" w:eastAsia="Calibri" w:hAnsi="Times New Roman" w:cs="Times New Roman"/>
        </w:rPr>
        <w:t>The OCA argues that i</w:t>
      </w:r>
      <w:r w:rsidR="00CA6A9D" w:rsidRPr="00EA224A">
        <w:rPr>
          <w:rFonts w:ascii="Times New Roman" w:eastAsia="Calibri" w:hAnsi="Times New Roman" w:cs="Times New Roman"/>
        </w:rPr>
        <w:t xml:space="preserve">n addition to being untimely because it was raised for the first time in rejoinder, this position should be rejected because it is not what </w:t>
      </w:r>
      <w:r w:rsidRPr="00EA224A">
        <w:rPr>
          <w:rFonts w:ascii="Times New Roman" w:eastAsia="Calibri" w:hAnsi="Times New Roman" w:cs="Times New Roman"/>
        </w:rPr>
        <w:t xml:space="preserve">Columbia </w:t>
      </w:r>
      <w:r w:rsidR="00CA6A9D" w:rsidRPr="00EA224A">
        <w:rPr>
          <w:rFonts w:ascii="Times New Roman" w:eastAsia="Calibri" w:hAnsi="Times New Roman" w:cs="Times New Roman"/>
        </w:rPr>
        <w:t xml:space="preserve">actually did.  </w:t>
      </w:r>
      <w:r w:rsidRPr="00EA224A">
        <w:rPr>
          <w:rFonts w:ascii="Times New Roman" w:eastAsia="Calibri" w:hAnsi="Times New Roman" w:cs="Times New Roman"/>
        </w:rPr>
        <w:t>The OCA concludes that t</w:t>
      </w:r>
      <w:r w:rsidR="00CA6A9D" w:rsidRPr="00EA224A">
        <w:rPr>
          <w:rFonts w:ascii="Times New Roman" w:eastAsia="Calibri" w:hAnsi="Times New Roman" w:cs="Times New Roman"/>
        </w:rPr>
        <w:t xml:space="preserve">here is no evidence that Columbia Water capitalized the expenses related to legal fees, and the regulatory expenses.  Thus, </w:t>
      </w:r>
      <w:r w:rsidRPr="00EA224A">
        <w:rPr>
          <w:rFonts w:ascii="Times New Roman" w:eastAsia="Calibri" w:hAnsi="Times New Roman" w:cs="Times New Roman"/>
        </w:rPr>
        <w:t>Mr.</w:t>
      </w:r>
      <w:r w:rsidR="00CA6A9D" w:rsidRPr="00EA224A">
        <w:rPr>
          <w:rFonts w:ascii="Times New Roman" w:eastAsia="Calibri" w:hAnsi="Times New Roman" w:cs="Times New Roman"/>
        </w:rPr>
        <w:t xml:space="preserve"> Shambaugh’s rejoinder testimony should be disregarded.</w:t>
      </w:r>
    </w:p>
    <w:p w:rsidR="001055F6" w:rsidRPr="00EA224A" w:rsidRDefault="001055F6" w:rsidP="00047866">
      <w:pPr>
        <w:autoSpaceDE/>
        <w:autoSpaceDN/>
        <w:spacing w:line="360" w:lineRule="auto"/>
        <w:ind w:firstLine="720"/>
        <w:contextualSpacing/>
        <w:jc w:val="both"/>
        <w:rPr>
          <w:rFonts w:ascii="Times New Roman" w:eastAsia="Calibri" w:hAnsi="Times New Roman" w:cs="Times New Roman"/>
        </w:rPr>
      </w:pPr>
    </w:p>
    <w:p w:rsidR="00CA6A9D" w:rsidRPr="00EA224A" w:rsidRDefault="001055F6" w:rsidP="00047866">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 xml:space="preserve">I agree with the OCA that Columbia’s </w:t>
      </w:r>
      <w:r w:rsidR="00CA6A9D" w:rsidRPr="00EA224A">
        <w:rPr>
          <w:rFonts w:ascii="Times New Roman" w:eastAsia="Calibri" w:hAnsi="Times New Roman" w:cs="Times New Roman"/>
        </w:rPr>
        <w:t xml:space="preserve">claimed expense of $15,039, representing a fifteen year amortization of $225,581 </w:t>
      </w:r>
      <w:r w:rsidR="0009160C">
        <w:rPr>
          <w:rFonts w:ascii="Times New Roman" w:eastAsia="Calibri" w:hAnsi="Times New Roman" w:cs="Times New Roman"/>
        </w:rPr>
        <w:t xml:space="preserve">in </w:t>
      </w:r>
      <w:r w:rsidR="00CA6A9D" w:rsidRPr="00EA224A">
        <w:rPr>
          <w:rFonts w:ascii="Times New Roman" w:eastAsia="Calibri" w:hAnsi="Times New Roman" w:cs="Times New Roman"/>
        </w:rPr>
        <w:t>expenses incurred while acquiring the Marietta</w:t>
      </w:r>
      <w:r w:rsidR="002C0B54">
        <w:rPr>
          <w:rFonts w:ascii="Times New Roman" w:eastAsia="Calibri" w:hAnsi="Times New Roman" w:cs="Times New Roman"/>
        </w:rPr>
        <w:t xml:space="preserve"> system</w:t>
      </w:r>
      <w:r w:rsidR="00CA6A9D" w:rsidRPr="00EA224A">
        <w:rPr>
          <w:rFonts w:ascii="Times New Roman" w:eastAsia="Calibri" w:hAnsi="Times New Roman" w:cs="Times New Roman"/>
        </w:rPr>
        <w:t xml:space="preserve"> should be rejected.</w:t>
      </w:r>
    </w:p>
    <w:p w:rsidR="001055F6" w:rsidRPr="00EA224A" w:rsidRDefault="001055F6" w:rsidP="00047866">
      <w:pPr>
        <w:autoSpaceDE/>
        <w:autoSpaceDN/>
        <w:spacing w:line="360" w:lineRule="auto"/>
        <w:ind w:firstLine="720"/>
        <w:contextualSpacing/>
        <w:jc w:val="both"/>
        <w:rPr>
          <w:rFonts w:ascii="Times New Roman" w:eastAsia="Calibri" w:hAnsi="Times New Roman" w:cs="Times New Roman"/>
        </w:rPr>
      </w:pPr>
    </w:p>
    <w:p w:rsidR="00CA6A9D" w:rsidRPr="00EA224A" w:rsidRDefault="009D3F59" w:rsidP="000E74AA">
      <w:pPr>
        <w:keepNext/>
        <w:autoSpaceDE/>
        <w:autoSpaceDN/>
        <w:spacing w:line="360" w:lineRule="auto"/>
        <w:ind w:left="1440" w:hanging="720"/>
        <w:contextualSpacing/>
        <w:jc w:val="both"/>
        <w:outlineLvl w:val="1"/>
        <w:rPr>
          <w:rFonts w:ascii="Times New Roman" w:hAnsi="Times New Roman" w:cs="Times New Roman"/>
          <w:bCs/>
          <w:iCs/>
        </w:rPr>
      </w:pPr>
      <w:bookmarkStart w:id="17" w:name="_Toc367958620"/>
      <w:r w:rsidRPr="00EA224A">
        <w:rPr>
          <w:rFonts w:ascii="Times New Roman" w:hAnsi="Times New Roman" w:cs="Times New Roman"/>
          <w:bCs/>
          <w:iCs/>
        </w:rPr>
        <w:t>5</w:t>
      </w:r>
      <w:r w:rsidR="00CA6A9D" w:rsidRPr="00EA224A">
        <w:rPr>
          <w:rFonts w:ascii="Times New Roman" w:hAnsi="Times New Roman" w:cs="Times New Roman"/>
          <w:bCs/>
          <w:iCs/>
        </w:rPr>
        <w:t>.</w:t>
      </w:r>
      <w:r w:rsidR="00CA6A9D" w:rsidRPr="00EA224A">
        <w:rPr>
          <w:rFonts w:ascii="Times New Roman" w:hAnsi="Times New Roman" w:cs="Times New Roman"/>
          <w:bCs/>
          <w:iCs/>
        </w:rPr>
        <w:tab/>
        <w:t>Engineering</w:t>
      </w:r>
      <w:bookmarkEnd w:id="17"/>
      <w:r w:rsidR="000E74AA">
        <w:rPr>
          <w:rFonts w:ascii="Times New Roman" w:hAnsi="Times New Roman" w:cs="Times New Roman"/>
          <w:bCs/>
          <w:iCs/>
        </w:rPr>
        <w:fldChar w:fldCharType="begin"/>
      </w:r>
      <w:r w:rsidR="000E74AA">
        <w:instrText xml:space="preserve"> TC "</w:instrText>
      </w:r>
      <w:bookmarkStart w:id="18" w:name="_Toc372704690"/>
      <w:r w:rsidR="000E74AA" w:rsidRPr="00831096">
        <w:rPr>
          <w:rFonts w:ascii="Times New Roman" w:hAnsi="Times New Roman" w:cs="Times New Roman"/>
          <w:bCs/>
          <w:iCs/>
        </w:rPr>
        <w:instrText>5.</w:instrText>
      </w:r>
      <w:r w:rsidR="000E74AA" w:rsidRPr="00831096">
        <w:rPr>
          <w:rFonts w:ascii="Times New Roman" w:hAnsi="Times New Roman" w:cs="Times New Roman"/>
          <w:bCs/>
          <w:iCs/>
        </w:rPr>
        <w:tab/>
        <w:instrText>Engineering</w:instrText>
      </w:r>
      <w:bookmarkEnd w:id="18"/>
      <w:r w:rsidR="000E74AA">
        <w:instrText xml:space="preserve">" \f C \l "3" </w:instrText>
      </w:r>
      <w:r w:rsidR="000E74AA">
        <w:rPr>
          <w:rFonts w:ascii="Times New Roman" w:hAnsi="Times New Roman" w:cs="Times New Roman"/>
          <w:bCs/>
          <w:iCs/>
        </w:rPr>
        <w:fldChar w:fldCharType="end"/>
      </w:r>
    </w:p>
    <w:p w:rsidR="001055F6" w:rsidRPr="00EA224A" w:rsidRDefault="001055F6" w:rsidP="00047866">
      <w:pPr>
        <w:autoSpaceDE/>
        <w:autoSpaceDN/>
        <w:spacing w:line="360" w:lineRule="auto"/>
        <w:ind w:firstLine="720"/>
        <w:contextualSpacing/>
        <w:jc w:val="both"/>
        <w:rPr>
          <w:rFonts w:ascii="Times New Roman" w:eastAsia="Calibri" w:hAnsi="Times New Roman" w:cs="Times New Roman"/>
        </w:rPr>
      </w:pPr>
    </w:p>
    <w:p w:rsidR="00CA6A9D" w:rsidRPr="00EA224A" w:rsidRDefault="00125EB2" w:rsidP="00047866">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 xml:space="preserve">The OCA objects to </w:t>
      </w:r>
      <w:r w:rsidR="00CA6A9D" w:rsidRPr="00EA224A">
        <w:rPr>
          <w:rFonts w:ascii="Times New Roman" w:eastAsia="Calibri" w:hAnsi="Times New Roman" w:cs="Times New Roman"/>
        </w:rPr>
        <w:t>Columbia</w:t>
      </w:r>
      <w:r w:rsidRPr="00EA224A">
        <w:rPr>
          <w:rFonts w:ascii="Times New Roman" w:eastAsia="Calibri" w:hAnsi="Times New Roman" w:cs="Times New Roman"/>
        </w:rPr>
        <w:t>’s</w:t>
      </w:r>
      <w:r w:rsidR="00CA6A9D" w:rsidRPr="00EA224A">
        <w:rPr>
          <w:rFonts w:ascii="Times New Roman" w:eastAsia="Calibri" w:hAnsi="Times New Roman" w:cs="Times New Roman"/>
        </w:rPr>
        <w:t xml:space="preserve"> claimed </w:t>
      </w:r>
      <w:r w:rsidR="00CA6A9D" w:rsidRPr="00EA224A">
        <w:rPr>
          <w:rFonts w:ascii="Times New Roman" w:eastAsia="Calibri" w:hAnsi="Times New Roman" w:cs="Times New Roman"/>
          <w:i/>
        </w:rPr>
        <w:t>pro forma</w:t>
      </w:r>
      <w:r w:rsidR="00CA6A9D" w:rsidRPr="00EA224A">
        <w:rPr>
          <w:rFonts w:ascii="Times New Roman" w:eastAsia="Calibri" w:hAnsi="Times New Roman" w:cs="Times New Roman"/>
        </w:rPr>
        <w:t xml:space="preserve"> 2013 expense of $13,500 for Engineering Contractual Services.  GDS Exh. 1 at 1-15.  Two of the invoices provided in support of this claim were for Ronald F. Weigel Consulting, both dated August 5, 2012, in the amounts of $2,325 and $3,180.  OCA St. 1 at 22-23 (citing OCA Set I-32).  The Company described the services as follows:</w:t>
      </w:r>
    </w:p>
    <w:p w:rsidR="00CA6A9D" w:rsidRPr="00EA224A" w:rsidRDefault="00CA6A9D" w:rsidP="00047866">
      <w:pPr>
        <w:autoSpaceDE/>
        <w:autoSpaceDN/>
        <w:ind w:left="720" w:right="720"/>
        <w:contextualSpacing/>
        <w:jc w:val="both"/>
        <w:rPr>
          <w:rFonts w:ascii="Times New Roman" w:eastAsia="Calibri" w:hAnsi="Times New Roman" w:cs="Times New Roman"/>
        </w:rPr>
      </w:pPr>
    </w:p>
    <w:p w:rsidR="00CA6A9D" w:rsidRPr="00EA224A" w:rsidRDefault="00125EB2" w:rsidP="00047866">
      <w:pPr>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 xml:space="preserve">Mr. </w:t>
      </w:r>
      <w:r w:rsidR="00CA6A9D" w:rsidRPr="00EA224A">
        <w:rPr>
          <w:rFonts w:ascii="Times New Roman" w:eastAsia="Calibri" w:hAnsi="Times New Roman" w:cs="Times New Roman"/>
        </w:rPr>
        <w:t>Weigel monitored public meetings, orders issued by the Commission, and rulemakings of potential interest to, or affecting, the Company.  Assisted management in evaluating potential regulatory filings and reviewed filings prepared by the Company’s lawyers or consultants.</w:t>
      </w:r>
    </w:p>
    <w:p w:rsidR="00CA6A9D" w:rsidRPr="00EA224A" w:rsidRDefault="00CA6A9D" w:rsidP="00047866">
      <w:pPr>
        <w:autoSpaceDE/>
        <w:autoSpaceDN/>
        <w:ind w:firstLine="720"/>
        <w:contextualSpacing/>
        <w:jc w:val="both"/>
        <w:rPr>
          <w:rFonts w:ascii="Times New Roman" w:eastAsia="Calibri" w:hAnsi="Times New Roman" w:cs="Times New Roman"/>
        </w:rPr>
      </w:pPr>
    </w:p>
    <w:p w:rsidR="00504CBF" w:rsidRPr="00EA224A" w:rsidRDefault="00CA6A9D" w:rsidP="00047866">
      <w:pPr>
        <w:autoSpaceDE/>
        <w:autoSpaceDN/>
        <w:spacing w:line="480" w:lineRule="auto"/>
        <w:contextualSpacing/>
        <w:jc w:val="both"/>
        <w:rPr>
          <w:rFonts w:ascii="Times New Roman" w:eastAsia="Calibri" w:hAnsi="Times New Roman" w:cs="Times New Roman"/>
        </w:rPr>
      </w:pPr>
      <w:r w:rsidRPr="00EA224A">
        <w:rPr>
          <w:rFonts w:ascii="Times New Roman" w:eastAsia="Calibri" w:hAnsi="Times New Roman" w:cs="Times New Roman"/>
          <w:u w:val="single"/>
        </w:rPr>
        <w:t>Id</w:t>
      </w:r>
      <w:r w:rsidRPr="00EA224A">
        <w:rPr>
          <w:rFonts w:ascii="Times New Roman" w:eastAsia="Calibri" w:hAnsi="Times New Roman" w:cs="Times New Roman"/>
        </w:rPr>
        <w:t>. (quoting CWC response to OCA Set III-31).</w:t>
      </w:r>
    </w:p>
    <w:p w:rsidR="00504CBF" w:rsidRPr="00EA224A" w:rsidRDefault="00504CBF" w:rsidP="00047866">
      <w:pPr>
        <w:autoSpaceDE/>
        <w:autoSpaceDN/>
        <w:spacing w:line="360" w:lineRule="auto"/>
        <w:contextualSpacing/>
        <w:jc w:val="both"/>
        <w:rPr>
          <w:rFonts w:ascii="Times New Roman" w:eastAsia="Calibri" w:hAnsi="Times New Roman" w:cs="Times New Roman"/>
        </w:rPr>
      </w:pPr>
    </w:p>
    <w:p w:rsidR="00504CBF" w:rsidRPr="00EA224A" w:rsidRDefault="00504CBF" w:rsidP="00047866">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00125EB2" w:rsidRPr="00EA224A">
        <w:rPr>
          <w:rFonts w:ascii="Times New Roman" w:eastAsia="Calibri" w:hAnsi="Times New Roman" w:cs="Times New Roman"/>
        </w:rPr>
        <w:t xml:space="preserve">The OCA’s witness, </w:t>
      </w:r>
      <w:r w:rsidR="00CA6A9D" w:rsidRPr="00EA224A">
        <w:rPr>
          <w:rFonts w:ascii="Times New Roman" w:eastAsia="Calibri" w:hAnsi="Times New Roman" w:cs="Times New Roman"/>
        </w:rPr>
        <w:t>Ms. Everette</w:t>
      </w:r>
      <w:r w:rsidR="00125EB2" w:rsidRPr="00EA224A">
        <w:rPr>
          <w:rFonts w:ascii="Times New Roman" w:eastAsia="Calibri" w:hAnsi="Times New Roman" w:cs="Times New Roman"/>
        </w:rPr>
        <w:t>, testified</w:t>
      </w:r>
      <w:r w:rsidR="00CA6A9D" w:rsidRPr="00EA224A">
        <w:rPr>
          <w:rFonts w:ascii="Times New Roman" w:eastAsia="Calibri" w:hAnsi="Times New Roman" w:cs="Times New Roman"/>
        </w:rPr>
        <w:t xml:space="preserve"> that the expense related to the preparation of the current rate case and recommended that it be removed from engineering expense.  OCA St. 1 at 23.  In rebuttal, the Company clarified that Mr. Weigel’s services were, instead, related to the acquisition of the Marietta system and for ongoing monitoring of the Commission.  CWC St. 1R at 3.  As discussed with regard to the acquisition adjustment, </w:t>
      </w:r>
      <w:r w:rsidR="00CA6A9D" w:rsidRPr="00EA224A">
        <w:rPr>
          <w:rFonts w:ascii="Times New Roman" w:eastAsia="Calibri" w:hAnsi="Times New Roman" w:cs="Times New Roman"/>
          <w:i/>
        </w:rPr>
        <w:t>supra</w:t>
      </w:r>
      <w:r w:rsidR="00CA6A9D" w:rsidRPr="00EA224A">
        <w:rPr>
          <w:rFonts w:ascii="Times New Roman" w:eastAsia="Calibri" w:hAnsi="Times New Roman" w:cs="Times New Roman"/>
        </w:rPr>
        <w:t>, consulting fees related to the acquisition should not be charged to the Columbia Division customers because</w:t>
      </w:r>
      <w:r w:rsidRPr="00EA224A">
        <w:rPr>
          <w:rFonts w:ascii="Times New Roman" w:eastAsia="Calibri" w:hAnsi="Times New Roman" w:cs="Times New Roman"/>
        </w:rPr>
        <w:t xml:space="preserve"> Columbia</w:t>
      </w:r>
      <w:r w:rsidR="00CA6A9D" w:rsidRPr="00EA224A">
        <w:rPr>
          <w:rFonts w:ascii="Times New Roman" w:eastAsia="Calibri" w:hAnsi="Times New Roman" w:cs="Times New Roman"/>
        </w:rPr>
        <w:t xml:space="preserve"> has not met the criteria for the utility to include an amortization of the acquisition adjustment expenses and it is not appropriate for the Columbia Division to pay all of the acquisition expenses related to the purchase of Marietta.  OCA St. 1 at 10-17; OCA St. 1S at 4-5, 8.</w:t>
      </w:r>
    </w:p>
    <w:p w:rsidR="00CA6A9D" w:rsidRPr="00EA224A" w:rsidRDefault="00CA6A9D" w:rsidP="00047866">
      <w:pPr>
        <w:autoSpaceDE/>
        <w:autoSpaceDN/>
        <w:spacing w:line="360" w:lineRule="auto"/>
        <w:contextualSpacing/>
        <w:jc w:val="both"/>
        <w:rPr>
          <w:rFonts w:ascii="Times New Roman" w:eastAsia="Calibri" w:hAnsi="Times New Roman" w:cs="Times New Roman"/>
        </w:rPr>
      </w:pPr>
    </w:p>
    <w:p w:rsidR="00CA6A9D" w:rsidRDefault="00CA6A9D" w:rsidP="00047866">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504CBF" w:rsidRPr="00EA224A">
        <w:rPr>
          <w:rFonts w:ascii="Times New Roman" w:eastAsia="Calibri" w:hAnsi="Times New Roman" w:cs="Times New Roman"/>
        </w:rPr>
        <w:tab/>
      </w:r>
      <w:r w:rsidRPr="00EA224A">
        <w:rPr>
          <w:rFonts w:ascii="Times New Roman" w:eastAsia="Calibri" w:hAnsi="Times New Roman" w:cs="Times New Roman"/>
        </w:rPr>
        <w:t xml:space="preserve">In rejoinder, the Company provided examples of some regulatory matters that are not related to the Marietta acquisition for which it may or could use a consultant like Mr. Weigel.  Tr. 110-111; CWC Rejoinder Exhs. 1, 2.  Columbia never identified what portion – if any – of the expenses invoiced on August 5, 2012 for monitoring the Commission were unrelated to the acquisition.  OCA St. 1S at 8.  OCA witness Everette based her adjustment on what is known – that services invoiced on August 5, 2012 were related to the acquisition.  CWC St. 1R at 3.  </w:t>
      </w:r>
      <w:r w:rsidR="00504CBF" w:rsidRPr="00EA224A">
        <w:rPr>
          <w:rFonts w:ascii="Times New Roman" w:eastAsia="Calibri" w:hAnsi="Times New Roman" w:cs="Times New Roman"/>
        </w:rPr>
        <w:t xml:space="preserve">The </w:t>
      </w:r>
      <w:r w:rsidRPr="00EA224A">
        <w:rPr>
          <w:rFonts w:ascii="Times New Roman" w:eastAsia="Calibri" w:hAnsi="Times New Roman" w:cs="Times New Roman"/>
        </w:rPr>
        <w:t xml:space="preserve">OCA recommends that the $5,505 ($2,325 + $3,180) expense be removed because it relates to the Marietta Gravity acquisition.  OCA Table II; OCA Exh. AEE-1S, Sch. 1S; OCA St. 1S at 8. </w:t>
      </w:r>
      <w:r w:rsidR="00504CBF" w:rsidRPr="00EA224A">
        <w:rPr>
          <w:rFonts w:ascii="Times New Roman" w:eastAsia="Calibri" w:hAnsi="Times New Roman" w:cs="Times New Roman"/>
        </w:rPr>
        <w:t xml:space="preserve"> I agree.  </w:t>
      </w:r>
      <w:r w:rsidR="00CC0BE3" w:rsidRPr="00EA224A">
        <w:rPr>
          <w:rFonts w:ascii="Times New Roman" w:eastAsia="Calibri" w:hAnsi="Times New Roman" w:cs="Times New Roman"/>
        </w:rPr>
        <w:t>Mr. Weigel is a respected authority on regulatory matters with extensive experience in proceedings before the Commission.  But b</w:t>
      </w:r>
      <w:r w:rsidR="00125EB2" w:rsidRPr="00EA224A">
        <w:rPr>
          <w:rFonts w:ascii="Times New Roman" w:eastAsia="Calibri" w:hAnsi="Times New Roman" w:cs="Times New Roman"/>
        </w:rPr>
        <w:t xml:space="preserve">ecause Columbia has not met the criteria for the utility to include an amortization of the acquisition adjustment expenses and it is not appropriate for the Columbia Division to pay all of the acquisition expenses related to the purchase of Marietta, </w:t>
      </w:r>
      <w:r w:rsidR="00CC0BE3" w:rsidRPr="00EA224A">
        <w:rPr>
          <w:rFonts w:ascii="Times New Roman" w:eastAsia="Calibri" w:hAnsi="Times New Roman" w:cs="Times New Roman"/>
        </w:rPr>
        <w:t xml:space="preserve">and because it appears that Mr. Weigel’s services are related directly to that acquisition and not to this rate case, </w:t>
      </w:r>
      <w:r w:rsidR="00125EB2" w:rsidRPr="00EA224A">
        <w:rPr>
          <w:rFonts w:ascii="Times New Roman" w:eastAsia="Calibri" w:hAnsi="Times New Roman" w:cs="Times New Roman"/>
        </w:rPr>
        <w:t xml:space="preserve">this $5,505 expense </w:t>
      </w:r>
      <w:r w:rsidR="00CC0BE3" w:rsidRPr="00EA224A">
        <w:rPr>
          <w:rFonts w:ascii="Times New Roman" w:eastAsia="Calibri" w:hAnsi="Times New Roman" w:cs="Times New Roman"/>
        </w:rPr>
        <w:t xml:space="preserve">must </w:t>
      </w:r>
      <w:r w:rsidR="00125EB2" w:rsidRPr="00EA224A">
        <w:rPr>
          <w:rFonts w:ascii="Times New Roman" w:eastAsia="Calibri" w:hAnsi="Times New Roman" w:cs="Times New Roman"/>
        </w:rPr>
        <w:t>be removed.</w:t>
      </w:r>
    </w:p>
    <w:p w:rsidR="004A70D0" w:rsidRPr="00EA224A" w:rsidRDefault="004A70D0" w:rsidP="00047866">
      <w:pPr>
        <w:autoSpaceDE/>
        <w:autoSpaceDN/>
        <w:spacing w:line="360" w:lineRule="auto"/>
        <w:contextualSpacing/>
        <w:jc w:val="both"/>
        <w:rPr>
          <w:rFonts w:ascii="Times New Roman" w:eastAsia="Calibri" w:hAnsi="Times New Roman" w:cs="Times New Roman"/>
        </w:rPr>
      </w:pPr>
    </w:p>
    <w:p w:rsidR="009D3F59" w:rsidRDefault="009D3F59" w:rsidP="000E74AA">
      <w:pPr>
        <w:keepNext/>
        <w:autoSpaceDE/>
        <w:autoSpaceDN/>
        <w:spacing w:line="360" w:lineRule="auto"/>
        <w:ind w:left="1440" w:hanging="720"/>
        <w:contextualSpacing/>
        <w:jc w:val="both"/>
        <w:outlineLvl w:val="1"/>
        <w:rPr>
          <w:rFonts w:ascii="Times New Roman" w:hAnsi="Times New Roman" w:cs="Times New Roman"/>
          <w:bCs/>
          <w:iCs/>
        </w:rPr>
      </w:pPr>
      <w:bookmarkStart w:id="19" w:name="_Toc367958621"/>
      <w:r w:rsidRPr="00EA224A">
        <w:rPr>
          <w:rFonts w:ascii="Times New Roman" w:hAnsi="Times New Roman" w:cs="Times New Roman"/>
          <w:bCs/>
          <w:iCs/>
        </w:rPr>
        <w:t>6</w:t>
      </w:r>
      <w:r w:rsidR="00CA6A9D" w:rsidRPr="00EA224A">
        <w:rPr>
          <w:rFonts w:ascii="Times New Roman" w:hAnsi="Times New Roman" w:cs="Times New Roman"/>
          <w:bCs/>
          <w:iCs/>
        </w:rPr>
        <w:t>.</w:t>
      </w:r>
      <w:r w:rsidR="00CA6A9D" w:rsidRPr="00EA224A">
        <w:rPr>
          <w:rFonts w:ascii="Times New Roman" w:hAnsi="Times New Roman" w:cs="Times New Roman"/>
          <w:bCs/>
          <w:iCs/>
        </w:rPr>
        <w:tab/>
        <w:t>Bad Debt Expense</w:t>
      </w:r>
      <w:bookmarkEnd w:id="19"/>
      <w:r w:rsidR="000E74AA">
        <w:rPr>
          <w:rFonts w:ascii="Times New Roman" w:hAnsi="Times New Roman" w:cs="Times New Roman"/>
          <w:bCs/>
          <w:iCs/>
        </w:rPr>
        <w:fldChar w:fldCharType="begin"/>
      </w:r>
      <w:r w:rsidR="000E74AA">
        <w:instrText xml:space="preserve"> TC "</w:instrText>
      </w:r>
      <w:bookmarkStart w:id="20" w:name="_Toc372704691"/>
      <w:r w:rsidR="000E74AA" w:rsidRPr="00831096">
        <w:rPr>
          <w:rFonts w:ascii="Times New Roman" w:hAnsi="Times New Roman" w:cs="Times New Roman"/>
          <w:bCs/>
          <w:iCs/>
        </w:rPr>
        <w:instrText>6.</w:instrText>
      </w:r>
      <w:r w:rsidR="000E74AA" w:rsidRPr="00831096">
        <w:rPr>
          <w:rFonts w:ascii="Times New Roman" w:hAnsi="Times New Roman" w:cs="Times New Roman"/>
          <w:bCs/>
          <w:iCs/>
        </w:rPr>
        <w:tab/>
        <w:instrText>Bad Debt Expense</w:instrText>
      </w:r>
      <w:bookmarkEnd w:id="20"/>
      <w:r w:rsidR="000E74AA">
        <w:instrText xml:space="preserve">" \f C \l "3" </w:instrText>
      </w:r>
      <w:r w:rsidR="000E74AA">
        <w:rPr>
          <w:rFonts w:ascii="Times New Roman" w:hAnsi="Times New Roman" w:cs="Times New Roman"/>
          <w:bCs/>
          <w:iCs/>
        </w:rPr>
        <w:fldChar w:fldCharType="end"/>
      </w:r>
    </w:p>
    <w:p w:rsidR="004A70D0" w:rsidRPr="00EA224A" w:rsidRDefault="004A70D0" w:rsidP="00047866">
      <w:pPr>
        <w:keepNext/>
        <w:autoSpaceDE/>
        <w:autoSpaceDN/>
        <w:spacing w:line="360" w:lineRule="auto"/>
        <w:contextualSpacing/>
        <w:jc w:val="both"/>
        <w:outlineLvl w:val="1"/>
        <w:rPr>
          <w:rFonts w:ascii="Times New Roman" w:hAnsi="Times New Roman" w:cs="Times New Roman"/>
          <w:bCs/>
          <w:iCs/>
        </w:rPr>
      </w:pPr>
    </w:p>
    <w:p w:rsidR="00CA6A9D" w:rsidRPr="00EA224A" w:rsidRDefault="00361A26" w:rsidP="004272F2">
      <w:pPr>
        <w:keepNext/>
        <w:autoSpaceDE/>
        <w:autoSpaceDN/>
        <w:spacing w:line="360" w:lineRule="auto"/>
        <w:ind w:firstLine="1440"/>
        <w:contextualSpacing/>
        <w:outlineLvl w:val="1"/>
        <w:rPr>
          <w:rFonts w:ascii="Times New Roman" w:eastAsia="Calibri" w:hAnsi="Times New Roman" w:cs="Times New Roman"/>
        </w:rPr>
      </w:pPr>
      <w:r w:rsidRPr="00EA224A">
        <w:rPr>
          <w:rFonts w:ascii="Times New Roman" w:eastAsia="Calibri" w:hAnsi="Times New Roman" w:cs="Times New Roman"/>
        </w:rPr>
        <w:t>The OCA states that Columbia</w:t>
      </w:r>
      <w:r w:rsidR="00CA6A9D" w:rsidRPr="00EA224A">
        <w:rPr>
          <w:rFonts w:ascii="Times New Roman" w:eastAsia="Calibri" w:hAnsi="Times New Roman" w:cs="Times New Roman"/>
        </w:rPr>
        <w:t xml:space="preserve"> claimed </w:t>
      </w:r>
      <w:r w:rsidR="00CA6A9D" w:rsidRPr="00EA224A">
        <w:rPr>
          <w:rFonts w:ascii="Times New Roman" w:eastAsia="Calibri" w:hAnsi="Times New Roman" w:cs="Times New Roman"/>
          <w:i/>
        </w:rPr>
        <w:t>pro forma</w:t>
      </w:r>
      <w:r w:rsidR="00CA6A9D" w:rsidRPr="00EA224A">
        <w:rPr>
          <w:rFonts w:ascii="Times New Roman" w:eastAsia="Calibri" w:hAnsi="Times New Roman" w:cs="Times New Roman"/>
        </w:rPr>
        <w:t xml:space="preserve"> bad debt expense of $11,000.  OCA St. 1 at 24; GDS Exh. No. 1 at 1-15.  The </w:t>
      </w:r>
      <w:r w:rsidRPr="00EA224A">
        <w:rPr>
          <w:rFonts w:ascii="Times New Roman" w:eastAsia="Calibri" w:hAnsi="Times New Roman" w:cs="Times New Roman"/>
        </w:rPr>
        <w:t xml:space="preserve">OCA argues that the </w:t>
      </w:r>
      <w:r w:rsidR="00CA6A9D" w:rsidRPr="00EA224A">
        <w:rPr>
          <w:rFonts w:ascii="Times New Roman" w:eastAsia="Calibri" w:hAnsi="Times New Roman" w:cs="Times New Roman"/>
        </w:rPr>
        <w:t xml:space="preserve">claim should be adjusted to reflect a four year historical average of $9,192.  OCA St. 1 at 24-25; OCA St. 1S at 9-12.  </w:t>
      </w:r>
      <w:r w:rsidRPr="00EA224A">
        <w:rPr>
          <w:rFonts w:ascii="Times New Roman" w:eastAsia="Calibri" w:hAnsi="Times New Roman" w:cs="Times New Roman"/>
        </w:rPr>
        <w:t>The OCA contends that a</w:t>
      </w:r>
      <w:r w:rsidR="00CA6A9D" w:rsidRPr="00EA224A">
        <w:rPr>
          <w:rFonts w:ascii="Times New Roman" w:eastAsia="Calibri" w:hAnsi="Times New Roman" w:cs="Times New Roman"/>
        </w:rPr>
        <w:t xml:space="preserve"> four year historical average of actual bad debt expense accounts for variations from year to year and is a more accurate method to estimate future bad debt expense.  OCA St.1S at 10.</w:t>
      </w:r>
    </w:p>
    <w:p w:rsidR="00361A26" w:rsidRPr="00EA224A" w:rsidRDefault="00361A26" w:rsidP="00047866">
      <w:pPr>
        <w:autoSpaceDE/>
        <w:autoSpaceDN/>
        <w:spacing w:line="360" w:lineRule="auto"/>
        <w:ind w:firstLine="720"/>
        <w:contextualSpacing/>
        <w:jc w:val="both"/>
        <w:rPr>
          <w:rFonts w:ascii="Times New Roman" w:eastAsia="Calibri" w:hAnsi="Times New Roman" w:cs="Times New Roman"/>
        </w:rPr>
      </w:pPr>
    </w:p>
    <w:p w:rsidR="00361A26" w:rsidRPr="00EA224A" w:rsidRDefault="00CA6A9D"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361A26" w:rsidRPr="00EA224A">
        <w:rPr>
          <w:rFonts w:ascii="Times New Roman" w:eastAsia="Calibri" w:hAnsi="Times New Roman" w:cs="Times New Roman"/>
        </w:rPr>
        <w:tab/>
        <w:t xml:space="preserve">Columbia argues </w:t>
      </w:r>
      <w:r w:rsidRPr="00EA224A">
        <w:rPr>
          <w:rFonts w:ascii="Times New Roman" w:eastAsia="Calibri" w:hAnsi="Times New Roman" w:cs="Times New Roman"/>
        </w:rPr>
        <w:t>that an increase in the bad debt expense of $564 over the test year 2012 expense is appropriate because “the real world of utility management recognizes that with customer rate increases, bad debt expense will likely increase because additional customers become delinquent on their water bills.”  CWC St. 2R at 15.  Co</w:t>
      </w:r>
      <w:r w:rsidR="00361A26" w:rsidRPr="00EA224A">
        <w:rPr>
          <w:rFonts w:ascii="Times New Roman" w:eastAsia="Calibri" w:hAnsi="Times New Roman" w:cs="Times New Roman"/>
        </w:rPr>
        <w:t xml:space="preserve">lumbia </w:t>
      </w:r>
      <w:r w:rsidRPr="00EA224A">
        <w:rPr>
          <w:rFonts w:ascii="Times New Roman" w:eastAsia="Calibri" w:hAnsi="Times New Roman" w:cs="Times New Roman"/>
        </w:rPr>
        <w:t>argues that the claimed bad debt expense of $11,000 is reasonable because it only amounts to 0.23% of the Company’s proposed billed revenues.  CWC St. 2R at 16.</w:t>
      </w:r>
      <w:r w:rsidRPr="00EA224A">
        <w:rPr>
          <w:rFonts w:ascii="Times New Roman" w:eastAsia="Calibri" w:hAnsi="Times New Roman" w:cs="Times New Roman"/>
          <w:vertAlign w:val="superscript"/>
        </w:rPr>
        <w:footnoteReference w:id="9"/>
      </w:r>
    </w:p>
    <w:p w:rsidR="00361A26" w:rsidRPr="00EA224A" w:rsidRDefault="00361A26" w:rsidP="00047866">
      <w:pPr>
        <w:autoSpaceDE/>
        <w:autoSpaceDN/>
        <w:spacing w:line="360" w:lineRule="auto"/>
        <w:contextualSpacing/>
        <w:jc w:val="both"/>
        <w:rPr>
          <w:rFonts w:ascii="Times New Roman" w:eastAsia="Calibri" w:hAnsi="Times New Roman" w:cs="Times New Roman"/>
        </w:rPr>
      </w:pPr>
    </w:p>
    <w:p w:rsidR="00AD5F97" w:rsidRDefault="00361A26"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t>Columbia’s approach is based on the utility’s understanding of its business and customer base</w:t>
      </w:r>
      <w:r w:rsidR="00AD5F97">
        <w:rPr>
          <w:rFonts w:ascii="Times New Roman" w:eastAsia="Calibri" w:hAnsi="Times New Roman" w:cs="Times New Roman"/>
        </w:rPr>
        <w:t>:</w:t>
      </w:r>
    </w:p>
    <w:p w:rsidR="00AD5F97" w:rsidRDefault="00AD5F97" w:rsidP="004272F2">
      <w:pPr>
        <w:autoSpaceDE/>
        <w:autoSpaceDN/>
        <w:spacing w:line="360" w:lineRule="auto"/>
        <w:contextualSpacing/>
        <w:rPr>
          <w:rFonts w:ascii="Times New Roman" w:eastAsia="Calibri" w:hAnsi="Times New Roman" w:cs="Times New Roman"/>
        </w:rPr>
      </w:pPr>
    </w:p>
    <w:p w:rsidR="00AD5F97" w:rsidRDefault="00AD5F97" w:rsidP="00AD5F97">
      <w:pPr>
        <w:autoSpaceDE/>
        <w:autoSpaceDN/>
        <w:ind w:left="1440" w:right="1008"/>
        <w:contextualSpacing/>
        <w:rPr>
          <w:rFonts w:ascii="Times New Roman" w:eastAsia="Calibri" w:hAnsi="Times New Roman" w:cs="Times New Roman"/>
        </w:rPr>
      </w:pPr>
      <w:r w:rsidRPr="00AD5F97">
        <w:rPr>
          <w:rFonts w:ascii="Times New Roman" w:eastAsia="Calibri" w:hAnsi="Times New Roman" w:cs="Times New Roman"/>
        </w:rPr>
        <w:t xml:space="preserve">Mr. Shambaugh </w:t>
      </w:r>
      <w:r>
        <w:rPr>
          <w:rFonts w:ascii="Times New Roman" w:eastAsia="Calibri" w:hAnsi="Times New Roman" w:cs="Times New Roman"/>
        </w:rPr>
        <w:t xml:space="preserve"> . . .</w:t>
      </w:r>
      <w:r w:rsidRPr="00AD5F97">
        <w:rPr>
          <w:rFonts w:ascii="Times New Roman" w:eastAsia="Calibri" w:hAnsi="Times New Roman" w:cs="Times New Roman"/>
        </w:rPr>
        <w:t xml:space="preserve"> explained that the Company’s filing has a known and measurable level of bad debt expense. (Tr. at 134)  He went on to explain that when figuring bad debt expense, it is his position that the Company should use audited numbers and not estimates derived from an averaging basis as suggested by the OCA. (Tr. at 134)  In Mr. Shambaugh’s opinion, the OCA uses a results-oriented calculation to reduce the Company’s claim.  (Tr. at 134)</w:t>
      </w:r>
    </w:p>
    <w:p w:rsidR="00AD5F97" w:rsidRPr="00AD5F97" w:rsidRDefault="00AD5F97" w:rsidP="00AD5F97">
      <w:pPr>
        <w:autoSpaceDE/>
        <w:autoSpaceDN/>
        <w:ind w:left="1440" w:right="1008"/>
        <w:contextualSpacing/>
        <w:rPr>
          <w:rFonts w:ascii="Times New Roman" w:eastAsia="Calibri" w:hAnsi="Times New Roman" w:cs="Times New Roman"/>
        </w:rPr>
      </w:pPr>
    </w:p>
    <w:p w:rsidR="00AD5F97" w:rsidRDefault="00AD5F97" w:rsidP="00AD5F97">
      <w:pPr>
        <w:autoSpaceDE/>
        <w:autoSpaceDN/>
        <w:ind w:left="1440" w:right="1008"/>
        <w:contextualSpacing/>
        <w:rPr>
          <w:rFonts w:ascii="Times New Roman" w:eastAsia="Calibri" w:hAnsi="Times New Roman" w:cs="Times New Roman"/>
        </w:rPr>
      </w:pPr>
      <w:r w:rsidRPr="00AD5F97">
        <w:rPr>
          <w:rFonts w:ascii="Times New Roman" w:eastAsia="Calibri" w:hAnsi="Times New Roman" w:cs="Times New Roman"/>
        </w:rPr>
        <w:t xml:space="preserve">Mr. Shambaugh testified that it has been his experience (over 40 years’ experience in preparing various financial studies, including rate studies for electric, gas, water, wastewater, steam heat, chilled water, and telephone companies (CWC Statement No. 2 at 3:5-7)) that when you are dealing with rental apartments and things like that you have a higher level of bad debt expense going forward. (Tr. at 134)  Mr. Shambaugh’s observations and testimony were, in essence, corroborated by the public input testimony offered by the Manager of the Borough of Columbia, who testified that “The borough is an economically challenged community with a disproportionately high percentage of low-income households, senior citizens and rental housing.” (Tr. at 35)  The Company’s position of using audited, known and measurable current numbers, instead of OCA’s 4-year guesstimate is a more accurate way of predicting bad debt expense.  </w:t>
      </w:r>
      <w:r>
        <w:rPr>
          <w:rFonts w:ascii="Times New Roman" w:eastAsia="Calibri" w:hAnsi="Times New Roman" w:cs="Times New Roman"/>
        </w:rPr>
        <w:t>Columbia MB at 21.</w:t>
      </w:r>
    </w:p>
    <w:p w:rsidR="00AD5F97" w:rsidRDefault="00AD5F97" w:rsidP="004272F2">
      <w:pPr>
        <w:autoSpaceDE/>
        <w:autoSpaceDN/>
        <w:spacing w:line="360" w:lineRule="auto"/>
        <w:contextualSpacing/>
        <w:rPr>
          <w:rFonts w:ascii="Times New Roman" w:eastAsia="Calibri" w:hAnsi="Times New Roman" w:cs="Times New Roman"/>
        </w:rPr>
      </w:pPr>
    </w:p>
    <w:p w:rsidR="00361A26" w:rsidRPr="00EA224A" w:rsidRDefault="00AD5F97" w:rsidP="004272F2">
      <w:pPr>
        <w:autoSpaceDE/>
        <w:autoSpaceDN/>
        <w:spacing w:line="360" w:lineRule="auto"/>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sidR="00361A26" w:rsidRPr="00EA224A">
        <w:rPr>
          <w:rFonts w:ascii="Times New Roman" w:eastAsia="Calibri" w:hAnsi="Times New Roman" w:cs="Times New Roman"/>
        </w:rPr>
        <w:t xml:space="preserve">Both the OCA’s and Columbia’s approaches to this issue are reasonable, but the OCA has not offered a convincing argument with respect to why its methodology should be preferred.  The requested adjustment is </w:t>
      </w:r>
      <w:r w:rsidR="005A07B1" w:rsidRPr="00EA224A">
        <w:rPr>
          <w:rFonts w:ascii="Times New Roman" w:eastAsia="Calibri" w:hAnsi="Times New Roman" w:cs="Times New Roman"/>
        </w:rPr>
        <w:t>rejected</w:t>
      </w:r>
      <w:r w:rsidR="00361A26" w:rsidRPr="00EA224A">
        <w:rPr>
          <w:rFonts w:ascii="Times New Roman" w:eastAsia="Calibri" w:hAnsi="Times New Roman" w:cs="Times New Roman"/>
        </w:rPr>
        <w:t>.</w:t>
      </w:r>
    </w:p>
    <w:p w:rsidR="00CC0BE3" w:rsidRPr="00EA224A" w:rsidRDefault="00CC0BE3" w:rsidP="00047866">
      <w:pPr>
        <w:autoSpaceDE/>
        <w:autoSpaceDN/>
        <w:spacing w:line="360" w:lineRule="auto"/>
        <w:contextualSpacing/>
        <w:jc w:val="both"/>
        <w:rPr>
          <w:rFonts w:ascii="Times New Roman" w:eastAsia="Calibri" w:hAnsi="Times New Roman" w:cs="Times New Roman"/>
        </w:rPr>
      </w:pPr>
    </w:p>
    <w:p w:rsidR="00CA6A9D" w:rsidRPr="00EA224A" w:rsidRDefault="009D3F59" w:rsidP="000E74AA">
      <w:pPr>
        <w:keepNext/>
        <w:autoSpaceDE/>
        <w:autoSpaceDN/>
        <w:spacing w:line="360" w:lineRule="auto"/>
        <w:ind w:left="1440" w:hanging="720"/>
        <w:contextualSpacing/>
        <w:outlineLvl w:val="1"/>
        <w:rPr>
          <w:rFonts w:ascii="Times New Roman" w:hAnsi="Times New Roman" w:cs="Times New Roman"/>
          <w:bCs/>
          <w:iCs/>
        </w:rPr>
      </w:pPr>
      <w:bookmarkStart w:id="21" w:name="_Toc367958622"/>
      <w:r w:rsidRPr="00EA224A">
        <w:rPr>
          <w:rFonts w:ascii="Times New Roman" w:eastAsia="Calibri" w:hAnsi="Times New Roman" w:cs="Times New Roman"/>
        </w:rPr>
        <w:t>7</w:t>
      </w:r>
      <w:r w:rsidR="00361A26" w:rsidRPr="00EA224A">
        <w:rPr>
          <w:rFonts w:ascii="Times New Roman" w:eastAsia="Calibri" w:hAnsi="Times New Roman" w:cs="Times New Roman"/>
        </w:rPr>
        <w:t>.</w:t>
      </w:r>
      <w:r w:rsidR="00361A26" w:rsidRPr="00EA224A">
        <w:rPr>
          <w:rFonts w:ascii="Times New Roman" w:eastAsia="Calibri" w:hAnsi="Times New Roman" w:cs="Times New Roman"/>
        </w:rPr>
        <w:tab/>
      </w:r>
      <w:r w:rsidR="00CA6A9D" w:rsidRPr="00EA224A">
        <w:rPr>
          <w:rFonts w:ascii="Times New Roman" w:hAnsi="Times New Roman" w:cs="Times New Roman"/>
          <w:bCs/>
          <w:iCs/>
        </w:rPr>
        <w:t xml:space="preserve">Employee Salaries </w:t>
      </w:r>
      <w:r w:rsidR="00361A26" w:rsidRPr="00EA224A">
        <w:rPr>
          <w:rFonts w:ascii="Times New Roman" w:hAnsi="Times New Roman" w:cs="Times New Roman"/>
          <w:bCs/>
          <w:iCs/>
        </w:rPr>
        <w:t>and</w:t>
      </w:r>
      <w:r w:rsidR="00CA6A9D" w:rsidRPr="00EA224A">
        <w:rPr>
          <w:rFonts w:ascii="Times New Roman" w:hAnsi="Times New Roman" w:cs="Times New Roman"/>
          <w:bCs/>
          <w:iCs/>
        </w:rPr>
        <w:t xml:space="preserve"> Wages and Related Adjustment to Payroll Taxes</w:t>
      </w:r>
      <w:bookmarkEnd w:id="21"/>
      <w:r w:rsidR="000E74AA">
        <w:rPr>
          <w:rFonts w:ascii="Times New Roman" w:hAnsi="Times New Roman" w:cs="Times New Roman"/>
          <w:bCs/>
          <w:iCs/>
        </w:rPr>
        <w:fldChar w:fldCharType="begin"/>
      </w:r>
      <w:r w:rsidR="000E74AA">
        <w:instrText xml:space="preserve"> TC "</w:instrText>
      </w:r>
      <w:bookmarkStart w:id="22" w:name="_Toc372704692"/>
      <w:r w:rsidR="000E74AA" w:rsidRPr="00831096">
        <w:rPr>
          <w:rFonts w:ascii="Times New Roman" w:eastAsia="Calibri" w:hAnsi="Times New Roman" w:cs="Times New Roman"/>
        </w:rPr>
        <w:instrText>7.</w:instrText>
      </w:r>
      <w:r w:rsidR="000E74AA" w:rsidRPr="00831096">
        <w:rPr>
          <w:rFonts w:ascii="Times New Roman" w:eastAsia="Calibri" w:hAnsi="Times New Roman" w:cs="Times New Roman"/>
        </w:rPr>
        <w:tab/>
      </w:r>
      <w:r w:rsidR="000E74AA" w:rsidRPr="00831096">
        <w:rPr>
          <w:rFonts w:ascii="Times New Roman" w:hAnsi="Times New Roman" w:cs="Times New Roman"/>
          <w:bCs/>
          <w:iCs/>
        </w:rPr>
        <w:instrText>Employee Salaries and Wages and Related Adjustment to Payroll Taxes</w:instrText>
      </w:r>
      <w:bookmarkEnd w:id="22"/>
      <w:r w:rsidR="000E74AA">
        <w:instrText xml:space="preserve">" \f C \l "3" </w:instrText>
      </w:r>
      <w:r w:rsidR="000E74AA">
        <w:rPr>
          <w:rFonts w:ascii="Times New Roman" w:hAnsi="Times New Roman" w:cs="Times New Roman"/>
          <w:bCs/>
          <w:iCs/>
        </w:rPr>
        <w:fldChar w:fldCharType="end"/>
      </w:r>
    </w:p>
    <w:p w:rsidR="009D3F59" w:rsidRPr="00EA224A" w:rsidRDefault="009D3F59" w:rsidP="00047866">
      <w:pPr>
        <w:keepNext/>
        <w:autoSpaceDE/>
        <w:autoSpaceDN/>
        <w:spacing w:line="360" w:lineRule="auto"/>
        <w:contextualSpacing/>
        <w:jc w:val="both"/>
        <w:outlineLvl w:val="1"/>
        <w:rPr>
          <w:rFonts w:ascii="Times New Roman" w:hAnsi="Times New Roman" w:cs="Times New Roman"/>
          <w:bCs/>
          <w:iCs/>
        </w:rPr>
      </w:pPr>
    </w:p>
    <w:p w:rsidR="00361A26" w:rsidRPr="00EA224A" w:rsidRDefault="00361A26"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t>The OCA has an ongoing issue with the allocation of hours for Columbia employees who also perform work for Marietta</w:t>
      </w:r>
      <w:r w:rsidR="004320F9">
        <w:rPr>
          <w:rFonts w:ascii="Times New Roman" w:eastAsia="Calibri" w:hAnsi="Times New Roman" w:cs="Times New Roman"/>
        </w:rPr>
        <w:t xml:space="preserve"> Division</w:t>
      </w:r>
      <w:r w:rsidRPr="00EA224A">
        <w:rPr>
          <w:rFonts w:ascii="Times New Roman" w:eastAsia="Calibri" w:hAnsi="Times New Roman" w:cs="Times New Roman"/>
        </w:rPr>
        <w:t>.  In sum:</w:t>
      </w:r>
    </w:p>
    <w:p w:rsidR="006B215C" w:rsidRPr="00EA224A" w:rsidRDefault="006B215C" w:rsidP="00047866">
      <w:pPr>
        <w:autoSpaceDE/>
        <w:autoSpaceDN/>
        <w:spacing w:line="360" w:lineRule="auto"/>
        <w:contextualSpacing/>
        <w:jc w:val="both"/>
        <w:rPr>
          <w:rFonts w:ascii="Times New Roman" w:eastAsia="Calibri" w:hAnsi="Times New Roman" w:cs="Times New Roman"/>
        </w:rPr>
      </w:pPr>
    </w:p>
    <w:p w:rsidR="00361A26" w:rsidRPr="00EA224A" w:rsidRDefault="00CA6A9D" w:rsidP="004272F2">
      <w:pPr>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The OCA disagrees with how Columbia allocated the hours of its hourly employees who perform w</w:t>
      </w:r>
      <w:r w:rsidR="0093634C">
        <w:rPr>
          <w:rFonts w:ascii="Times New Roman" w:eastAsia="Calibri" w:hAnsi="Times New Roman" w:cs="Times New Roman"/>
        </w:rPr>
        <w:t>ork for Marietta.  OCA St. 1 at </w:t>
      </w:r>
      <w:r w:rsidRPr="00EA224A">
        <w:rPr>
          <w:rFonts w:ascii="Times New Roman" w:eastAsia="Calibri" w:hAnsi="Times New Roman" w:cs="Times New Roman"/>
        </w:rPr>
        <w:t>28-30.  Ms. Everette explained that the data from a few months of time sheets is not a reasonable basis to allocate wages over the course of a year</w:t>
      </w:r>
      <w:r w:rsidR="00361A26" w:rsidRPr="00EA224A">
        <w:rPr>
          <w:rFonts w:ascii="Times New Roman" w:eastAsia="Calibri" w:hAnsi="Times New Roman" w:cs="Times New Roman"/>
        </w:rPr>
        <w:t xml:space="preserve"> [a]</w:t>
      </w:r>
      <w:r w:rsidR="0003039C" w:rsidRPr="00EA224A">
        <w:rPr>
          <w:rFonts w:ascii="Times New Roman" w:eastAsia="Calibri" w:hAnsi="Times New Roman" w:cs="Times New Roman"/>
        </w:rPr>
        <w:t>nd opined that a</w:t>
      </w:r>
      <w:r w:rsidRPr="00EA224A">
        <w:rPr>
          <w:rFonts w:ascii="Times New Roman" w:eastAsia="Calibri" w:hAnsi="Times New Roman" w:cs="Times New Roman"/>
        </w:rPr>
        <w:t xml:space="preserve"> more informed basis for allocating wages between the divisions is to use the 15% allocation that was determined by the Company based on the experience of David Lewis as Superintendent of </w:t>
      </w:r>
      <w:r w:rsidR="00A36221">
        <w:rPr>
          <w:rFonts w:ascii="Times New Roman" w:eastAsia="Calibri" w:hAnsi="Times New Roman" w:cs="Times New Roman"/>
        </w:rPr>
        <w:t>Marietta Gravity.  OCA St. 1 at </w:t>
      </w:r>
      <w:r w:rsidRPr="00EA224A">
        <w:rPr>
          <w:rFonts w:ascii="Times New Roman" w:eastAsia="Calibri" w:hAnsi="Times New Roman" w:cs="Times New Roman"/>
        </w:rPr>
        <w:t xml:space="preserve">28.  In other words, the OCA recommends applying the Company’s 15% allocation factor to the Salaries and Wages of </w:t>
      </w:r>
      <w:r w:rsidRPr="00EA224A">
        <w:rPr>
          <w:rFonts w:ascii="Times New Roman" w:eastAsia="Calibri" w:hAnsi="Times New Roman" w:cs="Times New Roman"/>
          <w:u w:val="single"/>
        </w:rPr>
        <w:t>all</w:t>
      </w:r>
      <w:r w:rsidRPr="00EA224A">
        <w:rPr>
          <w:rFonts w:ascii="Times New Roman" w:eastAsia="Calibri" w:hAnsi="Times New Roman" w:cs="Times New Roman"/>
        </w:rPr>
        <w:t xml:space="preserve"> applicable salaried and hourly employees.  </w:t>
      </w:r>
      <w:r w:rsidRPr="00EA224A">
        <w:rPr>
          <w:rFonts w:ascii="Times New Roman" w:eastAsia="Calibri" w:hAnsi="Times New Roman" w:cs="Times New Roman"/>
          <w:u w:val="single"/>
        </w:rPr>
        <w:t>Id</w:t>
      </w:r>
      <w:r w:rsidRPr="00EA224A">
        <w:rPr>
          <w:rFonts w:ascii="Times New Roman" w:eastAsia="Calibri" w:hAnsi="Times New Roman" w:cs="Times New Roman"/>
        </w:rPr>
        <w:t xml:space="preserve">. at 28-29.  As Ms. Everette noted, not all employees do work for the Marietta Division and the OCA did not recommend allocating any of their salaries and wages to that division, </w:t>
      </w:r>
      <w:r w:rsidRPr="00EA224A">
        <w:rPr>
          <w:rFonts w:ascii="Times New Roman" w:eastAsia="Calibri" w:hAnsi="Times New Roman" w:cs="Times New Roman"/>
          <w:i/>
        </w:rPr>
        <w:t>i.e.</w:t>
      </w:r>
      <w:r w:rsidRPr="00EA224A">
        <w:rPr>
          <w:rFonts w:ascii="Times New Roman" w:eastAsia="Calibri" w:hAnsi="Times New Roman" w:cs="Times New Roman"/>
        </w:rPr>
        <w:t xml:space="preserve"> Operators, Laborers, and Construction Manager.  OCA St. 1 at 29.  Ms. Everette allocated all remaining (or “applicable”) employees to the Marietta Division at 15%, for a total of $125,485.  OCA Exh. AEE-1S, Sch. 2S.  The resulting adjustment to the Company’s claim for Salaries &amp; Wages is $4,117.  OCA Exh. AEE-1S, Sch. 1S.</w:t>
      </w:r>
    </w:p>
    <w:p w:rsidR="00CA6A9D" w:rsidRPr="00EA224A" w:rsidRDefault="00CA6A9D" w:rsidP="00047866">
      <w:pPr>
        <w:autoSpaceDE/>
        <w:autoSpaceDN/>
        <w:spacing w:line="360" w:lineRule="auto"/>
        <w:contextualSpacing/>
        <w:jc w:val="both"/>
        <w:rPr>
          <w:rFonts w:ascii="Times New Roman" w:eastAsia="Calibri" w:hAnsi="Times New Roman" w:cs="Times New Roman"/>
        </w:rPr>
      </w:pPr>
    </w:p>
    <w:p w:rsidR="00361A26" w:rsidRPr="00EA224A" w:rsidRDefault="00CA6A9D"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361A26" w:rsidRPr="00EA224A">
        <w:rPr>
          <w:rFonts w:ascii="Times New Roman" w:eastAsia="Calibri" w:hAnsi="Times New Roman" w:cs="Times New Roman"/>
        </w:rPr>
        <w:tab/>
        <w:t>In response, Columbia</w:t>
      </w:r>
      <w:r w:rsidRPr="00EA224A">
        <w:rPr>
          <w:rFonts w:ascii="Times New Roman" w:eastAsia="Calibri" w:hAnsi="Times New Roman" w:cs="Times New Roman"/>
        </w:rPr>
        <w:t xml:space="preserve"> argues that the 15% factor </w:t>
      </w:r>
      <w:r w:rsidR="00361A26" w:rsidRPr="00EA224A">
        <w:rPr>
          <w:rFonts w:ascii="Times New Roman" w:eastAsia="Calibri" w:hAnsi="Times New Roman" w:cs="Times New Roman"/>
        </w:rPr>
        <w:t>advocated</w:t>
      </w:r>
      <w:r w:rsidRPr="00EA224A">
        <w:rPr>
          <w:rFonts w:ascii="Times New Roman" w:eastAsia="Calibri" w:hAnsi="Times New Roman" w:cs="Times New Roman"/>
        </w:rPr>
        <w:t xml:space="preserve"> by the </w:t>
      </w:r>
      <w:r w:rsidR="00361A26" w:rsidRPr="00EA224A">
        <w:rPr>
          <w:rFonts w:ascii="Times New Roman" w:eastAsia="Calibri" w:hAnsi="Times New Roman" w:cs="Times New Roman"/>
        </w:rPr>
        <w:t xml:space="preserve">OCA </w:t>
      </w:r>
      <w:r w:rsidRPr="00EA224A">
        <w:rPr>
          <w:rFonts w:ascii="Times New Roman" w:eastAsia="Calibri" w:hAnsi="Times New Roman" w:cs="Times New Roman"/>
        </w:rPr>
        <w:t xml:space="preserve">ignores that Columbia employees must still do Columbia Division work.  CWC St. 1R at 2, 4-5.  </w:t>
      </w:r>
      <w:r w:rsidR="00361A26" w:rsidRPr="00EA224A">
        <w:rPr>
          <w:rFonts w:ascii="Times New Roman" w:eastAsia="Calibri" w:hAnsi="Times New Roman" w:cs="Times New Roman"/>
        </w:rPr>
        <w:t>Further, the OCA admits that s</w:t>
      </w:r>
      <w:r w:rsidRPr="00EA224A">
        <w:rPr>
          <w:rFonts w:ascii="Times New Roman" w:eastAsia="Calibri" w:hAnsi="Times New Roman" w:cs="Times New Roman"/>
        </w:rPr>
        <w:t xml:space="preserve">everal of </w:t>
      </w:r>
      <w:r w:rsidR="00361A26" w:rsidRPr="00EA224A">
        <w:rPr>
          <w:rFonts w:ascii="Times New Roman" w:eastAsia="Calibri" w:hAnsi="Times New Roman" w:cs="Times New Roman"/>
        </w:rPr>
        <w:t xml:space="preserve">its </w:t>
      </w:r>
      <w:r w:rsidRPr="00EA224A">
        <w:rPr>
          <w:rFonts w:ascii="Times New Roman" w:eastAsia="Calibri" w:hAnsi="Times New Roman" w:cs="Times New Roman"/>
        </w:rPr>
        <w:t xml:space="preserve">objections </w:t>
      </w:r>
      <w:r w:rsidR="00361A26" w:rsidRPr="00EA224A">
        <w:rPr>
          <w:rFonts w:ascii="Times New Roman" w:eastAsia="Calibri" w:hAnsi="Times New Roman" w:cs="Times New Roman"/>
        </w:rPr>
        <w:t>we</w:t>
      </w:r>
      <w:r w:rsidRPr="00EA224A">
        <w:rPr>
          <w:rFonts w:ascii="Times New Roman" w:eastAsia="Calibri" w:hAnsi="Times New Roman" w:cs="Times New Roman"/>
        </w:rPr>
        <w:t>re resolved by updates and corrections contained in Ms. Everette’s surrebuttal testimony, made in response to information provided in Columbia’s rebuttal testimony.  OCA St. 1S at 15-17.</w:t>
      </w:r>
    </w:p>
    <w:p w:rsidR="00241EDA" w:rsidRDefault="00241EDA" w:rsidP="004272F2">
      <w:pPr>
        <w:autoSpaceDE/>
        <w:autoSpaceDN/>
        <w:spacing w:line="360" w:lineRule="auto"/>
        <w:contextualSpacing/>
        <w:rPr>
          <w:rFonts w:ascii="Times New Roman" w:eastAsia="Calibri" w:hAnsi="Times New Roman" w:cs="Times New Roman"/>
        </w:rPr>
      </w:pPr>
    </w:p>
    <w:p w:rsidR="00361A26" w:rsidRPr="00EA224A" w:rsidRDefault="00241EDA" w:rsidP="004272F2">
      <w:pPr>
        <w:autoSpaceDE/>
        <w:autoSpaceDN/>
        <w:spacing w:line="360" w:lineRule="auto"/>
        <w:contextualSpacing/>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t xml:space="preserve">The </w:t>
      </w:r>
      <w:r w:rsidR="00361A26" w:rsidRPr="00EA224A">
        <w:rPr>
          <w:rFonts w:ascii="Times New Roman" w:eastAsia="Calibri" w:hAnsi="Times New Roman" w:cs="Times New Roman"/>
        </w:rPr>
        <w:t>OCA’s argument in this area is</w:t>
      </w:r>
      <w:r w:rsidR="00EF2E91">
        <w:rPr>
          <w:rFonts w:ascii="Times New Roman" w:eastAsia="Calibri" w:hAnsi="Times New Roman" w:cs="Times New Roman"/>
        </w:rPr>
        <w:t xml:space="preserve"> </w:t>
      </w:r>
      <w:r w:rsidR="00361A26" w:rsidRPr="00EA224A">
        <w:rPr>
          <w:rFonts w:ascii="Times New Roman" w:eastAsia="Calibri" w:hAnsi="Times New Roman" w:cs="Times New Roman"/>
        </w:rPr>
        <w:t>what adjustments its witness wants o</w:t>
      </w:r>
      <w:r w:rsidR="00943D23">
        <w:rPr>
          <w:rFonts w:ascii="Times New Roman" w:eastAsia="Calibri" w:hAnsi="Times New Roman" w:cs="Times New Roman"/>
        </w:rPr>
        <w:t>r what she eventually accepted:</w:t>
      </w:r>
    </w:p>
    <w:p w:rsidR="00361A26" w:rsidRPr="00EA224A" w:rsidRDefault="00361A26" w:rsidP="00047866">
      <w:pPr>
        <w:autoSpaceDE/>
        <w:autoSpaceDN/>
        <w:spacing w:line="360" w:lineRule="auto"/>
        <w:contextualSpacing/>
        <w:jc w:val="both"/>
        <w:rPr>
          <w:rFonts w:ascii="Times New Roman" w:eastAsia="Calibri" w:hAnsi="Times New Roman" w:cs="Times New Roman"/>
        </w:rPr>
      </w:pPr>
    </w:p>
    <w:p w:rsidR="00CA6A9D" w:rsidRPr="00EA224A" w:rsidRDefault="00CA6A9D" w:rsidP="004272F2">
      <w:pPr>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 xml:space="preserve">Specifically, she accepted the Company’s 4.3% allocation for salaries of Customer Service personnel based on the fact that this position fluctuates with the number of bills sent for each division.  OCA St. 1S at 16; CWC St. 1R at 5-6. </w:t>
      </w:r>
      <w:r w:rsidR="00943D23">
        <w:rPr>
          <w:rFonts w:ascii="Times New Roman" w:eastAsia="Calibri" w:hAnsi="Times New Roman" w:cs="Times New Roman"/>
        </w:rPr>
        <w:t xml:space="preserve"> </w:t>
      </w:r>
      <w:r w:rsidRPr="00EA224A">
        <w:rPr>
          <w:rFonts w:ascii="Times New Roman" w:eastAsia="Calibri" w:hAnsi="Times New Roman" w:cs="Times New Roman"/>
        </w:rPr>
        <w:t>Similarly, OCA witness Everette accepted the Company’s recommended 4.3% allocation for the Meter Reader based on the relative frequency of meter reads for each division.  OCA St. 1S at 17; CWC St. 1R at 6-7.  Ms. Everette also eliminated any allocation for the Fire Hydrant Painter because he does not work in the Marietta Division.  OCA St. 1S at 17; CWC St. 1R at 7.  Finally, Ms. Everette corrected her unintentional allocation to the Op</w:t>
      </w:r>
      <w:r w:rsidR="00F41012">
        <w:rPr>
          <w:rFonts w:ascii="Times New Roman" w:eastAsia="Calibri" w:hAnsi="Times New Roman" w:cs="Times New Roman"/>
        </w:rPr>
        <w:t>erator’s salary.  OCA St. 1S at </w:t>
      </w:r>
      <w:r w:rsidRPr="00EA224A">
        <w:rPr>
          <w:rFonts w:ascii="Times New Roman" w:eastAsia="Calibri" w:hAnsi="Times New Roman" w:cs="Times New Roman"/>
        </w:rPr>
        <w:t>17-18.</w:t>
      </w:r>
    </w:p>
    <w:p w:rsidR="00361A26" w:rsidRPr="00EA224A" w:rsidRDefault="00361A26" w:rsidP="00047866">
      <w:pPr>
        <w:autoSpaceDE/>
        <w:autoSpaceDN/>
        <w:ind w:left="1440" w:right="1440"/>
        <w:contextualSpacing/>
        <w:jc w:val="both"/>
        <w:rPr>
          <w:rFonts w:ascii="Times New Roman" w:eastAsia="Calibri" w:hAnsi="Times New Roman" w:cs="Times New Roman"/>
        </w:rPr>
      </w:pPr>
    </w:p>
    <w:p w:rsidR="00361A26" w:rsidRPr="00EA224A" w:rsidRDefault="00361A26" w:rsidP="00047866">
      <w:pPr>
        <w:autoSpaceDE/>
        <w:autoSpaceDN/>
        <w:ind w:left="1440" w:right="1440"/>
        <w:contextualSpacing/>
        <w:jc w:val="center"/>
        <w:rPr>
          <w:rFonts w:ascii="Times New Roman" w:eastAsia="Calibri" w:hAnsi="Times New Roman" w:cs="Times New Roman"/>
        </w:rPr>
      </w:pPr>
      <w:r w:rsidRPr="00EA224A">
        <w:rPr>
          <w:rFonts w:ascii="Times New Roman" w:eastAsia="Calibri" w:hAnsi="Times New Roman" w:cs="Times New Roman"/>
        </w:rPr>
        <w:t>*</w:t>
      </w:r>
      <w:r w:rsidRPr="00EA224A">
        <w:rPr>
          <w:rFonts w:ascii="Times New Roman" w:eastAsia="Calibri" w:hAnsi="Times New Roman" w:cs="Times New Roman"/>
        </w:rPr>
        <w:tab/>
        <w:t>*</w:t>
      </w:r>
      <w:r w:rsidRPr="00EA224A">
        <w:rPr>
          <w:rFonts w:ascii="Times New Roman" w:eastAsia="Calibri" w:hAnsi="Times New Roman" w:cs="Times New Roman"/>
        </w:rPr>
        <w:tab/>
        <w:t>*</w:t>
      </w:r>
    </w:p>
    <w:p w:rsidR="00361A26" w:rsidRPr="00EA224A" w:rsidRDefault="00361A26" w:rsidP="00047866">
      <w:pPr>
        <w:autoSpaceDE/>
        <w:autoSpaceDN/>
        <w:ind w:left="1440" w:right="1440"/>
        <w:contextualSpacing/>
        <w:jc w:val="both"/>
        <w:rPr>
          <w:rFonts w:ascii="Times New Roman" w:eastAsia="Calibri" w:hAnsi="Times New Roman" w:cs="Times New Roman"/>
        </w:rPr>
      </w:pPr>
    </w:p>
    <w:p w:rsidR="00361A26" w:rsidRPr="00EA224A" w:rsidRDefault="00361A26" w:rsidP="004272F2">
      <w:pPr>
        <w:autoSpaceDE/>
        <w:autoSpaceDN/>
        <w:ind w:left="1440" w:right="1440"/>
        <w:contextualSpacing/>
        <w:rPr>
          <w:rFonts w:ascii="Times New Roman" w:eastAsia="Calibri" w:hAnsi="Times New Roman" w:cs="Times New Roman"/>
        </w:rPr>
      </w:pPr>
      <w:r w:rsidRPr="00EA224A">
        <w:rPr>
          <w:rFonts w:ascii="Times New Roman" w:eastAsia="Calibri" w:hAnsi="Times New Roman" w:cs="Times New Roman"/>
        </w:rPr>
        <w:t xml:space="preserve">OCA witness Everette noted that the allocation for the Construction Manager </w:t>
      </w:r>
      <w:r w:rsidRPr="00EA224A">
        <w:rPr>
          <w:rFonts w:ascii="Times New Roman" w:eastAsia="Calibri" w:hAnsi="Times New Roman" w:cs="Times New Roman"/>
          <w:i/>
        </w:rPr>
        <w:t>may need to be adjusted in future cases after the treatment plant upgrade project ends</w:t>
      </w:r>
      <w:r w:rsidRPr="00EA224A">
        <w:rPr>
          <w:rFonts w:ascii="Times New Roman" w:eastAsia="Calibri" w:hAnsi="Times New Roman" w:cs="Times New Roman"/>
        </w:rPr>
        <w:t xml:space="preserve">.  Currently, he is spending 100% of his time on that project and no time on the Marietta Division.  OCA St. 1 at 29 (citing Company response to </w:t>
      </w:r>
      <w:r w:rsidR="009F632A">
        <w:rPr>
          <w:rFonts w:ascii="Times New Roman" w:eastAsia="Calibri" w:hAnsi="Times New Roman" w:cs="Times New Roman"/>
        </w:rPr>
        <w:t xml:space="preserve">OCA Set III-13).  OCA MB at fn </w:t>
      </w:r>
      <w:r w:rsidRPr="00EA224A">
        <w:rPr>
          <w:rFonts w:ascii="Times New Roman" w:eastAsia="Calibri" w:hAnsi="Times New Roman" w:cs="Times New Roman"/>
        </w:rPr>
        <w:t>(emphasis added)</w:t>
      </w:r>
      <w:r w:rsidR="009F632A">
        <w:rPr>
          <w:rFonts w:ascii="Times New Roman" w:eastAsia="Calibri" w:hAnsi="Times New Roman" w:cs="Times New Roman"/>
        </w:rPr>
        <w:t>.</w:t>
      </w:r>
    </w:p>
    <w:p w:rsidR="00361A26" w:rsidRPr="00EA224A" w:rsidRDefault="00361A26" w:rsidP="00047866">
      <w:pPr>
        <w:autoSpaceDE/>
        <w:autoSpaceDN/>
        <w:spacing w:line="360" w:lineRule="auto"/>
        <w:contextualSpacing/>
        <w:jc w:val="both"/>
        <w:rPr>
          <w:rFonts w:ascii="Times New Roman" w:eastAsia="Calibri" w:hAnsi="Times New Roman" w:cs="Times New Roman"/>
        </w:rPr>
      </w:pPr>
    </w:p>
    <w:p w:rsidR="00361A26" w:rsidRPr="00EA224A" w:rsidRDefault="00361A26"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00241EDA">
        <w:rPr>
          <w:rFonts w:ascii="Times New Roman" w:eastAsia="Calibri" w:hAnsi="Times New Roman" w:cs="Times New Roman"/>
        </w:rPr>
        <w:t xml:space="preserve">I agree with Columbia.  </w:t>
      </w:r>
      <w:r w:rsidRPr="00EA224A">
        <w:rPr>
          <w:rFonts w:ascii="Times New Roman" w:eastAsia="Calibri" w:hAnsi="Times New Roman" w:cs="Times New Roman"/>
        </w:rPr>
        <w:t>The proposed adjustment is rejected.</w:t>
      </w:r>
      <w:bookmarkStart w:id="23" w:name="_Toc367958623"/>
    </w:p>
    <w:p w:rsidR="00361A26" w:rsidRPr="00EA224A" w:rsidRDefault="00361A26" w:rsidP="00047866">
      <w:pPr>
        <w:autoSpaceDE/>
        <w:autoSpaceDN/>
        <w:spacing w:line="360" w:lineRule="auto"/>
        <w:contextualSpacing/>
        <w:jc w:val="both"/>
        <w:rPr>
          <w:rFonts w:ascii="Times New Roman" w:eastAsia="Calibri" w:hAnsi="Times New Roman" w:cs="Times New Roman"/>
        </w:rPr>
      </w:pPr>
    </w:p>
    <w:p w:rsidR="00CA6A9D" w:rsidRPr="00EA224A" w:rsidRDefault="009D3F59" w:rsidP="000E74AA">
      <w:pPr>
        <w:autoSpaceDE/>
        <w:autoSpaceDN/>
        <w:spacing w:line="360" w:lineRule="auto"/>
        <w:ind w:left="1440" w:hanging="720"/>
        <w:contextualSpacing/>
        <w:jc w:val="both"/>
        <w:rPr>
          <w:rFonts w:ascii="Times New Roman" w:hAnsi="Times New Roman" w:cs="Times New Roman"/>
          <w:bCs/>
          <w:iCs/>
        </w:rPr>
      </w:pPr>
      <w:r w:rsidRPr="00EA224A">
        <w:rPr>
          <w:rFonts w:ascii="Times New Roman" w:hAnsi="Times New Roman" w:cs="Times New Roman"/>
          <w:bCs/>
          <w:iCs/>
        </w:rPr>
        <w:t>8</w:t>
      </w:r>
      <w:r w:rsidR="00361A26" w:rsidRPr="00EA224A">
        <w:rPr>
          <w:rFonts w:ascii="Times New Roman" w:hAnsi="Times New Roman" w:cs="Times New Roman"/>
          <w:bCs/>
          <w:iCs/>
        </w:rPr>
        <w:t>.</w:t>
      </w:r>
      <w:r w:rsidR="00361A26" w:rsidRPr="00EA224A">
        <w:rPr>
          <w:rFonts w:ascii="Times New Roman" w:hAnsi="Times New Roman" w:cs="Times New Roman"/>
          <w:bCs/>
          <w:iCs/>
        </w:rPr>
        <w:tab/>
      </w:r>
      <w:r w:rsidR="00CA6A9D" w:rsidRPr="00EA224A">
        <w:rPr>
          <w:rFonts w:ascii="Times New Roman" w:hAnsi="Times New Roman" w:cs="Times New Roman"/>
          <w:bCs/>
          <w:iCs/>
        </w:rPr>
        <w:t>Pensions &amp; Benefits</w:t>
      </w:r>
      <w:bookmarkEnd w:id="23"/>
      <w:r w:rsidR="000E74AA">
        <w:rPr>
          <w:rFonts w:ascii="Times New Roman" w:hAnsi="Times New Roman" w:cs="Times New Roman"/>
          <w:bCs/>
          <w:iCs/>
        </w:rPr>
        <w:fldChar w:fldCharType="begin"/>
      </w:r>
      <w:r w:rsidR="000E74AA">
        <w:instrText xml:space="preserve"> TC "</w:instrText>
      </w:r>
      <w:bookmarkStart w:id="24" w:name="_Toc372704693"/>
      <w:r w:rsidR="000E74AA" w:rsidRPr="00831096">
        <w:rPr>
          <w:rFonts w:ascii="Times New Roman" w:hAnsi="Times New Roman" w:cs="Times New Roman"/>
          <w:bCs/>
          <w:iCs/>
        </w:rPr>
        <w:instrText>8.</w:instrText>
      </w:r>
      <w:r w:rsidR="000E74AA" w:rsidRPr="00831096">
        <w:rPr>
          <w:rFonts w:ascii="Times New Roman" w:hAnsi="Times New Roman" w:cs="Times New Roman"/>
          <w:bCs/>
          <w:iCs/>
        </w:rPr>
        <w:tab/>
        <w:instrText>Pensions &amp; Benefits</w:instrText>
      </w:r>
      <w:bookmarkEnd w:id="24"/>
      <w:r w:rsidR="000E74AA">
        <w:instrText xml:space="preserve">" \f C \l "3" </w:instrText>
      </w:r>
      <w:r w:rsidR="000E74AA">
        <w:rPr>
          <w:rFonts w:ascii="Times New Roman" w:hAnsi="Times New Roman" w:cs="Times New Roman"/>
          <w:bCs/>
          <w:iCs/>
        </w:rPr>
        <w:fldChar w:fldCharType="end"/>
      </w:r>
    </w:p>
    <w:p w:rsidR="009D3F59" w:rsidRPr="00EA224A" w:rsidRDefault="009D3F59" w:rsidP="00047866">
      <w:pPr>
        <w:autoSpaceDE/>
        <w:autoSpaceDN/>
        <w:spacing w:line="360" w:lineRule="auto"/>
        <w:contextualSpacing/>
        <w:jc w:val="both"/>
        <w:rPr>
          <w:rFonts w:ascii="Times New Roman" w:eastAsia="Calibri" w:hAnsi="Times New Roman" w:cs="Times New Roman"/>
        </w:rPr>
      </w:pPr>
    </w:p>
    <w:p w:rsidR="00125EB2" w:rsidRPr="00EA224A" w:rsidRDefault="00361A26" w:rsidP="004272F2">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r>
      <w:r w:rsidR="00CA6A9D" w:rsidRPr="00EA224A">
        <w:rPr>
          <w:rFonts w:ascii="Times New Roman" w:eastAsia="Calibri" w:hAnsi="Times New Roman" w:cs="Times New Roman"/>
        </w:rPr>
        <w:t xml:space="preserve">Columbia claimed a Future Test Year Pensions &amp; Benefits expense of $147,054. GDS Exh. 1 at 1-15.  This claim includes expenses for Pensions, Disability/Life Insurance, Health Insurance and Employee Recognition. </w:t>
      </w:r>
      <w:r w:rsidR="00A97303">
        <w:rPr>
          <w:rFonts w:ascii="Times New Roman" w:eastAsia="Calibri" w:hAnsi="Times New Roman" w:cs="Times New Roman"/>
        </w:rPr>
        <w:t xml:space="preserve"> </w:t>
      </w:r>
      <w:r w:rsidR="00CA6A9D" w:rsidRPr="00EA224A">
        <w:rPr>
          <w:rFonts w:ascii="Times New Roman" w:eastAsia="Calibri" w:hAnsi="Times New Roman" w:cs="Times New Roman"/>
        </w:rPr>
        <w:t xml:space="preserve">OCA St. 1 at 18-19 (citing OCA-I-29).  </w:t>
      </w:r>
      <w:r w:rsidRPr="00EA224A">
        <w:rPr>
          <w:rFonts w:ascii="Times New Roman" w:eastAsia="Calibri" w:hAnsi="Times New Roman" w:cs="Times New Roman"/>
        </w:rPr>
        <w:t xml:space="preserve">Once again, the OCA argues that </w:t>
      </w:r>
      <w:r w:rsidR="00CA6A9D" w:rsidRPr="00EA224A">
        <w:rPr>
          <w:rFonts w:ascii="Times New Roman" w:eastAsia="Calibri" w:hAnsi="Times New Roman" w:cs="Times New Roman"/>
        </w:rPr>
        <w:t xml:space="preserve">these claims represent a portion of employee costs </w:t>
      </w:r>
      <w:r w:rsidR="00AD5F97">
        <w:rPr>
          <w:rFonts w:ascii="Times New Roman" w:eastAsia="Calibri" w:hAnsi="Times New Roman" w:cs="Times New Roman"/>
        </w:rPr>
        <w:t>that</w:t>
      </w:r>
      <w:r w:rsidR="00CA6A9D" w:rsidRPr="00EA224A">
        <w:rPr>
          <w:rFonts w:ascii="Times New Roman" w:eastAsia="Calibri" w:hAnsi="Times New Roman" w:cs="Times New Roman"/>
        </w:rPr>
        <w:t xml:space="preserve"> should be </w:t>
      </w:r>
      <w:r w:rsidR="00A93D0C" w:rsidRPr="00EA224A">
        <w:rPr>
          <w:rFonts w:ascii="Times New Roman" w:eastAsia="Calibri" w:hAnsi="Times New Roman" w:cs="Times New Roman"/>
        </w:rPr>
        <w:t>re-</w:t>
      </w:r>
      <w:r w:rsidR="00CA6A9D" w:rsidRPr="00EA224A">
        <w:rPr>
          <w:rFonts w:ascii="Times New Roman" w:eastAsia="Calibri" w:hAnsi="Times New Roman" w:cs="Times New Roman"/>
        </w:rPr>
        <w:t>allocated to the Marietta Division.  In addition, the OCA recommends adjustments to the amount of the claim for Health Insurance, Pension Expense, Disability/Life Insurance, and Employee Recognition.</w:t>
      </w:r>
    </w:p>
    <w:p w:rsidR="00125EB2" w:rsidRPr="00EA224A" w:rsidRDefault="00125EB2" w:rsidP="00047866">
      <w:pPr>
        <w:autoSpaceDE/>
        <w:autoSpaceDN/>
        <w:spacing w:line="360" w:lineRule="auto"/>
        <w:ind w:firstLine="720"/>
        <w:contextualSpacing/>
        <w:jc w:val="both"/>
        <w:rPr>
          <w:rFonts w:ascii="Times New Roman" w:eastAsia="Calibri" w:hAnsi="Times New Roman" w:cs="Times New Roman"/>
        </w:rPr>
      </w:pPr>
    </w:p>
    <w:p w:rsidR="00696313" w:rsidRPr="00EA224A" w:rsidRDefault="00125EB2" w:rsidP="004272F2">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r>
      <w:r w:rsidR="00361A26" w:rsidRPr="00EA224A">
        <w:rPr>
          <w:rFonts w:ascii="Times New Roman" w:eastAsia="Calibri" w:hAnsi="Times New Roman" w:cs="Times New Roman"/>
        </w:rPr>
        <w:t xml:space="preserve">Once again, the OCA’s witness </w:t>
      </w:r>
      <w:r w:rsidR="00CA6A9D" w:rsidRPr="00EA224A">
        <w:rPr>
          <w:rFonts w:ascii="Times New Roman" w:eastAsia="Calibri" w:hAnsi="Times New Roman" w:cs="Times New Roman"/>
        </w:rPr>
        <w:t xml:space="preserve">applies the allocation percentage provided by Mr. Lewis for salaried employees.  OCA St. 1 at 19-20.  This </w:t>
      </w:r>
      <w:r w:rsidR="00361A26" w:rsidRPr="00EA224A">
        <w:rPr>
          <w:rFonts w:ascii="Times New Roman" w:eastAsia="Calibri" w:hAnsi="Times New Roman" w:cs="Times New Roman"/>
        </w:rPr>
        <w:t xml:space="preserve">approach </w:t>
      </w:r>
      <w:r w:rsidR="00A93D0C" w:rsidRPr="00EA224A">
        <w:rPr>
          <w:rFonts w:ascii="Times New Roman" w:eastAsia="Calibri" w:hAnsi="Times New Roman" w:cs="Times New Roman"/>
        </w:rPr>
        <w:t xml:space="preserve">by the OCA’s witness </w:t>
      </w:r>
      <w:r w:rsidR="00361A26" w:rsidRPr="00EA224A">
        <w:rPr>
          <w:rFonts w:ascii="Times New Roman" w:eastAsia="Calibri" w:hAnsi="Times New Roman" w:cs="Times New Roman"/>
        </w:rPr>
        <w:t xml:space="preserve">is </w:t>
      </w:r>
      <w:r w:rsidR="00361A26" w:rsidRPr="00EA224A">
        <w:rPr>
          <w:rFonts w:ascii="Times New Roman" w:eastAsia="Calibri" w:hAnsi="Times New Roman" w:cs="Times New Roman"/>
          <w:u w:val="single"/>
        </w:rPr>
        <w:t>not</w:t>
      </w:r>
      <w:r w:rsidR="00361A26" w:rsidRPr="00EA224A">
        <w:rPr>
          <w:rFonts w:ascii="Times New Roman" w:eastAsia="Calibri" w:hAnsi="Times New Roman" w:cs="Times New Roman"/>
        </w:rPr>
        <w:t xml:space="preserve"> </w:t>
      </w:r>
      <w:r w:rsidR="00CA6A9D" w:rsidRPr="00EA224A">
        <w:rPr>
          <w:rFonts w:ascii="Times New Roman" w:eastAsia="Calibri" w:hAnsi="Times New Roman" w:cs="Times New Roman"/>
        </w:rPr>
        <w:t xml:space="preserve">more reasonable than Columbia’s proposal to extrapolate an allocation from data for hourly employees that </w:t>
      </w:r>
      <w:r w:rsidR="00361A26" w:rsidRPr="00EA224A">
        <w:rPr>
          <w:rFonts w:ascii="Times New Roman" w:eastAsia="Calibri" w:hAnsi="Times New Roman" w:cs="Times New Roman"/>
        </w:rPr>
        <w:t>Columbia</w:t>
      </w:r>
      <w:r w:rsidR="00CA6A9D" w:rsidRPr="00EA224A">
        <w:rPr>
          <w:rFonts w:ascii="Times New Roman" w:eastAsia="Calibri" w:hAnsi="Times New Roman" w:cs="Times New Roman"/>
        </w:rPr>
        <w:t xml:space="preserve"> has deemed insufficient or to allocate zero costs to </w:t>
      </w:r>
      <w:r w:rsidR="004320F9">
        <w:rPr>
          <w:rFonts w:ascii="Times New Roman" w:eastAsia="Calibri" w:hAnsi="Times New Roman" w:cs="Times New Roman"/>
        </w:rPr>
        <w:t xml:space="preserve">the </w:t>
      </w:r>
      <w:r w:rsidR="00CA6A9D" w:rsidRPr="00EA224A">
        <w:rPr>
          <w:rFonts w:ascii="Times New Roman" w:eastAsia="Calibri" w:hAnsi="Times New Roman" w:cs="Times New Roman"/>
        </w:rPr>
        <w:t xml:space="preserve">Marietta </w:t>
      </w:r>
      <w:r w:rsidR="004320F9">
        <w:rPr>
          <w:rFonts w:ascii="Times New Roman" w:eastAsia="Calibri" w:hAnsi="Times New Roman" w:cs="Times New Roman"/>
        </w:rPr>
        <w:t xml:space="preserve">Division </w:t>
      </w:r>
      <w:r w:rsidR="00CA6A9D" w:rsidRPr="00EA224A">
        <w:rPr>
          <w:rFonts w:ascii="Times New Roman" w:eastAsia="Calibri" w:hAnsi="Times New Roman" w:cs="Times New Roman"/>
        </w:rPr>
        <w:t>until suffi</w:t>
      </w:r>
      <w:bookmarkStart w:id="25" w:name="_Toc367958625"/>
      <w:r w:rsidR="00696313" w:rsidRPr="00EA224A">
        <w:rPr>
          <w:rFonts w:ascii="Times New Roman" w:eastAsia="Calibri" w:hAnsi="Times New Roman" w:cs="Times New Roman"/>
        </w:rPr>
        <w:t xml:space="preserve">cient data is available. </w:t>
      </w:r>
      <w:r w:rsidR="00A93D0C" w:rsidRPr="00EA224A">
        <w:rPr>
          <w:rFonts w:ascii="Times New Roman" w:eastAsia="Calibri" w:hAnsi="Times New Roman" w:cs="Times New Roman"/>
        </w:rPr>
        <w:t xml:space="preserve"> The proposed adjustment is </w:t>
      </w:r>
      <w:r w:rsidR="005A07B1" w:rsidRPr="00EA224A">
        <w:rPr>
          <w:rFonts w:ascii="Times New Roman" w:eastAsia="Calibri" w:hAnsi="Times New Roman" w:cs="Times New Roman"/>
        </w:rPr>
        <w:t>rejected</w:t>
      </w:r>
      <w:r w:rsidR="00A93D0C" w:rsidRPr="00EA224A">
        <w:rPr>
          <w:rFonts w:ascii="Times New Roman" w:eastAsia="Calibri" w:hAnsi="Times New Roman" w:cs="Times New Roman"/>
        </w:rPr>
        <w:t>.</w:t>
      </w:r>
    </w:p>
    <w:p w:rsidR="00696313" w:rsidRPr="00EA224A" w:rsidRDefault="00696313" w:rsidP="00047866">
      <w:pPr>
        <w:autoSpaceDE/>
        <w:autoSpaceDN/>
        <w:spacing w:line="360" w:lineRule="auto"/>
        <w:ind w:firstLine="720"/>
        <w:contextualSpacing/>
        <w:jc w:val="both"/>
        <w:rPr>
          <w:rFonts w:ascii="Times New Roman" w:hAnsi="Times New Roman" w:cs="Times New Roman"/>
          <w:bCs/>
        </w:rPr>
      </w:pPr>
    </w:p>
    <w:p w:rsidR="00CA6A9D" w:rsidRPr="00EA224A" w:rsidRDefault="009D3F59" w:rsidP="000E74AA">
      <w:pPr>
        <w:autoSpaceDE/>
        <w:autoSpaceDN/>
        <w:spacing w:line="360" w:lineRule="auto"/>
        <w:ind w:left="1440" w:hanging="720"/>
        <w:contextualSpacing/>
        <w:rPr>
          <w:rFonts w:ascii="Times New Roman" w:hAnsi="Times New Roman" w:cs="Times New Roman"/>
          <w:bCs/>
        </w:rPr>
      </w:pPr>
      <w:r w:rsidRPr="00EA224A">
        <w:rPr>
          <w:rFonts w:ascii="Times New Roman" w:hAnsi="Times New Roman" w:cs="Times New Roman"/>
          <w:bCs/>
        </w:rPr>
        <w:t>9</w:t>
      </w:r>
      <w:r w:rsidR="00696313" w:rsidRPr="00EA224A">
        <w:rPr>
          <w:rFonts w:ascii="Times New Roman" w:hAnsi="Times New Roman" w:cs="Times New Roman"/>
          <w:bCs/>
        </w:rPr>
        <w:t>.</w:t>
      </w:r>
      <w:r w:rsidR="00696313" w:rsidRPr="00EA224A">
        <w:rPr>
          <w:rFonts w:ascii="Times New Roman" w:hAnsi="Times New Roman" w:cs="Times New Roman"/>
          <w:bCs/>
        </w:rPr>
        <w:tab/>
      </w:r>
      <w:r w:rsidRPr="00EA224A">
        <w:rPr>
          <w:rFonts w:ascii="Times New Roman" w:hAnsi="Times New Roman" w:cs="Times New Roman"/>
          <w:bCs/>
        </w:rPr>
        <w:t xml:space="preserve">OCA </w:t>
      </w:r>
      <w:r w:rsidR="00CA6A9D" w:rsidRPr="00EA224A">
        <w:rPr>
          <w:rFonts w:ascii="Times New Roman" w:hAnsi="Times New Roman" w:cs="Times New Roman"/>
          <w:bCs/>
        </w:rPr>
        <w:t>Pension</w:t>
      </w:r>
      <w:bookmarkEnd w:id="25"/>
      <w:r w:rsidRPr="00EA224A">
        <w:rPr>
          <w:rFonts w:ascii="Times New Roman" w:hAnsi="Times New Roman" w:cs="Times New Roman"/>
          <w:bCs/>
        </w:rPr>
        <w:t xml:space="preserve"> Adjustment</w:t>
      </w:r>
      <w:r w:rsidR="000E74AA">
        <w:rPr>
          <w:rFonts w:ascii="Times New Roman" w:hAnsi="Times New Roman" w:cs="Times New Roman"/>
          <w:bCs/>
        </w:rPr>
        <w:fldChar w:fldCharType="begin"/>
      </w:r>
      <w:r w:rsidR="000E74AA">
        <w:instrText xml:space="preserve"> TC "</w:instrText>
      </w:r>
      <w:bookmarkStart w:id="26" w:name="_Toc372704694"/>
      <w:r w:rsidR="000E74AA" w:rsidRPr="00831096">
        <w:rPr>
          <w:rFonts w:ascii="Times New Roman" w:hAnsi="Times New Roman" w:cs="Times New Roman"/>
          <w:bCs/>
        </w:rPr>
        <w:instrText>9.</w:instrText>
      </w:r>
      <w:r w:rsidR="000E74AA" w:rsidRPr="00831096">
        <w:rPr>
          <w:rFonts w:ascii="Times New Roman" w:hAnsi="Times New Roman" w:cs="Times New Roman"/>
          <w:bCs/>
        </w:rPr>
        <w:tab/>
        <w:instrText>OCA Pension Adjustment</w:instrText>
      </w:r>
      <w:bookmarkEnd w:id="26"/>
      <w:r w:rsidR="000E74AA">
        <w:instrText xml:space="preserve">" \f C \l "3" </w:instrText>
      </w:r>
      <w:r w:rsidR="000E74AA">
        <w:rPr>
          <w:rFonts w:ascii="Times New Roman" w:hAnsi="Times New Roman" w:cs="Times New Roman"/>
          <w:bCs/>
        </w:rPr>
        <w:fldChar w:fldCharType="end"/>
      </w:r>
    </w:p>
    <w:p w:rsidR="009D3F59" w:rsidRPr="00EA224A" w:rsidRDefault="009D3F59" w:rsidP="00047866">
      <w:pPr>
        <w:autoSpaceDE/>
        <w:autoSpaceDN/>
        <w:spacing w:line="360" w:lineRule="auto"/>
        <w:contextualSpacing/>
        <w:jc w:val="both"/>
        <w:rPr>
          <w:rFonts w:ascii="Times New Roman" w:eastAsia="Calibri" w:hAnsi="Times New Roman" w:cs="Times New Roman"/>
        </w:rPr>
      </w:pPr>
    </w:p>
    <w:p w:rsidR="00696313" w:rsidRPr="00EA224A" w:rsidRDefault="00CA6A9D"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696313" w:rsidRPr="00EA224A">
        <w:rPr>
          <w:rFonts w:ascii="Times New Roman" w:eastAsia="Calibri" w:hAnsi="Times New Roman" w:cs="Times New Roman"/>
        </w:rPr>
        <w:tab/>
      </w:r>
      <w:r w:rsidRPr="00EA224A">
        <w:rPr>
          <w:rFonts w:ascii="Times New Roman" w:eastAsia="Calibri" w:hAnsi="Times New Roman" w:cs="Times New Roman"/>
        </w:rPr>
        <w:t>Columbia claim</w:t>
      </w:r>
      <w:r w:rsidR="00696313" w:rsidRPr="00EA224A">
        <w:rPr>
          <w:rFonts w:ascii="Times New Roman" w:eastAsia="Calibri" w:hAnsi="Times New Roman" w:cs="Times New Roman"/>
        </w:rPr>
        <w:t>s</w:t>
      </w:r>
      <w:r w:rsidRPr="00EA224A">
        <w:rPr>
          <w:rFonts w:ascii="Times New Roman" w:eastAsia="Calibri" w:hAnsi="Times New Roman" w:cs="Times New Roman"/>
        </w:rPr>
        <w:t xml:space="preserve"> a total pension expense of $59,682.  The </w:t>
      </w:r>
      <w:r w:rsidR="00696313" w:rsidRPr="00EA224A">
        <w:rPr>
          <w:rFonts w:ascii="Times New Roman" w:eastAsia="Calibri" w:hAnsi="Times New Roman" w:cs="Times New Roman"/>
        </w:rPr>
        <w:t xml:space="preserve">OCA asked </w:t>
      </w:r>
      <w:r w:rsidRPr="00EA224A">
        <w:rPr>
          <w:rFonts w:ascii="Times New Roman" w:eastAsia="Calibri" w:hAnsi="Times New Roman" w:cs="Times New Roman"/>
        </w:rPr>
        <w:t>Co</w:t>
      </w:r>
      <w:r w:rsidR="00696313" w:rsidRPr="00EA224A">
        <w:rPr>
          <w:rFonts w:ascii="Times New Roman" w:eastAsia="Calibri" w:hAnsi="Times New Roman" w:cs="Times New Roman"/>
        </w:rPr>
        <w:t>lumbia</w:t>
      </w:r>
      <w:r w:rsidRPr="00EA224A">
        <w:rPr>
          <w:rFonts w:ascii="Times New Roman" w:eastAsia="Calibri" w:hAnsi="Times New Roman" w:cs="Times New Roman"/>
        </w:rPr>
        <w:t xml:space="preserve"> to provide evidence </w:t>
      </w:r>
      <w:r w:rsidRPr="00EA224A">
        <w:rPr>
          <w:rFonts w:ascii="Times New Roman" w:eastAsia="Calibri" w:hAnsi="Times New Roman" w:cs="Times New Roman"/>
          <w:i/>
        </w:rPr>
        <w:t>of the most current pension deposit</w:t>
      </w:r>
      <w:r w:rsidRPr="00EA224A">
        <w:rPr>
          <w:rFonts w:ascii="Times New Roman" w:eastAsia="Calibri" w:hAnsi="Times New Roman" w:cs="Times New Roman"/>
        </w:rPr>
        <w:t xml:space="preserve"> and, in response, </w:t>
      </w:r>
      <w:r w:rsidR="00696313" w:rsidRPr="00EA224A">
        <w:rPr>
          <w:rFonts w:ascii="Times New Roman" w:eastAsia="Calibri" w:hAnsi="Times New Roman" w:cs="Times New Roman"/>
        </w:rPr>
        <w:t xml:space="preserve">Columbia </w:t>
      </w:r>
      <w:r w:rsidRPr="00EA224A">
        <w:rPr>
          <w:rFonts w:ascii="Times New Roman" w:eastAsia="Calibri" w:hAnsi="Times New Roman" w:cs="Times New Roman"/>
        </w:rPr>
        <w:t xml:space="preserve">provided a copy of a check showing a payment of $57,944.  </w:t>
      </w:r>
      <w:r w:rsidR="00696313" w:rsidRPr="00EA224A">
        <w:rPr>
          <w:rFonts w:ascii="Times New Roman" w:eastAsia="Calibri" w:hAnsi="Times New Roman" w:cs="Times New Roman"/>
        </w:rPr>
        <w:t>On this basis, t</w:t>
      </w:r>
      <w:r w:rsidRPr="00EA224A">
        <w:rPr>
          <w:rFonts w:ascii="Times New Roman" w:eastAsia="Calibri" w:hAnsi="Times New Roman" w:cs="Times New Roman"/>
        </w:rPr>
        <w:t xml:space="preserve">he OCA recommends an adjustment of $1,738 to reflect the amount that </w:t>
      </w:r>
      <w:r w:rsidR="00696313" w:rsidRPr="00EA224A">
        <w:rPr>
          <w:rFonts w:ascii="Times New Roman" w:eastAsia="Calibri" w:hAnsi="Times New Roman" w:cs="Times New Roman"/>
        </w:rPr>
        <w:t xml:space="preserve">the OCA contends </w:t>
      </w:r>
      <w:r w:rsidRPr="00EA224A">
        <w:rPr>
          <w:rFonts w:ascii="Times New Roman" w:eastAsia="Calibri" w:hAnsi="Times New Roman" w:cs="Times New Roman"/>
        </w:rPr>
        <w:t>is not supported by the record.</w:t>
      </w:r>
      <w:r w:rsidR="00696313" w:rsidRPr="00EA224A">
        <w:rPr>
          <w:rFonts w:ascii="Times New Roman" w:eastAsia="Calibri" w:hAnsi="Times New Roman" w:cs="Times New Roman"/>
        </w:rPr>
        <w:t xml:space="preserve">  This requested adjustment is unreasonable and will be denied.  Columbia responded to the request, and I am not willing to accept that just because the most current pension deposit does not reflect the total claimed expense that the total number is invalid.  If there </w:t>
      </w:r>
      <w:r w:rsidR="00696313" w:rsidRPr="00EA224A">
        <w:rPr>
          <w:rFonts w:ascii="Times New Roman" w:eastAsia="Calibri" w:hAnsi="Times New Roman" w:cs="Times New Roman"/>
          <w:i/>
        </w:rPr>
        <w:t>is</w:t>
      </w:r>
      <w:r w:rsidR="00696313" w:rsidRPr="00EA224A">
        <w:rPr>
          <w:rFonts w:ascii="Times New Roman" w:eastAsia="Calibri" w:hAnsi="Times New Roman" w:cs="Times New Roman"/>
        </w:rPr>
        <w:t xml:space="preserve"> a $1,738 shortfall, then it seems to me that this is an amount that Columbia must nevertheless make good.  The proposed adjustment is denied.</w:t>
      </w:r>
    </w:p>
    <w:p w:rsidR="00696313" w:rsidRPr="00EA224A" w:rsidRDefault="00696313" w:rsidP="00047866">
      <w:pPr>
        <w:autoSpaceDE/>
        <w:autoSpaceDN/>
        <w:spacing w:line="360" w:lineRule="auto"/>
        <w:contextualSpacing/>
        <w:jc w:val="both"/>
        <w:rPr>
          <w:rFonts w:ascii="Times New Roman" w:eastAsia="Calibri" w:hAnsi="Times New Roman" w:cs="Times New Roman"/>
        </w:rPr>
      </w:pPr>
    </w:p>
    <w:p w:rsidR="00DC04EF" w:rsidRPr="00EA224A" w:rsidRDefault="00CA6A9D" w:rsidP="004272F2">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007E0358" w:rsidRPr="00EA224A">
        <w:rPr>
          <w:rFonts w:ascii="Times New Roman" w:eastAsia="Calibri" w:hAnsi="Times New Roman" w:cs="Times New Roman"/>
        </w:rPr>
        <w:tab/>
      </w:r>
      <w:r w:rsidRPr="00EA224A">
        <w:rPr>
          <w:rFonts w:ascii="Times New Roman" w:eastAsia="Calibri" w:hAnsi="Times New Roman" w:cs="Times New Roman"/>
        </w:rPr>
        <w:t>The OCA also recommends that a portion of pension costs be allocated to the Marietta Division</w:t>
      </w:r>
      <w:r w:rsidR="007E0358" w:rsidRPr="00EA224A">
        <w:rPr>
          <w:rFonts w:ascii="Times New Roman" w:eastAsia="Calibri" w:hAnsi="Times New Roman" w:cs="Times New Roman"/>
        </w:rPr>
        <w:t xml:space="preserve"> because, in the OCA’s opinion, Columbia’s proposed allocation </w:t>
      </w:r>
      <w:r w:rsidR="00AD5F97">
        <w:rPr>
          <w:rFonts w:ascii="Times New Roman" w:eastAsia="Calibri" w:hAnsi="Times New Roman" w:cs="Times New Roman"/>
        </w:rPr>
        <w:t>be</w:t>
      </w:r>
      <w:r w:rsidR="007E0358" w:rsidRPr="00EA224A">
        <w:rPr>
          <w:rFonts w:ascii="Times New Roman" w:eastAsia="Calibri" w:hAnsi="Times New Roman" w:cs="Times New Roman"/>
        </w:rPr>
        <w:t xml:space="preserve"> based</w:t>
      </w:r>
      <w:r w:rsidR="00E036BE" w:rsidRPr="00EA224A">
        <w:rPr>
          <w:rFonts w:ascii="Times New Roman" w:eastAsia="Calibri" w:hAnsi="Times New Roman" w:cs="Times New Roman"/>
        </w:rPr>
        <w:t xml:space="preserve"> </w:t>
      </w:r>
      <w:r w:rsidR="007E0358" w:rsidRPr="00EA224A">
        <w:rPr>
          <w:rFonts w:ascii="Times New Roman" w:eastAsia="Calibri" w:hAnsi="Times New Roman" w:cs="Times New Roman"/>
        </w:rPr>
        <w:t xml:space="preserve">on insufficient data.  OCA St. 1 at 28; OCA St. 1S at 14.  Columbia’s witness, Mr. Lewis, asserts that if a percentage allocation is used, it must </w:t>
      </w:r>
      <w:r w:rsidR="00241EDA">
        <w:rPr>
          <w:rFonts w:ascii="Times New Roman" w:eastAsia="Calibri" w:hAnsi="Times New Roman" w:cs="Times New Roman"/>
        </w:rPr>
        <w:t xml:space="preserve">be </w:t>
      </w:r>
      <w:r w:rsidR="007E0358" w:rsidRPr="00EA224A">
        <w:rPr>
          <w:rFonts w:ascii="Times New Roman" w:eastAsia="Calibri" w:hAnsi="Times New Roman" w:cs="Times New Roman"/>
        </w:rPr>
        <w:t xml:space="preserve">based upon the actual time spent on Marietta Division tasks and using the actual cost of their pension benefits.  CWC Response to OCA-III-17.  He </w:t>
      </w:r>
      <w:r w:rsidR="00241EDA">
        <w:rPr>
          <w:rFonts w:ascii="Times New Roman" w:eastAsia="Calibri" w:hAnsi="Times New Roman" w:cs="Times New Roman"/>
        </w:rPr>
        <w:t>states</w:t>
      </w:r>
      <w:r w:rsidR="007E0358" w:rsidRPr="00EA224A">
        <w:rPr>
          <w:rFonts w:ascii="Times New Roman" w:eastAsia="Calibri" w:hAnsi="Times New Roman" w:cs="Times New Roman"/>
        </w:rPr>
        <w:t xml:space="preserve"> that if the allocation is calculated that way, it results in 8.75% of the total pension costs.  The </w:t>
      </w:r>
      <w:r w:rsidRPr="00EA224A">
        <w:rPr>
          <w:rFonts w:ascii="Times New Roman" w:eastAsia="Calibri" w:hAnsi="Times New Roman" w:cs="Times New Roman"/>
        </w:rPr>
        <w:t>OCA</w:t>
      </w:r>
      <w:r w:rsidR="007E0358" w:rsidRPr="00EA224A">
        <w:rPr>
          <w:rFonts w:ascii="Times New Roman" w:eastAsia="Calibri" w:hAnsi="Times New Roman" w:cs="Times New Roman"/>
        </w:rPr>
        <w:t>’s</w:t>
      </w:r>
      <w:r w:rsidRPr="00EA224A">
        <w:rPr>
          <w:rFonts w:ascii="Times New Roman" w:eastAsia="Calibri" w:hAnsi="Times New Roman" w:cs="Times New Roman"/>
        </w:rPr>
        <w:t xml:space="preserve"> witness</w:t>
      </w:r>
      <w:r w:rsidR="007E0358" w:rsidRPr="00EA224A">
        <w:rPr>
          <w:rFonts w:ascii="Times New Roman" w:eastAsia="Calibri" w:hAnsi="Times New Roman" w:cs="Times New Roman"/>
        </w:rPr>
        <w:t>, Ms.</w:t>
      </w:r>
      <w:r w:rsidRPr="00EA224A">
        <w:rPr>
          <w:rFonts w:ascii="Times New Roman" w:eastAsia="Calibri" w:hAnsi="Times New Roman" w:cs="Times New Roman"/>
        </w:rPr>
        <w:t xml:space="preserve"> Everette</w:t>
      </w:r>
      <w:r w:rsidR="00AD5F97">
        <w:rPr>
          <w:rFonts w:ascii="Times New Roman" w:eastAsia="Calibri" w:hAnsi="Times New Roman" w:cs="Times New Roman"/>
        </w:rPr>
        <w:t>,</w:t>
      </w:r>
      <w:r w:rsidRPr="00EA224A">
        <w:rPr>
          <w:rFonts w:ascii="Times New Roman" w:eastAsia="Calibri" w:hAnsi="Times New Roman" w:cs="Times New Roman"/>
        </w:rPr>
        <w:t xml:space="preserve"> updated her calculation to base it on time spent rather than using 15% for each employee.  OCA St. 1S at 20; OCA Exh. AEE-1S, Sch. 4.  The OCA recommends that $4,846 related to Pension expenses be moved to the Marietta Division.  OCA Table II; OCA Exh. AEE-1S, Sch. 1S.  </w:t>
      </w:r>
      <w:r w:rsidR="00E036BE" w:rsidRPr="00EA224A">
        <w:rPr>
          <w:rFonts w:ascii="Times New Roman" w:eastAsia="Calibri" w:hAnsi="Times New Roman" w:cs="Times New Roman"/>
        </w:rPr>
        <w:t xml:space="preserve">That recommendation </w:t>
      </w:r>
      <w:r w:rsidR="00A93D0C" w:rsidRPr="00EA224A">
        <w:rPr>
          <w:rFonts w:ascii="Times New Roman" w:eastAsia="Calibri" w:hAnsi="Times New Roman" w:cs="Times New Roman"/>
        </w:rPr>
        <w:t xml:space="preserve">is </w:t>
      </w:r>
      <w:r w:rsidR="00E036BE" w:rsidRPr="00EA224A">
        <w:rPr>
          <w:rFonts w:ascii="Times New Roman" w:eastAsia="Calibri" w:hAnsi="Times New Roman" w:cs="Times New Roman"/>
        </w:rPr>
        <w:t xml:space="preserve">based on an arbitrary calculation, which in itself is based on an </w:t>
      </w:r>
      <w:r w:rsidR="00E036BE" w:rsidRPr="00EA224A">
        <w:rPr>
          <w:rFonts w:ascii="Times New Roman" w:eastAsia="Calibri" w:hAnsi="Times New Roman" w:cs="Times New Roman"/>
          <w:i/>
        </w:rPr>
        <w:t>opinion</w:t>
      </w:r>
      <w:r w:rsidR="00E036BE" w:rsidRPr="00EA224A">
        <w:rPr>
          <w:rFonts w:ascii="Times New Roman" w:eastAsia="Calibri" w:hAnsi="Times New Roman" w:cs="Times New Roman"/>
        </w:rPr>
        <w:t xml:space="preserve"> that Columbia’s proposed allocation is based on insufficient data.  The proposed adjustment is </w:t>
      </w:r>
      <w:r w:rsidR="005A07B1" w:rsidRPr="00EA224A">
        <w:rPr>
          <w:rFonts w:ascii="Times New Roman" w:eastAsia="Calibri" w:hAnsi="Times New Roman" w:cs="Times New Roman"/>
        </w:rPr>
        <w:t>rejected</w:t>
      </w:r>
      <w:r w:rsidR="00E036BE" w:rsidRPr="00EA224A">
        <w:rPr>
          <w:rFonts w:ascii="Times New Roman" w:eastAsia="Calibri" w:hAnsi="Times New Roman" w:cs="Times New Roman"/>
        </w:rPr>
        <w:t>.</w:t>
      </w:r>
    </w:p>
    <w:p w:rsidR="00DC04EF" w:rsidRPr="00EA224A" w:rsidRDefault="00DC04EF" w:rsidP="00047866">
      <w:pPr>
        <w:autoSpaceDE/>
        <w:autoSpaceDN/>
        <w:spacing w:line="360" w:lineRule="auto"/>
        <w:contextualSpacing/>
        <w:jc w:val="both"/>
        <w:rPr>
          <w:rFonts w:ascii="Times New Roman" w:eastAsia="Calibri" w:hAnsi="Times New Roman" w:cs="Times New Roman"/>
        </w:rPr>
      </w:pPr>
    </w:p>
    <w:p w:rsidR="00CA6A9D" w:rsidRPr="00EA224A" w:rsidRDefault="009D3F59" w:rsidP="000E74AA">
      <w:pPr>
        <w:autoSpaceDE/>
        <w:autoSpaceDN/>
        <w:spacing w:line="360" w:lineRule="auto"/>
        <w:ind w:left="1440" w:hanging="720"/>
        <w:contextualSpacing/>
        <w:rPr>
          <w:rFonts w:ascii="Times New Roman" w:hAnsi="Times New Roman" w:cs="Times New Roman"/>
          <w:bCs/>
        </w:rPr>
      </w:pPr>
      <w:bookmarkStart w:id="27" w:name="_Toc367958626"/>
      <w:r w:rsidRPr="00EA224A">
        <w:rPr>
          <w:rFonts w:ascii="Times New Roman" w:eastAsia="Calibri" w:hAnsi="Times New Roman" w:cs="Times New Roman"/>
        </w:rPr>
        <w:t>10</w:t>
      </w:r>
      <w:r w:rsidR="00E036BE" w:rsidRPr="00EA224A">
        <w:rPr>
          <w:rFonts w:ascii="Times New Roman" w:eastAsia="Calibri" w:hAnsi="Times New Roman" w:cs="Times New Roman"/>
        </w:rPr>
        <w:t>.</w:t>
      </w:r>
      <w:r w:rsidR="00E036BE" w:rsidRPr="00EA224A">
        <w:rPr>
          <w:rFonts w:ascii="Times New Roman" w:eastAsia="Calibri" w:hAnsi="Times New Roman" w:cs="Times New Roman"/>
        </w:rPr>
        <w:tab/>
      </w:r>
      <w:r w:rsidR="00CA6A9D" w:rsidRPr="00EA224A">
        <w:rPr>
          <w:rFonts w:ascii="Times New Roman" w:hAnsi="Times New Roman" w:cs="Times New Roman"/>
          <w:bCs/>
        </w:rPr>
        <w:t>Disability and Life Insurance</w:t>
      </w:r>
      <w:bookmarkEnd w:id="27"/>
      <w:r w:rsidR="000E74AA">
        <w:rPr>
          <w:rFonts w:ascii="Times New Roman" w:hAnsi="Times New Roman" w:cs="Times New Roman"/>
          <w:bCs/>
        </w:rPr>
        <w:fldChar w:fldCharType="begin"/>
      </w:r>
      <w:r w:rsidR="000E74AA">
        <w:instrText xml:space="preserve"> TC "</w:instrText>
      </w:r>
      <w:bookmarkStart w:id="28" w:name="_Toc372704695"/>
      <w:r w:rsidR="000E74AA" w:rsidRPr="00831096">
        <w:rPr>
          <w:rFonts w:ascii="Times New Roman" w:eastAsia="Calibri" w:hAnsi="Times New Roman" w:cs="Times New Roman"/>
        </w:rPr>
        <w:instrText>10.</w:instrText>
      </w:r>
      <w:r w:rsidR="000E74AA" w:rsidRPr="00831096">
        <w:rPr>
          <w:rFonts w:ascii="Times New Roman" w:eastAsia="Calibri" w:hAnsi="Times New Roman" w:cs="Times New Roman"/>
        </w:rPr>
        <w:tab/>
      </w:r>
      <w:r w:rsidR="000E74AA" w:rsidRPr="00831096">
        <w:rPr>
          <w:rFonts w:ascii="Times New Roman" w:hAnsi="Times New Roman" w:cs="Times New Roman"/>
          <w:bCs/>
        </w:rPr>
        <w:instrText>Disability and Life Insurance</w:instrText>
      </w:r>
      <w:bookmarkEnd w:id="28"/>
      <w:r w:rsidR="000E74AA">
        <w:instrText xml:space="preserve">" \f C \l "3" </w:instrText>
      </w:r>
      <w:r w:rsidR="000E74AA">
        <w:rPr>
          <w:rFonts w:ascii="Times New Roman" w:hAnsi="Times New Roman" w:cs="Times New Roman"/>
          <w:bCs/>
        </w:rPr>
        <w:fldChar w:fldCharType="end"/>
      </w:r>
    </w:p>
    <w:p w:rsidR="009D3F59" w:rsidRPr="00EA224A" w:rsidRDefault="009D3F59" w:rsidP="00047866">
      <w:pPr>
        <w:autoSpaceDE/>
        <w:autoSpaceDN/>
        <w:spacing w:line="360" w:lineRule="auto"/>
        <w:contextualSpacing/>
        <w:jc w:val="both"/>
        <w:rPr>
          <w:rFonts w:ascii="Times New Roman" w:hAnsi="Times New Roman" w:cs="Times New Roman"/>
          <w:bCs/>
        </w:rPr>
      </w:pPr>
    </w:p>
    <w:p w:rsidR="00E036BE" w:rsidRPr="00EA224A" w:rsidRDefault="00E036BE" w:rsidP="004272F2">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Columbia</w:t>
      </w:r>
      <w:r w:rsidR="00CA6A9D" w:rsidRPr="00EA224A">
        <w:rPr>
          <w:rFonts w:ascii="Times New Roman" w:eastAsia="Calibri" w:hAnsi="Times New Roman" w:cs="Times New Roman"/>
        </w:rPr>
        <w:t xml:space="preserve"> claimed that its Disability/Life Insurance expense was $10,176, which would be an increase of 10% over the 2012 claim.  The invoice provided in response to discovery supports a claim of only $9,147.  OCA St. 1 at 34 (citing CWC response to OCA-III-26.  OCA witness Everette recommended that the Company’s claim related to Disability/Life Insurance should be reduced by $1,029 ($10,176 - $9,147).  In rebuttal, Company witness Lewis testified that the Company received the renewal notice for the disability/life insurance premium and it has increased by $1,659.  CWC St. 1R at 11.  </w:t>
      </w:r>
      <w:r w:rsidRPr="00EA224A">
        <w:rPr>
          <w:rFonts w:ascii="Times New Roman" w:eastAsia="Calibri" w:hAnsi="Times New Roman" w:cs="Times New Roman"/>
        </w:rPr>
        <w:t>In the OCA’s view, Columbia</w:t>
      </w:r>
      <w:r w:rsidR="00CA6A9D" w:rsidRPr="00EA224A">
        <w:rPr>
          <w:rFonts w:ascii="Times New Roman" w:eastAsia="Calibri" w:hAnsi="Times New Roman" w:cs="Times New Roman"/>
        </w:rPr>
        <w:t xml:space="preserve"> did not provide any support for this claimed increase or provide a time period for which the expense is allegedly increasing.  </w:t>
      </w:r>
      <w:r w:rsidRPr="00EA224A">
        <w:rPr>
          <w:rFonts w:ascii="Times New Roman" w:eastAsia="Calibri" w:hAnsi="Times New Roman" w:cs="Times New Roman"/>
        </w:rPr>
        <w:t xml:space="preserve">I disagree.  I accept Mr. Lewis’ sworn testimony as both honest and accurate.  The proposed adjustment is </w:t>
      </w:r>
      <w:r w:rsidR="005A07B1" w:rsidRPr="00EA224A">
        <w:rPr>
          <w:rFonts w:ascii="Times New Roman" w:eastAsia="Calibri" w:hAnsi="Times New Roman" w:cs="Times New Roman"/>
        </w:rPr>
        <w:t>rejected</w:t>
      </w:r>
      <w:r w:rsidRPr="00EA224A">
        <w:rPr>
          <w:rFonts w:ascii="Times New Roman" w:eastAsia="Calibri" w:hAnsi="Times New Roman" w:cs="Times New Roman"/>
        </w:rPr>
        <w:t>.</w:t>
      </w:r>
    </w:p>
    <w:p w:rsidR="00E036BE" w:rsidRPr="00EA224A" w:rsidRDefault="00E036BE" w:rsidP="00047866">
      <w:pPr>
        <w:autoSpaceDE/>
        <w:autoSpaceDN/>
        <w:spacing w:line="360" w:lineRule="auto"/>
        <w:ind w:firstLine="720"/>
        <w:contextualSpacing/>
        <w:jc w:val="both"/>
        <w:rPr>
          <w:rFonts w:ascii="Times New Roman" w:eastAsia="Calibri" w:hAnsi="Times New Roman" w:cs="Times New Roman"/>
        </w:rPr>
      </w:pPr>
    </w:p>
    <w:p w:rsidR="00E036BE" w:rsidRPr="00EA224A" w:rsidRDefault="00E036BE" w:rsidP="00241EDA">
      <w:pPr>
        <w:autoSpaceDE/>
        <w:autoSpaceDN/>
        <w:spacing w:line="360" w:lineRule="auto"/>
        <w:contextualSpacing/>
        <w:rPr>
          <w:rFonts w:ascii="Times New Roman" w:eastAsia="Calibri"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00CA6A9D" w:rsidRPr="00EA224A">
        <w:rPr>
          <w:rFonts w:ascii="Times New Roman" w:eastAsia="Calibri" w:hAnsi="Times New Roman" w:cs="Times New Roman"/>
        </w:rPr>
        <w:t>The OCA also recommended that Disability/Life Insurance be allocated using the same (updated) calculations recommended for other Pension and Benefits expenses, for each full-time employee who is partially allocated to the Marietta Division.  OCA St. 1 at 34; OCA St.</w:t>
      </w:r>
      <w:r w:rsidR="00300E20">
        <w:rPr>
          <w:rFonts w:ascii="Times New Roman" w:eastAsia="Calibri" w:hAnsi="Times New Roman" w:cs="Times New Roman"/>
        </w:rPr>
        <w:t> </w:t>
      </w:r>
      <w:r w:rsidR="00CA6A9D" w:rsidRPr="00EA224A">
        <w:rPr>
          <w:rFonts w:ascii="Times New Roman" w:eastAsia="Calibri" w:hAnsi="Times New Roman" w:cs="Times New Roman"/>
        </w:rPr>
        <w:t xml:space="preserve">1S at 22.  </w:t>
      </w:r>
      <w:r w:rsidR="00241EDA">
        <w:rPr>
          <w:rFonts w:ascii="Times New Roman" w:eastAsia="Calibri" w:hAnsi="Times New Roman" w:cs="Times New Roman"/>
        </w:rPr>
        <w:t xml:space="preserve"> The </w:t>
      </w:r>
      <w:r w:rsidRPr="00EA224A">
        <w:rPr>
          <w:rFonts w:ascii="Times New Roman" w:eastAsia="Calibri" w:hAnsi="Times New Roman" w:cs="Times New Roman"/>
        </w:rPr>
        <w:t>OCA’s argument for re-allocation is no</w:t>
      </w:r>
      <w:r w:rsidR="00241EDA">
        <w:rPr>
          <w:rFonts w:ascii="Times New Roman" w:eastAsia="Calibri" w:hAnsi="Times New Roman" w:cs="Times New Roman"/>
        </w:rPr>
        <w:t>t</w:t>
      </w:r>
      <w:r w:rsidRPr="00EA224A">
        <w:rPr>
          <w:rFonts w:ascii="Times New Roman" w:eastAsia="Calibri" w:hAnsi="Times New Roman" w:cs="Times New Roman"/>
        </w:rPr>
        <w:t xml:space="preserve"> practicable.  </w:t>
      </w:r>
      <w:r w:rsidR="00241EDA">
        <w:rPr>
          <w:rFonts w:ascii="Times New Roman" w:eastAsia="Calibri" w:hAnsi="Times New Roman" w:cs="Times New Roman"/>
        </w:rPr>
        <w:t xml:space="preserve">I agree with Columbia that the </w:t>
      </w:r>
      <w:r w:rsidR="00241EDA" w:rsidRPr="00241EDA">
        <w:rPr>
          <w:rFonts w:ascii="Times New Roman" w:eastAsia="Calibri" w:hAnsi="Times New Roman" w:cs="Times New Roman"/>
        </w:rPr>
        <w:t xml:space="preserve">allocations of disability and life insurance benefits were based upon the percentage of the </w:t>
      </w:r>
      <w:r w:rsidR="00241EDA">
        <w:rPr>
          <w:rFonts w:ascii="Times New Roman" w:eastAsia="Calibri" w:hAnsi="Times New Roman" w:cs="Times New Roman"/>
        </w:rPr>
        <w:t>employee</w:t>
      </w:r>
      <w:r w:rsidR="00241EDA" w:rsidRPr="00241EDA">
        <w:rPr>
          <w:rFonts w:ascii="Times New Roman" w:eastAsia="Calibri" w:hAnsi="Times New Roman" w:cs="Times New Roman"/>
        </w:rPr>
        <w:t>’s time allocated to the Marietta Division and the actual c</w:t>
      </w:r>
      <w:r w:rsidR="00241EDA">
        <w:rPr>
          <w:rFonts w:ascii="Times New Roman" w:eastAsia="Calibri" w:hAnsi="Times New Roman" w:cs="Times New Roman"/>
        </w:rPr>
        <w:t xml:space="preserve">osts of the person’s benefits. </w:t>
      </w:r>
      <w:r w:rsidR="00241EDA" w:rsidRPr="00241EDA">
        <w:rPr>
          <w:rFonts w:ascii="Times New Roman" w:eastAsia="Calibri" w:hAnsi="Times New Roman" w:cs="Times New Roman"/>
        </w:rPr>
        <w:t>CWC Statement 1R at 11:9-13</w:t>
      </w:r>
      <w:r w:rsidR="00241EDA">
        <w:rPr>
          <w:rFonts w:ascii="Times New Roman" w:eastAsia="Calibri" w:hAnsi="Times New Roman" w:cs="Times New Roman"/>
        </w:rPr>
        <w:t xml:space="preserve">.  </w:t>
      </w:r>
      <w:r w:rsidR="00241EDA" w:rsidRPr="00241EDA">
        <w:rPr>
          <w:rFonts w:ascii="Times New Roman" w:eastAsia="Calibri" w:hAnsi="Times New Roman" w:cs="Times New Roman"/>
        </w:rPr>
        <w:t>The OCA’s recommended negative adjustment of $765 to the Co</w:t>
      </w:r>
      <w:r w:rsidR="00241EDA">
        <w:rPr>
          <w:rFonts w:ascii="Times New Roman" w:eastAsia="Calibri" w:hAnsi="Times New Roman" w:cs="Times New Roman"/>
        </w:rPr>
        <w:t>lumbia</w:t>
      </w:r>
      <w:r w:rsidR="00241EDA" w:rsidRPr="00241EDA">
        <w:rPr>
          <w:rFonts w:ascii="Times New Roman" w:eastAsia="Calibri" w:hAnsi="Times New Roman" w:cs="Times New Roman"/>
        </w:rPr>
        <w:t xml:space="preserve">’s disability and life insurance is </w:t>
      </w:r>
      <w:r w:rsidR="00241EDA">
        <w:rPr>
          <w:rFonts w:ascii="Times New Roman" w:eastAsia="Calibri" w:hAnsi="Times New Roman" w:cs="Times New Roman"/>
        </w:rPr>
        <w:t xml:space="preserve">too </w:t>
      </w:r>
      <w:r w:rsidR="00241EDA" w:rsidRPr="00241EDA">
        <w:rPr>
          <w:rFonts w:ascii="Times New Roman" w:eastAsia="Calibri" w:hAnsi="Times New Roman" w:cs="Times New Roman"/>
        </w:rPr>
        <w:t>speculative.</w:t>
      </w:r>
      <w:r w:rsidR="00241EDA">
        <w:rPr>
          <w:rFonts w:ascii="Times New Roman" w:eastAsia="Calibri" w:hAnsi="Times New Roman" w:cs="Times New Roman"/>
        </w:rPr>
        <w:t xml:space="preserve">  </w:t>
      </w:r>
      <w:r w:rsidRPr="00EA224A">
        <w:rPr>
          <w:rFonts w:ascii="Times New Roman" w:eastAsia="Calibri" w:hAnsi="Times New Roman" w:cs="Times New Roman"/>
        </w:rPr>
        <w:t>Th</w:t>
      </w:r>
      <w:bookmarkStart w:id="29" w:name="_Toc367958627"/>
      <w:r w:rsidRPr="00EA224A">
        <w:rPr>
          <w:rFonts w:ascii="Times New Roman" w:eastAsia="Calibri" w:hAnsi="Times New Roman" w:cs="Times New Roman"/>
        </w:rPr>
        <w:t xml:space="preserve">e proposed adjustment is </w:t>
      </w:r>
      <w:r w:rsidR="005A07B1" w:rsidRPr="00EA224A">
        <w:rPr>
          <w:rFonts w:ascii="Times New Roman" w:eastAsia="Calibri" w:hAnsi="Times New Roman" w:cs="Times New Roman"/>
        </w:rPr>
        <w:t>rejected</w:t>
      </w:r>
      <w:r w:rsidRPr="00EA224A">
        <w:rPr>
          <w:rFonts w:ascii="Times New Roman" w:eastAsia="Calibri" w:hAnsi="Times New Roman" w:cs="Times New Roman"/>
        </w:rPr>
        <w:t>.</w:t>
      </w:r>
    </w:p>
    <w:p w:rsidR="00E036BE" w:rsidRDefault="00E036BE" w:rsidP="00047866">
      <w:pPr>
        <w:autoSpaceDE/>
        <w:autoSpaceDN/>
        <w:spacing w:line="360" w:lineRule="auto"/>
        <w:ind w:firstLine="720"/>
        <w:contextualSpacing/>
        <w:jc w:val="both"/>
        <w:rPr>
          <w:rFonts w:ascii="Times New Roman" w:eastAsia="Calibri" w:hAnsi="Times New Roman" w:cs="Times New Roman"/>
        </w:rPr>
      </w:pPr>
    </w:p>
    <w:p w:rsidR="00A9720F" w:rsidRPr="00EA224A" w:rsidRDefault="00A9720F" w:rsidP="00047866">
      <w:pPr>
        <w:autoSpaceDE/>
        <w:autoSpaceDN/>
        <w:spacing w:line="360" w:lineRule="auto"/>
        <w:ind w:firstLine="720"/>
        <w:contextualSpacing/>
        <w:jc w:val="both"/>
        <w:rPr>
          <w:rFonts w:ascii="Times New Roman" w:eastAsia="Calibri" w:hAnsi="Times New Roman" w:cs="Times New Roman"/>
        </w:rPr>
      </w:pPr>
    </w:p>
    <w:p w:rsidR="00CA6A9D" w:rsidRPr="00EA224A" w:rsidRDefault="009D3F59" w:rsidP="000E74AA">
      <w:pPr>
        <w:autoSpaceDE/>
        <w:autoSpaceDN/>
        <w:spacing w:line="360" w:lineRule="auto"/>
        <w:ind w:left="1440" w:hanging="720"/>
        <w:contextualSpacing/>
        <w:rPr>
          <w:rFonts w:ascii="Times New Roman" w:hAnsi="Times New Roman" w:cs="Times New Roman"/>
          <w:bCs/>
        </w:rPr>
      </w:pPr>
      <w:r w:rsidRPr="00EA224A">
        <w:rPr>
          <w:rFonts w:ascii="Times New Roman" w:hAnsi="Times New Roman" w:cs="Times New Roman"/>
          <w:bCs/>
        </w:rPr>
        <w:t>11.</w:t>
      </w:r>
      <w:r w:rsidR="00E036BE" w:rsidRPr="00EA224A">
        <w:rPr>
          <w:rFonts w:ascii="Times New Roman" w:hAnsi="Times New Roman" w:cs="Times New Roman"/>
          <w:bCs/>
        </w:rPr>
        <w:tab/>
      </w:r>
      <w:r w:rsidR="00CA6A9D" w:rsidRPr="00EA224A">
        <w:rPr>
          <w:rFonts w:ascii="Times New Roman" w:hAnsi="Times New Roman" w:cs="Times New Roman"/>
          <w:bCs/>
        </w:rPr>
        <w:t>Employee Recognition</w:t>
      </w:r>
      <w:bookmarkEnd w:id="29"/>
      <w:r w:rsidR="000E74AA">
        <w:rPr>
          <w:rFonts w:ascii="Times New Roman" w:hAnsi="Times New Roman" w:cs="Times New Roman"/>
          <w:bCs/>
        </w:rPr>
        <w:fldChar w:fldCharType="begin"/>
      </w:r>
      <w:r w:rsidR="000E74AA">
        <w:instrText xml:space="preserve"> TC "</w:instrText>
      </w:r>
      <w:bookmarkStart w:id="30" w:name="_Toc372704696"/>
      <w:r w:rsidR="000E74AA" w:rsidRPr="00831096">
        <w:rPr>
          <w:rFonts w:ascii="Times New Roman" w:hAnsi="Times New Roman" w:cs="Times New Roman"/>
          <w:bCs/>
        </w:rPr>
        <w:instrText>11.</w:instrText>
      </w:r>
      <w:r w:rsidR="000E74AA" w:rsidRPr="00831096">
        <w:rPr>
          <w:rFonts w:ascii="Times New Roman" w:hAnsi="Times New Roman" w:cs="Times New Roman"/>
          <w:bCs/>
        </w:rPr>
        <w:tab/>
        <w:instrText>Employee Recognition</w:instrText>
      </w:r>
      <w:bookmarkEnd w:id="30"/>
      <w:r w:rsidR="000E74AA">
        <w:instrText xml:space="preserve">" \f C \l "3" </w:instrText>
      </w:r>
      <w:r w:rsidR="000E74AA">
        <w:rPr>
          <w:rFonts w:ascii="Times New Roman" w:hAnsi="Times New Roman" w:cs="Times New Roman"/>
          <w:bCs/>
        </w:rPr>
        <w:fldChar w:fldCharType="end"/>
      </w:r>
    </w:p>
    <w:p w:rsidR="009D3F59" w:rsidRPr="00EA224A" w:rsidRDefault="009D3F59" w:rsidP="00047866">
      <w:pPr>
        <w:autoSpaceDE/>
        <w:autoSpaceDN/>
        <w:spacing w:line="360" w:lineRule="auto"/>
        <w:contextualSpacing/>
        <w:jc w:val="both"/>
        <w:rPr>
          <w:rFonts w:ascii="Times New Roman" w:eastAsia="Calibri" w:hAnsi="Times New Roman" w:cs="Times New Roman"/>
        </w:rPr>
      </w:pPr>
    </w:p>
    <w:p w:rsidR="00CA6A9D" w:rsidRPr="00EA224A" w:rsidRDefault="00E036BE" w:rsidP="004272F2">
      <w:pPr>
        <w:autoSpaceDE/>
        <w:autoSpaceDN/>
        <w:spacing w:line="360" w:lineRule="auto"/>
        <w:ind w:firstLine="720"/>
        <w:contextualSpacing/>
        <w:rPr>
          <w:rFonts w:ascii="Times New Roman" w:eastAsia="Calibri" w:hAnsi="Times New Roman" w:cs="Times New Roman"/>
        </w:rPr>
      </w:pPr>
      <w:r w:rsidRPr="00EA224A">
        <w:rPr>
          <w:rFonts w:ascii="Times New Roman" w:eastAsia="Calibri" w:hAnsi="Times New Roman" w:cs="Times New Roman"/>
        </w:rPr>
        <w:tab/>
        <w:t>Columbia’s</w:t>
      </w:r>
      <w:r w:rsidR="00CA6A9D" w:rsidRPr="00EA224A">
        <w:rPr>
          <w:rFonts w:ascii="Times New Roman" w:eastAsia="Calibri" w:hAnsi="Times New Roman" w:cs="Times New Roman"/>
        </w:rPr>
        <w:t xml:space="preserve"> Pensions and Benefits claim includes $6,051 for Employee Recognition.  OCA St. 1 at 35 (citing CWC response to OCA-1-29).  This claim includes a “Hershey Park Outing” and the Employee/Officers Year End Banquet.  </w:t>
      </w:r>
      <w:r w:rsidR="00CA6A9D" w:rsidRPr="00EA224A">
        <w:rPr>
          <w:rFonts w:ascii="Times New Roman" w:eastAsia="Calibri" w:hAnsi="Times New Roman" w:cs="Times New Roman"/>
          <w:u w:val="single"/>
        </w:rPr>
        <w:t>Id</w:t>
      </w:r>
      <w:r w:rsidR="00CA6A9D" w:rsidRPr="00EA224A">
        <w:rPr>
          <w:rFonts w:ascii="Times New Roman" w:eastAsia="Calibri" w:hAnsi="Times New Roman" w:cs="Times New Roman"/>
        </w:rPr>
        <w:t>.  OCA witness Everette recommended that these items be removed from expenses for ratemaking purposes because they are not part of the employees’ compensation.  OC</w:t>
      </w:r>
      <w:r w:rsidR="00310D5B">
        <w:rPr>
          <w:rFonts w:ascii="Times New Roman" w:eastAsia="Calibri" w:hAnsi="Times New Roman" w:cs="Times New Roman"/>
        </w:rPr>
        <w:t>A St. 1 at 35-36; OCA St. 1S at </w:t>
      </w:r>
      <w:r w:rsidR="00CA6A9D" w:rsidRPr="00EA224A">
        <w:rPr>
          <w:rFonts w:ascii="Times New Roman" w:eastAsia="Calibri" w:hAnsi="Times New Roman" w:cs="Times New Roman"/>
        </w:rPr>
        <w:t>22.  I&amp;E witness Wilson also recommended that the entire claim be denied.  I&amp;E St. 2 at 10.</w:t>
      </w:r>
    </w:p>
    <w:p w:rsidR="00E036BE" w:rsidRPr="00EA224A" w:rsidRDefault="00E036BE" w:rsidP="00047866">
      <w:pPr>
        <w:autoSpaceDE/>
        <w:autoSpaceDN/>
        <w:spacing w:line="360" w:lineRule="auto"/>
        <w:contextualSpacing/>
        <w:rPr>
          <w:rFonts w:ascii="Times New Roman" w:eastAsia="Calibri" w:hAnsi="Times New Roman" w:cs="Times New Roman"/>
        </w:rPr>
      </w:pPr>
    </w:p>
    <w:p w:rsidR="00EB13A2" w:rsidRDefault="00E036BE" w:rsidP="00241EDA">
      <w:pPr>
        <w:autoSpaceDE/>
        <w:autoSpaceDN/>
        <w:spacing w:line="360" w:lineRule="auto"/>
        <w:contextualSpacing/>
        <w:rPr>
          <w:rFonts w:ascii="Times New Roman" w:hAnsi="Times New Roman" w:cs="Times New Roman"/>
        </w:rPr>
      </w:pPr>
      <w:r w:rsidRPr="00EA224A">
        <w:rPr>
          <w:rFonts w:ascii="Times New Roman" w:eastAsia="Calibri" w:hAnsi="Times New Roman" w:cs="Times New Roman"/>
        </w:rPr>
        <w:tab/>
      </w:r>
      <w:r w:rsidRPr="00EA224A">
        <w:rPr>
          <w:rFonts w:ascii="Times New Roman" w:eastAsia="Calibri" w:hAnsi="Times New Roman" w:cs="Times New Roman"/>
        </w:rPr>
        <w:tab/>
      </w:r>
      <w:r w:rsidR="00241EDA">
        <w:rPr>
          <w:rFonts w:ascii="Times New Roman" w:eastAsia="Calibri" w:hAnsi="Times New Roman" w:cs="Times New Roman"/>
        </w:rPr>
        <w:t>I</w:t>
      </w:r>
      <w:r w:rsidR="009D3F59" w:rsidRPr="00EA224A">
        <w:rPr>
          <w:rFonts w:ascii="Times New Roman" w:eastAsia="Calibri" w:hAnsi="Times New Roman" w:cs="Times New Roman"/>
        </w:rPr>
        <w:t>n Columbia’s last rate case</w:t>
      </w:r>
      <w:r w:rsidRPr="00EA224A">
        <w:rPr>
          <w:rFonts w:ascii="Times New Roman" w:eastAsia="Calibri" w:hAnsi="Times New Roman" w:cs="Times New Roman"/>
        </w:rPr>
        <w:t xml:space="preserve"> Columbia made similar arguments with regard to a Hershey Park outing and a Christmas party only to have those expenses removed.  </w:t>
      </w:r>
      <w:r w:rsidR="009D3F59" w:rsidRPr="00EA224A">
        <w:rPr>
          <w:rFonts w:ascii="Times New Roman" w:eastAsia="Calibri" w:hAnsi="Times New Roman" w:cs="Times New Roman"/>
        </w:rPr>
        <w:t xml:space="preserve">See </w:t>
      </w:r>
      <w:r w:rsidRPr="00EA224A">
        <w:rPr>
          <w:rFonts w:ascii="Times New Roman" w:eastAsia="Calibri" w:hAnsi="Times New Roman" w:cs="Times New Roman"/>
        </w:rPr>
        <w:t>2008 RD at 23-25.  Further, I agree with the OCA that the</w:t>
      </w:r>
      <w:r w:rsidR="00CA6A9D" w:rsidRPr="00EA224A">
        <w:rPr>
          <w:rFonts w:ascii="Times New Roman" w:eastAsia="Calibri" w:hAnsi="Times New Roman" w:cs="Times New Roman"/>
        </w:rPr>
        <w:t xml:space="preserve"> Commission has consistently disallowed these types of entertainment expenses </w:t>
      </w:r>
      <w:r w:rsidRPr="00EA224A">
        <w:rPr>
          <w:rFonts w:ascii="Times New Roman" w:eastAsia="Calibri" w:hAnsi="Times New Roman" w:cs="Times New Roman"/>
        </w:rPr>
        <w:t xml:space="preserve">as </w:t>
      </w:r>
      <w:r w:rsidR="00CA6A9D" w:rsidRPr="00EA224A">
        <w:rPr>
          <w:rFonts w:ascii="Times New Roman" w:eastAsia="Calibri" w:hAnsi="Times New Roman" w:cs="Times New Roman"/>
        </w:rPr>
        <w:t xml:space="preserve">they are not necessary </w:t>
      </w:r>
      <w:r w:rsidRPr="00EA224A">
        <w:rPr>
          <w:rFonts w:ascii="Times New Roman" w:eastAsia="Calibri" w:hAnsi="Times New Roman" w:cs="Times New Roman"/>
        </w:rPr>
        <w:t>to</w:t>
      </w:r>
      <w:r w:rsidR="00CA6A9D" w:rsidRPr="00EA224A">
        <w:rPr>
          <w:rFonts w:ascii="Times New Roman" w:eastAsia="Calibri" w:hAnsi="Times New Roman" w:cs="Times New Roman"/>
        </w:rPr>
        <w:t xml:space="preserve"> the provision of public utility service.  See </w:t>
      </w:r>
      <w:r w:rsidR="00C55807">
        <w:rPr>
          <w:rFonts w:ascii="Times New Roman" w:eastAsia="Calibri" w:hAnsi="Times New Roman" w:cs="Times New Roman"/>
          <w:i/>
        </w:rPr>
        <w:t>Pa. PUC</w:t>
      </w:r>
      <w:r w:rsidR="00CA6A9D" w:rsidRPr="00EA224A">
        <w:rPr>
          <w:rFonts w:ascii="Times New Roman" w:eastAsia="Calibri" w:hAnsi="Times New Roman" w:cs="Times New Roman"/>
          <w:i/>
        </w:rPr>
        <w:t xml:space="preserve"> v. Pennsylvania-American Water Co.</w:t>
      </w:r>
      <w:r w:rsidR="00CA6A9D" w:rsidRPr="00EA224A">
        <w:rPr>
          <w:rFonts w:ascii="Times New Roman" w:eastAsia="Calibri" w:hAnsi="Times New Roman" w:cs="Times New Roman"/>
        </w:rPr>
        <w:t>, 1993 Pa</w:t>
      </w:r>
      <w:r w:rsidR="00AD5F97">
        <w:rPr>
          <w:rFonts w:ascii="Times New Roman" w:eastAsia="Calibri" w:hAnsi="Times New Roman" w:cs="Times New Roman"/>
        </w:rPr>
        <w:t xml:space="preserve">. </w:t>
      </w:r>
      <w:r w:rsidR="00CA6A9D" w:rsidRPr="00EA224A">
        <w:rPr>
          <w:rFonts w:ascii="Times New Roman" w:eastAsia="Calibri" w:hAnsi="Times New Roman" w:cs="Times New Roman"/>
        </w:rPr>
        <w:t>PUC LEXIS 79, *121-23 (</w:t>
      </w:r>
      <w:r w:rsidR="00CA6A9D" w:rsidRPr="00EA224A">
        <w:rPr>
          <w:rFonts w:ascii="Times New Roman" w:eastAsia="Calibri" w:hAnsi="Times New Roman" w:cs="Times New Roman"/>
          <w:i/>
        </w:rPr>
        <w:t>PAWC 1993</w:t>
      </w:r>
      <w:r w:rsidR="00CA6A9D" w:rsidRPr="00EA224A">
        <w:rPr>
          <w:rFonts w:ascii="Times New Roman" w:eastAsia="Calibri" w:hAnsi="Times New Roman" w:cs="Times New Roman"/>
        </w:rPr>
        <w:t>)</w:t>
      </w:r>
      <w:r w:rsidR="00CA6A9D" w:rsidRPr="00EA224A">
        <w:rPr>
          <w:rFonts w:ascii="Times New Roman" w:eastAsia="Calibri" w:hAnsi="Times New Roman" w:cs="Times New Roman"/>
        </w:rPr>
        <w:fldChar w:fldCharType="begin"/>
      </w:r>
      <w:r w:rsidR="00CA6A9D" w:rsidRPr="00EA224A">
        <w:rPr>
          <w:rFonts w:ascii="Times New Roman" w:eastAsia="Calibri" w:hAnsi="Times New Roman" w:cs="Times New Roman"/>
        </w:rPr>
        <w:instrText xml:space="preserve"> TA \l "</w:instrText>
      </w:r>
      <w:r w:rsidR="00C55807">
        <w:rPr>
          <w:rFonts w:ascii="Times New Roman" w:eastAsia="Calibri" w:hAnsi="Times New Roman" w:cs="Times New Roman"/>
          <w:u w:val="single"/>
        </w:rPr>
        <w:instrText>Pa. PUC</w:instrText>
      </w:r>
      <w:r w:rsidR="00CA6A9D" w:rsidRPr="00EA224A">
        <w:rPr>
          <w:rFonts w:ascii="Times New Roman" w:eastAsia="Calibri" w:hAnsi="Times New Roman" w:cs="Times New Roman"/>
          <w:u w:val="single"/>
        </w:rPr>
        <w:instrText xml:space="preserve"> v. Pennsylvania-American Water Co.</w:instrText>
      </w:r>
      <w:r w:rsidR="00CA6A9D" w:rsidRPr="00EA224A">
        <w:rPr>
          <w:rFonts w:ascii="Times New Roman" w:eastAsia="Calibri" w:hAnsi="Times New Roman" w:cs="Times New Roman"/>
        </w:rPr>
        <w:instrText>, 1993 PaPUC LEXIS 79, *121-23 (</w:instrText>
      </w:r>
      <w:r w:rsidR="00CA6A9D" w:rsidRPr="00EA224A">
        <w:rPr>
          <w:rFonts w:ascii="Times New Roman" w:eastAsia="Calibri" w:hAnsi="Times New Roman" w:cs="Times New Roman"/>
          <w:u w:val="single"/>
        </w:rPr>
        <w:instrText>PAWC 1993</w:instrText>
      </w:r>
      <w:r w:rsidR="00C55807">
        <w:rPr>
          <w:rFonts w:ascii="Times New Roman" w:eastAsia="Calibri" w:hAnsi="Times New Roman" w:cs="Times New Roman"/>
        </w:rPr>
        <w:instrText>)" \s "Pa. PUC</w:instrText>
      </w:r>
      <w:r w:rsidR="00CA6A9D" w:rsidRPr="00EA224A">
        <w:rPr>
          <w:rFonts w:ascii="Times New Roman" w:eastAsia="Calibri" w:hAnsi="Times New Roman" w:cs="Times New Roman"/>
        </w:rPr>
        <w:instrText xml:space="preserve"> v. Pennsylvania-American Water Co., 1993 PaPUC LEXIS 79, *121-23 (PAWC 1993)" \c 8 </w:instrText>
      </w:r>
      <w:r w:rsidR="00CA6A9D" w:rsidRPr="00EA224A">
        <w:rPr>
          <w:rFonts w:ascii="Times New Roman" w:eastAsia="Calibri" w:hAnsi="Times New Roman" w:cs="Times New Roman"/>
        </w:rPr>
        <w:fldChar w:fldCharType="end"/>
      </w:r>
      <w:r w:rsidR="00CA6A9D" w:rsidRPr="00EA224A">
        <w:rPr>
          <w:rFonts w:ascii="Times New Roman" w:eastAsia="Calibri" w:hAnsi="Times New Roman" w:cs="Times New Roman"/>
        </w:rPr>
        <w:t xml:space="preserve"> (expenses for entertainment </w:t>
      </w:r>
      <w:r w:rsidR="00CA6A9D" w:rsidRPr="00EA224A">
        <w:rPr>
          <w:rFonts w:ascii="Times New Roman" w:hAnsi="Times New Roman" w:cs="Times New Roman"/>
        </w:rPr>
        <w:t>and gifts inappropriately included in utility’s rates because they did not directly relate to the provision of quality water service)</w:t>
      </w:r>
      <w:r w:rsidRPr="00EA224A">
        <w:rPr>
          <w:rFonts w:ascii="Times New Roman" w:hAnsi="Times New Roman" w:cs="Times New Roman"/>
        </w:rPr>
        <w:t xml:space="preserve">.  I also agree with the OCA that Columbia did not </w:t>
      </w:r>
      <w:r w:rsidR="00CA6A9D" w:rsidRPr="00EA224A">
        <w:rPr>
          <w:rFonts w:ascii="Times New Roman" w:hAnsi="Times New Roman" w:cs="Times New Roman"/>
        </w:rPr>
        <w:t>provide specific information about the year-end banquet to demonstrate that it qualifies as an “employee recognition” dinner.</w:t>
      </w:r>
      <w:r w:rsidRPr="00EA224A">
        <w:rPr>
          <w:rFonts w:ascii="Times New Roman" w:hAnsi="Times New Roman" w:cs="Times New Roman"/>
        </w:rPr>
        <w:t xml:space="preserve">  While Mr. Lewis argues that these expenses are necessary for the Company to attract and retain skilled employees (CWC St. 1R at 12), they are simply not valid expenses consistent with established ratemaking principles.  An adjustment of </w:t>
      </w:r>
      <w:r w:rsidR="00CA6A9D" w:rsidRPr="00EA224A">
        <w:rPr>
          <w:rFonts w:ascii="Times New Roman" w:hAnsi="Times New Roman" w:cs="Times New Roman"/>
        </w:rPr>
        <w:t xml:space="preserve">$6,051 </w:t>
      </w:r>
      <w:r w:rsidRPr="00EA224A">
        <w:rPr>
          <w:rFonts w:ascii="Times New Roman" w:hAnsi="Times New Roman" w:cs="Times New Roman"/>
        </w:rPr>
        <w:t>is approved</w:t>
      </w:r>
      <w:r w:rsidR="00CA6A9D" w:rsidRPr="00EA224A">
        <w:rPr>
          <w:rFonts w:ascii="Times New Roman" w:hAnsi="Times New Roman" w:cs="Times New Roman"/>
        </w:rPr>
        <w:t>.</w:t>
      </w:r>
      <w:bookmarkStart w:id="31" w:name="_Toc367958628"/>
    </w:p>
    <w:p w:rsidR="00241EDA" w:rsidRDefault="00241EDA" w:rsidP="00241EDA">
      <w:pPr>
        <w:autoSpaceDE/>
        <w:autoSpaceDN/>
        <w:spacing w:line="360" w:lineRule="auto"/>
        <w:contextualSpacing/>
        <w:rPr>
          <w:rFonts w:ascii="Times New Roman" w:hAnsi="Times New Roman"/>
          <w:i/>
        </w:rPr>
      </w:pPr>
    </w:p>
    <w:p w:rsidR="00CA6A9D" w:rsidRPr="00EA224A" w:rsidRDefault="009D3F59" w:rsidP="000E74AA">
      <w:pPr>
        <w:pStyle w:val="Heading2"/>
        <w:numPr>
          <w:ilvl w:val="0"/>
          <w:numId w:val="0"/>
        </w:numPr>
        <w:spacing w:before="0" w:after="0" w:line="360" w:lineRule="auto"/>
        <w:ind w:left="1440" w:hanging="720"/>
        <w:contextualSpacing/>
        <w:rPr>
          <w:rFonts w:ascii="Times New Roman" w:hAnsi="Times New Roman"/>
          <w:i w:val="0"/>
          <w:szCs w:val="24"/>
        </w:rPr>
      </w:pPr>
      <w:r w:rsidRPr="00EA224A">
        <w:rPr>
          <w:rFonts w:ascii="Times New Roman" w:hAnsi="Times New Roman"/>
          <w:i w:val="0"/>
          <w:szCs w:val="24"/>
        </w:rPr>
        <w:t>12</w:t>
      </w:r>
      <w:r w:rsidR="002E011F" w:rsidRPr="00EA224A">
        <w:rPr>
          <w:rFonts w:ascii="Times New Roman" w:hAnsi="Times New Roman"/>
          <w:i w:val="0"/>
          <w:szCs w:val="24"/>
        </w:rPr>
        <w:t>.</w:t>
      </w:r>
      <w:r w:rsidR="002E011F" w:rsidRPr="00EA224A">
        <w:rPr>
          <w:rFonts w:ascii="Times New Roman" w:hAnsi="Times New Roman"/>
          <w:i w:val="0"/>
          <w:szCs w:val="24"/>
        </w:rPr>
        <w:tab/>
      </w:r>
      <w:r w:rsidR="00CA6A9D" w:rsidRPr="00EA224A">
        <w:rPr>
          <w:rFonts w:ascii="Times New Roman" w:hAnsi="Times New Roman"/>
          <w:i w:val="0"/>
          <w:szCs w:val="24"/>
        </w:rPr>
        <w:t>Vehicle Insurance</w:t>
      </w:r>
      <w:bookmarkEnd w:id="31"/>
      <w:r w:rsidR="000E74AA">
        <w:rPr>
          <w:rFonts w:ascii="Times New Roman" w:hAnsi="Times New Roman"/>
          <w:i w:val="0"/>
          <w:szCs w:val="24"/>
        </w:rPr>
        <w:fldChar w:fldCharType="begin"/>
      </w:r>
      <w:r w:rsidR="000E74AA">
        <w:instrText xml:space="preserve"> TC "</w:instrText>
      </w:r>
      <w:bookmarkStart w:id="32" w:name="_Toc372704697"/>
      <w:r w:rsidR="000E74AA" w:rsidRPr="00831096">
        <w:rPr>
          <w:rFonts w:ascii="Times New Roman" w:hAnsi="Times New Roman"/>
          <w:i w:val="0"/>
          <w:szCs w:val="24"/>
        </w:rPr>
        <w:instrText>12.</w:instrText>
      </w:r>
      <w:r w:rsidR="000E74AA" w:rsidRPr="00831096">
        <w:rPr>
          <w:rFonts w:ascii="Times New Roman" w:hAnsi="Times New Roman"/>
          <w:i w:val="0"/>
          <w:szCs w:val="24"/>
        </w:rPr>
        <w:tab/>
        <w:instrText>Vehicle Insurance</w:instrText>
      </w:r>
      <w:bookmarkEnd w:id="32"/>
      <w:r w:rsidR="000E74AA">
        <w:instrText xml:space="preserve">" \f C \l "3" </w:instrText>
      </w:r>
      <w:r w:rsidR="000E74AA">
        <w:rPr>
          <w:rFonts w:ascii="Times New Roman" w:hAnsi="Times New Roman"/>
          <w:i w:val="0"/>
          <w:szCs w:val="24"/>
        </w:rPr>
        <w:fldChar w:fldCharType="end"/>
      </w:r>
    </w:p>
    <w:p w:rsidR="009D3F59" w:rsidRPr="00EA224A" w:rsidRDefault="009D3F59" w:rsidP="00047866">
      <w:pPr>
        <w:contextualSpacing/>
        <w:rPr>
          <w:rFonts w:ascii="Times New Roman" w:hAnsi="Times New Roman" w:cs="Times New Roman"/>
        </w:rPr>
      </w:pPr>
    </w:p>
    <w:p w:rsidR="00241EDA" w:rsidRDefault="00CA6A9D" w:rsidP="004272F2">
      <w:pPr>
        <w:spacing w:line="360" w:lineRule="auto"/>
        <w:contextualSpacing/>
        <w:rPr>
          <w:rFonts w:ascii="Times New Roman" w:hAnsi="Times New Roman" w:cs="Times New Roman"/>
        </w:rPr>
      </w:pPr>
      <w:r w:rsidRPr="00EA224A">
        <w:rPr>
          <w:rFonts w:ascii="Times New Roman" w:hAnsi="Times New Roman" w:cs="Times New Roman"/>
        </w:rPr>
        <w:tab/>
      </w:r>
      <w:r w:rsidR="002E011F" w:rsidRPr="00EA224A">
        <w:rPr>
          <w:rFonts w:ascii="Times New Roman" w:hAnsi="Times New Roman" w:cs="Times New Roman"/>
        </w:rPr>
        <w:tab/>
        <w:t>Columbia</w:t>
      </w:r>
      <w:r w:rsidRPr="00EA224A">
        <w:rPr>
          <w:rFonts w:ascii="Times New Roman" w:hAnsi="Times New Roman" w:cs="Times New Roman"/>
        </w:rPr>
        <w:t xml:space="preserve"> claimed $6,900 in the future test year for vehicle insurance.  OCA St. 1 at 37-38; OCA St. 1S at 23-25.  </w:t>
      </w:r>
      <w:r w:rsidR="002E011F" w:rsidRPr="00EA224A">
        <w:rPr>
          <w:rFonts w:ascii="Times New Roman" w:hAnsi="Times New Roman" w:cs="Times New Roman"/>
        </w:rPr>
        <w:t xml:space="preserve">The OCA’s witness, </w:t>
      </w:r>
      <w:r w:rsidRPr="00EA224A">
        <w:rPr>
          <w:rFonts w:ascii="Times New Roman" w:hAnsi="Times New Roman" w:cs="Times New Roman"/>
        </w:rPr>
        <w:t xml:space="preserve">Ms. Everette, </w:t>
      </w:r>
      <w:r w:rsidR="002E011F" w:rsidRPr="00EA224A">
        <w:rPr>
          <w:rFonts w:ascii="Times New Roman" w:hAnsi="Times New Roman" w:cs="Times New Roman"/>
        </w:rPr>
        <w:t>recommended that Columbia’s</w:t>
      </w:r>
      <w:r w:rsidRPr="00EA224A">
        <w:rPr>
          <w:rFonts w:ascii="Times New Roman" w:hAnsi="Times New Roman" w:cs="Times New Roman"/>
        </w:rPr>
        <w:t xml:space="preserve"> vehicle insurance expense should be adjusted by allocating $589 to the Marietta Division.  OCA St. 1S at 24.  In response to OCA-III-48, </w:t>
      </w:r>
      <w:r w:rsidR="002E011F" w:rsidRPr="00EA224A">
        <w:rPr>
          <w:rFonts w:ascii="Times New Roman" w:hAnsi="Times New Roman" w:cs="Times New Roman"/>
        </w:rPr>
        <w:t>Columbia</w:t>
      </w:r>
      <w:r w:rsidRPr="00EA224A">
        <w:rPr>
          <w:rFonts w:ascii="Times New Roman" w:hAnsi="Times New Roman" w:cs="Times New Roman"/>
        </w:rPr>
        <w:t xml:space="preserve"> indicated that “other vehicles on the policy were used by workers when doing work for the Marietta Division</w:t>
      </w:r>
      <w:r w:rsidR="00EB13A2">
        <w:rPr>
          <w:rFonts w:ascii="Times New Roman" w:hAnsi="Times New Roman" w:cs="Times New Roman"/>
        </w:rPr>
        <w:t>.”  OCA St. 1 at </w:t>
      </w:r>
      <w:r w:rsidRPr="00EA224A">
        <w:rPr>
          <w:rFonts w:ascii="Times New Roman" w:hAnsi="Times New Roman" w:cs="Times New Roman"/>
        </w:rPr>
        <w:t xml:space="preserve">37.  </w:t>
      </w:r>
      <w:r w:rsidR="002E011F" w:rsidRPr="00EA224A">
        <w:rPr>
          <w:rFonts w:ascii="Times New Roman" w:hAnsi="Times New Roman" w:cs="Times New Roman"/>
        </w:rPr>
        <w:t>Columbia</w:t>
      </w:r>
      <w:r w:rsidRPr="00EA224A">
        <w:rPr>
          <w:rFonts w:ascii="Times New Roman" w:hAnsi="Times New Roman" w:cs="Times New Roman"/>
        </w:rPr>
        <w:t xml:space="preserve"> further indicated that “[a] portion of the shared vehicle’s commercial auto premium will be expensed to the Marietta Division using hours worked by staff in that division as the basis for sharing.”  OCA St. 1 at 37.  T</w:t>
      </w:r>
      <w:r w:rsidR="002E011F" w:rsidRPr="00EA224A">
        <w:rPr>
          <w:rFonts w:ascii="Times New Roman" w:hAnsi="Times New Roman" w:cs="Times New Roman"/>
        </w:rPr>
        <w:t>he OCA contends that t</w:t>
      </w:r>
      <w:r w:rsidRPr="00EA224A">
        <w:rPr>
          <w:rFonts w:ascii="Times New Roman" w:hAnsi="Times New Roman" w:cs="Times New Roman"/>
        </w:rPr>
        <w:t>he delayed allocation of vehicle insurance costs to the Marietta Division is not appropriate for ratemaking purposes</w:t>
      </w:r>
      <w:r w:rsidR="002E011F" w:rsidRPr="00EA224A">
        <w:rPr>
          <w:rFonts w:ascii="Times New Roman" w:hAnsi="Times New Roman" w:cs="Times New Roman"/>
        </w:rPr>
        <w:t>, and M</w:t>
      </w:r>
      <w:r w:rsidRPr="00EA224A">
        <w:rPr>
          <w:rFonts w:ascii="Times New Roman" w:hAnsi="Times New Roman" w:cs="Times New Roman"/>
        </w:rPr>
        <w:t>s. Everette used the same allocation percentage for vehicle insurance as she used for employee salaries and wages.</w:t>
      </w:r>
    </w:p>
    <w:p w:rsidR="00241EDA" w:rsidRDefault="00241EDA" w:rsidP="004272F2">
      <w:pPr>
        <w:spacing w:line="360" w:lineRule="auto"/>
        <w:contextualSpacing/>
        <w:rPr>
          <w:rFonts w:ascii="Times New Roman" w:hAnsi="Times New Roman" w:cs="Times New Roman"/>
        </w:rPr>
      </w:pPr>
    </w:p>
    <w:p w:rsidR="00241EDA" w:rsidRDefault="00241EDA"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To accept the OCA’s recommended adjustment, I would have to ignore the testimony of Mr. Lewis on this point:</w:t>
      </w:r>
    </w:p>
    <w:p w:rsidR="00241EDA" w:rsidRDefault="00241EDA" w:rsidP="004272F2">
      <w:pPr>
        <w:spacing w:line="360" w:lineRule="auto"/>
        <w:contextualSpacing/>
        <w:rPr>
          <w:rFonts w:ascii="Times New Roman" w:hAnsi="Times New Roman" w:cs="Times New Roman"/>
        </w:rPr>
      </w:pPr>
    </w:p>
    <w:p w:rsidR="00241EDA" w:rsidRDefault="00241EDA" w:rsidP="00241EDA">
      <w:pPr>
        <w:ind w:left="1440" w:right="1728"/>
        <w:contextualSpacing/>
        <w:rPr>
          <w:rFonts w:ascii="Times New Roman" w:hAnsi="Times New Roman" w:cs="Times New Roman"/>
        </w:rPr>
      </w:pPr>
      <w:r w:rsidRPr="00241EDA">
        <w:rPr>
          <w:rFonts w:ascii="Times New Roman" w:hAnsi="Times New Roman" w:cs="Times New Roman"/>
        </w:rPr>
        <w:t>Mr. Lewis testified that the Marietta Division has its own vehicle, and, thus, most of the vehicle costs are associated with that vehicle.  (Tr. at 114)  He explained that many of the employees that do Marietta Division work do not use vehicles; for example, customer service personnel, the office manager, and the production superintendent.  Even meter readers mainly walk and only use the vehicle to get to the service area.  (Tr. at 114)  He further explained that the vehicle use associated with the Marietta Division is minimal even when you include the hours of those employees that do Marietta Division tasks and use vehicles and, if anything, it is less than 4 percent, which is the amount of time the Company allocated for the foreman and the meter readers and other employees who do Marietta tasks.  (Tr. at 114-115)  The Company’s vehicle costs will go up if they are used substantially for the Marietta Division, and those additional costs will be allocated to the Marietta Division. (Tr. at 115)</w:t>
      </w:r>
      <w:r>
        <w:rPr>
          <w:rFonts w:ascii="Times New Roman" w:hAnsi="Times New Roman" w:cs="Times New Roman"/>
        </w:rPr>
        <w:t xml:space="preserve">  Columbia MB at 29-30.</w:t>
      </w:r>
    </w:p>
    <w:p w:rsidR="00241EDA" w:rsidRDefault="00241EDA" w:rsidP="004272F2">
      <w:pPr>
        <w:spacing w:line="360" w:lineRule="auto"/>
        <w:contextualSpacing/>
        <w:rPr>
          <w:rFonts w:ascii="Times New Roman" w:hAnsi="Times New Roman" w:cs="Times New Roman"/>
        </w:rPr>
      </w:pPr>
    </w:p>
    <w:p w:rsidR="00CA6A9D" w:rsidRPr="00EA224A" w:rsidRDefault="00CA6A9D" w:rsidP="004272F2">
      <w:pPr>
        <w:spacing w:line="360" w:lineRule="auto"/>
        <w:contextualSpacing/>
        <w:rPr>
          <w:rFonts w:ascii="Times New Roman" w:hAnsi="Times New Roman" w:cs="Times New Roman"/>
        </w:rPr>
      </w:pPr>
      <w:r w:rsidRPr="00EA224A">
        <w:rPr>
          <w:rFonts w:ascii="Times New Roman" w:hAnsi="Times New Roman" w:cs="Times New Roman"/>
        </w:rPr>
        <w:t xml:space="preserve">  </w:t>
      </w:r>
      <w:r w:rsidR="00A93D0C" w:rsidRPr="00EA224A">
        <w:rPr>
          <w:rFonts w:ascii="Times New Roman" w:hAnsi="Times New Roman" w:cs="Times New Roman"/>
        </w:rPr>
        <w:t xml:space="preserve">  </w:t>
      </w:r>
      <w:r w:rsidR="002E011F" w:rsidRPr="00EA224A">
        <w:rPr>
          <w:rFonts w:ascii="Times New Roman" w:hAnsi="Times New Roman" w:cs="Times New Roman"/>
        </w:rPr>
        <w:t xml:space="preserve">The proposed adjustment is </w:t>
      </w:r>
      <w:r w:rsidR="005A07B1" w:rsidRPr="00EA224A">
        <w:rPr>
          <w:rFonts w:ascii="Times New Roman" w:hAnsi="Times New Roman" w:cs="Times New Roman"/>
        </w:rPr>
        <w:t>rejected</w:t>
      </w:r>
      <w:r w:rsidR="002E011F" w:rsidRPr="00EA224A">
        <w:rPr>
          <w:rFonts w:ascii="Times New Roman" w:hAnsi="Times New Roman" w:cs="Times New Roman"/>
        </w:rPr>
        <w:t>.</w:t>
      </w:r>
    </w:p>
    <w:p w:rsidR="00A93D0C" w:rsidRPr="00EA224A" w:rsidRDefault="00A93D0C" w:rsidP="00047866">
      <w:pPr>
        <w:spacing w:line="360" w:lineRule="auto"/>
        <w:contextualSpacing/>
        <w:jc w:val="both"/>
        <w:rPr>
          <w:rFonts w:ascii="Times New Roman" w:hAnsi="Times New Roman" w:cs="Times New Roman"/>
        </w:rPr>
      </w:pPr>
    </w:p>
    <w:p w:rsidR="00CA6A9D" w:rsidRPr="00EA224A" w:rsidRDefault="009D3F59" w:rsidP="000E74AA">
      <w:pPr>
        <w:pStyle w:val="Heading2"/>
        <w:numPr>
          <w:ilvl w:val="0"/>
          <w:numId w:val="0"/>
        </w:numPr>
        <w:spacing w:before="0" w:after="0" w:line="360" w:lineRule="auto"/>
        <w:ind w:left="2160" w:hanging="720"/>
        <w:contextualSpacing/>
        <w:rPr>
          <w:rFonts w:ascii="Times New Roman" w:hAnsi="Times New Roman"/>
          <w:i w:val="0"/>
          <w:szCs w:val="24"/>
        </w:rPr>
      </w:pPr>
      <w:bookmarkStart w:id="33" w:name="_Toc367958629"/>
      <w:r w:rsidRPr="00EA224A">
        <w:rPr>
          <w:rFonts w:ascii="Times New Roman" w:hAnsi="Times New Roman"/>
          <w:i w:val="0"/>
          <w:szCs w:val="24"/>
        </w:rPr>
        <w:t>13</w:t>
      </w:r>
      <w:r w:rsidR="00A93D0C" w:rsidRPr="00EA224A">
        <w:rPr>
          <w:rFonts w:ascii="Times New Roman" w:hAnsi="Times New Roman"/>
          <w:i w:val="0"/>
          <w:szCs w:val="24"/>
        </w:rPr>
        <w:t>.</w:t>
      </w:r>
      <w:r w:rsidR="00A93D0C" w:rsidRPr="00EA224A">
        <w:rPr>
          <w:rFonts w:ascii="Times New Roman" w:hAnsi="Times New Roman"/>
          <w:i w:val="0"/>
          <w:szCs w:val="24"/>
        </w:rPr>
        <w:tab/>
      </w:r>
      <w:r w:rsidR="00CA6A9D" w:rsidRPr="00EA224A">
        <w:rPr>
          <w:rFonts w:ascii="Times New Roman" w:hAnsi="Times New Roman"/>
          <w:i w:val="0"/>
          <w:szCs w:val="24"/>
        </w:rPr>
        <w:t>Worker’s Compensation Insurance</w:t>
      </w:r>
      <w:bookmarkEnd w:id="33"/>
      <w:r w:rsidR="000E74AA">
        <w:rPr>
          <w:rFonts w:ascii="Times New Roman" w:hAnsi="Times New Roman"/>
          <w:i w:val="0"/>
          <w:szCs w:val="24"/>
        </w:rPr>
        <w:fldChar w:fldCharType="begin"/>
      </w:r>
      <w:r w:rsidR="000E74AA">
        <w:instrText xml:space="preserve"> TC "</w:instrText>
      </w:r>
      <w:bookmarkStart w:id="34" w:name="_Toc372704698"/>
      <w:r w:rsidR="000E74AA" w:rsidRPr="00831096">
        <w:rPr>
          <w:rFonts w:ascii="Times New Roman" w:hAnsi="Times New Roman"/>
          <w:i w:val="0"/>
          <w:szCs w:val="24"/>
        </w:rPr>
        <w:instrText>13.</w:instrText>
      </w:r>
      <w:r w:rsidR="000E74AA" w:rsidRPr="00831096">
        <w:rPr>
          <w:rFonts w:ascii="Times New Roman" w:hAnsi="Times New Roman"/>
          <w:i w:val="0"/>
          <w:szCs w:val="24"/>
        </w:rPr>
        <w:tab/>
        <w:instrText>Worker’s Compensation Insurance</w:instrText>
      </w:r>
      <w:bookmarkEnd w:id="34"/>
      <w:r w:rsidR="000E74AA">
        <w:instrText xml:space="preserve">" \f C \l "3" </w:instrText>
      </w:r>
      <w:r w:rsidR="000E74AA">
        <w:rPr>
          <w:rFonts w:ascii="Times New Roman" w:hAnsi="Times New Roman"/>
          <w:i w:val="0"/>
          <w:szCs w:val="24"/>
        </w:rPr>
        <w:fldChar w:fldCharType="end"/>
      </w:r>
    </w:p>
    <w:p w:rsidR="009D3F59" w:rsidRPr="00EA224A" w:rsidRDefault="009D3F59" w:rsidP="00047866">
      <w:pPr>
        <w:spacing w:line="360" w:lineRule="auto"/>
        <w:contextualSpacing/>
        <w:rPr>
          <w:rFonts w:ascii="Times New Roman" w:hAnsi="Times New Roman" w:cs="Times New Roman"/>
        </w:rPr>
      </w:pPr>
    </w:p>
    <w:p w:rsidR="00CA6A9D" w:rsidRPr="00EA224A" w:rsidRDefault="00F95C8F" w:rsidP="004272F2">
      <w:pPr>
        <w:spacing w:line="360" w:lineRule="auto"/>
        <w:contextualSpacing/>
        <w:rPr>
          <w:rFonts w:ascii="Times New Roman" w:hAnsi="Times New Roman" w:cs="Times New Roman"/>
          <w:color w:val="000000"/>
        </w:rPr>
      </w:pPr>
      <w:r w:rsidRPr="00EA224A">
        <w:rPr>
          <w:rFonts w:ascii="Times New Roman" w:hAnsi="Times New Roman" w:cs="Times New Roman"/>
        </w:rPr>
        <w:tab/>
      </w:r>
      <w:r w:rsidRPr="00EA224A">
        <w:rPr>
          <w:rFonts w:ascii="Times New Roman" w:hAnsi="Times New Roman" w:cs="Times New Roman"/>
        </w:rPr>
        <w:tab/>
        <w:t>The OCA contends that Columbia’s</w:t>
      </w:r>
      <w:r w:rsidR="00CA6A9D" w:rsidRPr="00EA224A">
        <w:rPr>
          <w:rFonts w:ascii="Times New Roman" w:hAnsi="Times New Roman" w:cs="Times New Roman"/>
        </w:rPr>
        <w:t xml:space="preserve"> claimed expense of $24,500 for worker’s compensation insurance should be adjusted to reflect an allocation of $2,938 to the Marietta Division.  OCA St. 1 at 38-41; OCA St. 1S at 25-26.  See OCA St. 1 at 38; CWC response to OCA III-55(App. B to OCA St. 1).</w:t>
      </w:r>
      <w:r w:rsidRPr="00EA224A">
        <w:rPr>
          <w:rFonts w:ascii="Times New Roman" w:hAnsi="Times New Roman" w:cs="Times New Roman"/>
        </w:rPr>
        <w:t xml:space="preserve">  The OCA </w:t>
      </w:r>
      <w:r w:rsidR="00CA6A9D" w:rsidRPr="00EA224A">
        <w:rPr>
          <w:rFonts w:ascii="Times New Roman" w:hAnsi="Times New Roman" w:cs="Times New Roman"/>
          <w:color w:val="000000"/>
        </w:rPr>
        <w:t xml:space="preserve">recommends that 11.99% of the worker’s compensation insurance expense should be allocated to the Marietta Division.  OCA </w:t>
      </w:r>
      <w:r w:rsidR="00241EDA">
        <w:rPr>
          <w:rFonts w:ascii="Times New Roman" w:hAnsi="Times New Roman" w:cs="Times New Roman"/>
          <w:color w:val="000000"/>
        </w:rPr>
        <w:t>w</w:t>
      </w:r>
      <w:r w:rsidR="00CA6A9D" w:rsidRPr="00EA224A">
        <w:rPr>
          <w:rFonts w:ascii="Times New Roman" w:hAnsi="Times New Roman" w:cs="Times New Roman"/>
          <w:color w:val="000000"/>
        </w:rPr>
        <w:t>itness Everette explained the 11.99% allocation as follows:</w:t>
      </w:r>
    </w:p>
    <w:p w:rsidR="006B215C" w:rsidRPr="00EA224A" w:rsidRDefault="006B215C" w:rsidP="00047866">
      <w:pPr>
        <w:spacing w:line="360" w:lineRule="auto"/>
        <w:contextualSpacing/>
        <w:jc w:val="both"/>
        <w:rPr>
          <w:rFonts w:ascii="Times New Roman" w:hAnsi="Times New Roman" w:cs="Times New Roman"/>
          <w:color w:val="000000"/>
        </w:rPr>
      </w:pPr>
    </w:p>
    <w:p w:rsidR="00F95C8F" w:rsidRPr="00EA224A" w:rsidRDefault="00CA6A9D" w:rsidP="004272F2">
      <w:pPr>
        <w:adjustRightInd w:val="0"/>
        <w:ind w:left="1440" w:right="1440"/>
        <w:contextualSpacing/>
        <w:rPr>
          <w:rFonts w:ascii="Times New Roman" w:hAnsi="Times New Roman" w:cs="Times New Roman"/>
          <w:color w:val="000000"/>
        </w:rPr>
      </w:pPr>
      <w:r w:rsidRPr="00EA224A">
        <w:rPr>
          <w:rFonts w:ascii="Times New Roman" w:hAnsi="Times New Roman" w:cs="Times New Roman"/>
          <w:color w:val="000000"/>
        </w:rPr>
        <w:t xml:space="preserve">The Marietta Division’s three employees are included in CWC’s claim for workers’ compensation insurance. </w:t>
      </w:r>
      <w:r w:rsidR="002513A4">
        <w:rPr>
          <w:rFonts w:ascii="Times New Roman" w:hAnsi="Times New Roman" w:cs="Times New Roman"/>
          <w:color w:val="000000"/>
        </w:rPr>
        <w:t xml:space="preserve"> </w:t>
      </w:r>
      <w:r w:rsidRPr="00EA224A">
        <w:rPr>
          <w:rFonts w:ascii="Times New Roman" w:hAnsi="Times New Roman" w:cs="Times New Roman"/>
          <w:color w:val="000000"/>
        </w:rPr>
        <w:t xml:space="preserve">This means that I must use total salaries in developing the allocation. </w:t>
      </w:r>
      <w:r w:rsidR="00E36B34">
        <w:rPr>
          <w:rFonts w:ascii="Times New Roman" w:hAnsi="Times New Roman" w:cs="Times New Roman"/>
          <w:color w:val="000000"/>
        </w:rPr>
        <w:t xml:space="preserve"> </w:t>
      </w:r>
      <w:r w:rsidRPr="00EA224A">
        <w:rPr>
          <w:rFonts w:ascii="Times New Roman" w:hAnsi="Times New Roman" w:cs="Times New Roman"/>
          <w:color w:val="000000"/>
        </w:rPr>
        <w:t xml:space="preserve">The total salaries allocated to the Marietta Division, including the three employees who are allocated 100%, represent 11.99% of total salaries (shown on line 29 of Schedule 2S). </w:t>
      </w:r>
      <w:r w:rsidR="00CC0BB3">
        <w:rPr>
          <w:rFonts w:ascii="Times New Roman" w:hAnsi="Times New Roman" w:cs="Times New Roman"/>
          <w:color w:val="000000"/>
        </w:rPr>
        <w:t xml:space="preserve"> </w:t>
      </w:r>
      <w:r w:rsidRPr="00EA224A">
        <w:rPr>
          <w:rFonts w:ascii="Times New Roman" w:hAnsi="Times New Roman" w:cs="Times New Roman"/>
          <w:color w:val="000000"/>
        </w:rPr>
        <w:t xml:space="preserve">Therefore, 11.99% of workers’ compensation insurance should be allocated to the Marietta Division. </w:t>
      </w:r>
      <w:r w:rsidR="00CD12E3">
        <w:rPr>
          <w:rFonts w:ascii="Times New Roman" w:hAnsi="Times New Roman" w:cs="Times New Roman"/>
          <w:color w:val="000000"/>
        </w:rPr>
        <w:t xml:space="preserve"> </w:t>
      </w:r>
      <w:r w:rsidRPr="00EA224A">
        <w:rPr>
          <w:rFonts w:ascii="Times New Roman" w:hAnsi="Times New Roman" w:cs="Times New Roman"/>
          <w:color w:val="000000"/>
        </w:rPr>
        <w:t>This is based on my acceptance of Mr. Lewis’ statement that “The amount to be allocated should be based upon the actual amount of time allocated to the Marietta Division” (CWC Statement No. 1R, Page 13, Lines 16-17).</w:t>
      </w:r>
      <w:r w:rsidR="00F95C8F" w:rsidRPr="00EA224A">
        <w:rPr>
          <w:rFonts w:ascii="Times New Roman" w:hAnsi="Times New Roman" w:cs="Times New Roman"/>
          <w:color w:val="000000"/>
        </w:rPr>
        <w:t xml:space="preserve">  </w:t>
      </w:r>
      <w:r w:rsidR="00763911">
        <w:rPr>
          <w:rFonts w:ascii="Times New Roman" w:hAnsi="Times New Roman" w:cs="Times New Roman"/>
          <w:color w:val="000000"/>
        </w:rPr>
        <w:t>OCA St. 1S at </w:t>
      </w:r>
      <w:r w:rsidRPr="00EA224A">
        <w:rPr>
          <w:rFonts w:ascii="Times New Roman" w:hAnsi="Times New Roman" w:cs="Times New Roman"/>
          <w:color w:val="000000"/>
        </w:rPr>
        <w:t>25.</w:t>
      </w:r>
    </w:p>
    <w:p w:rsidR="00F95C8F" w:rsidRPr="00EA224A" w:rsidRDefault="00F95C8F" w:rsidP="00047866">
      <w:pPr>
        <w:adjustRightInd w:val="0"/>
        <w:spacing w:line="360" w:lineRule="auto"/>
        <w:contextualSpacing/>
        <w:jc w:val="both"/>
        <w:rPr>
          <w:rFonts w:ascii="Times New Roman" w:hAnsi="Times New Roman" w:cs="Times New Roman"/>
          <w:color w:val="000000"/>
        </w:rPr>
      </w:pPr>
    </w:p>
    <w:p w:rsidR="006B215C" w:rsidRPr="00EA224A" w:rsidRDefault="00F95C8F" w:rsidP="004272F2">
      <w:pPr>
        <w:adjustRightInd w:val="0"/>
        <w:spacing w:line="360" w:lineRule="auto"/>
        <w:contextualSpacing/>
        <w:rPr>
          <w:rFonts w:ascii="Times New Roman" w:hAnsi="Times New Roman" w:cs="Times New Roman"/>
          <w:color w:val="000000"/>
        </w:rPr>
      </w:pPr>
      <w:r w:rsidRPr="00EA224A">
        <w:rPr>
          <w:rFonts w:ascii="Times New Roman" w:hAnsi="Times New Roman" w:cs="Times New Roman"/>
          <w:color w:val="000000"/>
        </w:rPr>
        <w:tab/>
      </w:r>
      <w:r w:rsidRPr="00EA224A">
        <w:rPr>
          <w:rFonts w:ascii="Times New Roman" w:hAnsi="Times New Roman" w:cs="Times New Roman"/>
          <w:color w:val="000000"/>
        </w:rPr>
        <w:tab/>
      </w:r>
      <w:r w:rsidR="00CA6A9D" w:rsidRPr="00EA224A">
        <w:rPr>
          <w:rFonts w:ascii="Times New Roman" w:hAnsi="Times New Roman" w:cs="Times New Roman"/>
          <w:color w:val="000000"/>
        </w:rPr>
        <w:t xml:space="preserve">Consequently, $2,938 (11.99% of $24,500) should be allocated to the Marietta Division.  OCA St. 1S at 26; OCA Table II; AEE-1S, Sch. 1S.  </w:t>
      </w:r>
      <w:r w:rsidR="00053D6C" w:rsidRPr="00EA224A">
        <w:rPr>
          <w:rFonts w:ascii="Times New Roman" w:hAnsi="Times New Roman" w:cs="Times New Roman"/>
          <w:color w:val="000000"/>
        </w:rPr>
        <w:t>However, the Marietta Division does not carry its own workman’s compensation insu</w:t>
      </w:r>
      <w:r w:rsidR="00C67CA1">
        <w:rPr>
          <w:rFonts w:ascii="Times New Roman" w:hAnsi="Times New Roman" w:cs="Times New Roman"/>
          <w:color w:val="000000"/>
        </w:rPr>
        <w:t xml:space="preserve">rance for Marietta employees.  </w:t>
      </w:r>
      <w:r w:rsidR="00053D6C" w:rsidRPr="00EA224A">
        <w:rPr>
          <w:rFonts w:ascii="Times New Roman" w:hAnsi="Times New Roman" w:cs="Times New Roman"/>
          <w:color w:val="000000"/>
        </w:rPr>
        <w:t xml:space="preserve">The proposed adjustment is </w:t>
      </w:r>
      <w:r w:rsidR="005A07B1" w:rsidRPr="00EA224A">
        <w:rPr>
          <w:rFonts w:ascii="Times New Roman" w:hAnsi="Times New Roman" w:cs="Times New Roman"/>
          <w:color w:val="000000"/>
        </w:rPr>
        <w:t>rejected</w:t>
      </w:r>
      <w:r w:rsidR="00053D6C" w:rsidRPr="00EA224A">
        <w:rPr>
          <w:rFonts w:ascii="Times New Roman" w:hAnsi="Times New Roman" w:cs="Times New Roman"/>
          <w:color w:val="000000"/>
        </w:rPr>
        <w:t xml:space="preserve">.  </w:t>
      </w:r>
      <w:r w:rsidRPr="00EA224A">
        <w:rPr>
          <w:rFonts w:ascii="Times New Roman" w:hAnsi="Times New Roman" w:cs="Times New Roman"/>
          <w:color w:val="000000"/>
        </w:rPr>
        <w:t>With respect to this particular issue, and because Columbia must provide worker’s compensation insurance for its employees, the total increase should be allowed</w:t>
      </w:r>
      <w:r w:rsidR="00CA6A9D" w:rsidRPr="00EA224A">
        <w:rPr>
          <w:rFonts w:ascii="Times New Roman" w:hAnsi="Times New Roman" w:cs="Times New Roman"/>
          <w:color w:val="000000"/>
        </w:rPr>
        <w:t>.</w:t>
      </w:r>
    </w:p>
    <w:p w:rsidR="006B215C" w:rsidRPr="00EA224A" w:rsidRDefault="006B215C" w:rsidP="004272F2">
      <w:pPr>
        <w:adjustRightInd w:val="0"/>
        <w:spacing w:line="360" w:lineRule="auto"/>
        <w:contextualSpacing/>
        <w:rPr>
          <w:rFonts w:ascii="Times New Roman" w:hAnsi="Times New Roman" w:cs="Times New Roman"/>
          <w:color w:val="000000"/>
        </w:rPr>
      </w:pPr>
    </w:p>
    <w:p w:rsidR="00CA6A9D" w:rsidRPr="00EA224A" w:rsidRDefault="009D3F59" w:rsidP="000E74AA">
      <w:pPr>
        <w:adjustRightInd w:val="0"/>
        <w:spacing w:line="360" w:lineRule="auto"/>
        <w:ind w:left="1440" w:hanging="720"/>
        <w:contextualSpacing/>
        <w:rPr>
          <w:rFonts w:ascii="Times New Roman" w:hAnsi="Times New Roman" w:cs="Times New Roman"/>
          <w:color w:val="000000"/>
        </w:rPr>
      </w:pPr>
      <w:r w:rsidRPr="00EA224A">
        <w:rPr>
          <w:rFonts w:ascii="Times New Roman" w:hAnsi="Times New Roman" w:cs="Times New Roman"/>
          <w:color w:val="000000"/>
        </w:rPr>
        <w:t>14</w:t>
      </w:r>
      <w:r w:rsidR="001533FD" w:rsidRPr="00EA224A">
        <w:rPr>
          <w:rFonts w:ascii="Times New Roman" w:hAnsi="Times New Roman" w:cs="Times New Roman"/>
          <w:color w:val="000000"/>
        </w:rPr>
        <w:t>.</w:t>
      </w:r>
      <w:r w:rsidR="001533FD" w:rsidRPr="00EA224A">
        <w:rPr>
          <w:rFonts w:ascii="Times New Roman" w:hAnsi="Times New Roman" w:cs="Times New Roman"/>
          <w:color w:val="000000"/>
        </w:rPr>
        <w:tab/>
        <w:t>Accounting</w:t>
      </w:r>
      <w:r w:rsidR="000E74AA">
        <w:rPr>
          <w:rFonts w:ascii="Times New Roman" w:hAnsi="Times New Roman" w:cs="Times New Roman"/>
          <w:color w:val="000000"/>
        </w:rPr>
        <w:fldChar w:fldCharType="begin"/>
      </w:r>
      <w:r w:rsidR="000E74AA">
        <w:instrText xml:space="preserve"> TC "</w:instrText>
      </w:r>
      <w:bookmarkStart w:id="35" w:name="_Toc372704699"/>
      <w:r w:rsidR="000E74AA" w:rsidRPr="00831096">
        <w:rPr>
          <w:rFonts w:ascii="Times New Roman" w:hAnsi="Times New Roman" w:cs="Times New Roman"/>
          <w:color w:val="000000"/>
        </w:rPr>
        <w:instrText>14.</w:instrText>
      </w:r>
      <w:r w:rsidR="000E74AA" w:rsidRPr="00831096">
        <w:rPr>
          <w:rFonts w:ascii="Times New Roman" w:hAnsi="Times New Roman" w:cs="Times New Roman"/>
          <w:color w:val="000000"/>
        </w:rPr>
        <w:tab/>
        <w:instrText>Accounting</w:instrText>
      </w:r>
      <w:bookmarkEnd w:id="35"/>
      <w:r w:rsidR="000E74AA">
        <w:instrText xml:space="preserve">" \f C \l "3" </w:instrText>
      </w:r>
      <w:r w:rsidR="000E74AA">
        <w:rPr>
          <w:rFonts w:ascii="Times New Roman" w:hAnsi="Times New Roman" w:cs="Times New Roman"/>
          <w:color w:val="000000"/>
        </w:rPr>
        <w:fldChar w:fldCharType="end"/>
      </w:r>
    </w:p>
    <w:p w:rsidR="009D3F59" w:rsidRPr="00EA224A" w:rsidRDefault="009D3F59" w:rsidP="004272F2">
      <w:pPr>
        <w:adjustRightInd w:val="0"/>
        <w:spacing w:line="360" w:lineRule="auto"/>
        <w:contextualSpacing/>
        <w:rPr>
          <w:rFonts w:ascii="Times New Roman" w:hAnsi="Times New Roman" w:cs="Times New Roman"/>
          <w:color w:val="000000"/>
        </w:rPr>
      </w:pPr>
    </w:p>
    <w:p w:rsidR="006B215C" w:rsidRPr="00EA224A" w:rsidRDefault="00CA6A9D" w:rsidP="004272F2">
      <w:pPr>
        <w:spacing w:line="360" w:lineRule="auto"/>
        <w:contextualSpacing/>
        <w:rPr>
          <w:rFonts w:ascii="Times New Roman" w:hAnsi="Times New Roman" w:cs="Times New Roman"/>
        </w:rPr>
      </w:pPr>
      <w:r w:rsidRPr="00EA224A">
        <w:rPr>
          <w:rFonts w:ascii="Times New Roman" w:hAnsi="Times New Roman" w:cs="Times New Roman"/>
        </w:rPr>
        <w:tab/>
      </w:r>
      <w:r w:rsidR="006B215C" w:rsidRPr="00EA224A">
        <w:rPr>
          <w:rFonts w:ascii="Times New Roman" w:hAnsi="Times New Roman" w:cs="Times New Roman"/>
        </w:rPr>
        <w:tab/>
      </w:r>
      <w:r w:rsidR="00053D6C" w:rsidRPr="00EA224A">
        <w:rPr>
          <w:rFonts w:ascii="Times New Roman" w:hAnsi="Times New Roman" w:cs="Times New Roman"/>
        </w:rPr>
        <w:t>Columbia</w:t>
      </w:r>
      <w:r w:rsidRPr="00EA224A">
        <w:rPr>
          <w:rFonts w:ascii="Times New Roman" w:hAnsi="Times New Roman" w:cs="Times New Roman"/>
        </w:rPr>
        <w:t xml:space="preserve"> claimed $28,300 for Accounting Contr</w:t>
      </w:r>
      <w:r w:rsidR="008B5C91">
        <w:rPr>
          <w:rFonts w:ascii="Times New Roman" w:hAnsi="Times New Roman" w:cs="Times New Roman"/>
        </w:rPr>
        <w:t>actual Services.  GDS Exh. 1 at </w:t>
      </w:r>
      <w:r w:rsidRPr="00EA224A">
        <w:rPr>
          <w:rFonts w:ascii="Times New Roman" w:hAnsi="Times New Roman" w:cs="Times New Roman"/>
        </w:rPr>
        <w:t>1-15.  Ms. Everette recommended that a portion of this cost should be allocated to the Marietta Division.  OCA St. 1 at 42.  Specifically, she used 12%, which represents the number of customers in the Marietta Division relative to the whole company.  The resulting adjustment is $2,364.  OCA Exh. AEE-1, Sch. 1, line 26.</w:t>
      </w:r>
    </w:p>
    <w:p w:rsidR="00CA6A9D" w:rsidRPr="00EA224A" w:rsidRDefault="00CA6A9D" w:rsidP="004272F2">
      <w:pPr>
        <w:spacing w:line="360" w:lineRule="auto"/>
        <w:contextualSpacing/>
        <w:rPr>
          <w:rFonts w:ascii="Times New Roman" w:hAnsi="Times New Roman" w:cs="Times New Roman"/>
        </w:rPr>
      </w:pPr>
    </w:p>
    <w:p w:rsidR="00CA6A9D" w:rsidRPr="00EA224A" w:rsidRDefault="00CA6A9D" w:rsidP="004272F2">
      <w:pPr>
        <w:spacing w:line="360" w:lineRule="auto"/>
        <w:contextualSpacing/>
        <w:rPr>
          <w:rFonts w:ascii="Times New Roman" w:hAnsi="Times New Roman" w:cs="Times New Roman"/>
        </w:rPr>
      </w:pPr>
      <w:r w:rsidRPr="00EA224A">
        <w:rPr>
          <w:rFonts w:ascii="Times New Roman" w:hAnsi="Times New Roman" w:cs="Times New Roman"/>
        </w:rPr>
        <w:tab/>
      </w:r>
      <w:r w:rsidR="00053D6C" w:rsidRPr="00EA224A">
        <w:rPr>
          <w:rFonts w:ascii="Times New Roman" w:hAnsi="Times New Roman" w:cs="Times New Roman"/>
        </w:rPr>
        <w:tab/>
      </w:r>
      <w:r w:rsidRPr="00EA224A">
        <w:rPr>
          <w:rFonts w:ascii="Times New Roman" w:hAnsi="Times New Roman" w:cs="Times New Roman"/>
        </w:rPr>
        <w:t xml:space="preserve">In support of her allocation, Ms. Everette noted that the cost of necessary services, like Accounting are built in to the Marietta Division’s rates.  </w:t>
      </w:r>
      <w:r w:rsidR="00053D6C" w:rsidRPr="00EA224A">
        <w:rPr>
          <w:rFonts w:ascii="Times New Roman" w:hAnsi="Times New Roman" w:cs="Times New Roman"/>
        </w:rPr>
        <w:t>She contends that a</w:t>
      </w:r>
      <w:r w:rsidRPr="00EA224A">
        <w:rPr>
          <w:rFonts w:ascii="Times New Roman" w:hAnsi="Times New Roman" w:cs="Times New Roman"/>
        </w:rPr>
        <w:t xml:space="preserve">llowing Columbia to recover the full cost of preparing/filing the tax return and audit would </w:t>
      </w:r>
      <w:r w:rsidR="00053D6C" w:rsidRPr="00EA224A">
        <w:rPr>
          <w:rFonts w:ascii="Times New Roman" w:hAnsi="Times New Roman" w:cs="Times New Roman"/>
        </w:rPr>
        <w:t>permit</w:t>
      </w:r>
      <w:r w:rsidRPr="00EA224A">
        <w:rPr>
          <w:rFonts w:ascii="Times New Roman" w:hAnsi="Times New Roman" w:cs="Times New Roman"/>
        </w:rPr>
        <w:t xml:space="preserve"> </w:t>
      </w:r>
      <w:r w:rsidR="00053D6C" w:rsidRPr="00EA224A">
        <w:rPr>
          <w:rFonts w:ascii="Times New Roman" w:hAnsi="Times New Roman" w:cs="Times New Roman"/>
        </w:rPr>
        <w:t>Columbia</w:t>
      </w:r>
      <w:r w:rsidRPr="00EA224A">
        <w:rPr>
          <w:rFonts w:ascii="Times New Roman" w:hAnsi="Times New Roman" w:cs="Times New Roman"/>
        </w:rPr>
        <w:t xml:space="preserve"> to double-collect this expense.  OCA St. 1 at 42-43.  The allocation of this cost </w:t>
      </w:r>
      <w:r w:rsidR="00053D6C" w:rsidRPr="00EA224A">
        <w:rPr>
          <w:rFonts w:ascii="Times New Roman" w:hAnsi="Times New Roman" w:cs="Times New Roman"/>
        </w:rPr>
        <w:t xml:space="preserve">would </w:t>
      </w:r>
      <w:r w:rsidRPr="00EA224A">
        <w:rPr>
          <w:rFonts w:ascii="Times New Roman" w:hAnsi="Times New Roman" w:cs="Times New Roman"/>
        </w:rPr>
        <w:t>move $2,364 to the Marietta Division.  Id.</w:t>
      </w:r>
    </w:p>
    <w:p w:rsidR="006B215C" w:rsidRPr="00EA224A" w:rsidRDefault="006B215C" w:rsidP="004272F2">
      <w:pPr>
        <w:spacing w:line="360" w:lineRule="auto"/>
        <w:contextualSpacing/>
        <w:rPr>
          <w:rFonts w:ascii="Times New Roman" w:hAnsi="Times New Roman" w:cs="Times New Roman"/>
        </w:rPr>
      </w:pPr>
    </w:p>
    <w:p w:rsidR="00CA6A9D" w:rsidRPr="00EA224A" w:rsidRDefault="00CA6A9D" w:rsidP="004272F2">
      <w:pPr>
        <w:spacing w:line="360" w:lineRule="auto"/>
        <w:contextualSpacing/>
        <w:rPr>
          <w:rFonts w:ascii="Times New Roman" w:hAnsi="Times New Roman" w:cs="Times New Roman"/>
        </w:rPr>
      </w:pPr>
      <w:r w:rsidRPr="00EA224A">
        <w:rPr>
          <w:rFonts w:ascii="Times New Roman" w:hAnsi="Times New Roman" w:cs="Times New Roman"/>
        </w:rPr>
        <w:tab/>
      </w:r>
      <w:r w:rsidR="00053D6C" w:rsidRPr="00EA224A">
        <w:rPr>
          <w:rFonts w:ascii="Times New Roman" w:hAnsi="Times New Roman" w:cs="Times New Roman"/>
        </w:rPr>
        <w:tab/>
      </w:r>
      <w:r w:rsidRPr="00EA224A">
        <w:rPr>
          <w:rFonts w:ascii="Times New Roman" w:hAnsi="Times New Roman" w:cs="Times New Roman"/>
        </w:rPr>
        <w:t>Company witness Lewis objected to any allocation of the expense on the basis that the Company expects overall accounting costs to go up as a result of the acquisition.  CWC St. 1R at 14.  He stated that the two divisions will keep separate books, budgets and depreciation calculations that will be used for the consolidated tax filings and audits.  Tr. 115.  As a result, Mr. Lewis contended:</w:t>
      </w:r>
    </w:p>
    <w:p w:rsidR="006B215C" w:rsidRPr="00EA224A" w:rsidRDefault="006B215C" w:rsidP="004272F2">
      <w:pPr>
        <w:spacing w:line="360" w:lineRule="auto"/>
        <w:contextualSpacing/>
        <w:rPr>
          <w:rFonts w:ascii="Times New Roman" w:hAnsi="Times New Roman" w:cs="Times New Roman"/>
        </w:rPr>
      </w:pPr>
    </w:p>
    <w:p w:rsidR="00053D6C" w:rsidRPr="00EA224A" w:rsidRDefault="00CA6A9D" w:rsidP="004272F2">
      <w:pPr>
        <w:ind w:left="1440" w:right="1440"/>
        <w:contextualSpacing/>
        <w:rPr>
          <w:rFonts w:ascii="Times New Roman" w:hAnsi="Times New Roman" w:cs="Times New Roman"/>
        </w:rPr>
      </w:pPr>
      <w:r w:rsidRPr="00EA224A">
        <w:rPr>
          <w:rFonts w:ascii="Times New Roman" w:hAnsi="Times New Roman" w:cs="Times New Roman"/>
        </w:rPr>
        <w:t>The Columbia Division’s accounting costs will not go down or somehow get “shared” with the Marietta Division, but instead the accounting costs will increase and the additional costs will get allocated to the Marietta Division.</w:t>
      </w:r>
      <w:r w:rsidR="00053D6C" w:rsidRPr="00EA224A">
        <w:rPr>
          <w:rFonts w:ascii="Times New Roman" w:hAnsi="Times New Roman" w:cs="Times New Roman"/>
        </w:rPr>
        <w:t xml:space="preserve">  </w:t>
      </w:r>
      <w:r w:rsidRPr="00EA224A">
        <w:rPr>
          <w:rFonts w:ascii="Times New Roman" w:hAnsi="Times New Roman" w:cs="Times New Roman"/>
        </w:rPr>
        <w:t>CWC St. 1R at 14</w:t>
      </w:r>
    </w:p>
    <w:p w:rsidR="00053D6C" w:rsidRPr="00EA224A" w:rsidRDefault="00053D6C" w:rsidP="00047866">
      <w:pPr>
        <w:spacing w:line="360" w:lineRule="auto"/>
        <w:ind w:left="720" w:right="720"/>
        <w:contextualSpacing/>
        <w:jc w:val="both"/>
        <w:rPr>
          <w:rFonts w:ascii="Times New Roman" w:hAnsi="Times New Roman" w:cs="Times New Roman"/>
        </w:rPr>
      </w:pPr>
    </w:p>
    <w:p w:rsidR="00053D6C" w:rsidRPr="00EA224A" w:rsidRDefault="00053D6C" w:rsidP="004272F2">
      <w:pPr>
        <w:spacing w:line="360" w:lineRule="auto"/>
        <w:ind w:right="720"/>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 agree with the OCA that </w:t>
      </w:r>
      <w:r w:rsidR="001C6BA6" w:rsidRPr="00EA224A">
        <w:rPr>
          <w:rFonts w:ascii="Times New Roman" w:hAnsi="Times New Roman" w:cs="Times New Roman"/>
        </w:rPr>
        <w:t xml:space="preserve">because the two divisions keep separate books, budgets and depreciation calculations, and </w:t>
      </w:r>
      <w:r w:rsidR="0040751C">
        <w:rPr>
          <w:rFonts w:ascii="Times New Roman" w:hAnsi="Times New Roman" w:cs="Times New Roman"/>
        </w:rPr>
        <w:t>as a</w:t>
      </w:r>
      <w:r w:rsidRPr="00EA224A">
        <w:rPr>
          <w:rFonts w:ascii="Times New Roman" w:hAnsi="Times New Roman" w:cs="Times New Roman"/>
        </w:rPr>
        <w:t xml:space="preserve">ccounting costs are built into the Marietta Division’s rates, to allow the inclusion of those costs in this case would be to allow double recovery.  </w:t>
      </w:r>
      <w:r w:rsidR="00241EDA">
        <w:rPr>
          <w:rFonts w:ascii="Times New Roman" w:hAnsi="Times New Roman" w:cs="Times New Roman"/>
        </w:rPr>
        <w:t>T</w:t>
      </w:r>
      <w:r w:rsidRPr="00EA224A">
        <w:rPr>
          <w:rFonts w:ascii="Times New Roman" w:hAnsi="Times New Roman" w:cs="Times New Roman"/>
        </w:rPr>
        <w:t xml:space="preserve">he OCA’s methodology is reasonable, and $2,364 must be attributed to the Marietta </w:t>
      </w:r>
      <w:r w:rsidR="00241EDA">
        <w:rPr>
          <w:rFonts w:ascii="Times New Roman" w:hAnsi="Times New Roman" w:cs="Times New Roman"/>
        </w:rPr>
        <w:t>D</w:t>
      </w:r>
      <w:r w:rsidRPr="00EA224A">
        <w:rPr>
          <w:rFonts w:ascii="Times New Roman" w:hAnsi="Times New Roman" w:cs="Times New Roman"/>
        </w:rPr>
        <w:t>ivision.</w:t>
      </w:r>
    </w:p>
    <w:p w:rsidR="00053D6C" w:rsidRPr="00EA224A" w:rsidRDefault="00053D6C" w:rsidP="004272F2">
      <w:pPr>
        <w:ind w:left="720" w:right="720"/>
        <w:contextualSpacing/>
        <w:rPr>
          <w:rFonts w:ascii="Times New Roman" w:hAnsi="Times New Roman" w:cs="Times New Roman"/>
        </w:rPr>
      </w:pPr>
    </w:p>
    <w:p w:rsidR="00CA6A9D" w:rsidRPr="00EA224A" w:rsidRDefault="009D3F59" w:rsidP="000E74AA">
      <w:pPr>
        <w:pStyle w:val="Heading2"/>
        <w:numPr>
          <w:ilvl w:val="0"/>
          <w:numId w:val="0"/>
        </w:numPr>
        <w:spacing w:before="0" w:after="0" w:line="360" w:lineRule="auto"/>
        <w:ind w:left="1440" w:hanging="720"/>
        <w:contextualSpacing/>
        <w:rPr>
          <w:rFonts w:ascii="Times New Roman" w:hAnsi="Times New Roman"/>
          <w:i w:val="0"/>
          <w:szCs w:val="24"/>
        </w:rPr>
      </w:pPr>
      <w:bookmarkStart w:id="36" w:name="_Toc367958631"/>
      <w:r w:rsidRPr="00EA224A">
        <w:rPr>
          <w:rFonts w:ascii="Times New Roman" w:hAnsi="Times New Roman"/>
          <w:i w:val="0"/>
          <w:szCs w:val="24"/>
        </w:rPr>
        <w:t>15</w:t>
      </w:r>
      <w:r w:rsidR="002F070B" w:rsidRPr="00EA224A">
        <w:rPr>
          <w:rFonts w:ascii="Times New Roman" w:hAnsi="Times New Roman"/>
          <w:i w:val="0"/>
          <w:szCs w:val="24"/>
        </w:rPr>
        <w:t>.</w:t>
      </w:r>
      <w:r w:rsidR="002F070B" w:rsidRPr="00EA224A">
        <w:rPr>
          <w:rFonts w:ascii="Times New Roman" w:hAnsi="Times New Roman"/>
          <w:i w:val="0"/>
          <w:szCs w:val="24"/>
        </w:rPr>
        <w:tab/>
        <w:t>Office Expenses and Utilities</w:t>
      </w:r>
      <w:bookmarkEnd w:id="36"/>
      <w:r w:rsidR="000E74AA">
        <w:rPr>
          <w:rFonts w:ascii="Times New Roman" w:hAnsi="Times New Roman"/>
          <w:i w:val="0"/>
          <w:szCs w:val="24"/>
        </w:rPr>
        <w:fldChar w:fldCharType="begin"/>
      </w:r>
      <w:r w:rsidR="000E74AA">
        <w:instrText xml:space="preserve"> TC "</w:instrText>
      </w:r>
      <w:bookmarkStart w:id="37" w:name="_Toc372704700"/>
      <w:r w:rsidR="000E74AA" w:rsidRPr="00831096">
        <w:rPr>
          <w:rFonts w:ascii="Times New Roman" w:hAnsi="Times New Roman"/>
          <w:i w:val="0"/>
          <w:szCs w:val="24"/>
        </w:rPr>
        <w:instrText>15.</w:instrText>
      </w:r>
      <w:r w:rsidR="000E74AA" w:rsidRPr="00831096">
        <w:rPr>
          <w:rFonts w:ascii="Times New Roman" w:hAnsi="Times New Roman"/>
          <w:i w:val="0"/>
          <w:szCs w:val="24"/>
        </w:rPr>
        <w:tab/>
        <w:instrText>Office Expenses and Utilities</w:instrText>
      </w:r>
      <w:bookmarkEnd w:id="37"/>
      <w:r w:rsidR="000E74AA">
        <w:instrText xml:space="preserve">" \f C \l "3" </w:instrText>
      </w:r>
      <w:r w:rsidR="000E74AA">
        <w:rPr>
          <w:rFonts w:ascii="Times New Roman" w:hAnsi="Times New Roman"/>
          <w:i w:val="0"/>
          <w:szCs w:val="24"/>
        </w:rPr>
        <w:fldChar w:fldCharType="end"/>
      </w:r>
    </w:p>
    <w:p w:rsidR="009D3F59" w:rsidRPr="00EA224A" w:rsidRDefault="009D3F59" w:rsidP="004272F2">
      <w:pPr>
        <w:contextualSpacing/>
        <w:rPr>
          <w:rFonts w:ascii="Times New Roman" w:hAnsi="Times New Roman" w:cs="Times New Roman"/>
        </w:rPr>
      </w:pPr>
    </w:p>
    <w:p w:rsidR="009D3F59" w:rsidRPr="00EA224A" w:rsidRDefault="00CA6A9D" w:rsidP="004272F2">
      <w:pPr>
        <w:adjustRightInd w:val="0"/>
        <w:spacing w:line="360" w:lineRule="auto"/>
        <w:contextualSpacing/>
        <w:rPr>
          <w:rFonts w:ascii="Times New Roman" w:hAnsi="Times New Roman" w:cs="Times New Roman"/>
          <w:color w:val="000000"/>
        </w:rPr>
      </w:pPr>
      <w:r w:rsidRPr="00EA224A">
        <w:rPr>
          <w:rFonts w:ascii="Times New Roman" w:hAnsi="Times New Roman" w:cs="Times New Roman"/>
          <w:color w:val="000000"/>
        </w:rPr>
        <w:tab/>
      </w:r>
      <w:r w:rsidR="00A93D0C" w:rsidRPr="00EA224A">
        <w:rPr>
          <w:rFonts w:ascii="Times New Roman" w:hAnsi="Times New Roman" w:cs="Times New Roman"/>
          <w:color w:val="000000"/>
        </w:rPr>
        <w:tab/>
      </w:r>
      <w:r w:rsidRPr="00EA224A">
        <w:rPr>
          <w:rFonts w:ascii="Times New Roman" w:hAnsi="Times New Roman" w:cs="Times New Roman"/>
          <w:color w:val="000000"/>
        </w:rPr>
        <w:t>The Company claimed a future test year expense for Office Expenses and Utilities of $18,000.  OCA St. 1 at 46; OCA St. 1S at 29-30.  Th</w:t>
      </w:r>
      <w:r w:rsidR="00171BC6" w:rsidRPr="00EA224A">
        <w:rPr>
          <w:rFonts w:ascii="Times New Roman" w:hAnsi="Times New Roman" w:cs="Times New Roman"/>
          <w:color w:val="000000"/>
        </w:rPr>
        <w:t>e OCA argues that th</w:t>
      </w:r>
      <w:r w:rsidRPr="00EA224A">
        <w:rPr>
          <w:rFonts w:ascii="Times New Roman" w:hAnsi="Times New Roman" w:cs="Times New Roman"/>
          <w:color w:val="000000"/>
        </w:rPr>
        <w:t>is claim should be adjusted by $774 to reflect a 4.3% allocation to the Marietta Division.  OCA St. 1S at 30.  The office and utility expenses are for software support, financial software, and office computers.  OCA St. 1 at 46.  These costs</w:t>
      </w:r>
      <w:r w:rsidR="0040751C">
        <w:rPr>
          <w:rFonts w:ascii="Times New Roman" w:hAnsi="Times New Roman" w:cs="Times New Roman"/>
          <w:color w:val="000000"/>
        </w:rPr>
        <w:t xml:space="preserve"> are</w:t>
      </w:r>
      <w:r w:rsidRPr="00EA224A">
        <w:rPr>
          <w:rFonts w:ascii="Times New Roman" w:hAnsi="Times New Roman" w:cs="Times New Roman"/>
          <w:color w:val="000000"/>
        </w:rPr>
        <w:t xml:space="preserve"> “related directly to the number of bills [the Company] print</w:t>
      </w:r>
      <w:r w:rsidR="0040751C">
        <w:rPr>
          <w:rFonts w:ascii="Times New Roman" w:hAnsi="Times New Roman" w:cs="Times New Roman"/>
          <w:color w:val="000000"/>
        </w:rPr>
        <w:t>s</w:t>
      </w:r>
      <w:r w:rsidRPr="00EA224A">
        <w:rPr>
          <w:rFonts w:ascii="Times New Roman" w:hAnsi="Times New Roman" w:cs="Times New Roman"/>
          <w:color w:val="000000"/>
        </w:rPr>
        <w:t xml:space="preserve"> and send</w:t>
      </w:r>
      <w:r w:rsidR="0040751C">
        <w:rPr>
          <w:rFonts w:ascii="Times New Roman" w:hAnsi="Times New Roman" w:cs="Times New Roman"/>
          <w:color w:val="000000"/>
        </w:rPr>
        <w:t>s</w:t>
      </w:r>
      <w:r w:rsidRPr="00EA224A">
        <w:rPr>
          <w:rFonts w:ascii="Times New Roman" w:hAnsi="Times New Roman" w:cs="Times New Roman"/>
          <w:color w:val="000000"/>
        </w:rPr>
        <w:t xml:space="preserve"> and to the payments [the Company] receives.”  CWC St. 1R at 16.  The Columbia Division produces 105,600 bills per year and the Marietta Division produces 4,690 bills per year.  CWC St. 1R at 16.  As a result, both</w:t>
      </w:r>
      <w:r w:rsidR="00171BC6" w:rsidRPr="00EA224A">
        <w:rPr>
          <w:rFonts w:ascii="Times New Roman" w:hAnsi="Times New Roman" w:cs="Times New Roman"/>
          <w:color w:val="000000"/>
        </w:rPr>
        <w:t xml:space="preserve"> Columbia</w:t>
      </w:r>
      <w:r w:rsidRPr="00EA224A">
        <w:rPr>
          <w:rFonts w:ascii="Times New Roman" w:hAnsi="Times New Roman" w:cs="Times New Roman"/>
          <w:color w:val="000000"/>
        </w:rPr>
        <w:t xml:space="preserve"> and the OCA agree that 4.3% is an accurate reflection of the office and utility expenses that should be allocated to the Marietta Division.  OCA St. 1S at 30; CWC St. 1R at 16.  Thus, </w:t>
      </w:r>
      <w:r w:rsidR="00171BC6" w:rsidRPr="00EA224A">
        <w:rPr>
          <w:rFonts w:ascii="Times New Roman" w:hAnsi="Times New Roman" w:cs="Times New Roman"/>
          <w:color w:val="000000"/>
        </w:rPr>
        <w:t xml:space="preserve">I agree that </w:t>
      </w:r>
      <w:r w:rsidRPr="00EA224A">
        <w:rPr>
          <w:rFonts w:ascii="Times New Roman" w:hAnsi="Times New Roman" w:cs="Times New Roman"/>
          <w:color w:val="000000"/>
        </w:rPr>
        <w:t>4.3% of the Company’s claimed office expenses and utilities (or $774) should be allocated to the Marietta Division.</w:t>
      </w:r>
    </w:p>
    <w:p w:rsidR="00CA6A9D" w:rsidRPr="00EA224A" w:rsidRDefault="00CA6A9D" w:rsidP="004272F2">
      <w:pPr>
        <w:adjustRightInd w:val="0"/>
        <w:spacing w:line="360" w:lineRule="auto"/>
        <w:contextualSpacing/>
        <w:rPr>
          <w:rFonts w:ascii="Times New Roman" w:hAnsi="Times New Roman" w:cs="Times New Roman"/>
          <w:color w:val="000000"/>
        </w:rPr>
      </w:pPr>
    </w:p>
    <w:p w:rsidR="00CA6A9D" w:rsidRPr="00EA224A" w:rsidRDefault="009D3F59" w:rsidP="000E74AA">
      <w:pPr>
        <w:pStyle w:val="Heading2"/>
        <w:numPr>
          <w:ilvl w:val="0"/>
          <w:numId w:val="0"/>
        </w:numPr>
        <w:spacing w:before="0" w:after="0" w:line="360" w:lineRule="auto"/>
        <w:ind w:left="1440" w:hanging="720"/>
        <w:contextualSpacing/>
        <w:rPr>
          <w:rFonts w:ascii="Times New Roman" w:hAnsi="Times New Roman"/>
          <w:i w:val="0"/>
          <w:szCs w:val="24"/>
        </w:rPr>
      </w:pPr>
      <w:bookmarkStart w:id="38" w:name="_Toc367958633"/>
      <w:r w:rsidRPr="00EA224A">
        <w:rPr>
          <w:rFonts w:ascii="Times New Roman" w:hAnsi="Times New Roman"/>
          <w:i w:val="0"/>
          <w:szCs w:val="24"/>
        </w:rPr>
        <w:t>16</w:t>
      </w:r>
      <w:r w:rsidR="002F070B" w:rsidRPr="00EA224A">
        <w:rPr>
          <w:rFonts w:ascii="Times New Roman" w:hAnsi="Times New Roman"/>
          <w:i w:val="0"/>
          <w:szCs w:val="24"/>
        </w:rPr>
        <w:t>.</w:t>
      </w:r>
      <w:r w:rsidR="002F070B" w:rsidRPr="00EA224A">
        <w:rPr>
          <w:rFonts w:ascii="Times New Roman" w:hAnsi="Times New Roman"/>
          <w:i w:val="0"/>
          <w:szCs w:val="24"/>
        </w:rPr>
        <w:tab/>
      </w:r>
      <w:r w:rsidR="00CA6A9D" w:rsidRPr="00EA224A">
        <w:rPr>
          <w:rFonts w:ascii="Times New Roman" w:hAnsi="Times New Roman"/>
          <w:i w:val="0"/>
          <w:szCs w:val="24"/>
        </w:rPr>
        <w:t>Officers and Directors</w:t>
      </w:r>
      <w:bookmarkEnd w:id="38"/>
      <w:r w:rsidR="000E74AA">
        <w:rPr>
          <w:rFonts w:ascii="Times New Roman" w:hAnsi="Times New Roman"/>
          <w:i w:val="0"/>
          <w:szCs w:val="24"/>
        </w:rPr>
        <w:fldChar w:fldCharType="begin"/>
      </w:r>
      <w:r w:rsidR="000E74AA">
        <w:instrText xml:space="preserve"> TC "</w:instrText>
      </w:r>
      <w:bookmarkStart w:id="39" w:name="_Toc372704701"/>
      <w:r w:rsidR="000E74AA" w:rsidRPr="00831096">
        <w:rPr>
          <w:rFonts w:ascii="Times New Roman" w:hAnsi="Times New Roman"/>
          <w:i w:val="0"/>
          <w:szCs w:val="24"/>
        </w:rPr>
        <w:instrText>16.</w:instrText>
      </w:r>
      <w:r w:rsidR="000E74AA" w:rsidRPr="00831096">
        <w:rPr>
          <w:rFonts w:ascii="Times New Roman" w:hAnsi="Times New Roman"/>
          <w:i w:val="0"/>
          <w:szCs w:val="24"/>
        </w:rPr>
        <w:tab/>
        <w:instrText>Officers and Directors</w:instrText>
      </w:r>
      <w:bookmarkEnd w:id="39"/>
      <w:r w:rsidR="000E74AA">
        <w:instrText xml:space="preserve">" \f C \l "3" </w:instrText>
      </w:r>
      <w:r w:rsidR="000E74AA">
        <w:rPr>
          <w:rFonts w:ascii="Times New Roman" w:hAnsi="Times New Roman"/>
          <w:i w:val="0"/>
          <w:szCs w:val="24"/>
        </w:rPr>
        <w:fldChar w:fldCharType="end"/>
      </w:r>
    </w:p>
    <w:p w:rsidR="009D3F59" w:rsidRPr="00EA224A" w:rsidRDefault="009D3F59" w:rsidP="004272F2">
      <w:pPr>
        <w:contextualSpacing/>
        <w:rPr>
          <w:rFonts w:ascii="Times New Roman" w:hAnsi="Times New Roman" w:cs="Times New Roman"/>
        </w:rPr>
      </w:pPr>
    </w:p>
    <w:p w:rsidR="002F070B" w:rsidRPr="00EA224A" w:rsidRDefault="002F070B"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In considering this issue and related sub-issues, I note Columbia’s position that insufficient time had passed since the Marietta acquisition to determine the appropriate </w:t>
      </w:r>
      <w:r w:rsidR="00171BC6" w:rsidRPr="00EA224A">
        <w:rPr>
          <w:rFonts w:ascii="Times New Roman" w:hAnsi="Times New Roman" w:cs="Times New Roman"/>
        </w:rPr>
        <w:t>allocation of management time</w:t>
      </w:r>
      <w:r w:rsidRPr="00EA224A">
        <w:rPr>
          <w:rFonts w:ascii="Times New Roman" w:hAnsi="Times New Roman" w:cs="Times New Roman"/>
        </w:rPr>
        <w:t xml:space="preserve"> to the Marietta Division and that an amount will be allocated </w:t>
      </w:r>
      <w:r w:rsidR="00171BC6" w:rsidRPr="00EA224A">
        <w:rPr>
          <w:rFonts w:ascii="Times New Roman" w:hAnsi="Times New Roman" w:cs="Times New Roman"/>
        </w:rPr>
        <w:t xml:space="preserve">in the future </w:t>
      </w:r>
      <w:r w:rsidRPr="00EA224A">
        <w:rPr>
          <w:rFonts w:ascii="Times New Roman" w:hAnsi="Times New Roman" w:cs="Times New Roman"/>
        </w:rPr>
        <w:t>based upon the amount of time the officers spend on Marietta Division items.  For the most part, Columbia has made a reasonable, good-faith effort to support its requests.  That being said, there are improvements, as will be noted below, that Columbia needs to make before filing its next base rate case.</w:t>
      </w:r>
    </w:p>
    <w:p w:rsidR="002F070B" w:rsidRPr="00EA224A" w:rsidRDefault="002F070B" w:rsidP="00047866">
      <w:pPr>
        <w:spacing w:line="360" w:lineRule="auto"/>
        <w:contextualSpacing/>
        <w:jc w:val="both"/>
        <w:rPr>
          <w:rFonts w:ascii="Times New Roman" w:hAnsi="Times New Roman" w:cs="Times New Roman"/>
        </w:rPr>
      </w:pPr>
    </w:p>
    <w:p w:rsidR="00CA6A9D" w:rsidRPr="00EA224A" w:rsidRDefault="002F070B"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40751C">
        <w:rPr>
          <w:rFonts w:ascii="Times New Roman" w:hAnsi="Times New Roman" w:cs="Times New Roman"/>
        </w:rPr>
        <w:t>Columbia claimed $68,0</w:t>
      </w:r>
      <w:r w:rsidR="00CA6A9D" w:rsidRPr="00EA224A">
        <w:rPr>
          <w:rFonts w:ascii="Times New Roman" w:hAnsi="Times New Roman" w:cs="Times New Roman"/>
        </w:rPr>
        <w:t>00 of Salaries for Officers, Directors and Majority Shareholders and $62,500 for Directors’ Fees &amp; Expenses in this proceeding.  GDS Exh. 1 at 1-15.  The OCA recommends an adjustment based on the reasonableness of these costs and also an adjustment to allocate a portion of these expenses to the Marietta Division.  OCA St. 1 at 47, 56-57, 59-61; OCA St. 1S at 30-34, 37.  The OCA’s third recommendation is that the Commission deny Columbia’s request to end the Commission’s directive in the 2008 case and continue to require the Company to account for actual hours spent by its officers and directors on Columbia business in relation to all other business interests.  OCA St. 1 at 59-61; OCA St. 1S at 35-36.</w:t>
      </w:r>
    </w:p>
    <w:p w:rsidR="00A93D0C" w:rsidRPr="00EA224A" w:rsidRDefault="00A93D0C" w:rsidP="004272F2">
      <w:pPr>
        <w:spacing w:line="360" w:lineRule="auto"/>
        <w:contextualSpacing/>
        <w:rPr>
          <w:rFonts w:ascii="Times New Roman" w:hAnsi="Times New Roman" w:cs="Times New Roman"/>
        </w:rPr>
      </w:pPr>
    </w:p>
    <w:p w:rsidR="00CA6A9D" w:rsidRPr="00EA224A" w:rsidRDefault="009D3F59" w:rsidP="004272F2">
      <w:pPr>
        <w:pStyle w:val="Heading3"/>
        <w:spacing w:before="0" w:line="360" w:lineRule="auto"/>
        <w:ind w:left="1440"/>
        <w:contextualSpacing/>
        <w:rPr>
          <w:rFonts w:ascii="Times New Roman" w:hAnsi="Times New Roman" w:cs="Times New Roman"/>
          <w:b w:val="0"/>
          <w:color w:val="000000" w:themeColor="text1"/>
        </w:rPr>
      </w:pPr>
      <w:bookmarkStart w:id="40" w:name="_Toc367958634"/>
      <w:r w:rsidRPr="00EA224A">
        <w:rPr>
          <w:rFonts w:ascii="Times New Roman" w:hAnsi="Times New Roman" w:cs="Times New Roman"/>
          <w:b w:val="0"/>
          <w:color w:val="000000" w:themeColor="text1"/>
        </w:rPr>
        <w:t>a</w:t>
      </w:r>
      <w:r w:rsidR="00CA6A9D" w:rsidRPr="00EA224A">
        <w:rPr>
          <w:rFonts w:ascii="Times New Roman" w:hAnsi="Times New Roman" w:cs="Times New Roman"/>
          <w:b w:val="0"/>
          <w:color w:val="000000" w:themeColor="text1"/>
        </w:rPr>
        <w:t>.</w:t>
      </w:r>
      <w:r w:rsidR="00CA6A9D" w:rsidRPr="00EA224A">
        <w:rPr>
          <w:rFonts w:ascii="Times New Roman" w:hAnsi="Times New Roman" w:cs="Times New Roman"/>
          <w:b w:val="0"/>
          <w:color w:val="000000" w:themeColor="text1"/>
        </w:rPr>
        <w:tab/>
        <w:t>Adjustment to Re</w:t>
      </w:r>
      <w:r w:rsidR="00603F3C" w:rsidRPr="00EA224A">
        <w:rPr>
          <w:rFonts w:ascii="Times New Roman" w:hAnsi="Times New Roman" w:cs="Times New Roman"/>
          <w:b w:val="0"/>
          <w:color w:val="000000" w:themeColor="text1"/>
        </w:rPr>
        <w:t>duce</w:t>
      </w:r>
      <w:r w:rsidR="00CA6A9D" w:rsidRPr="00EA224A">
        <w:rPr>
          <w:rFonts w:ascii="Times New Roman" w:hAnsi="Times New Roman" w:cs="Times New Roman"/>
          <w:b w:val="0"/>
          <w:color w:val="000000" w:themeColor="text1"/>
        </w:rPr>
        <w:t xml:space="preserve"> Salaries and Fees</w:t>
      </w:r>
      <w:bookmarkEnd w:id="40"/>
      <w:r w:rsidR="000E74AA">
        <w:rPr>
          <w:rFonts w:ascii="Times New Roman" w:hAnsi="Times New Roman" w:cs="Times New Roman"/>
          <w:b w:val="0"/>
          <w:color w:val="000000" w:themeColor="text1"/>
        </w:rPr>
        <w:fldChar w:fldCharType="begin"/>
      </w:r>
      <w:r w:rsidR="000E74AA">
        <w:instrText xml:space="preserve"> TC "</w:instrText>
      </w:r>
      <w:bookmarkStart w:id="41" w:name="_Toc372704702"/>
      <w:r w:rsidR="000E74AA" w:rsidRPr="00831096">
        <w:rPr>
          <w:rFonts w:ascii="Times New Roman" w:hAnsi="Times New Roman" w:cs="Times New Roman"/>
          <w:b w:val="0"/>
          <w:color w:val="000000" w:themeColor="text1"/>
        </w:rPr>
        <w:instrText>a.</w:instrText>
      </w:r>
      <w:r w:rsidR="000E74AA" w:rsidRPr="00831096">
        <w:rPr>
          <w:rFonts w:ascii="Times New Roman" w:hAnsi="Times New Roman" w:cs="Times New Roman"/>
          <w:b w:val="0"/>
          <w:color w:val="000000" w:themeColor="text1"/>
        </w:rPr>
        <w:tab/>
        <w:instrText>Adjustment to Reduce Salaries and Fees</w:instrText>
      </w:r>
      <w:bookmarkEnd w:id="41"/>
      <w:r w:rsidR="000E74AA">
        <w:instrText xml:space="preserve">" \f C \l "4" </w:instrText>
      </w:r>
      <w:r w:rsidR="000E74AA">
        <w:rPr>
          <w:rFonts w:ascii="Times New Roman" w:hAnsi="Times New Roman" w:cs="Times New Roman"/>
          <w:b w:val="0"/>
          <w:color w:val="000000" w:themeColor="text1"/>
        </w:rPr>
        <w:fldChar w:fldCharType="end"/>
      </w:r>
    </w:p>
    <w:p w:rsidR="002F070B" w:rsidRPr="00EA224A" w:rsidRDefault="002F070B" w:rsidP="004272F2">
      <w:pPr>
        <w:spacing w:line="360" w:lineRule="auto"/>
        <w:contextualSpacing/>
        <w:rPr>
          <w:rFonts w:ascii="Times New Roman" w:hAnsi="Times New Roman" w:cs="Times New Roman"/>
        </w:rPr>
      </w:pPr>
    </w:p>
    <w:p w:rsidR="00603F3C" w:rsidRPr="00EA224A" w:rsidRDefault="002F070B"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CA6A9D" w:rsidRPr="00EA224A">
        <w:rPr>
          <w:rFonts w:ascii="Times New Roman" w:hAnsi="Times New Roman" w:cs="Times New Roman"/>
        </w:rPr>
        <w:t xml:space="preserve">The </w:t>
      </w:r>
      <w:r w:rsidR="00603F3C" w:rsidRPr="00EA224A">
        <w:rPr>
          <w:rFonts w:ascii="Times New Roman" w:hAnsi="Times New Roman" w:cs="Times New Roman"/>
        </w:rPr>
        <w:t xml:space="preserve">OCA argues that the </w:t>
      </w:r>
      <w:r w:rsidR="00CA6A9D" w:rsidRPr="00EA224A">
        <w:rPr>
          <w:rFonts w:ascii="Times New Roman" w:hAnsi="Times New Roman" w:cs="Times New Roman"/>
        </w:rPr>
        <w:t xml:space="preserve">evidence in this proceeding shows that the compensation of the officers and directors is excessive in relation to the time spent on Columbia business. </w:t>
      </w:r>
      <w:r w:rsidR="00603F3C" w:rsidRPr="00EA224A">
        <w:rPr>
          <w:rFonts w:ascii="Times New Roman" w:hAnsi="Times New Roman" w:cs="Times New Roman"/>
        </w:rPr>
        <w:t xml:space="preserve"> </w:t>
      </w:r>
      <w:r w:rsidR="00CA6A9D" w:rsidRPr="00EA224A">
        <w:rPr>
          <w:rFonts w:ascii="Times New Roman" w:hAnsi="Times New Roman" w:cs="Times New Roman"/>
        </w:rPr>
        <w:t>The amount of Officers’ Salaries and Directors’ Fees that is charged to ratepayers should reflect the contribution provided to Columbia by its officers/directors.</w:t>
      </w:r>
      <w:r w:rsidR="00603F3C" w:rsidRPr="00EA224A">
        <w:rPr>
          <w:rFonts w:ascii="Times New Roman" w:hAnsi="Times New Roman" w:cs="Times New Roman"/>
        </w:rPr>
        <w:t xml:space="preserve"> </w:t>
      </w:r>
      <w:r w:rsidR="003945E9">
        <w:rPr>
          <w:rFonts w:ascii="Times New Roman" w:hAnsi="Times New Roman" w:cs="Times New Roman"/>
        </w:rPr>
        <w:t xml:space="preserve"> </w:t>
      </w:r>
      <w:r w:rsidR="00603F3C" w:rsidRPr="00EA224A">
        <w:rPr>
          <w:rFonts w:ascii="Times New Roman" w:hAnsi="Times New Roman" w:cs="Times New Roman"/>
        </w:rPr>
        <w:t>The OCA’s recommendation reduces the Officers’ Salaries expense by $12,45</w:t>
      </w:r>
      <w:r w:rsidR="0040751C">
        <w:rPr>
          <w:rFonts w:ascii="Times New Roman" w:hAnsi="Times New Roman" w:cs="Times New Roman"/>
        </w:rPr>
        <w:t>6</w:t>
      </w:r>
      <w:r w:rsidR="00603F3C" w:rsidRPr="00EA224A">
        <w:rPr>
          <w:rFonts w:ascii="Times New Roman" w:hAnsi="Times New Roman" w:cs="Times New Roman"/>
        </w:rPr>
        <w:t xml:space="preserve"> and reduces Directors’ Fees by $20,995, or a total reduction of $33,451 from the Company’s claim of $130,835.</w:t>
      </w:r>
      <w:r w:rsidR="00BE7D03">
        <w:rPr>
          <w:rFonts w:ascii="Times New Roman" w:hAnsi="Times New Roman" w:cs="Times New Roman"/>
        </w:rPr>
        <w:t xml:space="preserve"> OCA St. 1 at 55-57.  See also </w:t>
      </w:r>
      <w:r w:rsidR="00603F3C" w:rsidRPr="00EA224A">
        <w:rPr>
          <w:rFonts w:ascii="Times New Roman" w:hAnsi="Times New Roman" w:cs="Times New Roman"/>
        </w:rPr>
        <w:t xml:space="preserve">OCA Table II, line 31; OCA Sch. 1S, line 31. </w:t>
      </w:r>
      <w:r w:rsidR="00A17E43">
        <w:rPr>
          <w:rFonts w:ascii="Times New Roman" w:hAnsi="Times New Roman" w:cs="Times New Roman"/>
        </w:rPr>
        <w:t xml:space="preserve"> </w:t>
      </w:r>
      <w:r w:rsidR="00603F3C" w:rsidRPr="00EA224A">
        <w:rPr>
          <w:rFonts w:ascii="Times New Roman" w:hAnsi="Times New Roman" w:cs="Times New Roman"/>
        </w:rPr>
        <w:t xml:space="preserve">The </w:t>
      </w:r>
      <w:r w:rsidR="00CA6A9D" w:rsidRPr="00EA224A">
        <w:rPr>
          <w:rFonts w:ascii="Times New Roman" w:hAnsi="Times New Roman" w:cs="Times New Roman"/>
        </w:rPr>
        <w:t>OCA</w:t>
      </w:r>
      <w:r w:rsidR="00603F3C" w:rsidRPr="00EA224A">
        <w:rPr>
          <w:rFonts w:ascii="Times New Roman" w:hAnsi="Times New Roman" w:cs="Times New Roman"/>
        </w:rPr>
        <w:t xml:space="preserve">’s </w:t>
      </w:r>
      <w:r w:rsidR="00CA6A9D" w:rsidRPr="00EA224A">
        <w:rPr>
          <w:rFonts w:ascii="Times New Roman" w:hAnsi="Times New Roman" w:cs="Times New Roman"/>
        </w:rPr>
        <w:t>witness Everette explained that Columbia may choose to set salaries and fees at any level; its Board of Directors is accountable to the shareholders.  OCA St. 1 at 54-55.  Only the amount of those salaries and fees that the Commission determines are just and reasonable, however, may be reflected in rates.  Id. at 54-56.  The OCA submits that reasonableness should be measured based on each officer and director’s contribution to the provision of safe and adequate service.  Id.</w:t>
      </w:r>
    </w:p>
    <w:p w:rsidR="00603F3C" w:rsidRPr="00EA224A" w:rsidRDefault="00603F3C" w:rsidP="004272F2">
      <w:pPr>
        <w:spacing w:line="360" w:lineRule="auto"/>
        <w:contextualSpacing/>
        <w:rPr>
          <w:rFonts w:ascii="Times New Roman" w:hAnsi="Times New Roman" w:cs="Times New Roman"/>
        </w:rPr>
      </w:pPr>
    </w:p>
    <w:p w:rsidR="00CA6A9D" w:rsidRPr="00EA224A" w:rsidRDefault="00603F3C"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OCA witness Everette determined that the rate paid to the Company President was most realistic.  OCA St. 1 at 53, 56.  Mr. Nikolaus averaged $178 per hour as a director and $206 per hour as an officer from 2010 to 2012.  </w:t>
      </w:r>
      <w:r w:rsidR="00CA6A9D" w:rsidRPr="00EA224A">
        <w:rPr>
          <w:rFonts w:ascii="Times New Roman" w:hAnsi="Times New Roman" w:cs="Times New Roman"/>
          <w:u w:val="single"/>
        </w:rPr>
        <w:t>Id</w:t>
      </w:r>
      <w:r w:rsidR="00CA6A9D" w:rsidRPr="00EA224A">
        <w:rPr>
          <w:rFonts w:ascii="Times New Roman" w:hAnsi="Times New Roman" w:cs="Times New Roman"/>
        </w:rPr>
        <w:t>.  Ms. Everette applied Mr. Nikolaus’ average rate of pay to the average total annual hours worked by the officers and director</w:t>
      </w:r>
      <w:r w:rsidR="00AD30FC">
        <w:rPr>
          <w:rFonts w:ascii="Times New Roman" w:hAnsi="Times New Roman" w:cs="Times New Roman"/>
        </w:rPr>
        <w:t>s from 2010 to </w:t>
      </w:r>
      <w:r w:rsidR="00CA6A9D" w:rsidRPr="00EA224A">
        <w:rPr>
          <w:rFonts w:ascii="Times New Roman" w:hAnsi="Times New Roman" w:cs="Times New Roman"/>
        </w:rPr>
        <w:t xml:space="preserve">2012, which was 274 hours and 230 hours, respectively.  </w:t>
      </w:r>
      <w:r w:rsidR="00CA6A9D" w:rsidRPr="00EA224A">
        <w:rPr>
          <w:rFonts w:ascii="Times New Roman" w:hAnsi="Times New Roman" w:cs="Times New Roman"/>
          <w:u w:val="single"/>
        </w:rPr>
        <w:t>Id</w:t>
      </w:r>
      <w:r w:rsidR="00CA6A9D" w:rsidRPr="00EA224A">
        <w:rPr>
          <w:rFonts w:ascii="Times New Roman" w:hAnsi="Times New Roman" w:cs="Times New Roman"/>
        </w:rPr>
        <w:t>. at 56-57.  This results in a reduction of $12,456 to the claim for officers and $20,995 to the claim for directors, or a total reduction of $33,451.  OCA Table II, line 31; OCA Sch. 1S, line 31.  Ms. Everette’s recommendation allows $97,384 for Officers’ Salaries and Directors’ Fees expenses.</w:t>
      </w:r>
    </w:p>
    <w:p w:rsidR="00CA6A9D" w:rsidRPr="00EA224A" w:rsidRDefault="00CA6A9D" w:rsidP="00047866">
      <w:pPr>
        <w:spacing w:line="360" w:lineRule="auto"/>
        <w:contextualSpacing/>
        <w:jc w:val="both"/>
        <w:rPr>
          <w:rFonts w:ascii="Times New Roman" w:hAnsi="Times New Roman" w:cs="Times New Roman"/>
        </w:rPr>
      </w:pPr>
    </w:p>
    <w:p w:rsidR="00CA6A9D" w:rsidRPr="00EA224A" w:rsidRDefault="00603F3C"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t>For its part, Columbia</w:t>
      </w:r>
      <w:r w:rsidR="00CA6A9D" w:rsidRPr="00EA224A">
        <w:rPr>
          <w:rFonts w:ascii="Times New Roman" w:hAnsi="Times New Roman" w:cs="Times New Roman"/>
        </w:rPr>
        <w:t xml:space="preserve"> contends that the officers and directors are being compensated for the quality of their work more than just the quantity.  CWC St. 1 at 19-20; CWC St. 1R at 18, 21-22.  The OCA recognizes that these employees are salaried and </w:t>
      </w:r>
      <w:r w:rsidRPr="00EA224A">
        <w:rPr>
          <w:rFonts w:ascii="Times New Roman" w:hAnsi="Times New Roman" w:cs="Times New Roman"/>
        </w:rPr>
        <w:t xml:space="preserve">that they </w:t>
      </w:r>
      <w:r w:rsidR="00CA6A9D" w:rsidRPr="00EA224A">
        <w:rPr>
          <w:rFonts w:ascii="Times New Roman" w:hAnsi="Times New Roman" w:cs="Times New Roman"/>
        </w:rPr>
        <w:t>do not work specific hours to earn their compensation.  OCA St.</w:t>
      </w:r>
      <w:r w:rsidR="006E5493">
        <w:rPr>
          <w:rFonts w:ascii="Times New Roman" w:hAnsi="Times New Roman" w:cs="Times New Roman"/>
        </w:rPr>
        <w:t xml:space="preserve"> 1 at 51, 53, 55; OCA St. 1S at </w:t>
      </w:r>
      <w:r w:rsidR="00CA6A9D" w:rsidRPr="00EA224A">
        <w:rPr>
          <w:rFonts w:ascii="Times New Roman" w:hAnsi="Times New Roman" w:cs="Times New Roman"/>
        </w:rPr>
        <w:t xml:space="preserve">30.  </w:t>
      </w:r>
      <w:r w:rsidRPr="00EA224A">
        <w:rPr>
          <w:rFonts w:ascii="Times New Roman" w:hAnsi="Times New Roman" w:cs="Times New Roman"/>
        </w:rPr>
        <w:t>However, the OCA</w:t>
      </w:r>
      <w:r w:rsidR="00241EDA">
        <w:rPr>
          <w:rFonts w:ascii="Times New Roman" w:hAnsi="Times New Roman" w:cs="Times New Roman"/>
        </w:rPr>
        <w:t xml:space="preserve">’s argument is </w:t>
      </w:r>
      <w:r w:rsidRPr="00EA224A">
        <w:rPr>
          <w:rFonts w:ascii="Times New Roman" w:hAnsi="Times New Roman" w:cs="Times New Roman"/>
        </w:rPr>
        <w:t xml:space="preserve">based on hours and dollar amounts that are entirely hypothetical, and which take no recognition of any unique qualities of individual officers or of the challenges they face or the services they render to a company with its own unique business environment.  For that reason, I agree with Columbia that </w:t>
      </w:r>
      <w:r w:rsidR="00CA6A9D" w:rsidRPr="00EA224A">
        <w:rPr>
          <w:rFonts w:ascii="Times New Roman" w:hAnsi="Times New Roman" w:cs="Times New Roman"/>
        </w:rPr>
        <w:t>the OCA</w:t>
      </w:r>
      <w:r w:rsidRPr="00EA224A">
        <w:rPr>
          <w:rFonts w:ascii="Times New Roman" w:hAnsi="Times New Roman" w:cs="Times New Roman"/>
        </w:rPr>
        <w:t xml:space="preserve">, if not </w:t>
      </w:r>
      <w:r w:rsidR="00CA6A9D" w:rsidRPr="00EA224A">
        <w:rPr>
          <w:rFonts w:ascii="Times New Roman" w:hAnsi="Times New Roman" w:cs="Times New Roman"/>
        </w:rPr>
        <w:t>“engaging in micromanaging and invading the Company’s managerial discretion</w:t>
      </w:r>
      <w:r w:rsidRPr="00EA224A">
        <w:rPr>
          <w:rFonts w:ascii="Times New Roman" w:hAnsi="Times New Roman" w:cs="Times New Roman"/>
        </w:rPr>
        <w:t>,</w:t>
      </w:r>
      <w:r w:rsidR="00CA6A9D" w:rsidRPr="00EA224A">
        <w:rPr>
          <w:rFonts w:ascii="Times New Roman" w:hAnsi="Times New Roman" w:cs="Times New Roman"/>
        </w:rPr>
        <w:t xml:space="preserve">” </w:t>
      </w:r>
      <w:r w:rsidRPr="00EA224A">
        <w:rPr>
          <w:rFonts w:ascii="Times New Roman" w:hAnsi="Times New Roman" w:cs="Times New Roman"/>
        </w:rPr>
        <w:t>(</w:t>
      </w:r>
      <w:r w:rsidR="00526D58">
        <w:rPr>
          <w:rFonts w:ascii="Times New Roman" w:hAnsi="Times New Roman" w:cs="Times New Roman"/>
        </w:rPr>
        <w:t>CWC St. </w:t>
      </w:r>
      <w:r w:rsidR="00CA6A9D" w:rsidRPr="00EA224A">
        <w:rPr>
          <w:rFonts w:ascii="Times New Roman" w:hAnsi="Times New Roman" w:cs="Times New Roman"/>
        </w:rPr>
        <w:t>1R at 19</w:t>
      </w:r>
      <w:r w:rsidRPr="00EA224A">
        <w:rPr>
          <w:rFonts w:ascii="Times New Roman" w:hAnsi="Times New Roman" w:cs="Times New Roman"/>
        </w:rPr>
        <w:t>) is coming very close to it</w:t>
      </w:r>
      <w:r w:rsidR="00CA6A9D" w:rsidRPr="00EA224A">
        <w:rPr>
          <w:rFonts w:ascii="Times New Roman" w:hAnsi="Times New Roman" w:cs="Times New Roman"/>
        </w:rPr>
        <w:t xml:space="preserve">.  </w:t>
      </w:r>
      <w:r w:rsidRPr="00EA224A">
        <w:rPr>
          <w:rFonts w:ascii="Times New Roman" w:hAnsi="Times New Roman" w:cs="Times New Roman"/>
        </w:rPr>
        <w:t xml:space="preserve">Columbia’s request is reasonable, and the </w:t>
      </w:r>
      <w:r w:rsidR="00CA6A9D" w:rsidRPr="00EA224A">
        <w:rPr>
          <w:rFonts w:ascii="Times New Roman" w:hAnsi="Times New Roman" w:cs="Times New Roman"/>
        </w:rPr>
        <w:t xml:space="preserve">OCA’s recommendation </w:t>
      </w:r>
      <w:r w:rsidRPr="00EA224A">
        <w:rPr>
          <w:rFonts w:ascii="Times New Roman" w:hAnsi="Times New Roman" w:cs="Times New Roman"/>
        </w:rPr>
        <w:t xml:space="preserve">to </w:t>
      </w:r>
      <w:r w:rsidR="00CA6A9D" w:rsidRPr="00EA224A">
        <w:rPr>
          <w:rFonts w:ascii="Times New Roman" w:hAnsi="Times New Roman" w:cs="Times New Roman"/>
        </w:rPr>
        <w:t>reduce the Officers’ Salaries expense by $12,45</w:t>
      </w:r>
      <w:r w:rsidR="0040751C">
        <w:rPr>
          <w:rFonts w:ascii="Times New Roman" w:hAnsi="Times New Roman" w:cs="Times New Roman"/>
        </w:rPr>
        <w:t>6</w:t>
      </w:r>
      <w:r w:rsidR="00CA6A9D" w:rsidRPr="00EA224A">
        <w:rPr>
          <w:rFonts w:ascii="Times New Roman" w:hAnsi="Times New Roman" w:cs="Times New Roman"/>
        </w:rPr>
        <w:t xml:space="preserve"> and </w:t>
      </w:r>
      <w:r w:rsidRPr="00EA224A">
        <w:rPr>
          <w:rFonts w:ascii="Times New Roman" w:hAnsi="Times New Roman" w:cs="Times New Roman"/>
        </w:rPr>
        <w:t xml:space="preserve">the </w:t>
      </w:r>
      <w:r w:rsidR="00CA6A9D" w:rsidRPr="00EA224A">
        <w:rPr>
          <w:rFonts w:ascii="Times New Roman" w:hAnsi="Times New Roman" w:cs="Times New Roman"/>
        </w:rPr>
        <w:t xml:space="preserve">Directors’ Fees by $20,995, </w:t>
      </w:r>
      <w:r w:rsidRPr="00EA224A">
        <w:rPr>
          <w:rFonts w:ascii="Times New Roman" w:hAnsi="Times New Roman" w:cs="Times New Roman"/>
        </w:rPr>
        <w:t>f</w:t>
      </w:r>
      <w:r w:rsidR="00CA6A9D" w:rsidRPr="00EA224A">
        <w:rPr>
          <w:rFonts w:ascii="Times New Roman" w:hAnsi="Times New Roman" w:cs="Times New Roman"/>
        </w:rPr>
        <w:t>or a total reduction of $33,451</w:t>
      </w:r>
      <w:r w:rsidRPr="00EA224A">
        <w:rPr>
          <w:rFonts w:ascii="Times New Roman" w:hAnsi="Times New Roman" w:cs="Times New Roman"/>
        </w:rPr>
        <w:t xml:space="preserve"> is </w:t>
      </w:r>
      <w:r w:rsidR="005A07B1" w:rsidRPr="00EA224A">
        <w:rPr>
          <w:rFonts w:ascii="Times New Roman" w:hAnsi="Times New Roman" w:cs="Times New Roman"/>
        </w:rPr>
        <w:t>rejected</w:t>
      </w:r>
      <w:r w:rsidR="00CA6A9D" w:rsidRPr="00EA224A">
        <w:rPr>
          <w:rFonts w:ascii="Times New Roman" w:hAnsi="Times New Roman" w:cs="Times New Roman"/>
        </w:rPr>
        <w:t>.</w:t>
      </w:r>
    </w:p>
    <w:p w:rsidR="00812D54" w:rsidRPr="00EA224A" w:rsidRDefault="00812D54" w:rsidP="004272F2">
      <w:pPr>
        <w:spacing w:line="360" w:lineRule="auto"/>
        <w:contextualSpacing/>
        <w:rPr>
          <w:rFonts w:ascii="Times New Roman" w:hAnsi="Times New Roman" w:cs="Times New Roman"/>
        </w:rPr>
      </w:pPr>
    </w:p>
    <w:p w:rsidR="00340EF4" w:rsidRPr="00EA224A" w:rsidRDefault="004272F2" w:rsidP="000E74AA">
      <w:pPr>
        <w:ind w:left="2160" w:hanging="720"/>
        <w:contextualSpacing/>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40EF4" w:rsidRPr="00EA224A">
        <w:rPr>
          <w:rFonts w:ascii="Times New Roman" w:hAnsi="Times New Roman" w:cs="Times New Roman"/>
        </w:rPr>
        <w:t>The Commission’s Ongoing Requirement for Time Records Should Continue</w:t>
      </w:r>
      <w:r w:rsidR="000E74AA">
        <w:rPr>
          <w:rFonts w:ascii="Times New Roman" w:hAnsi="Times New Roman" w:cs="Times New Roman"/>
        </w:rPr>
        <w:fldChar w:fldCharType="begin"/>
      </w:r>
      <w:r w:rsidR="000E74AA">
        <w:instrText xml:space="preserve"> TC "</w:instrText>
      </w:r>
      <w:bookmarkStart w:id="42" w:name="_Toc372704703"/>
      <w:r w:rsidR="000E74AA" w:rsidRPr="00831096">
        <w:rPr>
          <w:rFonts w:ascii="Times New Roman" w:hAnsi="Times New Roman" w:cs="Times New Roman"/>
        </w:rPr>
        <w:instrText>b.</w:instrText>
      </w:r>
      <w:r w:rsidR="000E74AA" w:rsidRPr="00831096">
        <w:rPr>
          <w:rFonts w:ascii="Times New Roman" w:hAnsi="Times New Roman" w:cs="Times New Roman"/>
        </w:rPr>
        <w:tab/>
        <w:instrText>The Commission’s Ongoing Requirement for Time Records Should Continue</w:instrText>
      </w:r>
      <w:bookmarkEnd w:id="42"/>
      <w:r w:rsidR="000E74AA">
        <w:instrText xml:space="preserve">" \f C \l "4" </w:instrText>
      </w:r>
      <w:r w:rsidR="000E74AA">
        <w:rPr>
          <w:rFonts w:ascii="Times New Roman" w:hAnsi="Times New Roman" w:cs="Times New Roman"/>
        </w:rPr>
        <w:fldChar w:fldCharType="end"/>
      </w:r>
    </w:p>
    <w:p w:rsidR="00340EF4" w:rsidRPr="00EA224A" w:rsidRDefault="00340EF4" w:rsidP="004272F2">
      <w:pPr>
        <w:spacing w:line="360" w:lineRule="auto"/>
        <w:ind w:firstLine="720"/>
        <w:contextualSpacing/>
        <w:rPr>
          <w:rFonts w:ascii="Times New Roman" w:hAnsi="Times New Roman" w:cs="Times New Roman"/>
        </w:rPr>
      </w:pPr>
    </w:p>
    <w:p w:rsidR="00CA6A9D" w:rsidRPr="00EA224A" w:rsidRDefault="00340EF4"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t>The OCA correctly states that i</w:t>
      </w:r>
      <w:r w:rsidR="00CA6A9D" w:rsidRPr="00EA224A">
        <w:rPr>
          <w:rFonts w:ascii="Times New Roman" w:hAnsi="Times New Roman" w:cs="Times New Roman"/>
        </w:rPr>
        <w:t xml:space="preserve">n 2008, the Commission directed </w:t>
      </w:r>
      <w:r w:rsidRPr="00EA224A">
        <w:rPr>
          <w:rFonts w:ascii="Times New Roman" w:hAnsi="Times New Roman" w:cs="Times New Roman"/>
        </w:rPr>
        <w:t>Columbia</w:t>
      </w:r>
      <w:r w:rsidR="00CA6A9D" w:rsidRPr="00EA224A">
        <w:rPr>
          <w:rFonts w:ascii="Times New Roman" w:hAnsi="Times New Roman" w:cs="Times New Roman"/>
        </w:rPr>
        <w:t xml:space="preserve">, in its future rate cases, to provide an account of time spent </w:t>
      </w:r>
      <w:r w:rsidRPr="00EA224A">
        <w:rPr>
          <w:rFonts w:ascii="Times New Roman" w:hAnsi="Times New Roman" w:cs="Times New Roman"/>
        </w:rPr>
        <w:t xml:space="preserve">by officers </w:t>
      </w:r>
      <w:r w:rsidR="00CA6A9D" w:rsidRPr="00EA224A">
        <w:rPr>
          <w:rFonts w:ascii="Times New Roman" w:hAnsi="Times New Roman" w:cs="Times New Roman"/>
        </w:rPr>
        <w:t xml:space="preserve">on Columbia business in relation to all other business interests. </w:t>
      </w:r>
      <w:r w:rsidR="00343D20">
        <w:rPr>
          <w:rFonts w:ascii="Times New Roman" w:hAnsi="Times New Roman" w:cs="Times New Roman"/>
        </w:rPr>
        <w:t xml:space="preserve"> </w:t>
      </w:r>
      <w:r w:rsidR="00CA6A9D" w:rsidRPr="00EA224A">
        <w:rPr>
          <w:rFonts w:ascii="Times New Roman" w:hAnsi="Times New Roman" w:cs="Times New Roman"/>
          <w:i/>
        </w:rPr>
        <w:t>2008 Order</w:t>
      </w:r>
      <w:r w:rsidR="00CA6A9D" w:rsidRPr="00EA224A">
        <w:rPr>
          <w:rFonts w:ascii="Times New Roman" w:hAnsi="Times New Roman" w:cs="Times New Roman"/>
          <w:i/>
        </w:rPr>
        <w:fldChar w:fldCharType="begin"/>
      </w:r>
      <w:r w:rsidR="00CA6A9D" w:rsidRPr="00EA224A">
        <w:rPr>
          <w:rFonts w:ascii="Times New Roman" w:hAnsi="Times New Roman" w:cs="Times New Roman"/>
          <w:i/>
        </w:rPr>
        <w:instrText xml:space="preserve"> TA \s "Pa</w:instrText>
      </w:r>
      <w:r w:rsidR="00343D20">
        <w:rPr>
          <w:rFonts w:ascii="Times New Roman" w:hAnsi="Times New Roman" w:cs="Times New Roman"/>
          <w:i/>
        </w:rPr>
        <w:instrText>. P.U.C. v. Columbia Water Co., </w:instrText>
      </w:r>
      <w:r w:rsidR="00CA6A9D" w:rsidRPr="00EA224A">
        <w:rPr>
          <w:rFonts w:ascii="Times New Roman" w:hAnsi="Times New Roman" w:cs="Times New Roman"/>
          <w:i/>
        </w:rPr>
        <w:instrText xml:space="preserve">2009 Pa. PUC LEXIS 1423 (May 28, 2009)" </w:instrText>
      </w:r>
      <w:r w:rsidR="00CA6A9D" w:rsidRPr="00EA224A">
        <w:rPr>
          <w:rFonts w:ascii="Times New Roman" w:hAnsi="Times New Roman" w:cs="Times New Roman"/>
          <w:i/>
        </w:rPr>
        <w:fldChar w:fldCharType="end"/>
      </w:r>
      <w:r w:rsidR="00CA6A9D" w:rsidRPr="00EA224A">
        <w:rPr>
          <w:rFonts w:ascii="Times New Roman" w:hAnsi="Times New Roman" w:cs="Times New Roman"/>
          <w:i/>
        </w:rPr>
        <w:t xml:space="preserve"> </w:t>
      </w:r>
      <w:r w:rsidR="00CA6A9D" w:rsidRPr="00EA224A">
        <w:rPr>
          <w:rFonts w:ascii="Times New Roman" w:hAnsi="Times New Roman" w:cs="Times New Roman"/>
        </w:rPr>
        <w:t xml:space="preserve">at </w:t>
      </w:r>
      <w:r w:rsidRPr="00EA224A">
        <w:rPr>
          <w:rFonts w:ascii="Times New Roman" w:hAnsi="Times New Roman" w:cs="Times New Roman"/>
        </w:rPr>
        <w:t>¶¶</w:t>
      </w:r>
      <w:r w:rsidR="00CA6A9D" w:rsidRPr="00EA224A">
        <w:rPr>
          <w:rFonts w:ascii="Times New Roman" w:hAnsi="Times New Roman" w:cs="Times New Roman"/>
        </w:rPr>
        <w:t>55-56, 138.  The OCA recommends that this requirement be continued.  OCA St. 1 at 59-61; OCA St. 1S at 35-36.</w:t>
      </w:r>
    </w:p>
    <w:p w:rsidR="00340EF4" w:rsidRPr="00EA224A" w:rsidRDefault="00340EF4" w:rsidP="004272F2">
      <w:pPr>
        <w:spacing w:line="360" w:lineRule="auto"/>
        <w:ind w:firstLine="720"/>
        <w:contextualSpacing/>
        <w:rPr>
          <w:rFonts w:ascii="Times New Roman" w:hAnsi="Times New Roman" w:cs="Times New Roman"/>
        </w:rPr>
      </w:pPr>
    </w:p>
    <w:p w:rsidR="00340EF4" w:rsidRPr="00EA224A" w:rsidRDefault="00340EF4"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In the present case, Columbia argues that its officers/directors should no longer be required to keep hourly time sheets for the time they spend on company business because their compensation is not based upon hourly rates.  CWC St. 1 at 19-20.</w:t>
      </w:r>
    </w:p>
    <w:p w:rsidR="00340EF4" w:rsidRPr="00EA224A" w:rsidRDefault="00340EF4" w:rsidP="004272F2">
      <w:pPr>
        <w:spacing w:line="360" w:lineRule="auto"/>
        <w:ind w:firstLine="720"/>
        <w:contextualSpacing/>
        <w:rPr>
          <w:rFonts w:ascii="Times New Roman" w:hAnsi="Times New Roman" w:cs="Times New Roman"/>
        </w:rPr>
      </w:pPr>
    </w:p>
    <w:p w:rsidR="00CA6A9D" w:rsidRPr="00EA224A" w:rsidRDefault="00340EF4"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t xml:space="preserve">It is my opinion that the Commission’s directive in its </w:t>
      </w:r>
      <w:r w:rsidRPr="00EA224A">
        <w:rPr>
          <w:rFonts w:ascii="Times New Roman" w:hAnsi="Times New Roman" w:cs="Times New Roman"/>
          <w:i/>
        </w:rPr>
        <w:t xml:space="preserve">2008 </w:t>
      </w:r>
      <w:r w:rsidR="00812D54" w:rsidRPr="00EA224A">
        <w:rPr>
          <w:rFonts w:ascii="Times New Roman" w:hAnsi="Times New Roman" w:cs="Times New Roman"/>
          <w:i/>
        </w:rPr>
        <w:t xml:space="preserve">Rate Case </w:t>
      </w:r>
      <w:r w:rsidRPr="00EA224A">
        <w:rPr>
          <w:rFonts w:ascii="Times New Roman" w:hAnsi="Times New Roman" w:cs="Times New Roman"/>
          <w:i/>
        </w:rPr>
        <w:t>Order</w:t>
      </w:r>
      <w:r w:rsidRPr="00EA224A">
        <w:rPr>
          <w:rFonts w:ascii="Times New Roman" w:hAnsi="Times New Roman" w:cs="Times New Roman"/>
        </w:rPr>
        <w:t xml:space="preserve"> should continue in this case.  Columbia cannot have it both ways and argue lack of tim</w:t>
      </w:r>
      <w:r w:rsidR="00812D54" w:rsidRPr="00EA224A">
        <w:rPr>
          <w:rFonts w:ascii="Times New Roman" w:hAnsi="Times New Roman" w:cs="Times New Roman"/>
        </w:rPr>
        <w:t>e/experience with the Marietta D</w:t>
      </w:r>
      <w:r w:rsidRPr="00EA224A">
        <w:rPr>
          <w:rFonts w:ascii="Times New Roman" w:hAnsi="Times New Roman" w:cs="Times New Roman"/>
        </w:rPr>
        <w:t>ivision acquisition on one hand, but refuse reasonable</w:t>
      </w:r>
      <w:r w:rsidR="001B4C82">
        <w:rPr>
          <w:rFonts w:ascii="Times New Roman" w:hAnsi="Times New Roman" w:cs="Times New Roman"/>
        </w:rPr>
        <w:t xml:space="preserve"> accountability on the other.  </w:t>
      </w:r>
      <w:r w:rsidR="00812D54" w:rsidRPr="00EA224A">
        <w:rPr>
          <w:rFonts w:ascii="Times New Roman" w:hAnsi="Times New Roman" w:cs="Times New Roman"/>
        </w:rPr>
        <w:t xml:space="preserve">I do believe that Columbia has made a good faith effort to comply with the Commission’s directive, but it must continue to do so.  </w:t>
      </w:r>
      <w:r w:rsidRPr="00EA224A">
        <w:rPr>
          <w:rFonts w:ascii="Times New Roman" w:hAnsi="Times New Roman" w:cs="Times New Roman"/>
        </w:rPr>
        <w:t xml:space="preserve">As I stated in my Third Prehearing Order denying the OCA’s Motion to Compel: “Columbia is not obliged to produce data with respect to the salaries, fees, stipends, reimbursed expenses or any other form of compensation paid to Columbia’s officers/directors by business interests other than the Company.  What is required is an accounting of hours in relation to all other business interests as directed by the Commission in its </w:t>
      </w:r>
      <w:r w:rsidRPr="00EA224A">
        <w:rPr>
          <w:rFonts w:ascii="Times New Roman" w:hAnsi="Times New Roman" w:cs="Times New Roman"/>
          <w:i/>
        </w:rPr>
        <w:t>2008 Rate Case Order</w:t>
      </w:r>
      <w:r w:rsidRPr="00EA224A">
        <w:rPr>
          <w:rFonts w:ascii="Times New Roman" w:hAnsi="Times New Roman" w:cs="Times New Roman"/>
        </w:rPr>
        <w:t>.</w:t>
      </w:r>
      <w:r w:rsidR="00812D54" w:rsidRPr="00EA224A">
        <w:rPr>
          <w:rFonts w:ascii="Times New Roman" w:hAnsi="Times New Roman" w:cs="Times New Roman"/>
        </w:rPr>
        <w:t xml:space="preserve">  I will not presume to modify the Commission’s directive in this Recommended Decision.</w:t>
      </w:r>
    </w:p>
    <w:p w:rsidR="00B12725" w:rsidRPr="00EA224A" w:rsidRDefault="00B12725" w:rsidP="00047866">
      <w:pPr>
        <w:spacing w:line="360" w:lineRule="auto"/>
        <w:ind w:hanging="86"/>
        <w:contextualSpacing/>
        <w:jc w:val="both"/>
        <w:rPr>
          <w:rFonts w:ascii="Times New Roman" w:hAnsi="Times New Roman" w:cs="Times New Roman"/>
        </w:rPr>
      </w:pPr>
    </w:p>
    <w:p w:rsidR="00B12725" w:rsidRPr="00EA224A" w:rsidRDefault="009D3F59" w:rsidP="000E74AA">
      <w:pPr>
        <w:spacing w:line="360" w:lineRule="auto"/>
        <w:ind w:left="2160" w:hanging="720"/>
        <w:contextualSpacing/>
        <w:rPr>
          <w:rFonts w:ascii="Times New Roman" w:hAnsi="Times New Roman" w:cs="Times New Roman"/>
        </w:rPr>
      </w:pPr>
      <w:r w:rsidRPr="00EA224A">
        <w:rPr>
          <w:rFonts w:ascii="Times New Roman" w:hAnsi="Times New Roman" w:cs="Times New Roman"/>
        </w:rPr>
        <w:t>c.</w:t>
      </w:r>
      <w:r w:rsidR="00B12725" w:rsidRPr="00EA224A">
        <w:rPr>
          <w:rFonts w:ascii="Times New Roman" w:hAnsi="Times New Roman" w:cs="Times New Roman"/>
        </w:rPr>
        <w:tab/>
        <w:t>Allocation</w:t>
      </w:r>
      <w:r w:rsidR="000E74AA">
        <w:rPr>
          <w:rFonts w:ascii="Times New Roman" w:hAnsi="Times New Roman" w:cs="Times New Roman"/>
        </w:rPr>
        <w:fldChar w:fldCharType="begin"/>
      </w:r>
      <w:r w:rsidR="000E74AA">
        <w:instrText xml:space="preserve"> TC "</w:instrText>
      </w:r>
      <w:bookmarkStart w:id="43" w:name="_Toc372704704"/>
      <w:r w:rsidR="000E74AA" w:rsidRPr="00831096">
        <w:rPr>
          <w:rFonts w:ascii="Times New Roman" w:hAnsi="Times New Roman" w:cs="Times New Roman"/>
        </w:rPr>
        <w:instrText>c.</w:instrText>
      </w:r>
      <w:r w:rsidR="000E74AA" w:rsidRPr="00831096">
        <w:rPr>
          <w:rFonts w:ascii="Times New Roman" w:hAnsi="Times New Roman" w:cs="Times New Roman"/>
        </w:rPr>
        <w:tab/>
        <w:instrText>Allocation</w:instrText>
      </w:r>
      <w:bookmarkEnd w:id="43"/>
      <w:r w:rsidR="000E74AA">
        <w:instrText xml:space="preserve">" \f C \l "4" </w:instrText>
      </w:r>
      <w:r w:rsidR="000E74AA">
        <w:rPr>
          <w:rFonts w:ascii="Times New Roman" w:hAnsi="Times New Roman" w:cs="Times New Roman"/>
        </w:rPr>
        <w:fldChar w:fldCharType="end"/>
      </w:r>
    </w:p>
    <w:p w:rsidR="00A93D0C" w:rsidRPr="00EA224A" w:rsidRDefault="00A93D0C" w:rsidP="004272F2">
      <w:pPr>
        <w:spacing w:line="360" w:lineRule="auto"/>
        <w:ind w:firstLine="720"/>
        <w:contextualSpacing/>
        <w:rPr>
          <w:rFonts w:ascii="Times New Roman" w:hAnsi="Times New Roman" w:cs="Times New Roman"/>
        </w:rPr>
      </w:pPr>
    </w:p>
    <w:p w:rsidR="00812D54" w:rsidRPr="00EA224A" w:rsidRDefault="00812D54"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The </w:t>
      </w:r>
      <w:r w:rsidRPr="00EA224A">
        <w:rPr>
          <w:rFonts w:ascii="Times New Roman" w:hAnsi="Times New Roman" w:cs="Times New Roman"/>
        </w:rPr>
        <w:t xml:space="preserve">OCA argues that Columbia </w:t>
      </w:r>
      <w:r w:rsidR="00CA6A9D" w:rsidRPr="00EA224A">
        <w:rPr>
          <w:rFonts w:ascii="Times New Roman" w:hAnsi="Times New Roman" w:cs="Times New Roman"/>
        </w:rPr>
        <w:t xml:space="preserve">did not allocate any of the Officers’ Salaries or Directors’ Fees to the Marietta Division.  OCA St. 1 at 47 (citing the Company’s response to OCA Set III-14).  As a result of the acquisition of the Marietta Gravity Water Company, the officers and directors of the Columbia Division are also the officers and directors of the Marietta Division.  </w:t>
      </w:r>
      <w:r w:rsidRPr="00EA224A">
        <w:rPr>
          <w:rFonts w:ascii="Times New Roman" w:hAnsi="Times New Roman" w:cs="Times New Roman"/>
        </w:rPr>
        <w:t>The OCA contends that i</w:t>
      </w:r>
      <w:r w:rsidR="00CA6A9D" w:rsidRPr="00EA224A">
        <w:rPr>
          <w:rFonts w:ascii="Times New Roman" w:hAnsi="Times New Roman" w:cs="Times New Roman"/>
        </w:rPr>
        <w:t>t is therefore unreasonable to charge the Columbia Division customers for the entire cost of the officers and directors.  OCA St. 1R at 36-37.  Moreover, the Marietta Division has Officers’ Salaries and Directors’ Fees built into its existing base rates.  OCA St. 1 at 57-58.  To allow the Columbia Division to include the full amount of these costs in Columbia Division rates would allow the Company to double collect on these expenditures.</w:t>
      </w:r>
    </w:p>
    <w:p w:rsidR="00CA6A9D" w:rsidRPr="00EA224A" w:rsidRDefault="00CA6A9D" w:rsidP="004272F2">
      <w:pPr>
        <w:spacing w:line="360" w:lineRule="auto"/>
        <w:ind w:firstLine="720"/>
        <w:contextualSpacing/>
        <w:rPr>
          <w:rFonts w:ascii="Times New Roman" w:hAnsi="Times New Roman" w:cs="Times New Roman"/>
        </w:rPr>
      </w:pPr>
    </w:p>
    <w:p w:rsidR="00CA6A9D" w:rsidRPr="00EA224A" w:rsidRDefault="00812D54"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t xml:space="preserve">The </w:t>
      </w:r>
      <w:r w:rsidR="00CA6A9D" w:rsidRPr="00EA224A">
        <w:rPr>
          <w:rFonts w:ascii="Times New Roman" w:hAnsi="Times New Roman" w:cs="Times New Roman"/>
        </w:rPr>
        <w:t>OCA</w:t>
      </w:r>
      <w:r w:rsidRPr="00EA224A">
        <w:rPr>
          <w:rFonts w:ascii="Times New Roman" w:hAnsi="Times New Roman" w:cs="Times New Roman"/>
        </w:rPr>
        <w:t xml:space="preserve">’s </w:t>
      </w:r>
      <w:r w:rsidR="00CA6A9D" w:rsidRPr="00EA224A">
        <w:rPr>
          <w:rFonts w:ascii="Times New Roman" w:hAnsi="Times New Roman" w:cs="Times New Roman"/>
        </w:rPr>
        <w:t>witness</w:t>
      </w:r>
      <w:r w:rsidRPr="00EA224A">
        <w:rPr>
          <w:rFonts w:ascii="Times New Roman" w:hAnsi="Times New Roman" w:cs="Times New Roman"/>
        </w:rPr>
        <w:t>, Ms.</w:t>
      </w:r>
      <w:r w:rsidR="00CA6A9D" w:rsidRPr="00EA224A">
        <w:rPr>
          <w:rFonts w:ascii="Times New Roman" w:hAnsi="Times New Roman" w:cs="Times New Roman"/>
        </w:rPr>
        <w:t xml:space="preserve"> Everette recommended that 15% of the total Officers’ Salaries and Directors’ Fees allowed by the Commission be alloca</w:t>
      </w:r>
      <w:r w:rsidR="00AE0D87">
        <w:rPr>
          <w:rFonts w:ascii="Times New Roman" w:hAnsi="Times New Roman" w:cs="Times New Roman"/>
        </w:rPr>
        <w:t xml:space="preserve">ted to the Marietta Division.  </w:t>
      </w:r>
      <w:r w:rsidR="0038273F">
        <w:rPr>
          <w:rFonts w:ascii="Times New Roman" w:hAnsi="Times New Roman" w:cs="Times New Roman"/>
        </w:rPr>
        <w:t xml:space="preserve">OCA St. 1 at 58.  </w:t>
      </w:r>
      <w:r w:rsidR="00CA6A9D" w:rsidRPr="00EA224A">
        <w:rPr>
          <w:rFonts w:ascii="Times New Roman" w:hAnsi="Times New Roman" w:cs="Times New Roman"/>
        </w:rPr>
        <w:t>Th</w:t>
      </w:r>
      <w:r w:rsidRPr="00EA224A">
        <w:rPr>
          <w:rFonts w:ascii="Times New Roman" w:hAnsi="Times New Roman" w:cs="Times New Roman"/>
        </w:rPr>
        <w:t xml:space="preserve">at </w:t>
      </w:r>
      <w:r w:rsidR="00CA6A9D" w:rsidRPr="00EA224A">
        <w:rPr>
          <w:rFonts w:ascii="Times New Roman" w:hAnsi="Times New Roman" w:cs="Times New Roman"/>
        </w:rPr>
        <w:t xml:space="preserve">is based on the </w:t>
      </w:r>
      <w:r w:rsidRPr="00EA224A">
        <w:rPr>
          <w:rFonts w:ascii="Times New Roman" w:hAnsi="Times New Roman" w:cs="Times New Roman"/>
        </w:rPr>
        <w:t xml:space="preserve">ongoing assignment by Ms. Everette of the “15% factor.” </w:t>
      </w:r>
      <w:r w:rsidR="00CA6A9D" w:rsidRPr="00EA224A">
        <w:rPr>
          <w:rFonts w:ascii="Times New Roman" w:hAnsi="Times New Roman" w:cs="Times New Roman"/>
        </w:rPr>
        <w:t xml:space="preserve"> </w:t>
      </w:r>
      <w:r w:rsidRPr="00EA224A">
        <w:rPr>
          <w:rFonts w:ascii="Times New Roman" w:hAnsi="Times New Roman" w:cs="Times New Roman"/>
        </w:rPr>
        <w:t>T</w:t>
      </w:r>
      <w:r w:rsidR="00CA6A9D" w:rsidRPr="00EA224A">
        <w:rPr>
          <w:rFonts w:ascii="Times New Roman" w:hAnsi="Times New Roman" w:cs="Times New Roman"/>
        </w:rPr>
        <w:t>hat</w:t>
      </w:r>
      <w:r w:rsidRPr="00EA224A">
        <w:rPr>
          <w:rFonts w:ascii="Times New Roman" w:hAnsi="Times New Roman" w:cs="Times New Roman"/>
        </w:rPr>
        <w:t xml:space="preserve"> is, that </w:t>
      </w:r>
      <w:r w:rsidR="00CA6A9D" w:rsidRPr="00EA224A">
        <w:rPr>
          <w:rFonts w:ascii="Times New Roman" w:hAnsi="Times New Roman" w:cs="Times New Roman"/>
        </w:rPr>
        <w:t xml:space="preserve">the time spent by Columbia’s officers and directors will be the same as or similar to the ratio of time spent by Columbia employees on the Marietta Division.  </w:t>
      </w:r>
      <w:r w:rsidR="00CA6A9D" w:rsidRPr="00EA224A">
        <w:rPr>
          <w:rFonts w:ascii="Times New Roman" w:hAnsi="Times New Roman" w:cs="Times New Roman"/>
          <w:u w:val="single"/>
        </w:rPr>
        <w:t>Id</w:t>
      </w:r>
      <w:r w:rsidR="00CA6A9D" w:rsidRPr="00EA224A">
        <w:rPr>
          <w:rFonts w:ascii="Times New Roman" w:hAnsi="Times New Roman" w:cs="Times New Roman"/>
        </w:rPr>
        <w:t xml:space="preserve">.  </w:t>
      </w:r>
      <w:r w:rsidRPr="00EA224A">
        <w:rPr>
          <w:rFonts w:ascii="Times New Roman" w:hAnsi="Times New Roman" w:cs="Times New Roman"/>
        </w:rPr>
        <w:t>T</w:t>
      </w:r>
      <w:r w:rsidR="00CA6A9D" w:rsidRPr="00EA224A">
        <w:rPr>
          <w:rFonts w:ascii="Times New Roman" w:hAnsi="Times New Roman" w:cs="Times New Roman"/>
        </w:rPr>
        <w:t>he OCA’s recommend</w:t>
      </w:r>
      <w:r w:rsidRPr="00EA224A">
        <w:rPr>
          <w:rFonts w:ascii="Times New Roman" w:hAnsi="Times New Roman" w:cs="Times New Roman"/>
        </w:rPr>
        <w:t xml:space="preserve">s a </w:t>
      </w:r>
      <w:r w:rsidR="00CA6A9D" w:rsidRPr="00EA224A">
        <w:rPr>
          <w:rFonts w:ascii="Times New Roman" w:hAnsi="Times New Roman" w:cs="Times New Roman"/>
        </w:rPr>
        <w:t xml:space="preserve">15% allocation of the total Officers’ Salaries and Directors’ </w:t>
      </w:r>
      <w:r w:rsidR="00282A13">
        <w:rPr>
          <w:rFonts w:ascii="Times New Roman" w:hAnsi="Times New Roman" w:cs="Times New Roman"/>
        </w:rPr>
        <w:t xml:space="preserve">Fees allowed by the Commission </w:t>
      </w:r>
      <w:r w:rsidR="00CA6A9D" w:rsidRPr="00EA224A">
        <w:rPr>
          <w:rFonts w:ascii="Times New Roman" w:hAnsi="Times New Roman" w:cs="Times New Roman"/>
        </w:rPr>
        <w:t xml:space="preserve">to the Marietta Division.  Ms. Everette recommended a total expense of $97,384 for Officers’ Salaries and Directors’ Fees ($56,444 for Officers’ Salaries and $40,940 for Directors’ Fees); 15% of this results in an allocation of $14,608 to the Marietta Division.  OCA Table II; OCA Sch. 1S, line 32.  </w:t>
      </w:r>
      <w:r w:rsidR="00241EDA">
        <w:rPr>
          <w:rFonts w:ascii="Times New Roman" w:hAnsi="Times New Roman" w:cs="Times New Roman"/>
        </w:rPr>
        <w:t>T</w:t>
      </w:r>
      <w:r w:rsidRPr="00EA224A">
        <w:rPr>
          <w:rFonts w:ascii="Times New Roman" w:hAnsi="Times New Roman" w:cs="Times New Roman"/>
        </w:rPr>
        <w:t>his is an arbitrary allocation based on what the OCA’s witness sees as an appropriate outcome.  There is no “magic” in 15% or any other percentage that might be calculated.  Columbia’s original request is reasonable as based on the facts in this case.  The proposed adjustment is denied.</w:t>
      </w:r>
    </w:p>
    <w:p w:rsidR="005D36C2" w:rsidRDefault="005D36C2" w:rsidP="004272F2">
      <w:pPr>
        <w:spacing w:line="360" w:lineRule="auto"/>
        <w:contextualSpacing/>
        <w:rPr>
          <w:rFonts w:ascii="Times New Roman" w:hAnsi="Times New Roman" w:cs="Times New Roman"/>
        </w:rPr>
      </w:pPr>
    </w:p>
    <w:p w:rsidR="00A9720F" w:rsidRDefault="00A9720F" w:rsidP="004272F2">
      <w:pPr>
        <w:spacing w:line="360" w:lineRule="auto"/>
        <w:contextualSpacing/>
        <w:rPr>
          <w:rFonts w:ascii="Times New Roman" w:hAnsi="Times New Roman" w:cs="Times New Roman"/>
        </w:rPr>
      </w:pPr>
    </w:p>
    <w:p w:rsidR="00A9720F" w:rsidRPr="00EA224A" w:rsidRDefault="00A9720F" w:rsidP="004272F2">
      <w:pPr>
        <w:spacing w:line="360" w:lineRule="auto"/>
        <w:contextualSpacing/>
        <w:rPr>
          <w:rFonts w:ascii="Times New Roman" w:hAnsi="Times New Roman" w:cs="Times New Roman"/>
        </w:rPr>
      </w:pPr>
    </w:p>
    <w:p w:rsidR="00A93D0C" w:rsidRPr="00EA224A" w:rsidRDefault="00F80883" w:rsidP="004272F2">
      <w:pPr>
        <w:spacing w:line="360" w:lineRule="auto"/>
        <w:contextualSpacing/>
        <w:rPr>
          <w:rFonts w:ascii="Times New Roman" w:hAnsi="Times New Roman" w:cs="Times New Roman"/>
          <w:color w:val="000000" w:themeColor="text1"/>
        </w:rPr>
      </w:pPr>
      <w:r w:rsidRPr="00EA224A">
        <w:rPr>
          <w:rFonts w:ascii="Times New Roman" w:hAnsi="Times New Roman" w:cs="Times New Roman"/>
          <w:color w:val="000000" w:themeColor="text1"/>
        </w:rPr>
        <w:t>E</w:t>
      </w:r>
      <w:r w:rsidR="009D3F59" w:rsidRPr="00EA224A">
        <w:rPr>
          <w:rFonts w:ascii="Times New Roman" w:hAnsi="Times New Roman" w:cs="Times New Roman"/>
          <w:color w:val="000000" w:themeColor="text1"/>
        </w:rPr>
        <w:t>.</w:t>
      </w:r>
      <w:r w:rsidR="009D3F59" w:rsidRPr="00EA224A">
        <w:rPr>
          <w:rFonts w:ascii="Times New Roman" w:hAnsi="Times New Roman" w:cs="Times New Roman"/>
          <w:color w:val="000000" w:themeColor="text1"/>
        </w:rPr>
        <w:tab/>
      </w:r>
      <w:r w:rsidR="00371944" w:rsidRPr="00EA224A">
        <w:rPr>
          <w:rFonts w:ascii="Times New Roman" w:hAnsi="Times New Roman" w:cs="Times New Roman"/>
          <w:color w:val="000000" w:themeColor="text1"/>
        </w:rPr>
        <w:t xml:space="preserve">I&amp;E </w:t>
      </w:r>
      <w:r w:rsidR="00C60832" w:rsidRPr="00EA224A">
        <w:rPr>
          <w:rFonts w:ascii="Times New Roman" w:hAnsi="Times New Roman" w:cs="Times New Roman"/>
          <w:color w:val="000000" w:themeColor="text1"/>
        </w:rPr>
        <w:t xml:space="preserve">Proposed </w:t>
      </w:r>
      <w:r w:rsidR="00371944" w:rsidRPr="00EA224A">
        <w:rPr>
          <w:rFonts w:ascii="Times New Roman" w:hAnsi="Times New Roman" w:cs="Times New Roman"/>
          <w:color w:val="000000" w:themeColor="text1"/>
        </w:rPr>
        <w:t>Adjustments</w:t>
      </w:r>
      <w:r w:rsidR="000E74AA">
        <w:rPr>
          <w:rFonts w:ascii="Times New Roman" w:hAnsi="Times New Roman" w:cs="Times New Roman"/>
          <w:color w:val="000000" w:themeColor="text1"/>
        </w:rPr>
        <w:fldChar w:fldCharType="begin"/>
      </w:r>
      <w:r w:rsidR="000E74AA">
        <w:instrText xml:space="preserve"> TC "</w:instrText>
      </w:r>
      <w:bookmarkStart w:id="44" w:name="_Toc372704705"/>
      <w:r w:rsidR="000E74AA" w:rsidRPr="00831096">
        <w:rPr>
          <w:rFonts w:ascii="Times New Roman" w:hAnsi="Times New Roman" w:cs="Times New Roman"/>
          <w:color w:val="000000" w:themeColor="text1"/>
        </w:rPr>
        <w:instrText>E.</w:instrText>
      </w:r>
      <w:r w:rsidR="000E74AA" w:rsidRPr="00831096">
        <w:rPr>
          <w:rFonts w:ascii="Times New Roman" w:hAnsi="Times New Roman" w:cs="Times New Roman"/>
          <w:color w:val="000000" w:themeColor="text1"/>
        </w:rPr>
        <w:tab/>
        <w:instrText>I&amp;E Proposed Adjustments</w:instrText>
      </w:r>
      <w:bookmarkEnd w:id="44"/>
      <w:r w:rsidR="000E74AA">
        <w:instrText xml:space="preserve">" \f C \l "2" </w:instrText>
      </w:r>
      <w:r w:rsidR="000E74AA">
        <w:rPr>
          <w:rFonts w:ascii="Times New Roman" w:hAnsi="Times New Roman" w:cs="Times New Roman"/>
          <w:color w:val="000000" w:themeColor="text1"/>
        </w:rPr>
        <w:fldChar w:fldCharType="end"/>
      </w:r>
    </w:p>
    <w:p w:rsidR="00A93D0C" w:rsidRPr="00EA224A" w:rsidRDefault="00A93D0C" w:rsidP="004272F2">
      <w:pPr>
        <w:spacing w:line="360" w:lineRule="auto"/>
        <w:contextualSpacing/>
        <w:rPr>
          <w:rFonts w:ascii="Times New Roman" w:hAnsi="Times New Roman" w:cs="Times New Roman"/>
        </w:rPr>
      </w:pPr>
    </w:p>
    <w:p w:rsidR="007C381C" w:rsidRPr="00EA224A" w:rsidRDefault="009D3F59" w:rsidP="000E74AA">
      <w:pPr>
        <w:spacing w:line="360" w:lineRule="auto"/>
        <w:ind w:left="1440" w:hanging="720"/>
        <w:contextualSpacing/>
        <w:rPr>
          <w:rFonts w:ascii="Times New Roman" w:hAnsi="Times New Roman" w:cs="Times New Roman"/>
        </w:rPr>
      </w:pPr>
      <w:r w:rsidRPr="00EA224A">
        <w:rPr>
          <w:rFonts w:ascii="Times New Roman" w:hAnsi="Times New Roman" w:cs="Times New Roman"/>
        </w:rPr>
        <w:t>1.</w:t>
      </w:r>
      <w:r w:rsidRPr="00EA224A">
        <w:rPr>
          <w:rFonts w:ascii="Times New Roman" w:hAnsi="Times New Roman" w:cs="Times New Roman"/>
        </w:rPr>
        <w:tab/>
      </w:r>
      <w:r w:rsidR="007C381C" w:rsidRPr="00EA224A">
        <w:rPr>
          <w:rFonts w:ascii="Times New Roman" w:hAnsi="Times New Roman" w:cs="Times New Roman"/>
        </w:rPr>
        <w:t>PennVest Plant</w:t>
      </w:r>
      <w:r w:rsidR="000E74AA">
        <w:rPr>
          <w:rFonts w:ascii="Times New Roman" w:hAnsi="Times New Roman" w:cs="Times New Roman"/>
        </w:rPr>
        <w:fldChar w:fldCharType="begin"/>
      </w:r>
      <w:r w:rsidR="000E74AA">
        <w:instrText xml:space="preserve"> TC "</w:instrText>
      </w:r>
      <w:bookmarkStart w:id="45" w:name="_Toc372704706"/>
      <w:r w:rsidR="000E74AA" w:rsidRPr="00831096">
        <w:rPr>
          <w:rFonts w:ascii="Times New Roman" w:hAnsi="Times New Roman" w:cs="Times New Roman"/>
        </w:rPr>
        <w:instrText>1.</w:instrText>
      </w:r>
      <w:r w:rsidR="000E74AA" w:rsidRPr="00831096">
        <w:rPr>
          <w:rFonts w:ascii="Times New Roman" w:hAnsi="Times New Roman" w:cs="Times New Roman"/>
        </w:rPr>
        <w:tab/>
        <w:instrText>PennVest Plant</w:instrText>
      </w:r>
      <w:bookmarkEnd w:id="45"/>
      <w:r w:rsidR="000E74AA">
        <w:instrText xml:space="preserve">" \f C \l "3" </w:instrText>
      </w:r>
      <w:r w:rsidR="000E74AA">
        <w:rPr>
          <w:rFonts w:ascii="Times New Roman" w:hAnsi="Times New Roman" w:cs="Times New Roman"/>
        </w:rPr>
        <w:fldChar w:fldCharType="end"/>
      </w:r>
    </w:p>
    <w:p w:rsidR="007C381C" w:rsidRPr="00EA224A" w:rsidRDefault="007C381C" w:rsidP="004272F2">
      <w:pPr>
        <w:spacing w:line="360" w:lineRule="auto"/>
        <w:contextualSpacing/>
        <w:rPr>
          <w:rFonts w:ascii="Times New Roman" w:hAnsi="Times New Roman" w:cs="Times New Roman"/>
        </w:rPr>
      </w:pPr>
    </w:p>
    <w:p w:rsidR="00A93D0C" w:rsidRPr="00EA224A" w:rsidRDefault="00C60832"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filed well-reasoned, well organized Main and Reply Briefs.  I&amp;E has not disputed the Company’s use of a future test year that ends on December 31, 201</w:t>
      </w:r>
      <w:r w:rsidR="00D50665">
        <w:rPr>
          <w:rFonts w:ascii="Times New Roman" w:hAnsi="Times New Roman" w:cs="Times New Roman"/>
        </w:rPr>
        <w:t>3.  I&amp;E MB at </w:t>
      </w:r>
      <w:r w:rsidRPr="00EA224A">
        <w:rPr>
          <w:rFonts w:ascii="Times New Roman" w:hAnsi="Times New Roman" w:cs="Times New Roman"/>
        </w:rPr>
        <w:t>20.  I&amp;E’s position is succinctly summarized in its Main Brief:</w:t>
      </w:r>
    </w:p>
    <w:p w:rsidR="00C60832" w:rsidRPr="00EA224A" w:rsidRDefault="00C60832" w:rsidP="004272F2">
      <w:pPr>
        <w:spacing w:line="360" w:lineRule="auto"/>
        <w:contextualSpacing/>
        <w:rPr>
          <w:rFonts w:ascii="Times New Roman" w:hAnsi="Times New Roman" w:cs="Times New Roman"/>
        </w:rPr>
      </w:pPr>
    </w:p>
    <w:p w:rsidR="00C60832" w:rsidRPr="00EA224A" w:rsidRDefault="00C60832" w:rsidP="004272F2">
      <w:pPr>
        <w:ind w:left="1440" w:right="1440"/>
        <w:contextualSpacing/>
        <w:rPr>
          <w:rFonts w:ascii="Times New Roman" w:hAnsi="Times New Roman" w:cs="Times New Roman"/>
        </w:rPr>
      </w:pPr>
      <w:r w:rsidRPr="00EA224A">
        <w:rPr>
          <w:rFonts w:ascii="Times New Roman" w:hAnsi="Times New Roman" w:cs="Times New Roman"/>
        </w:rPr>
        <w:t xml:space="preserve">Based on the Company's Rebuttal Exhibit No. 3, the Company's revised Rate base claim is now $13,796,707.  As to the specific amounts involved with excluding all ratemaking components of the PennVest-financed plant, I&amp;E Witness Cline recommends that the following claims be adjusted from the Company’s claim for ratemaking purposes: the original cost of $4,902,136 should be removed, less the associated $1,853,844 in claimed accrued depreciation.  I&amp;E Witness Cline repeats and confirms these amounts </w:t>
      </w:r>
      <w:r w:rsidR="00556BA5">
        <w:rPr>
          <w:rFonts w:ascii="Times New Roman" w:hAnsi="Times New Roman" w:cs="Times New Roman"/>
        </w:rPr>
        <w:t xml:space="preserve">in his surrebuttal testimony.  </w:t>
      </w:r>
      <w:r w:rsidRPr="00EA224A">
        <w:rPr>
          <w:rFonts w:ascii="Times New Roman" w:hAnsi="Times New Roman" w:cs="Times New Roman"/>
        </w:rPr>
        <w:t>I&amp;E St. No 3-SR, pp. 1-2, 8.  In light of the various adjustments necessary to exclude all ratemaking effects of the exclusion of the PennVest-financed plant from the Company’s rate base claim, I&amp;E has determined that the appropriate overall measure of value for the Company is an amount of $10,748,415.</w:t>
      </w:r>
    </w:p>
    <w:p w:rsidR="00A93D0C" w:rsidRPr="00EA224A" w:rsidRDefault="00A93D0C" w:rsidP="00047866">
      <w:pPr>
        <w:spacing w:line="360" w:lineRule="auto"/>
        <w:contextualSpacing/>
        <w:jc w:val="both"/>
        <w:rPr>
          <w:rFonts w:ascii="Times New Roman" w:hAnsi="Times New Roman" w:cs="Times New Roman"/>
        </w:rPr>
      </w:pPr>
    </w:p>
    <w:p w:rsidR="00C60832" w:rsidRPr="00EA224A" w:rsidRDefault="00C60832"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For the reasons set forth above, I do not agree with I&amp;E’s recommended exclusion of the PennVest plant from the rate base claim in this specific case.  However, “but for” the unique regulatory history of this PennVest plant, I would be strongly inclined to accept I&amp;E’s proposed adjustment.</w:t>
      </w:r>
    </w:p>
    <w:p w:rsidR="00B9628F" w:rsidRPr="00EA224A" w:rsidRDefault="00B9628F" w:rsidP="004272F2">
      <w:pPr>
        <w:spacing w:line="360" w:lineRule="auto"/>
        <w:contextualSpacing/>
        <w:rPr>
          <w:rFonts w:ascii="Times New Roman" w:hAnsi="Times New Roman" w:cs="Times New Roman"/>
        </w:rPr>
      </w:pPr>
    </w:p>
    <w:p w:rsidR="00B9628F" w:rsidRPr="00EA224A" w:rsidRDefault="00B9628F"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To fully reflect the exclusion of the PennVest plant from the Company’s rate base claim, I&amp;E also proposes a reduction in Columbia’s annual depreciation expense claim in the amount of $115,913.  I&amp;E MB at 26; I&amp;E St. No. 3, pp. 11-13.  Given the decision with respect to the PennVest plant, this further reduction will not be adopted.</w:t>
      </w:r>
    </w:p>
    <w:p w:rsidR="00B9628F" w:rsidRPr="00EA224A" w:rsidRDefault="00B9628F" w:rsidP="004272F2">
      <w:pPr>
        <w:spacing w:line="360" w:lineRule="auto"/>
        <w:contextualSpacing/>
        <w:rPr>
          <w:rFonts w:ascii="Times New Roman" w:hAnsi="Times New Roman" w:cs="Times New Roman"/>
        </w:rPr>
      </w:pPr>
    </w:p>
    <w:p w:rsidR="004272F2" w:rsidRDefault="004272F2" w:rsidP="004272F2">
      <w:pPr>
        <w:spacing w:line="360" w:lineRule="auto"/>
        <w:contextualSpacing/>
        <w:rPr>
          <w:rFonts w:ascii="Times New Roman" w:hAnsi="Times New Roman" w:cs="Times New Roman"/>
        </w:rPr>
      </w:pPr>
      <w:r>
        <w:rPr>
          <w:rFonts w:ascii="Times New Roman" w:hAnsi="Times New Roman" w:cs="Times New Roman"/>
        </w:rPr>
        <w:br w:type="page"/>
      </w:r>
    </w:p>
    <w:p w:rsidR="007C381C" w:rsidRPr="00EA224A" w:rsidRDefault="009D3F59" w:rsidP="000E74AA">
      <w:pPr>
        <w:spacing w:line="360" w:lineRule="auto"/>
        <w:ind w:left="720"/>
        <w:contextualSpacing/>
        <w:rPr>
          <w:rFonts w:ascii="Times New Roman" w:hAnsi="Times New Roman" w:cs="Times New Roman"/>
        </w:rPr>
      </w:pPr>
      <w:r w:rsidRPr="00EA224A">
        <w:rPr>
          <w:rFonts w:ascii="Times New Roman" w:hAnsi="Times New Roman" w:cs="Times New Roman"/>
        </w:rPr>
        <w:t>2.</w:t>
      </w:r>
      <w:r w:rsidRPr="00EA224A">
        <w:rPr>
          <w:rFonts w:ascii="Times New Roman" w:hAnsi="Times New Roman" w:cs="Times New Roman"/>
        </w:rPr>
        <w:tab/>
      </w:r>
      <w:r w:rsidR="007C381C" w:rsidRPr="00EA224A">
        <w:rPr>
          <w:rFonts w:ascii="Times New Roman" w:hAnsi="Times New Roman" w:cs="Times New Roman"/>
        </w:rPr>
        <w:t>Officers, Directors, &amp; Majority Stockholders Salaries</w:t>
      </w:r>
      <w:r w:rsidR="000E74AA">
        <w:rPr>
          <w:rFonts w:ascii="Times New Roman" w:hAnsi="Times New Roman" w:cs="Times New Roman"/>
        </w:rPr>
        <w:fldChar w:fldCharType="begin"/>
      </w:r>
      <w:r w:rsidR="000E74AA">
        <w:instrText xml:space="preserve"> TC "</w:instrText>
      </w:r>
      <w:bookmarkStart w:id="46" w:name="_Toc372704707"/>
      <w:r w:rsidR="000E74AA" w:rsidRPr="00831096">
        <w:rPr>
          <w:rFonts w:ascii="Times New Roman" w:hAnsi="Times New Roman" w:cs="Times New Roman"/>
        </w:rPr>
        <w:instrText>2.</w:instrText>
      </w:r>
      <w:r w:rsidR="000E74AA" w:rsidRPr="00831096">
        <w:rPr>
          <w:rFonts w:ascii="Times New Roman" w:hAnsi="Times New Roman" w:cs="Times New Roman"/>
        </w:rPr>
        <w:tab/>
        <w:instrText>Officers, Directors, &amp; Majority Stockholders Salaries</w:instrText>
      </w:r>
      <w:bookmarkEnd w:id="46"/>
      <w:r w:rsidR="000E74AA">
        <w:instrText xml:space="preserve">" \f C \l "3" </w:instrText>
      </w:r>
      <w:r w:rsidR="000E74AA">
        <w:rPr>
          <w:rFonts w:ascii="Times New Roman" w:hAnsi="Times New Roman" w:cs="Times New Roman"/>
        </w:rPr>
        <w:fldChar w:fldCharType="end"/>
      </w:r>
    </w:p>
    <w:p w:rsidR="007C381C" w:rsidRPr="00EA224A" w:rsidRDefault="007C381C" w:rsidP="004272F2">
      <w:pPr>
        <w:spacing w:line="360" w:lineRule="auto"/>
        <w:contextualSpacing/>
        <w:rPr>
          <w:rFonts w:ascii="Times New Roman" w:hAnsi="Times New Roman" w:cs="Times New Roman"/>
        </w:rPr>
      </w:pPr>
    </w:p>
    <w:p w:rsidR="00B9628F" w:rsidRPr="00EA224A" w:rsidRDefault="007C381C"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recommends a reduction of $5,512 to Columbia’s updated expense claim of $66,144 for Officers, Directors, &amp; Majority Stockholders Salaries.  I&amp;E MB at 33-35; I&amp;E St. 2, pp. 5-8; I&amp;E St. 2-SR, pp. 4-5.  Columbia filing, p. 1-15.  I&amp;E explains the rationale for this proposed adjustment as follows:</w:t>
      </w:r>
    </w:p>
    <w:p w:rsidR="007C381C" w:rsidRPr="00EA224A" w:rsidRDefault="007C381C" w:rsidP="004272F2">
      <w:pPr>
        <w:spacing w:line="360" w:lineRule="auto"/>
        <w:contextualSpacing/>
        <w:rPr>
          <w:rFonts w:ascii="Times New Roman" w:hAnsi="Times New Roman" w:cs="Times New Roman"/>
        </w:rPr>
      </w:pPr>
    </w:p>
    <w:p w:rsidR="007C381C" w:rsidRPr="00EA224A" w:rsidRDefault="007C381C" w:rsidP="004272F2">
      <w:pPr>
        <w:ind w:left="1440" w:right="1728"/>
        <w:contextualSpacing/>
        <w:rPr>
          <w:rFonts w:ascii="Times New Roman" w:hAnsi="Times New Roman" w:cs="Times New Roman"/>
        </w:rPr>
      </w:pPr>
      <w:r w:rsidRPr="00EA224A">
        <w:rPr>
          <w:rFonts w:ascii="Times New Roman" w:hAnsi="Times New Roman" w:cs="Times New Roman"/>
        </w:rPr>
        <w:t xml:space="preserve">In her direct testimony, I&amp;E Witness Wilson had originally recommended an allowance of $60,632, a reduction of $8,268 to the Company’s then $68,900 expense claim as a result of her allocation of a portion of this expense to the Marietta Division.  I&amp;E St. 2, pp. 5-8 and I&amp;E St. 2-SR, pp. 4-5.  I&amp;E Witness Wilson provides her observations and analysis where she states that the Company has indicated that none of its officers’ salaries are allocated to the Marietta Division and that </w:t>
      </w:r>
      <w:r w:rsidRPr="00EA224A">
        <w:rPr>
          <w:rFonts w:ascii="Times New Roman" w:hAnsi="Times New Roman" w:cs="Times New Roman"/>
          <w:i/>
        </w:rPr>
        <w:t>insufficient time has passed since the acquisition to determine how much time will be spent on the Marietta Division</w:t>
      </w:r>
      <w:r w:rsidRPr="00EA224A">
        <w:rPr>
          <w:rFonts w:ascii="Times New Roman" w:hAnsi="Times New Roman" w:cs="Times New Roman"/>
        </w:rPr>
        <w:t xml:space="preserve">.  I&amp;E St. 2, p. 7 and I&amp;E Ex. No. 2, Sch. 3.  She concludes that, </w:t>
      </w:r>
      <w:r w:rsidRPr="00EA224A">
        <w:rPr>
          <w:rFonts w:ascii="Times New Roman" w:hAnsi="Times New Roman" w:cs="Times New Roman"/>
          <w:i/>
        </w:rPr>
        <w:t>in the absence of a formal study of time spent between the Marietta Division and Columbia Water issues</w:t>
      </w:r>
      <w:r w:rsidRPr="00EA224A">
        <w:rPr>
          <w:rFonts w:ascii="Times New Roman" w:hAnsi="Times New Roman" w:cs="Times New Roman"/>
        </w:rPr>
        <w:t>, 12% of officers’ salaries should properly be allocated to the Marietta Division, resulting in her recommended reduction of $8,268 to this expense.  The 12% calculation represents the approximate overall customer base of the Marietta Division.  I&amp;E St. 2, pp. 7-8.  I&amp;E MB at 34 (emphasis added).</w:t>
      </w:r>
    </w:p>
    <w:p w:rsidR="007C381C" w:rsidRPr="00EA224A" w:rsidRDefault="007C381C" w:rsidP="004272F2">
      <w:pPr>
        <w:spacing w:line="360" w:lineRule="auto"/>
        <w:contextualSpacing/>
        <w:rPr>
          <w:rFonts w:ascii="Times New Roman" w:hAnsi="Times New Roman" w:cs="Times New Roman"/>
        </w:rPr>
      </w:pPr>
    </w:p>
    <w:p w:rsidR="008255E6" w:rsidRPr="00EA224A" w:rsidRDefault="007C381C"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6B34A1" w:rsidRPr="00EA224A">
        <w:rPr>
          <w:rFonts w:ascii="Times New Roman" w:hAnsi="Times New Roman" w:cs="Times New Roman"/>
        </w:rPr>
        <w:t xml:space="preserve">Within this single paragraph we find what I regard as the critical weakness in this rate case.  Columbia has filed a base rate case for its Columbia Division.  However, the public advocates suspect that some of the costs claimed by Columbia are attributable to the Marietta Division.  Columbia consistently argues that insufficient time has passed since the acquisition to determine where costs are appropriately allocated.  The public advocates attempt to deal with this by fashioning their own allocation factors, expressed as percentages derived from algorithms that do have a rational basis.  I am, however, unwilling to impose adjustments based on hypothetical calculations.  Once again, this is not a “large” utility, and there is some merit to Columbia’s ongoing contention that “not enough time has passed” to allow more precision in its filing.  I also recognize that it has been five years since Columbia has come in with a base rate case, and when taken as a whole, the record does support some rate relief as opposed to the roll-back requested by the public advocates.  With that being said, Columbia cannot continue indefinitely arguing that record keeping and cost allocation among its divisions is too complex.  Implicit within the “not enough time has passed” argument is the implication that at some point enough time </w:t>
      </w:r>
      <w:r w:rsidR="006B34A1" w:rsidRPr="00EA224A">
        <w:rPr>
          <w:rFonts w:ascii="Times New Roman" w:hAnsi="Times New Roman" w:cs="Times New Roman"/>
          <w:i/>
        </w:rPr>
        <w:t>will</w:t>
      </w:r>
      <w:r w:rsidR="006B34A1" w:rsidRPr="00EA224A">
        <w:rPr>
          <w:rFonts w:ascii="Times New Roman" w:hAnsi="Times New Roman" w:cs="Times New Roman"/>
        </w:rPr>
        <w:t xml:space="preserve"> have passed to allow greater precision in the Company’s accounting.</w:t>
      </w:r>
    </w:p>
    <w:p w:rsidR="008255E6" w:rsidRPr="00EA224A" w:rsidRDefault="008255E6" w:rsidP="00047866">
      <w:pPr>
        <w:spacing w:line="360" w:lineRule="auto"/>
        <w:contextualSpacing/>
        <w:jc w:val="both"/>
        <w:rPr>
          <w:rFonts w:ascii="Times New Roman" w:hAnsi="Times New Roman" w:cs="Times New Roman"/>
        </w:rPr>
      </w:pPr>
    </w:p>
    <w:p w:rsidR="007C381C" w:rsidRPr="00EA224A" w:rsidRDefault="008255E6"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As with the OCA’s proposed adjustment, I find I&amp;E’s proposed adjustment to be a hypothetical construct which takes no recognition of any unique qualities of individual officers or of the challenges they face or the services they render to a company with its own unique business environment.  The proposed </w:t>
      </w:r>
      <w:r w:rsidR="008101B7" w:rsidRPr="00EA224A">
        <w:rPr>
          <w:rFonts w:ascii="Times New Roman" w:hAnsi="Times New Roman" w:cs="Times New Roman"/>
        </w:rPr>
        <w:t>reduction of $5,512 ($66,144 - $60,632) to Columbia’s updated claim</w:t>
      </w:r>
      <w:r w:rsidR="005A07B1" w:rsidRPr="00EA224A">
        <w:rPr>
          <w:rFonts w:ascii="Times New Roman" w:hAnsi="Times New Roman" w:cs="Times New Roman"/>
        </w:rPr>
        <w:t xml:space="preserve"> </w:t>
      </w:r>
      <w:r w:rsidRPr="00EA224A">
        <w:rPr>
          <w:rFonts w:ascii="Times New Roman" w:hAnsi="Times New Roman" w:cs="Times New Roman"/>
        </w:rPr>
        <w:t>is not accepted.</w:t>
      </w:r>
    </w:p>
    <w:p w:rsidR="008255E6" w:rsidRPr="00EA224A" w:rsidRDefault="008255E6" w:rsidP="004272F2">
      <w:pPr>
        <w:spacing w:line="360" w:lineRule="auto"/>
        <w:contextualSpacing/>
        <w:rPr>
          <w:rFonts w:ascii="Times New Roman" w:hAnsi="Times New Roman" w:cs="Times New Roman"/>
        </w:rPr>
      </w:pPr>
    </w:p>
    <w:p w:rsidR="003B7152" w:rsidRPr="00EA224A" w:rsidRDefault="009D3F59" w:rsidP="000E74AA">
      <w:pPr>
        <w:spacing w:line="360" w:lineRule="auto"/>
        <w:ind w:left="720"/>
        <w:contextualSpacing/>
        <w:rPr>
          <w:rFonts w:ascii="Times New Roman" w:hAnsi="Times New Roman" w:cs="Times New Roman"/>
        </w:rPr>
      </w:pPr>
      <w:r w:rsidRPr="00EA224A">
        <w:rPr>
          <w:rFonts w:ascii="Times New Roman" w:hAnsi="Times New Roman" w:cs="Times New Roman"/>
        </w:rPr>
        <w:t>3.</w:t>
      </w:r>
      <w:r w:rsidRPr="00EA224A">
        <w:rPr>
          <w:rFonts w:ascii="Times New Roman" w:hAnsi="Times New Roman" w:cs="Times New Roman"/>
        </w:rPr>
        <w:tab/>
      </w:r>
      <w:r w:rsidR="003B7152" w:rsidRPr="00EA224A">
        <w:rPr>
          <w:rFonts w:ascii="Times New Roman" w:hAnsi="Times New Roman" w:cs="Times New Roman"/>
        </w:rPr>
        <w:t>Employee Recognition Expense Claim</w:t>
      </w:r>
      <w:r w:rsidR="000E74AA">
        <w:rPr>
          <w:rFonts w:ascii="Times New Roman" w:hAnsi="Times New Roman" w:cs="Times New Roman"/>
        </w:rPr>
        <w:fldChar w:fldCharType="begin"/>
      </w:r>
      <w:r w:rsidR="000E74AA">
        <w:instrText xml:space="preserve"> TC "</w:instrText>
      </w:r>
      <w:bookmarkStart w:id="47" w:name="_Toc372704708"/>
      <w:r w:rsidR="000E74AA" w:rsidRPr="00831096">
        <w:rPr>
          <w:rFonts w:ascii="Times New Roman" w:hAnsi="Times New Roman" w:cs="Times New Roman"/>
        </w:rPr>
        <w:instrText>3.</w:instrText>
      </w:r>
      <w:r w:rsidR="000E74AA" w:rsidRPr="00831096">
        <w:rPr>
          <w:rFonts w:ascii="Times New Roman" w:hAnsi="Times New Roman" w:cs="Times New Roman"/>
        </w:rPr>
        <w:tab/>
        <w:instrText>Employee Recognition Expense Claim</w:instrText>
      </w:r>
      <w:bookmarkEnd w:id="47"/>
      <w:r w:rsidR="000E74AA">
        <w:instrText xml:space="preserve">" \f C \l "3" </w:instrText>
      </w:r>
      <w:r w:rsidR="000E74AA">
        <w:rPr>
          <w:rFonts w:ascii="Times New Roman" w:hAnsi="Times New Roman" w:cs="Times New Roman"/>
        </w:rPr>
        <w:fldChar w:fldCharType="end"/>
      </w:r>
    </w:p>
    <w:p w:rsidR="003B7152" w:rsidRPr="00EA224A" w:rsidRDefault="003B7152" w:rsidP="004272F2">
      <w:pPr>
        <w:spacing w:line="360" w:lineRule="auto"/>
        <w:contextualSpacing/>
        <w:rPr>
          <w:rFonts w:ascii="Times New Roman" w:hAnsi="Times New Roman" w:cs="Times New Roman"/>
        </w:rPr>
      </w:pPr>
    </w:p>
    <w:p w:rsidR="003B7152" w:rsidRPr="00EA224A" w:rsidRDefault="003B7152"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recommends the complete disallowance of Columbia’s expense claim of $6,051, styled in the Company’s filing as “Employee Recognition.”  I&amp;E St. 2, pp. 9-10; I&amp;</w:t>
      </w:r>
      <w:r w:rsidR="009C60A4">
        <w:rPr>
          <w:rFonts w:ascii="Times New Roman" w:hAnsi="Times New Roman" w:cs="Times New Roman"/>
        </w:rPr>
        <w:t>E St. </w:t>
      </w:r>
      <w:r w:rsidRPr="00EA224A">
        <w:rPr>
          <w:rFonts w:ascii="Times New Roman" w:hAnsi="Times New Roman" w:cs="Times New Roman"/>
        </w:rPr>
        <w:t>2-SR, pp. 7-8.  The total claim results from two expenditures, $2,779 for a Hershey Park outing and $3,272 for an annual banquet.  I&amp;E Ex. No. 2, Sch. 6, p. 2; I&amp;E MB at 35.  This issue was resolved, above, and the expense claim of $6,051 has been disallowed.</w:t>
      </w:r>
    </w:p>
    <w:p w:rsidR="002F4544" w:rsidRPr="00EA224A" w:rsidRDefault="002F4544" w:rsidP="004272F2">
      <w:pPr>
        <w:spacing w:line="360" w:lineRule="auto"/>
        <w:contextualSpacing/>
        <w:rPr>
          <w:rFonts w:ascii="Times New Roman" w:hAnsi="Times New Roman" w:cs="Times New Roman"/>
        </w:rPr>
      </w:pPr>
    </w:p>
    <w:p w:rsidR="002F4544" w:rsidRPr="00EA224A" w:rsidRDefault="009D3F59" w:rsidP="000E74AA">
      <w:pPr>
        <w:spacing w:line="360" w:lineRule="auto"/>
        <w:ind w:left="720"/>
        <w:contextualSpacing/>
        <w:rPr>
          <w:rFonts w:ascii="Times New Roman" w:hAnsi="Times New Roman" w:cs="Times New Roman"/>
        </w:rPr>
      </w:pPr>
      <w:r w:rsidRPr="00EA224A">
        <w:rPr>
          <w:rFonts w:ascii="Times New Roman" w:hAnsi="Times New Roman" w:cs="Times New Roman"/>
        </w:rPr>
        <w:t>4.</w:t>
      </w:r>
      <w:r w:rsidRPr="00EA224A">
        <w:rPr>
          <w:rFonts w:ascii="Times New Roman" w:hAnsi="Times New Roman" w:cs="Times New Roman"/>
        </w:rPr>
        <w:tab/>
      </w:r>
      <w:r w:rsidR="002F4544" w:rsidRPr="00EA224A">
        <w:rPr>
          <w:rFonts w:ascii="Times New Roman" w:hAnsi="Times New Roman" w:cs="Times New Roman"/>
        </w:rPr>
        <w:t>Taxes</w:t>
      </w:r>
      <w:r w:rsidR="000E74AA">
        <w:rPr>
          <w:rFonts w:ascii="Times New Roman" w:hAnsi="Times New Roman" w:cs="Times New Roman"/>
        </w:rPr>
        <w:fldChar w:fldCharType="begin"/>
      </w:r>
      <w:r w:rsidR="000E74AA">
        <w:instrText xml:space="preserve"> TC "</w:instrText>
      </w:r>
      <w:bookmarkStart w:id="48" w:name="_Toc372704709"/>
      <w:r w:rsidR="000E74AA" w:rsidRPr="00831096">
        <w:rPr>
          <w:rFonts w:ascii="Times New Roman" w:hAnsi="Times New Roman" w:cs="Times New Roman"/>
        </w:rPr>
        <w:instrText>4.</w:instrText>
      </w:r>
      <w:r w:rsidR="000E74AA" w:rsidRPr="00831096">
        <w:rPr>
          <w:rFonts w:ascii="Times New Roman" w:hAnsi="Times New Roman" w:cs="Times New Roman"/>
        </w:rPr>
        <w:tab/>
        <w:instrText>Taxes</w:instrText>
      </w:r>
      <w:bookmarkEnd w:id="48"/>
      <w:r w:rsidR="000E74AA">
        <w:instrText xml:space="preserve">" \f C \l "3" </w:instrText>
      </w:r>
      <w:r w:rsidR="000E74AA">
        <w:rPr>
          <w:rFonts w:ascii="Times New Roman" w:hAnsi="Times New Roman" w:cs="Times New Roman"/>
        </w:rPr>
        <w:fldChar w:fldCharType="end"/>
      </w:r>
    </w:p>
    <w:p w:rsidR="002F4544" w:rsidRPr="00EA224A" w:rsidRDefault="002F4544" w:rsidP="004272F2">
      <w:pPr>
        <w:spacing w:line="360" w:lineRule="auto"/>
        <w:contextualSpacing/>
        <w:rPr>
          <w:rFonts w:ascii="Times New Roman" w:hAnsi="Times New Roman" w:cs="Times New Roman"/>
        </w:rPr>
      </w:pPr>
    </w:p>
    <w:p w:rsidR="003F50EF" w:rsidRDefault="002F4544"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I&amp;E requests a tax adjustment to state taxes and as reflected on I&amp;E Table II at the line “Interest Synchronization” and reflects an amount of ($1,573) as shown in the “State Tax Effect” column.  That figure represents the difference between Columbia’s interest expense and the I&amp;E recommended interest expense that is based on the I&amp;E recommended rate base multiplied by the weighted debt cost rate.  I&amp;E MB at 36; citing Appendix, Table II.  </w:t>
      </w:r>
    </w:p>
    <w:p w:rsidR="003F50EF" w:rsidRDefault="003F50EF" w:rsidP="004272F2">
      <w:pPr>
        <w:spacing w:line="360" w:lineRule="auto"/>
        <w:contextualSpacing/>
        <w:rPr>
          <w:rFonts w:ascii="Times New Roman" w:hAnsi="Times New Roman" w:cs="Times New Roman"/>
        </w:rPr>
      </w:pPr>
    </w:p>
    <w:p w:rsidR="003F50EF" w:rsidRDefault="003F50EF"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Because I accept </w:t>
      </w:r>
      <w:r w:rsidRPr="003F50EF">
        <w:rPr>
          <w:rFonts w:ascii="Times New Roman" w:hAnsi="Times New Roman" w:cs="Times New Roman"/>
        </w:rPr>
        <w:t>the 5% debt cost being proposed by I&amp;E</w:t>
      </w:r>
      <w:r>
        <w:rPr>
          <w:rFonts w:ascii="Times New Roman" w:hAnsi="Times New Roman" w:cs="Times New Roman"/>
        </w:rPr>
        <w:t>, t</w:t>
      </w:r>
      <w:r w:rsidRPr="003F50EF">
        <w:rPr>
          <w:rFonts w:ascii="Times New Roman" w:hAnsi="Times New Roman" w:cs="Times New Roman"/>
        </w:rPr>
        <w:t xml:space="preserve">he tax adjustment is appropriate because </w:t>
      </w:r>
      <w:r>
        <w:rPr>
          <w:rFonts w:ascii="Times New Roman" w:hAnsi="Times New Roman" w:cs="Times New Roman"/>
        </w:rPr>
        <w:t xml:space="preserve">this is </w:t>
      </w:r>
      <w:r w:rsidRPr="003F50EF">
        <w:rPr>
          <w:rFonts w:ascii="Times New Roman" w:hAnsi="Times New Roman" w:cs="Times New Roman"/>
        </w:rPr>
        <w:t>the only way to adjust taxes for the interest expense being proposed by I&amp;E versus that being proposed by Columbia.</w:t>
      </w:r>
    </w:p>
    <w:p w:rsidR="003F50EF" w:rsidRDefault="003F50EF" w:rsidP="004272F2">
      <w:pPr>
        <w:spacing w:line="360" w:lineRule="auto"/>
        <w:contextualSpacing/>
        <w:rPr>
          <w:rFonts w:ascii="Times New Roman" w:hAnsi="Times New Roman" w:cs="Times New Roman"/>
        </w:rPr>
      </w:pPr>
    </w:p>
    <w:p w:rsidR="00B00C43" w:rsidRDefault="00B00C43" w:rsidP="004272F2">
      <w:pPr>
        <w:spacing w:line="360" w:lineRule="auto"/>
        <w:contextualSpacing/>
        <w:rPr>
          <w:rFonts w:ascii="Times New Roman" w:hAnsi="Times New Roman" w:cs="Times New Roman"/>
        </w:rPr>
      </w:pPr>
    </w:p>
    <w:p w:rsidR="00B00C43" w:rsidRDefault="00B00C43" w:rsidP="004272F2">
      <w:pPr>
        <w:spacing w:line="360" w:lineRule="auto"/>
        <w:contextualSpacing/>
        <w:rPr>
          <w:rFonts w:ascii="Times New Roman" w:hAnsi="Times New Roman" w:cs="Times New Roman"/>
        </w:rPr>
      </w:pPr>
    </w:p>
    <w:p w:rsidR="00B00C43" w:rsidRDefault="00B00C43" w:rsidP="004272F2">
      <w:pPr>
        <w:spacing w:line="360" w:lineRule="auto"/>
        <w:contextualSpacing/>
        <w:rPr>
          <w:rFonts w:ascii="Times New Roman" w:hAnsi="Times New Roman" w:cs="Times New Roman"/>
        </w:rPr>
      </w:pPr>
    </w:p>
    <w:p w:rsidR="002F4544" w:rsidRPr="00EA224A" w:rsidRDefault="00F80883" w:rsidP="004272F2">
      <w:pPr>
        <w:spacing w:line="360" w:lineRule="auto"/>
        <w:contextualSpacing/>
        <w:rPr>
          <w:rFonts w:ascii="Times New Roman" w:hAnsi="Times New Roman" w:cs="Times New Roman"/>
        </w:rPr>
      </w:pPr>
      <w:r w:rsidRPr="00EA224A">
        <w:rPr>
          <w:rFonts w:ascii="Times New Roman" w:hAnsi="Times New Roman" w:cs="Times New Roman"/>
        </w:rPr>
        <w:t>F</w:t>
      </w:r>
      <w:r w:rsidR="009D3F59" w:rsidRPr="00EA224A">
        <w:rPr>
          <w:rFonts w:ascii="Times New Roman" w:hAnsi="Times New Roman" w:cs="Times New Roman"/>
        </w:rPr>
        <w:t>.</w:t>
      </w:r>
      <w:r w:rsidR="009D3F59" w:rsidRPr="00EA224A">
        <w:rPr>
          <w:rFonts w:ascii="Times New Roman" w:hAnsi="Times New Roman" w:cs="Times New Roman"/>
        </w:rPr>
        <w:tab/>
      </w:r>
      <w:r w:rsidR="00631462" w:rsidRPr="00EA224A">
        <w:rPr>
          <w:rFonts w:ascii="Times New Roman" w:hAnsi="Times New Roman" w:cs="Times New Roman"/>
        </w:rPr>
        <w:t>Rate of Return</w:t>
      </w:r>
      <w:r w:rsidR="000E74AA">
        <w:rPr>
          <w:rFonts w:ascii="Times New Roman" w:hAnsi="Times New Roman" w:cs="Times New Roman"/>
        </w:rPr>
        <w:fldChar w:fldCharType="begin"/>
      </w:r>
      <w:r w:rsidR="000E74AA">
        <w:instrText xml:space="preserve"> TC "</w:instrText>
      </w:r>
      <w:bookmarkStart w:id="49" w:name="_Toc372704710"/>
      <w:r w:rsidR="000E74AA" w:rsidRPr="00831096">
        <w:rPr>
          <w:rFonts w:ascii="Times New Roman" w:hAnsi="Times New Roman" w:cs="Times New Roman"/>
        </w:rPr>
        <w:instrText>F.</w:instrText>
      </w:r>
      <w:r w:rsidR="000E74AA" w:rsidRPr="00831096">
        <w:rPr>
          <w:rFonts w:ascii="Times New Roman" w:hAnsi="Times New Roman" w:cs="Times New Roman"/>
        </w:rPr>
        <w:tab/>
        <w:instrText>Rate of Return</w:instrText>
      </w:r>
      <w:bookmarkEnd w:id="49"/>
      <w:r w:rsidR="000E74AA">
        <w:instrText xml:space="preserve">" \f C \l "2" </w:instrText>
      </w:r>
      <w:r w:rsidR="000E74AA">
        <w:rPr>
          <w:rFonts w:ascii="Times New Roman" w:hAnsi="Times New Roman" w:cs="Times New Roman"/>
        </w:rPr>
        <w:fldChar w:fldCharType="end"/>
      </w:r>
    </w:p>
    <w:p w:rsidR="00631462" w:rsidRPr="00EA224A" w:rsidRDefault="00631462"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A public utility is entitled to an opportunity to earn a fair rate of return on the value of the property</w:t>
      </w:r>
      <w:r w:rsidR="006C4D5D">
        <w:rPr>
          <w:rFonts w:ascii="Times New Roman" w:hAnsi="Times New Roman" w:cs="Times New Roman"/>
        </w:rPr>
        <w:t xml:space="preserve"> dedicated to public service.  </w:t>
      </w:r>
      <w:r w:rsidRPr="00EA224A">
        <w:rPr>
          <w:rFonts w:ascii="Times New Roman" w:hAnsi="Times New Roman" w:cs="Times New Roman"/>
        </w:rPr>
        <w:t>In determining a fair rate of return the Commission has been guided by the criteria provided by the Unit</w:t>
      </w:r>
      <w:r w:rsidR="003216E3">
        <w:rPr>
          <w:rFonts w:ascii="Times New Roman" w:hAnsi="Times New Roman" w:cs="Times New Roman"/>
        </w:rPr>
        <w:t xml:space="preserve">ed States Supreme Court in the </w:t>
      </w:r>
      <w:r w:rsidRPr="00EA224A">
        <w:rPr>
          <w:rFonts w:ascii="Times New Roman" w:hAnsi="Times New Roman" w:cs="Times New Roman"/>
        </w:rPr>
        <w:t xml:space="preserve">cases of </w:t>
      </w:r>
      <w:r w:rsidRPr="00EA224A">
        <w:rPr>
          <w:rFonts w:ascii="Times New Roman" w:hAnsi="Times New Roman" w:cs="Times New Roman"/>
          <w:i/>
        </w:rPr>
        <w:t>Bluefield Water Works and Improvement Co. v. Public Service Commission of West Virginia</w:t>
      </w:r>
      <w:r w:rsidRPr="00EA224A">
        <w:rPr>
          <w:rFonts w:ascii="Times New Roman" w:hAnsi="Times New Roman" w:cs="Times New Roman"/>
        </w:rPr>
        <w:t xml:space="preserve">, 262 U.S. 679 (1923) and </w:t>
      </w:r>
      <w:r w:rsidRPr="00EA224A">
        <w:rPr>
          <w:rFonts w:ascii="Times New Roman" w:hAnsi="Times New Roman" w:cs="Times New Roman"/>
          <w:i/>
        </w:rPr>
        <w:t>Federal Power Commission v. Hope Natural Gas Co.,</w:t>
      </w:r>
      <w:r w:rsidRPr="00EA224A">
        <w:rPr>
          <w:rFonts w:ascii="Times New Roman" w:hAnsi="Times New Roman" w:cs="Times New Roman"/>
        </w:rPr>
        <w:t xml:space="preserve"> 320 U.S. 591 (1944).  In </w:t>
      </w:r>
      <w:r w:rsidRPr="00EA224A">
        <w:rPr>
          <w:rFonts w:ascii="Times New Roman" w:hAnsi="Times New Roman" w:cs="Times New Roman"/>
          <w:i/>
        </w:rPr>
        <w:t>Bluefield</w:t>
      </w:r>
      <w:r w:rsidRPr="00EA224A">
        <w:rPr>
          <w:rFonts w:ascii="Times New Roman" w:hAnsi="Times New Roman" w:cs="Times New Roman"/>
        </w:rPr>
        <w:t>, the Court stated:</w:t>
      </w:r>
    </w:p>
    <w:p w:rsidR="009D3F59" w:rsidRPr="00EA224A" w:rsidRDefault="009D3F59" w:rsidP="00047866">
      <w:pPr>
        <w:spacing w:line="360" w:lineRule="auto"/>
        <w:contextualSpacing/>
        <w:jc w:val="both"/>
        <w:rPr>
          <w:rFonts w:ascii="Times New Roman" w:hAnsi="Times New Roman" w:cs="Times New Roman"/>
          <w:b/>
        </w:rPr>
      </w:pPr>
    </w:p>
    <w:p w:rsidR="009D3F59" w:rsidRPr="00EA224A" w:rsidRDefault="009D3F59" w:rsidP="004272F2">
      <w:pPr>
        <w:ind w:left="1440" w:right="1440"/>
        <w:contextualSpacing/>
        <w:rPr>
          <w:rFonts w:ascii="Times New Roman" w:hAnsi="Times New Roman" w:cs="Times New Roman"/>
        </w:rPr>
      </w:pPr>
      <w:r w:rsidRPr="00EA224A">
        <w:rPr>
          <w:rFonts w:ascii="Times New Roman" w:hAnsi="Times New Roman" w:cs="Times New Roman"/>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In </w:t>
      </w:r>
      <w:r w:rsidRPr="00EA224A">
        <w:rPr>
          <w:rFonts w:ascii="Times New Roman" w:hAnsi="Times New Roman" w:cs="Times New Roman"/>
          <w:i/>
        </w:rPr>
        <w:t>Federal Power Commission v. Hope Natural Gas Co.</w:t>
      </w:r>
      <w:r w:rsidRPr="00EA224A">
        <w:rPr>
          <w:rFonts w:ascii="Times New Roman" w:hAnsi="Times New Roman" w:cs="Times New Roman"/>
        </w:rPr>
        <w:t xml:space="preserve">, 320 U.S. 591, </w:t>
      </w:r>
      <w:r w:rsidR="00346CEC">
        <w:rPr>
          <w:rFonts w:ascii="Times New Roman" w:hAnsi="Times New Roman" w:cs="Times New Roman"/>
        </w:rPr>
        <w:t> </w:t>
      </w:r>
      <w:r w:rsidRPr="00EA224A">
        <w:rPr>
          <w:rFonts w:ascii="Times New Roman" w:hAnsi="Times New Roman" w:cs="Times New Roman"/>
        </w:rPr>
        <w:t>603 (1944), the Court stated:</w:t>
      </w:r>
    </w:p>
    <w:p w:rsidR="009D3F59" w:rsidRPr="00EA224A" w:rsidRDefault="009D3F59" w:rsidP="004272F2">
      <w:pPr>
        <w:spacing w:line="360" w:lineRule="auto"/>
        <w:contextualSpacing/>
        <w:rPr>
          <w:rFonts w:ascii="Times New Roman" w:hAnsi="Times New Roman" w:cs="Times New Roman"/>
          <w:b/>
        </w:rPr>
      </w:pPr>
    </w:p>
    <w:p w:rsidR="009D3F59" w:rsidRPr="00EA224A" w:rsidRDefault="009D3F59" w:rsidP="004272F2">
      <w:pPr>
        <w:ind w:left="1440" w:right="1440"/>
        <w:contextualSpacing/>
        <w:rPr>
          <w:rFonts w:ascii="Times New Roman" w:hAnsi="Times New Roman" w:cs="Times New Roman"/>
        </w:rPr>
      </w:pPr>
      <w:r w:rsidRPr="00EA224A">
        <w:rPr>
          <w:rFonts w:ascii="Times New Roman" w:hAnsi="Times New Roman" w:cs="Times New Roman"/>
        </w:rPr>
        <w:t>[I]t is important that there be enough revenue not only for operating expenses but also for the capital costs of the business.  These include service on the debt and dividends on the stock.  By that standard the return to the equity owner should be commensurate with returns on investments in other enterprises having corresponding risks.  That return, moreover, should be sufficient to assure confidence in the financial integrity of the enterprise, so as to maintain its credit and to attract capital.</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For reasons that I will explain, below, I&amp;E has provided the most reasonable resolution of this issue.</w:t>
      </w:r>
    </w:p>
    <w:p w:rsidR="009D3F59" w:rsidRPr="00EA224A" w:rsidRDefault="009D3F59" w:rsidP="00047866">
      <w:pPr>
        <w:spacing w:line="360" w:lineRule="auto"/>
        <w:contextualSpacing/>
        <w:jc w:val="both"/>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Columbia has claimed a 9.18% overall cost of capital including an equity cost rate of 11.35%.  Columbia proposes to utilize its </w:t>
      </w:r>
      <w:r w:rsidR="0040751C">
        <w:rPr>
          <w:rFonts w:ascii="Times New Roman" w:hAnsi="Times New Roman" w:cs="Times New Roman"/>
        </w:rPr>
        <w:t>hypothetical</w:t>
      </w:r>
      <w:r w:rsidRPr="00EA224A">
        <w:rPr>
          <w:rFonts w:ascii="Times New Roman" w:hAnsi="Times New Roman" w:cs="Times New Roman"/>
        </w:rPr>
        <w:t xml:space="preserve"> capital structure consisting of 35.6% long-term debt and 64.4% common equity.  CWC St. 3, Appendix B, Sch. DWD-1 at 1.</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The OCA submits, and I agree, that Columbia’s proposed rate of return is excessive due to an equity-rich capital structure and an overstated equity cost rate.  The OCA recommends use of the actual capital structure of 44.15% long-term debt and 55.85% common equity.  OCA MB at</w:t>
      </w:r>
      <w:r w:rsidR="004272F2">
        <w:rPr>
          <w:rFonts w:ascii="Times New Roman" w:hAnsi="Times New Roman" w:cs="Times New Roman"/>
        </w:rPr>
        <w:t> </w:t>
      </w:r>
      <w:r w:rsidRPr="00EA224A">
        <w:rPr>
          <w:rFonts w:ascii="Times New Roman" w:hAnsi="Times New Roman" w:cs="Times New Roman"/>
        </w:rPr>
        <w:t>66.</w:t>
      </w:r>
    </w:p>
    <w:p w:rsidR="009D3F59" w:rsidRPr="00EA224A" w:rsidRDefault="009D3F59" w:rsidP="004272F2">
      <w:pPr>
        <w:spacing w:line="360" w:lineRule="auto"/>
        <w:contextualSpacing/>
        <w:rPr>
          <w:rFonts w:ascii="Times New Roman" w:hAnsi="Times New Roman" w:cs="Times New Roman"/>
        </w:rPr>
      </w:pPr>
    </w:p>
    <w:p w:rsidR="00631462"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recommends a 7.07% overall rate of return derived from the use of the I&amp;E recommended debt cost rate of 5.00%, the I&amp;E recommended 50/50 capital structure, and the I&amp;E-recommended 9.15% cost of common equity.  I&amp;E MB at 3</w:t>
      </w:r>
      <w:r w:rsidR="00E16B9C">
        <w:rPr>
          <w:rFonts w:ascii="Times New Roman" w:hAnsi="Times New Roman" w:cs="Times New Roman"/>
        </w:rPr>
        <w:t>7-54; I&amp;E St. No. 1, pp. 7, 24, </w:t>
      </w:r>
      <w:r w:rsidRPr="00EA224A">
        <w:rPr>
          <w:rFonts w:ascii="Times New Roman" w:hAnsi="Times New Roman" w:cs="Times New Roman"/>
        </w:rPr>
        <w:t>35 &amp; 45; I&amp;E Ex. No. 1, Sch. 1.  See also: I&amp;E MB, Appendix A, Table III.  Consistent with this recommended 7.07% overall weighted cost of capital, I&amp;E asserts that Columbia’s proposed overall return should be disallowed because it is based upon an inappropriate capital structure and overstated faulty return on common equity calculation.  I&amp;E RB at 25.  I agree.</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In Columbia’s Main Brief, Columbia references the testimony of its rate of return witness Mr. D’Ascendis and attempts to support his recommended 11.35% cost rate of common equity, the use of the Company’s actual </w:t>
      </w:r>
      <w:r w:rsidRPr="00EA224A">
        <w:rPr>
          <w:rFonts w:ascii="Times New Roman" w:hAnsi="Times New Roman" w:cs="Times New Roman"/>
          <w:i/>
        </w:rPr>
        <w:t>pro forma</w:t>
      </w:r>
      <w:r w:rsidRPr="00EA224A">
        <w:rPr>
          <w:rFonts w:ascii="Times New Roman" w:hAnsi="Times New Roman" w:cs="Times New Roman"/>
        </w:rPr>
        <w:t xml:space="preserve"> capital structure consisting of 35.60% debt and 64.40% equity at December 31, 2013, and an updated debt cost rate of 5.00%.  Columbia MB at 45-59.  Columbia’s proposed overall rate of return of 9.18% is shown in Table 1 attached to the Columbia Main Brief.</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I&amp;E argues, and I agree, that Columbia’s proposal is “heavily weighted” towards equity so as to maximize the overall rate of return:</w:t>
      </w:r>
    </w:p>
    <w:p w:rsidR="009D3F59" w:rsidRPr="00EA224A" w:rsidRDefault="009D3F59" w:rsidP="004272F2">
      <w:pPr>
        <w:spacing w:line="360" w:lineRule="auto"/>
        <w:contextualSpacing/>
        <w:rPr>
          <w:rFonts w:ascii="Times New Roman" w:hAnsi="Times New Roman" w:cs="Times New Roman"/>
        </w:rPr>
      </w:pPr>
    </w:p>
    <w:p w:rsidR="009D3F59" w:rsidRPr="00EA224A" w:rsidRDefault="009D3F59" w:rsidP="004272F2">
      <w:pPr>
        <w:ind w:left="1440" w:right="1440"/>
        <w:contextualSpacing/>
        <w:rPr>
          <w:rFonts w:ascii="Times New Roman" w:hAnsi="Times New Roman" w:cs="Times New Roman"/>
        </w:rPr>
      </w:pPr>
      <w:r w:rsidRPr="00EA224A">
        <w:rPr>
          <w:rFonts w:ascii="Times New Roman" w:hAnsi="Times New Roman" w:cs="Times New Roman"/>
        </w:rPr>
        <w:t>As to any comparison between the capital structure approved in Columbia’s last base rate case and the current claim, I&amp;E Witness Maurer investigated the Company’s capital structure in the five intervening years between the two cases and revealed that the average for that period was 42.45% debt and 57.55% equity.  I&amp;E MB, pp. 42-43; I&amp;E St. No. 1, p. 14.</w:t>
      </w:r>
    </w:p>
    <w:p w:rsidR="009D3F59" w:rsidRPr="00EA224A" w:rsidRDefault="009D3F59" w:rsidP="004272F2">
      <w:pPr>
        <w:ind w:left="1440" w:right="1440"/>
        <w:contextualSpacing/>
        <w:rPr>
          <w:rFonts w:ascii="Times New Roman" w:hAnsi="Times New Roman" w:cs="Times New Roman"/>
        </w:rPr>
      </w:pPr>
    </w:p>
    <w:p w:rsidR="009D3F59" w:rsidRPr="00EA224A" w:rsidRDefault="009D3F59" w:rsidP="004272F2">
      <w:pPr>
        <w:ind w:left="1440" w:right="1440"/>
        <w:contextualSpacing/>
        <w:rPr>
          <w:rFonts w:ascii="Times New Roman" w:hAnsi="Times New Roman" w:cs="Times New Roman"/>
        </w:rPr>
      </w:pPr>
      <w:r w:rsidRPr="00EA224A">
        <w:rPr>
          <w:rFonts w:ascii="Times New Roman" w:hAnsi="Times New Roman" w:cs="Times New Roman"/>
        </w:rPr>
        <w:t xml:space="preserve">As such, Columbia’s utilized capital structure is not in line with their historical capital structure but is in fact more heavily weighted toward equity than the Company has been in any of the past five years.  I&amp;E MB, pp. 43-43; I&amp;E St. No. 1, p. 14.  Coincidentally then, the Company’s capital structure is more heavily skewed towards the higher priced equity around the time of the rate cases.  </w:t>
      </w:r>
      <w:r w:rsidRPr="00EA224A">
        <w:rPr>
          <w:rFonts w:ascii="Times New Roman" w:hAnsi="Times New Roman" w:cs="Times New Roman"/>
          <w:i/>
        </w:rPr>
        <w:t>The fact that the C</w:t>
      </w:r>
      <w:r w:rsidR="00112499">
        <w:rPr>
          <w:rFonts w:ascii="Times New Roman" w:hAnsi="Times New Roman" w:cs="Times New Roman"/>
          <w:i/>
        </w:rPr>
        <w:t>ompany’s capital structure from </w:t>
      </w:r>
      <w:r w:rsidRPr="00EA224A">
        <w:rPr>
          <w:rFonts w:ascii="Times New Roman" w:hAnsi="Times New Roman" w:cs="Times New Roman"/>
          <w:i/>
        </w:rPr>
        <w:t>2008 to 2012 is more in line with I&amp;E Witness Maurer’s barometer group’s indicates that a capital structure of 50% long-term debt and 50% common equity is a more accurate representation of the capital structure that the Company normally holds and is more representative of the industry norm than the Company’s current claim of 35.60% long-term debt and 64.40% common equity</w:t>
      </w:r>
      <w:r w:rsidRPr="00EA224A">
        <w:rPr>
          <w:rFonts w:ascii="Times New Roman" w:hAnsi="Times New Roman" w:cs="Times New Roman"/>
        </w:rPr>
        <w:t>.  I&amp;E St. No. 1-SR, p. 7.  I&amp;E Reply Brief at 27-28 (emphasis added).</w:t>
      </w:r>
    </w:p>
    <w:p w:rsidR="009D3F59" w:rsidRPr="00EA224A" w:rsidRDefault="009D3F59" w:rsidP="004272F2">
      <w:pPr>
        <w:spacing w:line="360" w:lineRule="auto"/>
        <w:contextualSpacing/>
        <w:rPr>
          <w:rFonts w:ascii="Times New Roman" w:hAnsi="Times New Roman" w:cs="Times New Roman"/>
        </w:rPr>
      </w:pPr>
    </w:p>
    <w:p w:rsidR="008255E6" w:rsidRDefault="009D3F59"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075F00">
        <w:rPr>
          <w:rFonts w:ascii="Times New Roman" w:hAnsi="Times New Roman" w:cs="Times New Roman"/>
        </w:rPr>
        <w:t xml:space="preserve">The OCA’s proposed </w:t>
      </w:r>
      <w:r w:rsidR="00075F00" w:rsidRPr="00075F00">
        <w:rPr>
          <w:rFonts w:ascii="Times New Roman" w:hAnsi="Times New Roman" w:cs="Times New Roman"/>
        </w:rPr>
        <w:t>6.75% overall rate of return</w:t>
      </w:r>
      <w:r w:rsidR="00075F00">
        <w:rPr>
          <w:rFonts w:ascii="Times New Roman" w:hAnsi="Times New Roman" w:cs="Times New Roman"/>
        </w:rPr>
        <w:t>, while close to the I&amp;E recommendation, is a bit too parsimonious, whereas Columbia’s requested 9.09% rate of return is excessive and is based on an overly generous methodology.  I agree with the OCA’s analysis, if not with its specific recommendation, with respect to this issue:</w:t>
      </w:r>
    </w:p>
    <w:p w:rsidR="00075F00" w:rsidRDefault="00075F00" w:rsidP="004272F2">
      <w:pPr>
        <w:spacing w:line="360" w:lineRule="auto"/>
        <w:contextualSpacing/>
        <w:rPr>
          <w:rFonts w:ascii="Times New Roman" w:hAnsi="Times New Roman" w:cs="Times New Roman"/>
        </w:rPr>
      </w:pPr>
    </w:p>
    <w:p w:rsidR="00075F00" w:rsidRDefault="00075F00" w:rsidP="00075F00">
      <w:pPr>
        <w:ind w:left="1440" w:right="1008"/>
        <w:contextualSpacing/>
        <w:rPr>
          <w:rFonts w:ascii="Times New Roman" w:hAnsi="Times New Roman" w:cs="Times New Roman"/>
        </w:rPr>
      </w:pPr>
      <w:r w:rsidRPr="00075F00">
        <w:rPr>
          <w:rFonts w:ascii="Times New Roman" w:hAnsi="Times New Roman" w:cs="Times New Roman"/>
        </w:rPr>
        <w:t xml:space="preserve">All regulated utilities in Pennsylvania are required to provide safe, adequate, reasonable and efficient service as a matter of law.  66 Pa. C.S. § 1501.  An appropriate rate of return on common equity assumes efficient and reasonable management of a utility.  This is established by the fact that the Commission will allow a utility less than the indicated rate of return where service does not meet the requirements of Section 1501.  See, e.g., </w:t>
      </w:r>
      <w:r w:rsidRPr="00075F00">
        <w:rPr>
          <w:rFonts w:ascii="Times New Roman" w:hAnsi="Times New Roman" w:cs="Times New Roman"/>
          <w:i/>
        </w:rPr>
        <w:t>Pa. P.U.C. v. Pennsylvania Gas &amp; Water Co</w:t>
      </w:r>
      <w:r w:rsidRPr="00075F00">
        <w:rPr>
          <w:rFonts w:ascii="Times New Roman" w:hAnsi="Times New Roman" w:cs="Times New Roman"/>
        </w:rPr>
        <w:t>., 61 Pa</w:t>
      </w:r>
      <w:r>
        <w:rPr>
          <w:rFonts w:ascii="Times New Roman" w:hAnsi="Times New Roman" w:cs="Times New Roman"/>
        </w:rPr>
        <w:t xml:space="preserve">. </w:t>
      </w:r>
      <w:r w:rsidRPr="00075F00">
        <w:rPr>
          <w:rFonts w:ascii="Times New Roman" w:hAnsi="Times New Roman" w:cs="Times New Roman"/>
        </w:rPr>
        <w:t xml:space="preserve">PUC 409, 415-16, 425, 427, 74 PUR4th 238, 244-45, 254, 256 (1986); </w:t>
      </w:r>
      <w:r w:rsidRPr="00075F00">
        <w:rPr>
          <w:rFonts w:ascii="Times New Roman" w:hAnsi="Times New Roman" w:cs="Times New Roman"/>
          <w:i/>
        </w:rPr>
        <w:t>Pa. P.U.C. v. Pennsylvania Gas &amp; Water Co</w:t>
      </w:r>
      <w:r w:rsidRPr="00075F00">
        <w:rPr>
          <w:rFonts w:ascii="Times New Roman" w:hAnsi="Times New Roman" w:cs="Times New Roman"/>
        </w:rPr>
        <w:t>., 68 Pa</w:t>
      </w:r>
      <w:r>
        <w:rPr>
          <w:rFonts w:ascii="Times New Roman" w:hAnsi="Times New Roman" w:cs="Times New Roman"/>
        </w:rPr>
        <w:t xml:space="preserve">. </w:t>
      </w:r>
      <w:r w:rsidRPr="00075F00">
        <w:rPr>
          <w:rFonts w:ascii="Times New Roman" w:hAnsi="Times New Roman" w:cs="Times New Roman"/>
        </w:rPr>
        <w:t xml:space="preserve">PUC 191, 195-96 (1988).  It follows that a utility must be doing more than providing efficient and reasonable service in order to receive more than the indicated rate of return pursuant to 66 Pa. C.S. § 523.  </w:t>
      </w:r>
    </w:p>
    <w:p w:rsidR="00075F00" w:rsidRPr="00075F00" w:rsidRDefault="00075F00" w:rsidP="00075F00">
      <w:pPr>
        <w:ind w:left="1440" w:right="1008"/>
        <w:contextualSpacing/>
        <w:rPr>
          <w:rFonts w:ascii="Times New Roman" w:hAnsi="Times New Roman" w:cs="Times New Roman"/>
        </w:rPr>
      </w:pPr>
    </w:p>
    <w:p w:rsidR="00075F00" w:rsidRDefault="00075F00" w:rsidP="00075F00">
      <w:pPr>
        <w:ind w:left="1440" w:right="1008"/>
        <w:contextualSpacing/>
        <w:rPr>
          <w:rFonts w:ascii="Times New Roman" w:hAnsi="Times New Roman" w:cs="Times New Roman"/>
        </w:rPr>
      </w:pPr>
      <w:r w:rsidRPr="00075F00">
        <w:rPr>
          <w:rFonts w:ascii="Times New Roman" w:hAnsi="Times New Roman" w:cs="Times New Roman"/>
        </w:rPr>
        <w:t xml:space="preserve">It was for this reason, in the Company’s most recent base rate case that the Presiding Officer and the Commission rejected Columbia’s request for a 25 basis point rate of return premium to recognize management efficiency.  </w:t>
      </w:r>
      <w:r w:rsidRPr="00075F00">
        <w:rPr>
          <w:rFonts w:ascii="Times New Roman" w:hAnsi="Times New Roman" w:cs="Times New Roman"/>
          <w:i/>
        </w:rPr>
        <w:t>Pa. P.U.C. v. Columbia Water Co</w:t>
      </w:r>
      <w:r w:rsidRPr="00075F00">
        <w:rPr>
          <w:rFonts w:ascii="Times New Roman" w:hAnsi="Times New Roman" w:cs="Times New Roman"/>
        </w:rPr>
        <w:t>., R-2008-2045157, Order at 91-92 (June 10, 2009) (2008 Order), Recommended Decision at 67 (Mar. 20, 2009) (</w:t>
      </w:r>
      <w:r w:rsidRPr="00075F00">
        <w:rPr>
          <w:rFonts w:ascii="Times New Roman" w:hAnsi="Times New Roman" w:cs="Times New Roman"/>
          <w:i/>
        </w:rPr>
        <w:t>2008 RD</w:t>
      </w:r>
      <w:r w:rsidRPr="00075F00">
        <w:rPr>
          <w:rFonts w:ascii="Times New Roman" w:hAnsi="Times New Roman" w:cs="Times New Roman"/>
        </w:rPr>
        <w:t xml:space="preserve">).  The ALJ determined, and the Commission agreed, that the evidence provided by the Company showed compliance with Commission requirements and policies, i.e. reasonable and adequate service, which did not support a rate adjustment.  Id.  In the 2008 proceeding, the Company offered much of the same evidence it offers here.  </w:t>
      </w:r>
      <w:r w:rsidRPr="00075F00">
        <w:rPr>
          <w:rFonts w:ascii="Times New Roman" w:hAnsi="Times New Roman" w:cs="Times New Roman"/>
          <w:i/>
        </w:rPr>
        <w:t>2008 RD</w:t>
      </w:r>
      <w:r w:rsidRPr="00075F00">
        <w:rPr>
          <w:rFonts w:ascii="Times New Roman" w:hAnsi="Times New Roman" w:cs="Times New Roman"/>
        </w:rPr>
        <w:t xml:space="preserve"> at 63-65.  For the same reasons stated in that case, the rate of return premium should be denied here.  </w:t>
      </w:r>
      <w:r>
        <w:rPr>
          <w:rFonts w:ascii="Times New Roman" w:hAnsi="Times New Roman" w:cs="Times New Roman"/>
        </w:rPr>
        <w:t>OCA MB at 87.</w:t>
      </w:r>
    </w:p>
    <w:p w:rsidR="00075F00" w:rsidRPr="00EA224A" w:rsidRDefault="00075F00" w:rsidP="004272F2">
      <w:pPr>
        <w:spacing w:line="36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075F00">
        <w:rPr>
          <w:rFonts w:ascii="Times New Roman" w:hAnsi="Times New Roman" w:cs="Times New Roman"/>
        </w:rPr>
        <w:t xml:space="preserve">I&amp;E’s recommended capital structure of 50% debt and 50% equity, is one that is fundamentally fair and better representative of Columbia.  That structure is adopted as is I&amp;E’s recommended 7.07% overall rate of return.  </w:t>
      </w:r>
    </w:p>
    <w:p w:rsidR="009D3F59" w:rsidRPr="00EA224A" w:rsidRDefault="009D3F59" w:rsidP="004272F2">
      <w:pPr>
        <w:spacing w:line="360" w:lineRule="auto"/>
        <w:contextualSpacing/>
        <w:rPr>
          <w:rFonts w:ascii="Times New Roman" w:hAnsi="Times New Roman" w:cs="Times New Roman"/>
        </w:rPr>
      </w:pPr>
    </w:p>
    <w:p w:rsidR="005D36C2" w:rsidRPr="00EA224A" w:rsidRDefault="00F80883" w:rsidP="004272F2">
      <w:pPr>
        <w:spacing w:line="360" w:lineRule="auto"/>
        <w:contextualSpacing/>
        <w:rPr>
          <w:rFonts w:ascii="Times New Roman" w:hAnsi="Times New Roman" w:cs="Times New Roman"/>
        </w:rPr>
      </w:pPr>
      <w:r w:rsidRPr="00EA224A">
        <w:rPr>
          <w:rFonts w:ascii="Times New Roman" w:hAnsi="Times New Roman" w:cs="Times New Roman"/>
        </w:rPr>
        <w:t>G</w:t>
      </w:r>
      <w:r w:rsidR="009D3F59" w:rsidRPr="00EA224A">
        <w:rPr>
          <w:rFonts w:ascii="Times New Roman" w:hAnsi="Times New Roman" w:cs="Times New Roman"/>
        </w:rPr>
        <w:t>.</w:t>
      </w:r>
      <w:r w:rsidR="009D3F59" w:rsidRPr="00EA224A">
        <w:rPr>
          <w:rFonts w:ascii="Times New Roman" w:hAnsi="Times New Roman" w:cs="Times New Roman"/>
        </w:rPr>
        <w:tab/>
      </w:r>
      <w:r w:rsidR="005D36C2" w:rsidRPr="00EA224A">
        <w:rPr>
          <w:rFonts w:ascii="Times New Roman" w:hAnsi="Times New Roman" w:cs="Times New Roman"/>
        </w:rPr>
        <w:t>Columbia’s Proposed Adjustments for Performance</w:t>
      </w:r>
      <w:r w:rsidR="000E74AA">
        <w:rPr>
          <w:rFonts w:ascii="Times New Roman" w:hAnsi="Times New Roman" w:cs="Times New Roman"/>
        </w:rPr>
        <w:fldChar w:fldCharType="begin"/>
      </w:r>
      <w:r w:rsidR="000E74AA">
        <w:instrText xml:space="preserve"> TC "</w:instrText>
      </w:r>
      <w:bookmarkStart w:id="50" w:name="_Toc372704711"/>
      <w:r w:rsidR="000E74AA" w:rsidRPr="00831096">
        <w:rPr>
          <w:rFonts w:ascii="Times New Roman" w:hAnsi="Times New Roman" w:cs="Times New Roman"/>
        </w:rPr>
        <w:instrText>G.</w:instrText>
      </w:r>
      <w:r w:rsidR="000E74AA" w:rsidRPr="00831096">
        <w:rPr>
          <w:rFonts w:ascii="Times New Roman" w:hAnsi="Times New Roman" w:cs="Times New Roman"/>
        </w:rPr>
        <w:tab/>
        <w:instrText>Columbia’s Proposed Adjustments for Performance</w:instrText>
      </w:r>
      <w:bookmarkEnd w:id="50"/>
      <w:r w:rsidR="000E74AA">
        <w:instrText xml:space="preserve">" \f C \l "2" </w:instrText>
      </w:r>
      <w:r w:rsidR="000E74AA">
        <w:rPr>
          <w:rFonts w:ascii="Times New Roman" w:hAnsi="Times New Roman" w:cs="Times New Roman"/>
        </w:rPr>
        <w:fldChar w:fldCharType="end"/>
      </w:r>
    </w:p>
    <w:p w:rsidR="005D36C2" w:rsidRPr="00EA224A" w:rsidRDefault="005D36C2" w:rsidP="004272F2">
      <w:pPr>
        <w:spacing w:line="360" w:lineRule="auto"/>
        <w:contextualSpacing/>
        <w:rPr>
          <w:rFonts w:ascii="Times New Roman" w:hAnsi="Times New Roman" w:cs="Times New Roman"/>
        </w:rPr>
      </w:pPr>
    </w:p>
    <w:p w:rsidR="005D36C2" w:rsidRPr="00EA224A" w:rsidRDefault="005D36C2"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Mr. D’Ascendis’ recommended return on equity for Columbia includes the Company’s request for an additional 50 basis point premium to reflect Columbia’s management efficiency, a 1998 acquisition of a neighboring water system, and a 2012 acquisition of an affiliate water system.  CWC St. 3 at 4, 36-37.  The </w:t>
      </w:r>
      <w:r w:rsidRPr="00EA224A">
        <w:rPr>
          <w:rFonts w:ascii="Times New Roman" w:hAnsi="Times New Roman" w:cs="Times New Roman"/>
        </w:rPr>
        <w:t xml:space="preserve">OCA has calculated that the </w:t>
      </w:r>
      <w:r w:rsidR="00CA6A9D" w:rsidRPr="00EA224A">
        <w:rPr>
          <w:rFonts w:ascii="Times New Roman" w:hAnsi="Times New Roman" w:cs="Times New Roman"/>
        </w:rPr>
        <w:t>fifty basis point reward would add approximately $68,988 to the Company’s annual revenue requirement.</w:t>
      </w:r>
      <w:r w:rsidR="00CA6A9D" w:rsidRPr="00EA224A">
        <w:rPr>
          <w:rStyle w:val="FootnoteReference"/>
          <w:rFonts w:ascii="Times New Roman" w:hAnsi="Times New Roman" w:cs="Times New Roman"/>
        </w:rPr>
        <w:footnoteReference w:id="10"/>
      </w:r>
    </w:p>
    <w:p w:rsidR="00CA6A9D" w:rsidRPr="00EA224A" w:rsidRDefault="00CA6A9D" w:rsidP="004272F2">
      <w:pPr>
        <w:spacing w:line="360" w:lineRule="auto"/>
        <w:ind w:firstLine="720"/>
        <w:contextualSpacing/>
        <w:rPr>
          <w:rFonts w:ascii="Times New Roman" w:hAnsi="Times New Roman" w:cs="Times New Roman"/>
        </w:rPr>
      </w:pPr>
    </w:p>
    <w:p w:rsidR="005D36C2" w:rsidRPr="00EA224A" w:rsidRDefault="005D36C2"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Section 523 of the Public Utility Code makes clear that a utility cannot be rewarded with a rate of return premium without specific evidence to </w:t>
      </w:r>
      <w:r w:rsidR="00791D2C">
        <w:rPr>
          <w:rFonts w:ascii="Times New Roman" w:hAnsi="Times New Roman" w:cs="Times New Roman"/>
        </w:rPr>
        <w:t>support the adjustment.  66 Pa.</w:t>
      </w:r>
      <w:r w:rsidR="00CA6A9D" w:rsidRPr="00EA224A">
        <w:rPr>
          <w:rFonts w:ascii="Times New Roman" w:hAnsi="Times New Roman" w:cs="Times New Roman"/>
        </w:rPr>
        <w:t>C.S. § 523(a)</w:t>
      </w:r>
      <w:r w:rsidR="00CA6A9D" w:rsidRPr="00EA224A">
        <w:rPr>
          <w:rFonts w:ascii="Times New Roman" w:hAnsi="Times New Roman" w:cs="Times New Roman"/>
        </w:rPr>
        <w:fldChar w:fldCharType="begin"/>
      </w:r>
      <w:r w:rsidR="00791D2C">
        <w:rPr>
          <w:rFonts w:ascii="Times New Roman" w:hAnsi="Times New Roman" w:cs="Times New Roman"/>
        </w:rPr>
        <w:instrText xml:space="preserve"> TA \l "66 Pa.C.S. § 523(a)" \s "66 Pa.</w:instrText>
      </w:r>
      <w:r w:rsidR="00CA6A9D" w:rsidRPr="00EA224A">
        <w:rPr>
          <w:rFonts w:ascii="Times New Roman" w:hAnsi="Times New Roman" w:cs="Times New Roman"/>
        </w:rPr>
        <w:instrText xml:space="preserve">C.S. § 523(a)" \c 2 </w:instrText>
      </w:r>
      <w:r w:rsidR="00CA6A9D" w:rsidRPr="00EA224A">
        <w:rPr>
          <w:rFonts w:ascii="Times New Roman" w:hAnsi="Times New Roman" w:cs="Times New Roman"/>
        </w:rPr>
        <w:fldChar w:fldCharType="end"/>
      </w:r>
      <w:r w:rsidR="00CA6A9D" w:rsidRPr="00EA224A">
        <w:rPr>
          <w:rFonts w:ascii="Times New Roman" w:hAnsi="Times New Roman" w:cs="Times New Roman"/>
        </w:rPr>
        <w:t xml:space="preserve">.  The statute provides that the Commission will consider evidence regarding the utility’s efficiency, effectiveness and adequacy of service.  </w:t>
      </w:r>
      <w:r w:rsidR="00CA6A9D" w:rsidRPr="00EA224A">
        <w:rPr>
          <w:rFonts w:ascii="Times New Roman" w:hAnsi="Times New Roman" w:cs="Times New Roman"/>
        </w:rPr>
        <w:fldChar w:fldCharType="begin"/>
      </w:r>
      <w:r w:rsidR="000F2774">
        <w:rPr>
          <w:rFonts w:ascii="Times New Roman" w:hAnsi="Times New Roman" w:cs="Times New Roman"/>
        </w:rPr>
        <w:instrText xml:space="preserve"> TA \l "52 Pa.Code § 69.721(g)" \s "52 Pa.Code § </w:instrText>
      </w:r>
      <w:r w:rsidR="00CA6A9D" w:rsidRPr="00EA224A">
        <w:rPr>
          <w:rFonts w:ascii="Times New Roman" w:hAnsi="Times New Roman" w:cs="Times New Roman"/>
        </w:rPr>
        <w:instrText xml:space="preserve">69.721(g)" \c 6 </w:instrText>
      </w:r>
      <w:r w:rsidR="00CA6A9D" w:rsidRPr="00EA224A">
        <w:rPr>
          <w:rFonts w:ascii="Times New Roman" w:hAnsi="Times New Roman" w:cs="Times New Roman"/>
        </w:rPr>
        <w:fldChar w:fldCharType="end"/>
      </w:r>
      <w:r w:rsidR="00CA6A9D" w:rsidRPr="00EA224A">
        <w:rPr>
          <w:rFonts w:ascii="Times New Roman" w:hAnsi="Times New Roman" w:cs="Times New Roman"/>
        </w:rPr>
        <w:t xml:space="preserve">Section 69.721(g) of the Commission’s </w:t>
      </w:r>
      <w:r w:rsidR="006226E9">
        <w:rPr>
          <w:rFonts w:ascii="Times New Roman" w:hAnsi="Times New Roman" w:cs="Times New Roman"/>
        </w:rPr>
        <w:t>policy statements</w:t>
      </w:r>
      <w:r w:rsidR="00CA6A9D" w:rsidRPr="00EA224A">
        <w:rPr>
          <w:rFonts w:ascii="Times New Roman" w:hAnsi="Times New Roman" w:cs="Times New Roman"/>
        </w:rPr>
        <w:t xml:space="preserve"> specifies that the Commission will consider evidence regarding acquisitions in finding whether any Section 523 adjustment is warranted, if the requesting utility provides specif</w:t>
      </w:r>
      <w:r w:rsidR="000F2774">
        <w:rPr>
          <w:rFonts w:ascii="Times New Roman" w:hAnsi="Times New Roman" w:cs="Times New Roman"/>
        </w:rPr>
        <w:t>ic evidence in support.  52 Pa.</w:t>
      </w:r>
      <w:r w:rsidR="00CA6A9D" w:rsidRPr="00EA224A">
        <w:rPr>
          <w:rFonts w:ascii="Times New Roman" w:hAnsi="Times New Roman" w:cs="Times New Roman"/>
        </w:rPr>
        <w:t>Code § 69.721(g)</w:t>
      </w:r>
      <w:r w:rsidR="00CA6A9D" w:rsidRPr="00EA224A">
        <w:rPr>
          <w:rFonts w:ascii="Times New Roman" w:hAnsi="Times New Roman" w:cs="Times New Roman"/>
        </w:rPr>
        <w:fldChar w:fldCharType="begin"/>
      </w:r>
      <w:r w:rsidR="000F2774">
        <w:rPr>
          <w:rFonts w:ascii="Times New Roman" w:hAnsi="Times New Roman" w:cs="Times New Roman"/>
        </w:rPr>
        <w:instrText xml:space="preserve"> TA \s "52 Pa.</w:instrText>
      </w:r>
      <w:r w:rsidR="00CA6A9D" w:rsidRPr="00EA224A">
        <w:rPr>
          <w:rFonts w:ascii="Times New Roman" w:hAnsi="Times New Roman" w:cs="Times New Roman"/>
        </w:rPr>
        <w:instrText xml:space="preserve">Code § 69.721(g)" </w:instrText>
      </w:r>
      <w:r w:rsidR="00CA6A9D" w:rsidRPr="00EA224A">
        <w:rPr>
          <w:rFonts w:ascii="Times New Roman" w:hAnsi="Times New Roman" w:cs="Times New Roman"/>
        </w:rPr>
        <w:fldChar w:fldCharType="end"/>
      </w:r>
      <w:r w:rsidR="000F2774">
        <w:rPr>
          <w:rFonts w:ascii="Times New Roman" w:hAnsi="Times New Roman" w:cs="Times New Roman"/>
        </w:rPr>
        <w:t>.</w:t>
      </w:r>
    </w:p>
    <w:p w:rsidR="009D3F59" w:rsidRPr="00EA224A" w:rsidRDefault="009D3F59" w:rsidP="004272F2">
      <w:pPr>
        <w:spacing w:line="360" w:lineRule="auto"/>
        <w:ind w:firstLine="720"/>
        <w:contextualSpacing/>
        <w:rPr>
          <w:rFonts w:ascii="Times New Roman" w:hAnsi="Times New Roman" w:cs="Times New Roman"/>
        </w:rPr>
      </w:pPr>
    </w:p>
    <w:p w:rsidR="00CA6A9D" w:rsidRPr="00EA224A" w:rsidRDefault="009D3F59"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Columbia has requested an 11.35% return on equity in this proceeding, which includes a </w:t>
      </w:r>
      <w:r w:rsidR="00656214">
        <w:rPr>
          <w:rFonts w:ascii="Times New Roman" w:hAnsi="Times New Roman" w:cs="Times New Roman"/>
        </w:rPr>
        <w:t>25</w:t>
      </w:r>
      <w:r w:rsidR="00CA6A9D" w:rsidRPr="00EA224A">
        <w:rPr>
          <w:rFonts w:ascii="Times New Roman" w:hAnsi="Times New Roman" w:cs="Times New Roman"/>
        </w:rPr>
        <w:t xml:space="preserve"> basis point adder to recognize the Company’s “outstanding service and commitment to the community.” </w:t>
      </w:r>
      <w:r w:rsidR="00462FB6">
        <w:rPr>
          <w:rFonts w:ascii="Times New Roman" w:hAnsi="Times New Roman" w:cs="Times New Roman"/>
        </w:rPr>
        <w:t xml:space="preserve"> </w:t>
      </w:r>
      <w:r w:rsidR="00CA6A9D" w:rsidRPr="00EA224A">
        <w:rPr>
          <w:rFonts w:ascii="Times New Roman" w:hAnsi="Times New Roman" w:cs="Times New Roman"/>
        </w:rPr>
        <w:t xml:space="preserve">CWC St. 1 at 10.  Specific reasons cited by Columbia as justification for awarding a rate of return premium include: (1) compliance with water quality and pressure requirements, (2) efforts to minimize expenses and use existing staff efficiently, (3) extending lines to an area of Manor and West Hempfield Townships, and (4) acquiring Marietta Gravity Water Company.  </w:t>
      </w:r>
      <w:r w:rsidR="00CA6A9D" w:rsidRPr="00EA224A">
        <w:rPr>
          <w:rFonts w:ascii="Times New Roman" w:hAnsi="Times New Roman" w:cs="Times New Roman"/>
          <w:u w:val="single"/>
        </w:rPr>
        <w:t>Id</w:t>
      </w:r>
      <w:r w:rsidR="00883250">
        <w:rPr>
          <w:rFonts w:ascii="Times New Roman" w:hAnsi="Times New Roman" w:cs="Times New Roman"/>
        </w:rPr>
        <w:t>. at 7-9.</w:t>
      </w:r>
    </w:p>
    <w:p w:rsidR="005D36C2" w:rsidRPr="00EA224A" w:rsidRDefault="005D36C2" w:rsidP="00047866">
      <w:pPr>
        <w:spacing w:line="360" w:lineRule="auto"/>
        <w:ind w:firstLine="720"/>
        <w:contextualSpacing/>
        <w:jc w:val="both"/>
        <w:rPr>
          <w:rFonts w:ascii="Times New Roman" w:hAnsi="Times New Roman" w:cs="Times New Roman"/>
        </w:rPr>
      </w:pPr>
    </w:p>
    <w:p w:rsidR="005D36C2" w:rsidRPr="00EA224A" w:rsidRDefault="005D36C2"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t>As the OCA correctly points out, a</w:t>
      </w:r>
      <w:r w:rsidR="00CA6A9D" w:rsidRPr="00EA224A">
        <w:rPr>
          <w:rFonts w:ascii="Times New Roman" w:hAnsi="Times New Roman" w:cs="Times New Roman"/>
        </w:rPr>
        <w:t>ll regulated utilities in Pennsylvania are required to provide safe, adequate, reasonable and efficient serv</w:t>
      </w:r>
      <w:r w:rsidR="001622C5">
        <w:rPr>
          <w:rFonts w:ascii="Times New Roman" w:hAnsi="Times New Roman" w:cs="Times New Roman"/>
        </w:rPr>
        <w:t>ice as a matter of law.  66 Pa.</w:t>
      </w:r>
      <w:r w:rsidR="00CA6A9D" w:rsidRPr="00EA224A">
        <w:rPr>
          <w:rFonts w:ascii="Times New Roman" w:hAnsi="Times New Roman" w:cs="Times New Roman"/>
        </w:rPr>
        <w:t>C.S. § 1501</w:t>
      </w:r>
      <w:r w:rsidR="00CA6A9D" w:rsidRPr="00EA224A">
        <w:rPr>
          <w:rFonts w:ascii="Times New Roman" w:hAnsi="Times New Roman" w:cs="Times New Roman"/>
        </w:rPr>
        <w:fldChar w:fldCharType="begin"/>
      </w:r>
      <w:r w:rsidR="00CA6A9D" w:rsidRPr="00EA224A">
        <w:rPr>
          <w:rFonts w:ascii="Times New Roman" w:hAnsi="Times New Roman" w:cs="Times New Roman"/>
        </w:rPr>
        <w:instrText xml:space="preserve"> TA \l </w:instrText>
      </w:r>
      <w:r w:rsidR="001622C5">
        <w:rPr>
          <w:rFonts w:ascii="Times New Roman" w:hAnsi="Times New Roman" w:cs="Times New Roman"/>
        </w:rPr>
        <w:instrText>"66 Pa. C.S. § 1501" \s "66 Pa.</w:instrText>
      </w:r>
      <w:r w:rsidR="00CA6A9D" w:rsidRPr="00EA224A">
        <w:rPr>
          <w:rFonts w:ascii="Times New Roman" w:hAnsi="Times New Roman" w:cs="Times New Roman"/>
        </w:rPr>
        <w:instrText xml:space="preserve">C.S. § 1501" \c 2 </w:instrText>
      </w:r>
      <w:r w:rsidR="00CA6A9D" w:rsidRPr="00EA224A">
        <w:rPr>
          <w:rFonts w:ascii="Times New Roman" w:hAnsi="Times New Roman" w:cs="Times New Roman"/>
        </w:rPr>
        <w:fldChar w:fldCharType="end"/>
      </w:r>
      <w:r w:rsidR="00CA6A9D" w:rsidRPr="00EA224A">
        <w:rPr>
          <w:rFonts w:ascii="Times New Roman" w:hAnsi="Times New Roman" w:cs="Times New Roman"/>
        </w:rPr>
        <w:t>.  An appropriate rate of return on common equity assumes efficient and reasonable management of a utility.  This is established by the fact that the Commission will allow a utility less than the indicated rate of return where service does not meet the requirements of Section 1501</w:t>
      </w:r>
      <w:r w:rsidR="00CA6A9D" w:rsidRPr="00EA224A">
        <w:rPr>
          <w:rFonts w:ascii="Times New Roman" w:hAnsi="Times New Roman" w:cs="Times New Roman"/>
        </w:rPr>
        <w:fldChar w:fldCharType="begin"/>
      </w:r>
      <w:r w:rsidR="00440264">
        <w:rPr>
          <w:rFonts w:ascii="Times New Roman" w:hAnsi="Times New Roman" w:cs="Times New Roman"/>
        </w:rPr>
        <w:instrText xml:space="preserve"> TA \s "66 Pa.</w:instrText>
      </w:r>
      <w:r w:rsidR="00CA6A9D" w:rsidRPr="00EA224A">
        <w:rPr>
          <w:rFonts w:ascii="Times New Roman" w:hAnsi="Times New Roman" w:cs="Times New Roman"/>
        </w:rPr>
        <w:instrText xml:space="preserve">C.S. § 1501" </w:instrText>
      </w:r>
      <w:r w:rsidR="00CA6A9D" w:rsidRPr="00EA224A">
        <w:rPr>
          <w:rFonts w:ascii="Times New Roman" w:hAnsi="Times New Roman" w:cs="Times New Roman"/>
        </w:rPr>
        <w:fldChar w:fldCharType="end"/>
      </w:r>
      <w:r w:rsidR="00CA6A9D" w:rsidRPr="00EA224A">
        <w:rPr>
          <w:rFonts w:ascii="Times New Roman" w:hAnsi="Times New Roman" w:cs="Times New Roman"/>
        </w:rPr>
        <w:t xml:space="preserve">.  See, e.g., </w:t>
      </w:r>
      <w:r w:rsidR="00440264">
        <w:rPr>
          <w:rFonts w:ascii="Times New Roman" w:hAnsi="Times New Roman" w:cs="Times New Roman"/>
          <w:i/>
        </w:rPr>
        <w:t>Pa. PUC</w:t>
      </w:r>
      <w:r w:rsidR="00CA6A9D" w:rsidRPr="00EA224A">
        <w:rPr>
          <w:rFonts w:ascii="Times New Roman" w:hAnsi="Times New Roman" w:cs="Times New Roman"/>
          <w:i/>
        </w:rPr>
        <w:t xml:space="preserve"> v. Pennsylvania Gas &amp; Water Co.</w:t>
      </w:r>
      <w:r w:rsidR="00CA6A9D" w:rsidRPr="00EA224A">
        <w:rPr>
          <w:rFonts w:ascii="Times New Roman" w:hAnsi="Times New Roman" w:cs="Times New Roman"/>
        </w:rPr>
        <w:t>, 61 Pa</w:t>
      </w:r>
      <w:r w:rsidR="00440264">
        <w:rPr>
          <w:rFonts w:ascii="Times New Roman" w:hAnsi="Times New Roman" w:cs="Times New Roman"/>
        </w:rPr>
        <w:t xml:space="preserve"> </w:t>
      </w:r>
      <w:r w:rsidR="00CA6A9D" w:rsidRPr="00EA224A">
        <w:rPr>
          <w:rFonts w:ascii="Times New Roman" w:hAnsi="Times New Roman" w:cs="Times New Roman"/>
        </w:rPr>
        <w:t>PUC 409, 415-16, 425, 427, 74 PUR4th 238, 244-45, 254, 256 (1986)</w:t>
      </w:r>
      <w:r w:rsidR="00CA6A9D" w:rsidRPr="00EA224A">
        <w:rPr>
          <w:rFonts w:ascii="Times New Roman" w:hAnsi="Times New Roman" w:cs="Times New Roman"/>
        </w:rPr>
        <w:fldChar w:fldCharType="begin"/>
      </w:r>
      <w:r w:rsidR="00CA6A9D" w:rsidRPr="00EA224A">
        <w:rPr>
          <w:rFonts w:ascii="Times New Roman" w:hAnsi="Times New Roman" w:cs="Times New Roman"/>
        </w:rPr>
        <w:instrText xml:space="preserve"> TA \l "</w:instrText>
      </w:r>
      <w:r w:rsidR="00553062">
        <w:rPr>
          <w:rFonts w:ascii="Times New Roman" w:hAnsi="Times New Roman" w:cs="Times New Roman"/>
          <w:u w:val="single"/>
        </w:rPr>
        <w:instrText>Pa. PUC</w:instrText>
      </w:r>
      <w:r w:rsidR="00CA6A9D" w:rsidRPr="00EA224A">
        <w:rPr>
          <w:rFonts w:ascii="Times New Roman" w:hAnsi="Times New Roman" w:cs="Times New Roman"/>
          <w:u w:val="single"/>
        </w:rPr>
        <w:instrText xml:space="preserve"> v. Pennsylvania Gas &amp; Water Co.</w:instrText>
      </w:r>
      <w:r w:rsidR="00CA6A9D" w:rsidRPr="00EA224A">
        <w:rPr>
          <w:rFonts w:ascii="Times New Roman" w:hAnsi="Times New Roman" w:cs="Times New Roman"/>
        </w:rPr>
        <w:instrText>, 61 Pa</w:instrText>
      </w:r>
      <w:r w:rsidR="00553062">
        <w:rPr>
          <w:rFonts w:ascii="Times New Roman" w:hAnsi="Times New Roman" w:cs="Times New Roman"/>
        </w:rPr>
        <w:instrText xml:space="preserve"> </w:instrText>
      </w:r>
      <w:r w:rsidR="00CA6A9D" w:rsidRPr="00EA224A">
        <w:rPr>
          <w:rFonts w:ascii="Times New Roman" w:hAnsi="Times New Roman" w:cs="Times New Roman"/>
        </w:rPr>
        <w:instrText>PUC 409, 415-16, 425, 427, 74 PUR4th 238, 244</w:instrText>
      </w:r>
      <w:r w:rsidR="00553062">
        <w:rPr>
          <w:rFonts w:ascii="Times New Roman" w:hAnsi="Times New Roman" w:cs="Times New Roman"/>
        </w:rPr>
        <w:instrText>-45, 254, 256 (1986)" \s "Pa. PUC</w:instrText>
      </w:r>
      <w:r w:rsidR="00CA6A9D" w:rsidRPr="00EA224A">
        <w:rPr>
          <w:rFonts w:ascii="Times New Roman" w:hAnsi="Times New Roman" w:cs="Times New Roman"/>
        </w:rPr>
        <w:instrText xml:space="preserve"> v. Pennsylvania Gas &amp; Water Co., 61 Pa</w:instrText>
      </w:r>
      <w:r w:rsidR="00553062">
        <w:rPr>
          <w:rFonts w:ascii="Times New Roman" w:hAnsi="Times New Roman" w:cs="Times New Roman"/>
        </w:rPr>
        <w:instrText xml:space="preserve"> </w:instrText>
      </w:r>
      <w:r w:rsidR="00CA6A9D" w:rsidRPr="00EA224A">
        <w:rPr>
          <w:rFonts w:ascii="Times New Roman" w:hAnsi="Times New Roman" w:cs="Times New Roman"/>
        </w:rPr>
        <w:instrText>PUC 409, 415-16, 425, 427, 74 PUR4th 238, 244-45,</w:instrText>
      </w:r>
      <w:r w:rsidR="00553062">
        <w:rPr>
          <w:rFonts w:ascii="Times New Roman" w:hAnsi="Times New Roman" w:cs="Times New Roman"/>
        </w:rPr>
        <w:instrText> </w:instrText>
      </w:r>
      <w:r w:rsidR="00CA6A9D" w:rsidRPr="00EA224A">
        <w:rPr>
          <w:rFonts w:ascii="Times New Roman" w:hAnsi="Times New Roman" w:cs="Times New Roman"/>
        </w:rPr>
        <w:instrText>254,</w:instrText>
      </w:r>
      <w:r w:rsidR="00553062">
        <w:rPr>
          <w:rFonts w:ascii="Times New Roman" w:hAnsi="Times New Roman" w:cs="Times New Roman"/>
        </w:rPr>
        <w:instrText> </w:instrText>
      </w:r>
      <w:r w:rsidR="00CA6A9D" w:rsidRPr="00EA224A">
        <w:rPr>
          <w:rFonts w:ascii="Times New Roman" w:hAnsi="Times New Roman" w:cs="Times New Roman"/>
        </w:rPr>
        <w:instrText xml:space="preserve">256 (1986)" \c 8 </w:instrText>
      </w:r>
      <w:r w:rsidR="00CA6A9D" w:rsidRPr="00EA224A">
        <w:rPr>
          <w:rFonts w:ascii="Times New Roman" w:hAnsi="Times New Roman" w:cs="Times New Roman"/>
        </w:rPr>
        <w:fldChar w:fldCharType="end"/>
      </w:r>
      <w:r w:rsidR="00CA6A9D" w:rsidRPr="00EA224A">
        <w:rPr>
          <w:rFonts w:ascii="Times New Roman" w:hAnsi="Times New Roman" w:cs="Times New Roman"/>
        </w:rPr>
        <w:t xml:space="preserve">; </w:t>
      </w:r>
      <w:r w:rsidR="00553062">
        <w:rPr>
          <w:rFonts w:ascii="Times New Roman" w:hAnsi="Times New Roman" w:cs="Times New Roman"/>
          <w:i/>
        </w:rPr>
        <w:t>Pa. PUC</w:t>
      </w:r>
      <w:r w:rsidR="00CA6A9D" w:rsidRPr="00EA224A">
        <w:rPr>
          <w:rFonts w:ascii="Times New Roman" w:hAnsi="Times New Roman" w:cs="Times New Roman"/>
          <w:i/>
        </w:rPr>
        <w:t xml:space="preserve"> v. Pennsylvania Gas &amp; Water Co.</w:t>
      </w:r>
      <w:r w:rsidR="00CA6A9D" w:rsidRPr="00EA224A">
        <w:rPr>
          <w:rFonts w:ascii="Times New Roman" w:hAnsi="Times New Roman" w:cs="Times New Roman"/>
        </w:rPr>
        <w:t>, 68 Pa</w:t>
      </w:r>
      <w:r w:rsidR="00553062">
        <w:rPr>
          <w:rFonts w:ascii="Times New Roman" w:hAnsi="Times New Roman" w:cs="Times New Roman"/>
        </w:rPr>
        <w:t xml:space="preserve"> </w:t>
      </w:r>
      <w:r w:rsidR="00CA6A9D" w:rsidRPr="00EA224A">
        <w:rPr>
          <w:rFonts w:ascii="Times New Roman" w:hAnsi="Times New Roman" w:cs="Times New Roman"/>
        </w:rPr>
        <w:t>PUC 191, 195-96 (1988)</w:t>
      </w:r>
      <w:r w:rsidR="00CA6A9D" w:rsidRPr="00EA224A">
        <w:rPr>
          <w:rFonts w:ascii="Times New Roman" w:hAnsi="Times New Roman" w:cs="Times New Roman"/>
        </w:rPr>
        <w:fldChar w:fldCharType="begin"/>
      </w:r>
      <w:r w:rsidR="00CA6A9D" w:rsidRPr="00EA224A">
        <w:rPr>
          <w:rFonts w:ascii="Times New Roman" w:hAnsi="Times New Roman" w:cs="Times New Roman"/>
        </w:rPr>
        <w:instrText xml:space="preserve"> TA \l "</w:instrText>
      </w:r>
      <w:r w:rsidR="00553062">
        <w:rPr>
          <w:rFonts w:ascii="Times New Roman" w:hAnsi="Times New Roman" w:cs="Times New Roman"/>
          <w:u w:val="single"/>
        </w:rPr>
        <w:instrText>Pa. PUC</w:instrText>
      </w:r>
      <w:r w:rsidR="00CA6A9D" w:rsidRPr="00EA224A">
        <w:rPr>
          <w:rFonts w:ascii="Times New Roman" w:hAnsi="Times New Roman" w:cs="Times New Roman"/>
          <w:u w:val="single"/>
        </w:rPr>
        <w:instrText xml:space="preserve"> v. Pennsylvania Gas &amp; Water Co.</w:instrText>
      </w:r>
      <w:r w:rsidR="00CA6A9D" w:rsidRPr="00EA224A">
        <w:rPr>
          <w:rFonts w:ascii="Times New Roman" w:hAnsi="Times New Roman" w:cs="Times New Roman"/>
        </w:rPr>
        <w:instrText>, 68 Pa</w:instrText>
      </w:r>
      <w:r w:rsidR="00553062">
        <w:rPr>
          <w:rFonts w:ascii="Times New Roman" w:hAnsi="Times New Roman" w:cs="Times New Roman"/>
        </w:rPr>
        <w:instrText xml:space="preserve"> </w:instrText>
      </w:r>
      <w:r w:rsidR="00CA6A9D" w:rsidRPr="00EA224A">
        <w:rPr>
          <w:rFonts w:ascii="Times New Roman" w:hAnsi="Times New Roman" w:cs="Times New Roman"/>
        </w:rPr>
        <w:instrText>PU</w:instrText>
      </w:r>
      <w:r w:rsidR="00553062">
        <w:rPr>
          <w:rFonts w:ascii="Times New Roman" w:hAnsi="Times New Roman" w:cs="Times New Roman"/>
        </w:rPr>
        <w:instrText>C 191, 195-96 (1988)" \s "Pa. PUC</w:instrText>
      </w:r>
      <w:r w:rsidR="00CA6A9D" w:rsidRPr="00EA224A">
        <w:rPr>
          <w:rFonts w:ascii="Times New Roman" w:hAnsi="Times New Roman" w:cs="Times New Roman"/>
        </w:rPr>
        <w:instrText xml:space="preserve"> v. Pennsylvania Gas &amp; Water Co., 68 Pa</w:instrText>
      </w:r>
      <w:r w:rsidR="00553062">
        <w:rPr>
          <w:rFonts w:ascii="Times New Roman" w:hAnsi="Times New Roman" w:cs="Times New Roman"/>
        </w:rPr>
        <w:instrText xml:space="preserve"> </w:instrText>
      </w:r>
      <w:r w:rsidR="00CA6A9D" w:rsidRPr="00EA224A">
        <w:rPr>
          <w:rFonts w:ascii="Times New Roman" w:hAnsi="Times New Roman" w:cs="Times New Roman"/>
        </w:rPr>
        <w:instrText xml:space="preserve">PUC 191, 195-96 (1988)" \c 8 </w:instrText>
      </w:r>
      <w:r w:rsidR="00CA6A9D" w:rsidRPr="00EA224A">
        <w:rPr>
          <w:rFonts w:ascii="Times New Roman" w:hAnsi="Times New Roman" w:cs="Times New Roman"/>
        </w:rPr>
        <w:fldChar w:fldCharType="end"/>
      </w:r>
      <w:r w:rsidR="00CA6A9D" w:rsidRPr="00EA224A">
        <w:rPr>
          <w:rFonts w:ascii="Times New Roman" w:hAnsi="Times New Roman" w:cs="Times New Roman"/>
        </w:rPr>
        <w:t xml:space="preserve">.  </w:t>
      </w:r>
      <w:r w:rsidRPr="00EA224A">
        <w:rPr>
          <w:rFonts w:ascii="Times New Roman" w:hAnsi="Times New Roman" w:cs="Times New Roman"/>
        </w:rPr>
        <w:t>A</w:t>
      </w:r>
      <w:r w:rsidR="00CA6A9D" w:rsidRPr="00EA224A">
        <w:rPr>
          <w:rFonts w:ascii="Times New Roman" w:hAnsi="Times New Roman" w:cs="Times New Roman"/>
        </w:rPr>
        <w:t xml:space="preserve"> utility must be doing more than providing efficient and reasonable service in order to receive more than the indicated ra</w:t>
      </w:r>
      <w:r w:rsidR="00A76EBC">
        <w:rPr>
          <w:rFonts w:ascii="Times New Roman" w:hAnsi="Times New Roman" w:cs="Times New Roman"/>
        </w:rPr>
        <w:t>te of return pursuant to 66 Pa.</w:t>
      </w:r>
      <w:r w:rsidR="00CA6A9D" w:rsidRPr="00EA224A">
        <w:rPr>
          <w:rFonts w:ascii="Times New Roman" w:hAnsi="Times New Roman" w:cs="Times New Roman"/>
        </w:rPr>
        <w:t>C.S. § 523</w:t>
      </w:r>
      <w:r w:rsidR="00CA6A9D" w:rsidRPr="00EA224A">
        <w:rPr>
          <w:rFonts w:ascii="Times New Roman" w:hAnsi="Times New Roman" w:cs="Times New Roman"/>
        </w:rPr>
        <w:fldChar w:fldCharType="begin"/>
      </w:r>
      <w:r w:rsidR="00A76EBC">
        <w:rPr>
          <w:rFonts w:ascii="Times New Roman" w:hAnsi="Times New Roman" w:cs="Times New Roman"/>
        </w:rPr>
        <w:instrText xml:space="preserve"> TA \s "66 Pa.</w:instrText>
      </w:r>
      <w:r w:rsidR="00CA6A9D" w:rsidRPr="00EA224A">
        <w:rPr>
          <w:rFonts w:ascii="Times New Roman" w:hAnsi="Times New Roman" w:cs="Times New Roman"/>
        </w:rPr>
        <w:instrText xml:space="preserve">C.S. § 523" </w:instrText>
      </w:r>
      <w:r w:rsidR="00CA6A9D" w:rsidRPr="00EA224A">
        <w:rPr>
          <w:rFonts w:ascii="Times New Roman" w:hAnsi="Times New Roman" w:cs="Times New Roman"/>
        </w:rPr>
        <w:fldChar w:fldCharType="end"/>
      </w:r>
      <w:r w:rsidR="00CA6A9D" w:rsidRPr="00EA224A">
        <w:rPr>
          <w:rFonts w:ascii="Times New Roman" w:hAnsi="Times New Roman" w:cs="Times New Roman"/>
        </w:rPr>
        <w:t>.</w:t>
      </w:r>
    </w:p>
    <w:p w:rsidR="00CA6A9D" w:rsidRPr="00EA224A" w:rsidRDefault="00CA6A9D" w:rsidP="004272F2">
      <w:pPr>
        <w:spacing w:line="360" w:lineRule="auto"/>
        <w:ind w:firstLine="720"/>
        <w:contextualSpacing/>
        <w:rPr>
          <w:rFonts w:ascii="Times New Roman" w:hAnsi="Times New Roman" w:cs="Times New Roman"/>
        </w:rPr>
      </w:pPr>
    </w:p>
    <w:p w:rsidR="009D3F59" w:rsidRPr="00EA224A" w:rsidRDefault="005D36C2" w:rsidP="004272F2">
      <w:pPr>
        <w:spacing w:line="360" w:lineRule="auto"/>
        <w:ind w:firstLine="720"/>
        <w:contextualSpacing/>
        <w:rPr>
          <w:rFonts w:ascii="Times New Roman" w:hAnsi="Times New Roman" w:cs="Times New Roman"/>
          <w:color w:val="000000"/>
        </w:rPr>
      </w:pPr>
      <w:r w:rsidRPr="00EA224A">
        <w:rPr>
          <w:rFonts w:ascii="Times New Roman" w:hAnsi="Times New Roman" w:cs="Times New Roman"/>
        </w:rPr>
        <w:tab/>
        <w:t>I</w:t>
      </w:r>
      <w:r w:rsidR="00CA6A9D" w:rsidRPr="00EA224A">
        <w:rPr>
          <w:rFonts w:ascii="Times New Roman" w:hAnsi="Times New Roman" w:cs="Times New Roman"/>
        </w:rPr>
        <w:t xml:space="preserve">n </w:t>
      </w:r>
      <w:r w:rsidRPr="00EA224A">
        <w:rPr>
          <w:rFonts w:ascii="Times New Roman" w:hAnsi="Times New Roman" w:cs="Times New Roman"/>
        </w:rPr>
        <w:t xml:space="preserve">this case, </w:t>
      </w:r>
      <w:r w:rsidR="00CA6A9D" w:rsidRPr="00EA224A">
        <w:rPr>
          <w:rFonts w:ascii="Times New Roman" w:hAnsi="Times New Roman" w:cs="Times New Roman"/>
        </w:rPr>
        <w:t xml:space="preserve">the evidence provided by </w:t>
      </w:r>
      <w:r w:rsidRPr="00EA224A">
        <w:rPr>
          <w:rFonts w:ascii="Times New Roman" w:hAnsi="Times New Roman" w:cs="Times New Roman"/>
        </w:rPr>
        <w:t>Columbia</w:t>
      </w:r>
      <w:r w:rsidR="00CA6A9D" w:rsidRPr="00EA224A">
        <w:rPr>
          <w:rFonts w:ascii="Times New Roman" w:hAnsi="Times New Roman" w:cs="Times New Roman"/>
        </w:rPr>
        <w:t xml:space="preserve"> show</w:t>
      </w:r>
      <w:r w:rsidRPr="00EA224A">
        <w:rPr>
          <w:rFonts w:ascii="Times New Roman" w:hAnsi="Times New Roman" w:cs="Times New Roman"/>
        </w:rPr>
        <w:t>s</w:t>
      </w:r>
      <w:r w:rsidR="00CA6A9D" w:rsidRPr="00EA224A">
        <w:rPr>
          <w:rFonts w:ascii="Times New Roman" w:hAnsi="Times New Roman" w:cs="Times New Roman"/>
        </w:rPr>
        <w:t xml:space="preserve"> compliance with Commission requirements and policies, </w:t>
      </w:r>
      <w:r w:rsidR="00CA6A9D" w:rsidRPr="00EA224A">
        <w:rPr>
          <w:rFonts w:ascii="Times New Roman" w:hAnsi="Times New Roman" w:cs="Times New Roman"/>
          <w:i/>
        </w:rPr>
        <w:t>i.e.</w:t>
      </w:r>
      <w:r w:rsidR="00CA6A9D" w:rsidRPr="00EA224A">
        <w:rPr>
          <w:rFonts w:ascii="Times New Roman" w:hAnsi="Times New Roman" w:cs="Times New Roman"/>
        </w:rPr>
        <w:t xml:space="preserve"> reasonable and adequate service, </w:t>
      </w:r>
      <w:r w:rsidRPr="00EA224A">
        <w:rPr>
          <w:rFonts w:ascii="Times New Roman" w:hAnsi="Times New Roman" w:cs="Times New Roman"/>
        </w:rPr>
        <w:t xml:space="preserve">but it does not even support a </w:t>
      </w:r>
      <w:r w:rsidR="00CA6A9D" w:rsidRPr="00EA224A">
        <w:rPr>
          <w:rFonts w:ascii="Times New Roman" w:hAnsi="Times New Roman" w:cs="Times New Roman"/>
        </w:rPr>
        <w:t>rate adjustment</w:t>
      </w:r>
      <w:r w:rsidRPr="00EA224A">
        <w:rPr>
          <w:rFonts w:ascii="Times New Roman" w:hAnsi="Times New Roman" w:cs="Times New Roman"/>
        </w:rPr>
        <w:t xml:space="preserve"> in the amount requested</w:t>
      </w:r>
      <w:r w:rsidR="00CA6A9D" w:rsidRPr="00EA224A">
        <w:rPr>
          <w:rFonts w:ascii="Times New Roman" w:hAnsi="Times New Roman" w:cs="Times New Roman"/>
        </w:rPr>
        <w:t>.  Columbia provided testimony regarding its compliance with state and federal drinking water standards</w:t>
      </w:r>
      <w:r w:rsidRPr="00EA224A">
        <w:rPr>
          <w:rFonts w:ascii="Times New Roman" w:hAnsi="Times New Roman" w:cs="Times New Roman"/>
        </w:rPr>
        <w:t xml:space="preserve">.  </w:t>
      </w:r>
      <w:r w:rsidR="00CA6A9D" w:rsidRPr="00EA224A">
        <w:rPr>
          <w:rFonts w:ascii="Times New Roman" w:hAnsi="Times New Roman" w:cs="Times New Roman"/>
          <w:color w:val="000000"/>
        </w:rPr>
        <w:t>T</w:t>
      </w:r>
      <w:r w:rsidR="00CA6A9D" w:rsidRPr="00EA224A">
        <w:rPr>
          <w:rFonts w:ascii="Times New Roman" w:hAnsi="Times New Roman" w:cs="Times New Roman"/>
        </w:rPr>
        <w:t xml:space="preserve">he evidence regarding </w:t>
      </w:r>
      <w:r w:rsidR="00CA6A9D" w:rsidRPr="00EA224A">
        <w:rPr>
          <w:rFonts w:ascii="Times New Roman" w:hAnsi="Times New Roman" w:cs="Times New Roman"/>
          <w:color w:val="000000"/>
        </w:rPr>
        <w:t>Columbia’s adequacy of service and water quality</w:t>
      </w:r>
      <w:r w:rsidR="00CA6A9D" w:rsidRPr="00EA224A">
        <w:rPr>
          <w:rFonts w:ascii="Times New Roman" w:hAnsi="Times New Roman" w:cs="Times New Roman"/>
        </w:rPr>
        <w:t xml:space="preserve"> is not sufficient to warrant </w:t>
      </w:r>
      <w:r w:rsidR="001A2D9F">
        <w:rPr>
          <w:rFonts w:ascii="Times New Roman" w:hAnsi="Times New Roman" w:cs="Times New Roman"/>
          <w:color w:val="000000"/>
        </w:rPr>
        <w:t>a rate of return premium of </w:t>
      </w:r>
      <w:r w:rsidR="00CA6A9D" w:rsidRPr="00EA224A">
        <w:rPr>
          <w:rFonts w:ascii="Times New Roman" w:hAnsi="Times New Roman" w:cs="Times New Roman"/>
          <w:color w:val="000000"/>
        </w:rPr>
        <w:t>0.25%.</w:t>
      </w:r>
    </w:p>
    <w:p w:rsidR="00CA6A9D" w:rsidRPr="00EA224A" w:rsidRDefault="00CA6A9D" w:rsidP="004272F2">
      <w:pPr>
        <w:spacing w:line="360" w:lineRule="auto"/>
        <w:ind w:firstLine="720"/>
        <w:contextualSpacing/>
        <w:rPr>
          <w:rFonts w:ascii="Times New Roman" w:hAnsi="Times New Roman" w:cs="Times New Roman"/>
          <w:color w:val="000000"/>
        </w:rPr>
      </w:pPr>
    </w:p>
    <w:p w:rsidR="00CA6A9D" w:rsidRPr="00EA224A" w:rsidRDefault="005D36C2" w:rsidP="004272F2">
      <w:pPr>
        <w:spacing w:line="360" w:lineRule="auto"/>
        <w:ind w:firstLine="720"/>
        <w:contextualSpacing/>
        <w:rPr>
          <w:rFonts w:ascii="Times New Roman" w:hAnsi="Times New Roman" w:cs="Times New Roman"/>
        </w:rPr>
      </w:pPr>
      <w:r w:rsidRPr="00EA224A">
        <w:rPr>
          <w:rFonts w:ascii="Times New Roman" w:hAnsi="Times New Roman" w:cs="Times New Roman"/>
        </w:rPr>
        <w:tab/>
      </w:r>
      <w:r w:rsidR="00CA6A9D" w:rsidRPr="00EA224A">
        <w:rPr>
          <w:rFonts w:ascii="Times New Roman" w:hAnsi="Times New Roman" w:cs="Times New Roman"/>
        </w:rPr>
        <w:t xml:space="preserve">Columbia also notes actions taken to minimize expenses and use existing staff efficiently, like finding ways to reduce chemical and electric costs and consumption, extending and repairing mains in-house rather than contracting those services, and establishing an electronic billing and payment program.  CWC St. 1 at 7-8; OCA St. 1 at 19-20.  In the 2008 case, Columbia noted that it had minimized staffing, taken steps to keep its operating expenses at the lowest responsible level, invested heavily in water system improvements and capital additions to insure the continued provision of quality water service and negotiated with cellular phone service providers for the rental of Company space for cellular towers, resulting in annual income of $44,000.  </w:t>
      </w:r>
      <w:r w:rsidRPr="00EA224A">
        <w:rPr>
          <w:rFonts w:ascii="Times New Roman" w:hAnsi="Times New Roman" w:cs="Times New Roman"/>
        </w:rPr>
        <w:t>T</w:t>
      </w:r>
      <w:r w:rsidR="00CA6A9D" w:rsidRPr="00EA224A">
        <w:rPr>
          <w:rFonts w:ascii="Times New Roman" w:hAnsi="Times New Roman" w:cs="Times New Roman"/>
        </w:rPr>
        <w:t>he evidence does not show that Columbia has done more than provide efficient and reasonable service and no adjustment to the indicate</w:t>
      </w:r>
      <w:r w:rsidR="009A1B32">
        <w:rPr>
          <w:rFonts w:ascii="Times New Roman" w:hAnsi="Times New Roman" w:cs="Times New Roman"/>
        </w:rPr>
        <w:t>d rate of return is warranted.</w:t>
      </w:r>
    </w:p>
    <w:p w:rsidR="005D36C2" w:rsidRPr="00EA224A" w:rsidRDefault="005D36C2" w:rsidP="004272F2">
      <w:pPr>
        <w:spacing w:line="360" w:lineRule="auto"/>
        <w:ind w:firstLine="720"/>
        <w:contextualSpacing/>
        <w:rPr>
          <w:rFonts w:ascii="Times New Roman" w:hAnsi="Times New Roman" w:cs="Times New Roman"/>
        </w:rPr>
      </w:pPr>
    </w:p>
    <w:p w:rsidR="00CA6A9D" w:rsidRPr="00EA224A" w:rsidRDefault="00CA6A9D" w:rsidP="004272F2">
      <w:pPr>
        <w:tabs>
          <w:tab w:val="left" w:pos="-720"/>
        </w:tabs>
        <w:suppressAutoHyphens/>
        <w:spacing w:line="360" w:lineRule="auto"/>
        <w:contextualSpacing/>
        <w:rPr>
          <w:rFonts w:ascii="Times New Roman" w:hAnsi="Times New Roman" w:cs="Times New Roman"/>
        </w:rPr>
      </w:pPr>
      <w:r w:rsidRPr="00EA224A">
        <w:rPr>
          <w:rFonts w:ascii="Times New Roman" w:hAnsi="Times New Roman" w:cs="Times New Roman"/>
        </w:rPr>
        <w:tab/>
      </w:r>
      <w:r w:rsidR="005D36C2" w:rsidRPr="00EA224A">
        <w:rPr>
          <w:rFonts w:ascii="Times New Roman" w:hAnsi="Times New Roman" w:cs="Times New Roman"/>
        </w:rPr>
        <w:tab/>
      </w:r>
      <w:r w:rsidRPr="00EA224A">
        <w:rPr>
          <w:rFonts w:ascii="Times New Roman" w:hAnsi="Times New Roman" w:cs="Times New Roman"/>
        </w:rPr>
        <w:t xml:space="preserve">Columbia asserts that extensions of service to Manor and West Hempfield Townships support a rate of return premium.  CWC St. 1 at 7-8.  The same evidence regarding extensions to Manor Township was presented in the 2008 rate case.  </w:t>
      </w:r>
      <w:r w:rsidRPr="00EA224A">
        <w:rPr>
          <w:rFonts w:ascii="Times New Roman" w:hAnsi="Times New Roman" w:cs="Times New Roman"/>
          <w:i/>
        </w:rPr>
        <w:t xml:space="preserve">2008 </w:t>
      </w:r>
      <w:r w:rsidR="009D6DB8" w:rsidRPr="00EA224A">
        <w:rPr>
          <w:rFonts w:ascii="Times New Roman" w:hAnsi="Times New Roman" w:cs="Times New Roman"/>
          <w:i/>
        </w:rPr>
        <w:t>Rate Case</w:t>
      </w:r>
      <w:r w:rsidR="009D6DB8" w:rsidRPr="00EA224A">
        <w:rPr>
          <w:rFonts w:ascii="Times New Roman" w:hAnsi="Times New Roman" w:cs="Times New Roman"/>
        </w:rPr>
        <w:t xml:space="preserve"> </w:t>
      </w:r>
      <w:r w:rsidRPr="00EA224A">
        <w:rPr>
          <w:rFonts w:ascii="Times New Roman" w:hAnsi="Times New Roman" w:cs="Times New Roman"/>
        </w:rPr>
        <w:t>Order</w:t>
      </w:r>
      <w:r w:rsidRPr="00EA224A">
        <w:rPr>
          <w:rFonts w:ascii="Times New Roman" w:hAnsi="Times New Roman" w:cs="Times New Roman"/>
        </w:rPr>
        <w:fldChar w:fldCharType="begin"/>
      </w:r>
      <w:r w:rsidR="00164493">
        <w:rPr>
          <w:rFonts w:ascii="Times New Roman" w:hAnsi="Times New Roman" w:cs="Times New Roman"/>
        </w:rPr>
        <w:instrText xml:space="preserve"> TA \s "Pa. PUC</w:instrText>
      </w:r>
      <w:r w:rsidRPr="00EA224A">
        <w:rPr>
          <w:rFonts w:ascii="Times New Roman" w:hAnsi="Times New Roman" w:cs="Times New Roman"/>
        </w:rPr>
        <w:instrText xml:space="preserve"> v. Columbia Water Co., R-2008-2045157, Order at 91-92 (June 10, 2009)" </w:instrText>
      </w:r>
      <w:r w:rsidRPr="00EA224A">
        <w:rPr>
          <w:rFonts w:ascii="Times New Roman" w:hAnsi="Times New Roman" w:cs="Times New Roman"/>
        </w:rPr>
        <w:fldChar w:fldCharType="end"/>
      </w:r>
      <w:r w:rsidR="00164493">
        <w:rPr>
          <w:rFonts w:ascii="Times New Roman" w:hAnsi="Times New Roman" w:cs="Times New Roman"/>
        </w:rPr>
        <w:t xml:space="preserve"> at 88; </w:t>
      </w:r>
      <w:r w:rsidRPr="00EA224A">
        <w:rPr>
          <w:rFonts w:ascii="Times New Roman" w:hAnsi="Times New Roman" w:cs="Times New Roman"/>
          <w:i/>
        </w:rPr>
        <w:t>2008 RD</w:t>
      </w:r>
      <w:r w:rsidRPr="00EA224A">
        <w:rPr>
          <w:rFonts w:ascii="Times New Roman" w:hAnsi="Times New Roman" w:cs="Times New Roman"/>
          <w:i/>
        </w:rPr>
        <w:fldChar w:fldCharType="begin"/>
      </w:r>
      <w:r w:rsidRPr="00EA224A">
        <w:rPr>
          <w:rFonts w:ascii="Times New Roman" w:hAnsi="Times New Roman" w:cs="Times New Roman"/>
          <w:i/>
        </w:rPr>
        <w:instrText xml:space="preserve"> TA \s "Recommended Decision at 67 (Mar. 20, 2009)" </w:instrText>
      </w:r>
      <w:r w:rsidRPr="00EA224A">
        <w:rPr>
          <w:rFonts w:ascii="Times New Roman" w:hAnsi="Times New Roman" w:cs="Times New Roman"/>
          <w:i/>
        </w:rPr>
        <w:fldChar w:fldCharType="end"/>
      </w:r>
      <w:r w:rsidRPr="00EA224A">
        <w:rPr>
          <w:rFonts w:ascii="Times New Roman" w:hAnsi="Times New Roman" w:cs="Times New Roman"/>
        </w:rPr>
        <w:t xml:space="preserve"> at 64.  The Commission agreed with the ALJ’s conclusion that Columbia did not provide sufficient evidence to warrant a positive management performance factor adjustment. </w:t>
      </w:r>
      <w:r w:rsidR="008743D2">
        <w:rPr>
          <w:rFonts w:ascii="Times New Roman" w:hAnsi="Times New Roman" w:cs="Times New Roman"/>
        </w:rPr>
        <w:t xml:space="preserve"> </w:t>
      </w:r>
      <w:r w:rsidRPr="00EA224A">
        <w:rPr>
          <w:rFonts w:ascii="Times New Roman" w:hAnsi="Times New Roman" w:cs="Times New Roman"/>
          <w:i/>
        </w:rPr>
        <w:t>2008</w:t>
      </w:r>
      <w:r w:rsidR="009D6DB8" w:rsidRPr="00EA224A">
        <w:rPr>
          <w:rFonts w:ascii="Times New Roman" w:hAnsi="Times New Roman" w:cs="Times New Roman"/>
          <w:i/>
        </w:rPr>
        <w:t xml:space="preserve"> Rate Case</w:t>
      </w:r>
      <w:r w:rsidRPr="00EA224A">
        <w:rPr>
          <w:rFonts w:ascii="Times New Roman" w:hAnsi="Times New Roman" w:cs="Times New Roman"/>
          <w:i/>
        </w:rPr>
        <w:t xml:space="preserve"> Orde</w:t>
      </w:r>
      <w:r w:rsidRPr="00EA224A">
        <w:rPr>
          <w:rFonts w:ascii="Times New Roman" w:hAnsi="Times New Roman" w:cs="Times New Roman"/>
          <w:i/>
        </w:rPr>
        <w:fldChar w:fldCharType="begin"/>
      </w:r>
      <w:r w:rsidRPr="00EA224A">
        <w:rPr>
          <w:rFonts w:ascii="Times New Roman" w:hAnsi="Times New Roman" w:cs="Times New Roman"/>
          <w:i/>
        </w:rPr>
        <w:instrText xml:space="preserve"> TA \s</w:instrText>
      </w:r>
      <w:r w:rsidR="008743D2">
        <w:rPr>
          <w:rFonts w:ascii="Times New Roman" w:hAnsi="Times New Roman" w:cs="Times New Roman"/>
          <w:i/>
        </w:rPr>
        <w:instrText xml:space="preserve"> "Pa. PUC</w:instrText>
      </w:r>
      <w:r w:rsidRPr="00EA224A">
        <w:rPr>
          <w:rFonts w:ascii="Times New Roman" w:hAnsi="Times New Roman" w:cs="Times New Roman"/>
          <w:i/>
        </w:rPr>
        <w:instrText xml:space="preserve"> v. Columbia Water Co., R-2008-2045157, Order at 91-92 (June 10, 2009)" </w:instrText>
      </w:r>
      <w:r w:rsidRPr="00EA224A">
        <w:rPr>
          <w:rFonts w:ascii="Times New Roman" w:hAnsi="Times New Roman" w:cs="Times New Roman"/>
          <w:i/>
        </w:rPr>
        <w:fldChar w:fldCharType="end"/>
      </w:r>
      <w:r w:rsidRPr="00EA224A">
        <w:rPr>
          <w:rFonts w:ascii="Times New Roman" w:hAnsi="Times New Roman" w:cs="Times New Roman"/>
          <w:i/>
        </w:rPr>
        <w:t>r</w:t>
      </w:r>
      <w:r w:rsidRPr="00EA224A">
        <w:rPr>
          <w:rFonts w:ascii="Times New Roman" w:hAnsi="Times New Roman" w:cs="Times New Roman"/>
        </w:rPr>
        <w:t xml:space="preserve"> at 93; </w:t>
      </w:r>
      <w:r w:rsidRPr="00EA224A">
        <w:rPr>
          <w:rFonts w:ascii="Times New Roman" w:hAnsi="Times New Roman" w:cs="Times New Roman"/>
          <w:i/>
        </w:rPr>
        <w:t>2008 RD</w:t>
      </w:r>
      <w:r w:rsidR="008743D2">
        <w:rPr>
          <w:rFonts w:ascii="Times New Roman" w:hAnsi="Times New Roman" w:cs="Times New Roman"/>
        </w:rPr>
        <w:t xml:space="preserve"> at </w:t>
      </w:r>
      <w:r w:rsidRPr="00EA224A">
        <w:rPr>
          <w:rFonts w:ascii="Times New Roman" w:hAnsi="Times New Roman" w:cs="Times New Roman"/>
        </w:rPr>
        <w:t>67.  Specifically, the ALJ stated:</w:t>
      </w:r>
    </w:p>
    <w:p w:rsidR="00EA6965" w:rsidRPr="00EA224A" w:rsidRDefault="00EA6965" w:rsidP="004272F2">
      <w:pPr>
        <w:tabs>
          <w:tab w:val="left" w:pos="-720"/>
        </w:tabs>
        <w:suppressAutoHyphens/>
        <w:spacing w:line="360" w:lineRule="auto"/>
        <w:contextualSpacing/>
        <w:rPr>
          <w:rFonts w:ascii="Times New Roman" w:hAnsi="Times New Roman" w:cs="Times New Roman"/>
        </w:rPr>
      </w:pPr>
    </w:p>
    <w:p w:rsidR="009D3F59" w:rsidRPr="00EA224A" w:rsidRDefault="00CA6A9D" w:rsidP="004272F2">
      <w:pPr>
        <w:ind w:left="1440" w:right="1440"/>
        <w:contextualSpacing/>
        <w:rPr>
          <w:rFonts w:ascii="Times New Roman" w:hAnsi="Times New Roman" w:cs="Times New Roman"/>
        </w:rPr>
      </w:pPr>
      <w:r w:rsidRPr="00EA224A">
        <w:rPr>
          <w:rFonts w:ascii="Times New Roman" w:hAnsi="Times New Roman" w:cs="Times New Roman"/>
        </w:rPr>
        <w:t>With regard to the extensions of its franchise territory the evidence indicates that Columbia is providing adequate, reasonable service.  These franchise expansions evidence Columbia’s efforts toward promoting regionalization of water service.  This only complies with stated Commissi</w:t>
      </w:r>
      <w:r w:rsidR="00EA11BC">
        <w:rPr>
          <w:rFonts w:ascii="Times New Roman" w:hAnsi="Times New Roman" w:cs="Times New Roman"/>
        </w:rPr>
        <w:t>on policies set forth at 52 Pa.Code § </w:t>
      </w:r>
      <w:r w:rsidRPr="00EA224A">
        <w:rPr>
          <w:rFonts w:ascii="Times New Roman" w:hAnsi="Times New Roman" w:cs="Times New Roman"/>
        </w:rPr>
        <w:t>69.711(a).  This is not sufficient to warrant a rate of return premium of 0.25%.  Accordingly, the Commission should deny the requested 25 basis point adjustment related to management efficiency.</w:t>
      </w:r>
      <w:r w:rsidR="00EB049A" w:rsidRPr="00EA224A">
        <w:rPr>
          <w:rFonts w:ascii="Times New Roman" w:hAnsi="Times New Roman" w:cs="Times New Roman"/>
        </w:rPr>
        <w:t xml:space="preserve"> </w:t>
      </w:r>
      <w:r w:rsidR="00EA11BC">
        <w:rPr>
          <w:rFonts w:ascii="Times New Roman" w:hAnsi="Times New Roman" w:cs="Times New Roman"/>
        </w:rPr>
        <w:t xml:space="preserve"> </w:t>
      </w:r>
      <w:r w:rsidRPr="00EA224A">
        <w:rPr>
          <w:rFonts w:ascii="Times New Roman" w:hAnsi="Times New Roman" w:cs="Times New Roman"/>
          <w:i/>
        </w:rPr>
        <w:t>2008 RD</w:t>
      </w:r>
      <w:r w:rsidRPr="00EA224A">
        <w:rPr>
          <w:rFonts w:ascii="Times New Roman" w:hAnsi="Times New Roman" w:cs="Times New Roman"/>
          <w:u w:val="single"/>
        </w:rPr>
        <w:fldChar w:fldCharType="begin"/>
      </w:r>
      <w:r w:rsidRPr="00EA224A">
        <w:rPr>
          <w:rFonts w:ascii="Times New Roman" w:hAnsi="Times New Roman" w:cs="Times New Roman"/>
        </w:rPr>
        <w:instrText xml:space="preserve"> TA \s "R</w:instrText>
      </w:r>
      <w:r w:rsidR="00EA11BC">
        <w:rPr>
          <w:rFonts w:ascii="Times New Roman" w:hAnsi="Times New Roman" w:cs="Times New Roman"/>
        </w:rPr>
        <w:instrText>ecommended Decision at 67 (Mar. 20, </w:instrText>
      </w:r>
      <w:r w:rsidRPr="00EA224A">
        <w:rPr>
          <w:rFonts w:ascii="Times New Roman" w:hAnsi="Times New Roman" w:cs="Times New Roman"/>
        </w:rPr>
        <w:instrText xml:space="preserve">2009)" </w:instrText>
      </w:r>
      <w:r w:rsidRPr="00EA224A">
        <w:rPr>
          <w:rFonts w:ascii="Times New Roman" w:hAnsi="Times New Roman" w:cs="Times New Roman"/>
          <w:u w:val="single"/>
        </w:rPr>
        <w:fldChar w:fldCharType="end"/>
      </w:r>
      <w:r w:rsidRPr="00EA224A">
        <w:rPr>
          <w:rFonts w:ascii="Times New Roman" w:hAnsi="Times New Roman" w:cs="Times New Roman"/>
        </w:rPr>
        <w:t xml:space="preserve"> at 67.</w:t>
      </w:r>
    </w:p>
    <w:p w:rsidR="00CA6A9D" w:rsidRPr="00EA224A" w:rsidRDefault="00CA6A9D" w:rsidP="004272F2">
      <w:pPr>
        <w:tabs>
          <w:tab w:val="left" w:pos="-720"/>
        </w:tabs>
        <w:suppressAutoHyphens/>
        <w:spacing w:line="360" w:lineRule="auto"/>
        <w:contextualSpacing/>
        <w:rPr>
          <w:rFonts w:ascii="Times New Roman" w:hAnsi="Times New Roman" w:cs="Times New Roman"/>
        </w:rPr>
      </w:pPr>
    </w:p>
    <w:p w:rsidR="00CA6A9D" w:rsidRPr="00EA224A" w:rsidRDefault="00CA6A9D" w:rsidP="004272F2">
      <w:pPr>
        <w:tabs>
          <w:tab w:val="left" w:pos="-720"/>
        </w:tabs>
        <w:suppressAutoHyphens/>
        <w:spacing w:line="360" w:lineRule="auto"/>
        <w:contextualSpacing/>
        <w:rPr>
          <w:rFonts w:ascii="Times New Roman" w:hAnsi="Times New Roman" w:cs="Times New Roman"/>
        </w:rPr>
      </w:pPr>
      <w:r w:rsidRPr="00EA224A">
        <w:rPr>
          <w:rFonts w:ascii="Times New Roman" w:hAnsi="Times New Roman" w:cs="Times New Roman"/>
        </w:rPr>
        <w:tab/>
      </w:r>
      <w:r w:rsidR="005D36C2" w:rsidRPr="00EA224A">
        <w:rPr>
          <w:rFonts w:ascii="Times New Roman" w:hAnsi="Times New Roman" w:cs="Times New Roman"/>
        </w:rPr>
        <w:tab/>
      </w:r>
      <w:r w:rsidRPr="00EA224A">
        <w:rPr>
          <w:rFonts w:ascii="Times New Roman" w:hAnsi="Times New Roman" w:cs="Times New Roman"/>
        </w:rPr>
        <w:t xml:space="preserve">The OCA notes that Columbia raises its acquisition of the Marietta system as support of its management efficiency and its “track record” of acquisitions.  </w:t>
      </w:r>
      <w:r w:rsidR="005D36C2" w:rsidRPr="00EA224A">
        <w:rPr>
          <w:rFonts w:ascii="Times New Roman" w:hAnsi="Times New Roman" w:cs="Times New Roman"/>
        </w:rPr>
        <w:t>Section 69.721(g) provides that a rate of return premium may be requested where an acquisition (1) falls outs</w:t>
      </w:r>
      <w:r w:rsidR="00EA11BC">
        <w:rPr>
          <w:rFonts w:ascii="Times New Roman" w:hAnsi="Times New Roman" w:cs="Times New Roman"/>
        </w:rPr>
        <w:t>ide of the parameters of 66 Pa.</w:t>
      </w:r>
      <w:r w:rsidR="005D36C2" w:rsidRPr="00EA224A">
        <w:rPr>
          <w:rFonts w:ascii="Times New Roman" w:hAnsi="Times New Roman" w:cs="Times New Roman"/>
        </w:rPr>
        <w:t>C.S. § 1327 and (2) the utility has a “demonstrated track record of acquiring and improving the service provided to the customers of smaller and less viable water systems.”  I agree with the OCA that Columbia’s acquisition of Marietta does not satisfy the requirements of Section 1327.  Columbia has not established that Marietta was a less viable system or that it has improved service to those customers as envisioned by Section 69.721.  The testimony of OCA witnesses Everette and Fought show that Marietta was not less viable than Columbia, nor has Columbia identified any improvements that the Marietta system needed at the time of acquisition that, if not completed, would jeopardize the adequacy of service.  OCA St. 1 at 19-20; OCA St. 3 at 4.</w:t>
      </w:r>
    </w:p>
    <w:p w:rsidR="006A690C" w:rsidRPr="00EA224A" w:rsidRDefault="006A690C" w:rsidP="00047866">
      <w:pPr>
        <w:tabs>
          <w:tab w:val="left" w:pos="-720"/>
        </w:tabs>
        <w:suppressAutoHyphens/>
        <w:spacing w:line="360" w:lineRule="auto"/>
        <w:contextualSpacing/>
        <w:jc w:val="both"/>
        <w:rPr>
          <w:rFonts w:ascii="Times New Roman" w:hAnsi="Times New Roman" w:cs="Times New Roman"/>
        </w:rPr>
      </w:pPr>
    </w:p>
    <w:p w:rsidR="006A690C" w:rsidRPr="00EA224A" w:rsidRDefault="00F80883" w:rsidP="004272F2">
      <w:pPr>
        <w:tabs>
          <w:tab w:val="left" w:pos="-720"/>
        </w:tabs>
        <w:suppressAutoHyphens/>
        <w:spacing w:line="360" w:lineRule="auto"/>
        <w:contextualSpacing/>
        <w:rPr>
          <w:rFonts w:ascii="Times New Roman" w:hAnsi="Times New Roman" w:cs="Times New Roman"/>
        </w:rPr>
      </w:pPr>
      <w:r w:rsidRPr="00EA224A">
        <w:rPr>
          <w:rFonts w:ascii="Times New Roman" w:hAnsi="Times New Roman" w:cs="Times New Roman"/>
        </w:rPr>
        <w:t>H</w:t>
      </w:r>
      <w:r w:rsidR="006A690C" w:rsidRPr="00EA224A">
        <w:rPr>
          <w:rFonts w:ascii="Times New Roman" w:hAnsi="Times New Roman" w:cs="Times New Roman"/>
        </w:rPr>
        <w:t>.</w:t>
      </w:r>
      <w:r w:rsidR="006A690C" w:rsidRPr="00EA224A">
        <w:rPr>
          <w:rFonts w:ascii="Times New Roman" w:hAnsi="Times New Roman" w:cs="Times New Roman"/>
        </w:rPr>
        <w:tab/>
        <w:t>Rate Structure</w:t>
      </w:r>
      <w:r w:rsidR="000E74AA">
        <w:rPr>
          <w:rFonts w:ascii="Times New Roman" w:hAnsi="Times New Roman" w:cs="Times New Roman"/>
        </w:rPr>
        <w:fldChar w:fldCharType="begin"/>
      </w:r>
      <w:r w:rsidR="000E74AA">
        <w:instrText xml:space="preserve"> TC "</w:instrText>
      </w:r>
      <w:bookmarkStart w:id="51" w:name="_Toc372704712"/>
      <w:r w:rsidR="000E74AA" w:rsidRPr="00831096">
        <w:rPr>
          <w:rFonts w:ascii="Times New Roman" w:hAnsi="Times New Roman" w:cs="Times New Roman"/>
        </w:rPr>
        <w:instrText>H.</w:instrText>
      </w:r>
      <w:r w:rsidR="000E74AA" w:rsidRPr="00831096">
        <w:rPr>
          <w:rFonts w:ascii="Times New Roman" w:hAnsi="Times New Roman" w:cs="Times New Roman"/>
        </w:rPr>
        <w:tab/>
        <w:instrText>Rate Structure</w:instrText>
      </w:r>
      <w:bookmarkEnd w:id="51"/>
      <w:r w:rsidR="000E74AA">
        <w:instrText xml:space="preserve">" \f C \l "2" </w:instrText>
      </w:r>
      <w:r w:rsidR="000E74AA">
        <w:rPr>
          <w:rFonts w:ascii="Times New Roman" w:hAnsi="Times New Roman" w:cs="Times New Roman"/>
        </w:rPr>
        <w:fldChar w:fldCharType="end"/>
      </w:r>
    </w:p>
    <w:p w:rsidR="006A690C" w:rsidRPr="00EA224A" w:rsidRDefault="006A690C" w:rsidP="004272F2">
      <w:pPr>
        <w:tabs>
          <w:tab w:val="left" w:pos="-720"/>
        </w:tabs>
        <w:suppressAutoHyphens/>
        <w:spacing w:line="360" w:lineRule="auto"/>
        <w:contextualSpacing/>
        <w:rPr>
          <w:rFonts w:ascii="Times New Roman" w:hAnsi="Times New Roman" w:cs="Times New Roman"/>
        </w:rPr>
      </w:pPr>
    </w:p>
    <w:p w:rsidR="006A690C" w:rsidRPr="00EA224A" w:rsidRDefault="006A690C" w:rsidP="004272F2">
      <w:pPr>
        <w:tabs>
          <w:tab w:val="left" w:pos="-720"/>
        </w:tabs>
        <w:suppressAutoHyphens/>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Any proposed increase in revenues was allocated on an “across-the-board” basis to all customers.  The OCA’s and I&amp;E’s objections to any rate increase at all notwithstanding, no party has opposed this structure or proposed rate structure or design changes.</w:t>
      </w:r>
    </w:p>
    <w:p w:rsidR="00E87814" w:rsidRDefault="00E87814" w:rsidP="004272F2">
      <w:pPr>
        <w:spacing w:line="360" w:lineRule="auto"/>
        <w:contextualSpacing/>
        <w:rPr>
          <w:rFonts w:ascii="Times New Roman" w:hAnsi="Times New Roman" w:cs="Times New Roman"/>
        </w:rPr>
      </w:pPr>
    </w:p>
    <w:p w:rsidR="008C6968" w:rsidRPr="00EA224A" w:rsidRDefault="008C6968" w:rsidP="004272F2">
      <w:pPr>
        <w:spacing w:line="360" w:lineRule="auto"/>
        <w:contextualSpacing/>
        <w:jc w:val="center"/>
        <w:rPr>
          <w:rFonts w:ascii="Times New Roman" w:hAnsi="Times New Roman" w:cs="Times New Roman"/>
        </w:rPr>
      </w:pPr>
      <w:r w:rsidRPr="00EA224A">
        <w:rPr>
          <w:rFonts w:ascii="Times New Roman" w:hAnsi="Times New Roman" w:cs="Times New Roman"/>
        </w:rPr>
        <w:t>V</w:t>
      </w:r>
      <w:r w:rsidR="00D21620" w:rsidRPr="00EA224A">
        <w:rPr>
          <w:rFonts w:ascii="Times New Roman" w:hAnsi="Times New Roman" w:cs="Times New Roman"/>
        </w:rPr>
        <w:t>I</w:t>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u w:val="single"/>
        </w:rPr>
        <w:t>CONCLUSION</w:t>
      </w:r>
      <w:r w:rsidR="000E74AA">
        <w:rPr>
          <w:rFonts w:ascii="Times New Roman" w:hAnsi="Times New Roman" w:cs="Times New Roman"/>
          <w:u w:val="single"/>
        </w:rPr>
        <w:fldChar w:fldCharType="begin"/>
      </w:r>
      <w:r w:rsidR="000E74AA">
        <w:instrText xml:space="preserve"> TC "</w:instrText>
      </w:r>
      <w:bookmarkStart w:id="52" w:name="_Toc372704713"/>
      <w:r w:rsidR="000E74AA" w:rsidRPr="00831096">
        <w:rPr>
          <w:rFonts w:ascii="Times New Roman" w:hAnsi="Times New Roman" w:cs="Times New Roman"/>
        </w:rPr>
        <w:instrText>VI.</w:instrText>
      </w:r>
      <w:r w:rsidR="000E74AA" w:rsidRPr="00831096">
        <w:rPr>
          <w:rFonts w:ascii="Times New Roman" w:hAnsi="Times New Roman" w:cs="Times New Roman"/>
        </w:rPr>
        <w:tab/>
      </w:r>
      <w:r w:rsidR="000E74AA" w:rsidRPr="00831096">
        <w:rPr>
          <w:rFonts w:ascii="Times New Roman" w:hAnsi="Times New Roman" w:cs="Times New Roman"/>
          <w:u w:val="single"/>
        </w:rPr>
        <w:instrText>CONCLUSION</w:instrText>
      </w:r>
      <w:bookmarkEnd w:id="52"/>
      <w:r w:rsidR="000E74AA">
        <w:instrText xml:space="preserve">" \f C \l "1" </w:instrText>
      </w:r>
      <w:r w:rsidR="000E74AA">
        <w:rPr>
          <w:rFonts w:ascii="Times New Roman" w:hAnsi="Times New Roman" w:cs="Times New Roman"/>
          <w:u w:val="single"/>
        </w:rPr>
        <w:fldChar w:fldCharType="end"/>
      </w:r>
    </w:p>
    <w:p w:rsidR="008C6968" w:rsidRPr="00EA224A" w:rsidRDefault="008C6968" w:rsidP="004272F2">
      <w:pPr>
        <w:spacing w:line="360" w:lineRule="auto"/>
        <w:contextualSpacing/>
        <w:rPr>
          <w:rFonts w:ascii="Times New Roman" w:hAnsi="Times New Roman" w:cs="Times New Roman"/>
        </w:rPr>
      </w:pPr>
    </w:p>
    <w:p w:rsidR="00BF36CB" w:rsidRPr="00EA224A" w:rsidRDefault="00B14BAD"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In this rate case, Columbia has requested an increase of</w:t>
      </w:r>
      <w:r w:rsidR="00AD6765" w:rsidRPr="00EA224A">
        <w:rPr>
          <w:rFonts w:ascii="Times New Roman" w:hAnsi="Times New Roman" w:cs="Times New Roman"/>
        </w:rPr>
        <w:t xml:space="preserve"> annual operating revenues of $773,210</w:t>
      </w:r>
      <w:r w:rsidRPr="00EA224A">
        <w:rPr>
          <w:rFonts w:ascii="Times New Roman" w:hAnsi="Times New Roman" w:cs="Times New Roman"/>
        </w:rPr>
        <w:t xml:space="preserve"> while I&amp;E has recommended a decrease of </w:t>
      </w:r>
      <w:r w:rsidR="009D6DB8" w:rsidRPr="00EA224A">
        <w:rPr>
          <w:rFonts w:ascii="Times New Roman" w:hAnsi="Times New Roman" w:cs="Times New Roman"/>
        </w:rPr>
        <w:t xml:space="preserve">$243,609 </w:t>
      </w:r>
      <w:r w:rsidR="00D21620" w:rsidRPr="00EA224A">
        <w:rPr>
          <w:rFonts w:ascii="Times New Roman" w:hAnsi="Times New Roman" w:cs="Times New Roman"/>
        </w:rPr>
        <w:t xml:space="preserve">to that request, </w:t>
      </w:r>
      <w:r w:rsidRPr="00EA224A">
        <w:rPr>
          <w:rFonts w:ascii="Times New Roman" w:hAnsi="Times New Roman" w:cs="Times New Roman"/>
        </w:rPr>
        <w:t xml:space="preserve">and the OCA has recommended a decrease of </w:t>
      </w:r>
      <w:r w:rsidR="006553EF" w:rsidRPr="00EA224A">
        <w:rPr>
          <w:rFonts w:ascii="Times New Roman" w:hAnsi="Times New Roman" w:cs="Times New Roman"/>
        </w:rPr>
        <w:t>$</w:t>
      </w:r>
      <w:r w:rsidR="00B40409" w:rsidRPr="00EA224A">
        <w:rPr>
          <w:rFonts w:ascii="Times New Roman" w:hAnsi="Times New Roman" w:cs="Times New Roman"/>
        </w:rPr>
        <w:t>320,267</w:t>
      </w:r>
      <w:r w:rsidR="00D21620" w:rsidRPr="00EA224A">
        <w:rPr>
          <w:rFonts w:ascii="Times New Roman" w:hAnsi="Times New Roman" w:cs="Times New Roman"/>
        </w:rPr>
        <w:t xml:space="preserve"> to that request</w:t>
      </w:r>
      <w:r w:rsidRPr="00EA224A">
        <w:rPr>
          <w:rFonts w:ascii="Times New Roman" w:hAnsi="Times New Roman" w:cs="Times New Roman"/>
        </w:rPr>
        <w:t>.  This Recommended Decision must be supported by substantial evidence of record.  While I am not persuaded that rates should be reduced as the public advocates request, neither am I persuaded that Columbia has met its burden establishing the justness or reasonableness of its proposed rates and terms of service.</w:t>
      </w:r>
    </w:p>
    <w:p w:rsidR="00BF36CB" w:rsidRPr="00EA224A" w:rsidRDefault="00BF36CB" w:rsidP="004272F2">
      <w:pPr>
        <w:spacing w:line="360" w:lineRule="auto"/>
        <w:contextualSpacing/>
        <w:rPr>
          <w:rFonts w:ascii="Times New Roman" w:hAnsi="Times New Roman" w:cs="Times New Roman"/>
        </w:rPr>
      </w:pPr>
    </w:p>
    <w:p w:rsidR="00C41D8E" w:rsidRPr="00EA224A" w:rsidRDefault="00BF36CB" w:rsidP="004272F2">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There are three main outstanding issues in this case: (1) whether certain PennVest financed plant should be given rate recognition; (2) the allocation of additional Columbia expenses by the OCA and I&amp;E to the Marietta Division, over and above what the Company had already allocated in the filing; and (3) the Company’s capital structure and rate of return.</w:t>
      </w:r>
      <w:r w:rsidR="000B611F" w:rsidRPr="00EA224A">
        <w:rPr>
          <w:rFonts w:ascii="Times New Roman" w:hAnsi="Times New Roman" w:cs="Times New Roman"/>
        </w:rPr>
        <w:t xml:space="preserve"> </w:t>
      </w:r>
    </w:p>
    <w:p w:rsidR="00C41D8E" w:rsidRPr="00EA224A" w:rsidRDefault="00C41D8E" w:rsidP="004272F2">
      <w:pPr>
        <w:spacing w:line="360" w:lineRule="auto"/>
        <w:contextualSpacing/>
        <w:rPr>
          <w:rFonts w:ascii="Times New Roman" w:hAnsi="Times New Roman" w:cs="Times New Roman"/>
        </w:rPr>
      </w:pPr>
    </w:p>
    <w:p w:rsidR="0042443D" w:rsidRPr="00EA224A" w:rsidRDefault="000B611F" w:rsidP="00047866">
      <w:pPr>
        <w:spacing w:line="360" w:lineRule="auto"/>
        <w:ind w:firstLine="1440"/>
        <w:contextualSpacing/>
        <w:rPr>
          <w:rFonts w:ascii="Times New Roman" w:hAnsi="Times New Roman" w:cs="Times New Roman"/>
        </w:rPr>
      </w:pPr>
      <w:r w:rsidRPr="00EA224A">
        <w:rPr>
          <w:rFonts w:ascii="Times New Roman" w:hAnsi="Times New Roman" w:cs="Times New Roman"/>
        </w:rPr>
        <w:t xml:space="preserve">Columbia’s inclusion of its remaining used and useful undepreciated PennVest Plant and facilities in rate base </w:t>
      </w:r>
      <w:r w:rsidRPr="00EA224A">
        <w:rPr>
          <w:rFonts w:ascii="Times New Roman" w:hAnsi="Times New Roman" w:cs="Times New Roman"/>
          <w:i/>
        </w:rPr>
        <w:t>is</w:t>
      </w:r>
      <w:r w:rsidRPr="00EA224A">
        <w:rPr>
          <w:rFonts w:ascii="Times New Roman" w:hAnsi="Times New Roman" w:cs="Times New Roman"/>
        </w:rPr>
        <w:t xml:space="preserve"> appropriate.  However, Columbia’s request for a combined upward adjustment of 50 basis points to its return on equity is not.  With respect to an adjustment to reflect exemplary performance, I would characterize Columbia’s performan</w:t>
      </w:r>
      <w:r w:rsidR="00A35D24">
        <w:rPr>
          <w:rFonts w:ascii="Times New Roman" w:hAnsi="Times New Roman" w:cs="Times New Roman"/>
        </w:rPr>
        <w:t>ce as competent, not exemplary.</w:t>
      </w:r>
    </w:p>
    <w:p w:rsidR="00160272" w:rsidRPr="00EA224A" w:rsidRDefault="00160272" w:rsidP="00047866">
      <w:pPr>
        <w:spacing w:line="360" w:lineRule="auto"/>
        <w:contextualSpacing/>
        <w:rPr>
          <w:rFonts w:ascii="Times New Roman" w:hAnsi="Times New Roman" w:cs="Times New Roman"/>
        </w:rPr>
      </w:pPr>
    </w:p>
    <w:p w:rsidR="00D21620" w:rsidRPr="00EA224A" w:rsidRDefault="00160272"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 xml:space="preserve">While Columbia has offered </w:t>
      </w:r>
      <w:r w:rsidR="009D6DB8" w:rsidRPr="00EA224A">
        <w:rPr>
          <w:rFonts w:ascii="Times New Roman" w:hAnsi="Times New Roman" w:cs="Times New Roman"/>
        </w:rPr>
        <w:t xml:space="preserve">some </w:t>
      </w:r>
      <w:r w:rsidRPr="00EA224A">
        <w:rPr>
          <w:rFonts w:ascii="Times New Roman" w:hAnsi="Times New Roman" w:cs="Times New Roman"/>
        </w:rPr>
        <w:t>support for its revised operating revenue claim of $949,426, I am not persuaded that Columbia is entitled to implement rates designed to produce its as-filed increase in annual operating revenues of $773,210.</w:t>
      </w:r>
      <w:r w:rsidR="004320F9" w:rsidRPr="004320F9">
        <w:t xml:space="preserve"> </w:t>
      </w:r>
      <w:r w:rsidR="004320F9">
        <w:t xml:space="preserve">  After factoring in all accepted adjustments, Columbia should be allowed a </w:t>
      </w:r>
      <w:r w:rsidR="004320F9" w:rsidRPr="004320F9">
        <w:rPr>
          <w:rFonts w:ascii="Times New Roman" w:hAnsi="Times New Roman" w:cs="Times New Roman"/>
        </w:rPr>
        <w:t>revenue increase of $</w:t>
      </w:r>
      <w:r w:rsidR="00424779" w:rsidRPr="00424779">
        <w:rPr>
          <w:rFonts w:ascii="Times New Roman" w:hAnsi="Times New Roman" w:cs="Times New Roman"/>
        </w:rPr>
        <w:t xml:space="preserve">87,699 </w:t>
      </w:r>
      <w:r w:rsidR="004320F9" w:rsidRPr="004320F9">
        <w:rPr>
          <w:rFonts w:ascii="Times New Roman" w:hAnsi="Times New Roman" w:cs="Times New Roman"/>
        </w:rPr>
        <w:t>to be allocated on an “across-the-board” basis to all customers.</w:t>
      </w:r>
    </w:p>
    <w:p w:rsidR="00D21620" w:rsidRPr="00EA224A" w:rsidRDefault="00D21620" w:rsidP="00047866">
      <w:pPr>
        <w:spacing w:line="360" w:lineRule="auto"/>
        <w:contextualSpacing/>
        <w:rPr>
          <w:rFonts w:ascii="Times New Roman" w:hAnsi="Times New Roman" w:cs="Times New Roman"/>
        </w:rPr>
      </w:pPr>
    </w:p>
    <w:p w:rsidR="008B5DDA" w:rsidRPr="00EA224A" w:rsidRDefault="00D21620"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8C6968" w:rsidRPr="00EA224A">
        <w:rPr>
          <w:rFonts w:ascii="Times New Roman" w:hAnsi="Times New Roman" w:cs="Times New Roman"/>
        </w:rPr>
        <w:t>Columbia has not demonstrated that the costs associated with</w:t>
      </w:r>
      <w:r w:rsidR="00EA6965" w:rsidRPr="00EA224A">
        <w:rPr>
          <w:rFonts w:ascii="Times New Roman" w:hAnsi="Times New Roman" w:cs="Times New Roman"/>
        </w:rPr>
        <w:t xml:space="preserve"> all of</w:t>
      </w:r>
      <w:r w:rsidR="008C6968" w:rsidRPr="00EA224A">
        <w:rPr>
          <w:rFonts w:ascii="Times New Roman" w:hAnsi="Times New Roman" w:cs="Times New Roman"/>
        </w:rPr>
        <w:t xml:space="preserve"> its various expense claims are just and reasonable, and while I understand Columbia’s argument with respect to both proposed rate of return and return on equity, I do not think that either </w:t>
      </w:r>
      <w:r w:rsidRPr="00EA224A">
        <w:rPr>
          <w:rFonts w:ascii="Times New Roman" w:hAnsi="Times New Roman" w:cs="Times New Roman"/>
        </w:rPr>
        <w:t xml:space="preserve">as proposed by Columbia </w:t>
      </w:r>
      <w:r w:rsidR="009D3F59" w:rsidRPr="00EA224A">
        <w:rPr>
          <w:rFonts w:ascii="Times New Roman" w:hAnsi="Times New Roman" w:cs="Times New Roman"/>
        </w:rPr>
        <w:t>is</w:t>
      </w:r>
      <w:r w:rsidR="008C6968" w:rsidRPr="00EA224A">
        <w:rPr>
          <w:rFonts w:ascii="Times New Roman" w:hAnsi="Times New Roman" w:cs="Times New Roman"/>
        </w:rPr>
        <w:t xml:space="preserve"> justified.</w:t>
      </w:r>
      <w:r w:rsidR="009D6DB8" w:rsidRPr="00EA224A">
        <w:rPr>
          <w:rFonts w:ascii="Times New Roman" w:hAnsi="Times New Roman" w:cs="Times New Roman"/>
        </w:rPr>
        <w:t xml:space="preserve">  </w:t>
      </w:r>
      <w:r w:rsidRPr="00EA224A">
        <w:rPr>
          <w:rFonts w:ascii="Times New Roman" w:hAnsi="Times New Roman" w:cs="Times New Roman"/>
        </w:rPr>
        <w:t>I&amp;E’s recommendation of a 7.07% overall rate of return derived from the use of the I&amp;E recommended debt cost rate of 5.00%, the I&amp;E recommended 50/50 capital structure, and the I&amp;E-recommended 9.15% cost o</w:t>
      </w:r>
      <w:r w:rsidR="00283622">
        <w:rPr>
          <w:rFonts w:ascii="Times New Roman" w:hAnsi="Times New Roman" w:cs="Times New Roman"/>
        </w:rPr>
        <w:t>f common equity is reasonable.</w:t>
      </w:r>
    </w:p>
    <w:p w:rsidR="009D6DB8" w:rsidRPr="00EA224A" w:rsidRDefault="009D6DB8" w:rsidP="00047866">
      <w:pPr>
        <w:spacing w:line="360" w:lineRule="auto"/>
        <w:contextualSpacing/>
        <w:rPr>
          <w:rFonts w:ascii="Times New Roman" w:hAnsi="Times New Roman" w:cs="Times New Roman"/>
        </w:rPr>
      </w:pPr>
    </w:p>
    <w:p w:rsidR="004126DC" w:rsidRPr="00EA224A" w:rsidRDefault="008B5DDA" w:rsidP="00047866">
      <w:pPr>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r>
      <w:r w:rsidR="009D6DB8" w:rsidRPr="00EA224A">
        <w:rPr>
          <w:rFonts w:ascii="Times New Roman" w:hAnsi="Times New Roman" w:cs="Times New Roman"/>
        </w:rPr>
        <w:t xml:space="preserve">Finally, Columbia should, in future rate cases, provide </w:t>
      </w:r>
      <w:r w:rsidR="00D21620" w:rsidRPr="00EA224A">
        <w:rPr>
          <w:rFonts w:ascii="Times New Roman" w:hAnsi="Times New Roman" w:cs="Times New Roman"/>
        </w:rPr>
        <w:t>a clear bifurcation of costs associated with its Marietta</w:t>
      </w:r>
      <w:r w:rsidR="004320F9">
        <w:rPr>
          <w:rFonts w:ascii="Times New Roman" w:hAnsi="Times New Roman" w:cs="Times New Roman"/>
        </w:rPr>
        <w:t xml:space="preserve"> </w:t>
      </w:r>
      <w:r w:rsidR="00D21620" w:rsidRPr="00EA224A">
        <w:rPr>
          <w:rFonts w:ascii="Times New Roman" w:hAnsi="Times New Roman" w:cs="Times New Roman"/>
        </w:rPr>
        <w:t xml:space="preserve">and Columbia Divisions as well as </w:t>
      </w:r>
      <w:r w:rsidR="009D6DB8" w:rsidRPr="00EA224A">
        <w:rPr>
          <w:rFonts w:ascii="Times New Roman" w:hAnsi="Times New Roman" w:cs="Times New Roman"/>
        </w:rPr>
        <w:t xml:space="preserve">an accounting of hours devoted by its officers to company business, in their roles as officers and directors, in relation to the </w:t>
      </w:r>
      <w:r w:rsidR="00D21620" w:rsidRPr="00EA224A">
        <w:rPr>
          <w:rFonts w:ascii="Times New Roman" w:hAnsi="Times New Roman" w:cs="Times New Roman"/>
        </w:rPr>
        <w:t>two</w:t>
      </w:r>
      <w:r w:rsidR="009D6DB8" w:rsidRPr="00EA224A">
        <w:rPr>
          <w:rFonts w:ascii="Times New Roman" w:hAnsi="Times New Roman" w:cs="Times New Roman"/>
        </w:rPr>
        <w:t xml:space="preserve"> divisions of the Company.</w:t>
      </w:r>
      <w:r w:rsidR="006205E8" w:rsidRPr="00EA224A">
        <w:rPr>
          <w:rFonts w:ascii="Times New Roman" w:hAnsi="Times New Roman" w:cs="Times New Roman"/>
        </w:rPr>
        <w:tab/>
      </w:r>
    </w:p>
    <w:p w:rsidR="00D21620" w:rsidRPr="00EA224A" w:rsidRDefault="00D21620" w:rsidP="00047866">
      <w:pPr>
        <w:spacing w:line="360" w:lineRule="auto"/>
        <w:contextualSpacing/>
        <w:rPr>
          <w:rFonts w:ascii="Times New Roman" w:hAnsi="Times New Roman" w:cs="Times New Roman"/>
        </w:rPr>
      </w:pPr>
    </w:p>
    <w:p w:rsidR="00AC06AF" w:rsidRDefault="008722C4" w:rsidP="00047866">
      <w:pPr>
        <w:spacing w:line="360" w:lineRule="auto"/>
        <w:contextualSpacing/>
        <w:jc w:val="center"/>
        <w:rPr>
          <w:rFonts w:ascii="Times New Roman" w:hAnsi="Times New Roman" w:cs="Times New Roman"/>
          <w:u w:val="single"/>
        </w:rPr>
      </w:pPr>
      <w:r w:rsidRPr="00EA224A">
        <w:rPr>
          <w:rFonts w:ascii="Times New Roman" w:hAnsi="Times New Roman" w:cs="Times New Roman"/>
        </w:rPr>
        <w:t>V</w:t>
      </w:r>
      <w:r w:rsidR="00D21620" w:rsidRPr="00EA224A">
        <w:rPr>
          <w:rFonts w:ascii="Times New Roman" w:hAnsi="Times New Roman" w:cs="Times New Roman"/>
        </w:rPr>
        <w:t>I</w:t>
      </w:r>
      <w:r w:rsidRPr="00EA224A">
        <w:rPr>
          <w:rFonts w:ascii="Times New Roman" w:hAnsi="Times New Roman" w:cs="Times New Roman"/>
        </w:rPr>
        <w:t>I.</w:t>
      </w:r>
      <w:r w:rsidRPr="00EA224A">
        <w:rPr>
          <w:rFonts w:ascii="Times New Roman" w:hAnsi="Times New Roman" w:cs="Times New Roman"/>
        </w:rPr>
        <w:tab/>
      </w:r>
      <w:r w:rsidR="00AC06AF" w:rsidRPr="00EA224A">
        <w:rPr>
          <w:rFonts w:ascii="Times New Roman" w:hAnsi="Times New Roman" w:cs="Times New Roman"/>
          <w:u w:val="single"/>
        </w:rPr>
        <w:t>CONCLUSIONS OF LAW</w:t>
      </w:r>
      <w:r w:rsidR="000E74AA">
        <w:rPr>
          <w:rFonts w:ascii="Times New Roman" w:hAnsi="Times New Roman" w:cs="Times New Roman"/>
          <w:u w:val="single"/>
        </w:rPr>
        <w:fldChar w:fldCharType="begin"/>
      </w:r>
      <w:r w:rsidR="000E74AA">
        <w:instrText xml:space="preserve"> TC "</w:instrText>
      </w:r>
      <w:bookmarkStart w:id="53" w:name="_Toc372704714"/>
      <w:r w:rsidR="000E74AA" w:rsidRPr="00831096">
        <w:rPr>
          <w:rFonts w:ascii="Times New Roman" w:hAnsi="Times New Roman" w:cs="Times New Roman"/>
        </w:rPr>
        <w:instrText>VII.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CONCLUSIONS OF LAW</w:instrText>
      </w:r>
      <w:bookmarkEnd w:id="53"/>
      <w:r w:rsidR="000E74AA">
        <w:instrText xml:space="preserve">" \f C \l "1" </w:instrText>
      </w:r>
      <w:r w:rsidR="000E74AA">
        <w:rPr>
          <w:rFonts w:ascii="Times New Roman" w:hAnsi="Times New Roman" w:cs="Times New Roman"/>
          <w:u w:val="single"/>
        </w:rPr>
        <w:fldChar w:fldCharType="end"/>
      </w:r>
    </w:p>
    <w:p w:rsidR="00C264D5" w:rsidRPr="00EA224A" w:rsidRDefault="00C264D5" w:rsidP="00047866">
      <w:pPr>
        <w:spacing w:line="360" w:lineRule="auto"/>
        <w:contextualSpacing/>
        <w:jc w:val="center"/>
        <w:rPr>
          <w:rFonts w:ascii="Times New Roman" w:hAnsi="Times New Roman" w:cs="Times New Roman"/>
          <w:u w:val="single"/>
        </w:rPr>
      </w:pPr>
    </w:p>
    <w:p w:rsidR="00387A3F" w:rsidRDefault="00387A3F" w:rsidP="004272F2">
      <w:pPr>
        <w:autoSpaceDE/>
        <w:autoSpaceDN/>
        <w:spacing w:line="360" w:lineRule="auto"/>
        <w:contextualSpacing/>
        <w:rPr>
          <w:rFonts w:ascii="Times New Roman" w:hAnsi="Times New Roman" w:cs="Times New Roman"/>
          <w:i/>
        </w:rPr>
      </w:pPr>
      <w:r w:rsidRPr="00EA224A">
        <w:rPr>
          <w:rFonts w:ascii="Times New Roman" w:hAnsi="Times New Roman" w:cs="Times New Roman"/>
        </w:rPr>
        <w:tab/>
      </w:r>
      <w:r w:rsidRPr="00EA224A">
        <w:rPr>
          <w:rFonts w:ascii="Times New Roman" w:hAnsi="Times New Roman" w:cs="Times New Roman"/>
        </w:rPr>
        <w:tab/>
        <w:t>1.</w:t>
      </w:r>
      <w:r w:rsidRPr="00EA224A">
        <w:rPr>
          <w:rFonts w:ascii="Times New Roman" w:hAnsi="Times New Roman" w:cs="Times New Roman"/>
        </w:rPr>
        <w:tab/>
      </w:r>
      <w:r w:rsidR="004126DC" w:rsidRPr="00EA224A">
        <w:rPr>
          <w:rFonts w:ascii="Times New Roman" w:hAnsi="Times New Roman" w:cs="Times New Roman"/>
        </w:rPr>
        <w:t xml:space="preserve">The Pennsylvania Public Utility Commission has jurisdiction over the Parties and subject matter of </w:t>
      </w:r>
      <w:r w:rsidR="00C264D5">
        <w:rPr>
          <w:rFonts w:ascii="Times New Roman" w:hAnsi="Times New Roman" w:cs="Times New Roman"/>
        </w:rPr>
        <w:t xml:space="preserve">this proceeding.  66 Pa.C.S. §§ </w:t>
      </w:r>
      <w:r w:rsidR="004126DC" w:rsidRPr="00EA224A">
        <w:rPr>
          <w:rFonts w:ascii="Times New Roman" w:hAnsi="Times New Roman" w:cs="Times New Roman"/>
        </w:rPr>
        <w:t>701, 1308(d).</w:t>
      </w:r>
      <w:r w:rsidR="004126DC" w:rsidRPr="00EA224A">
        <w:rPr>
          <w:rFonts w:ascii="Times New Roman" w:hAnsi="Times New Roman" w:cs="Times New Roman"/>
          <w:i/>
        </w:rPr>
        <w:fldChar w:fldCharType="begin"/>
      </w:r>
      <w:r w:rsidR="004126DC" w:rsidRPr="00EA224A">
        <w:rPr>
          <w:rFonts w:ascii="Times New Roman" w:hAnsi="Times New Roman" w:cs="Times New Roman"/>
        </w:rPr>
        <w:instrText xml:space="preserve"> TA \l "66 Pa.C.S. § 101, </w:instrText>
      </w:r>
      <w:r w:rsidR="004126DC" w:rsidRPr="00EA224A">
        <w:rPr>
          <w:rFonts w:ascii="Times New Roman" w:hAnsi="Times New Roman" w:cs="Times New Roman"/>
          <w:i/>
        </w:rPr>
        <w:instrText>et seq.</w:instrText>
      </w:r>
      <w:r w:rsidR="004126DC" w:rsidRPr="00EA224A">
        <w:rPr>
          <w:rFonts w:ascii="Times New Roman" w:hAnsi="Times New Roman" w:cs="Times New Roman"/>
        </w:rPr>
        <w:instrText xml:space="preserve">" \s "66 Pa.C.S. § 101, et seq." \c 2 </w:instrText>
      </w:r>
      <w:r w:rsidR="004126DC" w:rsidRPr="00EA224A">
        <w:rPr>
          <w:rFonts w:ascii="Times New Roman" w:hAnsi="Times New Roman" w:cs="Times New Roman"/>
          <w:i/>
        </w:rPr>
        <w:fldChar w:fldCharType="end"/>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2.</w:t>
      </w:r>
      <w:r w:rsidRPr="00EA224A">
        <w:rPr>
          <w:rFonts w:ascii="Times New Roman" w:hAnsi="Times New Roman" w:cs="Times New Roman"/>
        </w:rPr>
        <w:tab/>
        <w:t>A public u</w:t>
      </w:r>
      <w:r w:rsidR="004126DC" w:rsidRPr="00EA224A">
        <w:rPr>
          <w:rFonts w:ascii="Times New Roman" w:hAnsi="Times New Roman" w:cs="Times New Roman"/>
        </w:rPr>
        <w:t>tility seeking a rate increase has the burden of proof to establish the justness and reasonableness of each elemen</w:t>
      </w:r>
      <w:r w:rsidR="00452827">
        <w:rPr>
          <w:rFonts w:ascii="Times New Roman" w:hAnsi="Times New Roman" w:cs="Times New Roman"/>
        </w:rPr>
        <w:t xml:space="preserve">t of its request.  66 Pa.C.S. § </w:t>
      </w:r>
      <w:r w:rsidR="004126DC" w:rsidRPr="00EA224A">
        <w:rPr>
          <w:rFonts w:ascii="Times New Roman" w:hAnsi="Times New Roman" w:cs="Times New Roman"/>
        </w:rPr>
        <w:t>315(a)</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\s "66 Pa.C.S. § 315(a)"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3.</w:t>
      </w:r>
      <w:r w:rsidRPr="00EA224A">
        <w:rPr>
          <w:rFonts w:ascii="Times New Roman" w:hAnsi="Times New Roman" w:cs="Times New Roman"/>
        </w:rPr>
        <w:tab/>
        <w:t>A public u</w:t>
      </w:r>
      <w:r w:rsidR="004126DC" w:rsidRPr="00EA224A">
        <w:rPr>
          <w:rFonts w:ascii="Times New Roman" w:hAnsi="Times New Roman" w:cs="Times New Roman"/>
        </w:rPr>
        <w:t xml:space="preserve">tility is entitled to rates that will allow it to recover its costs for expenses that are reasonably necessary to provide service to its customers.  </w:t>
      </w:r>
      <w:r w:rsidR="004126DC" w:rsidRPr="00EA224A">
        <w:rPr>
          <w:rFonts w:ascii="Times New Roman" w:hAnsi="Times New Roman" w:cs="Times New Roman"/>
          <w:i/>
        </w:rPr>
        <w:t>Western Pa. Water Co. v. Pa. Public Utility Commission,</w:t>
      </w:r>
      <w:r w:rsidR="004126DC" w:rsidRPr="00EA224A">
        <w:rPr>
          <w:rFonts w:ascii="Times New Roman" w:hAnsi="Times New Roman" w:cs="Times New Roman"/>
        </w:rPr>
        <w:t xml:space="preserve"> 422 A.2d 906 (Pa. Cmwlth. 1980)</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Western Pa. Water Co. v. Pa. Public Utility Commission,</w:instrText>
      </w:r>
      <w:r w:rsidR="004126DC" w:rsidRPr="00EA224A">
        <w:rPr>
          <w:rFonts w:ascii="Times New Roman" w:hAnsi="Times New Roman" w:cs="Times New Roman"/>
        </w:rPr>
        <w:instrText xml:space="preserve"> 422 A.2d 906 (Pa. Cmwlth. 1980)" \s "Western Pa. Water Co. v. Pa. Public Utility Commission, 422 A.2d 906 (Pa. Cmwlth. 1980)"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4.</w:t>
      </w:r>
      <w:r w:rsidRPr="00EA224A">
        <w:rPr>
          <w:rFonts w:ascii="Times New Roman" w:hAnsi="Times New Roman" w:cs="Times New Roman"/>
        </w:rPr>
        <w:tab/>
      </w:r>
      <w:r w:rsidR="004126DC" w:rsidRPr="00EA224A">
        <w:rPr>
          <w:rFonts w:ascii="Times New Roman" w:hAnsi="Times New Roman" w:cs="Times New Roman"/>
        </w:rPr>
        <w:t xml:space="preserve">The Commission must authorize a sufficient, or fair, rate of return to public utilities to ensure adequate revenues to cover operating expenses, debt serviced expenses and common and preferred (if necessary) dividends, as well as to maintain the financial integrity of the utility and enable the public utility </w:t>
      </w:r>
      <w:r w:rsidR="00C731FE">
        <w:rPr>
          <w:rFonts w:ascii="Times New Roman" w:hAnsi="Times New Roman" w:cs="Times New Roman"/>
        </w:rPr>
        <w:t xml:space="preserve">to </w:t>
      </w:r>
      <w:r w:rsidR="004126DC" w:rsidRPr="00EA224A">
        <w:rPr>
          <w:rFonts w:ascii="Times New Roman" w:hAnsi="Times New Roman" w:cs="Times New Roman"/>
        </w:rPr>
        <w:t xml:space="preserve">attract needed debt in equity capital in the marketplace or on reasonable terms, in competition with firms of similar risk.  </w:t>
      </w:r>
      <w:r w:rsidR="004126DC" w:rsidRPr="00EA224A">
        <w:rPr>
          <w:rFonts w:ascii="Times New Roman" w:hAnsi="Times New Roman" w:cs="Times New Roman"/>
          <w:i/>
        </w:rPr>
        <w:t xml:space="preserve">Federal Power Commission v. Hope Natural Gas Co., </w:t>
      </w:r>
      <w:r w:rsidR="004126DC" w:rsidRPr="00EA224A">
        <w:rPr>
          <w:rFonts w:ascii="Times New Roman" w:hAnsi="Times New Roman" w:cs="Times New Roman"/>
        </w:rPr>
        <w:t>320 U.S. 591 (1944)</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\s "Federal Power Commission v. Hope Natural Gas Co., 320 U.S. 591 (1944)" </w:instrText>
      </w:r>
      <w:r w:rsidR="004126DC" w:rsidRPr="00EA224A">
        <w:rPr>
          <w:rFonts w:ascii="Times New Roman" w:hAnsi="Times New Roman" w:cs="Times New Roman"/>
        </w:rPr>
        <w:fldChar w:fldCharType="end"/>
      </w:r>
      <w:r w:rsidR="004126DC" w:rsidRPr="00EA224A">
        <w:rPr>
          <w:rFonts w:ascii="Times New Roman" w:hAnsi="Times New Roman" w:cs="Times New Roman"/>
        </w:rPr>
        <w:t xml:space="preserve"> and </w:t>
      </w:r>
      <w:r w:rsidR="004126DC" w:rsidRPr="00EA224A">
        <w:rPr>
          <w:rFonts w:ascii="Times New Roman" w:hAnsi="Times New Roman" w:cs="Times New Roman"/>
          <w:i/>
        </w:rPr>
        <w:t xml:space="preserve">Bluefield Water Works Improvement Co. v. Public Service Commission, </w:t>
      </w:r>
      <w:r w:rsidR="004126DC" w:rsidRPr="00EA224A">
        <w:rPr>
          <w:rFonts w:ascii="Times New Roman" w:hAnsi="Times New Roman" w:cs="Times New Roman"/>
        </w:rPr>
        <w:t>262 U.S. 679 (1923)</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 xml:space="preserve">Bluefield Water Works Improvement Co. v. Public Service Commission, </w:instrText>
      </w:r>
      <w:r w:rsidR="004126DC" w:rsidRPr="00EA224A">
        <w:rPr>
          <w:rFonts w:ascii="Times New Roman" w:hAnsi="Times New Roman" w:cs="Times New Roman"/>
        </w:rPr>
        <w:instrText xml:space="preserve">262 U.S. 679 (1923)" \s "Bluefield Water Works Improvement Co. v. Public Service Commission, 262 U.S. 679 (1923)"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452827" w:rsidRPr="00EA224A" w:rsidRDefault="00452827" w:rsidP="004272F2">
      <w:pPr>
        <w:autoSpaceDE/>
        <w:autoSpaceDN/>
        <w:spacing w:line="360" w:lineRule="auto"/>
        <w:contextualSpacing/>
        <w:rPr>
          <w:rFonts w:ascii="Times New Roman" w:hAnsi="Times New Roman" w:cs="Times New Roman"/>
        </w:rPr>
      </w:pPr>
    </w:p>
    <w:p w:rsidR="004126DC" w:rsidRPr="00EA224A"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5.</w:t>
      </w:r>
      <w:r w:rsidRPr="00EA224A">
        <w:rPr>
          <w:rFonts w:ascii="Times New Roman" w:hAnsi="Times New Roman" w:cs="Times New Roman"/>
        </w:rPr>
        <w:tab/>
      </w:r>
      <w:r w:rsidR="004126DC" w:rsidRPr="00EA224A">
        <w:rPr>
          <w:rFonts w:ascii="Times New Roman" w:hAnsi="Times New Roman" w:cs="Times New Roman"/>
        </w:rPr>
        <w:t xml:space="preserve">It is important that there be enough revenues not only for operating expenses, but also for the capital costs of the business.  These include service in the debt and dividends on the stock.  By that standard, the return to the equity owner should be commensurate with returns on investment and other enterprises having corresponding risk.  That return, moreover, should be sufficient to ensure confidence in the financial integrity of the enterprise, so as to maintain credit and to attract capital.  </w:t>
      </w:r>
      <w:r w:rsidR="004126DC" w:rsidRPr="00EA224A">
        <w:rPr>
          <w:rFonts w:ascii="Times New Roman" w:hAnsi="Times New Roman" w:cs="Times New Roman"/>
          <w:i/>
        </w:rPr>
        <w:t>Federal Power Commission v. Hope Natural Gas Co.,</w:t>
      </w:r>
      <w:r w:rsidR="00452827">
        <w:rPr>
          <w:rFonts w:ascii="Times New Roman" w:hAnsi="Times New Roman" w:cs="Times New Roman"/>
        </w:rPr>
        <w:t> </w:t>
      </w:r>
      <w:r w:rsidR="004126DC" w:rsidRPr="00EA224A">
        <w:rPr>
          <w:rFonts w:ascii="Times New Roman" w:hAnsi="Times New Roman" w:cs="Times New Roman"/>
        </w:rPr>
        <w:t>320 U.S. 591, 603 (1944)</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Federal Power Commission v. Hope Natural Gas Co.,</w:instrText>
      </w:r>
      <w:r w:rsidR="00452827">
        <w:rPr>
          <w:rFonts w:ascii="Times New Roman" w:hAnsi="Times New Roman" w:cs="Times New Roman"/>
        </w:rPr>
        <w:instrText> </w:instrText>
      </w:r>
      <w:r w:rsidR="004126DC" w:rsidRPr="00EA224A">
        <w:rPr>
          <w:rFonts w:ascii="Times New Roman" w:hAnsi="Times New Roman" w:cs="Times New Roman"/>
        </w:rPr>
        <w:instrText xml:space="preserve">320 U.S. 591, 603 (1944)" \s "Federal Power Commission v. Hope Natural Gas Co., 320 U.S. 591, 603 (1944)"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387A3F" w:rsidRPr="00EA224A" w:rsidRDefault="00387A3F" w:rsidP="004272F2">
      <w:pPr>
        <w:autoSpaceDE/>
        <w:autoSpaceDN/>
        <w:spacing w:line="360" w:lineRule="auto"/>
        <w:contextualSpacing/>
        <w:rPr>
          <w:rFonts w:ascii="Times New Roman" w:hAnsi="Times New Roman" w:cs="Times New Roman"/>
        </w:rPr>
      </w:pPr>
    </w:p>
    <w:p w:rsidR="004126DC"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6.</w:t>
      </w:r>
      <w:r w:rsidRPr="00EA224A">
        <w:rPr>
          <w:rFonts w:ascii="Times New Roman" w:hAnsi="Times New Roman" w:cs="Times New Roman"/>
        </w:rPr>
        <w:tab/>
      </w:r>
      <w:r w:rsidR="004126DC" w:rsidRPr="00EA224A">
        <w:rPr>
          <w:rFonts w:ascii="Times New Roman" w:hAnsi="Times New Roman" w:cs="Times New Roman"/>
        </w:rPr>
        <w:t xml:space="preserve">Rates which are not sufficient to yield a reasonable return on the value of the property used at the time it is being used to render the service are unjust, unreasonable and confiscatory, and their enforcement deprives the public utility company of its property, in violation of the Fourteenth Amendment.  </w:t>
      </w:r>
      <w:r w:rsidR="004126DC" w:rsidRPr="00EA224A">
        <w:rPr>
          <w:rFonts w:ascii="Times New Roman" w:hAnsi="Times New Roman" w:cs="Times New Roman"/>
          <w:i/>
        </w:rPr>
        <w:t xml:space="preserve">Bluefield Water Works Improvement Co. v. Public Service Commission, </w:t>
      </w:r>
      <w:r w:rsidR="004126DC" w:rsidRPr="00EA224A">
        <w:rPr>
          <w:rFonts w:ascii="Times New Roman" w:hAnsi="Times New Roman" w:cs="Times New Roman"/>
        </w:rPr>
        <w:t>262 U.S. 679, 690 (1923)</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 xml:space="preserve">Bluefield Water Works Improvement Co. v. Public Service Commission, </w:instrText>
      </w:r>
      <w:r w:rsidR="004126DC" w:rsidRPr="00EA224A">
        <w:rPr>
          <w:rFonts w:ascii="Times New Roman" w:hAnsi="Times New Roman" w:cs="Times New Roman"/>
        </w:rPr>
        <w:instrText xml:space="preserve">262 U.S. 679, 690 (1923)" \s "Bluefield Water Works Improvement Co. v. Public Service Commission, 262 U.S. 679, 690 (1923)"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1D3CD0" w:rsidRPr="00EA224A" w:rsidRDefault="001D3CD0" w:rsidP="004272F2">
      <w:pPr>
        <w:autoSpaceDE/>
        <w:autoSpaceDN/>
        <w:spacing w:line="360" w:lineRule="auto"/>
        <w:contextualSpacing/>
        <w:rPr>
          <w:rFonts w:ascii="Times New Roman" w:hAnsi="Times New Roman" w:cs="Times New Roman"/>
        </w:rPr>
      </w:pPr>
    </w:p>
    <w:p w:rsidR="004126DC" w:rsidRPr="00EA224A" w:rsidRDefault="00387A3F" w:rsidP="004272F2">
      <w:pPr>
        <w:autoSpaceDE/>
        <w:autoSpaceDN/>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7.</w:t>
      </w:r>
      <w:r w:rsidRPr="00EA224A">
        <w:rPr>
          <w:rFonts w:ascii="Times New Roman" w:hAnsi="Times New Roman" w:cs="Times New Roman"/>
        </w:rPr>
        <w:tab/>
      </w:r>
      <w:r w:rsidR="004126DC" w:rsidRPr="00EA224A">
        <w:rPr>
          <w:rFonts w:ascii="Times New Roman" w:hAnsi="Times New Roman" w:cs="Times New Roman"/>
        </w:rPr>
        <w:t xml:space="preserve">Pennsylvania Courts and the Pennsylvania Public Utility Commission have adopted the U.S. Supreme Court legal standards regarding the rate of return in </w:t>
      </w:r>
      <w:r w:rsidR="004126DC" w:rsidRPr="00EA224A">
        <w:rPr>
          <w:rFonts w:ascii="Times New Roman" w:hAnsi="Times New Roman" w:cs="Times New Roman"/>
          <w:i/>
        </w:rPr>
        <w:t>Hope</w:t>
      </w:r>
      <w:r w:rsidR="004126DC" w:rsidRPr="00EA224A">
        <w:rPr>
          <w:rFonts w:ascii="Times New Roman" w:hAnsi="Times New Roman" w:cs="Times New Roman"/>
        </w:rPr>
        <w:t xml:space="preserve"> noting this case requires the Commission to balance utility company and ratepayer interests in setting rates.  </w:t>
      </w:r>
      <w:r w:rsidR="004126DC" w:rsidRPr="00EA224A">
        <w:rPr>
          <w:rFonts w:ascii="Times New Roman" w:hAnsi="Times New Roman" w:cs="Times New Roman"/>
          <w:i/>
        </w:rPr>
        <w:t>Pennsylvania Electric Co. v. Pa. Public Utility Commission,</w:t>
      </w:r>
      <w:r w:rsidR="004126DC" w:rsidRPr="00EA224A">
        <w:rPr>
          <w:rFonts w:ascii="Times New Roman" w:hAnsi="Times New Roman" w:cs="Times New Roman"/>
        </w:rPr>
        <w:t xml:space="preserve"> 509 Pa. 324, 502 A.2d 130 (1985)</w:t>
      </w:r>
      <w:r w:rsidR="004126DC" w:rsidRPr="00EA224A">
        <w:rPr>
          <w:rFonts w:ascii="Times New Roman" w:hAnsi="Times New Roman" w:cs="Times New Roman"/>
        </w:rPr>
        <w:fldChar w:fldCharType="begin"/>
      </w:r>
      <w:r w:rsidR="004126DC" w:rsidRPr="00EA224A">
        <w:rPr>
          <w:rFonts w:ascii="Times New Roman" w:hAnsi="Times New Roman" w:cs="Times New Roman"/>
        </w:rPr>
        <w:instrText xml:space="preserve"> TA \l "</w:instrText>
      </w:r>
      <w:r w:rsidR="004126DC" w:rsidRPr="00EA224A">
        <w:rPr>
          <w:rFonts w:ascii="Times New Roman" w:hAnsi="Times New Roman" w:cs="Times New Roman"/>
          <w:i/>
        </w:rPr>
        <w:instrText>Pennsylvania Electric Co. v. Pa. Public Utility Commission,</w:instrText>
      </w:r>
      <w:r w:rsidR="004126DC" w:rsidRPr="00EA224A">
        <w:rPr>
          <w:rFonts w:ascii="Times New Roman" w:hAnsi="Times New Roman" w:cs="Times New Roman"/>
        </w:rPr>
        <w:instrText xml:space="preserve"> 509 Pa. 324, 502 A.2d 130 (1985)" \s "Pennsylvania Electric Co. v. Pa. Public U</w:instrText>
      </w:r>
      <w:r w:rsidR="001D3CD0">
        <w:rPr>
          <w:rFonts w:ascii="Times New Roman" w:hAnsi="Times New Roman" w:cs="Times New Roman"/>
        </w:rPr>
        <w:instrText>tility Commission, 509 Pa. 324, </w:instrText>
      </w:r>
      <w:r w:rsidR="004126DC" w:rsidRPr="00EA224A">
        <w:rPr>
          <w:rFonts w:ascii="Times New Roman" w:hAnsi="Times New Roman" w:cs="Times New Roman"/>
        </w:rPr>
        <w:instrText xml:space="preserve">502 A.2d 130 (1985)" \c 1 </w:instrText>
      </w:r>
      <w:r w:rsidR="004126DC" w:rsidRPr="00EA224A">
        <w:rPr>
          <w:rFonts w:ascii="Times New Roman" w:hAnsi="Times New Roman" w:cs="Times New Roman"/>
        </w:rPr>
        <w:fldChar w:fldCharType="end"/>
      </w:r>
      <w:r w:rsidR="004126DC" w:rsidRPr="00EA224A">
        <w:rPr>
          <w:rFonts w:ascii="Times New Roman" w:hAnsi="Times New Roman" w:cs="Times New Roman"/>
        </w:rPr>
        <w:t>.</w:t>
      </w:r>
    </w:p>
    <w:p w:rsidR="001D3CD0" w:rsidRDefault="001D3CD0" w:rsidP="00047866">
      <w:pPr>
        <w:autoSpaceDE/>
        <w:autoSpaceDN/>
        <w:spacing w:line="360" w:lineRule="auto"/>
        <w:contextualSpacing/>
        <w:jc w:val="center"/>
        <w:rPr>
          <w:rFonts w:ascii="Times New Roman" w:hAnsi="Times New Roman" w:cs="Times New Roman"/>
        </w:rPr>
      </w:pPr>
    </w:p>
    <w:p w:rsidR="00213471" w:rsidRDefault="00213471" w:rsidP="00047866">
      <w:pPr>
        <w:autoSpaceDE/>
        <w:autoSpaceDN/>
        <w:spacing w:line="360" w:lineRule="auto"/>
        <w:contextualSpacing/>
        <w:jc w:val="center"/>
        <w:rPr>
          <w:rFonts w:ascii="Times New Roman" w:hAnsi="Times New Roman" w:cs="Times New Roman"/>
        </w:rPr>
      </w:pPr>
    </w:p>
    <w:p w:rsidR="00AC06AF" w:rsidRPr="00EA224A" w:rsidRDefault="008722C4" w:rsidP="00047866">
      <w:pPr>
        <w:autoSpaceDE/>
        <w:autoSpaceDN/>
        <w:spacing w:line="360" w:lineRule="auto"/>
        <w:contextualSpacing/>
        <w:jc w:val="center"/>
        <w:rPr>
          <w:rFonts w:ascii="Times New Roman" w:hAnsi="Times New Roman" w:cs="Times New Roman"/>
        </w:rPr>
      </w:pPr>
      <w:r w:rsidRPr="00EA224A">
        <w:rPr>
          <w:rFonts w:ascii="Times New Roman" w:hAnsi="Times New Roman" w:cs="Times New Roman"/>
        </w:rPr>
        <w:t>VI</w:t>
      </w:r>
      <w:r w:rsidR="00D21620" w:rsidRPr="00EA224A">
        <w:rPr>
          <w:rFonts w:ascii="Times New Roman" w:hAnsi="Times New Roman" w:cs="Times New Roman"/>
        </w:rPr>
        <w:t>I</w:t>
      </w:r>
      <w:r w:rsidR="004272F2">
        <w:rPr>
          <w:rFonts w:ascii="Times New Roman" w:hAnsi="Times New Roman" w:cs="Times New Roman"/>
        </w:rPr>
        <w:t>I.</w:t>
      </w:r>
      <w:r w:rsidR="004272F2">
        <w:rPr>
          <w:rFonts w:ascii="Times New Roman" w:hAnsi="Times New Roman" w:cs="Times New Roman"/>
        </w:rPr>
        <w:tab/>
      </w:r>
      <w:r w:rsidR="00AC06AF" w:rsidRPr="00EA224A">
        <w:rPr>
          <w:rFonts w:ascii="Times New Roman" w:hAnsi="Times New Roman" w:cs="Times New Roman"/>
          <w:u w:val="single"/>
        </w:rPr>
        <w:t>ORDER</w:t>
      </w:r>
      <w:r w:rsidR="000E74AA">
        <w:rPr>
          <w:rFonts w:ascii="Times New Roman" w:hAnsi="Times New Roman" w:cs="Times New Roman"/>
          <w:u w:val="single"/>
        </w:rPr>
        <w:fldChar w:fldCharType="begin"/>
      </w:r>
      <w:r w:rsidR="000E74AA">
        <w:instrText xml:space="preserve"> TC "</w:instrText>
      </w:r>
      <w:bookmarkStart w:id="54" w:name="_Toc372704715"/>
      <w:r w:rsidR="000E74AA" w:rsidRPr="00831096">
        <w:rPr>
          <w:rFonts w:ascii="Times New Roman" w:hAnsi="Times New Roman" w:cs="Times New Roman"/>
        </w:rPr>
        <w:instrText>VIII.</w:instrText>
      </w:r>
      <w:r w:rsidR="000E74AA" w:rsidRPr="00831096">
        <w:rPr>
          <w:rFonts w:ascii="Times New Roman" w:hAnsi="Times New Roman" w:cs="Times New Roman"/>
        </w:rPr>
        <w:tab/>
      </w:r>
      <w:r w:rsidR="000E74AA" w:rsidRPr="00831096">
        <w:rPr>
          <w:rFonts w:ascii="Times New Roman" w:hAnsi="Times New Roman" w:cs="Times New Roman"/>
          <w:u w:val="single"/>
        </w:rPr>
        <w:instrText>ORDER</w:instrText>
      </w:r>
      <w:bookmarkEnd w:id="54"/>
      <w:r w:rsidR="000E74AA">
        <w:instrText xml:space="preserve">" \f C \l "1" </w:instrText>
      </w:r>
      <w:r w:rsidR="000E74AA">
        <w:rPr>
          <w:rFonts w:ascii="Times New Roman" w:hAnsi="Times New Roman" w:cs="Times New Roman"/>
          <w:u w:val="single"/>
        </w:rPr>
        <w:fldChar w:fldCharType="end"/>
      </w:r>
    </w:p>
    <w:p w:rsidR="00AC06AF" w:rsidRDefault="00AC06AF" w:rsidP="00047866">
      <w:pPr>
        <w:autoSpaceDE/>
        <w:autoSpaceDN/>
        <w:spacing w:line="360" w:lineRule="auto"/>
        <w:contextualSpacing/>
        <w:rPr>
          <w:rFonts w:ascii="Times New Roman" w:hAnsi="Times New Roman" w:cs="Times New Roman"/>
        </w:rPr>
      </w:pPr>
    </w:p>
    <w:p w:rsidR="001D3CD0" w:rsidRPr="00EA224A" w:rsidRDefault="001D3CD0" w:rsidP="00047866">
      <w:pPr>
        <w:autoSpaceDE/>
        <w:autoSpaceDN/>
        <w:spacing w:line="360" w:lineRule="auto"/>
        <w:contextualSpacing/>
        <w:rPr>
          <w:rFonts w:ascii="Times New Roman" w:hAnsi="Times New Roman" w:cs="Times New Roman"/>
        </w:rPr>
      </w:pPr>
    </w:p>
    <w:p w:rsidR="003C555B" w:rsidRPr="00EA224A" w:rsidRDefault="00AC06AF" w:rsidP="00047866">
      <w:pPr>
        <w:tabs>
          <w:tab w:val="left" w:pos="-720"/>
        </w:tabs>
        <w:suppressAutoHyphens/>
        <w:spacing w:line="360" w:lineRule="auto"/>
        <w:contextualSpacing/>
        <w:rPr>
          <w:rFonts w:ascii="Times New Roman" w:hAnsi="Times New Roman" w:cs="Times New Roman"/>
          <w:spacing w:val="-3"/>
        </w:rPr>
      </w:pPr>
      <w:r w:rsidRPr="00EA224A">
        <w:rPr>
          <w:rFonts w:ascii="Times New Roman" w:hAnsi="Times New Roman" w:cs="Times New Roman"/>
        </w:rPr>
        <w:tab/>
      </w:r>
      <w:r w:rsidR="00D21620" w:rsidRPr="00EA224A">
        <w:rPr>
          <w:rFonts w:ascii="Times New Roman" w:hAnsi="Times New Roman" w:cs="Times New Roman"/>
        </w:rPr>
        <w:tab/>
      </w:r>
      <w:r w:rsidR="003C555B" w:rsidRPr="00EA224A">
        <w:rPr>
          <w:rFonts w:ascii="Times New Roman" w:hAnsi="Times New Roman" w:cs="Times New Roman"/>
          <w:spacing w:val="-3"/>
        </w:rPr>
        <w:t>THEREFORE,</w:t>
      </w:r>
    </w:p>
    <w:p w:rsidR="003C555B" w:rsidRPr="00EA224A" w:rsidRDefault="003C555B" w:rsidP="00047866">
      <w:pPr>
        <w:tabs>
          <w:tab w:val="left" w:pos="-720"/>
        </w:tabs>
        <w:suppressAutoHyphens/>
        <w:spacing w:line="360" w:lineRule="auto"/>
        <w:contextualSpacing/>
        <w:rPr>
          <w:rFonts w:ascii="Times New Roman" w:hAnsi="Times New Roman" w:cs="Times New Roman"/>
          <w:spacing w:val="-3"/>
        </w:rPr>
      </w:pPr>
    </w:p>
    <w:p w:rsidR="003C555B" w:rsidRPr="00EA224A" w:rsidRDefault="003C555B" w:rsidP="00047866">
      <w:pPr>
        <w:tabs>
          <w:tab w:val="left" w:pos="-720"/>
        </w:tabs>
        <w:autoSpaceDE/>
        <w:autoSpaceDN/>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IT IS RECOMMENDED:</w:t>
      </w:r>
    </w:p>
    <w:p w:rsidR="003C555B" w:rsidRPr="00EA224A" w:rsidRDefault="003C555B" w:rsidP="00047866">
      <w:pPr>
        <w:tabs>
          <w:tab w:val="left" w:pos="-720"/>
        </w:tabs>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1.</w:t>
      </w:r>
      <w:r w:rsidRPr="00EA224A">
        <w:rPr>
          <w:rFonts w:ascii="Times New Roman" w:hAnsi="Times New Roman" w:cs="Times New Roman"/>
          <w:spacing w:val="-3"/>
        </w:rPr>
        <w:tab/>
        <w:t xml:space="preserve">That </w:t>
      </w:r>
      <w:r w:rsidRPr="00EA224A">
        <w:rPr>
          <w:rFonts w:ascii="Times New Roman" w:hAnsi="Times New Roman" w:cs="Times New Roman"/>
        </w:rPr>
        <w:t xml:space="preserve">The Columbia Water Company </w:t>
      </w:r>
      <w:r w:rsidRPr="00EA224A">
        <w:rPr>
          <w:rFonts w:ascii="Times New Roman" w:hAnsi="Times New Roman" w:cs="Times New Roman"/>
          <w:spacing w:val="-3"/>
        </w:rPr>
        <w:t xml:space="preserve">shall not place into effect the rates contained in </w:t>
      </w:r>
      <w:r w:rsidR="001E425D" w:rsidRPr="00EA224A">
        <w:rPr>
          <w:rFonts w:ascii="Times New Roman" w:hAnsi="Times New Roman" w:cs="Times New Roman"/>
          <w:spacing w:val="-3"/>
        </w:rPr>
        <w:t>Suppleme</w:t>
      </w:r>
      <w:r w:rsidR="001D3CD0">
        <w:rPr>
          <w:rFonts w:ascii="Times New Roman" w:hAnsi="Times New Roman" w:cs="Times New Roman"/>
          <w:spacing w:val="-3"/>
        </w:rPr>
        <w:t>nt No. 60 to Tariff-Water-Pa. PUC</w:t>
      </w:r>
      <w:r w:rsidR="001E425D" w:rsidRPr="00EA224A">
        <w:rPr>
          <w:rFonts w:ascii="Times New Roman" w:hAnsi="Times New Roman" w:cs="Times New Roman"/>
          <w:spacing w:val="-3"/>
        </w:rPr>
        <w:t xml:space="preserve"> No. 7</w:t>
      </w:r>
      <w:r w:rsidRPr="00EA224A">
        <w:rPr>
          <w:rFonts w:ascii="Times New Roman" w:hAnsi="Times New Roman" w:cs="Times New Roman"/>
        </w:rPr>
        <w:t xml:space="preserve"> which have been found to be unjust and unreasonable and therefore, unlawful</w:t>
      </w:r>
      <w:r w:rsidRPr="00EA224A">
        <w:rPr>
          <w:rFonts w:ascii="Times New Roman" w:hAnsi="Times New Roman" w:cs="Times New Roman"/>
          <w:spacing w:val="-3"/>
        </w:rPr>
        <w:t>.</w:t>
      </w:r>
    </w:p>
    <w:p w:rsidR="003C555B" w:rsidRPr="00EA224A" w:rsidRDefault="003C555B" w:rsidP="00047866">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rPr>
      </w:pPr>
      <w:r w:rsidRPr="00EA224A">
        <w:rPr>
          <w:rFonts w:ascii="Times New Roman" w:hAnsi="Times New Roman" w:cs="Times New Roman"/>
          <w:spacing w:val="-3"/>
        </w:rPr>
        <w:tab/>
      </w:r>
      <w:r w:rsidRPr="00EA224A">
        <w:rPr>
          <w:rFonts w:ascii="Times New Roman" w:hAnsi="Times New Roman" w:cs="Times New Roman"/>
          <w:spacing w:val="-3"/>
        </w:rPr>
        <w:tab/>
        <w:t>2</w:t>
      </w:r>
      <w:r w:rsidRPr="00EA224A">
        <w:rPr>
          <w:rFonts w:ascii="Times New Roman" w:hAnsi="Times New Roman" w:cs="Times New Roman"/>
        </w:rPr>
        <w:t>.</w:t>
      </w:r>
      <w:r w:rsidRPr="00EA224A">
        <w:rPr>
          <w:rFonts w:ascii="Times New Roman" w:hAnsi="Times New Roman" w:cs="Times New Roman"/>
        </w:rPr>
        <w:tab/>
      </w:r>
      <w:r w:rsidRPr="00EA224A">
        <w:rPr>
          <w:rFonts w:ascii="Times New Roman" w:hAnsi="Times New Roman" w:cs="Times New Roman"/>
          <w:spacing w:val="-3"/>
        </w:rPr>
        <w:t xml:space="preserve">That </w:t>
      </w:r>
      <w:r w:rsidRPr="00EA224A">
        <w:rPr>
          <w:rFonts w:ascii="Times New Roman" w:hAnsi="Times New Roman" w:cs="Times New Roman"/>
        </w:rPr>
        <w:t>The Columbia Water Company shall file tariffs, tariff supplements or tariff revisions containing proposed rates, rules and regulations, which are consistent</w:t>
      </w:r>
      <w:r w:rsidR="007E67F2">
        <w:rPr>
          <w:rFonts w:ascii="Times New Roman" w:hAnsi="Times New Roman" w:cs="Times New Roman"/>
        </w:rPr>
        <w:t xml:space="preserve"> with the Recommended Decision</w:t>
      </w:r>
      <w:r w:rsidR="009155F7">
        <w:rPr>
          <w:rFonts w:ascii="Times New Roman" w:hAnsi="Times New Roman" w:cs="Times New Roman"/>
        </w:rPr>
        <w:t xml:space="preserve"> and which provides for a revenue increase of </w:t>
      </w:r>
      <w:r w:rsidR="009155F7" w:rsidRPr="009155F7">
        <w:rPr>
          <w:rFonts w:ascii="Times New Roman" w:hAnsi="Times New Roman" w:cs="Times New Roman"/>
        </w:rPr>
        <w:t>$</w:t>
      </w:r>
      <w:r w:rsidR="00FF6A3A">
        <w:rPr>
          <w:rFonts w:ascii="Times New Roman" w:hAnsi="Times New Roman" w:cs="Times New Roman"/>
        </w:rPr>
        <w:t>87,699</w:t>
      </w:r>
      <w:r w:rsidR="009155F7">
        <w:rPr>
          <w:rFonts w:ascii="Times New Roman" w:hAnsi="Times New Roman" w:cs="Times New Roman"/>
        </w:rPr>
        <w:t xml:space="preserve"> to be </w:t>
      </w:r>
      <w:r w:rsidR="009155F7" w:rsidRPr="009155F7">
        <w:rPr>
          <w:rFonts w:ascii="Times New Roman" w:hAnsi="Times New Roman" w:cs="Times New Roman"/>
        </w:rPr>
        <w:t>allocated on an “across-the-board” basis to all customers.</w:t>
      </w:r>
    </w:p>
    <w:p w:rsidR="003C555B" w:rsidRPr="00EA224A" w:rsidRDefault="003C555B" w:rsidP="00047866">
      <w:pPr>
        <w:suppressAutoHyphens/>
        <w:spacing w:line="360" w:lineRule="auto"/>
        <w:contextualSpacing/>
        <w:rPr>
          <w:rFonts w:ascii="Times New Roman" w:hAnsi="Times New Roman" w:cs="Times New Roman"/>
          <w:spacing w:val="-3"/>
        </w:rPr>
      </w:pPr>
    </w:p>
    <w:p w:rsidR="003C555B" w:rsidRPr="00EA224A" w:rsidRDefault="007E67F2" w:rsidP="00047866">
      <w:pPr>
        <w:suppressAutoHyphens/>
        <w:spacing w:line="360" w:lineRule="auto"/>
        <w:contextualSpacing/>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3.</w:t>
      </w:r>
      <w:r>
        <w:rPr>
          <w:rFonts w:ascii="Times New Roman" w:hAnsi="Times New Roman" w:cs="Times New Roman"/>
          <w:spacing w:val="-3"/>
        </w:rPr>
        <w:tab/>
        <w:t xml:space="preserve">That The Columbia Water </w:t>
      </w:r>
      <w:r w:rsidR="003C555B" w:rsidRPr="00EA224A">
        <w:rPr>
          <w:rFonts w:ascii="Times New Roman" w:hAnsi="Times New Roman" w:cs="Times New Roman"/>
          <w:spacing w:val="-3"/>
        </w:rPr>
        <w:t xml:space="preserve">Company’s tariffs, tariff </w:t>
      </w:r>
      <w:r w:rsidR="00C731FE">
        <w:rPr>
          <w:rFonts w:ascii="Times New Roman" w:hAnsi="Times New Roman" w:cs="Times New Roman"/>
          <w:spacing w:val="-3"/>
        </w:rPr>
        <w:t>s</w:t>
      </w:r>
      <w:r w:rsidR="003C555B" w:rsidRPr="00EA224A">
        <w:rPr>
          <w:rFonts w:ascii="Times New Roman" w:hAnsi="Times New Roman" w:cs="Times New Roman"/>
          <w:spacing w:val="-3"/>
        </w:rPr>
        <w:t xml:space="preserve">upplements or tariff revisions may be filed upon </w:t>
      </w:r>
      <w:r w:rsidR="009155F7">
        <w:rPr>
          <w:rFonts w:ascii="Times New Roman" w:hAnsi="Times New Roman" w:cs="Times New Roman"/>
          <w:spacing w:val="-3"/>
        </w:rPr>
        <w:t xml:space="preserve">one day’s </w:t>
      </w:r>
      <w:r w:rsidR="003C555B" w:rsidRPr="00EA224A">
        <w:rPr>
          <w:rFonts w:ascii="Times New Roman" w:hAnsi="Times New Roman" w:cs="Times New Roman"/>
          <w:spacing w:val="-3"/>
        </w:rPr>
        <w:t>notice, pursu</w:t>
      </w:r>
      <w:r w:rsidR="00306C69">
        <w:rPr>
          <w:rFonts w:ascii="Times New Roman" w:hAnsi="Times New Roman" w:cs="Times New Roman"/>
          <w:spacing w:val="-3"/>
        </w:rPr>
        <w:t>ant to the provisions of 52 Pa.</w:t>
      </w:r>
      <w:r w:rsidR="003C555B" w:rsidRPr="00EA224A">
        <w:rPr>
          <w:rFonts w:ascii="Times New Roman" w:hAnsi="Times New Roman" w:cs="Times New Roman"/>
          <w:spacing w:val="-3"/>
        </w:rPr>
        <w:t>Code §§</w:t>
      </w:r>
      <w:r w:rsidR="00306C69">
        <w:rPr>
          <w:rFonts w:ascii="Times New Roman" w:hAnsi="Times New Roman" w:cs="Times New Roman"/>
          <w:spacing w:val="-3"/>
        </w:rPr>
        <w:t> </w:t>
      </w:r>
      <w:r w:rsidR="003C555B" w:rsidRPr="00EA224A">
        <w:rPr>
          <w:rFonts w:ascii="Times New Roman" w:hAnsi="Times New Roman" w:cs="Times New Roman"/>
          <w:spacing w:val="-3"/>
        </w:rPr>
        <w:t>53.31 and 53.101, be effective for service rendered on and after the date of entry of the Final Order in this matter.</w:t>
      </w:r>
    </w:p>
    <w:p w:rsidR="003C555B" w:rsidRPr="00EA224A" w:rsidRDefault="003C555B" w:rsidP="00047866">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4.</w:t>
      </w:r>
      <w:r w:rsidRPr="00EA224A">
        <w:rPr>
          <w:rFonts w:ascii="Times New Roman" w:hAnsi="Times New Roman" w:cs="Times New Roman"/>
          <w:spacing w:val="-3"/>
        </w:rPr>
        <w:tab/>
        <w:t>That The Columbia Water Company shall comply with all directives, conclusions and recommendations in the Recommended Decision that are not the subject of individual ordering paragraphs as fully as if they were the subject of specific ordering paragraphs.</w:t>
      </w:r>
    </w:p>
    <w:p w:rsidR="003C555B" w:rsidRPr="00EA224A" w:rsidRDefault="003C555B" w:rsidP="00047866">
      <w:pPr>
        <w:suppressAutoHyphens/>
        <w:spacing w:line="360" w:lineRule="auto"/>
        <w:contextualSpacing/>
        <w:rPr>
          <w:rFonts w:ascii="Times New Roman" w:hAnsi="Times New Roman" w:cs="Times New Roman"/>
          <w:spacing w:val="-3"/>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5</w:t>
      </w:r>
      <w:r w:rsidRPr="00EA224A">
        <w:rPr>
          <w:rFonts w:ascii="Times New Roman" w:hAnsi="Times New Roman" w:cs="Times New Roman"/>
          <w:spacing w:val="-3"/>
        </w:rPr>
        <w:tab/>
        <w:t>That The Columbia Water Company shall allocate the authorized increase in operating revenues to each customer class and rate schedule within each class in the manner set forth in the Recommended Decision.</w:t>
      </w:r>
    </w:p>
    <w:p w:rsidR="003C555B" w:rsidRPr="00EA224A" w:rsidRDefault="003C555B" w:rsidP="00047866">
      <w:pPr>
        <w:autoSpaceDE/>
        <w:autoSpaceDN/>
        <w:spacing w:line="360" w:lineRule="auto"/>
        <w:contextualSpacing/>
        <w:rPr>
          <w:rFonts w:ascii="Times New Roman" w:hAnsi="Times New Roman" w:cs="Times New Roman"/>
        </w:rPr>
      </w:pPr>
    </w:p>
    <w:p w:rsidR="003C555B" w:rsidRPr="00EA224A" w:rsidRDefault="003C555B" w:rsidP="00047866">
      <w:pPr>
        <w:suppressAutoHyphens/>
        <w:spacing w:line="360" w:lineRule="auto"/>
        <w:contextualSpacing/>
        <w:rPr>
          <w:rFonts w:ascii="Times New Roman" w:hAnsi="Times New Roman" w:cs="Times New Roman"/>
          <w:spacing w:val="-3"/>
        </w:rPr>
      </w:pPr>
      <w:r w:rsidRPr="00EA224A">
        <w:rPr>
          <w:rFonts w:ascii="Times New Roman" w:hAnsi="Times New Roman" w:cs="Times New Roman"/>
          <w:spacing w:val="-3"/>
        </w:rPr>
        <w:tab/>
      </w:r>
      <w:r w:rsidRPr="00EA224A">
        <w:rPr>
          <w:rFonts w:ascii="Times New Roman" w:hAnsi="Times New Roman" w:cs="Times New Roman"/>
          <w:spacing w:val="-3"/>
        </w:rPr>
        <w:tab/>
        <w:t>6.</w:t>
      </w:r>
      <w:r w:rsidRPr="00EA224A">
        <w:rPr>
          <w:rFonts w:ascii="Times New Roman" w:hAnsi="Times New Roman" w:cs="Times New Roman"/>
          <w:spacing w:val="-3"/>
        </w:rPr>
        <w:tab/>
        <w:t xml:space="preserve">That the investigation at Docket </w:t>
      </w:r>
      <w:r w:rsidR="00C731FE">
        <w:rPr>
          <w:rFonts w:ascii="Times New Roman" w:hAnsi="Times New Roman" w:cs="Times New Roman"/>
          <w:spacing w:val="-3"/>
        </w:rPr>
        <w:t xml:space="preserve">No. </w:t>
      </w:r>
      <w:r w:rsidRPr="00EA224A">
        <w:rPr>
          <w:rFonts w:ascii="Times New Roman" w:hAnsi="Times New Roman" w:cs="Times New Roman"/>
          <w:spacing w:val="-3"/>
        </w:rPr>
        <w:t>R-20</w:t>
      </w:r>
      <w:r w:rsidR="001E425D" w:rsidRPr="00EA224A">
        <w:rPr>
          <w:rFonts w:ascii="Times New Roman" w:hAnsi="Times New Roman" w:cs="Times New Roman"/>
          <w:spacing w:val="-3"/>
        </w:rPr>
        <w:t>13</w:t>
      </w:r>
      <w:r w:rsidRPr="00EA224A">
        <w:rPr>
          <w:rFonts w:ascii="Times New Roman" w:hAnsi="Times New Roman" w:cs="Times New Roman"/>
          <w:spacing w:val="-3"/>
        </w:rPr>
        <w:t>-</w:t>
      </w:r>
      <w:r w:rsidR="001E425D" w:rsidRPr="00EA224A">
        <w:rPr>
          <w:rFonts w:ascii="Times New Roman" w:hAnsi="Times New Roman" w:cs="Times New Roman"/>
          <w:spacing w:val="-3"/>
        </w:rPr>
        <w:t>2360798</w:t>
      </w:r>
      <w:r w:rsidRPr="00EA224A">
        <w:rPr>
          <w:rFonts w:ascii="Times New Roman" w:hAnsi="Times New Roman" w:cs="Times New Roman"/>
          <w:spacing w:val="-3"/>
        </w:rPr>
        <w:t xml:space="preserve"> be terminated and marked closed.</w:t>
      </w:r>
    </w:p>
    <w:p w:rsidR="003C555B" w:rsidRPr="00EA224A" w:rsidRDefault="003C555B" w:rsidP="00047866">
      <w:pPr>
        <w:suppressAutoHyphens/>
        <w:spacing w:line="360" w:lineRule="auto"/>
        <w:contextualSpacing/>
        <w:rPr>
          <w:rFonts w:ascii="Times New Roman" w:hAnsi="Times New Roman" w:cs="Times New Roman"/>
          <w:spacing w:val="-3"/>
        </w:rPr>
      </w:pPr>
    </w:p>
    <w:p w:rsidR="003C555B" w:rsidRPr="00EA224A" w:rsidRDefault="003C555B" w:rsidP="004272F2">
      <w:pPr>
        <w:adjustRightInd w:val="0"/>
        <w:spacing w:line="360" w:lineRule="auto"/>
        <w:contextualSpacing/>
        <w:rPr>
          <w:rFonts w:ascii="Times New Roman" w:hAnsi="Times New Roman" w:cs="Times New Roman"/>
        </w:rPr>
      </w:pPr>
      <w:r w:rsidRPr="00EA224A">
        <w:rPr>
          <w:rFonts w:ascii="Times New Roman" w:hAnsi="Times New Roman" w:cs="Times New Roman"/>
          <w:spacing w:val="-3"/>
        </w:rPr>
        <w:tab/>
      </w:r>
      <w:r w:rsidRPr="00EA224A">
        <w:rPr>
          <w:rFonts w:ascii="Times New Roman" w:hAnsi="Times New Roman" w:cs="Times New Roman"/>
          <w:spacing w:val="-3"/>
        </w:rPr>
        <w:tab/>
        <w:t>7</w:t>
      </w:r>
      <w:r w:rsidR="001E425D" w:rsidRPr="00EA224A">
        <w:rPr>
          <w:rFonts w:ascii="Times New Roman" w:hAnsi="Times New Roman" w:cs="Times New Roman"/>
        </w:rPr>
        <w:t>.</w:t>
      </w:r>
      <w:r w:rsidR="001E425D" w:rsidRPr="00EA224A">
        <w:rPr>
          <w:rFonts w:ascii="Times New Roman" w:hAnsi="Times New Roman" w:cs="Times New Roman"/>
        </w:rPr>
        <w:tab/>
        <w:t>That the C</w:t>
      </w:r>
      <w:r w:rsidRPr="00EA224A">
        <w:rPr>
          <w:rFonts w:ascii="Times New Roman" w:hAnsi="Times New Roman" w:cs="Times New Roman"/>
        </w:rPr>
        <w:t xml:space="preserve">omplaint filed by the Office of Consumer Advocate in this proceeding at Docket </w:t>
      </w:r>
      <w:r w:rsidR="001E425D" w:rsidRPr="00EA224A">
        <w:rPr>
          <w:rFonts w:ascii="Times New Roman" w:hAnsi="Times New Roman" w:cs="Times New Roman"/>
        </w:rPr>
        <w:t>No. C-2013-2363612</w:t>
      </w:r>
      <w:r w:rsidRPr="00EA224A">
        <w:rPr>
          <w:rFonts w:ascii="Times New Roman" w:hAnsi="Times New Roman" w:cs="Times New Roman"/>
        </w:rPr>
        <w:t xml:space="preserve"> be terminated and marked closed.</w:t>
      </w:r>
    </w:p>
    <w:p w:rsidR="001E425D" w:rsidRPr="00EA224A" w:rsidRDefault="001E425D" w:rsidP="00047866">
      <w:pPr>
        <w:widowControl w:val="0"/>
        <w:adjustRightInd w:val="0"/>
        <w:spacing w:line="360" w:lineRule="auto"/>
        <w:contextualSpacing/>
        <w:rPr>
          <w:rFonts w:ascii="Times New Roman" w:hAnsi="Times New Roman" w:cs="Times New Roman"/>
        </w:rPr>
      </w:pPr>
    </w:p>
    <w:p w:rsidR="001E425D" w:rsidRPr="00EA224A" w:rsidRDefault="001E425D" w:rsidP="00047866">
      <w:pPr>
        <w:widowControl w:val="0"/>
        <w:adjustRightInd w:val="0"/>
        <w:spacing w:line="360" w:lineRule="auto"/>
        <w:contextualSpacing/>
        <w:rPr>
          <w:rFonts w:ascii="Times New Roman" w:hAnsi="Times New Roman" w:cs="Times New Roman"/>
        </w:rPr>
      </w:pPr>
      <w:r w:rsidRPr="00EA224A">
        <w:rPr>
          <w:rFonts w:ascii="Times New Roman" w:hAnsi="Times New Roman" w:cs="Times New Roman"/>
        </w:rPr>
        <w:tab/>
      </w:r>
      <w:r w:rsidRPr="00EA224A">
        <w:rPr>
          <w:rFonts w:ascii="Times New Roman" w:hAnsi="Times New Roman" w:cs="Times New Roman"/>
        </w:rPr>
        <w:tab/>
        <w:t>8.</w:t>
      </w:r>
      <w:r w:rsidRPr="00EA224A">
        <w:rPr>
          <w:rFonts w:ascii="Times New Roman" w:hAnsi="Times New Roman" w:cs="Times New Roman"/>
        </w:rPr>
        <w:tab/>
        <w:t>That the Complaint filed by the Office of Small Business Advocate in this proceeding at Docket No. C-2013-2363728 be terminated and marked closed.</w:t>
      </w:r>
    </w:p>
    <w:p w:rsidR="003C555B" w:rsidRPr="00EA224A" w:rsidRDefault="003C555B" w:rsidP="00047866">
      <w:pPr>
        <w:widowControl w:val="0"/>
        <w:adjustRightInd w:val="0"/>
        <w:spacing w:line="360" w:lineRule="auto"/>
        <w:contextualSpacing/>
        <w:rPr>
          <w:rFonts w:ascii="Times New Roman" w:hAnsi="Times New Roman" w:cs="Times New Roman"/>
        </w:rPr>
      </w:pPr>
    </w:p>
    <w:p w:rsidR="003C555B" w:rsidRDefault="003C555B" w:rsidP="00047866">
      <w:pPr>
        <w:widowControl w:val="0"/>
        <w:adjustRightInd w:val="0"/>
        <w:spacing w:line="360" w:lineRule="auto"/>
        <w:contextualSpacing/>
        <w:rPr>
          <w:rFonts w:ascii="Times New Roman" w:hAnsi="Times New Roman" w:cs="Times New Roman"/>
        </w:rPr>
      </w:pPr>
      <w:r w:rsidRPr="00EA224A">
        <w:rPr>
          <w:rFonts w:ascii="Times New Roman" w:hAnsi="Times New Roman" w:cs="Times New Roman"/>
          <w:spacing w:val="-3"/>
        </w:rPr>
        <w:tab/>
      </w:r>
      <w:r w:rsidRPr="00EA224A">
        <w:rPr>
          <w:rFonts w:ascii="Times New Roman" w:hAnsi="Times New Roman" w:cs="Times New Roman"/>
          <w:spacing w:val="-3"/>
        </w:rPr>
        <w:tab/>
      </w:r>
      <w:r w:rsidR="004272F2">
        <w:rPr>
          <w:rFonts w:ascii="Times New Roman" w:hAnsi="Times New Roman" w:cs="Times New Roman"/>
          <w:spacing w:val="-3"/>
        </w:rPr>
        <w:t>9</w:t>
      </w:r>
      <w:r w:rsidR="001E425D" w:rsidRPr="00EA224A">
        <w:rPr>
          <w:rFonts w:ascii="Times New Roman" w:hAnsi="Times New Roman" w:cs="Times New Roman"/>
        </w:rPr>
        <w:t>.</w:t>
      </w:r>
      <w:r w:rsidR="001E425D" w:rsidRPr="00EA224A">
        <w:rPr>
          <w:rFonts w:ascii="Times New Roman" w:hAnsi="Times New Roman" w:cs="Times New Roman"/>
        </w:rPr>
        <w:tab/>
        <w:t>That the C</w:t>
      </w:r>
      <w:r w:rsidRPr="00EA224A">
        <w:rPr>
          <w:rFonts w:ascii="Times New Roman" w:hAnsi="Times New Roman" w:cs="Times New Roman"/>
        </w:rPr>
        <w:t xml:space="preserve">omplaint filed by </w:t>
      </w:r>
      <w:r w:rsidR="001E425D" w:rsidRPr="00EA224A">
        <w:rPr>
          <w:rFonts w:ascii="Times New Roman" w:hAnsi="Times New Roman" w:cs="Times New Roman"/>
        </w:rPr>
        <w:t>Mr. Vincent E. Collier at Docket No. C-2013-2364726</w:t>
      </w:r>
      <w:r w:rsidRPr="00EA224A">
        <w:rPr>
          <w:rFonts w:ascii="Times New Roman" w:hAnsi="Times New Roman" w:cs="Times New Roman"/>
        </w:rPr>
        <w:t xml:space="preserve"> be terminated and marked closed.</w:t>
      </w:r>
    </w:p>
    <w:p w:rsidR="00C731FE" w:rsidRPr="00EA224A" w:rsidRDefault="00C731FE" w:rsidP="00047866">
      <w:pPr>
        <w:widowControl w:val="0"/>
        <w:adjustRightInd w:val="0"/>
        <w:spacing w:line="360" w:lineRule="auto"/>
        <w:contextualSpacing/>
        <w:rPr>
          <w:rFonts w:ascii="Times New Roman" w:hAnsi="Times New Roman" w:cs="Times New Roman"/>
        </w:rPr>
      </w:pPr>
    </w:p>
    <w:p w:rsidR="003C555B" w:rsidRDefault="003C555B" w:rsidP="00047866">
      <w:pPr>
        <w:autoSpaceDE/>
        <w:autoSpaceDN/>
        <w:spacing w:line="360" w:lineRule="auto"/>
        <w:contextualSpacing/>
        <w:rPr>
          <w:rFonts w:ascii="Times New Roman" w:hAnsi="Times New Roman" w:cs="Times New Roman"/>
        </w:rPr>
      </w:pPr>
    </w:p>
    <w:p w:rsidR="00AC06AF" w:rsidRPr="00EA224A" w:rsidRDefault="00AC06AF" w:rsidP="00047866">
      <w:pPr>
        <w:autoSpaceDE/>
        <w:autoSpaceDN/>
        <w:contextualSpacing/>
        <w:rPr>
          <w:rFonts w:ascii="Times New Roman" w:hAnsi="Times New Roman" w:cs="Times New Roman"/>
        </w:rPr>
      </w:pPr>
      <w:r w:rsidRPr="00EA224A">
        <w:rPr>
          <w:rFonts w:ascii="Times New Roman" w:hAnsi="Times New Roman" w:cs="Times New Roman"/>
        </w:rPr>
        <w:t>DATED:</w:t>
      </w:r>
      <w:r w:rsidRPr="00EA224A">
        <w:rPr>
          <w:rFonts w:ascii="Times New Roman" w:hAnsi="Times New Roman" w:cs="Times New Roman"/>
        </w:rPr>
        <w:tab/>
      </w:r>
      <w:r w:rsidR="001E425D" w:rsidRPr="00EA224A">
        <w:rPr>
          <w:rFonts w:ascii="Times New Roman" w:hAnsi="Times New Roman" w:cs="Times New Roman"/>
          <w:u w:val="single"/>
        </w:rPr>
        <w:t xml:space="preserve">November </w:t>
      </w:r>
      <w:r w:rsidR="00C731FE">
        <w:rPr>
          <w:rFonts w:ascii="Times New Roman" w:hAnsi="Times New Roman" w:cs="Times New Roman"/>
          <w:u w:val="single"/>
        </w:rPr>
        <w:t>21</w:t>
      </w:r>
      <w:r w:rsidRPr="00EA224A">
        <w:rPr>
          <w:rFonts w:ascii="Times New Roman" w:hAnsi="Times New Roman" w:cs="Times New Roman"/>
          <w:u w:val="single"/>
        </w:rPr>
        <w:t>, 201</w:t>
      </w:r>
      <w:r w:rsidR="004C493C" w:rsidRPr="00EA224A">
        <w:rPr>
          <w:rFonts w:ascii="Times New Roman" w:hAnsi="Times New Roman" w:cs="Times New Roman"/>
          <w:u w:val="single"/>
        </w:rPr>
        <w:t>3</w:t>
      </w:r>
      <w:r w:rsidR="008F4F98">
        <w:rPr>
          <w:rFonts w:ascii="Times New Roman" w:hAnsi="Times New Roman" w:cs="Times New Roman"/>
        </w:rPr>
        <w:tab/>
      </w:r>
      <w:r w:rsidR="008F4F98">
        <w:rPr>
          <w:rFonts w:ascii="Times New Roman" w:hAnsi="Times New Roman" w:cs="Times New Roman"/>
        </w:rPr>
        <w:tab/>
      </w:r>
      <w:r w:rsidR="008F4F98">
        <w:rPr>
          <w:rFonts w:ascii="Times New Roman" w:hAnsi="Times New Roman" w:cs="Times New Roman"/>
        </w:rPr>
        <w:tab/>
      </w:r>
      <w:r w:rsidR="00213471">
        <w:rPr>
          <w:rFonts w:ascii="Times New Roman" w:hAnsi="Times New Roman" w:cs="Times New Roman"/>
        </w:rPr>
        <w:tab/>
      </w:r>
      <w:r w:rsidRPr="00EA224A">
        <w:rPr>
          <w:rFonts w:ascii="Times New Roman" w:hAnsi="Times New Roman" w:cs="Times New Roman"/>
          <w:u w:val="single"/>
        </w:rPr>
        <w:tab/>
      </w:r>
      <w:r w:rsidR="00C731FE">
        <w:rPr>
          <w:rFonts w:ascii="Times New Roman" w:hAnsi="Times New Roman" w:cs="Times New Roman"/>
          <w:u w:val="single"/>
        </w:rPr>
        <w:t>/s/</w:t>
      </w:r>
      <w:r w:rsidRPr="00EA224A">
        <w:rPr>
          <w:rFonts w:ascii="Times New Roman" w:hAnsi="Times New Roman" w:cs="Times New Roman"/>
          <w:u w:val="single"/>
        </w:rPr>
        <w:tab/>
      </w:r>
      <w:r w:rsidRPr="00EA224A">
        <w:rPr>
          <w:rFonts w:ascii="Times New Roman" w:hAnsi="Times New Roman" w:cs="Times New Roman"/>
          <w:u w:val="single"/>
        </w:rPr>
        <w:tab/>
      </w:r>
      <w:r w:rsidRPr="00EA224A">
        <w:rPr>
          <w:rFonts w:ascii="Times New Roman" w:hAnsi="Times New Roman" w:cs="Times New Roman"/>
          <w:u w:val="single"/>
        </w:rPr>
        <w:tab/>
      </w:r>
    </w:p>
    <w:p w:rsidR="00AC06AF" w:rsidRPr="00EA224A" w:rsidRDefault="008F4F98" w:rsidP="00047866">
      <w:pPr>
        <w:autoSpaceDE/>
        <w:autoSpaceDN/>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3471">
        <w:rPr>
          <w:rFonts w:ascii="Times New Roman" w:hAnsi="Times New Roman" w:cs="Times New Roman"/>
        </w:rPr>
        <w:tab/>
      </w:r>
      <w:r w:rsidR="00AC06AF" w:rsidRPr="00EA224A">
        <w:rPr>
          <w:rFonts w:ascii="Times New Roman" w:hAnsi="Times New Roman" w:cs="Times New Roman"/>
        </w:rPr>
        <w:t>Dennis J. Buckley</w:t>
      </w:r>
    </w:p>
    <w:p w:rsidR="00AC06AF" w:rsidRPr="00EA224A" w:rsidRDefault="008F4F98" w:rsidP="00047866">
      <w:pPr>
        <w:autoSpaceDE/>
        <w:autoSpaceDN/>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3471">
        <w:rPr>
          <w:rFonts w:ascii="Times New Roman" w:hAnsi="Times New Roman" w:cs="Times New Roman"/>
        </w:rPr>
        <w:tab/>
      </w:r>
      <w:r w:rsidR="00AC06AF" w:rsidRPr="00EA224A">
        <w:rPr>
          <w:rFonts w:ascii="Times New Roman" w:hAnsi="Times New Roman" w:cs="Times New Roman"/>
        </w:rPr>
        <w:t>Administrative Law Judge</w:t>
      </w:r>
    </w:p>
    <w:p w:rsidR="00B05C89" w:rsidRDefault="00B05C89" w:rsidP="00047866">
      <w:pPr>
        <w:spacing w:line="360" w:lineRule="auto"/>
        <w:contextualSpacing/>
        <w:jc w:val="center"/>
        <w:rPr>
          <w:rFonts w:ascii="Times New Roman" w:hAnsi="Times New Roman" w:cs="Times New Roman"/>
        </w:rPr>
        <w:sectPr w:rsidR="00B05C89" w:rsidSect="000E74AA">
          <w:footerReference w:type="first" r:id="rId12"/>
          <w:pgSz w:w="12240" w:h="15840" w:code="1"/>
          <w:pgMar w:top="1296" w:right="1296" w:bottom="1296" w:left="1296" w:header="720" w:footer="720" w:gutter="0"/>
          <w:pgNumType w:start="1"/>
          <w:cols w:space="720"/>
          <w:noEndnote/>
          <w:titlePg/>
          <w:docGrid w:linePitch="326"/>
        </w:sectPr>
      </w:pPr>
    </w:p>
    <w:tbl>
      <w:tblPr>
        <w:tblW w:w="0" w:type="auto"/>
        <w:tblLayout w:type="fixed"/>
        <w:tblLook w:val="04A0" w:firstRow="1" w:lastRow="0" w:firstColumn="1" w:lastColumn="0" w:noHBand="0" w:noVBand="1"/>
      </w:tblPr>
      <w:tblGrid>
        <w:gridCol w:w="1458"/>
        <w:gridCol w:w="208"/>
        <w:gridCol w:w="1091"/>
        <w:gridCol w:w="300"/>
        <w:gridCol w:w="1016"/>
        <w:gridCol w:w="300"/>
        <w:gridCol w:w="1121"/>
        <w:gridCol w:w="300"/>
        <w:gridCol w:w="1016"/>
        <w:gridCol w:w="236"/>
        <w:gridCol w:w="64"/>
        <w:gridCol w:w="897"/>
        <w:gridCol w:w="236"/>
        <w:gridCol w:w="775"/>
        <w:gridCol w:w="360"/>
        <w:gridCol w:w="1620"/>
      </w:tblGrid>
      <w:tr w:rsidR="00B05C89" w:rsidRPr="00B05C89" w:rsidTr="00B05C89">
        <w:trPr>
          <w:trHeight w:val="300"/>
        </w:trPr>
        <w:tc>
          <w:tcPr>
            <w:tcW w:w="10998" w:type="dxa"/>
            <w:gridSpan w:val="16"/>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bookmarkStart w:id="55" w:name="RANGE!A2:N43"/>
            <w:r w:rsidRPr="00B05C89">
              <w:rPr>
                <w:rFonts w:ascii="Arial MT" w:hAnsi="Arial MT" w:cs="Times New Roman"/>
                <w:color w:val="000000"/>
                <w:sz w:val="18"/>
                <w:szCs w:val="18"/>
              </w:rPr>
              <w:t>TABLE I</w:t>
            </w:r>
            <w:bookmarkEnd w:id="55"/>
          </w:p>
        </w:tc>
      </w:tr>
      <w:tr w:rsidR="00B05C89" w:rsidRPr="00B05C89" w:rsidTr="00B05C89">
        <w:trPr>
          <w:trHeight w:val="300"/>
        </w:trPr>
        <w:tc>
          <w:tcPr>
            <w:tcW w:w="10998" w:type="dxa"/>
            <w:gridSpan w:val="16"/>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Columbia Water Company</w:t>
            </w:r>
          </w:p>
        </w:tc>
      </w:tr>
      <w:tr w:rsidR="00B05C89" w:rsidRPr="00B05C89" w:rsidTr="00B05C89">
        <w:trPr>
          <w:trHeight w:val="300"/>
        </w:trPr>
        <w:tc>
          <w:tcPr>
            <w:tcW w:w="10998" w:type="dxa"/>
            <w:gridSpan w:val="16"/>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INCOME SUMMARY</w:t>
            </w:r>
          </w:p>
        </w:tc>
      </w:tr>
      <w:tr w:rsidR="00B05C89" w:rsidRPr="00B05C89" w:rsidTr="00B05C89">
        <w:trPr>
          <w:trHeight w:val="300"/>
        </w:trPr>
        <w:tc>
          <w:tcPr>
            <w:tcW w:w="10998" w:type="dxa"/>
            <w:gridSpan w:val="16"/>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R-2013-2360798</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Pro Forma</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ALJ</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ALJ</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Total</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Pro Forma</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 xml:space="preserve">Company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Present Rates</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ALJ</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Pro Forma</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Revenue</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Allowable</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Present Rates  (1)</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Adjustments (2)</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(Revised)  (3)</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Adjustments (4)</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Present Rates</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Increase</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Revenues</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Operating Revenue</w:t>
            </w:r>
          </w:p>
        </w:tc>
        <w:tc>
          <w:tcPr>
            <w:tcW w:w="1299"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4,032,272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b/>
                <w:bCs/>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9,392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4,041,664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4,041,664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sz w:val="18"/>
                <w:szCs w:val="18"/>
              </w:rPr>
            </w:pPr>
            <w:r w:rsidRPr="00B05C89">
              <w:rPr>
                <w:rFonts w:ascii="Arial MT" w:hAnsi="Arial MT" w:cs="Times New Roman"/>
                <w:sz w:val="18"/>
                <w:szCs w:val="18"/>
              </w:rPr>
              <w:t xml:space="preserve">87,699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4,129,363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Expenses:</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O &amp; M Expense</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2,030,398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2,030,398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(20,675)</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2,009,723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244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2,009,967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Depreciation</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739,260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739,260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739,260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739,260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Amortization</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15,039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15,039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(15,039)</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Taxes, Other</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134,931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134,931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134,931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134,931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Income Taxes:</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State</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75,186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75,186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(9,007)</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66,179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8,737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74,916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Federal</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171,208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171,208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(27,584)</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143,624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26,764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170,388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Regulatory Assessments</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24,159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24,159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24,159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525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24,684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r w:rsidRPr="00B05C89">
              <w:rPr>
                <w:rFonts w:ascii="Arial MT" w:hAnsi="Arial MT" w:cs="Times New Roman"/>
                <w:color w:val="000000"/>
                <w:sz w:val="18"/>
                <w:szCs w:val="18"/>
              </w:rPr>
              <w:t>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Total Expenses</w:t>
            </w:r>
          </w:p>
        </w:tc>
        <w:tc>
          <w:tcPr>
            <w:tcW w:w="1299"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3,190,181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3,190,181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(72,305)</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3,117,876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36,270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3,154,146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12"/>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Net Inc. Available for Return</w:t>
            </w:r>
          </w:p>
        </w:tc>
        <w:tc>
          <w:tcPr>
            <w:tcW w:w="1299" w:type="dxa"/>
            <w:gridSpan w:val="2"/>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842,091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9,392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851,483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(72,305)</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923,788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51,642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double" w:sz="6"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975,430 </w:t>
            </w:r>
          </w:p>
        </w:tc>
      </w:tr>
      <w:tr w:rsidR="00B05C89" w:rsidRPr="00B05C89" w:rsidTr="004202D8">
        <w:trPr>
          <w:trHeight w:val="312"/>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Rate Base*</w:t>
            </w:r>
          </w:p>
        </w:tc>
        <w:tc>
          <w:tcPr>
            <w:tcW w:w="1299"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13,527,774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268,971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13,796,745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13,796,745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0 </w:t>
            </w: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single" w:sz="4" w:space="0" w:color="000000"/>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 xml:space="preserve">13,796,745 </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4202D8">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Rate of Return</w:t>
            </w: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6.22%</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6.17%</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6.70%</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right"/>
              <w:rPr>
                <w:rFonts w:ascii="Arial MT" w:hAnsi="Arial MT" w:cs="Times New Roman"/>
                <w:color w:val="000000"/>
                <w:sz w:val="18"/>
                <w:szCs w:val="18"/>
              </w:rPr>
            </w:pPr>
            <w:r w:rsidRPr="00B05C89">
              <w:rPr>
                <w:rFonts w:ascii="Arial MT" w:hAnsi="Arial MT" w:cs="Times New Roman"/>
                <w:color w:val="000000"/>
                <w:sz w:val="18"/>
                <w:szCs w:val="18"/>
              </w:rPr>
              <w:t>7.07%</w:t>
            </w:r>
          </w:p>
        </w:tc>
      </w:tr>
      <w:tr w:rsidR="00B05C89" w:rsidRPr="00B05C89" w:rsidTr="004202D8">
        <w:trPr>
          <w:trHeight w:val="300"/>
        </w:trPr>
        <w:tc>
          <w:tcPr>
            <w:tcW w:w="1458"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299"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6810" w:type="dxa"/>
            <w:gridSpan w:val="9"/>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(1) Company Rate Filing Statement of Operating Revenues and Expenses at Present Rates page 1-22</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961"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8007" w:type="dxa"/>
            <w:gridSpan w:val="1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 xml:space="preserve">(2) Adjustment for sewer billing accepted by Company. See ALJ Recommended Decision page 22.  ($9,932 includes the $9,392 sewer billing.) </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36"/>
        </w:trPr>
        <w:tc>
          <w:tcPr>
            <w:tcW w:w="8007" w:type="dxa"/>
            <w:gridSpan w:val="1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(3) Company Main Brief Table 1 , Income Summary, Pro Forma Present Rates and Recommended Adjustments to Rate Base.</w:t>
            </w: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5494" w:type="dxa"/>
            <w:gridSpan w:val="7"/>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(4) See Table II for detail of ALJ Adjustments and Adjustments not in dispute.</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897"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666"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9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jc w:val="center"/>
              <w:rPr>
                <w:rFonts w:ascii="Arial MT" w:hAnsi="Arial MT" w:cs="Times New Roman"/>
                <w:color w:val="000000"/>
                <w:sz w:val="18"/>
                <w:szCs w:val="18"/>
              </w:rPr>
            </w:pPr>
            <w:r w:rsidRPr="00B05C89">
              <w:rPr>
                <w:rFonts w:ascii="Arial MT" w:hAnsi="Arial MT" w:cs="Times New Roman"/>
                <w:color w:val="000000"/>
                <w:sz w:val="18"/>
                <w:szCs w:val="18"/>
              </w:rPr>
              <w:t>$</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897"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4073" w:type="dxa"/>
            <w:gridSpan w:val="5"/>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*Rate Base Proforma Present rates Table 1 Company Main Brief</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4202D8" w:rsidP="00B05C89">
            <w:pPr>
              <w:autoSpaceDE/>
              <w:autoSpaceDN/>
              <w:rPr>
                <w:rFonts w:ascii="Arial MT" w:hAnsi="Arial MT" w:cs="Times New Roman"/>
                <w:b/>
                <w:bCs/>
                <w:color w:val="000000"/>
                <w:sz w:val="18"/>
                <w:szCs w:val="18"/>
              </w:rPr>
            </w:pPr>
            <w:r>
              <w:rPr>
                <w:rFonts w:ascii="Arial MT" w:hAnsi="Arial MT" w:cs="Times New Roman"/>
                <w:b/>
                <w:bCs/>
                <w:color w:val="000000"/>
                <w:sz w:val="18"/>
                <w:szCs w:val="18"/>
              </w:rPr>
              <w:t xml:space="preserve">            </w:t>
            </w:r>
            <w:r w:rsidR="00B05C89" w:rsidRPr="00B05C89">
              <w:rPr>
                <w:rFonts w:ascii="Arial MT" w:hAnsi="Arial MT" w:cs="Times New Roman"/>
                <w:b/>
                <w:bCs/>
                <w:color w:val="000000"/>
                <w:sz w:val="18"/>
                <w:szCs w:val="18"/>
              </w:rPr>
              <w:t xml:space="preserve">13,527,774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897"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72"/>
        </w:trPr>
        <w:tc>
          <w:tcPr>
            <w:tcW w:w="4073" w:type="dxa"/>
            <w:gridSpan w:val="5"/>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Company Adjustments to Rate BaseTable 2 Company Main Brief</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u w:val="single"/>
              </w:rPr>
            </w:pPr>
            <w:r w:rsidRPr="00B05C89">
              <w:rPr>
                <w:rFonts w:ascii="Arial MT" w:hAnsi="Arial MT" w:cs="Times New Roman"/>
                <w:b/>
                <w:bCs/>
                <w:color w:val="000000"/>
                <w:sz w:val="18"/>
                <w:szCs w:val="18"/>
                <w:u w:val="single"/>
              </w:rPr>
              <w:t xml:space="preserve">                   268,971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897"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r w:rsidR="00B05C89" w:rsidRPr="00B05C89" w:rsidTr="004202D8">
        <w:trPr>
          <w:trHeight w:val="300"/>
        </w:trPr>
        <w:tc>
          <w:tcPr>
            <w:tcW w:w="1666"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 xml:space="preserve">Adjusted Rate Base </w:t>
            </w:r>
          </w:p>
        </w:tc>
        <w:tc>
          <w:tcPr>
            <w:tcW w:w="109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p>
        </w:tc>
        <w:tc>
          <w:tcPr>
            <w:tcW w:w="1121"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b/>
                <w:bCs/>
                <w:color w:val="000000"/>
                <w:sz w:val="18"/>
                <w:szCs w:val="18"/>
              </w:rPr>
            </w:pPr>
            <w:r w:rsidRPr="00B05C89">
              <w:rPr>
                <w:rFonts w:ascii="Arial MT" w:hAnsi="Arial MT" w:cs="Times New Roman"/>
                <w:b/>
                <w:bCs/>
                <w:color w:val="000000"/>
                <w:sz w:val="18"/>
                <w:szCs w:val="18"/>
              </w:rPr>
              <w:t xml:space="preserve">              13,796,745 </w:t>
            </w:r>
          </w:p>
        </w:tc>
        <w:tc>
          <w:tcPr>
            <w:tcW w:w="30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01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00" w:type="dxa"/>
            <w:gridSpan w:val="2"/>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897"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236"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775"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36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c>
          <w:tcPr>
            <w:tcW w:w="1620" w:type="dxa"/>
            <w:tcBorders>
              <w:top w:val="nil"/>
              <w:left w:val="nil"/>
              <w:bottom w:val="nil"/>
              <w:right w:val="nil"/>
            </w:tcBorders>
            <w:shd w:val="clear" w:color="auto" w:fill="auto"/>
            <w:noWrap/>
            <w:vAlign w:val="bottom"/>
            <w:hideMark/>
          </w:tcPr>
          <w:p w:rsidR="00B05C89" w:rsidRPr="00B05C89" w:rsidRDefault="00B05C89" w:rsidP="00B05C89">
            <w:pPr>
              <w:autoSpaceDE/>
              <w:autoSpaceDN/>
              <w:rPr>
                <w:rFonts w:ascii="Arial MT" w:hAnsi="Arial MT" w:cs="Times New Roman"/>
                <w:color w:val="000000"/>
                <w:sz w:val="18"/>
                <w:szCs w:val="18"/>
              </w:rPr>
            </w:pPr>
          </w:p>
        </w:tc>
      </w:tr>
    </w:tbl>
    <w:p w:rsidR="002E21CF" w:rsidRDefault="002E21CF" w:rsidP="00047866">
      <w:pPr>
        <w:spacing w:line="360" w:lineRule="auto"/>
        <w:contextualSpacing/>
        <w:jc w:val="center"/>
        <w:rPr>
          <w:rFonts w:ascii="Times New Roman" w:hAnsi="Times New Roman" w:cs="Times New Roman"/>
        </w:rPr>
        <w:sectPr w:rsidR="002E21CF" w:rsidSect="00B05C89">
          <w:pgSz w:w="12240" w:h="15840" w:code="1"/>
          <w:pgMar w:top="720" w:right="720" w:bottom="720" w:left="720" w:header="720" w:footer="720" w:gutter="0"/>
          <w:pgNumType w:start="1"/>
          <w:cols w:space="720"/>
          <w:noEndnote/>
          <w:titlePg/>
          <w:docGrid w:linePitch="326"/>
        </w:sectPr>
      </w:pPr>
    </w:p>
    <w:tbl>
      <w:tblPr>
        <w:tblW w:w="10815" w:type="dxa"/>
        <w:tblInd w:w="93" w:type="dxa"/>
        <w:tblLook w:val="04A0" w:firstRow="1" w:lastRow="0" w:firstColumn="1" w:lastColumn="0" w:noHBand="0" w:noVBand="1"/>
      </w:tblPr>
      <w:tblGrid>
        <w:gridCol w:w="3134"/>
        <w:gridCol w:w="1755"/>
        <w:gridCol w:w="222"/>
        <w:gridCol w:w="1254"/>
        <w:gridCol w:w="222"/>
        <w:gridCol w:w="1910"/>
        <w:gridCol w:w="2318"/>
      </w:tblGrid>
      <w:tr w:rsidR="002E21CF" w:rsidRPr="002E21CF" w:rsidTr="002E21CF">
        <w:trPr>
          <w:trHeight w:val="300"/>
        </w:trPr>
        <w:tc>
          <w:tcPr>
            <w:tcW w:w="10815" w:type="dxa"/>
            <w:gridSpan w:val="7"/>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TABLE I(A)</w:t>
            </w:r>
          </w:p>
        </w:tc>
      </w:tr>
      <w:tr w:rsidR="002E21CF" w:rsidRPr="002E21CF" w:rsidTr="002E21CF">
        <w:trPr>
          <w:trHeight w:val="300"/>
        </w:trPr>
        <w:tc>
          <w:tcPr>
            <w:tcW w:w="10815" w:type="dxa"/>
            <w:gridSpan w:val="7"/>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Columbia Water Company</w:t>
            </w:r>
          </w:p>
        </w:tc>
      </w:tr>
      <w:tr w:rsidR="002E21CF" w:rsidRPr="002E21CF" w:rsidTr="002E21CF">
        <w:trPr>
          <w:trHeight w:val="300"/>
        </w:trPr>
        <w:tc>
          <w:tcPr>
            <w:tcW w:w="10815" w:type="dxa"/>
            <w:gridSpan w:val="7"/>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RATE OF RETURN</w:t>
            </w:r>
          </w:p>
        </w:tc>
      </w:tr>
      <w:tr w:rsidR="002E21CF" w:rsidRPr="002E21CF" w:rsidTr="002E21CF">
        <w:trPr>
          <w:trHeight w:val="300"/>
        </w:trPr>
        <w:tc>
          <w:tcPr>
            <w:tcW w:w="10815" w:type="dxa"/>
            <w:gridSpan w:val="7"/>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R-2013-2360798</w:t>
            </w: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After-Tax</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Weighted</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Structure</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Cost</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Cost</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Long-term Debt</w:t>
            </w: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50.00%</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5.00%</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2.50%</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Common Equity</w:t>
            </w:r>
          </w:p>
        </w:tc>
        <w:tc>
          <w:tcPr>
            <w:tcW w:w="1755"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50.00%</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9.15%</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4.57%</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12"/>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double" w:sz="6"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100.00%</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double" w:sz="6"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7.07%</w:t>
            </w: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12"/>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6587" w:type="dxa"/>
            <w:gridSpan w:val="5"/>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Source - ALJ Recommended Decision page 11 item 47.</w:t>
            </w: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313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755"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254"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191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318"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bl>
    <w:p w:rsidR="002E21CF" w:rsidRDefault="002E21CF" w:rsidP="00047866">
      <w:pPr>
        <w:spacing w:line="360" w:lineRule="auto"/>
        <w:contextualSpacing/>
        <w:jc w:val="center"/>
        <w:rPr>
          <w:rFonts w:ascii="Times New Roman" w:hAnsi="Times New Roman" w:cs="Times New Roman"/>
        </w:rPr>
        <w:sectPr w:rsidR="002E21CF" w:rsidSect="00B05C89">
          <w:pgSz w:w="12240" w:h="15840" w:code="1"/>
          <w:pgMar w:top="720" w:right="720" w:bottom="720" w:left="720" w:header="720" w:footer="720" w:gutter="0"/>
          <w:pgNumType w:start="1"/>
          <w:cols w:space="720"/>
          <w:noEndnote/>
          <w:titlePg/>
          <w:docGrid w:linePitch="326"/>
        </w:sectPr>
      </w:pPr>
    </w:p>
    <w:p w:rsidR="00AC06AF" w:rsidRDefault="00AC06AF" w:rsidP="00047866">
      <w:pPr>
        <w:spacing w:line="360" w:lineRule="auto"/>
        <w:contextualSpacing/>
        <w:jc w:val="center"/>
        <w:rPr>
          <w:rFonts w:ascii="Times New Roman" w:hAnsi="Times New Roman" w:cs="Times New Roman"/>
        </w:rPr>
      </w:pPr>
    </w:p>
    <w:p w:rsidR="002E21CF" w:rsidRDefault="002E21CF" w:rsidP="00047866">
      <w:pPr>
        <w:spacing w:line="360" w:lineRule="auto"/>
        <w:contextualSpacing/>
        <w:jc w:val="center"/>
        <w:rPr>
          <w:rFonts w:ascii="Times New Roman" w:hAnsi="Times New Roman" w:cs="Times New Roman"/>
        </w:rPr>
      </w:pPr>
    </w:p>
    <w:tbl>
      <w:tblPr>
        <w:tblW w:w="10815" w:type="dxa"/>
        <w:tblInd w:w="93" w:type="dxa"/>
        <w:tblLook w:val="04A0" w:firstRow="1" w:lastRow="0" w:firstColumn="1" w:lastColumn="0" w:noHBand="0" w:noVBand="1"/>
      </w:tblPr>
      <w:tblGrid>
        <w:gridCol w:w="1913"/>
        <w:gridCol w:w="222"/>
        <w:gridCol w:w="2049"/>
        <w:gridCol w:w="342"/>
        <w:gridCol w:w="2149"/>
        <w:gridCol w:w="4140"/>
      </w:tblGrid>
      <w:tr w:rsidR="002E21CF" w:rsidRPr="002E21CF" w:rsidTr="002E21CF">
        <w:trPr>
          <w:trHeight w:val="300"/>
        </w:trPr>
        <w:tc>
          <w:tcPr>
            <w:tcW w:w="10815" w:type="dxa"/>
            <w:gridSpan w:val="6"/>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TABLE I(B)</w:t>
            </w:r>
          </w:p>
        </w:tc>
      </w:tr>
      <w:tr w:rsidR="002E21CF" w:rsidRPr="002E21CF" w:rsidTr="002E21CF">
        <w:trPr>
          <w:trHeight w:val="300"/>
        </w:trPr>
        <w:tc>
          <w:tcPr>
            <w:tcW w:w="10815" w:type="dxa"/>
            <w:gridSpan w:val="6"/>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Columbia Water Company</w:t>
            </w:r>
          </w:p>
        </w:tc>
      </w:tr>
      <w:tr w:rsidR="002E21CF" w:rsidRPr="002E21CF" w:rsidTr="002E21CF">
        <w:trPr>
          <w:trHeight w:val="300"/>
        </w:trPr>
        <w:tc>
          <w:tcPr>
            <w:tcW w:w="10815" w:type="dxa"/>
            <w:gridSpan w:val="6"/>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REVENUE FACTOR</w:t>
            </w:r>
          </w:p>
        </w:tc>
      </w:tr>
      <w:tr w:rsidR="002E21CF" w:rsidRPr="002E21CF" w:rsidTr="002E21CF">
        <w:trPr>
          <w:trHeight w:val="300"/>
        </w:trPr>
        <w:tc>
          <w:tcPr>
            <w:tcW w:w="10815" w:type="dxa"/>
            <w:gridSpan w:val="6"/>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color w:val="000000"/>
              </w:rPr>
            </w:pPr>
            <w:r w:rsidRPr="002E21CF">
              <w:rPr>
                <w:rFonts w:ascii="Arial MT" w:hAnsi="Arial MT" w:cs="Times New Roman"/>
                <w:color w:val="000000"/>
              </w:rPr>
              <w:t>R-2013-2360798</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100%</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1.00000000</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 xml:space="preserve">  Less:</w:t>
            </w: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4526" w:type="dxa"/>
            <w:gridSpan w:val="4"/>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 xml:space="preserve">    Uncollectible Accounts Factor (*)</w:t>
            </w: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0.00277825</w:t>
            </w:r>
          </w:p>
        </w:tc>
      </w:tr>
      <w:tr w:rsidR="002E21CF" w:rsidRPr="002E21CF" w:rsidTr="002E21CF">
        <w:trPr>
          <w:trHeight w:val="300"/>
        </w:trPr>
        <w:tc>
          <w:tcPr>
            <w:tcW w:w="6675" w:type="dxa"/>
            <w:gridSpan w:val="5"/>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 xml:space="preserve">    PUC, OCA, OSBA Assessment Factors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0.00599149</w:t>
            </w:r>
          </w:p>
        </w:tc>
      </w:tr>
      <w:tr w:rsidR="002E21CF" w:rsidRPr="002E21CF" w:rsidTr="002E21CF">
        <w:trPr>
          <w:trHeight w:val="300"/>
        </w:trPr>
        <w:tc>
          <w:tcPr>
            <w:tcW w:w="4184" w:type="dxa"/>
            <w:gridSpan w:val="3"/>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 xml:space="preserve">    Gross Receipts Tax</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0.00000000</w:t>
            </w:r>
          </w:p>
        </w:tc>
      </w:tr>
      <w:tr w:rsidR="002E21CF" w:rsidRPr="002E21CF" w:rsidTr="002E21CF">
        <w:trPr>
          <w:trHeight w:val="300"/>
        </w:trPr>
        <w:tc>
          <w:tcPr>
            <w:tcW w:w="2135"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 xml:space="preserve">    Other Tax Factors</w:t>
            </w: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0.00000000</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0.99123026</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6675" w:type="dxa"/>
            <w:gridSpan w:val="5"/>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State Income Tax Rate (Company Rate Filing page 2-12)</w:t>
            </w: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0.09990000</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4184" w:type="dxa"/>
            <w:gridSpan w:val="3"/>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Effective State Income Tax Rate</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0.09902390</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4526" w:type="dxa"/>
            <w:gridSpan w:val="4"/>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Factor After Local and State Taxes</w:t>
            </w: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0.89220636</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6675" w:type="dxa"/>
            <w:gridSpan w:val="5"/>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Federal Inc. Tax Rate (Company Rate Filing page 2-12)</w:t>
            </w: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0.34000000</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4526" w:type="dxa"/>
            <w:gridSpan w:val="4"/>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Effective Federal Income Tax Rate</w:t>
            </w: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single" w:sz="4"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0.30335016</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12"/>
        </w:trPr>
        <w:tc>
          <w:tcPr>
            <w:tcW w:w="6675" w:type="dxa"/>
            <w:gridSpan w:val="5"/>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r w:rsidRPr="002E21CF">
              <w:rPr>
                <w:rFonts w:ascii="Arial MT" w:hAnsi="Arial MT" w:cs="Times New Roman"/>
                <w:color w:val="000000"/>
              </w:rPr>
              <w:t>Revenue Factor (100% - Effective Tax Rates)</w:t>
            </w:r>
          </w:p>
        </w:tc>
        <w:tc>
          <w:tcPr>
            <w:tcW w:w="4140" w:type="dxa"/>
            <w:tcBorders>
              <w:top w:val="nil"/>
              <w:left w:val="nil"/>
              <w:bottom w:val="double" w:sz="6" w:space="0" w:color="000000"/>
              <w:right w:val="nil"/>
            </w:tcBorders>
            <w:shd w:val="clear" w:color="auto" w:fill="auto"/>
            <w:noWrap/>
            <w:vAlign w:val="bottom"/>
            <w:hideMark/>
          </w:tcPr>
          <w:p w:rsidR="002E21CF" w:rsidRPr="002E21CF" w:rsidRDefault="002E21CF" w:rsidP="002E21CF">
            <w:pPr>
              <w:autoSpaceDE/>
              <w:autoSpaceDN/>
              <w:jc w:val="right"/>
              <w:rPr>
                <w:rFonts w:ascii="Arial MT" w:hAnsi="Arial MT" w:cs="Times New Roman"/>
                <w:color w:val="000000"/>
              </w:rPr>
            </w:pPr>
            <w:r w:rsidRPr="002E21CF">
              <w:rPr>
                <w:rFonts w:ascii="Arial MT" w:hAnsi="Arial MT" w:cs="Times New Roman"/>
                <w:color w:val="000000"/>
              </w:rPr>
              <w:t>0.58885620</w:t>
            </w:r>
          </w:p>
        </w:tc>
      </w:tr>
      <w:tr w:rsidR="002E21CF" w:rsidRPr="002E21CF" w:rsidTr="002E21CF">
        <w:trPr>
          <w:trHeight w:val="312"/>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4526" w:type="dxa"/>
            <w:gridSpan w:val="4"/>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Company Filing page 1-15 and 1-10</w:t>
            </w: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2135"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Bad Debt page 1-15</w:t>
            </w: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u w:val="single"/>
              </w:rPr>
            </w:pPr>
            <w:r w:rsidRPr="002E21CF">
              <w:rPr>
                <w:rFonts w:ascii="Arial MT" w:hAnsi="Arial MT" w:cs="Times New Roman"/>
                <w:b/>
                <w:bCs/>
                <w:color w:val="000000"/>
                <w:sz w:val="22"/>
                <w:szCs w:val="22"/>
                <w:u w:val="single"/>
              </w:rPr>
              <w:t xml:space="preserve">         11,000 </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jc w:val="center"/>
              <w:rPr>
                <w:rFonts w:ascii="Arial MT" w:hAnsi="Arial MT" w:cs="Times New Roman"/>
                <w:b/>
                <w:bCs/>
                <w:color w:val="000000"/>
                <w:sz w:val="22"/>
                <w:szCs w:val="22"/>
              </w:rPr>
            </w:pPr>
            <w:r w:rsidRPr="002E21CF">
              <w:rPr>
                <w:rFonts w:ascii="Arial MT" w:hAnsi="Arial MT" w:cs="Times New Roman"/>
                <w:b/>
                <w:bCs/>
                <w:color w:val="000000"/>
                <w:sz w:val="22"/>
                <w:szCs w:val="22"/>
              </w:rPr>
              <w:t>=</w:t>
            </w: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xml:space="preserve">    0.0027782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2135"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Revenue page 1-10</w:t>
            </w: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xml:space="preserve">    3,959,334 </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0815" w:type="dxa"/>
            <w:gridSpan w:val="6"/>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Company Rate Filing Supporting Schedule No. 10 (page 2-15)</w:t>
            </w: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71"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PUC Assessment</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xml:space="preserve">    0.0044903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71"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OCA Assessment</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xml:space="preserve">    0.0013821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72"/>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71" w:type="dxa"/>
            <w:gridSpan w:val="2"/>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SBA Assessment</w:t>
            </w: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u w:val="single"/>
              </w:rPr>
            </w:pPr>
            <w:r w:rsidRPr="002E21CF">
              <w:rPr>
                <w:rFonts w:ascii="Arial MT" w:hAnsi="Arial MT" w:cs="Times New Roman"/>
                <w:b/>
                <w:bCs/>
                <w:color w:val="000000"/>
                <w:sz w:val="22"/>
                <w:szCs w:val="22"/>
                <w:u w:val="single"/>
              </w:rPr>
              <w:t xml:space="preserve">    0.0001191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r w:rsidR="002E21CF" w:rsidRPr="002E21CF" w:rsidTr="002E21CF">
        <w:trPr>
          <w:trHeight w:val="300"/>
        </w:trPr>
        <w:tc>
          <w:tcPr>
            <w:tcW w:w="1913"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2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0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342"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p>
        </w:tc>
        <w:tc>
          <w:tcPr>
            <w:tcW w:w="2149"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b/>
                <w:bCs/>
                <w:color w:val="000000"/>
                <w:sz w:val="22"/>
                <w:szCs w:val="22"/>
              </w:rPr>
            </w:pPr>
            <w:r w:rsidRPr="002E21CF">
              <w:rPr>
                <w:rFonts w:ascii="Arial MT" w:hAnsi="Arial MT" w:cs="Times New Roman"/>
                <w:b/>
                <w:bCs/>
                <w:color w:val="000000"/>
                <w:sz w:val="22"/>
                <w:szCs w:val="22"/>
              </w:rPr>
              <w:t xml:space="preserve">    0.0059915 </w:t>
            </w:r>
          </w:p>
        </w:tc>
        <w:tc>
          <w:tcPr>
            <w:tcW w:w="4140" w:type="dxa"/>
            <w:tcBorders>
              <w:top w:val="nil"/>
              <w:left w:val="nil"/>
              <w:bottom w:val="nil"/>
              <w:right w:val="nil"/>
            </w:tcBorders>
            <w:shd w:val="clear" w:color="auto" w:fill="auto"/>
            <w:noWrap/>
            <w:vAlign w:val="bottom"/>
            <w:hideMark/>
          </w:tcPr>
          <w:p w:rsidR="002E21CF" w:rsidRPr="002E21CF" w:rsidRDefault="002E21CF" w:rsidP="002E21CF">
            <w:pPr>
              <w:autoSpaceDE/>
              <w:autoSpaceDN/>
              <w:rPr>
                <w:rFonts w:ascii="Arial MT" w:hAnsi="Arial MT" w:cs="Times New Roman"/>
                <w:color w:val="000000"/>
              </w:rPr>
            </w:pPr>
          </w:p>
        </w:tc>
      </w:tr>
    </w:tbl>
    <w:p w:rsidR="002E21CF" w:rsidRDefault="002E21CF" w:rsidP="00047866">
      <w:pPr>
        <w:spacing w:line="360" w:lineRule="auto"/>
        <w:contextualSpacing/>
        <w:jc w:val="center"/>
        <w:rPr>
          <w:rFonts w:ascii="Times New Roman" w:hAnsi="Times New Roman" w:cs="Times New Roman"/>
        </w:rPr>
        <w:sectPr w:rsidR="002E21CF" w:rsidSect="00B05C89">
          <w:pgSz w:w="12240" w:h="15840" w:code="1"/>
          <w:pgMar w:top="720" w:right="720" w:bottom="720" w:left="720" w:header="720" w:footer="720" w:gutter="0"/>
          <w:pgNumType w:start="1"/>
          <w:cols w:space="720"/>
          <w:noEndnote/>
          <w:titlePg/>
          <w:docGrid w:linePitch="326"/>
        </w:sectPr>
      </w:pPr>
    </w:p>
    <w:p w:rsidR="002E21CF" w:rsidRDefault="00241C39" w:rsidP="00047866">
      <w:pPr>
        <w:spacing w:line="360" w:lineRule="auto"/>
        <w:contextualSpacing/>
        <w:jc w:val="center"/>
        <w:rPr>
          <w:rFonts w:ascii="Times New Roman" w:hAnsi="Times New Roman" w:cs="Times New Roman"/>
        </w:rPr>
      </w:pPr>
      <w:r w:rsidRPr="00241C39">
        <w:drawing>
          <wp:inline distT="0" distB="0" distL="0" distR="0" wp14:anchorId="6C6F7834" wp14:editId="0B6353D0">
            <wp:extent cx="6858000" cy="48899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889901"/>
                    </a:xfrm>
                    <a:prstGeom prst="rect">
                      <a:avLst/>
                    </a:prstGeom>
                    <a:noFill/>
                    <a:ln>
                      <a:noFill/>
                    </a:ln>
                  </pic:spPr>
                </pic:pic>
              </a:graphicData>
            </a:graphic>
          </wp:inline>
        </w:drawing>
      </w:r>
    </w:p>
    <w:p w:rsidR="00241C39" w:rsidRDefault="00241C39" w:rsidP="00047866">
      <w:pPr>
        <w:spacing w:line="360" w:lineRule="auto"/>
        <w:contextualSpacing/>
        <w:jc w:val="center"/>
        <w:rPr>
          <w:rFonts w:ascii="Times New Roman" w:hAnsi="Times New Roman" w:cs="Times New Roman"/>
        </w:rPr>
      </w:pPr>
    </w:p>
    <w:p w:rsidR="00241C39" w:rsidRDefault="00241C39">
      <w:pPr>
        <w:autoSpaceDE/>
        <w:autoSpaceDN/>
        <w:spacing w:line="360" w:lineRule="auto"/>
        <w:rPr>
          <w:rFonts w:ascii="Times New Roman" w:hAnsi="Times New Roman" w:cs="Times New Roman"/>
        </w:rPr>
      </w:pPr>
      <w:r>
        <w:rPr>
          <w:rFonts w:ascii="Times New Roman" w:hAnsi="Times New Roman" w:cs="Times New Roman"/>
        </w:rPr>
        <w:br w:type="page"/>
      </w:r>
    </w:p>
    <w:tbl>
      <w:tblPr>
        <w:tblW w:w="10905" w:type="dxa"/>
        <w:tblInd w:w="93" w:type="dxa"/>
        <w:tblLook w:val="04A0" w:firstRow="1" w:lastRow="0" w:firstColumn="1" w:lastColumn="0" w:noHBand="0" w:noVBand="1"/>
      </w:tblPr>
      <w:tblGrid>
        <w:gridCol w:w="4700"/>
        <w:gridCol w:w="1660"/>
        <w:gridCol w:w="1160"/>
        <w:gridCol w:w="3385"/>
      </w:tblGrid>
      <w:tr w:rsidR="00241C39" w:rsidRPr="00241C39" w:rsidTr="00241C39">
        <w:trPr>
          <w:trHeight w:val="300"/>
        </w:trPr>
        <w:tc>
          <w:tcPr>
            <w:tcW w:w="6360" w:type="dxa"/>
            <w:gridSpan w:val="2"/>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bookmarkStart w:id="56" w:name="RANGE!A1:D37"/>
            <w:r w:rsidRPr="00241C39">
              <w:rPr>
                <w:rFonts w:ascii="Arial MT" w:hAnsi="Arial MT" w:cs="Times New Roman"/>
                <w:color w:val="000000"/>
              </w:rPr>
              <w:t>TABLE III</w:t>
            </w:r>
            <w:bookmarkEnd w:id="56"/>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6360" w:type="dxa"/>
            <w:gridSpan w:val="2"/>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r w:rsidRPr="00241C39">
              <w:rPr>
                <w:rFonts w:ascii="Arial MT" w:hAnsi="Arial MT" w:cs="Times New Roman"/>
                <w:color w:val="000000"/>
              </w:rPr>
              <w:t>Columbia Water Company</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6360" w:type="dxa"/>
            <w:gridSpan w:val="2"/>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r w:rsidRPr="00241C39">
              <w:rPr>
                <w:rFonts w:ascii="Arial MT" w:hAnsi="Arial MT" w:cs="Times New Roman"/>
                <w:color w:val="000000"/>
              </w:rPr>
              <w:t>INTEREST SYNCHRONIZATION</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6360" w:type="dxa"/>
            <w:gridSpan w:val="2"/>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r w:rsidRPr="00241C39">
              <w:rPr>
                <w:rFonts w:ascii="Arial MT" w:hAnsi="Arial MT" w:cs="Times New Roman"/>
                <w:color w:val="000000"/>
              </w:rPr>
              <w:t>R-2013-2360798</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r w:rsidRPr="00241C39">
              <w:rPr>
                <w:rFonts w:ascii="Arial MT" w:hAnsi="Arial MT" w:cs="Times New Roman"/>
                <w:color w:val="000000"/>
              </w:rPr>
              <w:t>Amount</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center"/>
              <w:rPr>
                <w:rFonts w:ascii="Arial MT" w:hAnsi="Arial MT" w:cs="Times New Roman"/>
                <w:color w:val="000000"/>
              </w:rPr>
            </w:pPr>
            <w:r w:rsidRPr="00241C39">
              <w:rPr>
                <w:rFonts w:ascii="Arial MT" w:hAnsi="Arial MT" w:cs="Times New Roman"/>
                <w:color w:val="000000"/>
              </w:rPr>
              <w:t>$</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 xml:space="preserve">Company Rate Base Claim* </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13,796,745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ALJ Rate Base Adjustments</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0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ALJ Rate Base</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13,796,745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Weighted Cost of Debt</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2.50%</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ALJ Interest Expense</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344,919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Company Claim  **</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219,064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Total ALJ Adjustment</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(125,855)</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Company Adjustment</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 xml:space="preserve">0 </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Net ALJ Interest Adjustment</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(125,855)</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State Income Tax Rate</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9.99%</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State Income Tax Adjustment</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(12,573)</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Net ALJ Interest Adjustment</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(125,855)</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State Income Tax Adjustment</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(12,573)</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Net ALJ Adjustment for F.I.T.</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(113,282)</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Federal Income Tax Rate</w:t>
            </w:r>
          </w:p>
        </w:tc>
        <w:tc>
          <w:tcPr>
            <w:tcW w:w="1660" w:type="dxa"/>
            <w:tcBorders>
              <w:top w:val="nil"/>
              <w:left w:val="nil"/>
              <w:bottom w:val="single" w:sz="4" w:space="0" w:color="000000"/>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34.00%</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12"/>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Federal Income Tax Adjustment</w:t>
            </w:r>
          </w:p>
        </w:tc>
        <w:tc>
          <w:tcPr>
            <w:tcW w:w="1660" w:type="dxa"/>
            <w:tcBorders>
              <w:top w:val="nil"/>
              <w:left w:val="nil"/>
              <w:bottom w:val="double" w:sz="6" w:space="0" w:color="auto"/>
              <w:right w:val="nil"/>
            </w:tcBorders>
            <w:shd w:val="clear" w:color="auto" w:fill="auto"/>
            <w:noWrap/>
            <w:vAlign w:val="bottom"/>
            <w:hideMark/>
          </w:tcPr>
          <w:p w:rsidR="00241C39" w:rsidRPr="00241C39" w:rsidRDefault="00241C39" w:rsidP="00241C39">
            <w:pPr>
              <w:autoSpaceDE/>
              <w:autoSpaceDN/>
              <w:jc w:val="right"/>
              <w:rPr>
                <w:rFonts w:ascii="Arial MT" w:hAnsi="Arial MT" w:cs="Times New Roman"/>
                <w:color w:val="000000"/>
              </w:rPr>
            </w:pPr>
            <w:r w:rsidRPr="00241C39">
              <w:rPr>
                <w:rFonts w:ascii="Arial MT" w:hAnsi="Arial MT" w:cs="Times New Roman"/>
                <w:color w:val="000000"/>
              </w:rPr>
              <w:t>(38,516)</w:t>
            </w: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12"/>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10905" w:type="dxa"/>
            <w:gridSpan w:val="4"/>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 Includes Company Adjustment of $268,971 (see Company Main Brief Table 1)</w:t>
            </w: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r w:rsidR="00241C39" w:rsidRPr="00241C39" w:rsidTr="00241C39">
        <w:trPr>
          <w:trHeight w:val="300"/>
        </w:trPr>
        <w:tc>
          <w:tcPr>
            <w:tcW w:w="470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r w:rsidRPr="00241C39">
              <w:rPr>
                <w:rFonts w:ascii="Arial MT" w:hAnsi="Arial MT" w:cs="Times New Roman"/>
                <w:color w:val="000000"/>
              </w:rPr>
              <w:t>**Rate Filing page 1-22</w:t>
            </w:r>
          </w:p>
        </w:tc>
        <w:tc>
          <w:tcPr>
            <w:tcW w:w="16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1160"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c>
          <w:tcPr>
            <w:tcW w:w="3385" w:type="dxa"/>
            <w:tcBorders>
              <w:top w:val="nil"/>
              <w:left w:val="nil"/>
              <w:bottom w:val="nil"/>
              <w:right w:val="nil"/>
            </w:tcBorders>
            <w:shd w:val="clear" w:color="auto" w:fill="auto"/>
            <w:noWrap/>
            <w:vAlign w:val="bottom"/>
            <w:hideMark/>
          </w:tcPr>
          <w:p w:rsidR="00241C39" w:rsidRPr="00241C39" w:rsidRDefault="00241C39" w:rsidP="00241C39">
            <w:pPr>
              <w:autoSpaceDE/>
              <w:autoSpaceDN/>
              <w:rPr>
                <w:rFonts w:ascii="Arial MT" w:hAnsi="Arial MT" w:cs="Times New Roman"/>
                <w:color w:val="000000"/>
              </w:rPr>
            </w:pPr>
          </w:p>
        </w:tc>
      </w:tr>
    </w:tbl>
    <w:p w:rsidR="00241C39" w:rsidRPr="00EA224A" w:rsidRDefault="00241C39" w:rsidP="00047866">
      <w:pPr>
        <w:spacing w:line="360" w:lineRule="auto"/>
        <w:contextualSpacing/>
        <w:jc w:val="center"/>
        <w:rPr>
          <w:rFonts w:ascii="Times New Roman" w:hAnsi="Times New Roman" w:cs="Times New Roman"/>
        </w:rPr>
      </w:pPr>
    </w:p>
    <w:sectPr w:rsidR="00241C39" w:rsidRPr="00EA224A" w:rsidSect="00B05C89">
      <w:footerReference w:type="default" r:id="rId14"/>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56" w:rsidRDefault="00804D56" w:rsidP="00045EE4">
      <w:r>
        <w:separator/>
      </w:r>
    </w:p>
  </w:endnote>
  <w:endnote w:type="continuationSeparator" w:id="0">
    <w:p w:rsidR="00804D56" w:rsidRDefault="00804D56" w:rsidP="000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89" w:rsidRDefault="00B05C89" w:rsidP="00554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C89" w:rsidRDefault="00B05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1930"/>
      <w:docPartObj>
        <w:docPartGallery w:val="Page Numbers (Bottom of Page)"/>
        <w:docPartUnique/>
      </w:docPartObj>
    </w:sdtPr>
    <w:sdtEndPr>
      <w:rPr>
        <w:rFonts w:ascii="Times New Roman" w:hAnsi="Times New Roman" w:cs="Times New Roman"/>
        <w:noProof/>
        <w:sz w:val="20"/>
        <w:szCs w:val="20"/>
      </w:rPr>
    </w:sdtEndPr>
    <w:sdtContent>
      <w:p w:rsidR="00B05C89" w:rsidRPr="00047866" w:rsidRDefault="00B05C89" w:rsidP="00047866">
        <w:pPr>
          <w:pStyle w:val="Footer"/>
          <w:tabs>
            <w:tab w:val="clear" w:pos="4320"/>
            <w:tab w:val="clear" w:pos="8640"/>
          </w:tabs>
          <w:jc w:val="center"/>
          <w:rPr>
            <w:rFonts w:ascii="Times New Roman" w:hAnsi="Times New Roman" w:cs="Times New Roman"/>
            <w:sz w:val="20"/>
            <w:szCs w:val="20"/>
          </w:rPr>
        </w:pPr>
        <w:r w:rsidRPr="00047866">
          <w:rPr>
            <w:rFonts w:ascii="Times New Roman" w:hAnsi="Times New Roman" w:cs="Times New Roman"/>
            <w:sz w:val="20"/>
            <w:szCs w:val="20"/>
          </w:rPr>
          <w:fldChar w:fldCharType="begin"/>
        </w:r>
        <w:r w:rsidRPr="00047866">
          <w:rPr>
            <w:rFonts w:ascii="Times New Roman" w:hAnsi="Times New Roman" w:cs="Times New Roman"/>
            <w:sz w:val="20"/>
            <w:szCs w:val="20"/>
          </w:rPr>
          <w:instrText xml:space="preserve"> PAGE   \* MERGEFORMAT </w:instrText>
        </w:r>
        <w:r w:rsidRPr="00047866">
          <w:rPr>
            <w:rFonts w:ascii="Times New Roman" w:hAnsi="Times New Roman" w:cs="Times New Roman"/>
            <w:sz w:val="20"/>
            <w:szCs w:val="20"/>
          </w:rPr>
          <w:fldChar w:fldCharType="separate"/>
        </w:r>
        <w:r w:rsidR="000B77B7">
          <w:rPr>
            <w:rFonts w:ascii="Times New Roman" w:hAnsi="Times New Roman" w:cs="Times New Roman"/>
            <w:noProof/>
            <w:sz w:val="20"/>
            <w:szCs w:val="20"/>
          </w:rPr>
          <w:t>2</w:t>
        </w:r>
        <w:r w:rsidRPr="0004786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542445"/>
      <w:docPartObj>
        <w:docPartGallery w:val="Page Numbers (Bottom of Page)"/>
        <w:docPartUnique/>
      </w:docPartObj>
    </w:sdtPr>
    <w:sdtEndPr>
      <w:rPr>
        <w:rFonts w:ascii="Times New Roman" w:hAnsi="Times New Roman" w:cs="Times New Roman"/>
        <w:noProof/>
        <w:sz w:val="20"/>
        <w:szCs w:val="20"/>
      </w:rPr>
    </w:sdtEndPr>
    <w:sdtContent>
      <w:p w:rsidR="00B05C89" w:rsidRPr="000E74AA" w:rsidRDefault="00B05C89" w:rsidP="000E74AA">
        <w:pPr>
          <w:pStyle w:val="Footer"/>
          <w:jc w:val="center"/>
          <w:rPr>
            <w:rFonts w:ascii="Times New Roman" w:hAnsi="Times New Roman" w:cs="Times New Roman"/>
            <w:sz w:val="20"/>
            <w:szCs w:val="20"/>
          </w:rPr>
        </w:pPr>
        <w:r w:rsidRPr="000E74AA">
          <w:rPr>
            <w:rFonts w:ascii="Times New Roman" w:hAnsi="Times New Roman" w:cs="Times New Roman"/>
            <w:sz w:val="20"/>
            <w:szCs w:val="20"/>
          </w:rPr>
          <w:fldChar w:fldCharType="begin"/>
        </w:r>
        <w:r w:rsidRPr="000E74AA">
          <w:rPr>
            <w:rFonts w:ascii="Times New Roman" w:hAnsi="Times New Roman" w:cs="Times New Roman"/>
            <w:sz w:val="20"/>
            <w:szCs w:val="20"/>
          </w:rPr>
          <w:instrText xml:space="preserve"> PAGE   \* MERGEFORMAT </w:instrText>
        </w:r>
        <w:r w:rsidRPr="000E74AA">
          <w:rPr>
            <w:rFonts w:ascii="Times New Roman" w:hAnsi="Times New Roman" w:cs="Times New Roman"/>
            <w:sz w:val="20"/>
            <w:szCs w:val="20"/>
          </w:rPr>
          <w:fldChar w:fldCharType="separate"/>
        </w:r>
        <w:r w:rsidR="000B77B7">
          <w:rPr>
            <w:rFonts w:ascii="Times New Roman" w:hAnsi="Times New Roman" w:cs="Times New Roman"/>
            <w:noProof/>
            <w:sz w:val="20"/>
            <w:szCs w:val="20"/>
          </w:rPr>
          <w:t>i</w:t>
        </w:r>
        <w:r w:rsidRPr="000E74AA">
          <w:rPr>
            <w:rFonts w:ascii="Times New Roman" w:hAnsi="Times New Roman" w:cs="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89" w:rsidRDefault="00B05C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71" w:rsidRPr="00047866" w:rsidRDefault="00213471" w:rsidP="00047866">
    <w:pPr>
      <w:pStyle w:val="Footer"/>
      <w:tabs>
        <w:tab w:val="clear" w:pos="4320"/>
        <w:tab w:val="clear" w:pos="8640"/>
      </w:tabs>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56" w:rsidRDefault="00804D56" w:rsidP="00045EE4">
      <w:r>
        <w:separator/>
      </w:r>
    </w:p>
  </w:footnote>
  <w:footnote w:type="continuationSeparator" w:id="0">
    <w:p w:rsidR="00804D56" w:rsidRDefault="00804D56" w:rsidP="00045EE4">
      <w:r>
        <w:continuationSeparator/>
      </w:r>
    </w:p>
  </w:footnote>
  <w:footnote w:id="1">
    <w:p w:rsidR="00B05C89" w:rsidRDefault="00B05C89">
      <w:pPr>
        <w:pStyle w:val="FootnoteText"/>
      </w:pPr>
      <w:r>
        <w:rPr>
          <w:rStyle w:val="FootnoteReference"/>
        </w:rPr>
        <w:footnoteRef/>
      </w:r>
      <w:r>
        <w:t xml:space="preserve"> </w:t>
      </w:r>
      <w:r>
        <w:tab/>
        <w:t>The parties were able to resolve many of the issues in this case, but settlement eluded them given significant differences with respect to many of Columbia’s requests and its disagreement with many proposed adjustments.  This Recommended Decision takes up the remaining issues in controv</w:t>
      </w:r>
      <w:bookmarkStart w:id="1" w:name="_GoBack"/>
      <w:bookmarkEnd w:id="1"/>
      <w:r>
        <w:t>ersy in this rate case.</w:t>
      </w:r>
    </w:p>
    <w:p w:rsidR="00B05C89" w:rsidRDefault="00B05C89">
      <w:pPr>
        <w:pStyle w:val="FootnoteText"/>
      </w:pPr>
    </w:p>
  </w:footnote>
  <w:footnote w:id="2">
    <w:p w:rsidR="00B05C89" w:rsidRDefault="00B05C89" w:rsidP="00D73B3B">
      <w:pPr>
        <w:pStyle w:val="FootnoteText"/>
      </w:pPr>
      <w:r>
        <w:rPr>
          <w:rStyle w:val="FootnoteReference"/>
        </w:rPr>
        <w:footnoteRef/>
      </w:r>
      <w:r>
        <w:t xml:space="preserve"> </w:t>
      </w:r>
      <w:r>
        <w:tab/>
        <w:t>Columbia has two divisions: the Columbia Division and the Marietta Division.  This rate case is only for the Columbia Division.</w:t>
      </w:r>
    </w:p>
    <w:p w:rsidR="00B05C89" w:rsidRDefault="00B05C89" w:rsidP="00D73B3B">
      <w:pPr>
        <w:pStyle w:val="FootnoteText"/>
      </w:pPr>
    </w:p>
  </w:footnote>
  <w:footnote w:id="3">
    <w:p w:rsidR="00B05C89" w:rsidRDefault="00B05C89">
      <w:pPr>
        <w:pStyle w:val="FootnoteText"/>
      </w:pPr>
      <w:r>
        <w:rPr>
          <w:rStyle w:val="FootnoteReference"/>
        </w:rPr>
        <w:footnoteRef/>
      </w:r>
      <w:r>
        <w:t xml:space="preserve"> </w:t>
      </w:r>
      <w:r>
        <w:tab/>
        <w:t>Mr. Collier was provided with notice of the prehearing conference, but he did not attend.  He did, however, attend the public input hearing on September 3, 2013, and made a sworn statement at that time.</w:t>
      </w:r>
    </w:p>
    <w:p w:rsidR="00B05C89" w:rsidRDefault="00B05C89">
      <w:pPr>
        <w:pStyle w:val="FootnoteText"/>
      </w:pPr>
    </w:p>
  </w:footnote>
  <w:footnote w:id="4">
    <w:p w:rsidR="00B05C89" w:rsidRDefault="00B05C89">
      <w:pPr>
        <w:pStyle w:val="FootnoteText"/>
      </w:pPr>
      <w:r>
        <w:rPr>
          <w:rStyle w:val="FootnoteReference"/>
        </w:rPr>
        <w:footnoteRef/>
      </w:r>
      <w:r>
        <w:t xml:space="preserve"> </w:t>
      </w:r>
      <w:r>
        <w:tab/>
        <w:t xml:space="preserve">The issue ruled on in the Order was </w:t>
      </w:r>
      <w:r w:rsidRPr="00EB4CDB">
        <w:t>directly analogous to a line of discovery raised by the O</w:t>
      </w:r>
      <w:r>
        <w:t xml:space="preserve">CA in Columbia’s 2008 rate case; that is, a discovery request for salaries and an accounting of the percentages of time spent by the officers and managers of Columbia, an issue that would recur at the  hearing on September 5, 2013.  See, </w:t>
      </w:r>
      <w:r w:rsidRPr="00EF5F0E">
        <w:rPr>
          <w:i/>
        </w:rPr>
        <w:t>Pa</w:t>
      </w:r>
      <w:r>
        <w:rPr>
          <w:i/>
        </w:rPr>
        <w:t>.</w:t>
      </w:r>
      <w:r w:rsidRPr="00EF5F0E">
        <w:rPr>
          <w:i/>
        </w:rPr>
        <w:t xml:space="preserve"> Public Utility Commission, et al. v. The Columbia Water Company</w:t>
      </w:r>
      <w:r>
        <w:t xml:space="preserve">, Docket No. </w:t>
      </w:r>
      <w:r w:rsidRPr="00EF5F0E">
        <w:t>R-2008-2045157 (Final Order entered June 10, 2009)</w:t>
      </w:r>
      <w:r>
        <w:t>.</w:t>
      </w:r>
    </w:p>
    <w:p w:rsidR="00B05C89" w:rsidRDefault="00B05C89">
      <w:pPr>
        <w:pStyle w:val="FootnoteText"/>
      </w:pPr>
    </w:p>
  </w:footnote>
  <w:footnote w:id="5">
    <w:p w:rsidR="00B05C89" w:rsidRDefault="00B05C89">
      <w:pPr>
        <w:pStyle w:val="FootnoteText"/>
      </w:pPr>
      <w:r>
        <w:rPr>
          <w:rStyle w:val="FootnoteReference"/>
        </w:rPr>
        <w:footnoteRef/>
      </w:r>
      <w:r>
        <w:t xml:space="preserve"> </w:t>
      </w:r>
      <w:r>
        <w:tab/>
        <w:t xml:space="preserve">Samuel Sulkosky, </w:t>
      </w:r>
      <w:r w:rsidRPr="00667979">
        <w:t>the Borough Manager of Columbia</w:t>
      </w:r>
      <w:r>
        <w:t xml:space="preserve">, </w:t>
      </w:r>
      <w:r w:rsidRPr="00667979">
        <w:t>sent a letter to the Commission which led to the scheduling of the public input hearing</w:t>
      </w:r>
      <w:r>
        <w:t>.</w:t>
      </w:r>
    </w:p>
    <w:p w:rsidR="00B05C89" w:rsidRDefault="00B05C89">
      <w:pPr>
        <w:pStyle w:val="FootnoteText"/>
      </w:pPr>
    </w:p>
  </w:footnote>
  <w:footnote w:id="6">
    <w:p w:rsidR="00B05C89" w:rsidRDefault="00B05C89">
      <w:pPr>
        <w:pStyle w:val="FootnoteText"/>
      </w:pPr>
      <w:r>
        <w:rPr>
          <w:rStyle w:val="FootnoteReference"/>
        </w:rPr>
        <w:footnoteRef/>
      </w:r>
      <w:r>
        <w:t xml:space="preserve"> </w:t>
      </w:r>
      <w:r>
        <w:tab/>
        <w:t>The OCA filed a correction to its Reply Brief on October 8, 2013.  The OSBA did not file briefs in this case.</w:t>
      </w:r>
    </w:p>
  </w:footnote>
  <w:footnote w:id="7">
    <w:p w:rsidR="00B05C89" w:rsidRDefault="00B05C89">
      <w:pPr>
        <w:pStyle w:val="FootnoteText"/>
      </w:pPr>
      <w:r>
        <w:rPr>
          <w:rStyle w:val="FootnoteReference"/>
        </w:rPr>
        <w:footnoteRef/>
      </w:r>
      <w:r>
        <w:tab/>
      </w:r>
      <w:r w:rsidRPr="00667979">
        <w:rPr>
          <w:i/>
        </w:rPr>
        <w:t>Pa. P.U.C. v. Columbia Water Co</w:t>
      </w:r>
      <w:r w:rsidRPr="00667979">
        <w:t>., R-00974007</w:t>
      </w:r>
      <w:r>
        <w:t xml:space="preserve"> </w:t>
      </w:r>
      <w:r w:rsidRPr="00667979">
        <w:t>(1997)</w:t>
      </w:r>
    </w:p>
  </w:footnote>
  <w:footnote w:id="8">
    <w:p w:rsidR="00B05C89" w:rsidRPr="003F6F80" w:rsidRDefault="00B05C89" w:rsidP="007374B2">
      <w:pPr>
        <w:pStyle w:val="FootnoteText"/>
        <w:rPr>
          <w:rFonts w:ascii="Times New Roman" w:hAnsi="Times New Roman" w:cs="Times New Roman"/>
        </w:rPr>
      </w:pPr>
      <w:r w:rsidRPr="003F6F80">
        <w:rPr>
          <w:rStyle w:val="FootnoteReference"/>
          <w:rFonts w:ascii="Times New Roman" w:hAnsi="Times New Roman" w:cs="Times New Roman"/>
        </w:rPr>
        <w:footnoteRef/>
      </w:r>
      <w:r w:rsidRPr="003F6F80">
        <w:rPr>
          <w:rFonts w:ascii="Times New Roman" w:hAnsi="Times New Roman" w:cs="Times New Roman"/>
        </w:rPr>
        <w:t xml:space="preserve"> </w:t>
      </w:r>
      <w:r w:rsidRPr="003F6F80">
        <w:rPr>
          <w:rFonts w:ascii="Times New Roman" w:hAnsi="Times New Roman" w:cs="Times New Roman"/>
        </w:rPr>
        <w:tab/>
        <w:t>Mr. Collier owns rental property in East Hempfield’s service territory.</w:t>
      </w:r>
    </w:p>
  </w:footnote>
  <w:footnote w:id="9">
    <w:p w:rsidR="00B05C89" w:rsidRPr="00B22FA2" w:rsidRDefault="00B05C89" w:rsidP="004272F2">
      <w:pPr>
        <w:pStyle w:val="FootnoteText"/>
        <w:rPr>
          <w:rFonts w:ascii="Times New Roman" w:hAnsi="Times New Roman"/>
        </w:rPr>
      </w:pPr>
      <w:r w:rsidRPr="00B22FA2">
        <w:rPr>
          <w:rStyle w:val="FootnoteReference"/>
          <w:rFonts w:ascii="Times New Roman" w:hAnsi="Times New Roman"/>
        </w:rPr>
        <w:footnoteRef/>
      </w:r>
      <w:r w:rsidRPr="00B22FA2">
        <w:rPr>
          <w:rFonts w:ascii="Times New Roman" w:hAnsi="Times New Roman"/>
        </w:rPr>
        <w:t xml:space="preserve"> </w:t>
      </w:r>
      <w:r>
        <w:rPr>
          <w:rFonts w:ascii="Times New Roman" w:hAnsi="Times New Roman"/>
        </w:rPr>
        <w:tab/>
        <w:t>As the OCA notes, i</w:t>
      </w:r>
      <w:r w:rsidRPr="00B22FA2">
        <w:rPr>
          <w:rFonts w:ascii="Times New Roman" w:hAnsi="Times New Roman"/>
        </w:rPr>
        <w:t>n direct and rebuttal testimony</w:t>
      </w:r>
      <w:r>
        <w:rPr>
          <w:rFonts w:ascii="Times New Roman" w:hAnsi="Times New Roman"/>
        </w:rPr>
        <w:t xml:space="preserve"> Columbia</w:t>
      </w:r>
      <w:r w:rsidRPr="00B22FA2">
        <w:rPr>
          <w:rFonts w:ascii="Times New Roman" w:hAnsi="Times New Roman"/>
        </w:rPr>
        <w:t xml:space="preserve"> reflected an incorrect percentage of bad debt expense, stating that it was 0.023%.  OCA St. 1S at 11.  Company witness Shambaugh corrected it to 0.23%.  Tr. 131.</w:t>
      </w:r>
    </w:p>
  </w:footnote>
  <w:footnote w:id="10">
    <w:p w:rsidR="00B05C89" w:rsidRPr="00B22FA2" w:rsidRDefault="00B05C89" w:rsidP="004272F2">
      <w:pPr>
        <w:pStyle w:val="FootnoteText"/>
        <w:rPr>
          <w:rFonts w:ascii="Times New Roman" w:hAnsi="Times New Roman"/>
        </w:rPr>
      </w:pPr>
      <w:r w:rsidRPr="00B22FA2">
        <w:rPr>
          <w:rStyle w:val="FootnoteReference"/>
          <w:rFonts w:ascii="Times New Roman" w:hAnsi="Times New Roman"/>
        </w:rPr>
        <w:footnoteRef/>
      </w:r>
      <w:r w:rsidRPr="00B22FA2">
        <w:rPr>
          <w:rFonts w:ascii="Times New Roman" w:hAnsi="Times New Roman"/>
        </w:rPr>
        <w:t xml:space="preserve"> </w:t>
      </w:r>
      <w:r>
        <w:rPr>
          <w:rFonts w:ascii="Times New Roman" w:hAnsi="Times New Roman"/>
        </w:rPr>
        <w:tab/>
      </w:r>
      <w:r w:rsidRPr="00B22FA2">
        <w:rPr>
          <w:rFonts w:ascii="Times New Roman" w:hAnsi="Times New Roman"/>
        </w:rPr>
        <w:t xml:space="preserve">Using the Company’s proposed equity ratio of 64.4%, a 0.25% equity bump results in a 0.16% bump to ROR (64.45% x 0.25% = 0.16%).  Sch. DWD-1 at 1.  Using the rate base claimed in Columbia’s revised rebuttal testimony of $13,796,707, each 0.25% adder results in an additional $34,492 of revenue requirement ($13,796,707 x 0.25% = $34,492).  GDS Rebuttal Exh. 3 at 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56E"/>
    <w:multiLevelType w:val="multilevel"/>
    <w:tmpl w:val="3DB25F92"/>
    <w:lvl w:ilvl="0">
      <w:start w:val="1"/>
      <w:numFmt w:val="upperRoman"/>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rPr>
        <w:rFonts w:hint="default"/>
        <w:b w:val="0"/>
        <w:i w: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b w:val="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DD40070"/>
    <w:multiLevelType w:val="hybridMultilevel"/>
    <w:tmpl w:val="739C9D1C"/>
    <w:lvl w:ilvl="0" w:tplc="FD485E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57132"/>
    <w:multiLevelType w:val="hybridMultilevel"/>
    <w:tmpl w:val="27DEECF2"/>
    <w:lvl w:ilvl="0" w:tplc="E60864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1C87903"/>
    <w:multiLevelType w:val="hybridMultilevel"/>
    <w:tmpl w:val="BD6090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A15C20"/>
    <w:multiLevelType w:val="hybridMultilevel"/>
    <w:tmpl w:val="BF32730E"/>
    <w:lvl w:ilvl="0" w:tplc="3DA8D86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4524D71"/>
    <w:multiLevelType w:val="hybridMultilevel"/>
    <w:tmpl w:val="E93E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C5A2A"/>
    <w:multiLevelType w:val="hybridMultilevel"/>
    <w:tmpl w:val="FE3A8212"/>
    <w:lvl w:ilvl="0" w:tplc="04090019">
      <w:start w:val="1"/>
      <w:numFmt w:val="lowerLetter"/>
      <w:lvlText w:val="%1."/>
      <w:lvlJc w:val="left"/>
      <w:pPr>
        <w:ind w:left="7020" w:hanging="360"/>
      </w:p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5"/>
  </w:num>
  <w:num w:numId="2">
    <w:abstractNumId w:val="3"/>
  </w:num>
  <w:num w:numId="3">
    <w:abstractNumId w:val="4"/>
  </w:num>
  <w:num w:numId="4">
    <w:abstractNumId w:val="4"/>
    <w:lvlOverride w:ilvl="0">
      <w:startOverride w:val="1"/>
    </w:lvlOverride>
  </w:num>
  <w:num w:numId="5">
    <w:abstractNumId w:val="6"/>
  </w:num>
  <w:num w:numId="6">
    <w:abstractNumId w:val="1"/>
  </w:num>
  <w:num w:numId="7">
    <w:abstractNumId w:val="0"/>
  </w:num>
  <w:num w:numId="8">
    <w:abstractNumId w:val="0"/>
    <w:lvlOverride w:ilvl="0">
      <w:startOverride w:val="8"/>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D"/>
    <w:rsid w:val="00000648"/>
    <w:rsid w:val="0000090F"/>
    <w:rsid w:val="00000ABE"/>
    <w:rsid w:val="000010E5"/>
    <w:rsid w:val="000014B7"/>
    <w:rsid w:val="0000470F"/>
    <w:rsid w:val="000051DD"/>
    <w:rsid w:val="0000587C"/>
    <w:rsid w:val="000058E0"/>
    <w:rsid w:val="000068D5"/>
    <w:rsid w:val="00006F99"/>
    <w:rsid w:val="00007C08"/>
    <w:rsid w:val="000115F2"/>
    <w:rsid w:val="00014304"/>
    <w:rsid w:val="00014CD8"/>
    <w:rsid w:val="00016B73"/>
    <w:rsid w:val="000174C3"/>
    <w:rsid w:val="00021414"/>
    <w:rsid w:val="00021426"/>
    <w:rsid w:val="00021EA0"/>
    <w:rsid w:val="00021ECB"/>
    <w:rsid w:val="00022505"/>
    <w:rsid w:val="00023E3C"/>
    <w:rsid w:val="00025668"/>
    <w:rsid w:val="0002592A"/>
    <w:rsid w:val="00026710"/>
    <w:rsid w:val="00027A04"/>
    <w:rsid w:val="00030158"/>
    <w:rsid w:val="0003039C"/>
    <w:rsid w:val="00031DFE"/>
    <w:rsid w:val="000326DC"/>
    <w:rsid w:val="000336F2"/>
    <w:rsid w:val="0003399E"/>
    <w:rsid w:val="000353F1"/>
    <w:rsid w:val="00036D5D"/>
    <w:rsid w:val="000376F9"/>
    <w:rsid w:val="00037FC4"/>
    <w:rsid w:val="000403CD"/>
    <w:rsid w:val="000407AC"/>
    <w:rsid w:val="00045EE4"/>
    <w:rsid w:val="00046304"/>
    <w:rsid w:val="00047866"/>
    <w:rsid w:val="00047FCF"/>
    <w:rsid w:val="000500B9"/>
    <w:rsid w:val="0005066D"/>
    <w:rsid w:val="0005071B"/>
    <w:rsid w:val="00050E0C"/>
    <w:rsid w:val="0005286E"/>
    <w:rsid w:val="00053D6C"/>
    <w:rsid w:val="000609B6"/>
    <w:rsid w:val="00061364"/>
    <w:rsid w:val="0006490E"/>
    <w:rsid w:val="0006608A"/>
    <w:rsid w:val="000673AB"/>
    <w:rsid w:val="000700AB"/>
    <w:rsid w:val="00070AB6"/>
    <w:rsid w:val="000725BE"/>
    <w:rsid w:val="00075E7E"/>
    <w:rsid w:val="00075F00"/>
    <w:rsid w:val="00077BC2"/>
    <w:rsid w:val="00086351"/>
    <w:rsid w:val="0009147B"/>
    <w:rsid w:val="0009160C"/>
    <w:rsid w:val="00092F06"/>
    <w:rsid w:val="00093C4A"/>
    <w:rsid w:val="00094125"/>
    <w:rsid w:val="000943BE"/>
    <w:rsid w:val="000952F9"/>
    <w:rsid w:val="000964CC"/>
    <w:rsid w:val="000974B4"/>
    <w:rsid w:val="000977CD"/>
    <w:rsid w:val="00097A4C"/>
    <w:rsid w:val="000A18DD"/>
    <w:rsid w:val="000A3309"/>
    <w:rsid w:val="000A4939"/>
    <w:rsid w:val="000A5469"/>
    <w:rsid w:val="000A6A9D"/>
    <w:rsid w:val="000A725A"/>
    <w:rsid w:val="000B0A10"/>
    <w:rsid w:val="000B3728"/>
    <w:rsid w:val="000B3AB8"/>
    <w:rsid w:val="000B3BA5"/>
    <w:rsid w:val="000B611F"/>
    <w:rsid w:val="000B6C5B"/>
    <w:rsid w:val="000B77B7"/>
    <w:rsid w:val="000B77FB"/>
    <w:rsid w:val="000C0C90"/>
    <w:rsid w:val="000C13F0"/>
    <w:rsid w:val="000C26AF"/>
    <w:rsid w:val="000C3889"/>
    <w:rsid w:val="000C3DF7"/>
    <w:rsid w:val="000C4224"/>
    <w:rsid w:val="000C67B7"/>
    <w:rsid w:val="000C723E"/>
    <w:rsid w:val="000C7890"/>
    <w:rsid w:val="000D06AC"/>
    <w:rsid w:val="000D142A"/>
    <w:rsid w:val="000D36CB"/>
    <w:rsid w:val="000D42E8"/>
    <w:rsid w:val="000D4D9A"/>
    <w:rsid w:val="000D4F59"/>
    <w:rsid w:val="000D4FF3"/>
    <w:rsid w:val="000D5FFC"/>
    <w:rsid w:val="000E1D21"/>
    <w:rsid w:val="000E45E1"/>
    <w:rsid w:val="000E4E90"/>
    <w:rsid w:val="000E65E8"/>
    <w:rsid w:val="000E74AA"/>
    <w:rsid w:val="000F1529"/>
    <w:rsid w:val="000F2774"/>
    <w:rsid w:val="000F2893"/>
    <w:rsid w:val="000F31BB"/>
    <w:rsid w:val="000F3452"/>
    <w:rsid w:val="00100125"/>
    <w:rsid w:val="001030D4"/>
    <w:rsid w:val="0010318E"/>
    <w:rsid w:val="00104F14"/>
    <w:rsid w:val="001055F6"/>
    <w:rsid w:val="0010634F"/>
    <w:rsid w:val="00106C5A"/>
    <w:rsid w:val="0011051F"/>
    <w:rsid w:val="00110C5C"/>
    <w:rsid w:val="00111240"/>
    <w:rsid w:val="0011188B"/>
    <w:rsid w:val="00112499"/>
    <w:rsid w:val="0011280A"/>
    <w:rsid w:val="00113394"/>
    <w:rsid w:val="0011339D"/>
    <w:rsid w:val="00114BDE"/>
    <w:rsid w:val="00114C3A"/>
    <w:rsid w:val="00114CA5"/>
    <w:rsid w:val="00115EE3"/>
    <w:rsid w:val="00117645"/>
    <w:rsid w:val="00117CF3"/>
    <w:rsid w:val="00117D59"/>
    <w:rsid w:val="00120535"/>
    <w:rsid w:val="00120769"/>
    <w:rsid w:val="00122110"/>
    <w:rsid w:val="0012407C"/>
    <w:rsid w:val="00125EB2"/>
    <w:rsid w:val="001265C7"/>
    <w:rsid w:val="001268C6"/>
    <w:rsid w:val="001272C9"/>
    <w:rsid w:val="001276DF"/>
    <w:rsid w:val="001276E8"/>
    <w:rsid w:val="00132793"/>
    <w:rsid w:val="001328F5"/>
    <w:rsid w:val="00132AFD"/>
    <w:rsid w:val="001332E9"/>
    <w:rsid w:val="00133371"/>
    <w:rsid w:val="001347FF"/>
    <w:rsid w:val="00134F9B"/>
    <w:rsid w:val="00137568"/>
    <w:rsid w:val="00143C40"/>
    <w:rsid w:val="001444EA"/>
    <w:rsid w:val="0015082B"/>
    <w:rsid w:val="00151955"/>
    <w:rsid w:val="00151CD1"/>
    <w:rsid w:val="00152189"/>
    <w:rsid w:val="00152B62"/>
    <w:rsid w:val="001533FD"/>
    <w:rsid w:val="00154870"/>
    <w:rsid w:val="00155AE8"/>
    <w:rsid w:val="001563DF"/>
    <w:rsid w:val="00157015"/>
    <w:rsid w:val="00157BD9"/>
    <w:rsid w:val="00160272"/>
    <w:rsid w:val="00161030"/>
    <w:rsid w:val="00161335"/>
    <w:rsid w:val="001622C5"/>
    <w:rsid w:val="00162640"/>
    <w:rsid w:val="00162770"/>
    <w:rsid w:val="00162D6F"/>
    <w:rsid w:val="0016307D"/>
    <w:rsid w:val="00164493"/>
    <w:rsid w:val="00164A37"/>
    <w:rsid w:val="001655E0"/>
    <w:rsid w:val="00165D81"/>
    <w:rsid w:val="00170604"/>
    <w:rsid w:val="00170B11"/>
    <w:rsid w:val="00171293"/>
    <w:rsid w:val="00171BC6"/>
    <w:rsid w:val="00171C38"/>
    <w:rsid w:val="001732D6"/>
    <w:rsid w:val="00173A2C"/>
    <w:rsid w:val="001757DC"/>
    <w:rsid w:val="00177B7D"/>
    <w:rsid w:val="00180659"/>
    <w:rsid w:val="00180890"/>
    <w:rsid w:val="00180C37"/>
    <w:rsid w:val="00181742"/>
    <w:rsid w:val="00181EA0"/>
    <w:rsid w:val="001827F1"/>
    <w:rsid w:val="00185F44"/>
    <w:rsid w:val="001875C7"/>
    <w:rsid w:val="00187979"/>
    <w:rsid w:val="00191877"/>
    <w:rsid w:val="001930A0"/>
    <w:rsid w:val="00194558"/>
    <w:rsid w:val="001945F7"/>
    <w:rsid w:val="00194DDD"/>
    <w:rsid w:val="00195784"/>
    <w:rsid w:val="0019705E"/>
    <w:rsid w:val="0019717E"/>
    <w:rsid w:val="001A0B2C"/>
    <w:rsid w:val="001A0B60"/>
    <w:rsid w:val="001A205B"/>
    <w:rsid w:val="001A2D9F"/>
    <w:rsid w:val="001A3666"/>
    <w:rsid w:val="001A4154"/>
    <w:rsid w:val="001A5BDD"/>
    <w:rsid w:val="001A5FBA"/>
    <w:rsid w:val="001A79DB"/>
    <w:rsid w:val="001A7C00"/>
    <w:rsid w:val="001B1986"/>
    <w:rsid w:val="001B21A8"/>
    <w:rsid w:val="001B2E09"/>
    <w:rsid w:val="001B3717"/>
    <w:rsid w:val="001B3C1C"/>
    <w:rsid w:val="001B3CA5"/>
    <w:rsid w:val="001B4C82"/>
    <w:rsid w:val="001B5EE4"/>
    <w:rsid w:val="001B7181"/>
    <w:rsid w:val="001B71A2"/>
    <w:rsid w:val="001B7D8F"/>
    <w:rsid w:val="001C0B64"/>
    <w:rsid w:val="001C0D4B"/>
    <w:rsid w:val="001C25AF"/>
    <w:rsid w:val="001C2B4E"/>
    <w:rsid w:val="001C3896"/>
    <w:rsid w:val="001C4BE5"/>
    <w:rsid w:val="001C4EE7"/>
    <w:rsid w:val="001C506B"/>
    <w:rsid w:val="001C5C0F"/>
    <w:rsid w:val="001C6BA6"/>
    <w:rsid w:val="001C7EDD"/>
    <w:rsid w:val="001D08BE"/>
    <w:rsid w:val="001D1BF2"/>
    <w:rsid w:val="001D2011"/>
    <w:rsid w:val="001D25F2"/>
    <w:rsid w:val="001D2D4B"/>
    <w:rsid w:val="001D35D3"/>
    <w:rsid w:val="001D3CD0"/>
    <w:rsid w:val="001D41D0"/>
    <w:rsid w:val="001D4996"/>
    <w:rsid w:val="001D6380"/>
    <w:rsid w:val="001D6EBF"/>
    <w:rsid w:val="001D758C"/>
    <w:rsid w:val="001D796D"/>
    <w:rsid w:val="001E02A9"/>
    <w:rsid w:val="001E1CA9"/>
    <w:rsid w:val="001E2102"/>
    <w:rsid w:val="001E2DAB"/>
    <w:rsid w:val="001E425D"/>
    <w:rsid w:val="001E5F8C"/>
    <w:rsid w:val="001E60B4"/>
    <w:rsid w:val="001E6220"/>
    <w:rsid w:val="001F0CC2"/>
    <w:rsid w:val="001F2281"/>
    <w:rsid w:val="001F51F6"/>
    <w:rsid w:val="001F5ABE"/>
    <w:rsid w:val="001F69E2"/>
    <w:rsid w:val="001F79A1"/>
    <w:rsid w:val="001F7C20"/>
    <w:rsid w:val="001F7CC9"/>
    <w:rsid w:val="001F7CE1"/>
    <w:rsid w:val="002014FB"/>
    <w:rsid w:val="0020238F"/>
    <w:rsid w:val="00202CEE"/>
    <w:rsid w:val="00203E6A"/>
    <w:rsid w:val="0020626E"/>
    <w:rsid w:val="00210041"/>
    <w:rsid w:val="0021079B"/>
    <w:rsid w:val="00211C77"/>
    <w:rsid w:val="002120D7"/>
    <w:rsid w:val="002121D1"/>
    <w:rsid w:val="00213471"/>
    <w:rsid w:val="00214627"/>
    <w:rsid w:val="00215177"/>
    <w:rsid w:val="00215EDD"/>
    <w:rsid w:val="00216596"/>
    <w:rsid w:val="0021750D"/>
    <w:rsid w:val="00217F6F"/>
    <w:rsid w:val="00220A4C"/>
    <w:rsid w:val="00220C0D"/>
    <w:rsid w:val="002215A5"/>
    <w:rsid w:val="002219F4"/>
    <w:rsid w:val="00221EC8"/>
    <w:rsid w:val="0022290A"/>
    <w:rsid w:val="00222D5C"/>
    <w:rsid w:val="00222DCA"/>
    <w:rsid w:val="00224795"/>
    <w:rsid w:val="002273B5"/>
    <w:rsid w:val="00227412"/>
    <w:rsid w:val="002305E2"/>
    <w:rsid w:val="00233590"/>
    <w:rsid w:val="0023534C"/>
    <w:rsid w:val="00241C39"/>
    <w:rsid w:val="00241EDA"/>
    <w:rsid w:val="00241EF9"/>
    <w:rsid w:val="00243C4D"/>
    <w:rsid w:val="00244793"/>
    <w:rsid w:val="00244C03"/>
    <w:rsid w:val="00244FA8"/>
    <w:rsid w:val="00245183"/>
    <w:rsid w:val="002458A2"/>
    <w:rsid w:val="002513A4"/>
    <w:rsid w:val="00252589"/>
    <w:rsid w:val="00253036"/>
    <w:rsid w:val="00253D0B"/>
    <w:rsid w:val="00254E65"/>
    <w:rsid w:val="00255D2C"/>
    <w:rsid w:val="002574E6"/>
    <w:rsid w:val="002575D1"/>
    <w:rsid w:val="00257C84"/>
    <w:rsid w:val="002601AE"/>
    <w:rsid w:val="00261086"/>
    <w:rsid w:val="00261A96"/>
    <w:rsid w:val="002629E1"/>
    <w:rsid w:val="00265FA8"/>
    <w:rsid w:val="00266B22"/>
    <w:rsid w:val="00266BC3"/>
    <w:rsid w:val="00267864"/>
    <w:rsid w:val="0027083A"/>
    <w:rsid w:val="00270C80"/>
    <w:rsid w:val="0027160D"/>
    <w:rsid w:val="00272399"/>
    <w:rsid w:val="00272E22"/>
    <w:rsid w:val="00274D2A"/>
    <w:rsid w:val="00280D4C"/>
    <w:rsid w:val="00281519"/>
    <w:rsid w:val="00282A13"/>
    <w:rsid w:val="00282D4F"/>
    <w:rsid w:val="00283622"/>
    <w:rsid w:val="00284E81"/>
    <w:rsid w:val="00286372"/>
    <w:rsid w:val="00287E74"/>
    <w:rsid w:val="00293441"/>
    <w:rsid w:val="0029693B"/>
    <w:rsid w:val="002A280E"/>
    <w:rsid w:val="002A2E7D"/>
    <w:rsid w:val="002A3298"/>
    <w:rsid w:val="002A53D2"/>
    <w:rsid w:val="002B0F8B"/>
    <w:rsid w:val="002B2928"/>
    <w:rsid w:val="002B5699"/>
    <w:rsid w:val="002B5A8F"/>
    <w:rsid w:val="002C0065"/>
    <w:rsid w:val="002C0B54"/>
    <w:rsid w:val="002C0E42"/>
    <w:rsid w:val="002C1188"/>
    <w:rsid w:val="002C18A6"/>
    <w:rsid w:val="002C2238"/>
    <w:rsid w:val="002C34DD"/>
    <w:rsid w:val="002C422B"/>
    <w:rsid w:val="002D007C"/>
    <w:rsid w:val="002D1126"/>
    <w:rsid w:val="002D1165"/>
    <w:rsid w:val="002D1358"/>
    <w:rsid w:val="002D1A2C"/>
    <w:rsid w:val="002D2C75"/>
    <w:rsid w:val="002D2DDD"/>
    <w:rsid w:val="002D3352"/>
    <w:rsid w:val="002D3A5E"/>
    <w:rsid w:val="002E011F"/>
    <w:rsid w:val="002E1050"/>
    <w:rsid w:val="002E1741"/>
    <w:rsid w:val="002E21CF"/>
    <w:rsid w:val="002E285E"/>
    <w:rsid w:val="002E2EAD"/>
    <w:rsid w:val="002E32AF"/>
    <w:rsid w:val="002E39CD"/>
    <w:rsid w:val="002E3BEE"/>
    <w:rsid w:val="002E6905"/>
    <w:rsid w:val="002E6D1D"/>
    <w:rsid w:val="002F070B"/>
    <w:rsid w:val="002F41A7"/>
    <w:rsid w:val="002F4544"/>
    <w:rsid w:val="002F4C63"/>
    <w:rsid w:val="0030077E"/>
    <w:rsid w:val="003008BF"/>
    <w:rsid w:val="00300ADA"/>
    <w:rsid w:val="00300E20"/>
    <w:rsid w:val="003029F5"/>
    <w:rsid w:val="0030377F"/>
    <w:rsid w:val="003038CC"/>
    <w:rsid w:val="0030655E"/>
    <w:rsid w:val="003065CC"/>
    <w:rsid w:val="00306C69"/>
    <w:rsid w:val="00306F18"/>
    <w:rsid w:val="00306F1D"/>
    <w:rsid w:val="00306F9C"/>
    <w:rsid w:val="00307285"/>
    <w:rsid w:val="003107D8"/>
    <w:rsid w:val="00310D5B"/>
    <w:rsid w:val="0031235C"/>
    <w:rsid w:val="00313180"/>
    <w:rsid w:val="00316451"/>
    <w:rsid w:val="00320B24"/>
    <w:rsid w:val="003216E3"/>
    <w:rsid w:val="00321BB7"/>
    <w:rsid w:val="00321E33"/>
    <w:rsid w:val="00322654"/>
    <w:rsid w:val="00322D9C"/>
    <w:rsid w:val="0032426F"/>
    <w:rsid w:val="003255F4"/>
    <w:rsid w:val="00325A42"/>
    <w:rsid w:val="003262CF"/>
    <w:rsid w:val="003265E4"/>
    <w:rsid w:val="00330E4F"/>
    <w:rsid w:val="00332895"/>
    <w:rsid w:val="00336A58"/>
    <w:rsid w:val="00337261"/>
    <w:rsid w:val="003379C3"/>
    <w:rsid w:val="00337AC8"/>
    <w:rsid w:val="00340EF4"/>
    <w:rsid w:val="00342A67"/>
    <w:rsid w:val="00343D20"/>
    <w:rsid w:val="00344769"/>
    <w:rsid w:val="00346CEC"/>
    <w:rsid w:val="00347E76"/>
    <w:rsid w:val="00350C1F"/>
    <w:rsid w:val="00354C10"/>
    <w:rsid w:val="00356948"/>
    <w:rsid w:val="00360EC5"/>
    <w:rsid w:val="00361A26"/>
    <w:rsid w:val="0036395F"/>
    <w:rsid w:val="003642FA"/>
    <w:rsid w:val="00365F06"/>
    <w:rsid w:val="00366E3E"/>
    <w:rsid w:val="003702D0"/>
    <w:rsid w:val="00371944"/>
    <w:rsid w:val="00371F3B"/>
    <w:rsid w:val="003720B7"/>
    <w:rsid w:val="003725CC"/>
    <w:rsid w:val="00372982"/>
    <w:rsid w:val="00375EEF"/>
    <w:rsid w:val="00376A17"/>
    <w:rsid w:val="00376F95"/>
    <w:rsid w:val="00377AF6"/>
    <w:rsid w:val="0038042C"/>
    <w:rsid w:val="00380559"/>
    <w:rsid w:val="00380D74"/>
    <w:rsid w:val="00381136"/>
    <w:rsid w:val="003813F9"/>
    <w:rsid w:val="003826B8"/>
    <w:rsid w:val="0038273F"/>
    <w:rsid w:val="00382A4D"/>
    <w:rsid w:val="00382F09"/>
    <w:rsid w:val="00382FAC"/>
    <w:rsid w:val="00383391"/>
    <w:rsid w:val="00383A4D"/>
    <w:rsid w:val="00387A3F"/>
    <w:rsid w:val="003900AF"/>
    <w:rsid w:val="0039037B"/>
    <w:rsid w:val="003903B3"/>
    <w:rsid w:val="0039181D"/>
    <w:rsid w:val="00393489"/>
    <w:rsid w:val="00393584"/>
    <w:rsid w:val="003945E9"/>
    <w:rsid w:val="00394A5B"/>
    <w:rsid w:val="00397350"/>
    <w:rsid w:val="00397596"/>
    <w:rsid w:val="003A068B"/>
    <w:rsid w:val="003A0CD5"/>
    <w:rsid w:val="003A0E25"/>
    <w:rsid w:val="003A1936"/>
    <w:rsid w:val="003A337C"/>
    <w:rsid w:val="003A44FE"/>
    <w:rsid w:val="003A4783"/>
    <w:rsid w:val="003A5CF2"/>
    <w:rsid w:val="003A6558"/>
    <w:rsid w:val="003A6895"/>
    <w:rsid w:val="003B087B"/>
    <w:rsid w:val="003B2831"/>
    <w:rsid w:val="003B5D72"/>
    <w:rsid w:val="003B7152"/>
    <w:rsid w:val="003B7CD5"/>
    <w:rsid w:val="003C1C76"/>
    <w:rsid w:val="003C1E6F"/>
    <w:rsid w:val="003C3154"/>
    <w:rsid w:val="003C4FF1"/>
    <w:rsid w:val="003C555B"/>
    <w:rsid w:val="003C628E"/>
    <w:rsid w:val="003D05CD"/>
    <w:rsid w:val="003D2703"/>
    <w:rsid w:val="003D29AA"/>
    <w:rsid w:val="003D4361"/>
    <w:rsid w:val="003D45D8"/>
    <w:rsid w:val="003D467D"/>
    <w:rsid w:val="003D5112"/>
    <w:rsid w:val="003D63B0"/>
    <w:rsid w:val="003D6465"/>
    <w:rsid w:val="003D7E0F"/>
    <w:rsid w:val="003E2396"/>
    <w:rsid w:val="003E587F"/>
    <w:rsid w:val="003E63F0"/>
    <w:rsid w:val="003E6D3B"/>
    <w:rsid w:val="003E728F"/>
    <w:rsid w:val="003E744E"/>
    <w:rsid w:val="003E782B"/>
    <w:rsid w:val="003F0638"/>
    <w:rsid w:val="003F17CD"/>
    <w:rsid w:val="003F2A3E"/>
    <w:rsid w:val="003F50EF"/>
    <w:rsid w:val="003F5917"/>
    <w:rsid w:val="003F5D54"/>
    <w:rsid w:val="003F6B18"/>
    <w:rsid w:val="003F6ED1"/>
    <w:rsid w:val="00400067"/>
    <w:rsid w:val="00402D38"/>
    <w:rsid w:val="004032D2"/>
    <w:rsid w:val="004044CD"/>
    <w:rsid w:val="00405AAF"/>
    <w:rsid w:val="00405FDB"/>
    <w:rsid w:val="00406223"/>
    <w:rsid w:val="00406525"/>
    <w:rsid w:val="00406EC5"/>
    <w:rsid w:val="0040751C"/>
    <w:rsid w:val="00407C57"/>
    <w:rsid w:val="00407E07"/>
    <w:rsid w:val="00411114"/>
    <w:rsid w:val="004126DC"/>
    <w:rsid w:val="00412CE2"/>
    <w:rsid w:val="00414098"/>
    <w:rsid w:val="00414835"/>
    <w:rsid w:val="004151E8"/>
    <w:rsid w:val="004165C4"/>
    <w:rsid w:val="00416E36"/>
    <w:rsid w:val="00417473"/>
    <w:rsid w:val="0041770D"/>
    <w:rsid w:val="004202D8"/>
    <w:rsid w:val="00422E20"/>
    <w:rsid w:val="00423119"/>
    <w:rsid w:val="00423267"/>
    <w:rsid w:val="0042443D"/>
    <w:rsid w:val="00424539"/>
    <w:rsid w:val="00424779"/>
    <w:rsid w:val="004251AB"/>
    <w:rsid w:val="004252E4"/>
    <w:rsid w:val="00425A4A"/>
    <w:rsid w:val="00426CB2"/>
    <w:rsid w:val="004272F2"/>
    <w:rsid w:val="004279C9"/>
    <w:rsid w:val="004320F9"/>
    <w:rsid w:val="004337C3"/>
    <w:rsid w:val="0043400C"/>
    <w:rsid w:val="004364A8"/>
    <w:rsid w:val="00437530"/>
    <w:rsid w:val="00437681"/>
    <w:rsid w:val="004400EC"/>
    <w:rsid w:val="00440264"/>
    <w:rsid w:val="00442A59"/>
    <w:rsid w:val="004430B2"/>
    <w:rsid w:val="00447FAF"/>
    <w:rsid w:val="00452827"/>
    <w:rsid w:val="00453473"/>
    <w:rsid w:val="00454DD5"/>
    <w:rsid w:val="00455FEC"/>
    <w:rsid w:val="00457AB5"/>
    <w:rsid w:val="00460B7B"/>
    <w:rsid w:val="00462FB6"/>
    <w:rsid w:val="00463F63"/>
    <w:rsid w:val="004656AC"/>
    <w:rsid w:val="00465C27"/>
    <w:rsid w:val="004714BC"/>
    <w:rsid w:val="00473AF4"/>
    <w:rsid w:val="00474492"/>
    <w:rsid w:val="00476978"/>
    <w:rsid w:val="00480006"/>
    <w:rsid w:val="00480806"/>
    <w:rsid w:val="00480BE5"/>
    <w:rsid w:val="00480CA9"/>
    <w:rsid w:val="004820EC"/>
    <w:rsid w:val="004826EB"/>
    <w:rsid w:val="00485D8E"/>
    <w:rsid w:val="004868B2"/>
    <w:rsid w:val="00486EE4"/>
    <w:rsid w:val="00487E40"/>
    <w:rsid w:val="00487F3B"/>
    <w:rsid w:val="004933E6"/>
    <w:rsid w:val="0049487C"/>
    <w:rsid w:val="00495B6F"/>
    <w:rsid w:val="004A02E2"/>
    <w:rsid w:val="004A0A46"/>
    <w:rsid w:val="004A1D99"/>
    <w:rsid w:val="004A21AA"/>
    <w:rsid w:val="004A3846"/>
    <w:rsid w:val="004A3FAA"/>
    <w:rsid w:val="004A3FDF"/>
    <w:rsid w:val="004A432F"/>
    <w:rsid w:val="004A5D8A"/>
    <w:rsid w:val="004A6296"/>
    <w:rsid w:val="004A6CF8"/>
    <w:rsid w:val="004A6DFB"/>
    <w:rsid w:val="004A70D0"/>
    <w:rsid w:val="004B203D"/>
    <w:rsid w:val="004B3652"/>
    <w:rsid w:val="004B6203"/>
    <w:rsid w:val="004C0D74"/>
    <w:rsid w:val="004C1F88"/>
    <w:rsid w:val="004C2FC6"/>
    <w:rsid w:val="004C306B"/>
    <w:rsid w:val="004C3B86"/>
    <w:rsid w:val="004C41CA"/>
    <w:rsid w:val="004C493C"/>
    <w:rsid w:val="004C58BF"/>
    <w:rsid w:val="004C6B90"/>
    <w:rsid w:val="004C739B"/>
    <w:rsid w:val="004C73F4"/>
    <w:rsid w:val="004C7475"/>
    <w:rsid w:val="004C7C28"/>
    <w:rsid w:val="004C7F9C"/>
    <w:rsid w:val="004D04F3"/>
    <w:rsid w:val="004D1F16"/>
    <w:rsid w:val="004D21EA"/>
    <w:rsid w:val="004D486D"/>
    <w:rsid w:val="004D67D2"/>
    <w:rsid w:val="004D7162"/>
    <w:rsid w:val="004D722E"/>
    <w:rsid w:val="004E05A5"/>
    <w:rsid w:val="004E1A77"/>
    <w:rsid w:val="004E40A6"/>
    <w:rsid w:val="004E4266"/>
    <w:rsid w:val="004E5676"/>
    <w:rsid w:val="004E5860"/>
    <w:rsid w:val="004E5C0C"/>
    <w:rsid w:val="004E5DE6"/>
    <w:rsid w:val="004E71E1"/>
    <w:rsid w:val="004F0DA6"/>
    <w:rsid w:val="004F23F9"/>
    <w:rsid w:val="004F2A22"/>
    <w:rsid w:val="004F321F"/>
    <w:rsid w:val="004F6103"/>
    <w:rsid w:val="004F69ED"/>
    <w:rsid w:val="005027A7"/>
    <w:rsid w:val="00502CF5"/>
    <w:rsid w:val="00502E0A"/>
    <w:rsid w:val="00503610"/>
    <w:rsid w:val="00503BE6"/>
    <w:rsid w:val="00504A12"/>
    <w:rsid w:val="00504B56"/>
    <w:rsid w:val="00504CBF"/>
    <w:rsid w:val="005054CE"/>
    <w:rsid w:val="00507335"/>
    <w:rsid w:val="00507740"/>
    <w:rsid w:val="00511247"/>
    <w:rsid w:val="00511A8D"/>
    <w:rsid w:val="00512246"/>
    <w:rsid w:val="005156AE"/>
    <w:rsid w:val="005202BE"/>
    <w:rsid w:val="005218EC"/>
    <w:rsid w:val="0052238D"/>
    <w:rsid w:val="0052406C"/>
    <w:rsid w:val="00526D58"/>
    <w:rsid w:val="00526E4B"/>
    <w:rsid w:val="00527F8C"/>
    <w:rsid w:val="00532446"/>
    <w:rsid w:val="0053276B"/>
    <w:rsid w:val="005334ED"/>
    <w:rsid w:val="00534487"/>
    <w:rsid w:val="0053562C"/>
    <w:rsid w:val="00535D1D"/>
    <w:rsid w:val="00542DB1"/>
    <w:rsid w:val="00543A6C"/>
    <w:rsid w:val="005443F7"/>
    <w:rsid w:val="00544DE9"/>
    <w:rsid w:val="00546D78"/>
    <w:rsid w:val="005504F4"/>
    <w:rsid w:val="00550922"/>
    <w:rsid w:val="00551212"/>
    <w:rsid w:val="0055128E"/>
    <w:rsid w:val="00552028"/>
    <w:rsid w:val="00552F47"/>
    <w:rsid w:val="00553062"/>
    <w:rsid w:val="00554011"/>
    <w:rsid w:val="00554972"/>
    <w:rsid w:val="005559B7"/>
    <w:rsid w:val="00555D0E"/>
    <w:rsid w:val="00556BA5"/>
    <w:rsid w:val="00557EF4"/>
    <w:rsid w:val="00560968"/>
    <w:rsid w:val="005609C7"/>
    <w:rsid w:val="005617F1"/>
    <w:rsid w:val="00561D8A"/>
    <w:rsid w:val="00562172"/>
    <w:rsid w:val="00562460"/>
    <w:rsid w:val="00566074"/>
    <w:rsid w:val="005660BA"/>
    <w:rsid w:val="00570821"/>
    <w:rsid w:val="0057148A"/>
    <w:rsid w:val="00574128"/>
    <w:rsid w:val="00574F21"/>
    <w:rsid w:val="00575775"/>
    <w:rsid w:val="00575791"/>
    <w:rsid w:val="005770FE"/>
    <w:rsid w:val="005806B1"/>
    <w:rsid w:val="00583280"/>
    <w:rsid w:val="00584177"/>
    <w:rsid w:val="00586D0C"/>
    <w:rsid w:val="00587E59"/>
    <w:rsid w:val="00592F9A"/>
    <w:rsid w:val="005955ED"/>
    <w:rsid w:val="005956BA"/>
    <w:rsid w:val="00595C86"/>
    <w:rsid w:val="005964AD"/>
    <w:rsid w:val="00597EC2"/>
    <w:rsid w:val="00597F95"/>
    <w:rsid w:val="005A07B1"/>
    <w:rsid w:val="005A1BB4"/>
    <w:rsid w:val="005A2592"/>
    <w:rsid w:val="005A3661"/>
    <w:rsid w:val="005A7951"/>
    <w:rsid w:val="005A7EFA"/>
    <w:rsid w:val="005B14C1"/>
    <w:rsid w:val="005B2255"/>
    <w:rsid w:val="005B25FD"/>
    <w:rsid w:val="005B362C"/>
    <w:rsid w:val="005B5432"/>
    <w:rsid w:val="005B58EC"/>
    <w:rsid w:val="005B62CD"/>
    <w:rsid w:val="005B63DC"/>
    <w:rsid w:val="005B6BC3"/>
    <w:rsid w:val="005B7367"/>
    <w:rsid w:val="005B7E31"/>
    <w:rsid w:val="005C01FB"/>
    <w:rsid w:val="005C2B9D"/>
    <w:rsid w:val="005C5474"/>
    <w:rsid w:val="005D165A"/>
    <w:rsid w:val="005D2899"/>
    <w:rsid w:val="005D36C2"/>
    <w:rsid w:val="005D4834"/>
    <w:rsid w:val="005D50F7"/>
    <w:rsid w:val="005E2124"/>
    <w:rsid w:val="005E2A4A"/>
    <w:rsid w:val="005E2B4B"/>
    <w:rsid w:val="005E2C25"/>
    <w:rsid w:val="005E44B5"/>
    <w:rsid w:val="005E4580"/>
    <w:rsid w:val="005E50A6"/>
    <w:rsid w:val="005E625F"/>
    <w:rsid w:val="005F0758"/>
    <w:rsid w:val="005F1C0D"/>
    <w:rsid w:val="005F309D"/>
    <w:rsid w:val="005F3C15"/>
    <w:rsid w:val="005F3E71"/>
    <w:rsid w:val="005F4374"/>
    <w:rsid w:val="005F513F"/>
    <w:rsid w:val="005F51F2"/>
    <w:rsid w:val="005F5A9C"/>
    <w:rsid w:val="005F620A"/>
    <w:rsid w:val="005F68F2"/>
    <w:rsid w:val="005F6FA6"/>
    <w:rsid w:val="005F7FC5"/>
    <w:rsid w:val="0060127D"/>
    <w:rsid w:val="00601EF7"/>
    <w:rsid w:val="00603F3C"/>
    <w:rsid w:val="00604B58"/>
    <w:rsid w:val="00605A4A"/>
    <w:rsid w:val="00607D96"/>
    <w:rsid w:val="006125E9"/>
    <w:rsid w:val="006168F4"/>
    <w:rsid w:val="006201B3"/>
    <w:rsid w:val="006205E8"/>
    <w:rsid w:val="00620DB6"/>
    <w:rsid w:val="00620DFE"/>
    <w:rsid w:val="0062137E"/>
    <w:rsid w:val="00621416"/>
    <w:rsid w:val="00621777"/>
    <w:rsid w:val="00621A13"/>
    <w:rsid w:val="006226E9"/>
    <w:rsid w:val="00622947"/>
    <w:rsid w:val="00624702"/>
    <w:rsid w:val="00625112"/>
    <w:rsid w:val="00626B0C"/>
    <w:rsid w:val="00631462"/>
    <w:rsid w:val="00632D59"/>
    <w:rsid w:val="00637AED"/>
    <w:rsid w:val="00637C00"/>
    <w:rsid w:val="00637CFE"/>
    <w:rsid w:val="00640B4C"/>
    <w:rsid w:val="0064297C"/>
    <w:rsid w:val="006429DC"/>
    <w:rsid w:val="00642F45"/>
    <w:rsid w:val="006456EA"/>
    <w:rsid w:val="00647152"/>
    <w:rsid w:val="00647B98"/>
    <w:rsid w:val="006500DB"/>
    <w:rsid w:val="00651DFD"/>
    <w:rsid w:val="006525B9"/>
    <w:rsid w:val="00653729"/>
    <w:rsid w:val="0065470B"/>
    <w:rsid w:val="006550DC"/>
    <w:rsid w:val="006553EF"/>
    <w:rsid w:val="00655862"/>
    <w:rsid w:val="00655C45"/>
    <w:rsid w:val="00655DC4"/>
    <w:rsid w:val="00656214"/>
    <w:rsid w:val="006613A7"/>
    <w:rsid w:val="006614A9"/>
    <w:rsid w:val="00661CC7"/>
    <w:rsid w:val="00661FF5"/>
    <w:rsid w:val="00662676"/>
    <w:rsid w:val="00664C73"/>
    <w:rsid w:val="006666FD"/>
    <w:rsid w:val="00667979"/>
    <w:rsid w:val="00667F83"/>
    <w:rsid w:val="00670572"/>
    <w:rsid w:val="00671EEC"/>
    <w:rsid w:val="0067478C"/>
    <w:rsid w:val="0067697D"/>
    <w:rsid w:val="006770BC"/>
    <w:rsid w:val="00683549"/>
    <w:rsid w:val="0068634B"/>
    <w:rsid w:val="006906E0"/>
    <w:rsid w:val="0069106E"/>
    <w:rsid w:val="006911DE"/>
    <w:rsid w:val="006933F1"/>
    <w:rsid w:val="006943F0"/>
    <w:rsid w:val="006953BC"/>
    <w:rsid w:val="00695806"/>
    <w:rsid w:val="00696066"/>
    <w:rsid w:val="00696313"/>
    <w:rsid w:val="00696DAB"/>
    <w:rsid w:val="00697B9A"/>
    <w:rsid w:val="006A2880"/>
    <w:rsid w:val="006A305D"/>
    <w:rsid w:val="006A3AD9"/>
    <w:rsid w:val="006A41CF"/>
    <w:rsid w:val="006A605E"/>
    <w:rsid w:val="006A60C2"/>
    <w:rsid w:val="006A690C"/>
    <w:rsid w:val="006A6E97"/>
    <w:rsid w:val="006A73F7"/>
    <w:rsid w:val="006A764F"/>
    <w:rsid w:val="006A7C78"/>
    <w:rsid w:val="006B17E3"/>
    <w:rsid w:val="006B2070"/>
    <w:rsid w:val="006B215C"/>
    <w:rsid w:val="006B2851"/>
    <w:rsid w:val="006B2B42"/>
    <w:rsid w:val="006B34A1"/>
    <w:rsid w:val="006B36BF"/>
    <w:rsid w:val="006B3887"/>
    <w:rsid w:val="006B3FE8"/>
    <w:rsid w:val="006B57B3"/>
    <w:rsid w:val="006B5C09"/>
    <w:rsid w:val="006B6844"/>
    <w:rsid w:val="006C05B0"/>
    <w:rsid w:val="006C089B"/>
    <w:rsid w:val="006C1226"/>
    <w:rsid w:val="006C251B"/>
    <w:rsid w:val="006C2B4B"/>
    <w:rsid w:val="006C2D49"/>
    <w:rsid w:val="006C3780"/>
    <w:rsid w:val="006C3857"/>
    <w:rsid w:val="006C3EE5"/>
    <w:rsid w:val="006C4D5D"/>
    <w:rsid w:val="006C5463"/>
    <w:rsid w:val="006C5E0E"/>
    <w:rsid w:val="006D05CE"/>
    <w:rsid w:val="006D1329"/>
    <w:rsid w:val="006D1811"/>
    <w:rsid w:val="006D359E"/>
    <w:rsid w:val="006E0F1E"/>
    <w:rsid w:val="006E1393"/>
    <w:rsid w:val="006E34E6"/>
    <w:rsid w:val="006E5493"/>
    <w:rsid w:val="006E5A07"/>
    <w:rsid w:val="006E62C8"/>
    <w:rsid w:val="006E6B8A"/>
    <w:rsid w:val="006E7D87"/>
    <w:rsid w:val="006F2F81"/>
    <w:rsid w:val="006F3B1F"/>
    <w:rsid w:val="006F3B6C"/>
    <w:rsid w:val="006F4DC9"/>
    <w:rsid w:val="006F7B81"/>
    <w:rsid w:val="006F7D9C"/>
    <w:rsid w:val="007005D5"/>
    <w:rsid w:val="00700748"/>
    <w:rsid w:val="00700C74"/>
    <w:rsid w:val="00702183"/>
    <w:rsid w:val="00703173"/>
    <w:rsid w:val="00705C62"/>
    <w:rsid w:val="0070681E"/>
    <w:rsid w:val="00706A95"/>
    <w:rsid w:val="00707FB4"/>
    <w:rsid w:val="00710400"/>
    <w:rsid w:val="00711D05"/>
    <w:rsid w:val="00712D4F"/>
    <w:rsid w:val="007149F5"/>
    <w:rsid w:val="00714DBB"/>
    <w:rsid w:val="007160EF"/>
    <w:rsid w:val="00720669"/>
    <w:rsid w:val="00721707"/>
    <w:rsid w:val="007228DD"/>
    <w:rsid w:val="00723AC1"/>
    <w:rsid w:val="00726E67"/>
    <w:rsid w:val="00730F33"/>
    <w:rsid w:val="00732BD0"/>
    <w:rsid w:val="00733AE0"/>
    <w:rsid w:val="00734C69"/>
    <w:rsid w:val="00734D04"/>
    <w:rsid w:val="0073583A"/>
    <w:rsid w:val="0073624A"/>
    <w:rsid w:val="007362DE"/>
    <w:rsid w:val="00737203"/>
    <w:rsid w:val="007374B2"/>
    <w:rsid w:val="00737DB1"/>
    <w:rsid w:val="00740FBA"/>
    <w:rsid w:val="007410BD"/>
    <w:rsid w:val="0074256E"/>
    <w:rsid w:val="00742684"/>
    <w:rsid w:val="0074685F"/>
    <w:rsid w:val="00751D6E"/>
    <w:rsid w:val="00751F0D"/>
    <w:rsid w:val="00752DB8"/>
    <w:rsid w:val="00755762"/>
    <w:rsid w:val="00760360"/>
    <w:rsid w:val="00760497"/>
    <w:rsid w:val="00760EA0"/>
    <w:rsid w:val="00762D04"/>
    <w:rsid w:val="00763911"/>
    <w:rsid w:val="00763FBC"/>
    <w:rsid w:val="00764715"/>
    <w:rsid w:val="0076515E"/>
    <w:rsid w:val="007651A8"/>
    <w:rsid w:val="00765B5E"/>
    <w:rsid w:val="00766788"/>
    <w:rsid w:val="00766B9B"/>
    <w:rsid w:val="00770E6C"/>
    <w:rsid w:val="007716F6"/>
    <w:rsid w:val="00773640"/>
    <w:rsid w:val="007746FA"/>
    <w:rsid w:val="00776704"/>
    <w:rsid w:val="0077736D"/>
    <w:rsid w:val="00780161"/>
    <w:rsid w:val="00781DF0"/>
    <w:rsid w:val="00783B18"/>
    <w:rsid w:val="00786970"/>
    <w:rsid w:val="00787BD6"/>
    <w:rsid w:val="00791D2C"/>
    <w:rsid w:val="00792D96"/>
    <w:rsid w:val="00792EA2"/>
    <w:rsid w:val="00793A87"/>
    <w:rsid w:val="007948AB"/>
    <w:rsid w:val="00794B2B"/>
    <w:rsid w:val="00794EC2"/>
    <w:rsid w:val="00794F5B"/>
    <w:rsid w:val="0079546A"/>
    <w:rsid w:val="0079652E"/>
    <w:rsid w:val="007970DC"/>
    <w:rsid w:val="007978A5"/>
    <w:rsid w:val="007A06EA"/>
    <w:rsid w:val="007A0D2D"/>
    <w:rsid w:val="007A2577"/>
    <w:rsid w:val="007A2859"/>
    <w:rsid w:val="007A2CF5"/>
    <w:rsid w:val="007A3677"/>
    <w:rsid w:val="007A3713"/>
    <w:rsid w:val="007A45D7"/>
    <w:rsid w:val="007A5C0E"/>
    <w:rsid w:val="007A69E4"/>
    <w:rsid w:val="007A6F57"/>
    <w:rsid w:val="007A749C"/>
    <w:rsid w:val="007A79CD"/>
    <w:rsid w:val="007B283E"/>
    <w:rsid w:val="007B385E"/>
    <w:rsid w:val="007B48FD"/>
    <w:rsid w:val="007B505E"/>
    <w:rsid w:val="007B5858"/>
    <w:rsid w:val="007C08BD"/>
    <w:rsid w:val="007C1BCB"/>
    <w:rsid w:val="007C2D9C"/>
    <w:rsid w:val="007C381C"/>
    <w:rsid w:val="007C3F2F"/>
    <w:rsid w:val="007C64A2"/>
    <w:rsid w:val="007C64EF"/>
    <w:rsid w:val="007D04E9"/>
    <w:rsid w:val="007D3037"/>
    <w:rsid w:val="007D4160"/>
    <w:rsid w:val="007D46F1"/>
    <w:rsid w:val="007D47F8"/>
    <w:rsid w:val="007D504E"/>
    <w:rsid w:val="007D5618"/>
    <w:rsid w:val="007D578E"/>
    <w:rsid w:val="007D7343"/>
    <w:rsid w:val="007D791A"/>
    <w:rsid w:val="007D7CE6"/>
    <w:rsid w:val="007D7E0C"/>
    <w:rsid w:val="007E0358"/>
    <w:rsid w:val="007E2E94"/>
    <w:rsid w:val="007E465A"/>
    <w:rsid w:val="007E554B"/>
    <w:rsid w:val="007E67F2"/>
    <w:rsid w:val="007F05AC"/>
    <w:rsid w:val="007F0A6D"/>
    <w:rsid w:val="007F53A3"/>
    <w:rsid w:val="007F5625"/>
    <w:rsid w:val="007F6478"/>
    <w:rsid w:val="007F6715"/>
    <w:rsid w:val="007F7136"/>
    <w:rsid w:val="007F777F"/>
    <w:rsid w:val="007F7B4A"/>
    <w:rsid w:val="00801944"/>
    <w:rsid w:val="00802190"/>
    <w:rsid w:val="00804D56"/>
    <w:rsid w:val="00806CA6"/>
    <w:rsid w:val="0080754A"/>
    <w:rsid w:val="008101B7"/>
    <w:rsid w:val="00810586"/>
    <w:rsid w:val="00810E2F"/>
    <w:rsid w:val="008110F5"/>
    <w:rsid w:val="00812D54"/>
    <w:rsid w:val="00813C93"/>
    <w:rsid w:val="00816DDF"/>
    <w:rsid w:val="00817C26"/>
    <w:rsid w:val="00817CFC"/>
    <w:rsid w:val="0082035A"/>
    <w:rsid w:val="0082047B"/>
    <w:rsid w:val="008232CF"/>
    <w:rsid w:val="008249E3"/>
    <w:rsid w:val="008255E6"/>
    <w:rsid w:val="00830D8D"/>
    <w:rsid w:val="008324B4"/>
    <w:rsid w:val="00834011"/>
    <w:rsid w:val="0083412A"/>
    <w:rsid w:val="00834281"/>
    <w:rsid w:val="00834F55"/>
    <w:rsid w:val="00835111"/>
    <w:rsid w:val="00835465"/>
    <w:rsid w:val="00835582"/>
    <w:rsid w:val="008362B1"/>
    <w:rsid w:val="00836647"/>
    <w:rsid w:val="0083719A"/>
    <w:rsid w:val="008373D6"/>
    <w:rsid w:val="00837DBF"/>
    <w:rsid w:val="00837F97"/>
    <w:rsid w:val="00840DE0"/>
    <w:rsid w:val="00842001"/>
    <w:rsid w:val="00843041"/>
    <w:rsid w:val="008445FD"/>
    <w:rsid w:val="00846878"/>
    <w:rsid w:val="00850057"/>
    <w:rsid w:val="00850E8C"/>
    <w:rsid w:val="008514B7"/>
    <w:rsid w:val="0085264C"/>
    <w:rsid w:val="008535FF"/>
    <w:rsid w:val="00854777"/>
    <w:rsid w:val="008559C5"/>
    <w:rsid w:val="00855A9A"/>
    <w:rsid w:val="00856045"/>
    <w:rsid w:val="00856F90"/>
    <w:rsid w:val="00862560"/>
    <w:rsid w:val="0086522F"/>
    <w:rsid w:val="008652FC"/>
    <w:rsid w:val="00867715"/>
    <w:rsid w:val="00867FF1"/>
    <w:rsid w:val="00871BB9"/>
    <w:rsid w:val="008722C4"/>
    <w:rsid w:val="008723D2"/>
    <w:rsid w:val="008741E1"/>
    <w:rsid w:val="008743D2"/>
    <w:rsid w:val="008750BC"/>
    <w:rsid w:val="00876026"/>
    <w:rsid w:val="00877858"/>
    <w:rsid w:val="00877917"/>
    <w:rsid w:val="0088192C"/>
    <w:rsid w:val="00882408"/>
    <w:rsid w:val="00883250"/>
    <w:rsid w:val="00884284"/>
    <w:rsid w:val="008863FD"/>
    <w:rsid w:val="00886423"/>
    <w:rsid w:val="008901FD"/>
    <w:rsid w:val="00890F6D"/>
    <w:rsid w:val="008931F8"/>
    <w:rsid w:val="00893F45"/>
    <w:rsid w:val="00894452"/>
    <w:rsid w:val="00896236"/>
    <w:rsid w:val="0089787B"/>
    <w:rsid w:val="008A23E4"/>
    <w:rsid w:val="008A25E6"/>
    <w:rsid w:val="008A2C31"/>
    <w:rsid w:val="008A3487"/>
    <w:rsid w:val="008A3C97"/>
    <w:rsid w:val="008A5DD7"/>
    <w:rsid w:val="008A712B"/>
    <w:rsid w:val="008B18B0"/>
    <w:rsid w:val="008B294F"/>
    <w:rsid w:val="008B337F"/>
    <w:rsid w:val="008B4702"/>
    <w:rsid w:val="008B4BD9"/>
    <w:rsid w:val="008B5C91"/>
    <w:rsid w:val="008B5DDA"/>
    <w:rsid w:val="008C0B74"/>
    <w:rsid w:val="008C0B9D"/>
    <w:rsid w:val="008C0BCA"/>
    <w:rsid w:val="008C0DAA"/>
    <w:rsid w:val="008C13AD"/>
    <w:rsid w:val="008C1E23"/>
    <w:rsid w:val="008C2565"/>
    <w:rsid w:val="008C405A"/>
    <w:rsid w:val="008C6968"/>
    <w:rsid w:val="008D45C9"/>
    <w:rsid w:val="008D6D66"/>
    <w:rsid w:val="008D798D"/>
    <w:rsid w:val="008E06CB"/>
    <w:rsid w:val="008E119F"/>
    <w:rsid w:val="008E17A3"/>
    <w:rsid w:val="008E17E0"/>
    <w:rsid w:val="008E1DB1"/>
    <w:rsid w:val="008E23CB"/>
    <w:rsid w:val="008E259F"/>
    <w:rsid w:val="008E5F76"/>
    <w:rsid w:val="008E6500"/>
    <w:rsid w:val="008E65A7"/>
    <w:rsid w:val="008F0EF6"/>
    <w:rsid w:val="008F3484"/>
    <w:rsid w:val="008F3974"/>
    <w:rsid w:val="008F4046"/>
    <w:rsid w:val="008F420D"/>
    <w:rsid w:val="008F48EA"/>
    <w:rsid w:val="008F4C9A"/>
    <w:rsid w:val="008F4F98"/>
    <w:rsid w:val="008F6B64"/>
    <w:rsid w:val="008F7192"/>
    <w:rsid w:val="008F7EC3"/>
    <w:rsid w:val="00900B99"/>
    <w:rsid w:val="009030CB"/>
    <w:rsid w:val="009038C9"/>
    <w:rsid w:val="009062E8"/>
    <w:rsid w:val="00907324"/>
    <w:rsid w:val="00907EB3"/>
    <w:rsid w:val="00910763"/>
    <w:rsid w:val="00912234"/>
    <w:rsid w:val="00913011"/>
    <w:rsid w:val="00913E8F"/>
    <w:rsid w:val="00914B64"/>
    <w:rsid w:val="009155CE"/>
    <w:rsid w:val="009155F7"/>
    <w:rsid w:val="009156FB"/>
    <w:rsid w:val="0091610B"/>
    <w:rsid w:val="0091705E"/>
    <w:rsid w:val="0092050D"/>
    <w:rsid w:val="00920AC9"/>
    <w:rsid w:val="009210E1"/>
    <w:rsid w:val="00921B8F"/>
    <w:rsid w:val="00922714"/>
    <w:rsid w:val="00923CF8"/>
    <w:rsid w:val="00925925"/>
    <w:rsid w:val="009269B4"/>
    <w:rsid w:val="009272F9"/>
    <w:rsid w:val="009278E9"/>
    <w:rsid w:val="009358D5"/>
    <w:rsid w:val="0093634C"/>
    <w:rsid w:val="00936E59"/>
    <w:rsid w:val="00940605"/>
    <w:rsid w:val="009409DE"/>
    <w:rsid w:val="0094124A"/>
    <w:rsid w:val="009420E9"/>
    <w:rsid w:val="009438AD"/>
    <w:rsid w:val="00943D23"/>
    <w:rsid w:val="00943DBB"/>
    <w:rsid w:val="00945060"/>
    <w:rsid w:val="009475EB"/>
    <w:rsid w:val="00947E7C"/>
    <w:rsid w:val="009512CC"/>
    <w:rsid w:val="00952FC8"/>
    <w:rsid w:val="00954642"/>
    <w:rsid w:val="0095533F"/>
    <w:rsid w:val="009554A0"/>
    <w:rsid w:val="00955902"/>
    <w:rsid w:val="0095597B"/>
    <w:rsid w:val="00957424"/>
    <w:rsid w:val="00957EA9"/>
    <w:rsid w:val="009602CD"/>
    <w:rsid w:val="0096089A"/>
    <w:rsid w:val="00960C2D"/>
    <w:rsid w:val="00960ECC"/>
    <w:rsid w:val="00961274"/>
    <w:rsid w:val="009621D4"/>
    <w:rsid w:val="00964A70"/>
    <w:rsid w:val="0096518B"/>
    <w:rsid w:val="0097402C"/>
    <w:rsid w:val="0097524B"/>
    <w:rsid w:val="009757CC"/>
    <w:rsid w:val="0098076F"/>
    <w:rsid w:val="00981780"/>
    <w:rsid w:val="00987057"/>
    <w:rsid w:val="0098783A"/>
    <w:rsid w:val="00990AF0"/>
    <w:rsid w:val="00991121"/>
    <w:rsid w:val="009913F0"/>
    <w:rsid w:val="00991789"/>
    <w:rsid w:val="00991840"/>
    <w:rsid w:val="0099255A"/>
    <w:rsid w:val="0099335F"/>
    <w:rsid w:val="009950C8"/>
    <w:rsid w:val="00996CEA"/>
    <w:rsid w:val="009A0683"/>
    <w:rsid w:val="009A1B32"/>
    <w:rsid w:val="009A2D09"/>
    <w:rsid w:val="009A4614"/>
    <w:rsid w:val="009A7102"/>
    <w:rsid w:val="009A733F"/>
    <w:rsid w:val="009B1F13"/>
    <w:rsid w:val="009B3127"/>
    <w:rsid w:val="009B78EA"/>
    <w:rsid w:val="009B79D2"/>
    <w:rsid w:val="009C13FA"/>
    <w:rsid w:val="009C1478"/>
    <w:rsid w:val="009C37CB"/>
    <w:rsid w:val="009C4C1A"/>
    <w:rsid w:val="009C502E"/>
    <w:rsid w:val="009C5618"/>
    <w:rsid w:val="009C5A9E"/>
    <w:rsid w:val="009C60A4"/>
    <w:rsid w:val="009C62BF"/>
    <w:rsid w:val="009D2A06"/>
    <w:rsid w:val="009D3F59"/>
    <w:rsid w:val="009D5B2D"/>
    <w:rsid w:val="009D6DB8"/>
    <w:rsid w:val="009D6FBC"/>
    <w:rsid w:val="009D715F"/>
    <w:rsid w:val="009E1ADB"/>
    <w:rsid w:val="009E44FC"/>
    <w:rsid w:val="009E4B8E"/>
    <w:rsid w:val="009F02D9"/>
    <w:rsid w:val="009F087D"/>
    <w:rsid w:val="009F48D1"/>
    <w:rsid w:val="009F4F3C"/>
    <w:rsid w:val="009F632A"/>
    <w:rsid w:val="00A00F70"/>
    <w:rsid w:val="00A016D8"/>
    <w:rsid w:val="00A04425"/>
    <w:rsid w:val="00A04773"/>
    <w:rsid w:val="00A04ABE"/>
    <w:rsid w:val="00A061F3"/>
    <w:rsid w:val="00A07541"/>
    <w:rsid w:val="00A07A19"/>
    <w:rsid w:val="00A106F0"/>
    <w:rsid w:val="00A10E6A"/>
    <w:rsid w:val="00A10EA2"/>
    <w:rsid w:val="00A11E53"/>
    <w:rsid w:val="00A1253A"/>
    <w:rsid w:val="00A129B9"/>
    <w:rsid w:val="00A12A3B"/>
    <w:rsid w:val="00A13950"/>
    <w:rsid w:val="00A159FC"/>
    <w:rsid w:val="00A17E43"/>
    <w:rsid w:val="00A20FB9"/>
    <w:rsid w:val="00A22543"/>
    <w:rsid w:val="00A22D18"/>
    <w:rsid w:val="00A23313"/>
    <w:rsid w:val="00A245F1"/>
    <w:rsid w:val="00A25069"/>
    <w:rsid w:val="00A26264"/>
    <w:rsid w:val="00A270F6"/>
    <w:rsid w:val="00A273C4"/>
    <w:rsid w:val="00A27C72"/>
    <w:rsid w:val="00A30A8C"/>
    <w:rsid w:val="00A316FD"/>
    <w:rsid w:val="00A317B1"/>
    <w:rsid w:val="00A31F96"/>
    <w:rsid w:val="00A32BDE"/>
    <w:rsid w:val="00A32C2C"/>
    <w:rsid w:val="00A335CB"/>
    <w:rsid w:val="00A33E09"/>
    <w:rsid w:val="00A343CD"/>
    <w:rsid w:val="00A35188"/>
    <w:rsid w:val="00A35243"/>
    <w:rsid w:val="00A352C6"/>
    <w:rsid w:val="00A35928"/>
    <w:rsid w:val="00A35B53"/>
    <w:rsid w:val="00A35D24"/>
    <w:rsid w:val="00A36221"/>
    <w:rsid w:val="00A40970"/>
    <w:rsid w:val="00A4118B"/>
    <w:rsid w:val="00A41B97"/>
    <w:rsid w:val="00A42D74"/>
    <w:rsid w:val="00A4553B"/>
    <w:rsid w:val="00A455F3"/>
    <w:rsid w:val="00A47872"/>
    <w:rsid w:val="00A5142A"/>
    <w:rsid w:val="00A52254"/>
    <w:rsid w:val="00A5338F"/>
    <w:rsid w:val="00A6143A"/>
    <w:rsid w:val="00A61658"/>
    <w:rsid w:val="00A619D6"/>
    <w:rsid w:val="00A61FFC"/>
    <w:rsid w:val="00A621F1"/>
    <w:rsid w:val="00A62960"/>
    <w:rsid w:val="00A62992"/>
    <w:rsid w:val="00A62EF2"/>
    <w:rsid w:val="00A631B4"/>
    <w:rsid w:val="00A64316"/>
    <w:rsid w:val="00A64AE6"/>
    <w:rsid w:val="00A6548B"/>
    <w:rsid w:val="00A65D4D"/>
    <w:rsid w:val="00A66306"/>
    <w:rsid w:val="00A66C37"/>
    <w:rsid w:val="00A673B9"/>
    <w:rsid w:val="00A678AC"/>
    <w:rsid w:val="00A7170B"/>
    <w:rsid w:val="00A71743"/>
    <w:rsid w:val="00A71A94"/>
    <w:rsid w:val="00A73DE0"/>
    <w:rsid w:val="00A746BE"/>
    <w:rsid w:val="00A75B1E"/>
    <w:rsid w:val="00A76EBC"/>
    <w:rsid w:val="00A7797A"/>
    <w:rsid w:val="00A802C6"/>
    <w:rsid w:val="00A81658"/>
    <w:rsid w:val="00A81932"/>
    <w:rsid w:val="00A82530"/>
    <w:rsid w:val="00A85195"/>
    <w:rsid w:val="00A86E2C"/>
    <w:rsid w:val="00A8715C"/>
    <w:rsid w:val="00A8728B"/>
    <w:rsid w:val="00A8740D"/>
    <w:rsid w:val="00A9061C"/>
    <w:rsid w:val="00A91CF0"/>
    <w:rsid w:val="00A93D0C"/>
    <w:rsid w:val="00A940B1"/>
    <w:rsid w:val="00A94FDD"/>
    <w:rsid w:val="00A9720F"/>
    <w:rsid w:val="00A97303"/>
    <w:rsid w:val="00AA01A8"/>
    <w:rsid w:val="00AA0487"/>
    <w:rsid w:val="00AA0A06"/>
    <w:rsid w:val="00AA2923"/>
    <w:rsid w:val="00AA5B53"/>
    <w:rsid w:val="00AA68B7"/>
    <w:rsid w:val="00AA6C49"/>
    <w:rsid w:val="00AA7044"/>
    <w:rsid w:val="00AB0987"/>
    <w:rsid w:val="00AB2A6B"/>
    <w:rsid w:val="00AB2DF5"/>
    <w:rsid w:val="00AB439B"/>
    <w:rsid w:val="00AB45D6"/>
    <w:rsid w:val="00AB5513"/>
    <w:rsid w:val="00AB56F7"/>
    <w:rsid w:val="00AB5806"/>
    <w:rsid w:val="00AC06AF"/>
    <w:rsid w:val="00AC06F2"/>
    <w:rsid w:val="00AC129C"/>
    <w:rsid w:val="00AC20CE"/>
    <w:rsid w:val="00AC2E98"/>
    <w:rsid w:val="00AC39F6"/>
    <w:rsid w:val="00AC5794"/>
    <w:rsid w:val="00AC68EC"/>
    <w:rsid w:val="00AD1199"/>
    <w:rsid w:val="00AD1303"/>
    <w:rsid w:val="00AD1680"/>
    <w:rsid w:val="00AD2A01"/>
    <w:rsid w:val="00AD3093"/>
    <w:rsid w:val="00AD30FC"/>
    <w:rsid w:val="00AD3E85"/>
    <w:rsid w:val="00AD5F97"/>
    <w:rsid w:val="00AD6765"/>
    <w:rsid w:val="00AD704A"/>
    <w:rsid w:val="00AE0358"/>
    <w:rsid w:val="00AE0D87"/>
    <w:rsid w:val="00AE2F32"/>
    <w:rsid w:val="00AE3CD0"/>
    <w:rsid w:val="00AE5075"/>
    <w:rsid w:val="00AE66AF"/>
    <w:rsid w:val="00AE698E"/>
    <w:rsid w:val="00AE756B"/>
    <w:rsid w:val="00AF1257"/>
    <w:rsid w:val="00AF1946"/>
    <w:rsid w:val="00AF2F12"/>
    <w:rsid w:val="00AF30ED"/>
    <w:rsid w:val="00AF5B03"/>
    <w:rsid w:val="00AF7177"/>
    <w:rsid w:val="00B00C43"/>
    <w:rsid w:val="00B0314E"/>
    <w:rsid w:val="00B03470"/>
    <w:rsid w:val="00B0470B"/>
    <w:rsid w:val="00B05C89"/>
    <w:rsid w:val="00B0794F"/>
    <w:rsid w:val="00B1198A"/>
    <w:rsid w:val="00B12725"/>
    <w:rsid w:val="00B13C8A"/>
    <w:rsid w:val="00B145AB"/>
    <w:rsid w:val="00B14719"/>
    <w:rsid w:val="00B14BAD"/>
    <w:rsid w:val="00B1540B"/>
    <w:rsid w:val="00B16AD2"/>
    <w:rsid w:val="00B16DF7"/>
    <w:rsid w:val="00B16FE6"/>
    <w:rsid w:val="00B173B1"/>
    <w:rsid w:val="00B22D2F"/>
    <w:rsid w:val="00B249B9"/>
    <w:rsid w:val="00B25715"/>
    <w:rsid w:val="00B27F89"/>
    <w:rsid w:val="00B3086D"/>
    <w:rsid w:val="00B30DAF"/>
    <w:rsid w:val="00B3165A"/>
    <w:rsid w:val="00B31F22"/>
    <w:rsid w:val="00B32AAF"/>
    <w:rsid w:val="00B33E9B"/>
    <w:rsid w:val="00B3412A"/>
    <w:rsid w:val="00B34FF1"/>
    <w:rsid w:val="00B359A0"/>
    <w:rsid w:val="00B379C6"/>
    <w:rsid w:val="00B40409"/>
    <w:rsid w:val="00B404FE"/>
    <w:rsid w:val="00B415D3"/>
    <w:rsid w:val="00B4399B"/>
    <w:rsid w:val="00B44C4E"/>
    <w:rsid w:val="00B45822"/>
    <w:rsid w:val="00B515F1"/>
    <w:rsid w:val="00B52436"/>
    <w:rsid w:val="00B5448D"/>
    <w:rsid w:val="00B546E5"/>
    <w:rsid w:val="00B554F0"/>
    <w:rsid w:val="00B566C1"/>
    <w:rsid w:val="00B57B95"/>
    <w:rsid w:val="00B57D73"/>
    <w:rsid w:val="00B60270"/>
    <w:rsid w:val="00B61B72"/>
    <w:rsid w:val="00B61D13"/>
    <w:rsid w:val="00B63A10"/>
    <w:rsid w:val="00B63DB3"/>
    <w:rsid w:val="00B65D85"/>
    <w:rsid w:val="00B665A3"/>
    <w:rsid w:val="00B70571"/>
    <w:rsid w:val="00B717F6"/>
    <w:rsid w:val="00B71B9B"/>
    <w:rsid w:val="00B722E9"/>
    <w:rsid w:val="00B723F9"/>
    <w:rsid w:val="00B73BEB"/>
    <w:rsid w:val="00B747C8"/>
    <w:rsid w:val="00B74F55"/>
    <w:rsid w:val="00B805FD"/>
    <w:rsid w:val="00B80C6C"/>
    <w:rsid w:val="00B81484"/>
    <w:rsid w:val="00B81C39"/>
    <w:rsid w:val="00B8287E"/>
    <w:rsid w:val="00B82E03"/>
    <w:rsid w:val="00B84108"/>
    <w:rsid w:val="00B85474"/>
    <w:rsid w:val="00B876BB"/>
    <w:rsid w:val="00B90354"/>
    <w:rsid w:val="00B90A67"/>
    <w:rsid w:val="00B91A99"/>
    <w:rsid w:val="00B91AF0"/>
    <w:rsid w:val="00B92155"/>
    <w:rsid w:val="00B92B63"/>
    <w:rsid w:val="00B9628F"/>
    <w:rsid w:val="00BA0A2A"/>
    <w:rsid w:val="00BA16AC"/>
    <w:rsid w:val="00BA240A"/>
    <w:rsid w:val="00BA29F7"/>
    <w:rsid w:val="00BA5F89"/>
    <w:rsid w:val="00BA6BF2"/>
    <w:rsid w:val="00BA7ECF"/>
    <w:rsid w:val="00BB01D8"/>
    <w:rsid w:val="00BB0352"/>
    <w:rsid w:val="00BB092F"/>
    <w:rsid w:val="00BB30FC"/>
    <w:rsid w:val="00BB35AF"/>
    <w:rsid w:val="00BB3757"/>
    <w:rsid w:val="00BB4862"/>
    <w:rsid w:val="00BB5C86"/>
    <w:rsid w:val="00BB6B48"/>
    <w:rsid w:val="00BC09B3"/>
    <w:rsid w:val="00BC19D4"/>
    <w:rsid w:val="00BC1A08"/>
    <w:rsid w:val="00BC2D0F"/>
    <w:rsid w:val="00BC2EB2"/>
    <w:rsid w:val="00BC32FE"/>
    <w:rsid w:val="00BC414E"/>
    <w:rsid w:val="00BC58B1"/>
    <w:rsid w:val="00BC61F4"/>
    <w:rsid w:val="00BD0278"/>
    <w:rsid w:val="00BD038D"/>
    <w:rsid w:val="00BD5B38"/>
    <w:rsid w:val="00BD62AE"/>
    <w:rsid w:val="00BE05B2"/>
    <w:rsid w:val="00BE0AAF"/>
    <w:rsid w:val="00BE3524"/>
    <w:rsid w:val="00BE396C"/>
    <w:rsid w:val="00BE4F60"/>
    <w:rsid w:val="00BE6099"/>
    <w:rsid w:val="00BE6418"/>
    <w:rsid w:val="00BE64DA"/>
    <w:rsid w:val="00BE6501"/>
    <w:rsid w:val="00BE6FC5"/>
    <w:rsid w:val="00BE78BC"/>
    <w:rsid w:val="00BE7D03"/>
    <w:rsid w:val="00BF1D44"/>
    <w:rsid w:val="00BF1F08"/>
    <w:rsid w:val="00BF2358"/>
    <w:rsid w:val="00BF288B"/>
    <w:rsid w:val="00BF36CB"/>
    <w:rsid w:val="00BF3A63"/>
    <w:rsid w:val="00BF3C26"/>
    <w:rsid w:val="00BF43D7"/>
    <w:rsid w:val="00BF45AB"/>
    <w:rsid w:val="00BF4BD4"/>
    <w:rsid w:val="00BF595C"/>
    <w:rsid w:val="00BF6735"/>
    <w:rsid w:val="00BF70B1"/>
    <w:rsid w:val="00C01CC1"/>
    <w:rsid w:val="00C02959"/>
    <w:rsid w:val="00C02DE0"/>
    <w:rsid w:val="00C03411"/>
    <w:rsid w:val="00C0420B"/>
    <w:rsid w:val="00C0490B"/>
    <w:rsid w:val="00C056D5"/>
    <w:rsid w:val="00C06D32"/>
    <w:rsid w:val="00C073E0"/>
    <w:rsid w:val="00C07697"/>
    <w:rsid w:val="00C07BD5"/>
    <w:rsid w:val="00C07E18"/>
    <w:rsid w:val="00C103C4"/>
    <w:rsid w:val="00C138F7"/>
    <w:rsid w:val="00C14831"/>
    <w:rsid w:val="00C15310"/>
    <w:rsid w:val="00C16313"/>
    <w:rsid w:val="00C16814"/>
    <w:rsid w:val="00C20432"/>
    <w:rsid w:val="00C2056A"/>
    <w:rsid w:val="00C21188"/>
    <w:rsid w:val="00C212B6"/>
    <w:rsid w:val="00C22541"/>
    <w:rsid w:val="00C228CB"/>
    <w:rsid w:val="00C23843"/>
    <w:rsid w:val="00C24BFD"/>
    <w:rsid w:val="00C25681"/>
    <w:rsid w:val="00C264D5"/>
    <w:rsid w:val="00C26D4E"/>
    <w:rsid w:val="00C3061E"/>
    <w:rsid w:val="00C30D72"/>
    <w:rsid w:val="00C31C79"/>
    <w:rsid w:val="00C333D0"/>
    <w:rsid w:val="00C3363B"/>
    <w:rsid w:val="00C33CB2"/>
    <w:rsid w:val="00C34A99"/>
    <w:rsid w:val="00C34E2D"/>
    <w:rsid w:val="00C3524B"/>
    <w:rsid w:val="00C353EE"/>
    <w:rsid w:val="00C35F76"/>
    <w:rsid w:val="00C3644D"/>
    <w:rsid w:val="00C36859"/>
    <w:rsid w:val="00C36FB6"/>
    <w:rsid w:val="00C415DF"/>
    <w:rsid w:val="00C41D8E"/>
    <w:rsid w:val="00C421EE"/>
    <w:rsid w:val="00C44520"/>
    <w:rsid w:val="00C4622D"/>
    <w:rsid w:val="00C46B19"/>
    <w:rsid w:val="00C47D97"/>
    <w:rsid w:val="00C52C62"/>
    <w:rsid w:val="00C537F2"/>
    <w:rsid w:val="00C5442F"/>
    <w:rsid w:val="00C5450D"/>
    <w:rsid w:val="00C54CE7"/>
    <w:rsid w:val="00C54D2B"/>
    <w:rsid w:val="00C55807"/>
    <w:rsid w:val="00C60832"/>
    <w:rsid w:val="00C60AA3"/>
    <w:rsid w:val="00C61896"/>
    <w:rsid w:val="00C623CA"/>
    <w:rsid w:val="00C62407"/>
    <w:rsid w:val="00C62C8A"/>
    <w:rsid w:val="00C644B5"/>
    <w:rsid w:val="00C6545A"/>
    <w:rsid w:val="00C65C1A"/>
    <w:rsid w:val="00C66413"/>
    <w:rsid w:val="00C6642E"/>
    <w:rsid w:val="00C67CA1"/>
    <w:rsid w:val="00C71246"/>
    <w:rsid w:val="00C731FE"/>
    <w:rsid w:val="00C735C0"/>
    <w:rsid w:val="00C743BB"/>
    <w:rsid w:val="00C74A27"/>
    <w:rsid w:val="00C74FB9"/>
    <w:rsid w:val="00C75139"/>
    <w:rsid w:val="00C7582C"/>
    <w:rsid w:val="00C75EE5"/>
    <w:rsid w:val="00C7712D"/>
    <w:rsid w:val="00C777CE"/>
    <w:rsid w:val="00C77F29"/>
    <w:rsid w:val="00C80BD5"/>
    <w:rsid w:val="00C81233"/>
    <w:rsid w:val="00C82369"/>
    <w:rsid w:val="00C83F97"/>
    <w:rsid w:val="00C8446C"/>
    <w:rsid w:val="00C84582"/>
    <w:rsid w:val="00C858B8"/>
    <w:rsid w:val="00C86E9C"/>
    <w:rsid w:val="00C904AA"/>
    <w:rsid w:val="00C91E92"/>
    <w:rsid w:val="00C93168"/>
    <w:rsid w:val="00C93EF2"/>
    <w:rsid w:val="00C944B3"/>
    <w:rsid w:val="00C94CAC"/>
    <w:rsid w:val="00C968A1"/>
    <w:rsid w:val="00CA049C"/>
    <w:rsid w:val="00CA0617"/>
    <w:rsid w:val="00CA11BA"/>
    <w:rsid w:val="00CA6515"/>
    <w:rsid w:val="00CA697E"/>
    <w:rsid w:val="00CA6A9D"/>
    <w:rsid w:val="00CA6FAB"/>
    <w:rsid w:val="00CA773A"/>
    <w:rsid w:val="00CA77E6"/>
    <w:rsid w:val="00CB05DF"/>
    <w:rsid w:val="00CB1287"/>
    <w:rsid w:val="00CB3151"/>
    <w:rsid w:val="00CB330F"/>
    <w:rsid w:val="00CB7DA9"/>
    <w:rsid w:val="00CC0BB3"/>
    <w:rsid w:val="00CC0BE3"/>
    <w:rsid w:val="00CC124D"/>
    <w:rsid w:val="00CC6B59"/>
    <w:rsid w:val="00CD12E3"/>
    <w:rsid w:val="00CD1910"/>
    <w:rsid w:val="00CD2D69"/>
    <w:rsid w:val="00CD345F"/>
    <w:rsid w:val="00CD43F0"/>
    <w:rsid w:val="00CD63D9"/>
    <w:rsid w:val="00CD6D8A"/>
    <w:rsid w:val="00CD7464"/>
    <w:rsid w:val="00CE0045"/>
    <w:rsid w:val="00CE1B1D"/>
    <w:rsid w:val="00CE1DD4"/>
    <w:rsid w:val="00CE1F64"/>
    <w:rsid w:val="00CE2561"/>
    <w:rsid w:val="00CE3AF1"/>
    <w:rsid w:val="00CE4189"/>
    <w:rsid w:val="00CE41E1"/>
    <w:rsid w:val="00CE4F2E"/>
    <w:rsid w:val="00CE52B0"/>
    <w:rsid w:val="00CE79BD"/>
    <w:rsid w:val="00CE7E58"/>
    <w:rsid w:val="00CF485D"/>
    <w:rsid w:val="00CF50BB"/>
    <w:rsid w:val="00CF58DD"/>
    <w:rsid w:val="00CF6464"/>
    <w:rsid w:val="00D029CB"/>
    <w:rsid w:val="00D0371C"/>
    <w:rsid w:val="00D066BA"/>
    <w:rsid w:val="00D06F30"/>
    <w:rsid w:val="00D073CD"/>
    <w:rsid w:val="00D104D8"/>
    <w:rsid w:val="00D12953"/>
    <w:rsid w:val="00D12F97"/>
    <w:rsid w:val="00D13757"/>
    <w:rsid w:val="00D1513D"/>
    <w:rsid w:val="00D16C19"/>
    <w:rsid w:val="00D1768F"/>
    <w:rsid w:val="00D17F66"/>
    <w:rsid w:val="00D20587"/>
    <w:rsid w:val="00D21049"/>
    <w:rsid w:val="00D2106D"/>
    <w:rsid w:val="00D21102"/>
    <w:rsid w:val="00D2112F"/>
    <w:rsid w:val="00D21620"/>
    <w:rsid w:val="00D22402"/>
    <w:rsid w:val="00D2267C"/>
    <w:rsid w:val="00D2459D"/>
    <w:rsid w:val="00D2486F"/>
    <w:rsid w:val="00D24B2C"/>
    <w:rsid w:val="00D24CB1"/>
    <w:rsid w:val="00D257C2"/>
    <w:rsid w:val="00D261B8"/>
    <w:rsid w:val="00D26BFA"/>
    <w:rsid w:val="00D27042"/>
    <w:rsid w:val="00D3041B"/>
    <w:rsid w:val="00D309B0"/>
    <w:rsid w:val="00D313B3"/>
    <w:rsid w:val="00D3160E"/>
    <w:rsid w:val="00D318A9"/>
    <w:rsid w:val="00D31AF7"/>
    <w:rsid w:val="00D33EB1"/>
    <w:rsid w:val="00D34102"/>
    <w:rsid w:val="00D34ED3"/>
    <w:rsid w:val="00D356B6"/>
    <w:rsid w:val="00D35D7A"/>
    <w:rsid w:val="00D35D91"/>
    <w:rsid w:val="00D37CC1"/>
    <w:rsid w:val="00D37DE0"/>
    <w:rsid w:val="00D403E8"/>
    <w:rsid w:val="00D4127F"/>
    <w:rsid w:val="00D42211"/>
    <w:rsid w:val="00D42522"/>
    <w:rsid w:val="00D42DEB"/>
    <w:rsid w:val="00D433ED"/>
    <w:rsid w:val="00D44EA9"/>
    <w:rsid w:val="00D471A1"/>
    <w:rsid w:val="00D5056E"/>
    <w:rsid w:val="00D50665"/>
    <w:rsid w:val="00D52459"/>
    <w:rsid w:val="00D5306E"/>
    <w:rsid w:val="00D53C1A"/>
    <w:rsid w:val="00D54B5B"/>
    <w:rsid w:val="00D55162"/>
    <w:rsid w:val="00D5546A"/>
    <w:rsid w:val="00D556C0"/>
    <w:rsid w:val="00D55731"/>
    <w:rsid w:val="00D55C76"/>
    <w:rsid w:val="00D62B6F"/>
    <w:rsid w:val="00D63A94"/>
    <w:rsid w:val="00D63D87"/>
    <w:rsid w:val="00D65954"/>
    <w:rsid w:val="00D65A8D"/>
    <w:rsid w:val="00D65BA1"/>
    <w:rsid w:val="00D662BA"/>
    <w:rsid w:val="00D664BD"/>
    <w:rsid w:val="00D6782D"/>
    <w:rsid w:val="00D67BF4"/>
    <w:rsid w:val="00D72B72"/>
    <w:rsid w:val="00D734A6"/>
    <w:rsid w:val="00D73573"/>
    <w:rsid w:val="00D73930"/>
    <w:rsid w:val="00D73B3B"/>
    <w:rsid w:val="00D74BC2"/>
    <w:rsid w:val="00D75043"/>
    <w:rsid w:val="00D76A04"/>
    <w:rsid w:val="00D80B82"/>
    <w:rsid w:val="00D8122C"/>
    <w:rsid w:val="00D817C0"/>
    <w:rsid w:val="00D8442A"/>
    <w:rsid w:val="00D856F3"/>
    <w:rsid w:val="00D85A2A"/>
    <w:rsid w:val="00D912E2"/>
    <w:rsid w:val="00D92CFC"/>
    <w:rsid w:val="00D93854"/>
    <w:rsid w:val="00D972CF"/>
    <w:rsid w:val="00D97C0D"/>
    <w:rsid w:val="00DA0847"/>
    <w:rsid w:val="00DA2708"/>
    <w:rsid w:val="00DA2772"/>
    <w:rsid w:val="00DA2F8F"/>
    <w:rsid w:val="00DA5989"/>
    <w:rsid w:val="00DA7945"/>
    <w:rsid w:val="00DB226E"/>
    <w:rsid w:val="00DB2560"/>
    <w:rsid w:val="00DB2E73"/>
    <w:rsid w:val="00DB2F85"/>
    <w:rsid w:val="00DB3399"/>
    <w:rsid w:val="00DB3CFC"/>
    <w:rsid w:val="00DB423A"/>
    <w:rsid w:val="00DB62E0"/>
    <w:rsid w:val="00DB73A7"/>
    <w:rsid w:val="00DB7853"/>
    <w:rsid w:val="00DC01E9"/>
    <w:rsid w:val="00DC04EF"/>
    <w:rsid w:val="00DC1CB7"/>
    <w:rsid w:val="00DC2296"/>
    <w:rsid w:val="00DC2B0D"/>
    <w:rsid w:val="00DC3144"/>
    <w:rsid w:val="00DC3395"/>
    <w:rsid w:val="00DC4DDD"/>
    <w:rsid w:val="00DC5482"/>
    <w:rsid w:val="00DC723D"/>
    <w:rsid w:val="00DD1A58"/>
    <w:rsid w:val="00DD2F2F"/>
    <w:rsid w:val="00DD3197"/>
    <w:rsid w:val="00DD7ABD"/>
    <w:rsid w:val="00DE4EC8"/>
    <w:rsid w:val="00DE5C19"/>
    <w:rsid w:val="00DE5CD6"/>
    <w:rsid w:val="00DE71E3"/>
    <w:rsid w:val="00DF0FC7"/>
    <w:rsid w:val="00DF1237"/>
    <w:rsid w:val="00DF13AB"/>
    <w:rsid w:val="00DF275F"/>
    <w:rsid w:val="00DF33E1"/>
    <w:rsid w:val="00DF5C12"/>
    <w:rsid w:val="00DF7748"/>
    <w:rsid w:val="00DF7776"/>
    <w:rsid w:val="00E00C8E"/>
    <w:rsid w:val="00E00CFE"/>
    <w:rsid w:val="00E020B0"/>
    <w:rsid w:val="00E02C0E"/>
    <w:rsid w:val="00E032B2"/>
    <w:rsid w:val="00E036BE"/>
    <w:rsid w:val="00E038DF"/>
    <w:rsid w:val="00E0484B"/>
    <w:rsid w:val="00E0575E"/>
    <w:rsid w:val="00E05C66"/>
    <w:rsid w:val="00E07B0C"/>
    <w:rsid w:val="00E10DC4"/>
    <w:rsid w:val="00E1121E"/>
    <w:rsid w:val="00E11ADC"/>
    <w:rsid w:val="00E12A47"/>
    <w:rsid w:val="00E15100"/>
    <w:rsid w:val="00E1589F"/>
    <w:rsid w:val="00E16B9C"/>
    <w:rsid w:val="00E16C22"/>
    <w:rsid w:val="00E16D6A"/>
    <w:rsid w:val="00E178CF"/>
    <w:rsid w:val="00E22081"/>
    <w:rsid w:val="00E22942"/>
    <w:rsid w:val="00E23625"/>
    <w:rsid w:val="00E23D46"/>
    <w:rsid w:val="00E2511F"/>
    <w:rsid w:val="00E265F6"/>
    <w:rsid w:val="00E26ED2"/>
    <w:rsid w:val="00E27ED0"/>
    <w:rsid w:val="00E30674"/>
    <w:rsid w:val="00E30A83"/>
    <w:rsid w:val="00E33726"/>
    <w:rsid w:val="00E33BAD"/>
    <w:rsid w:val="00E344AB"/>
    <w:rsid w:val="00E3603A"/>
    <w:rsid w:val="00E36953"/>
    <w:rsid w:val="00E36B34"/>
    <w:rsid w:val="00E3718B"/>
    <w:rsid w:val="00E419D9"/>
    <w:rsid w:val="00E43D81"/>
    <w:rsid w:val="00E43E09"/>
    <w:rsid w:val="00E47478"/>
    <w:rsid w:val="00E47CA3"/>
    <w:rsid w:val="00E50732"/>
    <w:rsid w:val="00E518A8"/>
    <w:rsid w:val="00E51FC0"/>
    <w:rsid w:val="00E5275A"/>
    <w:rsid w:val="00E52AE5"/>
    <w:rsid w:val="00E53B0C"/>
    <w:rsid w:val="00E545B3"/>
    <w:rsid w:val="00E54AB7"/>
    <w:rsid w:val="00E54EDF"/>
    <w:rsid w:val="00E563DE"/>
    <w:rsid w:val="00E60AF3"/>
    <w:rsid w:val="00E629AD"/>
    <w:rsid w:val="00E62D27"/>
    <w:rsid w:val="00E64D4B"/>
    <w:rsid w:val="00E652BD"/>
    <w:rsid w:val="00E66328"/>
    <w:rsid w:val="00E673F3"/>
    <w:rsid w:val="00E702E6"/>
    <w:rsid w:val="00E703CE"/>
    <w:rsid w:val="00E708F4"/>
    <w:rsid w:val="00E70E8D"/>
    <w:rsid w:val="00E70EE6"/>
    <w:rsid w:val="00E719D1"/>
    <w:rsid w:val="00E73FBB"/>
    <w:rsid w:val="00E7604F"/>
    <w:rsid w:val="00E763EF"/>
    <w:rsid w:val="00E80409"/>
    <w:rsid w:val="00E8166C"/>
    <w:rsid w:val="00E85025"/>
    <w:rsid w:val="00E87814"/>
    <w:rsid w:val="00E87F30"/>
    <w:rsid w:val="00E9132D"/>
    <w:rsid w:val="00E9152E"/>
    <w:rsid w:val="00E921DD"/>
    <w:rsid w:val="00E93282"/>
    <w:rsid w:val="00E93DFF"/>
    <w:rsid w:val="00E94092"/>
    <w:rsid w:val="00E94DB8"/>
    <w:rsid w:val="00E9553A"/>
    <w:rsid w:val="00E95593"/>
    <w:rsid w:val="00E95E51"/>
    <w:rsid w:val="00E9714B"/>
    <w:rsid w:val="00EA077B"/>
    <w:rsid w:val="00EA11BC"/>
    <w:rsid w:val="00EA1FCF"/>
    <w:rsid w:val="00EA224A"/>
    <w:rsid w:val="00EA2B5B"/>
    <w:rsid w:val="00EA32FD"/>
    <w:rsid w:val="00EA398B"/>
    <w:rsid w:val="00EA3FB0"/>
    <w:rsid w:val="00EA63AA"/>
    <w:rsid w:val="00EA6965"/>
    <w:rsid w:val="00EA7D61"/>
    <w:rsid w:val="00EB049A"/>
    <w:rsid w:val="00EB0895"/>
    <w:rsid w:val="00EB0B35"/>
    <w:rsid w:val="00EB13A2"/>
    <w:rsid w:val="00EB1B94"/>
    <w:rsid w:val="00EB1D42"/>
    <w:rsid w:val="00EB3DCE"/>
    <w:rsid w:val="00EB4CDB"/>
    <w:rsid w:val="00EB4E41"/>
    <w:rsid w:val="00EC1F38"/>
    <w:rsid w:val="00EC2565"/>
    <w:rsid w:val="00EC3B4F"/>
    <w:rsid w:val="00EC4BF2"/>
    <w:rsid w:val="00EC644B"/>
    <w:rsid w:val="00EC7998"/>
    <w:rsid w:val="00ED09B9"/>
    <w:rsid w:val="00ED399F"/>
    <w:rsid w:val="00ED41D4"/>
    <w:rsid w:val="00ED4BB5"/>
    <w:rsid w:val="00EE002D"/>
    <w:rsid w:val="00EE0039"/>
    <w:rsid w:val="00EE0A0C"/>
    <w:rsid w:val="00EE1152"/>
    <w:rsid w:val="00EE274A"/>
    <w:rsid w:val="00EE2DF2"/>
    <w:rsid w:val="00EE3926"/>
    <w:rsid w:val="00EE39C3"/>
    <w:rsid w:val="00EE4173"/>
    <w:rsid w:val="00EE483A"/>
    <w:rsid w:val="00EE5D97"/>
    <w:rsid w:val="00EE7D9E"/>
    <w:rsid w:val="00EF0EEC"/>
    <w:rsid w:val="00EF161E"/>
    <w:rsid w:val="00EF19D0"/>
    <w:rsid w:val="00EF1E7F"/>
    <w:rsid w:val="00EF2237"/>
    <w:rsid w:val="00EF2633"/>
    <w:rsid w:val="00EF2E91"/>
    <w:rsid w:val="00EF3A06"/>
    <w:rsid w:val="00EF3B97"/>
    <w:rsid w:val="00EF4722"/>
    <w:rsid w:val="00EF4AAB"/>
    <w:rsid w:val="00EF4BED"/>
    <w:rsid w:val="00EF5F0E"/>
    <w:rsid w:val="00EF6996"/>
    <w:rsid w:val="00EF6B65"/>
    <w:rsid w:val="00EF7CB6"/>
    <w:rsid w:val="00F00078"/>
    <w:rsid w:val="00F00B9E"/>
    <w:rsid w:val="00F0417A"/>
    <w:rsid w:val="00F0424E"/>
    <w:rsid w:val="00F04C36"/>
    <w:rsid w:val="00F06452"/>
    <w:rsid w:val="00F07605"/>
    <w:rsid w:val="00F07F12"/>
    <w:rsid w:val="00F1003F"/>
    <w:rsid w:val="00F10991"/>
    <w:rsid w:val="00F10E44"/>
    <w:rsid w:val="00F135C5"/>
    <w:rsid w:val="00F144CD"/>
    <w:rsid w:val="00F147C3"/>
    <w:rsid w:val="00F21946"/>
    <w:rsid w:val="00F22CAC"/>
    <w:rsid w:val="00F26681"/>
    <w:rsid w:val="00F271C6"/>
    <w:rsid w:val="00F278A1"/>
    <w:rsid w:val="00F27BC9"/>
    <w:rsid w:val="00F27D88"/>
    <w:rsid w:val="00F31FCF"/>
    <w:rsid w:val="00F323F6"/>
    <w:rsid w:val="00F34D02"/>
    <w:rsid w:val="00F34F3D"/>
    <w:rsid w:val="00F35719"/>
    <w:rsid w:val="00F3691C"/>
    <w:rsid w:val="00F36F94"/>
    <w:rsid w:val="00F37623"/>
    <w:rsid w:val="00F41012"/>
    <w:rsid w:val="00F411B0"/>
    <w:rsid w:val="00F4258F"/>
    <w:rsid w:val="00F4280E"/>
    <w:rsid w:val="00F43FF7"/>
    <w:rsid w:val="00F449F5"/>
    <w:rsid w:val="00F45BB3"/>
    <w:rsid w:val="00F475C8"/>
    <w:rsid w:val="00F505A5"/>
    <w:rsid w:val="00F50A60"/>
    <w:rsid w:val="00F51758"/>
    <w:rsid w:val="00F51D4B"/>
    <w:rsid w:val="00F5223B"/>
    <w:rsid w:val="00F52290"/>
    <w:rsid w:val="00F557BD"/>
    <w:rsid w:val="00F56285"/>
    <w:rsid w:val="00F56A55"/>
    <w:rsid w:val="00F5787E"/>
    <w:rsid w:val="00F5796E"/>
    <w:rsid w:val="00F6015C"/>
    <w:rsid w:val="00F6102F"/>
    <w:rsid w:val="00F61F8E"/>
    <w:rsid w:val="00F63740"/>
    <w:rsid w:val="00F63BAE"/>
    <w:rsid w:val="00F660E9"/>
    <w:rsid w:val="00F67937"/>
    <w:rsid w:val="00F70137"/>
    <w:rsid w:val="00F7233E"/>
    <w:rsid w:val="00F7264D"/>
    <w:rsid w:val="00F76612"/>
    <w:rsid w:val="00F7734E"/>
    <w:rsid w:val="00F80883"/>
    <w:rsid w:val="00F82636"/>
    <w:rsid w:val="00F82A87"/>
    <w:rsid w:val="00F83EC2"/>
    <w:rsid w:val="00F8448A"/>
    <w:rsid w:val="00F84548"/>
    <w:rsid w:val="00F851F9"/>
    <w:rsid w:val="00F86D21"/>
    <w:rsid w:val="00F8752C"/>
    <w:rsid w:val="00F87A10"/>
    <w:rsid w:val="00F90038"/>
    <w:rsid w:val="00F90747"/>
    <w:rsid w:val="00F9165D"/>
    <w:rsid w:val="00F91CA3"/>
    <w:rsid w:val="00F91E46"/>
    <w:rsid w:val="00F92D85"/>
    <w:rsid w:val="00F94C91"/>
    <w:rsid w:val="00F95337"/>
    <w:rsid w:val="00F95C8F"/>
    <w:rsid w:val="00F961D1"/>
    <w:rsid w:val="00F96C5D"/>
    <w:rsid w:val="00F96CE8"/>
    <w:rsid w:val="00F96E45"/>
    <w:rsid w:val="00FA0E83"/>
    <w:rsid w:val="00FA168A"/>
    <w:rsid w:val="00FA3C6B"/>
    <w:rsid w:val="00FA4F5B"/>
    <w:rsid w:val="00FA58AF"/>
    <w:rsid w:val="00FA7AF2"/>
    <w:rsid w:val="00FB0F5C"/>
    <w:rsid w:val="00FB1861"/>
    <w:rsid w:val="00FB4334"/>
    <w:rsid w:val="00FB4EB4"/>
    <w:rsid w:val="00FB67AB"/>
    <w:rsid w:val="00FB691E"/>
    <w:rsid w:val="00FC1AC6"/>
    <w:rsid w:val="00FC21B5"/>
    <w:rsid w:val="00FC2945"/>
    <w:rsid w:val="00FC3AB3"/>
    <w:rsid w:val="00FC440E"/>
    <w:rsid w:val="00FC6B34"/>
    <w:rsid w:val="00FC6C94"/>
    <w:rsid w:val="00FC6DAF"/>
    <w:rsid w:val="00FC6DB5"/>
    <w:rsid w:val="00FC761A"/>
    <w:rsid w:val="00FD1BE7"/>
    <w:rsid w:val="00FD25F2"/>
    <w:rsid w:val="00FD2B3F"/>
    <w:rsid w:val="00FD37BA"/>
    <w:rsid w:val="00FD3B4C"/>
    <w:rsid w:val="00FD4CF6"/>
    <w:rsid w:val="00FD5226"/>
    <w:rsid w:val="00FD55DD"/>
    <w:rsid w:val="00FD67EF"/>
    <w:rsid w:val="00FD7087"/>
    <w:rsid w:val="00FD79A1"/>
    <w:rsid w:val="00FD7ABE"/>
    <w:rsid w:val="00FE07CB"/>
    <w:rsid w:val="00FE0C87"/>
    <w:rsid w:val="00FE0EB1"/>
    <w:rsid w:val="00FE1260"/>
    <w:rsid w:val="00FE4615"/>
    <w:rsid w:val="00FE48D7"/>
    <w:rsid w:val="00FE5E36"/>
    <w:rsid w:val="00FF102A"/>
    <w:rsid w:val="00FF6995"/>
    <w:rsid w:val="00FF6A3A"/>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C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CE8"/>
    <w:pPr>
      <w:keepNext/>
      <w:numPr>
        <w:numId w:val="3"/>
      </w:numPr>
      <w:autoSpaceDE/>
      <w:autoSpaceDN/>
      <w:spacing w:before="240" w:after="60" w:line="276" w:lineRule="auto"/>
      <w:outlineLvl w:val="1"/>
    </w:pPr>
    <w:rPr>
      <w:rFonts w:ascii="Times" w:hAnsi="Times" w:cs="Times New Roman"/>
      <w:bCs/>
      <w:i/>
      <w:iCs/>
      <w:szCs w:val="28"/>
    </w:rPr>
  </w:style>
  <w:style w:type="paragraph" w:styleId="Heading3">
    <w:name w:val="heading 3"/>
    <w:basedOn w:val="Normal"/>
    <w:next w:val="Normal"/>
    <w:link w:val="Heading3Char"/>
    <w:uiPriority w:val="9"/>
    <w:unhideWhenUsed/>
    <w:qFormat/>
    <w:rsid w:val="00C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autoSpaceDE/>
      <w:autoSpaceDN/>
      <w:spacing w:before="240" w:after="60" w:line="276" w:lineRule="auto"/>
      <w:ind w:left="288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CA6A9D"/>
    <w:pPr>
      <w:autoSpaceDE/>
      <w:autoSpaceDN/>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autoSpaceDE/>
      <w:autoSpaceDN/>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autoSpaceDE/>
      <w:autoSpaceDN/>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autoSpaceDE/>
      <w:autoSpaceDN/>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unhideWhenUsed/>
    <w:rsid w:val="00550922"/>
    <w:rPr>
      <w:sz w:val="20"/>
      <w:szCs w:val="20"/>
    </w:rPr>
  </w:style>
  <w:style w:type="character" w:customStyle="1" w:styleId="FootnoteTextChar">
    <w:name w:val="Footnote Text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F96CE8"/>
    <w:rPr>
      <w:rFonts w:ascii="Times" w:eastAsia="Times New Roman" w:hAnsi="Times" w:cs="Times New Roman"/>
      <w:bCs/>
      <w:i/>
      <w:iCs/>
      <w:sz w:val="24"/>
      <w:szCs w:val="28"/>
    </w:rPr>
  </w:style>
  <w:style w:type="character" w:customStyle="1" w:styleId="Heading3Char">
    <w:name w:val="Heading 3 Char"/>
    <w:basedOn w:val="DefaultParagraphFont"/>
    <w:link w:val="Heading3"/>
    <w:uiPriority w:val="9"/>
    <w:rsid w:val="00CA6A9D"/>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CA6A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semiHidden/>
    <w:unhideWhenUsed/>
    <w:rsid w:val="009D3F59"/>
    <w:pPr>
      <w:spacing w:after="120"/>
    </w:pPr>
  </w:style>
  <w:style w:type="character" w:customStyle="1" w:styleId="BodyTextChar">
    <w:name w:val="Body Text Char"/>
    <w:basedOn w:val="DefaultParagraphFont"/>
    <w:link w:val="BodyText"/>
    <w:uiPriority w:val="99"/>
    <w:semiHidden/>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6545A"/>
    <w:pPr>
      <w:tabs>
        <w:tab w:val="left" w:pos="720"/>
        <w:tab w:val="right" w:leader="dot" w:pos="9638"/>
      </w:tabs>
      <w:spacing w:after="100"/>
    </w:pPr>
  </w:style>
  <w:style w:type="paragraph" w:styleId="TOC2">
    <w:name w:val="toc 2"/>
    <w:basedOn w:val="Normal"/>
    <w:next w:val="Normal"/>
    <w:autoRedefine/>
    <w:uiPriority w:val="39"/>
    <w:unhideWhenUsed/>
    <w:rsid w:val="00C6545A"/>
    <w:pPr>
      <w:tabs>
        <w:tab w:val="left" w:pos="1440"/>
        <w:tab w:val="right" w:leader="dot" w:pos="9638"/>
      </w:tabs>
      <w:spacing w:after="100"/>
      <w:ind w:left="720"/>
    </w:pPr>
  </w:style>
  <w:style w:type="paragraph" w:styleId="TOC3">
    <w:name w:val="toc 3"/>
    <w:basedOn w:val="Normal"/>
    <w:next w:val="Normal"/>
    <w:autoRedefine/>
    <w:uiPriority w:val="39"/>
    <w:unhideWhenUsed/>
    <w:rsid w:val="00C6545A"/>
    <w:pPr>
      <w:tabs>
        <w:tab w:val="left" w:pos="2160"/>
        <w:tab w:val="right" w:leader="dot" w:pos="9638"/>
      </w:tabs>
      <w:spacing w:after="100"/>
      <w:ind w:left="1440"/>
    </w:pPr>
  </w:style>
  <w:style w:type="paragraph" w:styleId="TOC4">
    <w:name w:val="toc 4"/>
    <w:basedOn w:val="Normal"/>
    <w:next w:val="Normal"/>
    <w:autoRedefine/>
    <w:uiPriority w:val="39"/>
    <w:unhideWhenUsed/>
    <w:rsid w:val="00C6545A"/>
    <w:pPr>
      <w:tabs>
        <w:tab w:val="left" w:pos="2880"/>
        <w:tab w:val="right" w:leader="dot" w:pos="9638"/>
      </w:tabs>
      <w:spacing w:after="100"/>
      <w:ind w:left="28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BD"/>
    <w:pPr>
      <w:autoSpaceDE w:val="0"/>
      <w:autoSpaceDN w:val="0"/>
      <w:spacing w:line="240" w:lineRule="auto"/>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CA6A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CE8"/>
    <w:pPr>
      <w:keepNext/>
      <w:numPr>
        <w:numId w:val="3"/>
      </w:numPr>
      <w:autoSpaceDE/>
      <w:autoSpaceDN/>
      <w:spacing w:before="240" w:after="60" w:line="276" w:lineRule="auto"/>
      <w:outlineLvl w:val="1"/>
    </w:pPr>
    <w:rPr>
      <w:rFonts w:ascii="Times" w:hAnsi="Times" w:cs="Times New Roman"/>
      <w:bCs/>
      <w:i/>
      <w:iCs/>
      <w:szCs w:val="28"/>
    </w:rPr>
  </w:style>
  <w:style w:type="paragraph" w:styleId="Heading3">
    <w:name w:val="heading 3"/>
    <w:basedOn w:val="Normal"/>
    <w:next w:val="Normal"/>
    <w:link w:val="Heading3Char"/>
    <w:uiPriority w:val="9"/>
    <w:unhideWhenUsed/>
    <w:qFormat/>
    <w:rsid w:val="00CA6A9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6A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6A9D"/>
    <w:pPr>
      <w:autoSpaceDE/>
      <w:autoSpaceDN/>
      <w:spacing w:before="240" w:after="60" w:line="276" w:lineRule="auto"/>
      <w:ind w:left="288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CA6A9D"/>
    <w:pPr>
      <w:autoSpaceDE/>
      <w:autoSpaceDN/>
      <w:spacing w:before="240" w:after="60" w:line="276" w:lineRule="auto"/>
      <w:ind w:left="360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CA6A9D"/>
    <w:pPr>
      <w:autoSpaceDE/>
      <w:autoSpaceDN/>
      <w:spacing w:before="240" w:after="60" w:line="276" w:lineRule="auto"/>
      <w:ind w:left="432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CA6A9D"/>
    <w:pPr>
      <w:autoSpaceDE/>
      <w:autoSpaceDN/>
      <w:spacing w:before="240" w:after="60" w:line="276" w:lineRule="auto"/>
      <w:ind w:left="504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CA6A9D"/>
    <w:pPr>
      <w:autoSpaceDE/>
      <w:autoSpaceDN/>
      <w:spacing w:before="240" w:after="60" w:line="276" w:lineRule="auto"/>
      <w:ind w:left="57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CE7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CE79BD"/>
    <w:pPr>
      <w:tabs>
        <w:tab w:val="center" w:pos="4320"/>
        <w:tab w:val="right" w:pos="8640"/>
      </w:tabs>
    </w:pPr>
  </w:style>
  <w:style w:type="character" w:customStyle="1" w:styleId="FooterChar">
    <w:name w:val="Footer Char"/>
    <w:basedOn w:val="DefaultParagraphFont"/>
    <w:link w:val="Footer"/>
    <w:uiPriority w:val="99"/>
    <w:rsid w:val="00CE79BD"/>
    <w:rPr>
      <w:rFonts w:ascii="CG Times" w:eastAsia="Times New Roman" w:hAnsi="CG Times" w:cs="CG Times"/>
      <w:sz w:val="24"/>
      <w:szCs w:val="24"/>
    </w:rPr>
  </w:style>
  <w:style w:type="character" w:styleId="PageNumber">
    <w:name w:val="page number"/>
    <w:basedOn w:val="DefaultParagraphFont"/>
    <w:rsid w:val="00CE79BD"/>
  </w:style>
  <w:style w:type="character" w:styleId="Hyperlink">
    <w:name w:val="Hyperlink"/>
    <w:basedOn w:val="DefaultParagraphFont"/>
    <w:uiPriority w:val="99"/>
    <w:unhideWhenUsed/>
    <w:rsid w:val="004820EC"/>
    <w:rPr>
      <w:color w:val="0000FF" w:themeColor="hyperlink"/>
      <w:u w:val="single"/>
    </w:rPr>
  </w:style>
  <w:style w:type="paragraph" w:styleId="FootnoteText">
    <w:name w:val="footnote text"/>
    <w:basedOn w:val="Normal"/>
    <w:link w:val="FootnoteTextChar"/>
    <w:uiPriority w:val="99"/>
    <w:unhideWhenUsed/>
    <w:rsid w:val="00550922"/>
    <w:rPr>
      <w:sz w:val="20"/>
      <w:szCs w:val="20"/>
    </w:rPr>
  </w:style>
  <w:style w:type="character" w:customStyle="1" w:styleId="FootnoteTextChar">
    <w:name w:val="Footnote Text Char"/>
    <w:basedOn w:val="DefaultParagraphFont"/>
    <w:link w:val="FootnoteText"/>
    <w:uiPriority w:val="99"/>
    <w:rsid w:val="00550922"/>
    <w:rPr>
      <w:rFonts w:ascii="CG Times" w:eastAsia="Times New Roman" w:hAnsi="CG Times" w:cs="CG Times"/>
      <w:sz w:val="20"/>
      <w:szCs w:val="20"/>
    </w:rPr>
  </w:style>
  <w:style w:type="character" w:styleId="FootnoteReference">
    <w:name w:val="footnote reference"/>
    <w:basedOn w:val="DefaultParagraphFont"/>
    <w:unhideWhenUsed/>
    <w:rsid w:val="00550922"/>
    <w:rPr>
      <w:vertAlign w:val="superscript"/>
    </w:rPr>
  </w:style>
  <w:style w:type="paragraph" w:styleId="BalloonText">
    <w:name w:val="Balloon Text"/>
    <w:basedOn w:val="Normal"/>
    <w:link w:val="BalloonTextChar"/>
    <w:uiPriority w:val="99"/>
    <w:semiHidden/>
    <w:unhideWhenUsed/>
    <w:rsid w:val="00512246"/>
    <w:rPr>
      <w:rFonts w:ascii="Tahoma" w:hAnsi="Tahoma" w:cs="Tahoma"/>
      <w:sz w:val="16"/>
      <w:szCs w:val="16"/>
    </w:rPr>
  </w:style>
  <w:style w:type="character" w:customStyle="1" w:styleId="BalloonTextChar">
    <w:name w:val="Balloon Text Char"/>
    <w:basedOn w:val="DefaultParagraphFont"/>
    <w:link w:val="BalloonText"/>
    <w:uiPriority w:val="99"/>
    <w:semiHidden/>
    <w:rsid w:val="00512246"/>
    <w:rPr>
      <w:rFonts w:ascii="Tahoma" w:eastAsia="Times New Roman" w:hAnsi="Tahoma" w:cs="Tahoma"/>
      <w:sz w:val="16"/>
      <w:szCs w:val="16"/>
    </w:rPr>
  </w:style>
  <w:style w:type="paragraph" w:styleId="Header">
    <w:name w:val="header"/>
    <w:basedOn w:val="Normal"/>
    <w:link w:val="HeaderChar"/>
    <w:uiPriority w:val="99"/>
    <w:unhideWhenUsed/>
    <w:rsid w:val="004656AC"/>
    <w:pPr>
      <w:tabs>
        <w:tab w:val="center" w:pos="4680"/>
        <w:tab w:val="right" w:pos="9360"/>
      </w:tabs>
    </w:pPr>
  </w:style>
  <w:style w:type="character" w:customStyle="1" w:styleId="HeaderChar">
    <w:name w:val="Header Char"/>
    <w:basedOn w:val="DefaultParagraphFont"/>
    <w:link w:val="Header"/>
    <w:uiPriority w:val="99"/>
    <w:rsid w:val="004656AC"/>
    <w:rPr>
      <w:rFonts w:ascii="CG Times" w:eastAsia="Times New Roman" w:hAnsi="CG Times" w:cs="CG Times"/>
      <w:sz w:val="24"/>
      <w:szCs w:val="24"/>
    </w:rPr>
  </w:style>
  <w:style w:type="paragraph" w:styleId="NoSpacing">
    <w:name w:val="No Spacing"/>
    <w:uiPriority w:val="1"/>
    <w:qFormat/>
    <w:rsid w:val="00120769"/>
    <w:pPr>
      <w:spacing w:line="240" w:lineRule="auto"/>
    </w:pPr>
  </w:style>
  <w:style w:type="character" w:customStyle="1" w:styleId="Heading2Char">
    <w:name w:val="Heading 2 Char"/>
    <w:basedOn w:val="DefaultParagraphFont"/>
    <w:link w:val="Heading2"/>
    <w:uiPriority w:val="9"/>
    <w:rsid w:val="00F96CE8"/>
    <w:rPr>
      <w:rFonts w:ascii="Times" w:eastAsia="Times New Roman" w:hAnsi="Times" w:cs="Times New Roman"/>
      <w:bCs/>
      <w:i/>
      <w:iCs/>
      <w:sz w:val="24"/>
      <w:szCs w:val="28"/>
    </w:rPr>
  </w:style>
  <w:style w:type="character" w:customStyle="1" w:styleId="Heading3Char">
    <w:name w:val="Heading 3 Char"/>
    <w:basedOn w:val="DefaultParagraphFont"/>
    <w:link w:val="Heading3"/>
    <w:uiPriority w:val="9"/>
    <w:rsid w:val="00CA6A9D"/>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CA6A9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A6A9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CA6A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CA6A9D"/>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CA6A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A6A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A6A9D"/>
    <w:rPr>
      <w:rFonts w:ascii="Cambria" w:eastAsia="Times New Roman" w:hAnsi="Cambria" w:cs="Times New Roman"/>
    </w:rPr>
  </w:style>
  <w:style w:type="paragraph" w:styleId="BodyText">
    <w:name w:val="Body Text"/>
    <w:basedOn w:val="Normal"/>
    <w:link w:val="BodyTextChar"/>
    <w:uiPriority w:val="99"/>
    <w:semiHidden/>
    <w:unhideWhenUsed/>
    <w:rsid w:val="009D3F59"/>
    <w:pPr>
      <w:spacing w:after="120"/>
    </w:pPr>
  </w:style>
  <w:style w:type="character" w:customStyle="1" w:styleId="BodyTextChar">
    <w:name w:val="Body Text Char"/>
    <w:basedOn w:val="DefaultParagraphFont"/>
    <w:link w:val="BodyText"/>
    <w:uiPriority w:val="99"/>
    <w:semiHidden/>
    <w:rsid w:val="009D3F59"/>
    <w:rPr>
      <w:rFonts w:ascii="CG Times" w:eastAsia="Times New Roman" w:hAnsi="CG Times" w:cs="CG Times"/>
      <w:sz w:val="24"/>
      <w:szCs w:val="24"/>
    </w:rPr>
  </w:style>
  <w:style w:type="paragraph" w:styleId="ListParagraph">
    <w:name w:val="List Paragraph"/>
    <w:basedOn w:val="Normal"/>
    <w:uiPriority w:val="34"/>
    <w:qFormat/>
    <w:rsid w:val="00452827"/>
    <w:pPr>
      <w:ind w:left="720"/>
      <w:contextualSpacing/>
    </w:pPr>
  </w:style>
  <w:style w:type="paragraph" w:styleId="TOC1">
    <w:name w:val="toc 1"/>
    <w:basedOn w:val="Normal"/>
    <w:next w:val="Normal"/>
    <w:autoRedefine/>
    <w:uiPriority w:val="39"/>
    <w:unhideWhenUsed/>
    <w:rsid w:val="00C6545A"/>
    <w:pPr>
      <w:tabs>
        <w:tab w:val="left" w:pos="720"/>
        <w:tab w:val="right" w:leader="dot" w:pos="9638"/>
      </w:tabs>
      <w:spacing w:after="100"/>
    </w:pPr>
  </w:style>
  <w:style w:type="paragraph" w:styleId="TOC2">
    <w:name w:val="toc 2"/>
    <w:basedOn w:val="Normal"/>
    <w:next w:val="Normal"/>
    <w:autoRedefine/>
    <w:uiPriority w:val="39"/>
    <w:unhideWhenUsed/>
    <w:rsid w:val="00C6545A"/>
    <w:pPr>
      <w:tabs>
        <w:tab w:val="left" w:pos="1440"/>
        <w:tab w:val="right" w:leader="dot" w:pos="9638"/>
      </w:tabs>
      <w:spacing w:after="100"/>
      <w:ind w:left="720"/>
    </w:pPr>
  </w:style>
  <w:style w:type="paragraph" w:styleId="TOC3">
    <w:name w:val="toc 3"/>
    <w:basedOn w:val="Normal"/>
    <w:next w:val="Normal"/>
    <w:autoRedefine/>
    <w:uiPriority w:val="39"/>
    <w:unhideWhenUsed/>
    <w:rsid w:val="00C6545A"/>
    <w:pPr>
      <w:tabs>
        <w:tab w:val="left" w:pos="2160"/>
        <w:tab w:val="right" w:leader="dot" w:pos="9638"/>
      </w:tabs>
      <w:spacing w:after="100"/>
      <w:ind w:left="1440"/>
    </w:pPr>
  </w:style>
  <w:style w:type="paragraph" w:styleId="TOC4">
    <w:name w:val="toc 4"/>
    <w:basedOn w:val="Normal"/>
    <w:next w:val="Normal"/>
    <w:autoRedefine/>
    <w:uiPriority w:val="39"/>
    <w:unhideWhenUsed/>
    <w:rsid w:val="00C6545A"/>
    <w:pPr>
      <w:tabs>
        <w:tab w:val="left" w:pos="2880"/>
        <w:tab w:val="right" w:leader="dot" w:pos="9638"/>
      </w:tabs>
      <w:spacing w:after="10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436">
      <w:bodyDiv w:val="1"/>
      <w:marLeft w:val="0"/>
      <w:marRight w:val="0"/>
      <w:marTop w:val="0"/>
      <w:marBottom w:val="0"/>
      <w:divBdr>
        <w:top w:val="none" w:sz="0" w:space="0" w:color="auto"/>
        <w:left w:val="none" w:sz="0" w:space="0" w:color="auto"/>
        <w:bottom w:val="none" w:sz="0" w:space="0" w:color="auto"/>
        <w:right w:val="none" w:sz="0" w:space="0" w:color="auto"/>
      </w:divBdr>
    </w:div>
    <w:div w:id="1059089875">
      <w:bodyDiv w:val="1"/>
      <w:marLeft w:val="0"/>
      <w:marRight w:val="0"/>
      <w:marTop w:val="0"/>
      <w:marBottom w:val="0"/>
      <w:divBdr>
        <w:top w:val="none" w:sz="0" w:space="0" w:color="auto"/>
        <w:left w:val="none" w:sz="0" w:space="0" w:color="auto"/>
        <w:bottom w:val="none" w:sz="0" w:space="0" w:color="auto"/>
        <w:right w:val="none" w:sz="0" w:space="0" w:color="auto"/>
      </w:divBdr>
    </w:div>
    <w:div w:id="1746494833">
      <w:bodyDiv w:val="1"/>
      <w:marLeft w:val="0"/>
      <w:marRight w:val="0"/>
      <w:marTop w:val="0"/>
      <w:marBottom w:val="0"/>
      <w:divBdr>
        <w:top w:val="none" w:sz="0" w:space="0" w:color="auto"/>
        <w:left w:val="none" w:sz="0" w:space="0" w:color="auto"/>
        <w:bottom w:val="none" w:sz="0" w:space="0" w:color="auto"/>
        <w:right w:val="none" w:sz="0" w:space="0" w:color="auto"/>
      </w:divBdr>
    </w:div>
    <w:div w:id="20694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EA74-4A9A-4A7F-BAC2-5246A0F5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60</Pages>
  <Words>18066</Words>
  <Characters>102979</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evero</dc:creator>
  <cp:lastModifiedBy>shoffner</cp:lastModifiedBy>
  <cp:revision>6</cp:revision>
  <cp:lastPrinted>2013-11-22T14:39:00Z</cp:lastPrinted>
  <dcterms:created xsi:type="dcterms:W3CDTF">2013-11-22T18:58:00Z</dcterms:created>
  <dcterms:modified xsi:type="dcterms:W3CDTF">2013-11-22T19:08:00Z</dcterms:modified>
</cp:coreProperties>
</file>