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0" w:rsidRDefault="00236370" w:rsidP="00236370">
      <w:pPr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t>BEFORE THE</w:t>
      </w:r>
    </w:p>
    <w:p w:rsidR="00A17A0B" w:rsidRPr="00A17A0B" w:rsidRDefault="00A17A0B" w:rsidP="00A17A0B">
      <w:pPr>
        <w:tabs>
          <w:tab w:val="center" w:pos="4680"/>
        </w:tabs>
        <w:jc w:val="both"/>
        <w:rPr>
          <w:b/>
          <w:sz w:val="24"/>
        </w:rPr>
      </w:pPr>
      <w:r w:rsidRPr="00A17A0B">
        <w:rPr>
          <w:b/>
          <w:sz w:val="24"/>
        </w:rPr>
        <w:tab/>
        <w:t>PENNSYLVANIA PUBLIC UTILITY COMMISSION</w:t>
      </w:r>
    </w:p>
    <w:p w:rsidR="00A17A0B" w:rsidRPr="00A17A0B" w:rsidRDefault="00A17A0B" w:rsidP="00A17A0B">
      <w:pPr>
        <w:tabs>
          <w:tab w:val="center" w:pos="4680"/>
        </w:tabs>
        <w:jc w:val="both"/>
        <w:rPr>
          <w:sz w:val="24"/>
        </w:rPr>
      </w:pPr>
    </w:p>
    <w:p w:rsidR="00A17A0B" w:rsidRPr="00A17A0B" w:rsidRDefault="00A17A0B" w:rsidP="00A17A0B">
      <w:pPr>
        <w:jc w:val="both"/>
        <w:rPr>
          <w:sz w:val="24"/>
        </w:rPr>
      </w:pPr>
    </w:p>
    <w:p w:rsidR="00A17A0B" w:rsidRPr="00A17A0B" w:rsidRDefault="00A17A0B" w:rsidP="00A17A0B">
      <w:pPr>
        <w:rPr>
          <w:sz w:val="24"/>
          <w:szCs w:val="24"/>
        </w:rPr>
      </w:pPr>
    </w:p>
    <w:p w:rsidR="00A17A0B" w:rsidRPr="00A17A0B" w:rsidRDefault="00A17A0B" w:rsidP="00A17A0B">
      <w:pPr>
        <w:rPr>
          <w:sz w:val="24"/>
          <w:szCs w:val="24"/>
        </w:rPr>
      </w:pPr>
      <w:r w:rsidRPr="00A17A0B">
        <w:rPr>
          <w:sz w:val="24"/>
          <w:szCs w:val="24"/>
        </w:rPr>
        <w:t xml:space="preserve">Application of </w:t>
      </w:r>
      <w:proofErr w:type="spellStart"/>
      <w:r w:rsidRPr="00A17A0B">
        <w:rPr>
          <w:sz w:val="24"/>
          <w:szCs w:val="24"/>
        </w:rPr>
        <w:t>Lyft</w:t>
      </w:r>
      <w:proofErr w:type="spellEnd"/>
      <w:r w:rsidRPr="00A17A0B">
        <w:rPr>
          <w:sz w:val="24"/>
          <w:szCs w:val="24"/>
        </w:rPr>
        <w:t>, Inc.,</w:t>
      </w:r>
      <w:r w:rsidR="00EC51BC">
        <w:rPr>
          <w:sz w:val="24"/>
          <w:szCs w:val="24"/>
        </w:rPr>
        <w:t xml:space="preserve"> a corporation of the State of</w:t>
      </w:r>
      <w:r w:rsidR="00EC51BC">
        <w:rPr>
          <w:sz w:val="24"/>
          <w:szCs w:val="24"/>
        </w:rPr>
        <w:tab/>
      </w:r>
      <w:r w:rsidRPr="00A17A0B">
        <w:rPr>
          <w:sz w:val="24"/>
          <w:szCs w:val="24"/>
        </w:rPr>
        <w:t>:</w:t>
      </w:r>
      <w:r w:rsidRPr="00A17A0B">
        <w:rPr>
          <w:sz w:val="24"/>
          <w:szCs w:val="24"/>
        </w:rPr>
        <w:tab/>
        <w:t>A-2014-2415045</w:t>
      </w:r>
    </w:p>
    <w:p w:rsidR="00A17A0B" w:rsidRPr="00A17A0B" w:rsidRDefault="00A17A0B" w:rsidP="00A17A0B">
      <w:pPr>
        <w:rPr>
          <w:sz w:val="24"/>
          <w:szCs w:val="24"/>
        </w:rPr>
      </w:pPr>
      <w:r w:rsidRPr="00A17A0B">
        <w:rPr>
          <w:sz w:val="24"/>
          <w:szCs w:val="24"/>
        </w:rPr>
        <w:t>Delaware, for the right t</w:t>
      </w:r>
      <w:r w:rsidR="00EC51BC">
        <w:rPr>
          <w:sz w:val="24"/>
          <w:szCs w:val="24"/>
        </w:rPr>
        <w:t>o begin to transport, by motor</w:t>
      </w:r>
      <w:r w:rsidR="00EC51BC">
        <w:rPr>
          <w:sz w:val="24"/>
          <w:szCs w:val="24"/>
        </w:rPr>
        <w:tab/>
      </w:r>
      <w:r w:rsidRPr="00A17A0B">
        <w:rPr>
          <w:sz w:val="24"/>
          <w:szCs w:val="24"/>
        </w:rPr>
        <w:t xml:space="preserve">: </w:t>
      </w:r>
    </w:p>
    <w:p w:rsidR="00A17A0B" w:rsidRPr="00A17A0B" w:rsidRDefault="00A17A0B" w:rsidP="00A17A0B">
      <w:pPr>
        <w:rPr>
          <w:sz w:val="24"/>
          <w:szCs w:val="24"/>
        </w:rPr>
      </w:pPr>
      <w:proofErr w:type="gramStart"/>
      <w:r w:rsidRPr="00A17A0B">
        <w:rPr>
          <w:sz w:val="24"/>
          <w:szCs w:val="24"/>
        </w:rPr>
        <w:t>vehicle</w:t>
      </w:r>
      <w:proofErr w:type="gramEnd"/>
      <w:r w:rsidRPr="00A17A0B">
        <w:rPr>
          <w:sz w:val="24"/>
          <w:szCs w:val="24"/>
        </w:rPr>
        <w:t xml:space="preserve">, persons in the experimental service of </w:t>
      </w:r>
      <w:r w:rsidRPr="00A17A0B">
        <w:rPr>
          <w:sz w:val="24"/>
          <w:szCs w:val="24"/>
        </w:rPr>
        <w:tab/>
      </w:r>
      <w:r w:rsidRPr="00A17A0B">
        <w:rPr>
          <w:sz w:val="24"/>
          <w:szCs w:val="24"/>
        </w:rPr>
        <w:tab/>
        <w:t>:</w:t>
      </w:r>
    </w:p>
    <w:p w:rsidR="00A17A0B" w:rsidRPr="00A17A0B" w:rsidRDefault="00A17A0B" w:rsidP="00A17A0B">
      <w:pPr>
        <w:rPr>
          <w:sz w:val="24"/>
          <w:szCs w:val="24"/>
        </w:rPr>
      </w:pPr>
      <w:r w:rsidRPr="00A17A0B">
        <w:rPr>
          <w:sz w:val="24"/>
          <w:szCs w:val="24"/>
        </w:rPr>
        <w:t>Transportation Networ</w:t>
      </w:r>
      <w:r w:rsidR="00EC51BC">
        <w:rPr>
          <w:sz w:val="24"/>
          <w:szCs w:val="24"/>
        </w:rPr>
        <w:t xml:space="preserve">k Company for passenger trips </w:t>
      </w:r>
      <w:r w:rsidR="00EC51BC">
        <w:rPr>
          <w:sz w:val="24"/>
          <w:szCs w:val="24"/>
        </w:rPr>
        <w:tab/>
      </w:r>
      <w:r w:rsidRPr="00A17A0B">
        <w:rPr>
          <w:sz w:val="24"/>
          <w:szCs w:val="24"/>
        </w:rPr>
        <w:t>:</w:t>
      </w:r>
    </w:p>
    <w:p w:rsidR="00A17A0B" w:rsidRPr="00A17A0B" w:rsidRDefault="00A17A0B" w:rsidP="00A17A0B">
      <w:pPr>
        <w:rPr>
          <w:sz w:val="24"/>
          <w:szCs w:val="24"/>
        </w:rPr>
      </w:pPr>
      <w:proofErr w:type="gramStart"/>
      <w:r w:rsidRPr="00A17A0B">
        <w:rPr>
          <w:sz w:val="24"/>
          <w:szCs w:val="24"/>
        </w:rPr>
        <w:t>between</w:t>
      </w:r>
      <w:proofErr w:type="gramEnd"/>
      <w:r w:rsidRPr="00A17A0B">
        <w:rPr>
          <w:sz w:val="24"/>
          <w:szCs w:val="24"/>
        </w:rPr>
        <w:t xml:space="preserve"> points in Allegheny County</w:t>
      </w:r>
      <w:r w:rsidRPr="00A17A0B">
        <w:rPr>
          <w:sz w:val="24"/>
          <w:szCs w:val="24"/>
        </w:rPr>
        <w:tab/>
      </w:r>
      <w:r w:rsidRPr="00A17A0B">
        <w:rPr>
          <w:sz w:val="24"/>
          <w:szCs w:val="24"/>
        </w:rPr>
        <w:tab/>
      </w:r>
      <w:r w:rsidRPr="00A17A0B">
        <w:rPr>
          <w:sz w:val="24"/>
          <w:szCs w:val="24"/>
        </w:rPr>
        <w:tab/>
      </w:r>
      <w:r w:rsidRPr="00A17A0B">
        <w:rPr>
          <w:sz w:val="24"/>
          <w:szCs w:val="24"/>
        </w:rPr>
        <w:tab/>
        <w:t xml:space="preserve">: </w:t>
      </w:r>
    </w:p>
    <w:p w:rsidR="00A17A0B" w:rsidRDefault="00A17A0B" w:rsidP="00A17A0B">
      <w:pPr>
        <w:jc w:val="center"/>
        <w:rPr>
          <w:b/>
          <w:sz w:val="24"/>
          <w:szCs w:val="24"/>
          <w:u w:val="single"/>
        </w:rPr>
      </w:pPr>
    </w:p>
    <w:p w:rsidR="00236370" w:rsidRPr="00A17A0B" w:rsidRDefault="00236370" w:rsidP="00A17A0B">
      <w:pPr>
        <w:jc w:val="center"/>
        <w:rPr>
          <w:b/>
          <w:sz w:val="24"/>
          <w:szCs w:val="24"/>
          <w:u w:val="single"/>
        </w:rPr>
      </w:pPr>
    </w:p>
    <w:p w:rsidR="00A17A0B" w:rsidRPr="00A17A0B" w:rsidRDefault="00A17A0B" w:rsidP="00A17A0B">
      <w:pPr>
        <w:jc w:val="both"/>
        <w:rPr>
          <w:sz w:val="24"/>
        </w:rPr>
      </w:pPr>
      <w:r w:rsidRPr="00A17A0B">
        <w:rPr>
          <w:b/>
          <w:sz w:val="24"/>
        </w:rPr>
        <w:t xml:space="preserve">     </w:t>
      </w:r>
    </w:p>
    <w:p w:rsidR="00A17A0B" w:rsidRDefault="00A17A0B" w:rsidP="00235AB8">
      <w:pPr>
        <w:tabs>
          <w:tab w:val="center" w:pos="4680"/>
        </w:tabs>
        <w:jc w:val="both"/>
        <w:rPr>
          <w:b/>
          <w:sz w:val="24"/>
          <w:u w:val="single"/>
        </w:rPr>
      </w:pPr>
      <w:r w:rsidRPr="00A17A0B">
        <w:rPr>
          <w:sz w:val="24"/>
        </w:rPr>
        <w:tab/>
      </w:r>
      <w:r w:rsidR="00A723BF">
        <w:rPr>
          <w:b/>
          <w:sz w:val="24"/>
          <w:u w:val="single"/>
        </w:rPr>
        <w:t>INTERIM ORDER</w:t>
      </w:r>
    </w:p>
    <w:p w:rsidR="00236370" w:rsidRDefault="00236370" w:rsidP="00235AB8">
      <w:pPr>
        <w:tabs>
          <w:tab w:val="center" w:pos="4680"/>
        </w:tabs>
        <w:jc w:val="both"/>
        <w:rPr>
          <w:b/>
          <w:sz w:val="24"/>
          <w:u w:val="single"/>
        </w:rPr>
      </w:pPr>
    </w:p>
    <w:p w:rsidR="00235AB8" w:rsidRPr="00A17A0B" w:rsidRDefault="00235AB8" w:rsidP="00235AB8">
      <w:pPr>
        <w:tabs>
          <w:tab w:val="center" w:pos="4680"/>
        </w:tabs>
        <w:jc w:val="both"/>
        <w:rPr>
          <w:b/>
          <w:sz w:val="24"/>
          <w:u w:val="single"/>
        </w:rPr>
      </w:pPr>
    </w:p>
    <w:p w:rsidR="00A723BF" w:rsidRDefault="00236370" w:rsidP="00236370">
      <w:pPr>
        <w:spacing w:line="360" w:lineRule="auto"/>
        <w:ind w:firstLine="720"/>
        <w:rPr>
          <w:sz w:val="24"/>
        </w:rPr>
      </w:pPr>
      <w:r>
        <w:rPr>
          <w:sz w:val="24"/>
          <w:szCs w:val="24"/>
        </w:rPr>
        <w:tab/>
      </w:r>
      <w:r w:rsidR="00A17A0B" w:rsidRPr="00A17A0B">
        <w:rPr>
          <w:sz w:val="24"/>
          <w:szCs w:val="24"/>
        </w:rPr>
        <w:t xml:space="preserve">On April 3, 2014, </w:t>
      </w:r>
      <w:proofErr w:type="spellStart"/>
      <w:r w:rsidR="00A17A0B" w:rsidRPr="00A17A0B">
        <w:rPr>
          <w:sz w:val="24"/>
          <w:szCs w:val="24"/>
        </w:rPr>
        <w:t>Lyft</w:t>
      </w:r>
      <w:proofErr w:type="spellEnd"/>
      <w:r w:rsidR="00A17A0B" w:rsidRPr="00A17A0B">
        <w:rPr>
          <w:sz w:val="24"/>
          <w:szCs w:val="24"/>
        </w:rPr>
        <w:t>, Inc. (Applicant) filed an application for motor common carrier of persons in experimental service between poi</w:t>
      </w:r>
      <w:r w:rsidR="00A723BF">
        <w:rPr>
          <w:sz w:val="24"/>
          <w:szCs w:val="24"/>
        </w:rPr>
        <w:t xml:space="preserve">nts throughout Allegheny County. </w:t>
      </w:r>
      <w:r w:rsidR="00A723BF" w:rsidRPr="004349C2">
        <w:rPr>
          <w:sz w:val="24"/>
        </w:rPr>
        <w:t>Applicant proposes to operate a ride-sharing network service for passenger trips between points within Allegheny County, Pennsylvania.</w:t>
      </w:r>
      <w:r w:rsidR="00A723BF">
        <w:rPr>
          <w:sz w:val="24"/>
        </w:rPr>
        <w:t xml:space="preserve">  A prehearing conference was held on July 24, 2014, and the parties agreed to convene evidentiary hearings on August 7-8, 2014.</w:t>
      </w:r>
    </w:p>
    <w:p w:rsidR="00236370" w:rsidRDefault="00236370" w:rsidP="00236370">
      <w:pPr>
        <w:spacing w:line="360" w:lineRule="auto"/>
        <w:ind w:firstLine="720"/>
        <w:rPr>
          <w:sz w:val="24"/>
        </w:rPr>
      </w:pPr>
    </w:p>
    <w:p w:rsidR="00F35683" w:rsidRDefault="00F35683" w:rsidP="00F35683">
      <w:pPr>
        <w:spacing w:line="360" w:lineRule="auto"/>
        <w:rPr>
          <w:sz w:val="24"/>
        </w:rPr>
      </w:pPr>
      <w:r>
        <w:rPr>
          <w:sz w:val="24"/>
        </w:rPr>
        <w:tab/>
      </w:r>
      <w:r w:rsidR="00236370">
        <w:rPr>
          <w:sz w:val="24"/>
        </w:rPr>
        <w:tab/>
      </w:r>
      <w:r>
        <w:rPr>
          <w:sz w:val="24"/>
        </w:rPr>
        <w:t xml:space="preserve">Also on July 24, 2014, the Commission held a public meeting and rendered decisions in enforcement proceedings related to the parent company of the Applicant in this matter.  By Secretarial Letter dated July 28, 2014, the Commission required </w:t>
      </w:r>
      <w:proofErr w:type="spellStart"/>
      <w:r>
        <w:rPr>
          <w:sz w:val="24"/>
        </w:rPr>
        <w:t>Lyft</w:t>
      </w:r>
      <w:proofErr w:type="spellEnd"/>
      <w:r>
        <w:rPr>
          <w:sz w:val="24"/>
        </w:rPr>
        <w:t>, Inc. to provide specific information for submission into the record of those enforcement proceedings:</w:t>
      </w:r>
    </w:p>
    <w:p w:rsidR="00A17A0B" w:rsidRDefault="00A17A0B" w:rsidP="00A17A0B">
      <w:pPr>
        <w:ind w:left="1440" w:right="1440"/>
        <w:rPr>
          <w:sz w:val="24"/>
          <w:szCs w:val="24"/>
        </w:rPr>
      </w:pPr>
    </w:p>
    <w:p w:rsidR="00A17A0B" w:rsidRPr="00EC7480" w:rsidRDefault="00A17A0B" w:rsidP="00A17A0B">
      <w:pPr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Pr="00074D01">
        <w:rPr>
          <w:sz w:val="24"/>
          <w:szCs w:val="24"/>
        </w:rPr>
        <w:t xml:space="preserve">Additionally, on July 24, 2014, Commissioner James H. </w:t>
      </w:r>
      <w:proofErr w:type="spellStart"/>
      <w:r w:rsidRPr="00074D01">
        <w:rPr>
          <w:sz w:val="24"/>
          <w:szCs w:val="24"/>
        </w:rPr>
        <w:t>Cawley</w:t>
      </w:r>
      <w:proofErr w:type="spellEnd"/>
      <w:r w:rsidRPr="00074D01">
        <w:rPr>
          <w:sz w:val="24"/>
          <w:szCs w:val="24"/>
        </w:rPr>
        <w:t xml:space="preserve"> issued a Combined Statement for the </w:t>
      </w:r>
      <w:r w:rsidR="00235AB8">
        <w:rPr>
          <w:sz w:val="24"/>
          <w:szCs w:val="24"/>
        </w:rPr>
        <w:t>[</w:t>
      </w:r>
      <w:r w:rsidR="00235AB8" w:rsidRPr="00074D01">
        <w:rPr>
          <w:sz w:val="24"/>
          <w:szCs w:val="24"/>
        </w:rPr>
        <w:t>Petition of the Bureau of Investiga</w:t>
      </w:r>
      <w:r w:rsidR="00235AB8">
        <w:rPr>
          <w:sz w:val="24"/>
          <w:szCs w:val="24"/>
        </w:rPr>
        <w:t>tion and Enforcement (I&amp;E) for Interim Emergency R</w:t>
      </w:r>
      <w:r w:rsidR="00235AB8" w:rsidRPr="00074D01">
        <w:rPr>
          <w:sz w:val="24"/>
          <w:szCs w:val="24"/>
        </w:rPr>
        <w:t>el</w:t>
      </w:r>
      <w:r w:rsidR="00235AB8">
        <w:rPr>
          <w:sz w:val="24"/>
          <w:szCs w:val="24"/>
        </w:rPr>
        <w:t>ief at Docket No. P-2014-2426847 (</w:t>
      </w:r>
      <w:r w:rsidR="00235AB8">
        <w:rPr>
          <w:i/>
          <w:sz w:val="24"/>
          <w:szCs w:val="24"/>
        </w:rPr>
        <w:t>Cease and Desist Order</w:t>
      </w:r>
      <w:r w:rsidR="00235AB8">
        <w:rPr>
          <w:sz w:val="24"/>
          <w:szCs w:val="24"/>
        </w:rPr>
        <w:t>)</w:t>
      </w:r>
      <w:proofErr w:type="gramStart"/>
      <w:r w:rsidR="00680B0E">
        <w:rPr>
          <w:sz w:val="24"/>
          <w:szCs w:val="24"/>
        </w:rPr>
        <w:t xml:space="preserve">] </w:t>
      </w:r>
      <w:r w:rsidRPr="00074D01">
        <w:rPr>
          <w:sz w:val="24"/>
          <w:szCs w:val="24"/>
        </w:rPr>
        <w:t xml:space="preserve"> and</w:t>
      </w:r>
      <w:proofErr w:type="gramEnd"/>
      <w:r w:rsidRPr="00074D01">
        <w:rPr>
          <w:sz w:val="24"/>
          <w:szCs w:val="24"/>
        </w:rPr>
        <w:t xml:space="preserve"> the proceeding involving </w:t>
      </w:r>
      <w:proofErr w:type="spellStart"/>
      <w:r>
        <w:rPr>
          <w:sz w:val="24"/>
          <w:szCs w:val="24"/>
        </w:rPr>
        <w:t>Uber</w:t>
      </w:r>
      <w:proofErr w:type="spellEnd"/>
      <w:r>
        <w:rPr>
          <w:sz w:val="24"/>
          <w:szCs w:val="24"/>
        </w:rPr>
        <w:t xml:space="preserve"> Technologies</w:t>
      </w:r>
      <w:r w:rsidRPr="00074D01">
        <w:rPr>
          <w:sz w:val="24"/>
          <w:szCs w:val="24"/>
        </w:rPr>
        <w:t>, I</w:t>
      </w:r>
      <w:r>
        <w:rPr>
          <w:sz w:val="24"/>
          <w:szCs w:val="24"/>
        </w:rPr>
        <w:t xml:space="preserve">nc. at Docket No. </w:t>
      </w:r>
      <w:proofErr w:type="gramStart"/>
      <w:r>
        <w:rPr>
          <w:sz w:val="24"/>
          <w:szCs w:val="24"/>
        </w:rPr>
        <w:t xml:space="preserve">P-2014-2426846 (and the underlying Complaint proceeding involving </w:t>
      </w:r>
      <w:proofErr w:type="spellStart"/>
      <w:r>
        <w:rPr>
          <w:sz w:val="24"/>
          <w:szCs w:val="24"/>
        </w:rPr>
        <w:t>Uber</w:t>
      </w:r>
      <w:proofErr w:type="spellEnd"/>
      <w:r>
        <w:rPr>
          <w:sz w:val="24"/>
          <w:szCs w:val="24"/>
        </w:rPr>
        <w:t xml:space="preserve"> Technologies, Inc. at Docket No</w:t>
      </w:r>
      <w:r w:rsidRPr="00074D01">
        <w:rPr>
          <w:sz w:val="24"/>
          <w:szCs w:val="24"/>
        </w:rPr>
        <w:t>.</w:t>
      </w:r>
      <w:proofErr w:type="gramEnd"/>
      <w:r w:rsidRPr="00074D0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C-2014-2422723).</w:t>
      </w:r>
      <w:proofErr w:type="gramEnd"/>
      <w:r>
        <w:rPr>
          <w:sz w:val="24"/>
          <w:szCs w:val="24"/>
        </w:rPr>
        <w:t xml:space="preserve"> </w:t>
      </w:r>
      <w:r w:rsidRPr="00074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Combined Statement, Commissioner </w:t>
      </w:r>
      <w:proofErr w:type="spellStart"/>
      <w:r>
        <w:rPr>
          <w:sz w:val="24"/>
          <w:szCs w:val="24"/>
        </w:rPr>
        <w:t>Cawley</w:t>
      </w:r>
      <w:proofErr w:type="spellEnd"/>
      <w:r>
        <w:rPr>
          <w:sz w:val="24"/>
          <w:szCs w:val="24"/>
        </w:rPr>
        <w:t xml:space="preserve"> requested the issuance of this Secretarial Letter seeking additional information to aid in the formulation of a final Order in the Complaint proceedings </w:t>
      </w:r>
      <w:r w:rsidRPr="00074D01">
        <w:rPr>
          <w:sz w:val="24"/>
          <w:szCs w:val="24"/>
        </w:rPr>
        <w:t>at Docket No</w:t>
      </w:r>
      <w:r>
        <w:rPr>
          <w:sz w:val="24"/>
          <w:szCs w:val="24"/>
        </w:rPr>
        <w:t xml:space="preserve">s. </w:t>
      </w:r>
      <w:proofErr w:type="gramStart"/>
      <w:r>
        <w:rPr>
          <w:sz w:val="24"/>
          <w:szCs w:val="24"/>
        </w:rPr>
        <w:t>C-2014-242271</w:t>
      </w:r>
      <w:r w:rsidRPr="00074D01">
        <w:rPr>
          <w:sz w:val="24"/>
          <w:szCs w:val="24"/>
        </w:rPr>
        <w:t>3</w:t>
      </w:r>
      <w:r>
        <w:rPr>
          <w:sz w:val="24"/>
          <w:szCs w:val="24"/>
        </w:rPr>
        <w:t xml:space="preserve"> and C-2014-2422723.</w:t>
      </w:r>
      <w:proofErr w:type="gramEnd"/>
    </w:p>
    <w:p w:rsidR="00A17A0B" w:rsidRDefault="00A17A0B" w:rsidP="00A17A0B">
      <w:pPr>
        <w:rPr>
          <w:color w:val="000000"/>
          <w:sz w:val="24"/>
          <w:szCs w:val="24"/>
        </w:rPr>
      </w:pPr>
    </w:p>
    <w:p w:rsidR="00A17A0B" w:rsidRPr="00EC7480" w:rsidRDefault="00A17A0B" w:rsidP="00782864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. . . </w:t>
      </w:r>
    </w:p>
    <w:p w:rsidR="00A17A0B" w:rsidRDefault="001E00A2" w:rsidP="001E00A2">
      <w:pPr>
        <w:ind w:left="1440" w:right="115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17A0B" w:rsidRPr="00EC7480">
        <w:rPr>
          <w:sz w:val="24"/>
          <w:szCs w:val="24"/>
        </w:rPr>
        <w:t>Accordingly, in order to create a complete record in th</w:t>
      </w:r>
      <w:r w:rsidR="00A17A0B">
        <w:rPr>
          <w:sz w:val="24"/>
          <w:szCs w:val="24"/>
        </w:rPr>
        <w:t xml:space="preserve">e Complaint proceeding at Docket No. </w:t>
      </w:r>
      <w:r w:rsidR="00A17A0B" w:rsidRPr="00074D01">
        <w:rPr>
          <w:sz w:val="24"/>
          <w:szCs w:val="24"/>
        </w:rPr>
        <w:t>C-</w:t>
      </w:r>
      <w:r w:rsidR="00A17A0B">
        <w:rPr>
          <w:sz w:val="24"/>
          <w:szCs w:val="24"/>
        </w:rPr>
        <w:t>2014-242271</w:t>
      </w:r>
      <w:r w:rsidR="00A17A0B" w:rsidRPr="00074D01">
        <w:rPr>
          <w:sz w:val="24"/>
          <w:szCs w:val="24"/>
        </w:rPr>
        <w:t>3</w:t>
      </w:r>
      <w:r w:rsidR="00A17A0B" w:rsidRPr="00EC7480">
        <w:rPr>
          <w:sz w:val="24"/>
          <w:szCs w:val="24"/>
        </w:rPr>
        <w:t xml:space="preserve">, </w:t>
      </w:r>
      <w:r w:rsidR="00A17A0B">
        <w:rPr>
          <w:sz w:val="24"/>
          <w:szCs w:val="24"/>
        </w:rPr>
        <w:t xml:space="preserve">the </w:t>
      </w:r>
      <w:r w:rsidR="007F53FC">
        <w:rPr>
          <w:sz w:val="24"/>
          <w:szCs w:val="24"/>
        </w:rPr>
        <w:t>p</w:t>
      </w:r>
      <w:r w:rsidR="00A17A0B">
        <w:rPr>
          <w:sz w:val="24"/>
          <w:szCs w:val="24"/>
        </w:rPr>
        <w:t>arties are directed to address the following questions:</w:t>
      </w:r>
    </w:p>
    <w:p w:rsidR="00A17A0B" w:rsidRDefault="00A17A0B" w:rsidP="00A17A0B">
      <w:pPr>
        <w:ind w:left="1440" w:right="1440" w:firstLine="720"/>
        <w:rPr>
          <w:sz w:val="24"/>
          <w:szCs w:val="24"/>
        </w:rPr>
      </w:pPr>
    </w:p>
    <w:p w:rsidR="00A17A0B" w:rsidRPr="00150D5E" w:rsidRDefault="00A17A0B" w:rsidP="00150D5E">
      <w:pPr>
        <w:numPr>
          <w:ilvl w:val="0"/>
          <w:numId w:val="8"/>
        </w:numPr>
        <w:ind w:right="1440" w:firstLine="0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number of transactions/rides provided to passengers in Pennsylvania via the connections made</w:t>
      </w:r>
      <w:r w:rsidRPr="00EC7480">
        <w:rPr>
          <w:sz w:val="24"/>
          <w:szCs w:val="24"/>
        </w:rPr>
        <w:t xml:space="preserve"> </w:t>
      </w:r>
      <w:r>
        <w:rPr>
          <w:sz w:val="24"/>
          <w:szCs w:val="24"/>
        </w:rPr>
        <w:t>with drivers through Internet, mobile application, or digital software during the following periods:</w:t>
      </w:r>
    </w:p>
    <w:p w:rsidR="00150D5E" w:rsidRPr="00845266" w:rsidRDefault="00150D5E" w:rsidP="00150D5E">
      <w:pPr>
        <w:ind w:left="1440" w:right="1440"/>
        <w:rPr>
          <w:color w:val="000000"/>
          <w:sz w:val="24"/>
          <w:szCs w:val="24"/>
        </w:rPr>
      </w:pPr>
    </w:p>
    <w:p w:rsidR="00A17A0B" w:rsidRPr="009671A4" w:rsidRDefault="00A17A0B" w:rsidP="00150D5E">
      <w:pPr>
        <w:numPr>
          <w:ilvl w:val="0"/>
          <w:numId w:val="7"/>
        </w:numPr>
        <w:ind w:left="2160" w:right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From the initiation of </w:t>
      </w:r>
      <w:proofErr w:type="spellStart"/>
      <w:r>
        <w:rPr>
          <w:sz w:val="24"/>
          <w:szCs w:val="24"/>
        </w:rPr>
        <w:t>Lyft’s</w:t>
      </w:r>
      <w:proofErr w:type="spellEnd"/>
      <w:r>
        <w:rPr>
          <w:sz w:val="24"/>
          <w:szCs w:val="24"/>
        </w:rPr>
        <w:t xml:space="preserve"> service in Pennsylvania to June 5, 2014 (the date I&amp;E filed the Complaint against </w:t>
      </w:r>
      <w:proofErr w:type="spellStart"/>
      <w:r>
        <w:rPr>
          <w:sz w:val="24"/>
          <w:szCs w:val="24"/>
        </w:rPr>
        <w:t>Lyft</w:t>
      </w:r>
      <w:proofErr w:type="spellEnd"/>
      <w:r>
        <w:rPr>
          <w:sz w:val="24"/>
          <w:szCs w:val="24"/>
        </w:rPr>
        <w:t>);</w:t>
      </w:r>
    </w:p>
    <w:p w:rsidR="009671A4" w:rsidRPr="00845266" w:rsidRDefault="009671A4" w:rsidP="009671A4">
      <w:pPr>
        <w:ind w:left="2160" w:right="1440"/>
        <w:rPr>
          <w:color w:val="000000"/>
          <w:sz w:val="24"/>
          <w:szCs w:val="24"/>
        </w:rPr>
      </w:pPr>
    </w:p>
    <w:p w:rsidR="00A17A0B" w:rsidRPr="00D05680" w:rsidRDefault="00A17A0B" w:rsidP="00150D5E">
      <w:pPr>
        <w:numPr>
          <w:ilvl w:val="0"/>
          <w:numId w:val="7"/>
        </w:numPr>
        <w:ind w:left="2160" w:right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From June 5, 2014, to July 1, 2014 (the date the </w:t>
      </w:r>
      <w:r>
        <w:rPr>
          <w:i/>
          <w:sz w:val="24"/>
          <w:szCs w:val="24"/>
        </w:rPr>
        <w:t xml:space="preserve">Cease and Desist Order </w:t>
      </w:r>
      <w:r>
        <w:rPr>
          <w:sz w:val="24"/>
          <w:szCs w:val="24"/>
        </w:rPr>
        <w:t>became effective); and</w:t>
      </w:r>
    </w:p>
    <w:p w:rsidR="00D05680" w:rsidRPr="00D05680" w:rsidRDefault="00D05680" w:rsidP="00D05680">
      <w:pPr>
        <w:pStyle w:val="ListParagraph"/>
        <w:numPr>
          <w:ilvl w:val="0"/>
          <w:numId w:val="0"/>
        </w:numPr>
        <w:ind w:left="720"/>
        <w:rPr>
          <w:color w:val="000000"/>
          <w:sz w:val="24"/>
          <w:szCs w:val="24"/>
        </w:rPr>
      </w:pPr>
    </w:p>
    <w:p w:rsidR="00A17A0B" w:rsidRPr="00150D5E" w:rsidRDefault="00A17A0B" w:rsidP="00150D5E">
      <w:pPr>
        <w:numPr>
          <w:ilvl w:val="0"/>
          <w:numId w:val="7"/>
        </w:numPr>
        <w:ind w:left="2160" w:right="144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From July 1, 2014, to the date on which the record in this Complaint proceeding is closed.  </w:t>
      </w:r>
    </w:p>
    <w:p w:rsidR="00150D5E" w:rsidRDefault="00150D5E" w:rsidP="00150D5E">
      <w:pPr>
        <w:ind w:left="1440" w:right="1440"/>
        <w:rPr>
          <w:color w:val="000000"/>
          <w:sz w:val="24"/>
          <w:szCs w:val="24"/>
        </w:rPr>
      </w:pPr>
    </w:p>
    <w:p w:rsidR="00364DEB" w:rsidRPr="007332D0" w:rsidRDefault="00364DEB" w:rsidP="00150D5E">
      <w:pPr>
        <w:ind w:left="1440" w:right="1440"/>
        <w:rPr>
          <w:color w:val="000000"/>
          <w:sz w:val="24"/>
          <w:szCs w:val="24"/>
        </w:rPr>
      </w:pPr>
    </w:p>
    <w:p w:rsidR="00A17A0B" w:rsidRPr="00150D5E" w:rsidRDefault="00A17A0B" w:rsidP="00150D5E">
      <w:pPr>
        <w:numPr>
          <w:ilvl w:val="0"/>
          <w:numId w:val="8"/>
        </w:numPr>
        <w:ind w:right="144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Should there be a finding that </w:t>
      </w:r>
      <w:proofErr w:type="spellStart"/>
      <w:r>
        <w:rPr>
          <w:sz w:val="24"/>
          <w:szCs w:val="24"/>
        </w:rPr>
        <w:t>Lyft’s</w:t>
      </w:r>
      <w:proofErr w:type="spellEnd"/>
      <w:r>
        <w:rPr>
          <w:sz w:val="24"/>
          <w:szCs w:val="24"/>
        </w:rPr>
        <w:t xml:space="preserve"> conduct in any one or all of the periods in question (1), above, was a violation of the Public Utility Code, whether refunds or credits to customers would be an appropriate remedy.</w:t>
      </w:r>
    </w:p>
    <w:p w:rsidR="00150D5E" w:rsidRDefault="00150D5E" w:rsidP="00150D5E">
      <w:pPr>
        <w:ind w:left="1440" w:right="1440"/>
        <w:rPr>
          <w:color w:val="000000"/>
          <w:sz w:val="24"/>
          <w:szCs w:val="24"/>
        </w:rPr>
      </w:pPr>
    </w:p>
    <w:p w:rsidR="00364DEB" w:rsidRPr="007332D0" w:rsidRDefault="00364DEB" w:rsidP="00150D5E">
      <w:pPr>
        <w:ind w:left="1440" w:right="1440"/>
        <w:rPr>
          <w:color w:val="000000"/>
          <w:sz w:val="24"/>
          <w:szCs w:val="24"/>
        </w:rPr>
      </w:pPr>
    </w:p>
    <w:p w:rsidR="00A17A0B" w:rsidRDefault="00A17A0B" w:rsidP="00150D5E">
      <w:pPr>
        <w:numPr>
          <w:ilvl w:val="0"/>
          <w:numId w:val="8"/>
        </w:numPr>
        <w:ind w:right="144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Whether either evidence of prior unlawful operations or contumacious refusal to obey Commission orders negates the need for the proposed service and/or the fitness of the </w:t>
      </w:r>
      <w:r w:rsidR="00805431">
        <w:rPr>
          <w:sz w:val="24"/>
          <w:szCs w:val="24"/>
        </w:rPr>
        <w:t>A</w:t>
      </w:r>
      <w:r>
        <w:rPr>
          <w:sz w:val="24"/>
          <w:szCs w:val="24"/>
        </w:rPr>
        <w:t>pplicant as a common carrier such that no certificate of public convenience can be issued by the Commission.</w:t>
      </w:r>
    </w:p>
    <w:p w:rsidR="00A17A0B" w:rsidRDefault="00A17A0B" w:rsidP="00A17A0B">
      <w:pPr>
        <w:spacing w:line="360" w:lineRule="auto"/>
        <w:rPr>
          <w:sz w:val="24"/>
        </w:rPr>
      </w:pPr>
    </w:p>
    <w:p w:rsidR="003D037C" w:rsidRDefault="003D037C" w:rsidP="003D037C">
      <w:pPr>
        <w:rPr>
          <w:sz w:val="24"/>
        </w:rPr>
      </w:pPr>
    </w:p>
    <w:p w:rsidR="00A17A0B" w:rsidRDefault="003D037C" w:rsidP="00A17A0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7A0B">
        <w:rPr>
          <w:sz w:val="24"/>
        </w:rPr>
        <w:t xml:space="preserve">We believe this </w:t>
      </w:r>
      <w:r w:rsidR="00150D5E">
        <w:rPr>
          <w:sz w:val="24"/>
        </w:rPr>
        <w:t>information</w:t>
      </w:r>
      <w:r w:rsidR="00A17A0B">
        <w:rPr>
          <w:sz w:val="24"/>
        </w:rPr>
        <w:t xml:space="preserve"> is also relevant to our consideration of the </w:t>
      </w:r>
      <w:r w:rsidR="00792E15">
        <w:rPr>
          <w:sz w:val="24"/>
        </w:rPr>
        <w:t>a</w:t>
      </w:r>
      <w:r w:rsidR="00A17A0B">
        <w:rPr>
          <w:sz w:val="24"/>
        </w:rPr>
        <w:t>pplication at issue here.</w:t>
      </w:r>
    </w:p>
    <w:p w:rsidR="004A6BC1" w:rsidRDefault="004A6BC1" w:rsidP="00A17A0B">
      <w:pPr>
        <w:spacing w:line="360" w:lineRule="auto"/>
        <w:rPr>
          <w:sz w:val="24"/>
          <w:szCs w:val="24"/>
        </w:rPr>
      </w:pPr>
    </w:p>
    <w:p w:rsidR="00364DEB" w:rsidRDefault="00236370" w:rsidP="00A17A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4DEB" w:rsidRDefault="00364DE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7A0B" w:rsidRDefault="00364DEB" w:rsidP="00A17A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A17A0B">
        <w:rPr>
          <w:sz w:val="24"/>
          <w:szCs w:val="24"/>
        </w:rPr>
        <w:t>THEREFORE</w:t>
      </w:r>
      <w:r w:rsidR="00236370">
        <w:rPr>
          <w:sz w:val="24"/>
          <w:szCs w:val="24"/>
        </w:rPr>
        <w:t>,</w:t>
      </w:r>
    </w:p>
    <w:p w:rsidR="00236370" w:rsidRDefault="00236370" w:rsidP="00A17A0B">
      <w:pPr>
        <w:spacing w:line="360" w:lineRule="auto"/>
        <w:rPr>
          <w:sz w:val="24"/>
          <w:szCs w:val="24"/>
        </w:rPr>
      </w:pPr>
    </w:p>
    <w:p w:rsidR="00A17A0B" w:rsidRDefault="00236370" w:rsidP="00A17A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A0B">
        <w:rPr>
          <w:sz w:val="24"/>
          <w:szCs w:val="24"/>
        </w:rPr>
        <w:t>IT IS ORDERED:</w:t>
      </w:r>
    </w:p>
    <w:p w:rsidR="00236370" w:rsidRDefault="00236370" w:rsidP="00A17A0B">
      <w:pPr>
        <w:spacing w:line="360" w:lineRule="auto"/>
        <w:rPr>
          <w:sz w:val="24"/>
          <w:szCs w:val="24"/>
        </w:rPr>
      </w:pPr>
    </w:p>
    <w:p w:rsidR="00A17A0B" w:rsidRDefault="00236370" w:rsidP="00A17A0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17A0B">
        <w:rPr>
          <w:sz w:val="24"/>
          <w:szCs w:val="24"/>
        </w:rPr>
        <w:t>That the parties in this proceeding shall present evidence on the issues enumerated by the Commission in the July 28, 2014 Secretarial Letter.</w:t>
      </w:r>
      <w:proofErr w:type="gramEnd"/>
    </w:p>
    <w:p w:rsidR="00A17A0B" w:rsidRPr="00DB08FD" w:rsidRDefault="00A17A0B" w:rsidP="00A17A0B">
      <w:pPr>
        <w:spacing w:line="360" w:lineRule="auto"/>
        <w:rPr>
          <w:sz w:val="24"/>
          <w:szCs w:val="24"/>
        </w:rPr>
      </w:pPr>
    </w:p>
    <w:p w:rsidR="00A17A0B" w:rsidRPr="00DB08FD" w:rsidRDefault="00A17A0B" w:rsidP="00A17A0B">
      <w:pPr>
        <w:widowControl w:val="0"/>
        <w:adjustRightInd w:val="0"/>
        <w:spacing w:line="360" w:lineRule="auto"/>
        <w:ind w:firstLine="720"/>
        <w:rPr>
          <w:sz w:val="24"/>
          <w:szCs w:val="24"/>
        </w:rPr>
      </w:pPr>
    </w:p>
    <w:p w:rsidR="00A17A0B" w:rsidRPr="00C8453D" w:rsidRDefault="00A17A0B" w:rsidP="00A17A0B">
      <w:pPr>
        <w:tabs>
          <w:tab w:val="left" w:pos="0"/>
        </w:tabs>
        <w:jc w:val="both"/>
        <w:rPr>
          <w:sz w:val="24"/>
          <w:szCs w:val="24"/>
        </w:rPr>
      </w:pPr>
    </w:p>
    <w:p w:rsidR="00A17A0B" w:rsidRPr="00C8453D" w:rsidRDefault="00A17A0B" w:rsidP="00A17A0B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="00236370">
        <w:rPr>
          <w:sz w:val="24"/>
          <w:szCs w:val="24"/>
        </w:rPr>
        <w:tab/>
      </w:r>
      <w:r w:rsidR="00236370">
        <w:rPr>
          <w:sz w:val="24"/>
          <w:szCs w:val="24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  <w:r w:rsidRPr="00C8453D">
        <w:rPr>
          <w:sz w:val="24"/>
          <w:szCs w:val="24"/>
          <w:u w:val="single"/>
        </w:rPr>
        <w:tab/>
      </w:r>
    </w:p>
    <w:p w:rsidR="00A17A0B" w:rsidRPr="00C8453D" w:rsidRDefault="00A17A0B" w:rsidP="00A17A0B">
      <w:pPr>
        <w:tabs>
          <w:tab w:val="left" w:pos="0"/>
        </w:tabs>
        <w:jc w:val="both"/>
        <w:rPr>
          <w:sz w:val="24"/>
          <w:szCs w:val="24"/>
        </w:rPr>
      </w:pP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  <w:t>Mary D. Long</w:t>
      </w:r>
    </w:p>
    <w:p w:rsidR="00A17A0B" w:rsidRPr="00C8453D" w:rsidRDefault="00A17A0B" w:rsidP="00A17A0B">
      <w:pPr>
        <w:tabs>
          <w:tab w:val="left" w:pos="0"/>
        </w:tabs>
        <w:jc w:val="both"/>
        <w:rPr>
          <w:sz w:val="24"/>
          <w:szCs w:val="24"/>
        </w:rPr>
      </w:pP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</w:r>
      <w:r w:rsidRPr="00C8453D">
        <w:rPr>
          <w:sz w:val="24"/>
          <w:szCs w:val="24"/>
        </w:rPr>
        <w:tab/>
        <w:t>Administrative Law Judge</w:t>
      </w:r>
    </w:p>
    <w:p w:rsidR="00A17A0B" w:rsidRDefault="00A17A0B" w:rsidP="00A17A0B">
      <w:pPr>
        <w:tabs>
          <w:tab w:val="left" w:pos="0"/>
        </w:tabs>
        <w:jc w:val="both"/>
        <w:rPr>
          <w:sz w:val="24"/>
        </w:rPr>
      </w:pPr>
    </w:p>
    <w:p w:rsidR="00A17A0B" w:rsidRDefault="00A17A0B" w:rsidP="00A17A0B">
      <w:pPr>
        <w:tabs>
          <w:tab w:val="left" w:pos="0"/>
        </w:tabs>
        <w:jc w:val="both"/>
        <w:rPr>
          <w:sz w:val="24"/>
        </w:rPr>
      </w:pPr>
    </w:p>
    <w:p w:rsidR="00A17A0B" w:rsidRDefault="00A17A0B" w:rsidP="00A17A0B">
      <w:pPr>
        <w:tabs>
          <w:tab w:val="left" w:pos="0"/>
        </w:tabs>
        <w:jc w:val="both"/>
        <w:rPr>
          <w:sz w:val="24"/>
        </w:rPr>
      </w:pPr>
    </w:p>
    <w:p w:rsidR="00A17A0B" w:rsidRPr="00A03D6F" w:rsidRDefault="00236370" w:rsidP="00A17A0B">
      <w:pPr>
        <w:tabs>
          <w:tab w:val="left" w:pos="0"/>
        </w:tabs>
        <w:jc w:val="both"/>
        <w:rPr>
          <w:sz w:val="24"/>
        </w:rPr>
      </w:pPr>
      <w:r w:rsidRPr="00C8453D"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>July 31</w:t>
      </w:r>
      <w:r w:rsidRPr="00C8453D">
        <w:rPr>
          <w:sz w:val="24"/>
          <w:szCs w:val="24"/>
          <w:u w:val="single"/>
        </w:rPr>
        <w:t>, 2014</w:t>
      </w:r>
      <w:r w:rsidR="00A17A0B">
        <w:rPr>
          <w:sz w:val="24"/>
        </w:rPr>
        <w:tab/>
      </w:r>
      <w:r w:rsidR="00A17A0B">
        <w:rPr>
          <w:sz w:val="24"/>
        </w:rPr>
        <w:tab/>
      </w:r>
      <w:r w:rsidR="00A17A0B">
        <w:rPr>
          <w:sz w:val="24"/>
        </w:rPr>
        <w:tab/>
      </w:r>
      <w:r w:rsidR="00A17A0B">
        <w:rPr>
          <w:sz w:val="24"/>
        </w:rPr>
        <w:tab/>
      </w:r>
      <w:r w:rsidR="00A17A0B">
        <w:rPr>
          <w:sz w:val="24"/>
        </w:rPr>
        <w:tab/>
      </w:r>
      <w:r w:rsidR="00A17A0B" w:rsidRPr="00C8453D">
        <w:rPr>
          <w:sz w:val="24"/>
          <w:szCs w:val="24"/>
          <w:u w:val="single"/>
        </w:rPr>
        <w:tab/>
      </w:r>
      <w:r w:rsidR="00A17A0B" w:rsidRPr="00C8453D">
        <w:rPr>
          <w:sz w:val="24"/>
          <w:szCs w:val="24"/>
          <w:u w:val="single"/>
        </w:rPr>
        <w:tab/>
      </w:r>
      <w:r w:rsidR="00A17A0B" w:rsidRPr="00C8453D">
        <w:rPr>
          <w:sz w:val="24"/>
          <w:szCs w:val="24"/>
          <w:u w:val="single"/>
        </w:rPr>
        <w:tab/>
      </w:r>
      <w:r w:rsidR="00A17A0B" w:rsidRPr="00C8453D">
        <w:rPr>
          <w:sz w:val="24"/>
          <w:szCs w:val="24"/>
          <w:u w:val="single"/>
        </w:rPr>
        <w:tab/>
      </w:r>
      <w:r w:rsidR="00A17A0B" w:rsidRPr="00C8453D">
        <w:rPr>
          <w:sz w:val="24"/>
          <w:szCs w:val="24"/>
          <w:u w:val="single"/>
        </w:rPr>
        <w:tab/>
      </w:r>
    </w:p>
    <w:p w:rsidR="00A17A0B" w:rsidRPr="00A03D6F" w:rsidRDefault="00A17A0B" w:rsidP="00A17A0B">
      <w:pPr>
        <w:tabs>
          <w:tab w:val="left" w:pos="0"/>
        </w:tabs>
        <w:jc w:val="both"/>
        <w:rPr>
          <w:sz w:val="24"/>
        </w:rPr>
      </w:pP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>
        <w:rPr>
          <w:sz w:val="24"/>
        </w:rPr>
        <w:t>Jeffrey A. Watson</w:t>
      </w:r>
    </w:p>
    <w:p w:rsidR="007D6D2A" w:rsidRDefault="00A17A0B" w:rsidP="00A17A0B">
      <w:pPr>
        <w:rPr>
          <w:sz w:val="24"/>
        </w:rPr>
      </w:pP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</w:r>
      <w:r w:rsidRPr="00A03D6F">
        <w:rPr>
          <w:sz w:val="24"/>
        </w:rPr>
        <w:tab/>
        <w:t>Administrative</w:t>
      </w:r>
      <w:r w:rsidR="0059154B">
        <w:rPr>
          <w:sz w:val="24"/>
        </w:rPr>
        <w:t xml:space="preserve"> Law Judge</w:t>
      </w:r>
    </w:p>
    <w:p w:rsidR="007D6D2A" w:rsidRDefault="007D6D2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D6D2A" w:rsidRDefault="007D6D2A" w:rsidP="007D6D2A">
      <w:pPr>
        <w:contextualSpacing/>
        <w:rPr>
          <w:rFonts w:ascii="Microsoft Sans Serif"/>
          <w:b/>
          <w:sz w:val="24"/>
          <w:u w:val="single"/>
        </w:rPr>
        <w:sectPr w:rsidR="007D6D2A" w:rsidSect="00364DEB">
          <w:footerReference w:type="default" r:id="rId8"/>
          <w:pgSz w:w="12240" w:h="15840"/>
          <w:pgMar w:top="1440" w:right="1584" w:bottom="1440" w:left="1584" w:header="720" w:footer="720" w:gutter="0"/>
          <w:cols w:space="720"/>
          <w:titlePg/>
          <w:docGrid w:linePitch="360"/>
        </w:sectPr>
      </w:pPr>
    </w:p>
    <w:p w:rsidR="007D6D2A" w:rsidRDefault="007D6D2A" w:rsidP="007D6D2A">
      <w:pPr>
        <w:contextualSpacing/>
        <w:rPr>
          <w:rFonts w:ascii="Microsoft Sans Serif" w:hAnsi="Microsoft Sans Serif"/>
          <w:b/>
          <w:caps/>
          <w:sz w:val="24"/>
          <w:u w:val="single"/>
        </w:rPr>
      </w:pPr>
      <w:r>
        <w:rPr>
          <w:rFonts w:ascii="Microsoft Sans Serif"/>
          <w:b/>
          <w:sz w:val="24"/>
          <w:u w:val="single"/>
        </w:rPr>
        <w:lastRenderedPageBreak/>
        <w:t xml:space="preserve">A-2014-2415045 </w:t>
      </w:r>
      <w:r>
        <w:rPr>
          <w:rFonts w:ascii="Microsoft Sans Serif"/>
          <w:b/>
          <w:sz w:val="24"/>
          <w:u w:val="single"/>
        </w:rPr>
        <w:t>–</w:t>
      </w:r>
      <w:r>
        <w:rPr>
          <w:rFonts w:ascii="Microsoft Sans Serif"/>
          <w:b/>
          <w:sz w:val="24"/>
          <w:u w:val="single"/>
        </w:rPr>
        <w:t xml:space="preserve"> </w:t>
      </w:r>
      <w:r>
        <w:rPr>
          <w:rFonts w:ascii="Microsoft Sans Serif" w:hAnsi="Microsoft Sans Serif"/>
          <w:b/>
          <w:caps/>
          <w:sz w:val="24"/>
          <w:u w:val="single"/>
        </w:rPr>
        <w:t xml:space="preserve">APPLICATION OF LYFT INC </w:t>
      </w:r>
      <w:r w:rsidRPr="001312F5">
        <w:rPr>
          <w:rFonts w:ascii="Microsoft Sans Serif" w:hAnsi="Microsoft Sans Serif"/>
          <w:b/>
          <w:caps/>
          <w:sz w:val="24"/>
          <w:u w:val="single"/>
        </w:rPr>
        <w:t xml:space="preserve">FOR </w:t>
      </w:r>
      <w:r>
        <w:rPr>
          <w:rFonts w:ascii="Microsoft Sans Serif" w:hAnsi="Microsoft Sans Serif"/>
          <w:b/>
          <w:caps/>
          <w:sz w:val="24"/>
          <w:u w:val="single"/>
        </w:rPr>
        <w:t>MOTOR COMMON CARRIER OF PERSONS IN EXPERIMENTAL SERVICE FOR ALLEGHENY COUNTY</w:t>
      </w:r>
    </w:p>
    <w:p w:rsidR="007D6D2A" w:rsidRDefault="007D6D2A" w:rsidP="007D6D2A">
      <w:pPr>
        <w:contextualSpacing/>
        <w:rPr>
          <w:rFonts w:ascii="Microsoft Sans Serif" w:hAnsi="Microsoft Sans Serif"/>
          <w:b/>
          <w:caps/>
          <w:sz w:val="24"/>
          <w:u w:val="single"/>
        </w:rPr>
      </w:pPr>
    </w:p>
    <w:p w:rsidR="007D6D2A" w:rsidRPr="00B2651A" w:rsidRDefault="007D6D2A" w:rsidP="007D6D2A">
      <w:pPr>
        <w:contextualSpacing/>
        <w:rPr>
          <w:rFonts w:ascii="Microsoft Sans Serif"/>
          <w:i/>
          <w:sz w:val="24"/>
        </w:rPr>
      </w:pPr>
      <w:r w:rsidRPr="00B2651A">
        <w:rPr>
          <w:rFonts w:ascii="Microsoft Sans Serif"/>
          <w:i/>
          <w:sz w:val="24"/>
        </w:rPr>
        <w:t>Revised 7/30/14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JAMES P DOUGHERTY ESQUIRE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BARBARA A DARKES ESQUIRE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ADEOLU A BAKARE ESQUIRE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MCNEES WALLACE &amp; NURICK LLC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100 PINE STREET 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PO BOX 1166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HARRISBURG PA  17108-1166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717.237.5249</w:t>
      </w:r>
    </w:p>
    <w:p w:rsidR="007D6D2A" w:rsidRDefault="007D6D2A" w:rsidP="007D6D2A">
      <w:pPr>
        <w:contextualSpacing/>
        <w:rPr>
          <w:rFonts w:ascii="Microsoft Sans Serif"/>
          <w:i/>
          <w:sz w:val="24"/>
        </w:rPr>
      </w:pPr>
      <w:proofErr w:type="gramStart"/>
      <w:r>
        <w:rPr>
          <w:rFonts w:ascii="Microsoft Sans Serif"/>
          <w:i/>
          <w:sz w:val="24"/>
        </w:rPr>
        <w:t xml:space="preserve">Representing </w:t>
      </w:r>
      <w:proofErr w:type="spellStart"/>
      <w:r>
        <w:rPr>
          <w:rFonts w:ascii="Microsoft Sans Serif"/>
          <w:i/>
          <w:sz w:val="24"/>
        </w:rPr>
        <w:t>Lyft</w:t>
      </w:r>
      <w:proofErr w:type="spellEnd"/>
      <w:r>
        <w:rPr>
          <w:rFonts w:ascii="Microsoft Sans Serif"/>
          <w:i/>
          <w:sz w:val="24"/>
        </w:rPr>
        <w:t>, Inc.</w:t>
      </w:r>
      <w:proofErr w:type="gramEnd"/>
    </w:p>
    <w:p w:rsidR="007D6D2A" w:rsidRPr="0075337D" w:rsidRDefault="007D6D2A" w:rsidP="007D6D2A">
      <w:pPr>
        <w:rPr>
          <w:b/>
          <w:sz w:val="24"/>
          <w:szCs w:val="24"/>
        </w:rPr>
      </w:pPr>
      <w:r w:rsidRPr="0075337D">
        <w:rPr>
          <w:rFonts w:ascii="Microsoft Sans Serif"/>
          <w:b/>
          <w:i/>
          <w:sz w:val="24"/>
        </w:rPr>
        <w:t>Accepts E-service</w:t>
      </w:r>
    </w:p>
    <w:p w:rsidR="007D6D2A" w:rsidRDefault="007D6D2A" w:rsidP="007D6D2A">
      <w:pPr>
        <w:rPr>
          <w:sz w:val="24"/>
          <w:szCs w:val="24"/>
        </w:rPr>
      </w:pP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DAVID W DONLEY ESQUIRE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3361 STAFFORD STREET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PITTSBURGH PA  15204-1441</w:t>
      </w:r>
    </w:p>
    <w:p w:rsidR="007D6D2A" w:rsidRDefault="007D6D2A" w:rsidP="007D6D2A">
      <w:pPr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412.331.8998</w:t>
      </w:r>
    </w:p>
    <w:p w:rsidR="007D6D2A" w:rsidRDefault="007D6D2A" w:rsidP="007D6D2A">
      <w:pPr>
        <w:contextualSpacing/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Representing JB Taxi LLC t/a County Taxi Cab</w:t>
      </w:r>
    </w:p>
    <w:p w:rsidR="007D6D2A" w:rsidRPr="0075337D" w:rsidRDefault="007D6D2A" w:rsidP="007D6D2A">
      <w:pPr>
        <w:rPr>
          <w:rFonts w:ascii="Microsoft Sans Serif"/>
          <w:b/>
          <w:i/>
          <w:sz w:val="24"/>
        </w:rPr>
      </w:pPr>
      <w:r w:rsidRPr="0075337D">
        <w:rPr>
          <w:rFonts w:ascii="Microsoft Sans Serif"/>
          <w:b/>
          <w:i/>
          <w:sz w:val="24"/>
        </w:rPr>
        <w:t>Accepts E-service</w:t>
      </w:r>
    </w:p>
    <w:p w:rsidR="007D6D2A" w:rsidRDefault="007D6D2A" w:rsidP="007D6D2A">
      <w:pPr>
        <w:rPr>
          <w:rFonts w:ascii="Microsoft Sans Serif"/>
          <w:i/>
          <w:sz w:val="24"/>
        </w:rPr>
      </w:pPr>
    </w:p>
    <w:p w:rsidR="007D6D2A" w:rsidRDefault="007D6D2A" w:rsidP="007D6D2A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MICHAEL S HENRY ESQUIRE</w:t>
      </w:r>
    </w:p>
    <w:p w:rsidR="007D6D2A" w:rsidRDefault="007D6D2A" w:rsidP="007D6D2A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2336 SOUTH BROAD STREET</w:t>
      </w:r>
    </w:p>
    <w:p w:rsidR="007D6D2A" w:rsidRDefault="007D6D2A" w:rsidP="007D6D2A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PHILADELPHIA PA  19145</w:t>
      </w:r>
    </w:p>
    <w:p w:rsidR="007D6D2A" w:rsidRDefault="007D6D2A" w:rsidP="007D6D2A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t>215.218.9800</w:t>
      </w:r>
    </w:p>
    <w:p w:rsidR="007D6D2A" w:rsidRDefault="007D6D2A" w:rsidP="007D6D2A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Representing Protestants:</w:t>
      </w:r>
    </w:p>
    <w:p w:rsidR="007D6D2A" w:rsidRDefault="007D6D2A" w:rsidP="007D6D2A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Concord Limousine</w:t>
      </w:r>
    </w:p>
    <w:p w:rsidR="007D6D2A" w:rsidRDefault="007D6D2A" w:rsidP="007D6D2A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Executive Transportation, Inc. t/a Luxury Sedan</w:t>
      </w:r>
    </w:p>
    <w:p w:rsidR="007D6D2A" w:rsidRDefault="007D6D2A" w:rsidP="007D6D2A">
      <w:pPr>
        <w:rPr>
          <w:rFonts w:ascii="Microsoft Sans Serif"/>
          <w:i/>
          <w:sz w:val="24"/>
        </w:rPr>
      </w:pPr>
      <w:r>
        <w:rPr>
          <w:rFonts w:ascii="Microsoft Sans Serif"/>
          <w:i/>
          <w:sz w:val="24"/>
        </w:rPr>
        <w:t>Black Tie Star Limousine, Inc.</w:t>
      </w:r>
    </w:p>
    <w:p w:rsidR="007D6D2A" w:rsidRPr="0075337D" w:rsidRDefault="007D6D2A" w:rsidP="007D6D2A">
      <w:pPr>
        <w:rPr>
          <w:rFonts w:ascii="Microsoft Sans Serif"/>
          <w:b/>
          <w:i/>
          <w:sz w:val="24"/>
        </w:rPr>
      </w:pPr>
      <w:r w:rsidRPr="0075337D">
        <w:rPr>
          <w:rFonts w:ascii="Microsoft Sans Serif"/>
          <w:b/>
          <w:i/>
          <w:sz w:val="24"/>
        </w:rPr>
        <w:t>Accepts E-service</w:t>
      </w:r>
    </w:p>
    <w:p w:rsidR="007D6D2A" w:rsidRDefault="007D6D2A" w:rsidP="007D6D2A">
      <w:pPr>
        <w:rPr>
          <w:sz w:val="24"/>
          <w:szCs w:val="24"/>
        </w:rPr>
      </w:pPr>
    </w:p>
    <w:p w:rsidR="007D6D2A" w:rsidRPr="0075337D" w:rsidRDefault="007D6D2A" w:rsidP="007D6D2A">
      <w:pPr>
        <w:rPr>
          <w:rFonts w:asciiTheme="minorHAnsi" w:hAnsiTheme="minorHAnsi"/>
          <w:b/>
          <w:sz w:val="24"/>
          <w:szCs w:val="24"/>
        </w:rPr>
      </w:pPr>
    </w:p>
    <w:p w:rsidR="00792796" w:rsidRDefault="00792796" w:rsidP="00A17A0B"/>
    <w:sectPr w:rsidR="00792796" w:rsidSect="00364DEB">
      <w:pgSz w:w="12240" w:h="15840"/>
      <w:pgMar w:top="1440" w:right="1584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FA" w:rsidRDefault="00754FFA" w:rsidP="00EA60F1">
      <w:r>
        <w:separator/>
      </w:r>
    </w:p>
  </w:endnote>
  <w:endnote w:type="continuationSeparator" w:id="0">
    <w:p w:rsidR="00754FFA" w:rsidRDefault="00754FFA" w:rsidP="00EA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444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0F1" w:rsidRDefault="00EA6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0F1" w:rsidRDefault="00EA6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FA" w:rsidRDefault="00754FFA" w:rsidP="00EA60F1">
      <w:r>
        <w:separator/>
      </w:r>
    </w:p>
  </w:footnote>
  <w:footnote w:type="continuationSeparator" w:id="0">
    <w:p w:rsidR="00754FFA" w:rsidRDefault="00754FFA" w:rsidP="00EA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5B8"/>
    <w:multiLevelType w:val="hybridMultilevel"/>
    <w:tmpl w:val="8918C5F0"/>
    <w:lvl w:ilvl="0" w:tplc="0FA221A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F478EF"/>
    <w:multiLevelType w:val="hybridMultilevel"/>
    <w:tmpl w:val="B6AEBB9A"/>
    <w:lvl w:ilvl="0" w:tplc="3E4677F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1303E0"/>
    <w:multiLevelType w:val="hybridMultilevel"/>
    <w:tmpl w:val="B71E6FB0"/>
    <w:lvl w:ilvl="0" w:tplc="31FC0694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B"/>
    <w:rsid w:val="00004C37"/>
    <w:rsid w:val="000971F1"/>
    <w:rsid w:val="00122D3D"/>
    <w:rsid w:val="00150D5E"/>
    <w:rsid w:val="001B1CBA"/>
    <w:rsid w:val="001E00A2"/>
    <w:rsid w:val="001E3C02"/>
    <w:rsid w:val="00213167"/>
    <w:rsid w:val="00235AB8"/>
    <w:rsid w:val="00236370"/>
    <w:rsid w:val="00251CD6"/>
    <w:rsid w:val="00364DEB"/>
    <w:rsid w:val="00393C92"/>
    <w:rsid w:val="003A03CD"/>
    <w:rsid w:val="003A23E2"/>
    <w:rsid w:val="003D037C"/>
    <w:rsid w:val="004A6BC1"/>
    <w:rsid w:val="004D523C"/>
    <w:rsid w:val="00563E26"/>
    <w:rsid w:val="0059154B"/>
    <w:rsid w:val="0061574B"/>
    <w:rsid w:val="0061775F"/>
    <w:rsid w:val="00680B0E"/>
    <w:rsid w:val="006F3577"/>
    <w:rsid w:val="00754FFA"/>
    <w:rsid w:val="00782864"/>
    <w:rsid w:val="00792796"/>
    <w:rsid w:val="00792E15"/>
    <w:rsid w:val="007D6D2A"/>
    <w:rsid w:val="007E6779"/>
    <w:rsid w:val="007F53FC"/>
    <w:rsid w:val="00805431"/>
    <w:rsid w:val="008529D2"/>
    <w:rsid w:val="009671A4"/>
    <w:rsid w:val="009D0811"/>
    <w:rsid w:val="00A17A0B"/>
    <w:rsid w:val="00A723BF"/>
    <w:rsid w:val="00A90EF3"/>
    <w:rsid w:val="00AA2EC5"/>
    <w:rsid w:val="00AB4C73"/>
    <w:rsid w:val="00AE6F47"/>
    <w:rsid w:val="00BC6B21"/>
    <w:rsid w:val="00C641A4"/>
    <w:rsid w:val="00D05680"/>
    <w:rsid w:val="00D10B3A"/>
    <w:rsid w:val="00DB36FF"/>
    <w:rsid w:val="00DD5C37"/>
    <w:rsid w:val="00E44886"/>
    <w:rsid w:val="00EA60F1"/>
    <w:rsid w:val="00EC1CBA"/>
    <w:rsid w:val="00EC51BC"/>
    <w:rsid w:val="00F35683"/>
    <w:rsid w:val="00F544E1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C6B21"/>
    <w:pPr>
      <w:numPr>
        <w:numId w:val="6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EA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F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C6B21"/>
    <w:pPr>
      <w:numPr>
        <w:numId w:val="6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EA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F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sandra elizabeth oldynski</cp:lastModifiedBy>
  <cp:revision>4</cp:revision>
  <cp:lastPrinted>2014-07-30T19:23:00Z</cp:lastPrinted>
  <dcterms:created xsi:type="dcterms:W3CDTF">2014-07-30T19:35:00Z</dcterms:created>
  <dcterms:modified xsi:type="dcterms:W3CDTF">2014-07-31T12:22:00Z</dcterms:modified>
</cp:coreProperties>
</file>