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4230"/>
        <w:gridCol w:w="3600"/>
      </w:tblGrid>
      <w:tr w:rsidR="00F03558" w:rsidRPr="007A134B">
        <w:tc>
          <w:tcPr>
            <w:tcW w:w="2448" w:type="dxa"/>
          </w:tcPr>
          <w:p w:rsidR="00F03558" w:rsidRPr="007A134B" w:rsidRDefault="00F03558">
            <w:pPr>
              <w:rPr>
                <w:szCs w:val="26"/>
              </w:rPr>
            </w:pPr>
          </w:p>
        </w:tc>
        <w:tc>
          <w:tcPr>
            <w:tcW w:w="4230" w:type="dxa"/>
          </w:tcPr>
          <w:p w:rsidR="00F03558" w:rsidRPr="007A134B" w:rsidRDefault="00F03558">
            <w:pPr>
              <w:jc w:val="center"/>
              <w:rPr>
                <w:b/>
                <w:szCs w:val="26"/>
              </w:rPr>
            </w:pPr>
            <w:r w:rsidRPr="007A134B">
              <w:rPr>
                <w:b/>
                <w:szCs w:val="26"/>
              </w:rPr>
              <w:t>PENNSYLVANIA</w:t>
            </w:r>
          </w:p>
          <w:p w:rsidR="00F03558" w:rsidRPr="007A134B" w:rsidRDefault="00F03558">
            <w:pPr>
              <w:jc w:val="center"/>
              <w:rPr>
                <w:b/>
                <w:szCs w:val="26"/>
              </w:rPr>
            </w:pPr>
            <w:r w:rsidRPr="007A134B">
              <w:rPr>
                <w:b/>
                <w:szCs w:val="26"/>
              </w:rPr>
              <w:t>PUBLIC UTILITY COMMISSION</w:t>
            </w:r>
          </w:p>
          <w:p w:rsidR="00F03558" w:rsidRPr="007A134B" w:rsidRDefault="00F03558">
            <w:pPr>
              <w:jc w:val="center"/>
              <w:rPr>
                <w:szCs w:val="26"/>
              </w:rPr>
            </w:pPr>
            <w:r w:rsidRPr="007A134B">
              <w:rPr>
                <w:b/>
                <w:szCs w:val="26"/>
              </w:rPr>
              <w:t>Harrisburg, PA.  17105-3265</w:t>
            </w:r>
          </w:p>
        </w:tc>
        <w:tc>
          <w:tcPr>
            <w:tcW w:w="3600" w:type="dxa"/>
          </w:tcPr>
          <w:p w:rsidR="00F03558" w:rsidRPr="007A134B" w:rsidRDefault="00F03558">
            <w:pPr>
              <w:rPr>
                <w:szCs w:val="26"/>
              </w:rPr>
            </w:pPr>
          </w:p>
        </w:tc>
      </w:tr>
    </w:tbl>
    <w:p w:rsidR="00F03558" w:rsidRDefault="00F03558">
      <w:pPr>
        <w:rPr>
          <w:szCs w:val="26"/>
        </w:rPr>
      </w:pPr>
    </w:p>
    <w:p w:rsidR="006234FC" w:rsidRPr="007A134B" w:rsidRDefault="006234FC">
      <w:pPr>
        <w:rPr>
          <w:szCs w:val="26"/>
        </w:rPr>
      </w:pPr>
    </w:p>
    <w:tbl>
      <w:tblPr>
        <w:tblW w:w="0" w:type="auto"/>
        <w:tblLayout w:type="fixed"/>
        <w:tblLook w:val="0000" w:firstRow="0" w:lastRow="0" w:firstColumn="0" w:lastColumn="0" w:noHBand="0" w:noVBand="0"/>
      </w:tblPr>
      <w:tblGrid>
        <w:gridCol w:w="4428"/>
        <w:gridCol w:w="5130"/>
      </w:tblGrid>
      <w:tr w:rsidR="00F03558" w:rsidRPr="007A134B">
        <w:tc>
          <w:tcPr>
            <w:tcW w:w="4428" w:type="dxa"/>
          </w:tcPr>
          <w:p w:rsidR="00F03558" w:rsidRPr="007A134B" w:rsidRDefault="00F03558">
            <w:pPr>
              <w:rPr>
                <w:color w:val="auto"/>
                <w:szCs w:val="26"/>
              </w:rPr>
            </w:pPr>
          </w:p>
        </w:tc>
        <w:tc>
          <w:tcPr>
            <w:tcW w:w="5130" w:type="dxa"/>
          </w:tcPr>
          <w:p w:rsidR="00F03558" w:rsidRPr="007A134B" w:rsidRDefault="00F03558" w:rsidP="00A95215">
            <w:pPr>
              <w:ind w:firstLine="612"/>
              <w:rPr>
                <w:color w:val="auto"/>
                <w:szCs w:val="26"/>
              </w:rPr>
            </w:pPr>
            <w:r w:rsidRPr="007A134B">
              <w:rPr>
                <w:color w:val="auto"/>
                <w:szCs w:val="26"/>
              </w:rPr>
              <w:t xml:space="preserve">Public Meeting held </w:t>
            </w:r>
            <w:r w:rsidR="00A95215" w:rsidRPr="007A134B">
              <w:rPr>
                <w:color w:val="auto"/>
                <w:szCs w:val="26"/>
              </w:rPr>
              <w:t>August 21, 2014</w:t>
            </w:r>
          </w:p>
        </w:tc>
      </w:tr>
      <w:tr w:rsidR="00F03558" w:rsidRPr="007A134B">
        <w:tc>
          <w:tcPr>
            <w:tcW w:w="4428" w:type="dxa"/>
          </w:tcPr>
          <w:p w:rsidR="00F03558" w:rsidRPr="007A134B" w:rsidRDefault="00F03558">
            <w:pPr>
              <w:rPr>
                <w:color w:val="auto"/>
                <w:szCs w:val="26"/>
              </w:rPr>
            </w:pPr>
            <w:r w:rsidRPr="007A134B">
              <w:rPr>
                <w:color w:val="auto"/>
                <w:szCs w:val="26"/>
              </w:rPr>
              <w:t>Commissioners Present:</w:t>
            </w:r>
          </w:p>
        </w:tc>
        <w:tc>
          <w:tcPr>
            <w:tcW w:w="5130" w:type="dxa"/>
          </w:tcPr>
          <w:p w:rsidR="00F03558" w:rsidRPr="007A134B" w:rsidRDefault="00F03558">
            <w:pPr>
              <w:rPr>
                <w:color w:val="auto"/>
                <w:szCs w:val="26"/>
              </w:rPr>
            </w:pPr>
          </w:p>
        </w:tc>
      </w:tr>
    </w:tbl>
    <w:p w:rsidR="00F03558" w:rsidRPr="007A134B" w:rsidRDefault="00F03558">
      <w:pPr>
        <w:rPr>
          <w:color w:val="auto"/>
          <w:szCs w:val="26"/>
        </w:rPr>
      </w:pPr>
    </w:p>
    <w:tbl>
      <w:tblPr>
        <w:tblW w:w="0" w:type="auto"/>
        <w:tblLayout w:type="fixed"/>
        <w:tblLook w:val="0000" w:firstRow="0" w:lastRow="0" w:firstColumn="0" w:lastColumn="0" w:noHBand="0" w:noVBand="0"/>
      </w:tblPr>
      <w:tblGrid>
        <w:gridCol w:w="9558"/>
        <w:gridCol w:w="738"/>
      </w:tblGrid>
      <w:tr w:rsidR="00F03558" w:rsidRPr="007A134B">
        <w:tc>
          <w:tcPr>
            <w:tcW w:w="9558" w:type="dxa"/>
          </w:tcPr>
          <w:p w:rsidR="00F03558" w:rsidRPr="007A134B" w:rsidRDefault="001F2FD1" w:rsidP="001F2FD1">
            <w:pPr>
              <w:ind w:firstLine="450"/>
              <w:rPr>
                <w:color w:val="auto"/>
                <w:szCs w:val="26"/>
              </w:rPr>
            </w:pPr>
            <w:r w:rsidRPr="007A134B">
              <w:rPr>
                <w:color w:val="auto"/>
                <w:szCs w:val="26"/>
              </w:rPr>
              <w:t>Robert F. Powelson</w:t>
            </w:r>
            <w:r w:rsidR="00F03558" w:rsidRPr="007A134B">
              <w:rPr>
                <w:color w:val="auto"/>
                <w:szCs w:val="26"/>
              </w:rPr>
              <w:t xml:space="preserve">, Chairman      </w:t>
            </w:r>
          </w:p>
        </w:tc>
        <w:tc>
          <w:tcPr>
            <w:tcW w:w="738" w:type="dxa"/>
          </w:tcPr>
          <w:p w:rsidR="00F03558" w:rsidRPr="007A134B" w:rsidRDefault="00F03558">
            <w:pPr>
              <w:rPr>
                <w:color w:val="auto"/>
                <w:szCs w:val="26"/>
              </w:rPr>
            </w:pPr>
          </w:p>
        </w:tc>
      </w:tr>
      <w:tr w:rsidR="00F03558" w:rsidRPr="007A134B">
        <w:tc>
          <w:tcPr>
            <w:tcW w:w="9558" w:type="dxa"/>
          </w:tcPr>
          <w:p w:rsidR="00F03558" w:rsidRPr="007A134B" w:rsidRDefault="001F2FD1" w:rsidP="001F2FD1">
            <w:pPr>
              <w:ind w:firstLine="450"/>
              <w:rPr>
                <w:color w:val="auto"/>
                <w:szCs w:val="26"/>
              </w:rPr>
            </w:pPr>
            <w:r w:rsidRPr="007A134B">
              <w:rPr>
                <w:color w:val="auto"/>
                <w:szCs w:val="26"/>
              </w:rPr>
              <w:t>John F. Coleman, Jr.</w:t>
            </w:r>
            <w:r w:rsidR="00F03558" w:rsidRPr="007A134B">
              <w:rPr>
                <w:color w:val="auto"/>
                <w:szCs w:val="26"/>
              </w:rPr>
              <w:t xml:space="preserve">, Vice Chairman   </w:t>
            </w:r>
          </w:p>
        </w:tc>
        <w:tc>
          <w:tcPr>
            <w:tcW w:w="738" w:type="dxa"/>
          </w:tcPr>
          <w:p w:rsidR="00F03558" w:rsidRPr="007A134B" w:rsidRDefault="00F03558">
            <w:pPr>
              <w:rPr>
                <w:color w:val="auto"/>
                <w:szCs w:val="26"/>
              </w:rPr>
            </w:pPr>
          </w:p>
        </w:tc>
      </w:tr>
      <w:tr w:rsidR="00F03558" w:rsidRPr="007A134B">
        <w:tc>
          <w:tcPr>
            <w:tcW w:w="9558" w:type="dxa"/>
          </w:tcPr>
          <w:p w:rsidR="00F03558" w:rsidRPr="007A134B" w:rsidRDefault="00EA6E03" w:rsidP="001F2FD1">
            <w:pPr>
              <w:ind w:firstLine="450"/>
              <w:rPr>
                <w:color w:val="auto"/>
                <w:szCs w:val="26"/>
              </w:rPr>
            </w:pPr>
            <w:r w:rsidRPr="007A134B">
              <w:rPr>
                <w:color w:val="auto"/>
                <w:szCs w:val="26"/>
              </w:rPr>
              <w:t>James H. Cawley</w:t>
            </w:r>
          </w:p>
        </w:tc>
        <w:tc>
          <w:tcPr>
            <w:tcW w:w="738" w:type="dxa"/>
          </w:tcPr>
          <w:p w:rsidR="00F03558" w:rsidRPr="007A134B" w:rsidRDefault="00F03558">
            <w:pPr>
              <w:rPr>
                <w:color w:val="auto"/>
                <w:szCs w:val="26"/>
              </w:rPr>
            </w:pPr>
          </w:p>
        </w:tc>
      </w:tr>
      <w:tr w:rsidR="00F03558" w:rsidRPr="007A134B">
        <w:tc>
          <w:tcPr>
            <w:tcW w:w="9558" w:type="dxa"/>
          </w:tcPr>
          <w:p w:rsidR="00F03558" w:rsidRPr="007A134B" w:rsidRDefault="00EA6E03" w:rsidP="001B158A">
            <w:pPr>
              <w:ind w:firstLine="450"/>
              <w:rPr>
                <w:color w:val="auto"/>
                <w:szCs w:val="26"/>
              </w:rPr>
            </w:pPr>
            <w:r w:rsidRPr="007A134B">
              <w:rPr>
                <w:color w:val="auto"/>
                <w:szCs w:val="26"/>
              </w:rPr>
              <w:t>Pamela A. Witmer</w:t>
            </w:r>
          </w:p>
        </w:tc>
        <w:tc>
          <w:tcPr>
            <w:tcW w:w="738" w:type="dxa"/>
          </w:tcPr>
          <w:p w:rsidR="00F03558" w:rsidRPr="007A134B" w:rsidRDefault="00F03558">
            <w:pPr>
              <w:rPr>
                <w:color w:val="auto"/>
                <w:szCs w:val="26"/>
              </w:rPr>
            </w:pPr>
          </w:p>
        </w:tc>
      </w:tr>
      <w:tr w:rsidR="00F03558" w:rsidRPr="007A134B">
        <w:tc>
          <w:tcPr>
            <w:tcW w:w="9558" w:type="dxa"/>
          </w:tcPr>
          <w:p w:rsidR="00F03558" w:rsidRPr="007A134B" w:rsidRDefault="00EA6E03" w:rsidP="001F2FD1">
            <w:pPr>
              <w:ind w:firstLine="450"/>
              <w:rPr>
                <w:color w:val="auto"/>
                <w:szCs w:val="26"/>
              </w:rPr>
            </w:pPr>
            <w:r w:rsidRPr="007A134B">
              <w:rPr>
                <w:color w:val="auto"/>
                <w:szCs w:val="26"/>
              </w:rPr>
              <w:t>Gladys M. Brown</w:t>
            </w:r>
          </w:p>
        </w:tc>
        <w:tc>
          <w:tcPr>
            <w:tcW w:w="738" w:type="dxa"/>
          </w:tcPr>
          <w:p w:rsidR="00F03558" w:rsidRPr="007A134B" w:rsidRDefault="00F03558">
            <w:pPr>
              <w:rPr>
                <w:color w:val="auto"/>
                <w:szCs w:val="26"/>
              </w:rPr>
            </w:pPr>
          </w:p>
        </w:tc>
      </w:tr>
    </w:tbl>
    <w:p w:rsidR="00F03558" w:rsidRDefault="00F03558">
      <w:pPr>
        <w:rPr>
          <w:color w:val="auto"/>
          <w:szCs w:val="26"/>
        </w:rPr>
      </w:pPr>
    </w:p>
    <w:p w:rsidR="006234FC" w:rsidRPr="007A134B" w:rsidRDefault="006234FC">
      <w:pPr>
        <w:rPr>
          <w:color w:val="auto"/>
          <w:szCs w:val="26"/>
        </w:rPr>
      </w:pPr>
    </w:p>
    <w:tbl>
      <w:tblPr>
        <w:tblW w:w="0" w:type="auto"/>
        <w:tblLayout w:type="fixed"/>
        <w:tblLook w:val="0000" w:firstRow="0" w:lastRow="0" w:firstColumn="0" w:lastColumn="0" w:noHBand="0" w:noVBand="0"/>
      </w:tblPr>
      <w:tblGrid>
        <w:gridCol w:w="5418"/>
        <w:gridCol w:w="4140"/>
      </w:tblGrid>
      <w:tr w:rsidR="00F03558" w:rsidRPr="007A134B" w:rsidTr="00024FD3">
        <w:tc>
          <w:tcPr>
            <w:tcW w:w="5418" w:type="dxa"/>
          </w:tcPr>
          <w:p w:rsidR="00F03558" w:rsidRPr="007A134B" w:rsidRDefault="00F03558">
            <w:pPr>
              <w:jc w:val="center"/>
              <w:rPr>
                <w:color w:val="auto"/>
                <w:szCs w:val="26"/>
              </w:rPr>
            </w:pPr>
            <w:r w:rsidRPr="007A134B">
              <w:rPr>
                <w:color w:val="auto"/>
                <w:szCs w:val="26"/>
              </w:rPr>
              <w:t>Pennsylvania Public Utility Commission</w:t>
            </w:r>
          </w:p>
          <w:p w:rsidR="00F03558" w:rsidRPr="007A134B" w:rsidRDefault="00F03558" w:rsidP="007A134B">
            <w:pPr>
              <w:jc w:val="center"/>
              <w:rPr>
                <w:color w:val="auto"/>
                <w:szCs w:val="26"/>
              </w:rPr>
            </w:pPr>
            <w:proofErr w:type="gramStart"/>
            <w:r w:rsidRPr="007A134B">
              <w:rPr>
                <w:color w:val="auto"/>
                <w:szCs w:val="26"/>
              </w:rPr>
              <w:t>v</w:t>
            </w:r>
            <w:proofErr w:type="gramEnd"/>
            <w:r w:rsidRPr="007A134B">
              <w:rPr>
                <w:color w:val="auto"/>
                <w:szCs w:val="26"/>
              </w:rPr>
              <w:t>.</w:t>
            </w:r>
          </w:p>
          <w:p w:rsidR="00F03558" w:rsidRPr="007A134B" w:rsidRDefault="00EA6E03" w:rsidP="007A134B">
            <w:pPr>
              <w:jc w:val="center"/>
              <w:rPr>
                <w:color w:val="auto"/>
                <w:szCs w:val="26"/>
              </w:rPr>
            </w:pPr>
            <w:r w:rsidRPr="007A134B">
              <w:rPr>
                <w:color w:val="auto"/>
                <w:szCs w:val="26"/>
              </w:rPr>
              <w:t>Manwalamink Sewer Company</w:t>
            </w:r>
          </w:p>
        </w:tc>
        <w:tc>
          <w:tcPr>
            <w:tcW w:w="4140" w:type="dxa"/>
          </w:tcPr>
          <w:p w:rsidR="00F03558" w:rsidRPr="007A134B" w:rsidRDefault="00F03558">
            <w:pPr>
              <w:ind w:firstLine="1332"/>
              <w:rPr>
                <w:color w:val="auto"/>
                <w:szCs w:val="26"/>
              </w:rPr>
            </w:pPr>
            <w:r w:rsidRPr="007A134B">
              <w:rPr>
                <w:color w:val="auto"/>
                <w:szCs w:val="26"/>
              </w:rPr>
              <w:t>Docket Number:</w:t>
            </w:r>
          </w:p>
          <w:p w:rsidR="00F03558" w:rsidRPr="007A134B" w:rsidRDefault="00F03558" w:rsidP="007A134B">
            <w:pPr>
              <w:ind w:firstLine="1332"/>
              <w:rPr>
                <w:color w:val="auto"/>
                <w:szCs w:val="26"/>
              </w:rPr>
            </w:pPr>
            <w:r w:rsidRPr="007A134B">
              <w:rPr>
                <w:color w:val="auto"/>
                <w:szCs w:val="26"/>
              </w:rPr>
              <w:t>R-</w:t>
            </w:r>
            <w:r w:rsidR="00EA6E03" w:rsidRPr="007A134B">
              <w:rPr>
                <w:color w:val="auto"/>
                <w:szCs w:val="26"/>
              </w:rPr>
              <w:t>2014-2419115</w:t>
            </w:r>
            <w:r w:rsidRPr="007A134B">
              <w:rPr>
                <w:color w:val="auto"/>
                <w:szCs w:val="26"/>
              </w:rPr>
              <w:t xml:space="preserve">   </w:t>
            </w:r>
          </w:p>
        </w:tc>
      </w:tr>
    </w:tbl>
    <w:p w:rsidR="00F03558" w:rsidRPr="007A134B" w:rsidRDefault="00F03558">
      <w:pPr>
        <w:ind w:firstLine="90"/>
        <w:jc w:val="center"/>
        <w:rPr>
          <w:szCs w:val="26"/>
        </w:rPr>
      </w:pPr>
    </w:p>
    <w:p w:rsidR="00024FD3" w:rsidRDefault="00024FD3">
      <w:pPr>
        <w:jc w:val="center"/>
        <w:rPr>
          <w:b/>
          <w:szCs w:val="26"/>
        </w:rPr>
      </w:pPr>
    </w:p>
    <w:p w:rsidR="00024FD3" w:rsidRDefault="00024FD3">
      <w:pPr>
        <w:jc w:val="center"/>
        <w:rPr>
          <w:b/>
          <w:szCs w:val="26"/>
        </w:rPr>
      </w:pPr>
    </w:p>
    <w:p w:rsidR="00F03558" w:rsidRPr="007A134B" w:rsidRDefault="00F03558">
      <w:pPr>
        <w:jc w:val="center"/>
        <w:rPr>
          <w:szCs w:val="26"/>
        </w:rPr>
      </w:pPr>
      <w:r w:rsidRPr="007A134B">
        <w:rPr>
          <w:b/>
          <w:szCs w:val="26"/>
        </w:rPr>
        <w:t>ORDER</w:t>
      </w:r>
    </w:p>
    <w:p w:rsidR="00F03558" w:rsidRPr="007A134B" w:rsidRDefault="00F03558">
      <w:pPr>
        <w:spacing w:line="360" w:lineRule="auto"/>
        <w:rPr>
          <w:szCs w:val="26"/>
        </w:rPr>
      </w:pPr>
    </w:p>
    <w:p w:rsidR="00F03558" w:rsidRPr="007A134B" w:rsidRDefault="00F03558">
      <w:pPr>
        <w:rPr>
          <w:b/>
          <w:szCs w:val="26"/>
        </w:rPr>
      </w:pPr>
      <w:r w:rsidRPr="007A134B">
        <w:rPr>
          <w:b/>
          <w:szCs w:val="26"/>
        </w:rPr>
        <w:t>BY THE COMMISSION:</w:t>
      </w:r>
    </w:p>
    <w:p w:rsidR="00F03558" w:rsidRPr="007A134B" w:rsidRDefault="00F03558">
      <w:pPr>
        <w:rPr>
          <w:szCs w:val="26"/>
        </w:rPr>
      </w:pPr>
    </w:p>
    <w:p w:rsidR="00396D2A" w:rsidRPr="007A134B" w:rsidRDefault="00F03558" w:rsidP="001B158A">
      <w:pPr>
        <w:spacing w:line="360" w:lineRule="auto"/>
        <w:ind w:firstLine="1440"/>
        <w:rPr>
          <w:szCs w:val="26"/>
        </w:rPr>
      </w:pPr>
      <w:r w:rsidRPr="007A134B">
        <w:rPr>
          <w:szCs w:val="26"/>
        </w:rPr>
        <w:t xml:space="preserve">On </w:t>
      </w:r>
      <w:r w:rsidR="00EA6E03" w:rsidRPr="007A134B">
        <w:rPr>
          <w:szCs w:val="26"/>
        </w:rPr>
        <w:t>April 28, 2014</w:t>
      </w:r>
      <w:r w:rsidRPr="007A134B">
        <w:rPr>
          <w:szCs w:val="26"/>
        </w:rPr>
        <w:t xml:space="preserve">, </w:t>
      </w:r>
      <w:r w:rsidR="00EA6E03" w:rsidRPr="007A134B">
        <w:rPr>
          <w:szCs w:val="26"/>
        </w:rPr>
        <w:t>Manwalamink</w:t>
      </w:r>
      <w:r w:rsidR="003D7841" w:rsidRPr="007A134B">
        <w:rPr>
          <w:szCs w:val="26"/>
        </w:rPr>
        <w:t xml:space="preserve"> </w:t>
      </w:r>
      <w:r w:rsidR="00EA6E03" w:rsidRPr="007A134B">
        <w:rPr>
          <w:szCs w:val="26"/>
        </w:rPr>
        <w:t>Sewer</w:t>
      </w:r>
      <w:r w:rsidR="003D7841" w:rsidRPr="007A134B">
        <w:rPr>
          <w:szCs w:val="26"/>
        </w:rPr>
        <w:t xml:space="preserve"> Company</w:t>
      </w:r>
      <w:r w:rsidRPr="007A134B">
        <w:rPr>
          <w:szCs w:val="26"/>
        </w:rPr>
        <w:t xml:space="preserve"> (Respondent) filed Supplement No. </w:t>
      </w:r>
      <w:r w:rsidR="001F2FD1" w:rsidRPr="007A134B">
        <w:rPr>
          <w:szCs w:val="26"/>
        </w:rPr>
        <w:t>17</w:t>
      </w:r>
      <w:r w:rsidRPr="007A134B">
        <w:rPr>
          <w:szCs w:val="26"/>
        </w:rPr>
        <w:t xml:space="preserve"> to Tariff </w:t>
      </w:r>
      <w:r w:rsidR="00F309FD" w:rsidRPr="007A134B">
        <w:rPr>
          <w:szCs w:val="26"/>
        </w:rPr>
        <w:t>Sewer</w:t>
      </w:r>
      <w:r w:rsidRPr="007A134B">
        <w:rPr>
          <w:szCs w:val="26"/>
        </w:rPr>
        <w:t xml:space="preserve"> - Pa. P.U.C. No. </w:t>
      </w:r>
      <w:r w:rsidR="00EA6E03" w:rsidRPr="007A134B">
        <w:rPr>
          <w:szCs w:val="26"/>
        </w:rPr>
        <w:t>1</w:t>
      </w:r>
      <w:r w:rsidRPr="007A134B">
        <w:rPr>
          <w:szCs w:val="26"/>
        </w:rPr>
        <w:t xml:space="preserve"> to become effective </w:t>
      </w:r>
    </w:p>
    <w:p w:rsidR="00F03558" w:rsidRPr="007A134B" w:rsidRDefault="00EA6E03">
      <w:pPr>
        <w:spacing w:line="360" w:lineRule="auto"/>
        <w:rPr>
          <w:szCs w:val="26"/>
        </w:rPr>
      </w:pPr>
      <w:r w:rsidRPr="007A134B">
        <w:rPr>
          <w:szCs w:val="26"/>
        </w:rPr>
        <w:t>July 1, 2014</w:t>
      </w:r>
      <w:r w:rsidR="00F03558" w:rsidRPr="007A134B">
        <w:rPr>
          <w:szCs w:val="26"/>
        </w:rPr>
        <w:t>, containing proposed changes in rates, rules, and regulations calculated to produce $</w:t>
      </w:r>
      <w:r w:rsidRPr="007A134B">
        <w:rPr>
          <w:szCs w:val="26"/>
        </w:rPr>
        <w:t>54,106</w:t>
      </w:r>
      <w:r w:rsidR="005827D8" w:rsidRPr="007A134B">
        <w:rPr>
          <w:szCs w:val="26"/>
        </w:rPr>
        <w:t xml:space="preserve"> (10.00%)</w:t>
      </w:r>
      <w:r w:rsidR="00F03558" w:rsidRPr="007A134B">
        <w:rPr>
          <w:szCs w:val="26"/>
        </w:rPr>
        <w:t xml:space="preserve"> in additional annual revenues based on the test year ended </w:t>
      </w:r>
      <w:r w:rsidR="00F10564" w:rsidRPr="007A134B">
        <w:rPr>
          <w:szCs w:val="26"/>
        </w:rPr>
        <w:t>December 31</w:t>
      </w:r>
      <w:r w:rsidR="00F03558" w:rsidRPr="007A134B">
        <w:rPr>
          <w:szCs w:val="26"/>
        </w:rPr>
        <w:t>, 20</w:t>
      </w:r>
      <w:r w:rsidR="001F2FD1" w:rsidRPr="007A134B">
        <w:rPr>
          <w:szCs w:val="26"/>
        </w:rPr>
        <w:t>1</w:t>
      </w:r>
      <w:r w:rsidR="005827D8" w:rsidRPr="007A134B">
        <w:rPr>
          <w:szCs w:val="26"/>
        </w:rPr>
        <w:t>3</w:t>
      </w:r>
      <w:r w:rsidR="00F03558" w:rsidRPr="007A134B">
        <w:rPr>
          <w:szCs w:val="26"/>
        </w:rPr>
        <w:t xml:space="preserve">.  </w:t>
      </w:r>
      <w:r w:rsidR="005827D8" w:rsidRPr="007A134B">
        <w:rPr>
          <w:szCs w:val="26"/>
        </w:rPr>
        <w:t>Supplement No. 17 was voluntarily postponed by Supplement No. 18 until August 1, 2014</w:t>
      </w:r>
      <w:r w:rsidR="003C099B" w:rsidRPr="007A134B">
        <w:rPr>
          <w:szCs w:val="26"/>
        </w:rPr>
        <w:t>,</w:t>
      </w:r>
      <w:r w:rsidR="005827D8" w:rsidRPr="007A134B">
        <w:rPr>
          <w:szCs w:val="26"/>
        </w:rPr>
        <w:t xml:space="preserve"> and by Supplement No. 19 until September 1, 2014.</w:t>
      </w:r>
    </w:p>
    <w:p w:rsidR="00A97863" w:rsidRPr="007A134B" w:rsidRDefault="00A97863">
      <w:pPr>
        <w:spacing w:line="360" w:lineRule="auto"/>
        <w:rPr>
          <w:szCs w:val="26"/>
        </w:rPr>
      </w:pPr>
    </w:p>
    <w:p w:rsidR="00A97863" w:rsidRPr="007A134B" w:rsidRDefault="00A97863" w:rsidP="001B158A">
      <w:pPr>
        <w:spacing w:line="360" w:lineRule="auto"/>
        <w:ind w:firstLine="1440"/>
        <w:rPr>
          <w:szCs w:val="26"/>
        </w:rPr>
      </w:pPr>
      <w:r w:rsidRPr="007A134B">
        <w:rPr>
          <w:szCs w:val="26"/>
        </w:rPr>
        <w:t>Manwalamink Sewer Company is a small wastewater system serving approximately 1,208 residential and commercial customers in the Village of Shawnee on Delaware and surrounding vicinity in Monroe County.  The collection system consists of gravity sewers, low pressure collection mains and pumping st</w:t>
      </w:r>
      <w:r w:rsidR="001011BB" w:rsidRPr="007A134B">
        <w:rPr>
          <w:szCs w:val="26"/>
        </w:rPr>
        <w:t xml:space="preserve">ations.  </w:t>
      </w:r>
      <w:r w:rsidR="001B158A" w:rsidRPr="007A134B">
        <w:rPr>
          <w:szCs w:val="26"/>
        </w:rPr>
        <w:t>The t</w:t>
      </w:r>
      <w:r w:rsidR="001011BB" w:rsidRPr="007A134B">
        <w:rPr>
          <w:szCs w:val="26"/>
        </w:rPr>
        <w:t>reatment plant is a 7</w:t>
      </w:r>
      <w:r w:rsidRPr="007A134B">
        <w:rPr>
          <w:szCs w:val="26"/>
        </w:rPr>
        <w:t>00,000 gallon per day sequential batch reactor.</w:t>
      </w:r>
    </w:p>
    <w:p w:rsidR="005F24DE" w:rsidRDefault="005F24DE" w:rsidP="001B158A">
      <w:pPr>
        <w:spacing w:line="360" w:lineRule="auto"/>
        <w:ind w:firstLine="1440"/>
        <w:rPr>
          <w:szCs w:val="26"/>
        </w:rPr>
      </w:pPr>
      <w:r w:rsidRPr="007A134B">
        <w:rPr>
          <w:szCs w:val="26"/>
        </w:rPr>
        <w:lastRenderedPageBreak/>
        <w:t>Approximately 96% of the customers are billed on the basis of metered water usage.  The metered r</w:t>
      </w:r>
      <w:r w:rsidR="001B158A" w:rsidRPr="007A134B">
        <w:rPr>
          <w:szCs w:val="26"/>
        </w:rPr>
        <w:t>a</w:t>
      </w:r>
      <w:r w:rsidRPr="007A134B">
        <w:rPr>
          <w:szCs w:val="26"/>
        </w:rPr>
        <w:t xml:space="preserve">te schedule is a declining block structure comprised of a Customer Charge and two rate blocks.  The first rate block </w:t>
      </w:r>
      <w:r w:rsidR="001B158A" w:rsidRPr="007A134B">
        <w:rPr>
          <w:szCs w:val="26"/>
        </w:rPr>
        <w:t xml:space="preserve">is applied </w:t>
      </w:r>
      <w:r w:rsidRPr="007A134B">
        <w:rPr>
          <w:szCs w:val="26"/>
        </w:rPr>
        <w:t xml:space="preserve">for usage up to 10,000 gallons per month and the second rate block </w:t>
      </w:r>
      <w:r w:rsidR="00DA0312" w:rsidRPr="007A134B">
        <w:rPr>
          <w:szCs w:val="26"/>
        </w:rPr>
        <w:t xml:space="preserve">is applied </w:t>
      </w:r>
      <w:r w:rsidRPr="007A134B">
        <w:rPr>
          <w:szCs w:val="26"/>
        </w:rPr>
        <w:t xml:space="preserve">for usage over 10,000 gallons per month. </w:t>
      </w:r>
    </w:p>
    <w:p w:rsidR="00617732" w:rsidRDefault="00617732">
      <w:pPr>
        <w:spacing w:line="360" w:lineRule="auto"/>
        <w:rPr>
          <w:szCs w:val="26"/>
        </w:rPr>
      </w:pPr>
    </w:p>
    <w:p w:rsidR="008F5D4B" w:rsidRDefault="008F5D4B">
      <w:pPr>
        <w:spacing w:line="360" w:lineRule="auto"/>
        <w:rPr>
          <w:szCs w:val="26"/>
        </w:rPr>
      </w:pPr>
      <w:r>
        <w:rPr>
          <w:szCs w:val="26"/>
        </w:rPr>
        <w:tab/>
      </w:r>
      <w:r w:rsidRPr="00ED64CD">
        <w:rPr>
          <w:color w:val="000000" w:themeColor="text1"/>
          <w:szCs w:val="26"/>
        </w:rPr>
        <w:t>The Commission analysis of the rate structure requires a redistribution of a greater percentage of the increase proposed by the Company to the second rate block for all metered usage over 10,000 gallons per month.  The restructuring will allow recovery of the incremental expense of trea</w:t>
      </w:r>
      <w:r w:rsidR="00CA1D35">
        <w:rPr>
          <w:color w:val="000000" w:themeColor="text1"/>
          <w:szCs w:val="26"/>
        </w:rPr>
        <w:t>tment</w:t>
      </w:r>
      <w:r w:rsidRPr="00ED64CD">
        <w:rPr>
          <w:color w:val="000000" w:themeColor="text1"/>
          <w:szCs w:val="26"/>
        </w:rPr>
        <w:t xml:space="preserve"> and disposal of wastewater plus a share of overhead expense.  The rate for customers using less than 10,000 gallons per month will receive a </w:t>
      </w:r>
      <w:r w:rsidR="00CA1D35">
        <w:rPr>
          <w:color w:val="000000" w:themeColor="text1"/>
          <w:szCs w:val="26"/>
        </w:rPr>
        <w:t xml:space="preserve">smaller </w:t>
      </w:r>
      <w:r w:rsidRPr="00ED64CD">
        <w:rPr>
          <w:color w:val="000000" w:themeColor="text1"/>
          <w:szCs w:val="26"/>
        </w:rPr>
        <w:t>rate increase as shown in Appendix B, attached.  The overall increase in revenue is the same as proposed by the Company.</w:t>
      </w:r>
    </w:p>
    <w:p w:rsidR="008F5D4B" w:rsidRPr="007A134B" w:rsidRDefault="008F5D4B">
      <w:pPr>
        <w:spacing w:line="360" w:lineRule="auto"/>
        <w:rPr>
          <w:szCs w:val="26"/>
        </w:rPr>
      </w:pPr>
      <w:r>
        <w:rPr>
          <w:szCs w:val="26"/>
        </w:rPr>
        <w:tab/>
      </w:r>
    </w:p>
    <w:p w:rsidR="00F03558" w:rsidRPr="007A134B" w:rsidRDefault="002308CC" w:rsidP="007A134B">
      <w:pPr>
        <w:spacing w:line="360" w:lineRule="auto"/>
        <w:ind w:firstLine="1440"/>
        <w:rPr>
          <w:szCs w:val="26"/>
        </w:rPr>
      </w:pPr>
      <w:r w:rsidRPr="007A134B">
        <w:rPr>
          <w:szCs w:val="26"/>
        </w:rPr>
        <w:t xml:space="preserve">Analysis of the tariff filing and supporting data indicates that the proposed changes in rates, rules and regulations may be unlawful, </w:t>
      </w:r>
      <w:r w:rsidR="00F03558" w:rsidRPr="007A134B">
        <w:rPr>
          <w:szCs w:val="26"/>
        </w:rPr>
        <w:t xml:space="preserve">unjust, unreasonable, and contrary to the public interest.  </w:t>
      </w:r>
      <w:r w:rsidR="00BC1EA9" w:rsidRPr="007A134B">
        <w:rPr>
          <w:szCs w:val="26"/>
        </w:rPr>
        <w:t xml:space="preserve">At the same time, analysis of the tariff filing and supporting data indicates that </w:t>
      </w:r>
      <w:r w:rsidR="005827D8" w:rsidRPr="007A134B">
        <w:rPr>
          <w:szCs w:val="26"/>
        </w:rPr>
        <w:t xml:space="preserve">if </w:t>
      </w:r>
      <w:r w:rsidR="00BC1EA9" w:rsidRPr="007A134B">
        <w:rPr>
          <w:szCs w:val="26"/>
        </w:rPr>
        <w:t>rates</w:t>
      </w:r>
      <w:r w:rsidR="005827D8" w:rsidRPr="007A134B">
        <w:rPr>
          <w:szCs w:val="26"/>
        </w:rPr>
        <w:t xml:space="preserve"> are restructured that the rates </w:t>
      </w:r>
      <w:r w:rsidR="00BC1EA9" w:rsidRPr="007A134B">
        <w:rPr>
          <w:szCs w:val="26"/>
        </w:rPr>
        <w:t>may be just and reasonable</w:t>
      </w:r>
      <w:r w:rsidR="00F03558" w:rsidRPr="007A134B">
        <w:rPr>
          <w:szCs w:val="26"/>
        </w:rPr>
        <w:t xml:space="preserve">; </w:t>
      </w:r>
      <w:r w:rsidR="00F03558" w:rsidRPr="007A134B">
        <w:rPr>
          <w:b/>
          <w:szCs w:val="26"/>
        </w:rPr>
        <w:t>THEREFORE,</w:t>
      </w:r>
    </w:p>
    <w:p w:rsidR="00F03558" w:rsidRPr="007A134B" w:rsidRDefault="00F03558">
      <w:pPr>
        <w:rPr>
          <w:szCs w:val="26"/>
        </w:rPr>
      </w:pPr>
    </w:p>
    <w:p w:rsidR="00F03558" w:rsidRDefault="00F03558" w:rsidP="007A134B">
      <w:pPr>
        <w:spacing w:line="360" w:lineRule="auto"/>
        <w:ind w:firstLine="1440"/>
        <w:rPr>
          <w:b/>
          <w:szCs w:val="26"/>
        </w:rPr>
      </w:pPr>
      <w:r w:rsidRPr="007A134B">
        <w:rPr>
          <w:b/>
          <w:szCs w:val="26"/>
        </w:rPr>
        <w:t>IT IS ORDERED:</w:t>
      </w:r>
    </w:p>
    <w:p w:rsidR="00024FD3" w:rsidRDefault="00024FD3" w:rsidP="007A134B">
      <w:pPr>
        <w:pStyle w:val="ListParagraph"/>
        <w:numPr>
          <w:ilvl w:val="0"/>
          <w:numId w:val="16"/>
        </w:numPr>
        <w:tabs>
          <w:tab w:val="left" w:pos="1890"/>
        </w:tabs>
        <w:spacing w:line="360" w:lineRule="auto"/>
        <w:ind w:left="0" w:firstLine="1440"/>
        <w:rPr>
          <w:rFonts w:ascii="Times New Roman" w:hAnsi="Times New Roman"/>
          <w:sz w:val="26"/>
          <w:szCs w:val="26"/>
        </w:rPr>
      </w:pPr>
      <w:r w:rsidRPr="00024FD3">
        <w:rPr>
          <w:rFonts w:ascii="Times New Roman" w:hAnsi="Times New Roman"/>
          <w:sz w:val="26"/>
          <w:szCs w:val="26"/>
        </w:rPr>
        <w:t xml:space="preserve">That if, on or before ten (10) days after the date of entry of this Order, the Respondent files a </w:t>
      </w:r>
      <w:r>
        <w:rPr>
          <w:rFonts w:ascii="Times New Roman" w:hAnsi="Times New Roman"/>
          <w:sz w:val="26"/>
          <w:szCs w:val="26"/>
        </w:rPr>
        <w:t xml:space="preserve">revised </w:t>
      </w:r>
      <w:r w:rsidR="004340E8">
        <w:rPr>
          <w:rFonts w:ascii="Times New Roman" w:hAnsi="Times New Roman"/>
          <w:sz w:val="26"/>
          <w:szCs w:val="26"/>
        </w:rPr>
        <w:t>Supplement No. 20</w:t>
      </w:r>
      <w:r w:rsidRPr="007A134B">
        <w:rPr>
          <w:rFonts w:ascii="Times New Roman" w:hAnsi="Times New Roman"/>
          <w:sz w:val="26"/>
          <w:szCs w:val="26"/>
        </w:rPr>
        <w:t xml:space="preserve"> to Tariff Sewer - Pa. P.U.C. No. 1 </w:t>
      </w:r>
      <w:r w:rsidRPr="00024FD3">
        <w:rPr>
          <w:rFonts w:ascii="Times New Roman" w:hAnsi="Times New Roman"/>
          <w:sz w:val="26"/>
          <w:szCs w:val="26"/>
        </w:rPr>
        <w:t>incorporat</w:t>
      </w:r>
      <w:r>
        <w:rPr>
          <w:rFonts w:ascii="Times New Roman" w:hAnsi="Times New Roman"/>
          <w:sz w:val="26"/>
          <w:szCs w:val="26"/>
        </w:rPr>
        <w:t xml:space="preserve">ing </w:t>
      </w:r>
      <w:r w:rsidRPr="00024FD3">
        <w:rPr>
          <w:rFonts w:ascii="Times New Roman" w:hAnsi="Times New Roman"/>
          <w:sz w:val="26"/>
          <w:szCs w:val="26"/>
        </w:rPr>
        <w:t xml:space="preserve">the schedule of rates shown on Attachment A, attached hereto, the </w:t>
      </w:r>
      <w:r>
        <w:rPr>
          <w:rFonts w:ascii="Times New Roman" w:hAnsi="Times New Roman"/>
          <w:sz w:val="26"/>
          <w:szCs w:val="26"/>
        </w:rPr>
        <w:t xml:space="preserve">proposed  rates (as revised) are permitted to become effective September 1, 2014. </w:t>
      </w:r>
    </w:p>
    <w:p w:rsidR="00024FD3" w:rsidRDefault="00024FD3" w:rsidP="00024FD3">
      <w:pPr>
        <w:pStyle w:val="ListParagraph"/>
        <w:tabs>
          <w:tab w:val="left" w:pos="1890"/>
        </w:tabs>
        <w:spacing w:line="360" w:lineRule="auto"/>
        <w:ind w:left="1440"/>
        <w:rPr>
          <w:rFonts w:ascii="Times New Roman" w:hAnsi="Times New Roman"/>
          <w:sz w:val="26"/>
          <w:szCs w:val="26"/>
        </w:rPr>
      </w:pPr>
    </w:p>
    <w:p w:rsidR="00F03558" w:rsidRDefault="00F03558" w:rsidP="007A134B">
      <w:pPr>
        <w:pStyle w:val="ListParagraph"/>
        <w:numPr>
          <w:ilvl w:val="0"/>
          <w:numId w:val="16"/>
        </w:numPr>
        <w:tabs>
          <w:tab w:val="left" w:pos="1890"/>
        </w:tabs>
        <w:spacing w:line="360" w:lineRule="auto"/>
        <w:ind w:left="0" w:firstLine="1440"/>
        <w:rPr>
          <w:rFonts w:ascii="Times New Roman" w:hAnsi="Times New Roman"/>
          <w:sz w:val="26"/>
          <w:szCs w:val="26"/>
        </w:rPr>
      </w:pPr>
      <w:r w:rsidRPr="007A134B">
        <w:rPr>
          <w:rFonts w:ascii="Times New Roman" w:hAnsi="Times New Roman"/>
          <w:sz w:val="26"/>
          <w:szCs w:val="26"/>
        </w:rPr>
        <w:t xml:space="preserve">That if the Respondent has not filed a </w:t>
      </w:r>
      <w:r w:rsidR="00DA0312" w:rsidRPr="007A134B">
        <w:rPr>
          <w:rFonts w:ascii="Times New Roman" w:hAnsi="Times New Roman"/>
          <w:sz w:val="26"/>
          <w:szCs w:val="26"/>
        </w:rPr>
        <w:t>revised t</w:t>
      </w:r>
      <w:r w:rsidRPr="007A134B">
        <w:rPr>
          <w:rFonts w:ascii="Times New Roman" w:hAnsi="Times New Roman"/>
          <w:sz w:val="26"/>
          <w:szCs w:val="26"/>
        </w:rPr>
        <w:t xml:space="preserve">ariff </w:t>
      </w:r>
      <w:r w:rsidR="00DA0312" w:rsidRPr="007A134B">
        <w:rPr>
          <w:rFonts w:ascii="Times New Roman" w:hAnsi="Times New Roman"/>
          <w:sz w:val="26"/>
          <w:szCs w:val="26"/>
        </w:rPr>
        <w:t>s</w:t>
      </w:r>
      <w:r w:rsidRPr="007A134B">
        <w:rPr>
          <w:rFonts w:ascii="Times New Roman" w:hAnsi="Times New Roman"/>
          <w:sz w:val="26"/>
          <w:szCs w:val="26"/>
        </w:rPr>
        <w:t xml:space="preserve">upplement </w:t>
      </w:r>
      <w:r w:rsidR="003C099B" w:rsidRPr="007A134B">
        <w:rPr>
          <w:rFonts w:ascii="Times New Roman" w:hAnsi="Times New Roman"/>
          <w:sz w:val="26"/>
          <w:szCs w:val="26"/>
        </w:rPr>
        <w:t>as d</w:t>
      </w:r>
      <w:r w:rsidRPr="007A134B">
        <w:rPr>
          <w:rFonts w:ascii="Times New Roman" w:hAnsi="Times New Roman"/>
          <w:sz w:val="26"/>
          <w:szCs w:val="26"/>
        </w:rPr>
        <w:t xml:space="preserve">escribed in Ordering Paragraph No. </w:t>
      </w:r>
      <w:r w:rsidR="00DA0312" w:rsidRPr="007A134B">
        <w:rPr>
          <w:rFonts w:ascii="Times New Roman" w:hAnsi="Times New Roman"/>
          <w:sz w:val="26"/>
          <w:szCs w:val="26"/>
        </w:rPr>
        <w:t>1</w:t>
      </w:r>
      <w:r w:rsidRPr="007A134B">
        <w:rPr>
          <w:rFonts w:ascii="Times New Roman" w:hAnsi="Times New Roman"/>
          <w:sz w:val="26"/>
          <w:szCs w:val="26"/>
        </w:rPr>
        <w:t xml:space="preserve"> above on or before ten (10) days of entry of this </w:t>
      </w:r>
      <w:r w:rsidRPr="007A134B">
        <w:rPr>
          <w:rFonts w:ascii="Times New Roman" w:hAnsi="Times New Roman"/>
          <w:sz w:val="26"/>
          <w:szCs w:val="26"/>
        </w:rPr>
        <w:lastRenderedPageBreak/>
        <w:t xml:space="preserve">Order, or </w:t>
      </w:r>
      <w:r w:rsidR="00024FD3">
        <w:rPr>
          <w:rFonts w:ascii="Times New Roman" w:hAnsi="Times New Roman"/>
          <w:sz w:val="26"/>
          <w:szCs w:val="26"/>
        </w:rPr>
        <w:t xml:space="preserve">has </w:t>
      </w:r>
      <w:r w:rsidRPr="007A134B">
        <w:rPr>
          <w:rFonts w:ascii="Times New Roman" w:hAnsi="Times New Roman"/>
          <w:sz w:val="26"/>
          <w:szCs w:val="26"/>
        </w:rPr>
        <w:t>been granted additional time to do so by order of the Commission</w:t>
      </w:r>
      <w:r w:rsidR="00024FD3">
        <w:rPr>
          <w:rFonts w:ascii="Times New Roman" w:hAnsi="Times New Roman"/>
          <w:sz w:val="26"/>
          <w:szCs w:val="26"/>
        </w:rPr>
        <w:t>, the following shall apply</w:t>
      </w:r>
      <w:r w:rsidRPr="007A134B">
        <w:rPr>
          <w:rFonts w:ascii="Times New Roman" w:hAnsi="Times New Roman"/>
          <w:sz w:val="26"/>
          <w:szCs w:val="26"/>
        </w:rPr>
        <w:t>:</w:t>
      </w:r>
    </w:p>
    <w:p w:rsidR="00024FD3" w:rsidRPr="007A134B" w:rsidRDefault="00024FD3" w:rsidP="00024FD3">
      <w:pPr>
        <w:pStyle w:val="ListParagraph"/>
        <w:tabs>
          <w:tab w:val="left" w:pos="1890"/>
        </w:tabs>
        <w:spacing w:line="360" w:lineRule="auto"/>
        <w:ind w:left="1440"/>
        <w:rPr>
          <w:rFonts w:ascii="Times New Roman" w:hAnsi="Times New Roman"/>
          <w:sz w:val="26"/>
          <w:szCs w:val="26"/>
        </w:rPr>
      </w:pPr>
    </w:p>
    <w:p w:rsidR="00617732" w:rsidRPr="007A134B" w:rsidRDefault="00617732" w:rsidP="00024FD3">
      <w:pPr>
        <w:pStyle w:val="ListParagraph"/>
        <w:numPr>
          <w:ilvl w:val="0"/>
          <w:numId w:val="18"/>
        </w:numPr>
        <w:tabs>
          <w:tab w:val="left" w:pos="1890"/>
        </w:tabs>
        <w:spacing w:line="360" w:lineRule="auto"/>
        <w:contextualSpacing w:val="0"/>
        <w:rPr>
          <w:rFonts w:ascii="Times New Roman" w:hAnsi="Times New Roman"/>
          <w:sz w:val="26"/>
          <w:szCs w:val="26"/>
        </w:rPr>
      </w:pPr>
      <w:r w:rsidRPr="007A134B">
        <w:rPr>
          <w:rFonts w:ascii="Times New Roman" w:hAnsi="Times New Roman"/>
          <w:sz w:val="26"/>
          <w:szCs w:val="26"/>
        </w:rPr>
        <w:t xml:space="preserve">Supplement No. 19 to Tariff Sewer - Pa. P.U.C. No. 1 </w:t>
      </w:r>
      <w:r w:rsidR="006234FC">
        <w:rPr>
          <w:rFonts w:ascii="Times New Roman" w:hAnsi="Times New Roman"/>
          <w:sz w:val="26"/>
          <w:szCs w:val="26"/>
        </w:rPr>
        <w:t xml:space="preserve">shall be deemed </w:t>
      </w:r>
      <w:r w:rsidRPr="007A134B">
        <w:rPr>
          <w:rFonts w:ascii="Times New Roman" w:hAnsi="Times New Roman"/>
          <w:sz w:val="26"/>
          <w:szCs w:val="26"/>
        </w:rPr>
        <w:t>suspended until January 28, 2015, unless otherwise directed by order of the Commission</w:t>
      </w:r>
      <w:r w:rsidR="006234FC">
        <w:rPr>
          <w:rFonts w:ascii="Times New Roman" w:hAnsi="Times New Roman"/>
          <w:sz w:val="26"/>
          <w:szCs w:val="26"/>
        </w:rPr>
        <w:t>.</w:t>
      </w:r>
    </w:p>
    <w:p w:rsidR="00D42FEF" w:rsidRPr="006234FC" w:rsidRDefault="00024FD3" w:rsidP="006234FC">
      <w:pPr>
        <w:pStyle w:val="ListParagraph"/>
        <w:numPr>
          <w:ilvl w:val="0"/>
          <w:numId w:val="18"/>
        </w:numPr>
        <w:tabs>
          <w:tab w:val="left" w:pos="1890"/>
        </w:tabs>
        <w:spacing w:line="360" w:lineRule="auto"/>
        <w:contextualSpacing w:val="0"/>
        <w:rPr>
          <w:rFonts w:ascii="Times New Roman" w:hAnsi="Times New Roman"/>
          <w:sz w:val="26"/>
          <w:szCs w:val="26"/>
        </w:rPr>
      </w:pPr>
      <w:r w:rsidRPr="006234FC">
        <w:rPr>
          <w:rFonts w:ascii="Times New Roman" w:hAnsi="Times New Roman"/>
          <w:sz w:val="26"/>
          <w:szCs w:val="26"/>
        </w:rPr>
        <w:t>A</w:t>
      </w:r>
      <w:r w:rsidR="00D42FEF" w:rsidRPr="006234FC">
        <w:rPr>
          <w:rFonts w:ascii="Times New Roman" w:hAnsi="Times New Roman"/>
          <w:sz w:val="26"/>
          <w:szCs w:val="26"/>
        </w:rPr>
        <w:t>n investigation is instituted to determine the lawfulness, justness, and reasonableness of the rates, rules, and regulations contained in the proposed Supplement No. 19 to Tariff Water-Pa. P.U.C. No. 1</w:t>
      </w:r>
      <w:r w:rsidR="006234FC">
        <w:rPr>
          <w:rFonts w:ascii="Times New Roman" w:hAnsi="Times New Roman"/>
          <w:sz w:val="26"/>
          <w:szCs w:val="26"/>
        </w:rPr>
        <w:t>.</w:t>
      </w:r>
    </w:p>
    <w:p w:rsidR="00F03558" w:rsidRPr="007A134B" w:rsidRDefault="00024FD3" w:rsidP="00024FD3">
      <w:pPr>
        <w:pStyle w:val="ListParagraph"/>
        <w:numPr>
          <w:ilvl w:val="0"/>
          <w:numId w:val="18"/>
        </w:numPr>
        <w:tabs>
          <w:tab w:val="left" w:pos="1890"/>
        </w:tabs>
        <w:spacing w:line="360" w:lineRule="auto"/>
        <w:contextualSpacing w:val="0"/>
        <w:rPr>
          <w:rFonts w:ascii="Times New Roman" w:hAnsi="Times New Roman"/>
          <w:sz w:val="26"/>
          <w:szCs w:val="26"/>
        </w:rPr>
      </w:pPr>
      <w:r>
        <w:rPr>
          <w:rFonts w:ascii="Times New Roman" w:hAnsi="Times New Roman"/>
          <w:sz w:val="26"/>
          <w:szCs w:val="26"/>
        </w:rPr>
        <w:t xml:space="preserve">Said </w:t>
      </w:r>
      <w:r w:rsidR="00531D1B" w:rsidRPr="007A134B">
        <w:rPr>
          <w:rFonts w:ascii="Times New Roman" w:hAnsi="Times New Roman"/>
          <w:sz w:val="26"/>
          <w:szCs w:val="26"/>
        </w:rPr>
        <w:t xml:space="preserve">investigation shall be assigned to the </w:t>
      </w:r>
      <w:r w:rsidR="00F03558" w:rsidRPr="007A134B">
        <w:rPr>
          <w:rFonts w:ascii="Times New Roman" w:hAnsi="Times New Roman"/>
          <w:sz w:val="26"/>
          <w:szCs w:val="26"/>
        </w:rPr>
        <w:t>Office of Administrative</w:t>
      </w:r>
      <w:r>
        <w:rPr>
          <w:rFonts w:ascii="Times New Roman" w:hAnsi="Times New Roman"/>
          <w:sz w:val="26"/>
          <w:szCs w:val="26"/>
        </w:rPr>
        <w:t xml:space="preserve"> </w:t>
      </w:r>
      <w:r w:rsidR="00F03558" w:rsidRPr="007A134B">
        <w:rPr>
          <w:rFonts w:ascii="Times New Roman" w:hAnsi="Times New Roman"/>
          <w:sz w:val="26"/>
          <w:szCs w:val="26"/>
        </w:rPr>
        <w:t xml:space="preserve">Law Judge for an Alternative Dispute Resolution, if possible, or </w:t>
      </w:r>
      <w:r w:rsidR="00531D1B" w:rsidRPr="007A134B">
        <w:rPr>
          <w:rFonts w:ascii="Times New Roman" w:hAnsi="Times New Roman"/>
          <w:sz w:val="26"/>
          <w:szCs w:val="26"/>
        </w:rPr>
        <w:t xml:space="preserve">the </w:t>
      </w:r>
      <w:r w:rsidR="00727084" w:rsidRPr="007A134B">
        <w:rPr>
          <w:rFonts w:ascii="Times New Roman" w:hAnsi="Times New Roman"/>
          <w:sz w:val="26"/>
          <w:szCs w:val="26"/>
        </w:rPr>
        <w:t>prompt scheduling</w:t>
      </w:r>
      <w:r w:rsidR="00531D1B" w:rsidRPr="007A134B">
        <w:rPr>
          <w:rFonts w:ascii="Times New Roman" w:hAnsi="Times New Roman"/>
          <w:sz w:val="26"/>
          <w:szCs w:val="26"/>
        </w:rPr>
        <w:t xml:space="preserve"> of</w:t>
      </w:r>
      <w:r w:rsidR="00F03558" w:rsidRPr="007A134B">
        <w:rPr>
          <w:rFonts w:ascii="Times New Roman" w:hAnsi="Times New Roman"/>
          <w:sz w:val="26"/>
          <w:szCs w:val="26"/>
        </w:rPr>
        <w:t xml:space="preserve"> such hearings as may be necessary culminating in the issuance of a Recommended Decision.</w:t>
      </w:r>
    </w:p>
    <w:p w:rsidR="00F03558" w:rsidRPr="007A134B" w:rsidRDefault="00F03558" w:rsidP="00024FD3">
      <w:pPr>
        <w:pStyle w:val="ListParagraph"/>
        <w:numPr>
          <w:ilvl w:val="0"/>
          <w:numId w:val="16"/>
        </w:numPr>
        <w:tabs>
          <w:tab w:val="left" w:pos="1890"/>
        </w:tabs>
        <w:spacing w:line="360" w:lineRule="auto"/>
        <w:ind w:left="0" w:firstLine="1440"/>
        <w:rPr>
          <w:rFonts w:ascii="Times New Roman" w:hAnsi="Times New Roman"/>
          <w:sz w:val="26"/>
          <w:szCs w:val="26"/>
        </w:rPr>
      </w:pPr>
      <w:r w:rsidRPr="007A134B">
        <w:rPr>
          <w:rFonts w:ascii="Times New Roman" w:hAnsi="Times New Roman"/>
          <w:sz w:val="26"/>
          <w:szCs w:val="26"/>
        </w:rPr>
        <w:t xml:space="preserve">That a copy of this Order shall be served upon the Respondent, the </w:t>
      </w:r>
      <w:r w:rsidR="00951FE3" w:rsidRPr="007A134B">
        <w:rPr>
          <w:rFonts w:ascii="Times New Roman" w:hAnsi="Times New Roman"/>
          <w:sz w:val="26"/>
          <w:szCs w:val="26"/>
        </w:rPr>
        <w:t>Bureau of Investigation and Enforcement</w:t>
      </w:r>
      <w:r w:rsidR="00024FD3">
        <w:rPr>
          <w:rFonts w:ascii="Times New Roman" w:hAnsi="Times New Roman"/>
          <w:sz w:val="26"/>
          <w:szCs w:val="26"/>
        </w:rPr>
        <w:t xml:space="preserve">, </w:t>
      </w:r>
      <w:r w:rsidR="00951FE3" w:rsidRPr="007A134B">
        <w:rPr>
          <w:rFonts w:ascii="Times New Roman" w:hAnsi="Times New Roman"/>
          <w:sz w:val="26"/>
          <w:szCs w:val="26"/>
        </w:rPr>
        <w:t>the Office of Consumer Advocate, the Office of Small Business Advocate</w:t>
      </w:r>
      <w:r w:rsidR="00024FD3">
        <w:rPr>
          <w:rFonts w:ascii="Times New Roman" w:hAnsi="Times New Roman"/>
          <w:sz w:val="26"/>
          <w:szCs w:val="26"/>
        </w:rPr>
        <w:t xml:space="preserve"> and the Office of Administrative Law Judge</w:t>
      </w:r>
      <w:r w:rsidR="003C099B" w:rsidRPr="007A134B">
        <w:rPr>
          <w:rFonts w:ascii="Times New Roman" w:hAnsi="Times New Roman"/>
          <w:sz w:val="26"/>
          <w:szCs w:val="26"/>
        </w:rPr>
        <w:t>.</w:t>
      </w:r>
      <w:r w:rsidRPr="007A134B">
        <w:rPr>
          <w:rFonts w:ascii="Times New Roman" w:hAnsi="Times New Roman"/>
          <w:sz w:val="26"/>
          <w:szCs w:val="26"/>
        </w:rPr>
        <w:t xml:space="preserve"> </w:t>
      </w:r>
    </w:p>
    <w:p w:rsidR="00F03558" w:rsidRDefault="00F03558">
      <w:pPr>
        <w:rPr>
          <w:szCs w:val="26"/>
        </w:rPr>
      </w:pPr>
    </w:p>
    <w:p w:rsidR="006234FC" w:rsidRPr="007A134B" w:rsidRDefault="006234FC">
      <w:pPr>
        <w:rPr>
          <w:szCs w:val="26"/>
        </w:rPr>
      </w:pPr>
    </w:p>
    <w:p w:rsidR="00F03558" w:rsidRPr="007A134B" w:rsidRDefault="004B6914" w:rsidP="00024FD3">
      <w:pPr>
        <w:tabs>
          <w:tab w:val="left" w:pos="4320"/>
        </w:tabs>
        <w:ind w:left="4320"/>
        <w:rPr>
          <w:szCs w:val="26"/>
        </w:rPr>
      </w:pPr>
      <w:bookmarkStart w:id="0" w:name="_GoBack"/>
      <w:r>
        <w:rPr>
          <w:noProof/>
        </w:rPr>
        <w:drawing>
          <wp:anchor distT="0" distB="0" distL="114300" distR="114300" simplePos="0" relativeHeight="251659264" behindDoc="1" locked="0" layoutInCell="1" allowOverlap="1" wp14:anchorId="30DFDE37" wp14:editId="175CB98D">
            <wp:simplePos x="0" y="0"/>
            <wp:positionH relativeFrom="column">
              <wp:posOffset>2466340</wp:posOffset>
            </wp:positionH>
            <wp:positionV relativeFrom="paragraph">
              <wp:posOffset>138430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03558" w:rsidRPr="007A134B">
        <w:rPr>
          <w:b/>
          <w:szCs w:val="26"/>
        </w:rPr>
        <w:t>BY THE COMMISSION</w:t>
      </w:r>
    </w:p>
    <w:p w:rsidR="00F03558" w:rsidRDefault="00F03558">
      <w:pPr>
        <w:tabs>
          <w:tab w:val="left" w:pos="4320"/>
        </w:tabs>
        <w:rPr>
          <w:szCs w:val="26"/>
        </w:rPr>
      </w:pPr>
    </w:p>
    <w:p w:rsidR="006234FC" w:rsidRPr="007A134B" w:rsidRDefault="006234FC">
      <w:pPr>
        <w:tabs>
          <w:tab w:val="left" w:pos="4320"/>
        </w:tabs>
        <w:rPr>
          <w:szCs w:val="26"/>
        </w:rPr>
      </w:pPr>
    </w:p>
    <w:p w:rsidR="00F03558" w:rsidRPr="007A134B" w:rsidRDefault="00F03558">
      <w:pPr>
        <w:tabs>
          <w:tab w:val="left" w:pos="4320"/>
        </w:tabs>
        <w:rPr>
          <w:szCs w:val="26"/>
        </w:rPr>
      </w:pPr>
    </w:p>
    <w:p w:rsidR="00F03558" w:rsidRPr="007A134B" w:rsidRDefault="00F03558">
      <w:pPr>
        <w:tabs>
          <w:tab w:val="left" w:pos="4320"/>
        </w:tabs>
        <w:rPr>
          <w:szCs w:val="26"/>
        </w:rPr>
      </w:pPr>
    </w:p>
    <w:p w:rsidR="00F03558" w:rsidRPr="007A134B" w:rsidRDefault="00951FE3" w:rsidP="00024FD3">
      <w:pPr>
        <w:tabs>
          <w:tab w:val="left" w:pos="4320"/>
        </w:tabs>
        <w:ind w:left="4320"/>
        <w:rPr>
          <w:szCs w:val="26"/>
        </w:rPr>
      </w:pPr>
      <w:r w:rsidRPr="007A134B">
        <w:rPr>
          <w:szCs w:val="26"/>
        </w:rPr>
        <w:t>Rosemary Chiavetta</w:t>
      </w:r>
    </w:p>
    <w:p w:rsidR="00F03558" w:rsidRPr="007A134B" w:rsidRDefault="00F03558" w:rsidP="00024FD3">
      <w:pPr>
        <w:tabs>
          <w:tab w:val="left" w:pos="4320"/>
        </w:tabs>
        <w:ind w:left="4320"/>
        <w:rPr>
          <w:szCs w:val="26"/>
        </w:rPr>
      </w:pPr>
      <w:r w:rsidRPr="007A134B">
        <w:rPr>
          <w:szCs w:val="26"/>
        </w:rPr>
        <w:t>Secretary</w:t>
      </w:r>
    </w:p>
    <w:p w:rsidR="00F03558" w:rsidRPr="007A134B" w:rsidRDefault="00F03558">
      <w:pPr>
        <w:tabs>
          <w:tab w:val="left" w:pos="4320"/>
        </w:tabs>
        <w:rPr>
          <w:szCs w:val="26"/>
        </w:rPr>
      </w:pPr>
    </w:p>
    <w:p w:rsidR="00F03558" w:rsidRPr="007A134B" w:rsidRDefault="00F03558">
      <w:pPr>
        <w:tabs>
          <w:tab w:val="left" w:pos="4320"/>
        </w:tabs>
        <w:rPr>
          <w:szCs w:val="26"/>
        </w:rPr>
      </w:pPr>
      <w:r w:rsidRPr="007A134B">
        <w:rPr>
          <w:szCs w:val="26"/>
        </w:rPr>
        <w:t>(SEAL)</w:t>
      </w:r>
    </w:p>
    <w:p w:rsidR="00F03558" w:rsidRPr="007A134B" w:rsidRDefault="00F03558">
      <w:pPr>
        <w:tabs>
          <w:tab w:val="left" w:pos="4320"/>
        </w:tabs>
        <w:rPr>
          <w:szCs w:val="26"/>
        </w:rPr>
      </w:pPr>
    </w:p>
    <w:p w:rsidR="00F03558" w:rsidRPr="007A134B" w:rsidRDefault="00F03558">
      <w:pPr>
        <w:tabs>
          <w:tab w:val="left" w:pos="4320"/>
        </w:tabs>
        <w:rPr>
          <w:szCs w:val="26"/>
        </w:rPr>
      </w:pPr>
      <w:r w:rsidRPr="007A134B">
        <w:rPr>
          <w:szCs w:val="26"/>
        </w:rPr>
        <w:t xml:space="preserve">ORDER ADOPTED:  </w:t>
      </w:r>
      <w:r w:rsidR="006C7AB2" w:rsidRPr="007A134B">
        <w:rPr>
          <w:szCs w:val="26"/>
        </w:rPr>
        <w:t>August 21, 2014</w:t>
      </w:r>
      <w:r w:rsidRPr="007A134B">
        <w:rPr>
          <w:szCs w:val="26"/>
        </w:rPr>
        <w:tab/>
        <w:t xml:space="preserve">  </w:t>
      </w:r>
    </w:p>
    <w:p w:rsidR="00F03558" w:rsidRPr="007A134B" w:rsidRDefault="00F03558">
      <w:pPr>
        <w:tabs>
          <w:tab w:val="left" w:pos="4320"/>
        </w:tabs>
        <w:rPr>
          <w:szCs w:val="26"/>
        </w:rPr>
      </w:pPr>
    </w:p>
    <w:p w:rsidR="00F03558" w:rsidRDefault="00F03558">
      <w:pPr>
        <w:tabs>
          <w:tab w:val="left" w:pos="4320"/>
        </w:tabs>
        <w:rPr>
          <w:szCs w:val="26"/>
        </w:rPr>
      </w:pPr>
      <w:r w:rsidRPr="007A134B">
        <w:rPr>
          <w:szCs w:val="26"/>
        </w:rPr>
        <w:t xml:space="preserve">ORDER ENTERED:  </w:t>
      </w:r>
      <w:r w:rsidR="004B6914">
        <w:rPr>
          <w:szCs w:val="26"/>
        </w:rPr>
        <w:t>August 21, 2014</w:t>
      </w:r>
    </w:p>
    <w:p w:rsidR="00024FD3" w:rsidRPr="007A134B" w:rsidRDefault="00024FD3">
      <w:pPr>
        <w:tabs>
          <w:tab w:val="left" w:pos="4320"/>
        </w:tabs>
        <w:rPr>
          <w:szCs w:val="26"/>
        </w:rPr>
      </w:pPr>
    </w:p>
    <w:p w:rsidR="0038602A" w:rsidRPr="007A134B" w:rsidRDefault="0038602A" w:rsidP="0038602A">
      <w:pPr>
        <w:jc w:val="center"/>
        <w:rPr>
          <w:szCs w:val="26"/>
        </w:rPr>
        <w:sectPr w:rsidR="0038602A" w:rsidRPr="007A134B" w:rsidSect="00396D2A">
          <w:footerReference w:type="even" r:id="rId10"/>
          <w:footerReference w:type="default" r:id="rId11"/>
          <w:footerReference w:type="first" r:id="rId12"/>
          <w:pgSz w:w="12240" w:h="15840" w:code="1"/>
          <w:pgMar w:top="1440" w:right="1440" w:bottom="1440" w:left="1440" w:header="720" w:footer="720" w:gutter="0"/>
          <w:cols w:space="720"/>
          <w:titlePg/>
        </w:sectPr>
      </w:pPr>
    </w:p>
    <w:p w:rsidR="0038602A" w:rsidRPr="007A134B" w:rsidRDefault="0038602A" w:rsidP="0038602A">
      <w:pPr>
        <w:pStyle w:val="Header"/>
        <w:jc w:val="right"/>
        <w:rPr>
          <w:b/>
          <w:szCs w:val="26"/>
        </w:rPr>
      </w:pPr>
      <w:r w:rsidRPr="007A134B">
        <w:rPr>
          <w:b/>
          <w:szCs w:val="26"/>
        </w:rPr>
        <w:lastRenderedPageBreak/>
        <w:t>Attachment A</w:t>
      </w:r>
    </w:p>
    <w:p w:rsidR="0038602A" w:rsidRPr="007A134B" w:rsidRDefault="0038602A" w:rsidP="0038602A">
      <w:pPr>
        <w:jc w:val="center"/>
        <w:rPr>
          <w:szCs w:val="26"/>
        </w:rPr>
      </w:pPr>
    </w:p>
    <w:p w:rsidR="0038602A" w:rsidRPr="007A134B" w:rsidRDefault="0038602A" w:rsidP="0038602A">
      <w:pPr>
        <w:jc w:val="center"/>
        <w:rPr>
          <w:szCs w:val="26"/>
        </w:rPr>
      </w:pPr>
      <w:r w:rsidRPr="007A134B">
        <w:rPr>
          <w:szCs w:val="26"/>
        </w:rPr>
        <w:t>Manwalamink Sewer Company</w:t>
      </w:r>
    </w:p>
    <w:p w:rsidR="0038602A" w:rsidRPr="007A134B" w:rsidRDefault="0038602A" w:rsidP="0038602A">
      <w:pPr>
        <w:jc w:val="center"/>
        <w:rPr>
          <w:szCs w:val="26"/>
        </w:rPr>
      </w:pPr>
      <w:r w:rsidRPr="007A134B">
        <w:rPr>
          <w:szCs w:val="26"/>
        </w:rPr>
        <w:t>Docket No. R-2014-2419115</w:t>
      </w:r>
    </w:p>
    <w:p w:rsidR="0038602A" w:rsidRPr="007A134B" w:rsidRDefault="0038602A" w:rsidP="0038602A">
      <w:pPr>
        <w:jc w:val="center"/>
        <w:rPr>
          <w:szCs w:val="26"/>
        </w:rPr>
      </w:pPr>
      <w:r w:rsidRPr="007A134B">
        <w:rPr>
          <w:szCs w:val="26"/>
        </w:rPr>
        <w:t>Restructured Rates per Commission</w:t>
      </w:r>
    </w:p>
    <w:p w:rsidR="0038602A" w:rsidRPr="007A134B" w:rsidRDefault="0038602A" w:rsidP="0038602A">
      <w:pPr>
        <w:rPr>
          <w:szCs w:val="26"/>
        </w:rPr>
      </w:pPr>
    </w:p>
    <w:p w:rsidR="0038602A" w:rsidRPr="007A134B" w:rsidRDefault="0038602A" w:rsidP="0038602A">
      <w:pPr>
        <w:jc w:val="center"/>
        <w:rPr>
          <w:b/>
          <w:szCs w:val="26"/>
        </w:rPr>
      </w:pPr>
      <w:r w:rsidRPr="007A134B">
        <w:rPr>
          <w:b/>
          <w:szCs w:val="26"/>
        </w:rPr>
        <w:t>Flat Rate – (Non-Metered)</w:t>
      </w:r>
    </w:p>
    <w:p w:rsidR="001011BB" w:rsidRPr="007A134B" w:rsidRDefault="0038602A" w:rsidP="0038602A">
      <w:pPr>
        <w:rPr>
          <w:b/>
          <w:szCs w:val="26"/>
          <w:u w:val="single"/>
        </w:rPr>
      </w:pPr>
      <w:r w:rsidRPr="007A134B">
        <w:rPr>
          <w:b/>
          <w:szCs w:val="26"/>
          <w:u w:val="single"/>
        </w:rPr>
        <w:t>Customer Category</w:t>
      </w:r>
      <w:r w:rsidR="008E2604" w:rsidRPr="007A134B">
        <w:rPr>
          <w:b/>
          <w:szCs w:val="26"/>
        </w:rPr>
        <w:tab/>
      </w:r>
      <w:r w:rsidR="008E2604" w:rsidRPr="007A134B">
        <w:rPr>
          <w:b/>
          <w:szCs w:val="26"/>
        </w:rPr>
        <w:tab/>
      </w:r>
      <w:r w:rsidR="008E2604" w:rsidRPr="007A134B">
        <w:rPr>
          <w:b/>
          <w:szCs w:val="26"/>
        </w:rPr>
        <w:tab/>
      </w:r>
      <w:r w:rsidR="008E2604" w:rsidRPr="007A134B">
        <w:rPr>
          <w:b/>
          <w:szCs w:val="26"/>
        </w:rPr>
        <w:tab/>
      </w:r>
      <w:r w:rsidR="008E2604" w:rsidRPr="007A134B">
        <w:rPr>
          <w:b/>
          <w:szCs w:val="26"/>
          <w:u w:val="single"/>
        </w:rPr>
        <w:t>Monthly Rates</w:t>
      </w:r>
    </w:p>
    <w:p w:rsidR="0038602A" w:rsidRPr="007A134B" w:rsidRDefault="008E2604" w:rsidP="0038602A">
      <w:pPr>
        <w:rPr>
          <w:b/>
          <w:szCs w:val="26"/>
          <w:u w:val="single"/>
        </w:rPr>
      </w:pPr>
      <w:r w:rsidRPr="007A134B">
        <w:rPr>
          <w:b/>
          <w:szCs w:val="26"/>
        </w:rPr>
        <w:tab/>
      </w:r>
      <w:r w:rsidRPr="007A134B">
        <w:rPr>
          <w:b/>
          <w:szCs w:val="26"/>
        </w:rPr>
        <w:tab/>
      </w:r>
      <w:r w:rsidRPr="007A134B">
        <w:rPr>
          <w:b/>
          <w:szCs w:val="26"/>
        </w:rPr>
        <w:tab/>
      </w:r>
      <w:r w:rsidRPr="007A134B">
        <w:rPr>
          <w:b/>
          <w:szCs w:val="26"/>
        </w:rPr>
        <w:tab/>
      </w:r>
      <w:r w:rsidRPr="007A134B">
        <w:rPr>
          <w:b/>
          <w:szCs w:val="26"/>
        </w:rPr>
        <w:tab/>
      </w:r>
      <w:r w:rsidRPr="007A134B">
        <w:rPr>
          <w:b/>
          <w:szCs w:val="26"/>
        </w:rPr>
        <w:tab/>
      </w:r>
    </w:p>
    <w:p w:rsidR="00933CBD" w:rsidRPr="007A134B" w:rsidRDefault="0038602A" w:rsidP="008E2604">
      <w:pPr>
        <w:numPr>
          <w:ilvl w:val="0"/>
          <w:numId w:val="5"/>
        </w:numPr>
        <w:rPr>
          <w:szCs w:val="26"/>
        </w:rPr>
      </w:pPr>
      <w:r w:rsidRPr="007A134B">
        <w:rPr>
          <w:szCs w:val="26"/>
        </w:rPr>
        <w:t>Residential Users</w:t>
      </w:r>
      <w:r w:rsidRPr="007A134B">
        <w:rPr>
          <w:szCs w:val="26"/>
        </w:rPr>
        <w:tab/>
      </w:r>
      <w:r w:rsidR="008E2604" w:rsidRPr="007A134B">
        <w:rPr>
          <w:szCs w:val="26"/>
        </w:rPr>
        <w:tab/>
      </w:r>
      <w:r w:rsidR="008E2604" w:rsidRPr="007A134B">
        <w:rPr>
          <w:szCs w:val="26"/>
        </w:rPr>
        <w:tab/>
        <w:t xml:space="preserve">                         </w:t>
      </w:r>
      <w:r w:rsidR="00314560" w:rsidRPr="007A134B">
        <w:rPr>
          <w:szCs w:val="26"/>
        </w:rPr>
        <w:t xml:space="preserve">  $</w:t>
      </w:r>
      <w:r w:rsidR="008E2604" w:rsidRPr="007A134B">
        <w:rPr>
          <w:szCs w:val="26"/>
        </w:rPr>
        <w:t>44.80</w:t>
      </w:r>
    </w:p>
    <w:p w:rsidR="008E2604" w:rsidRPr="007A134B" w:rsidRDefault="00933CBD" w:rsidP="008E2604">
      <w:pPr>
        <w:numPr>
          <w:ilvl w:val="0"/>
          <w:numId w:val="5"/>
        </w:numPr>
        <w:rPr>
          <w:szCs w:val="26"/>
        </w:rPr>
      </w:pPr>
      <w:r w:rsidRPr="007A134B">
        <w:rPr>
          <w:szCs w:val="26"/>
        </w:rPr>
        <w:t>Commercial Users</w:t>
      </w:r>
      <w:r w:rsidRPr="007A134B">
        <w:rPr>
          <w:szCs w:val="26"/>
        </w:rPr>
        <w:tab/>
      </w:r>
      <w:r w:rsidRPr="007A134B">
        <w:rPr>
          <w:szCs w:val="26"/>
        </w:rPr>
        <w:tab/>
      </w:r>
      <w:r w:rsidRPr="007A134B">
        <w:rPr>
          <w:szCs w:val="26"/>
        </w:rPr>
        <w:tab/>
      </w:r>
      <w:r w:rsidRPr="007A134B">
        <w:rPr>
          <w:szCs w:val="26"/>
        </w:rPr>
        <w:tab/>
      </w:r>
      <w:r w:rsidR="0038602A" w:rsidRPr="007A134B">
        <w:rPr>
          <w:szCs w:val="26"/>
        </w:rPr>
        <w:tab/>
      </w:r>
      <w:r w:rsidR="0038602A" w:rsidRPr="007A134B">
        <w:rPr>
          <w:szCs w:val="26"/>
        </w:rPr>
        <w:tab/>
      </w:r>
      <w:r w:rsidR="0038602A" w:rsidRPr="007A134B">
        <w:rPr>
          <w:szCs w:val="26"/>
        </w:rPr>
        <w:tab/>
      </w:r>
      <w:r w:rsidR="008E2604" w:rsidRPr="007A134B">
        <w:rPr>
          <w:szCs w:val="26"/>
        </w:rPr>
        <w:tab/>
      </w:r>
      <w:r w:rsidRPr="007A134B">
        <w:rPr>
          <w:szCs w:val="26"/>
        </w:rPr>
        <w:tab/>
      </w:r>
      <w:r w:rsidR="008E2604" w:rsidRPr="007A134B">
        <w:rPr>
          <w:szCs w:val="26"/>
        </w:rPr>
        <w:tab/>
      </w:r>
    </w:p>
    <w:p w:rsidR="0038602A" w:rsidRPr="007A134B" w:rsidRDefault="0038602A" w:rsidP="008E2604">
      <w:pPr>
        <w:pStyle w:val="ListParagraph"/>
        <w:rPr>
          <w:rFonts w:ascii="Times New Roman" w:hAnsi="Times New Roman"/>
          <w:sz w:val="26"/>
          <w:szCs w:val="26"/>
        </w:rPr>
      </w:pPr>
      <w:r w:rsidRPr="007A134B">
        <w:rPr>
          <w:rFonts w:ascii="Times New Roman" w:hAnsi="Times New Roman"/>
          <w:sz w:val="26"/>
          <w:szCs w:val="26"/>
        </w:rPr>
        <w:tab/>
      </w:r>
    </w:p>
    <w:p w:rsidR="0038602A" w:rsidRPr="007A134B" w:rsidRDefault="0038602A" w:rsidP="0038602A">
      <w:pPr>
        <w:pStyle w:val="ListParagraph"/>
        <w:numPr>
          <w:ilvl w:val="0"/>
          <w:numId w:val="3"/>
        </w:numPr>
        <w:rPr>
          <w:rFonts w:ascii="Times New Roman" w:hAnsi="Times New Roman"/>
          <w:sz w:val="26"/>
          <w:szCs w:val="26"/>
        </w:rPr>
      </w:pPr>
      <w:r w:rsidRPr="007A134B">
        <w:rPr>
          <w:rFonts w:ascii="Times New Roman" w:hAnsi="Times New Roman"/>
          <w:sz w:val="26"/>
          <w:szCs w:val="26"/>
        </w:rPr>
        <w:t>Small Commercial Users</w:t>
      </w:r>
      <w:r w:rsidR="00933CBD" w:rsidRPr="007A134B">
        <w:rPr>
          <w:rFonts w:ascii="Times New Roman" w:hAnsi="Times New Roman"/>
          <w:sz w:val="26"/>
          <w:szCs w:val="26"/>
        </w:rPr>
        <w:tab/>
        <w:t xml:space="preserve">                                                </w:t>
      </w:r>
      <w:r w:rsidR="00314560" w:rsidRPr="007A134B">
        <w:rPr>
          <w:rFonts w:ascii="Times New Roman" w:hAnsi="Times New Roman"/>
          <w:sz w:val="26"/>
          <w:szCs w:val="26"/>
        </w:rPr>
        <w:t xml:space="preserve"> $</w:t>
      </w:r>
      <w:r w:rsidR="00933CBD" w:rsidRPr="007A134B">
        <w:rPr>
          <w:rFonts w:ascii="Times New Roman" w:hAnsi="Times New Roman"/>
          <w:sz w:val="26"/>
          <w:szCs w:val="26"/>
        </w:rPr>
        <w:t>58.00</w:t>
      </w:r>
      <w:r w:rsidR="00933CBD" w:rsidRPr="007A134B">
        <w:rPr>
          <w:rFonts w:ascii="Times New Roman" w:hAnsi="Times New Roman"/>
          <w:sz w:val="26"/>
          <w:szCs w:val="26"/>
        </w:rPr>
        <w:tab/>
      </w:r>
    </w:p>
    <w:p w:rsidR="0038602A" w:rsidRPr="007A134B" w:rsidRDefault="0038602A" w:rsidP="0038602A">
      <w:pPr>
        <w:pStyle w:val="ListParagraph"/>
        <w:numPr>
          <w:ilvl w:val="0"/>
          <w:numId w:val="3"/>
        </w:numPr>
        <w:rPr>
          <w:rFonts w:ascii="Times New Roman" w:hAnsi="Times New Roman"/>
          <w:sz w:val="26"/>
          <w:szCs w:val="26"/>
        </w:rPr>
      </w:pPr>
      <w:r w:rsidRPr="007A134B">
        <w:rPr>
          <w:rFonts w:ascii="Times New Roman" w:hAnsi="Times New Roman"/>
          <w:sz w:val="26"/>
          <w:szCs w:val="26"/>
        </w:rPr>
        <w:t>Large Commercial Users</w:t>
      </w:r>
    </w:p>
    <w:p w:rsidR="0038602A" w:rsidRPr="007A134B" w:rsidRDefault="0038602A" w:rsidP="0038602A">
      <w:pPr>
        <w:pStyle w:val="ListParagraph"/>
        <w:numPr>
          <w:ilvl w:val="0"/>
          <w:numId w:val="4"/>
        </w:numPr>
        <w:rPr>
          <w:rFonts w:ascii="Times New Roman" w:hAnsi="Times New Roman"/>
          <w:sz w:val="26"/>
          <w:szCs w:val="26"/>
        </w:rPr>
      </w:pPr>
      <w:r w:rsidRPr="007A134B">
        <w:rPr>
          <w:rFonts w:ascii="Times New Roman" w:hAnsi="Times New Roman"/>
          <w:sz w:val="26"/>
          <w:szCs w:val="26"/>
        </w:rPr>
        <w:t>Ridge Top Recreational Area Pool</w:t>
      </w:r>
      <w:r w:rsidRPr="007A134B">
        <w:rPr>
          <w:rFonts w:ascii="Times New Roman" w:hAnsi="Times New Roman"/>
          <w:sz w:val="26"/>
          <w:szCs w:val="26"/>
        </w:rPr>
        <w:tab/>
      </w:r>
      <w:r w:rsidRPr="007A134B">
        <w:rPr>
          <w:rFonts w:ascii="Times New Roman" w:hAnsi="Times New Roman"/>
          <w:sz w:val="26"/>
          <w:szCs w:val="26"/>
        </w:rPr>
        <w:tab/>
      </w:r>
      <w:r w:rsidR="00933CBD" w:rsidRPr="007A134B">
        <w:rPr>
          <w:rFonts w:ascii="Times New Roman" w:hAnsi="Times New Roman"/>
          <w:sz w:val="26"/>
          <w:szCs w:val="26"/>
        </w:rPr>
        <w:t xml:space="preserve">    </w:t>
      </w:r>
      <w:r w:rsidR="00314560" w:rsidRPr="007A134B">
        <w:rPr>
          <w:rFonts w:ascii="Times New Roman" w:hAnsi="Times New Roman"/>
          <w:sz w:val="26"/>
          <w:szCs w:val="26"/>
        </w:rPr>
        <w:t>$</w:t>
      </w:r>
      <w:r w:rsidR="008E2604" w:rsidRPr="007A134B">
        <w:rPr>
          <w:rFonts w:ascii="Times New Roman" w:hAnsi="Times New Roman"/>
          <w:sz w:val="26"/>
          <w:szCs w:val="26"/>
        </w:rPr>
        <w:t>1</w:t>
      </w:r>
      <w:r w:rsidRPr="007A134B">
        <w:rPr>
          <w:rFonts w:ascii="Times New Roman" w:hAnsi="Times New Roman"/>
          <w:sz w:val="26"/>
          <w:szCs w:val="26"/>
        </w:rPr>
        <w:t>24.29</w:t>
      </w:r>
    </w:p>
    <w:p w:rsidR="0038602A" w:rsidRPr="007A134B" w:rsidRDefault="0038602A" w:rsidP="0038602A">
      <w:pPr>
        <w:pStyle w:val="ListParagraph"/>
        <w:numPr>
          <w:ilvl w:val="0"/>
          <w:numId w:val="4"/>
        </w:numPr>
        <w:rPr>
          <w:rFonts w:ascii="Times New Roman" w:hAnsi="Times New Roman"/>
          <w:sz w:val="26"/>
          <w:szCs w:val="26"/>
        </w:rPr>
      </w:pPr>
      <w:r w:rsidRPr="007A134B">
        <w:rPr>
          <w:rFonts w:ascii="Times New Roman" w:hAnsi="Times New Roman"/>
          <w:sz w:val="26"/>
          <w:szCs w:val="26"/>
        </w:rPr>
        <w:t>River Village Recreational Area Pool</w:t>
      </w:r>
      <w:r w:rsidRPr="007A134B">
        <w:rPr>
          <w:rFonts w:ascii="Times New Roman" w:hAnsi="Times New Roman"/>
          <w:sz w:val="26"/>
          <w:szCs w:val="26"/>
        </w:rPr>
        <w:tab/>
      </w:r>
      <w:r w:rsidR="00933CBD" w:rsidRPr="007A134B">
        <w:rPr>
          <w:rFonts w:ascii="Times New Roman" w:hAnsi="Times New Roman"/>
          <w:sz w:val="26"/>
          <w:szCs w:val="26"/>
        </w:rPr>
        <w:t xml:space="preserve">    </w:t>
      </w:r>
      <w:r w:rsidR="00314560" w:rsidRPr="007A134B">
        <w:rPr>
          <w:rFonts w:ascii="Times New Roman" w:hAnsi="Times New Roman"/>
          <w:sz w:val="26"/>
          <w:szCs w:val="26"/>
        </w:rPr>
        <w:t>$</w:t>
      </w:r>
      <w:r w:rsidR="00933CBD" w:rsidRPr="007A134B">
        <w:rPr>
          <w:rFonts w:ascii="Times New Roman" w:hAnsi="Times New Roman"/>
          <w:sz w:val="26"/>
          <w:szCs w:val="26"/>
        </w:rPr>
        <w:t>1</w:t>
      </w:r>
      <w:r w:rsidRPr="007A134B">
        <w:rPr>
          <w:rFonts w:ascii="Times New Roman" w:hAnsi="Times New Roman"/>
          <w:sz w:val="26"/>
          <w:szCs w:val="26"/>
        </w:rPr>
        <w:t>24.29</w:t>
      </w:r>
    </w:p>
    <w:p w:rsidR="0038602A" w:rsidRPr="007A134B" w:rsidRDefault="0038602A" w:rsidP="0038602A">
      <w:pPr>
        <w:pStyle w:val="ListParagraph"/>
        <w:numPr>
          <w:ilvl w:val="0"/>
          <w:numId w:val="4"/>
        </w:numPr>
        <w:rPr>
          <w:rFonts w:ascii="Times New Roman" w:hAnsi="Times New Roman"/>
          <w:sz w:val="26"/>
          <w:szCs w:val="26"/>
        </w:rPr>
      </w:pPr>
      <w:r w:rsidRPr="007A134B">
        <w:rPr>
          <w:rFonts w:ascii="Times New Roman" w:hAnsi="Times New Roman"/>
          <w:sz w:val="26"/>
          <w:szCs w:val="26"/>
        </w:rPr>
        <w:t>Sun Mountain Recreational Area Pool</w:t>
      </w:r>
      <w:r w:rsidRPr="007A134B">
        <w:rPr>
          <w:rFonts w:ascii="Times New Roman" w:hAnsi="Times New Roman"/>
          <w:sz w:val="26"/>
          <w:szCs w:val="26"/>
        </w:rPr>
        <w:tab/>
      </w:r>
      <w:r w:rsidR="00933CBD" w:rsidRPr="007A134B">
        <w:rPr>
          <w:rFonts w:ascii="Times New Roman" w:hAnsi="Times New Roman"/>
          <w:sz w:val="26"/>
          <w:szCs w:val="26"/>
        </w:rPr>
        <w:t xml:space="preserve">    </w:t>
      </w:r>
      <w:r w:rsidR="00314560" w:rsidRPr="007A134B">
        <w:rPr>
          <w:rFonts w:ascii="Times New Roman" w:hAnsi="Times New Roman"/>
          <w:sz w:val="26"/>
          <w:szCs w:val="26"/>
        </w:rPr>
        <w:t>$</w:t>
      </w:r>
      <w:r w:rsidRPr="007A134B">
        <w:rPr>
          <w:rFonts w:ascii="Times New Roman" w:hAnsi="Times New Roman"/>
          <w:sz w:val="26"/>
          <w:szCs w:val="26"/>
        </w:rPr>
        <w:t>124.29</w:t>
      </w:r>
    </w:p>
    <w:p w:rsidR="0038602A" w:rsidRPr="007A134B" w:rsidRDefault="0038602A" w:rsidP="0038602A">
      <w:pPr>
        <w:pStyle w:val="ListParagraph"/>
        <w:numPr>
          <w:ilvl w:val="0"/>
          <w:numId w:val="4"/>
        </w:numPr>
        <w:rPr>
          <w:rFonts w:ascii="Times New Roman" w:hAnsi="Times New Roman"/>
          <w:sz w:val="26"/>
          <w:szCs w:val="26"/>
        </w:rPr>
      </w:pPr>
      <w:r w:rsidRPr="007A134B">
        <w:rPr>
          <w:rFonts w:ascii="Times New Roman" w:hAnsi="Times New Roman"/>
          <w:sz w:val="26"/>
          <w:szCs w:val="26"/>
        </w:rPr>
        <w:t>Shawnee Mountain Ski Area</w:t>
      </w:r>
      <w:r w:rsidRPr="007A134B">
        <w:rPr>
          <w:rFonts w:ascii="Times New Roman" w:hAnsi="Times New Roman"/>
          <w:sz w:val="26"/>
          <w:szCs w:val="26"/>
        </w:rPr>
        <w:tab/>
      </w:r>
      <w:r w:rsidRPr="007A134B">
        <w:rPr>
          <w:rFonts w:ascii="Times New Roman" w:hAnsi="Times New Roman"/>
          <w:sz w:val="26"/>
          <w:szCs w:val="26"/>
        </w:rPr>
        <w:tab/>
      </w:r>
      <w:r w:rsidR="00933CBD" w:rsidRPr="007A134B">
        <w:rPr>
          <w:rFonts w:ascii="Times New Roman" w:hAnsi="Times New Roman"/>
          <w:sz w:val="26"/>
          <w:szCs w:val="26"/>
        </w:rPr>
        <w:t xml:space="preserve">    </w:t>
      </w:r>
      <w:r w:rsidR="00314560" w:rsidRPr="007A134B">
        <w:rPr>
          <w:rFonts w:ascii="Times New Roman" w:hAnsi="Times New Roman"/>
          <w:sz w:val="26"/>
          <w:szCs w:val="26"/>
        </w:rPr>
        <w:t>$</w:t>
      </w:r>
      <w:r w:rsidRPr="007A134B">
        <w:rPr>
          <w:rFonts w:ascii="Times New Roman" w:hAnsi="Times New Roman"/>
          <w:sz w:val="26"/>
          <w:szCs w:val="26"/>
        </w:rPr>
        <w:t>426.12</w:t>
      </w:r>
    </w:p>
    <w:p w:rsidR="0038602A" w:rsidRPr="007A134B" w:rsidRDefault="0038602A" w:rsidP="0038602A">
      <w:pPr>
        <w:jc w:val="center"/>
        <w:rPr>
          <w:b/>
          <w:szCs w:val="26"/>
        </w:rPr>
      </w:pPr>
      <w:r w:rsidRPr="007A134B">
        <w:rPr>
          <w:b/>
          <w:szCs w:val="26"/>
        </w:rPr>
        <w:t>Metered Rates</w:t>
      </w:r>
    </w:p>
    <w:p w:rsidR="00933CBD" w:rsidRPr="007A134B" w:rsidRDefault="00933CBD" w:rsidP="0038602A">
      <w:pPr>
        <w:jc w:val="center"/>
        <w:rPr>
          <w:b/>
          <w:szCs w:val="26"/>
        </w:rPr>
      </w:pPr>
    </w:p>
    <w:p w:rsidR="0038602A" w:rsidRPr="007A134B" w:rsidRDefault="0038602A" w:rsidP="0038602A">
      <w:pPr>
        <w:rPr>
          <w:szCs w:val="26"/>
        </w:rPr>
      </w:pPr>
      <w:r w:rsidRPr="007A134B">
        <w:rPr>
          <w:b/>
          <w:szCs w:val="26"/>
          <w:u w:val="single"/>
        </w:rPr>
        <w:t>Service Charge</w:t>
      </w:r>
      <w:r w:rsidRPr="007A134B">
        <w:rPr>
          <w:b/>
          <w:szCs w:val="26"/>
        </w:rPr>
        <w:t>:</w:t>
      </w:r>
      <w:r w:rsidRPr="007A134B">
        <w:rPr>
          <w:szCs w:val="26"/>
        </w:rPr>
        <w:t xml:space="preserve"> </w:t>
      </w:r>
      <w:r w:rsidRPr="007A134B">
        <w:rPr>
          <w:szCs w:val="26"/>
        </w:rPr>
        <w:tab/>
        <w:t>Customer Category</w:t>
      </w:r>
      <w:r w:rsidRPr="007A134B">
        <w:rPr>
          <w:szCs w:val="26"/>
        </w:rPr>
        <w:tab/>
      </w:r>
      <w:r w:rsidRPr="007A134B">
        <w:rPr>
          <w:szCs w:val="26"/>
        </w:rPr>
        <w:tab/>
        <w:t>$16.92 per Month</w:t>
      </w:r>
    </w:p>
    <w:p w:rsidR="00933CBD" w:rsidRPr="007A134B" w:rsidRDefault="00933CBD" w:rsidP="0038602A">
      <w:pPr>
        <w:rPr>
          <w:szCs w:val="26"/>
        </w:rPr>
      </w:pPr>
    </w:p>
    <w:p w:rsidR="0038602A" w:rsidRPr="007A134B" w:rsidRDefault="0038602A" w:rsidP="0038602A">
      <w:pPr>
        <w:rPr>
          <w:b/>
          <w:szCs w:val="26"/>
          <w:u w:val="single"/>
        </w:rPr>
      </w:pPr>
      <w:r w:rsidRPr="007A134B">
        <w:rPr>
          <w:b/>
          <w:szCs w:val="26"/>
          <w:u w:val="single"/>
        </w:rPr>
        <w:t>Volume Charge</w:t>
      </w:r>
    </w:p>
    <w:p w:rsidR="00933CBD" w:rsidRPr="007A134B" w:rsidRDefault="00933CBD" w:rsidP="0038602A">
      <w:pPr>
        <w:rPr>
          <w:szCs w:val="26"/>
        </w:rPr>
      </w:pPr>
    </w:p>
    <w:p w:rsidR="0038602A" w:rsidRPr="007A134B" w:rsidRDefault="0038602A" w:rsidP="0038602A">
      <w:pPr>
        <w:rPr>
          <w:szCs w:val="26"/>
        </w:rPr>
      </w:pPr>
      <w:r w:rsidRPr="007A134B">
        <w:rPr>
          <w:szCs w:val="26"/>
        </w:rPr>
        <w:t>In addition to a monthly Service Charge, a volume charge will be added based on metered water usage as follows:</w:t>
      </w:r>
    </w:p>
    <w:p w:rsidR="0038602A" w:rsidRPr="007A134B" w:rsidRDefault="0038602A" w:rsidP="0038602A">
      <w:pPr>
        <w:rPr>
          <w:szCs w:val="26"/>
        </w:rPr>
      </w:pPr>
      <w:r w:rsidRPr="007A134B">
        <w:rPr>
          <w:szCs w:val="26"/>
        </w:rPr>
        <w:tab/>
        <w:t>For the First 10,000 gallons per month</w:t>
      </w:r>
      <w:r w:rsidRPr="007A134B">
        <w:rPr>
          <w:szCs w:val="26"/>
        </w:rPr>
        <w:tab/>
      </w:r>
      <w:r w:rsidR="001011BB" w:rsidRPr="007A134B">
        <w:rPr>
          <w:szCs w:val="26"/>
        </w:rPr>
        <w:t xml:space="preserve">            </w:t>
      </w:r>
      <w:r w:rsidRPr="007A134B">
        <w:rPr>
          <w:szCs w:val="26"/>
        </w:rPr>
        <w:t>$6.59 per 1,000 gallons</w:t>
      </w:r>
    </w:p>
    <w:p w:rsidR="0038602A" w:rsidRPr="007A134B" w:rsidRDefault="0038602A" w:rsidP="0038602A">
      <w:pPr>
        <w:rPr>
          <w:szCs w:val="26"/>
        </w:rPr>
      </w:pPr>
      <w:r w:rsidRPr="007A134B">
        <w:rPr>
          <w:szCs w:val="26"/>
        </w:rPr>
        <w:tab/>
        <w:t>For All</w:t>
      </w:r>
      <w:r w:rsidR="001011BB" w:rsidRPr="007A134B">
        <w:rPr>
          <w:szCs w:val="26"/>
        </w:rPr>
        <w:t xml:space="preserve"> Over 10,000 gallons per month</w:t>
      </w:r>
      <w:r w:rsidR="001011BB" w:rsidRPr="007A134B">
        <w:rPr>
          <w:szCs w:val="26"/>
        </w:rPr>
        <w:tab/>
        <w:t xml:space="preserve">            </w:t>
      </w:r>
      <w:r w:rsidRPr="007A134B">
        <w:rPr>
          <w:szCs w:val="26"/>
        </w:rPr>
        <w:t>$2.53 per 1,000 gallons</w:t>
      </w:r>
    </w:p>
    <w:p w:rsidR="0038602A" w:rsidRPr="007A134B" w:rsidRDefault="0038602A" w:rsidP="0038602A">
      <w:pPr>
        <w:rPr>
          <w:szCs w:val="26"/>
        </w:rPr>
      </w:pPr>
    </w:p>
    <w:p w:rsidR="0038602A" w:rsidRPr="007A134B" w:rsidRDefault="0038602A" w:rsidP="0038602A">
      <w:pPr>
        <w:rPr>
          <w:szCs w:val="26"/>
        </w:rPr>
      </w:pPr>
      <w:r w:rsidRPr="007A134B">
        <w:rPr>
          <w:szCs w:val="26"/>
        </w:rPr>
        <w:t>Provisions for Multiple Unit Billing remain unchanged.</w:t>
      </w:r>
    </w:p>
    <w:p w:rsidR="009768C0" w:rsidRDefault="009768C0">
      <w:pPr>
        <w:tabs>
          <w:tab w:val="left" w:pos="4320"/>
        </w:tabs>
        <w:rPr>
          <w:szCs w:val="26"/>
        </w:rPr>
      </w:pPr>
    </w:p>
    <w:p w:rsidR="009768C0" w:rsidRDefault="009768C0">
      <w:pPr>
        <w:rPr>
          <w:szCs w:val="26"/>
        </w:rPr>
      </w:pPr>
      <w:r>
        <w:rPr>
          <w:szCs w:val="26"/>
        </w:rPr>
        <w:br w:type="page"/>
      </w:r>
    </w:p>
    <w:p w:rsidR="009768C0" w:rsidRPr="009768C0" w:rsidRDefault="009768C0" w:rsidP="009768C0">
      <w:pPr>
        <w:jc w:val="center"/>
        <w:rPr>
          <w:rFonts w:asciiTheme="minorHAnsi" w:eastAsiaTheme="minorHAnsi" w:hAnsiTheme="minorHAnsi" w:cstheme="minorBidi"/>
          <w:b/>
          <w:color w:val="auto"/>
          <w:sz w:val="22"/>
          <w:szCs w:val="22"/>
        </w:rPr>
      </w:pPr>
      <w:r w:rsidRPr="009768C0">
        <w:rPr>
          <w:rFonts w:asciiTheme="minorHAnsi" w:eastAsiaTheme="minorHAnsi" w:hAnsiTheme="minorHAnsi" w:cstheme="minorBidi"/>
          <w:b/>
          <w:color w:val="auto"/>
          <w:sz w:val="22"/>
          <w:szCs w:val="22"/>
        </w:rPr>
        <w:lastRenderedPageBreak/>
        <w:t>Appendix A</w:t>
      </w:r>
    </w:p>
    <w:p w:rsidR="009768C0" w:rsidRPr="009768C0" w:rsidRDefault="009768C0" w:rsidP="009768C0">
      <w:pPr>
        <w:jc w:val="center"/>
        <w:rPr>
          <w:rFonts w:asciiTheme="minorHAnsi" w:eastAsiaTheme="minorHAnsi" w:hAnsiTheme="minorHAnsi" w:cstheme="minorBidi"/>
          <w:b/>
          <w:color w:val="auto"/>
          <w:sz w:val="22"/>
          <w:szCs w:val="22"/>
        </w:rPr>
      </w:pPr>
      <w:r w:rsidRPr="009768C0">
        <w:rPr>
          <w:rFonts w:asciiTheme="minorHAnsi" w:eastAsiaTheme="minorHAnsi" w:hAnsiTheme="minorHAnsi" w:cstheme="minorBidi"/>
          <w:b/>
          <w:color w:val="auto"/>
          <w:sz w:val="22"/>
          <w:szCs w:val="22"/>
        </w:rPr>
        <w:t>R-2014-2419115</w:t>
      </w:r>
    </w:p>
    <w:p w:rsidR="009768C0" w:rsidRPr="009768C0" w:rsidRDefault="009768C0" w:rsidP="009768C0">
      <w:pPr>
        <w:rPr>
          <w:rFonts w:asciiTheme="minorHAnsi" w:eastAsiaTheme="minorHAnsi" w:hAnsiTheme="minorHAnsi" w:cstheme="minorBidi"/>
          <w:b/>
          <w:color w:val="auto"/>
          <w:sz w:val="22"/>
          <w:szCs w:val="22"/>
        </w:rPr>
      </w:pPr>
    </w:p>
    <w:p w:rsidR="009768C0" w:rsidRPr="009768C0" w:rsidRDefault="009768C0" w:rsidP="009768C0">
      <w:pPr>
        <w:jc w:val="center"/>
        <w:rPr>
          <w:rFonts w:asciiTheme="minorHAnsi" w:eastAsiaTheme="minorHAnsi" w:hAnsiTheme="minorHAnsi" w:cstheme="minorBidi"/>
          <w:b/>
          <w:color w:val="auto"/>
          <w:sz w:val="22"/>
          <w:szCs w:val="22"/>
        </w:rPr>
      </w:pPr>
      <w:proofErr w:type="spellStart"/>
      <w:r w:rsidRPr="009768C0">
        <w:rPr>
          <w:rFonts w:asciiTheme="minorHAnsi" w:eastAsiaTheme="minorHAnsi" w:hAnsiTheme="minorHAnsi" w:cstheme="minorBidi"/>
          <w:b/>
          <w:color w:val="auto"/>
          <w:sz w:val="22"/>
          <w:szCs w:val="22"/>
        </w:rPr>
        <w:t>Manwalamink</w:t>
      </w:r>
      <w:proofErr w:type="spellEnd"/>
      <w:r w:rsidRPr="009768C0">
        <w:rPr>
          <w:rFonts w:asciiTheme="minorHAnsi" w:eastAsiaTheme="minorHAnsi" w:hAnsiTheme="minorHAnsi" w:cstheme="minorBidi"/>
          <w:b/>
          <w:color w:val="auto"/>
          <w:sz w:val="22"/>
          <w:szCs w:val="22"/>
        </w:rPr>
        <w:t xml:space="preserve"> Sewer Company</w:t>
      </w:r>
    </w:p>
    <w:p w:rsidR="009768C0" w:rsidRPr="009768C0" w:rsidRDefault="009768C0" w:rsidP="009768C0">
      <w:pPr>
        <w:jc w:val="center"/>
        <w:rPr>
          <w:rFonts w:asciiTheme="minorHAnsi" w:eastAsiaTheme="minorHAnsi" w:hAnsiTheme="minorHAnsi" w:cstheme="minorBidi"/>
          <w:b/>
          <w:color w:val="auto"/>
          <w:sz w:val="22"/>
          <w:szCs w:val="22"/>
        </w:rPr>
      </w:pPr>
      <w:r w:rsidRPr="009768C0">
        <w:rPr>
          <w:rFonts w:asciiTheme="minorHAnsi" w:eastAsiaTheme="minorHAnsi" w:hAnsiTheme="minorHAnsi" w:cstheme="minorBidi"/>
          <w:b/>
          <w:color w:val="auto"/>
          <w:sz w:val="22"/>
          <w:szCs w:val="22"/>
        </w:rPr>
        <w:t>Commission Adjustments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4680"/>
        <w:gridCol w:w="1350"/>
        <w:gridCol w:w="1404"/>
        <w:gridCol w:w="1404"/>
      </w:tblGrid>
      <w:tr w:rsidR="009768C0" w:rsidRPr="009768C0" w:rsidTr="006503A2">
        <w:trPr>
          <w:trHeight w:val="68"/>
        </w:trPr>
        <w:tc>
          <w:tcPr>
            <w:tcW w:w="9576" w:type="dxa"/>
            <w:gridSpan w:val="5"/>
          </w:tcPr>
          <w:p w:rsidR="009768C0" w:rsidRPr="009768C0" w:rsidRDefault="009768C0" w:rsidP="009768C0">
            <w:pPr>
              <w:rPr>
                <w:b/>
                <w:color w:val="auto"/>
                <w:sz w:val="24"/>
                <w:szCs w:val="24"/>
                <w:u w:val="single"/>
              </w:rPr>
            </w:pPr>
            <w:r w:rsidRPr="009768C0">
              <w:rPr>
                <w:b/>
                <w:color w:val="auto"/>
                <w:sz w:val="24"/>
                <w:szCs w:val="24"/>
                <w:u w:val="single"/>
              </w:rPr>
              <w:t>Revenue Adjustments</w:t>
            </w:r>
          </w:p>
        </w:tc>
      </w:tr>
      <w:tr w:rsidR="009768C0" w:rsidRPr="009768C0" w:rsidTr="006503A2">
        <w:tc>
          <w:tcPr>
            <w:tcW w:w="9576" w:type="dxa"/>
            <w:gridSpan w:val="5"/>
          </w:tcPr>
          <w:p w:rsidR="009768C0" w:rsidRPr="009768C0" w:rsidRDefault="009768C0" w:rsidP="009768C0">
            <w:pPr>
              <w:jc w:val="both"/>
              <w:rPr>
                <w:color w:val="auto"/>
                <w:sz w:val="22"/>
              </w:rPr>
            </w:pPr>
            <w:r w:rsidRPr="009768C0">
              <w:rPr>
                <w:color w:val="auto"/>
                <w:sz w:val="22"/>
              </w:rPr>
              <w:t>The Company lost customers during the test year. The bill analysis however, uses the actual number of bills sent during the test year.  This approach overstates the revenue because the company will receive no revenue for the customers lost to the system.  An adjustment is made to remove revenue for customers who left the system during the test year assuming customers left mid-year on average.</w:t>
            </w:r>
          </w:p>
        </w:tc>
      </w:tr>
      <w:tr w:rsidR="009768C0" w:rsidRPr="009768C0" w:rsidTr="006503A2">
        <w:tc>
          <w:tcPr>
            <w:tcW w:w="9576" w:type="dxa"/>
            <w:gridSpan w:val="5"/>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b/>
                <w:color w:val="auto"/>
                <w:sz w:val="22"/>
              </w:rPr>
            </w:pPr>
            <w:r w:rsidRPr="009768C0">
              <w:rPr>
                <w:b/>
                <w:color w:val="auto"/>
                <w:sz w:val="22"/>
              </w:rPr>
              <w:t>Residential</w:t>
            </w:r>
          </w:p>
        </w:tc>
        <w:tc>
          <w:tcPr>
            <w:tcW w:w="1404" w:type="dxa"/>
          </w:tcPr>
          <w:p w:rsidR="009768C0" w:rsidRPr="009768C0" w:rsidRDefault="009768C0" w:rsidP="009768C0">
            <w:pP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4680" w:type="dxa"/>
          </w:tcPr>
          <w:p w:rsidR="009768C0" w:rsidRPr="009768C0" w:rsidRDefault="009768C0" w:rsidP="009768C0">
            <w:pPr>
              <w:rPr>
                <w:color w:val="auto"/>
                <w:sz w:val="22"/>
              </w:rPr>
            </w:pPr>
            <w:r w:rsidRPr="009768C0">
              <w:rPr>
                <w:color w:val="auto"/>
                <w:sz w:val="22"/>
              </w:rPr>
              <w:t xml:space="preserve">   Number of customers end of test year</w:t>
            </w:r>
          </w:p>
        </w:tc>
        <w:tc>
          <w:tcPr>
            <w:tcW w:w="1350" w:type="dxa"/>
          </w:tcPr>
          <w:p w:rsidR="009768C0" w:rsidRPr="009768C0" w:rsidRDefault="009768C0" w:rsidP="009768C0">
            <w:pPr>
              <w:jc w:val="center"/>
              <w:rPr>
                <w:color w:val="auto"/>
                <w:sz w:val="22"/>
              </w:rPr>
            </w:pPr>
            <w:r w:rsidRPr="009768C0">
              <w:rPr>
                <w:color w:val="auto"/>
                <w:sz w:val="22"/>
              </w:rPr>
              <w:t>1,123.0</w:t>
            </w:r>
          </w:p>
        </w:tc>
        <w:tc>
          <w:tcPr>
            <w:tcW w:w="1404" w:type="dxa"/>
          </w:tcPr>
          <w:p w:rsidR="009768C0" w:rsidRPr="009768C0" w:rsidRDefault="009768C0" w:rsidP="009768C0">
            <w:pP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4680" w:type="dxa"/>
          </w:tcPr>
          <w:p w:rsidR="009768C0" w:rsidRPr="009768C0" w:rsidRDefault="009768C0" w:rsidP="009768C0">
            <w:pPr>
              <w:rPr>
                <w:color w:val="auto"/>
                <w:sz w:val="22"/>
              </w:rPr>
            </w:pPr>
            <w:r w:rsidRPr="009768C0">
              <w:rPr>
                <w:color w:val="auto"/>
                <w:sz w:val="22"/>
              </w:rPr>
              <w:t xml:space="preserve">   Number of customers beginning  of test year</w:t>
            </w:r>
          </w:p>
        </w:tc>
        <w:tc>
          <w:tcPr>
            <w:tcW w:w="1350" w:type="dxa"/>
          </w:tcPr>
          <w:p w:rsidR="009768C0" w:rsidRPr="009768C0" w:rsidRDefault="009768C0" w:rsidP="009768C0">
            <w:pPr>
              <w:jc w:val="center"/>
              <w:rPr>
                <w:color w:val="auto"/>
                <w:sz w:val="22"/>
                <w:u w:val="double"/>
              </w:rPr>
            </w:pPr>
            <w:r w:rsidRPr="009768C0">
              <w:rPr>
                <w:color w:val="auto"/>
                <w:sz w:val="22"/>
                <w:u w:val="double"/>
              </w:rPr>
              <w:t>1,126.0</w:t>
            </w:r>
          </w:p>
        </w:tc>
        <w:tc>
          <w:tcPr>
            <w:tcW w:w="1404" w:type="dxa"/>
          </w:tcPr>
          <w:p w:rsidR="009768C0" w:rsidRPr="009768C0" w:rsidRDefault="009768C0" w:rsidP="009768C0">
            <w:pP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4680" w:type="dxa"/>
          </w:tcPr>
          <w:p w:rsidR="009768C0" w:rsidRPr="009768C0" w:rsidRDefault="009768C0" w:rsidP="009768C0">
            <w:pPr>
              <w:rPr>
                <w:color w:val="auto"/>
                <w:sz w:val="22"/>
              </w:rPr>
            </w:pPr>
            <w:r w:rsidRPr="009768C0">
              <w:rPr>
                <w:color w:val="auto"/>
                <w:sz w:val="22"/>
              </w:rPr>
              <w:t xml:space="preserve">   Average Number of  Customers</w:t>
            </w:r>
          </w:p>
        </w:tc>
        <w:tc>
          <w:tcPr>
            <w:tcW w:w="1350" w:type="dxa"/>
          </w:tcPr>
          <w:p w:rsidR="009768C0" w:rsidRPr="009768C0" w:rsidRDefault="009768C0" w:rsidP="009768C0">
            <w:pPr>
              <w:rPr>
                <w:color w:val="auto"/>
                <w:sz w:val="22"/>
              </w:rPr>
            </w:pPr>
            <w:r w:rsidRPr="009768C0">
              <w:rPr>
                <w:color w:val="auto"/>
                <w:sz w:val="22"/>
              </w:rPr>
              <w:t xml:space="preserve">      1124.5</w:t>
            </w:r>
          </w:p>
        </w:tc>
        <w:tc>
          <w:tcPr>
            <w:tcW w:w="1404" w:type="dxa"/>
          </w:tcPr>
          <w:p w:rsidR="009768C0" w:rsidRPr="009768C0" w:rsidRDefault="009768C0" w:rsidP="009768C0">
            <w:pP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4680" w:type="dxa"/>
          </w:tcPr>
          <w:p w:rsidR="009768C0" w:rsidRPr="009768C0" w:rsidRDefault="009768C0" w:rsidP="009768C0">
            <w:pPr>
              <w:rPr>
                <w:color w:val="auto"/>
                <w:sz w:val="22"/>
              </w:rPr>
            </w:pPr>
          </w:p>
        </w:tc>
        <w:tc>
          <w:tcPr>
            <w:tcW w:w="1350" w:type="dxa"/>
          </w:tcPr>
          <w:p w:rsidR="009768C0" w:rsidRPr="009768C0" w:rsidRDefault="009768C0" w:rsidP="009768C0">
            <w:pPr>
              <w:rPr>
                <w:color w:val="auto"/>
                <w:sz w:val="22"/>
              </w:rPr>
            </w:pPr>
          </w:p>
        </w:tc>
        <w:tc>
          <w:tcPr>
            <w:tcW w:w="1404" w:type="dxa"/>
          </w:tcPr>
          <w:p w:rsidR="009768C0" w:rsidRPr="009768C0" w:rsidRDefault="009768C0" w:rsidP="009768C0">
            <w:pP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4680" w:type="dxa"/>
          </w:tcPr>
          <w:p w:rsidR="009768C0" w:rsidRPr="009768C0" w:rsidRDefault="009768C0" w:rsidP="009768C0">
            <w:pPr>
              <w:rPr>
                <w:color w:val="auto"/>
                <w:sz w:val="22"/>
              </w:rPr>
            </w:pPr>
            <w:r w:rsidRPr="009768C0">
              <w:rPr>
                <w:color w:val="auto"/>
                <w:sz w:val="22"/>
              </w:rPr>
              <w:t xml:space="preserve">  Test Year Metered Residential Revenue</w:t>
            </w:r>
          </w:p>
        </w:tc>
        <w:tc>
          <w:tcPr>
            <w:tcW w:w="1350" w:type="dxa"/>
          </w:tcPr>
          <w:p w:rsidR="009768C0" w:rsidRPr="009768C0" w:rsidRDefault="009768C0" w:rsidP="009768C0">
            <w:pPr>
              <w:jc w:val="center"/>
              <w:rPr>
                <w:color w:val="auto"/>
                <w:sz w:val="22"/>
              </w:rPr>
            </w:pPr>
            <w:r w:rsidRPr="009768C0">
              <w:rPr>
                <w:color w:val="auto"/>
                <w:sz w:val="22"/>
              </w:rPr>
              <w:t>$509,180</w:t>
            </w:r>
          </w:p>
        </w:tc>
        <w:tc>
          <w:tcPr>
            <w:tcW w:w="1404" w:type="dxa"/>
          </w:tcPr>
          <w:p w:rsidR="009768C0" w:rsidRPr="009768C0" w:rsidRDefault="009768C0" w:rsidP="009768C0">
            <w:pP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4680" w:type="dxa"/>
          </w:tcPr>
          <w:p w:rsidR="009768C0" w:rsidRPr="009768C0" w:rsidRDefault="009768C0" w:rsidP="009768C0">
            <w:pPr>
              <w:rPr>
                <w:color w:val="auto"/>
                <w:sz w:val="22"/>
              </w:rPr>
            </w:pPr>
            <w:r w:rsidRPr="009768C0">
              <w:rPr>
                <w:color w:val="auto"/>
                <w:sz w:val="22"/>
              </w:rPr>
              <w:t xml:space="preserve">   Average Residential Bill   $509,180 / 1,124.5</w:t>
            </w:r>
          </w:p>
        </w:tc>
        <w:tc>
          <w:tcPr>
            <w:tcW w:w="1350" w:type="dxa"/>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r w:rsidRPr="009768C0">
              <w:rPr>
                <w:color w:val="auto"/>
                <w:sz w:val="22"/>
              </w:rPr>
              <w:t>$452.81</w:t>
            </w: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4680" w:type="dxa"/>
          </w:tcPr>
          <w:p w:rsidR="009768C0" w:rsidRPr="009768C0" w:rsidRDefault="009768C0" w:rsidP="009768C0">
            <w:pPr>
              <w:rPr>
                <w:color w:val="auto"/>
                <w:sz w:val="22"/>
              </w:rPr>
            </w:pPr>
          </w:p>
        </w:tc>
        <w:tc>
          <w:tcPr>
            <w:tcW w:w="1350" w:type="dxa"/>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r w:rsidRPr="009768C0">
              <w:rPr>
                <w:color w:val="auto"/>
                <w:sz w:val="22"/>
              </w:rPr>
              <w:t xml:space="preserve">   Number of  Customers who left system during test year</w:t>
            </w:r>
          </w:p>
        </w:tc>
        <w:tc>
          <w:tcPr>
            <w:tcW w:w="1404" w:type="dxa"/>
          </w:tcPr>
          <w:p w:rsidR="009768C0" w:rsidRPr="009768C0" w:rsidRDefault="009768C0" w:rsidP="009768C0">
            <w:pPr>
              <w:jc w:val="center"/>
              <w:rPr>
                <w:color w:val="auto"/>
                <w:sz w:val="22"/>
              </w:rPr>
            </w:pPr>
            <w:r w:rsidRPr="009768C0">
              <w:rPr>
                <w:color w:val="auto"/>
                <w:sz w:val="22"/>
              </w:rPr>
              <w:t xml:space="preserve">       (3)</w:t>
            </w: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4680" w:type="dxa"/>
          </w:tcPr>
          <w:p w:rsidR="009768C0" w:rsidRPr="009768C0" w:rsidRDefault="009768C0" w:rsidP="009768C0">
            <w:pPr>
              <w:rPr>
                <w:color w:val="auto"/>
                <w:sz w:val="22"/>
              </w:rPr>
            </w:pPr>
          </w:p>
        </w:tc>
        <w:tc>
          <w:tcPr>
            <w:tcW w:w="1350" w:type="dxa"/>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r w:rsidRPr="009768C0">
              <w:rPr>
                <w:color w:val="auto"/>
                <w:sz w:val="22"/>
              </w:rPr>
              <w:t xml:space="preserve">   Revenue adjustment( assuming customers left mid-year)</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7434" w:type="dxa"/>
            <w:gridSpan w:val="3"/>
          </w:tcPr>
          <w:p w:rsidR="009768C0" w:rsidRPr="009768C0" w:rsidRDefault="009768C0" w:rsidP="009768C0">
            <w:pPr>
              <w:rPr>
                <w:color w:val="auto"/>
                <w:sz w:val="22"/>
              </w:rPr>
            </w:pPr>
            <w:r w:rsidRPr="009768C0">
              <w:rPr>
                <w:color w:val="auto"/>
                <w:sz w:val="22"/>
              </w:rPr>
              <w:t xml:space="preserve">                                   $452.81   X    (3)     X   0.5 Year                               =      </w:t>
            </w:r>
          </w:p>
        </w:tc>
        <w:tc>
          <w:tcPr>
            <w:tcW w:w="1404" w:type="dxa"/>
          </w:tcPr>
          <w:p w:rsidR="009768C0" w:rsidRPr="009768C0" w:rsidRDefault="009768C0" w:rsidP="009768C0">
            <w:pPr>
              <w:jc w:val="right"/>
              <w:rPr>
                <w:color w:val="auto"/>
                <w:sz w:val="22"/>
              </w:rPr>
            </w:pPr>
            <w:r w:rsidRPr="009768C0">
              <w:rPr>
                <w:color w:val="auto"/>
                <w:sz w:val="22"/>
              </w:rPr>
              <w:t>($679.22)</w:t>
            </w: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b/>
                <w:color w:val="auto"/>
                <w:sz w:val="22"/>
              </w:rPr>
            </w:pPr>
            <w:r w:rsidRPr="009768C0">
              <w:rPr>
                <w:b/>
                <w:color w:val="auto"/>
                <w:sz w:val="22"/>
              </w:rPr>
              <w:t>Commercial</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r w:rsidRPr="009768C0">
              <w:rPr>
                <w:color w:val="auto"/>
                <w:sz w:val="22"/>
              </w:rPr>
              <w:t xml:space="preserve">   Number of customers end of test year</w:t>
            </w:r>
          </w:p>
        </w:tc>
        <w:tc>
          <w:tcPr>
            <w:tcW w:w="1404" w:type="dxa"/>
          </w:tcPr>
          <w:p w:rsidR="009768C0" w:rsidRPr="009768C0" w:rsidRDefault="009768C0" w:rsidP="009768C0">
            <w:pPr>
              <w:jc w:val="center"/>
              <w:rPr>
                <w:color w:val="auto"/>
                <w:sz w:val="22"/>
              </w:rPr>
            </w:pPr>
            <w:r w:rsidRPr="009768C0">
              <w:rPr>
                <w:color w:val="auto"/>
                <w:sz w:val="22"/>
              </w:rPr>
              <w:t>43</w:t>
            </w: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r w:rsidRPr="009768C0">
              <w:rPr>
                <w:color w:val="auto"/>
                <w:sz w:val="22"/>
              </w:rPr>
              <w:t xml:space="preserve">   Number of customers beginning of test year</w:t>
            </w:r>
          </w:p>
        </w:tc>
        <w:tc>
          <w:tcPr>
            <w:tcW w:w="1404" w:type="dxa"/>
          </w:tcPr>
          <w:p w:rsidR="009768C0" w:rsidRPr="009768C0" w:rsidRDefault="009768C0" w:rsidP="009768C0">
            <w:pPr>
              <w:jc w:val="center"/>
              <w:rPr>
                <w:color w:val="auto"/>
                <w:sz w:val="22"/>
                <w:u w:val="double"/>
              </w:rPr>
            </w:pPr>
            <w:r w:rsidRPr="009768C0">
              <w:rPr>
                <w:color w:val="auto"/>
                <w:sz w:val="22"/>
                <w:u w:val="double"/>
              </w:rPr>
              <w:t>45</w:t>
            </w: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r w:rsidRPr="009768C0">
              <w:rPr>
                <w:color w:val="auto"/>
                <w:sz w:val="22"/>
              </w:rPr>
              <w:t xml:space="preserve">    Average number of customers</w:t>
            </w:r>
          </w:p>
        </w:tc>
        <w:tc>
          <w:tcPr>
            <w:tcW w:w="1404" w:type="dxa"/>
          </w:tcPr>
          <w:p w:rsidR="009768C0" w:rsidRPr="009768C0" w:rsidRDefault="009768C0" w:rsidP="009768C0">
            <w:pPr>
              <w:jc w:val="center"/>
              <w:rPr>
                <w:color w:val="auto"/>
                <w:sz w:val="22"/>
              </w:rPr>
            </w:pPr>
            <w:r w:rsidRPr="009768C0">
              <w:rPr>
                <w:color w:val="auto"/>
                <w:sz w:val="22"/>
              </w:rPr>
              <w:t>44</w:t>
            </w:r>
          </w:p>
        </w:tc>
        <w:tc>
          <w:tcPr>
            <w:tcW w:w="1404" w:type="dxa"/>
          </w:tcPr>
          <w:p w:rsidR="009768C0" w:rsidRPr="009768C0" w:rsidRDefault="009768C0" w:rsidP="009768C0">
            <w:pPr>
              <w:rPr>
                <w:color w:val="auto"/>
                <w:sz w:val="22"/>
              </w:rPr>
            </w:pPr>
          </w:p>
        </w:tc>
      </w:tr>
      <w:tr w:rsidR="009768C0" w:rsidRPr="009768C0" w:rsidTr="006503A2">
        <w:trPr>
          <w:trHeight w:val="342"/>
        </w:trPr>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7434" w:type="dxa"/>
            <w:gridSpan w:val="3"/>
          </w:tcPr>
          <w:p w:rsidR="009768C0" w:rsidRPr="009768C0" w:rsidRDefault="009768C0" w:rsidP="009768C0">
            <w:pPr>
              <w:rPr>
                <w:color w:val="auto"/>
                <w:sz w:val="22"/>
              </w:rPr>
            </w:pPr>
            <w:r w:rsidRPr="009768C0">
              <w:rPr>
                <w:color w:val="auto"/>
                <w:sz w:val="22"/>
              </w:rPr>
              <w:t xml:space="preserve">   Test year metered  commercial revenue                                                 $54,315</w:t>
            </w: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7434" w:type="dxa"/>
            <w:gridSpan w:val="3"/>
          </w:tcPr>
          <w:p w:rsidR="009768C0" w:rsidRPr="009768C0" w:rsidRDefault="009768C0" w:rsidP="009768C0">
            <w:pPr>
              <w:rPr>
                <w:color w:val="auto"/>
                <w:sz w:val="22"/>
              </w:rPr>
            </w:pPr>
            <w:r w:rsidRPr="009768C0">
              <w:rPr>
                <w:color w:val="auto"/>
                <w:sz w:val="22"/>
              </w:rPr>
              <w:t xml:space="preserve">    Average commercial bill    $54,315 / 44      =                                          $1,234.43</w:t>
            </w: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r w:rsidRPr="009768C0">
              <w:rPr>
                <w:color w:val="auto"/>
                <w:sz w:val="22"/>
              </w:rPr>
              <w:t xml:space="preserve">   Number of customers who left system during test year</w:t>
            </w:r>
          </w:p>
        </w:tc>
        <w:tc>
          <w:tcPr>
            <w:tcW w:w="1404" w:type="dxa"/>
          </w:tcPr>
          <w:p w:rsidR="009768C0" w:rsidRPr="009768C0" w:rsidRDefault="009768C0" w:rsidP="009768C0">
            <w:pPr>
              <w:jc w:val="center"/>
              <w:rPr>
                <w:color w:val="auto"/>
                <w:sz w:val="22"/>
              </w:rPr>
            </w:pPr>
            <w:r w:rsidRPr="009768C0">
              <w:rPr>
                <w:color w:val="auto"/>
                <w:sz w:val="22"/>
              </w:rPr>
              <w:t>(2)</w:t>
            </w: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r w:rsidRPr="009768C0">
              <w:rPr>
                <w:color w:val="auto"/>
                <w:sz w:val="22"/>
              </w:rPr>
              <w:t xml:space="preserve">   Revenue adjustment(assuming customers left mid-year)</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7434" w:type="dxa"/>
            <w:gridSpan w:val="3"/>
          </w:tcPr>
          <w:p w:rsidR="009768C0" w:rsidRPr="009768C0" w:rsidRDefault="009768C0" w:rsidP="009768C0">
            <w:pPr>
              <w:rPr>
                <w:color w:val="auto"/>
                <w:sz w:val="22"/>
              </w:rPr>
            </w:pPr>
            <w:r w:rsidRPr="009768C0">
              <w:rPr>
                <w:color w:val="auto"/>
                <w:sz w:val="22"/>
              </w:rPr>
              <w:t xml:space="preserve">                          $1,234.43     X    (2)     X     0.5 Year         </w:t>
            </w:r>
          </w:p>
        </w:tc>
        <w:tc>
          <w:tcPr>
            <w:tcW w:w="1404" w:type="dxa"/>
          </w:tcPr>
          <w:p w:rsidR="009768C0" w:rsidRPr="009768C0" w:rsidRDefault="009768C0" w:rsidP="009768C0">
            <w:pPr>
              <w:jc w:val="right"/>
              <w:rPr>
                <w:color w:val="auto"/>
                <w:sz w:val="22"/>
              </w:rPr>
            </w:pPr>
            <w:r w:rsidRPr="009768C0">
              <w:rPr>
                <w:color w:val="auto"/>
                <w:sz w:val="22"/>
                <w:u w:val="single"/>
              </w:rPr>
              <w:t xml:space="preserve">  ($1,234.43)</w:t>
            </w: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rPr>
                <w:color w:val="auto"/>
                <w:sz w:val="22"/>
                <w:u w:val="double"/>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r w:rsidRPr="009768C0">
              <w:rPr>
                <w:color w:val="auto"/>
                <w:sz w:val="22"/>
              </w:rPr>
              <w:t xml:space="preserve">   Adjustment to Operating Revenue</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r w:rsidRPr="009768C0">
              <w:rPr>
                <w:color w:val="auto"/>
                <w:sz w:val="22"/>
                <w:u w:val="double"/>
              </w:rPr>
              <w:t xml:space="preserve">  (</w:t>
            </w:r>
            <w:r w:rsidRPr="009768C0">
              <w:rPr>
                <w:color w:val="auto"/>
                <w:sz w:val="22"/>
                <w:u w:val="single"/>
              </w:rPr>
              <w:t>$</w:t>
            </w:r>
            <w:r w:rsidRPr="009768C0">
              <w:rPr>
                <w:color w:val="auto"/>
                <w:sz w:val="22"/>
                <w:u w:val="double"/>
              </w:rPr>
              <w:t>1,913.69)</w:t>
            </w: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3"/>
          </w:tcPr>
          <w:p w:rsidR="009768C0" w:rsidRPr="009768C0" w:rsidRDefault="009768C0" w:rsidP="009768C0">
            <w:pPr>
              <w:rPr>
                <w:b/>
                <w:color w:val="auto"/>
                <w:sz w:val="28"/>
                <w:szCs w:val="28"/>
              </w:rPr>
            </w:pPr>
            <w:r w:rsidRPr="009768C0">
              <w:rPr>
                <w:b/>
                <w:color w:val="auto"/>
                <w:sz w:val="28"/>
                <w:szCs w:val="28"/>
              </w:rPr>
              <w:t>Non-Operating Income</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p>
        </w:tc>
      </w:tr>
      <w:tr w:rsidR="009768C0" w:rsidRPr="009768C0" w:rsidTr="006503A2">
        <w:tc>
          <w:tcPr>
            <w:tcW w:w="9576" w:type="dxa"/>
            <w:gridSpan w:val="5"/>
          </w:tcPr>
          <w:p w:rsidR="009768C0" w:rsidRPr="009768C0" w:rsidRDefault="009768C0" w:rsidP="009768C0">
            <w:pPr>
              <w:jc w:val="both"/>
              <w:rPr>
                <w:color w:val="auto"/>
                <w:sz w:val="22"/>
              </w:rPr>
            </w:pPr>
            <w:r w:rsidRPr="009768C0">
              <w:rPr>
                <w:color w:val="auto"/>
                <w:sz w:val="22"/>
              </w:rPr>
              <w:t xml:space="preserve">Adjustment to reflect gain from sale of utility vehicle.  Vehicles used for utility operations are owned by the water system. For rate purpose, costs are split between water and wastewater operations on a 50/50 basis. Similarly, revenue from the sale must be allocated to benefit customers. </w:t>
            </w: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rPr>
            </w:pP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r w:rsidRPr="009768C0">
              <w:rPr>
                <w:color w:val="auto"/>
                <w:sz w:val="22"/>
              </w:rPr>
              <w:t xml:space="preserve">                                                          $3,000              /             2</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single"/>
              </w:rPr>
            </w:pPr>
            <w:r w:rsidRPr="009768C0">
              <w:rPr>
                <w:color w:val="auto"/>
                <w:sz w:val="22"/>
                <w:u w:val="single"/>
              </w:rPr>
              <w:t xml:space="preserve">  $1,500</w:t>
            </w:r>
          </w:p>
        </w:tc>
      </w:tr>
      <w:tr w:rsidR="009768C0" w:rsidRPr="009768C0" w:rsidTr="006503A2">
        <w:tc>
          <w:tcPr>
            <w:tcW w:w="738" w:type="dxa"/>
          </w:tcPr>
          <w:p w:rsidR="009768C0" w:rsidRPr="009768C0" w:rsidRDefault="009768C0" w:rsidP="009768C0">
            <w:pPr>
              <w:rPr>
                <w:color w:val="auto"/>
                <w:sz w:val="22"/>
              </w:rPr>
            </w:pPr>
          </w:p>
        </w:tc>
        <w:tc>
          <w:tcPr>
            <w:tcW w:w="6030" w:type="dxa"/>
            <w:gridSpan w:val="2"/>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r w:rsidRPr="009768C0">
              <w:rPr>
                <w:color w:val="auto"/>
                <w:sz w:val="22"/>
                <w:u w:val="double"/>
              </w:rPr>
              <w:t xml:space="preserve">  </w:t>
            </w:r>
            <w:r w:rsidRPr="009768C0">
              <w:rPr>
                <w:color w:val="auto"/>
                <w:sz w:val="22"/>
                <w:u w:val="single"/>
              </w:rPr>
              <w:t>$</w:t>
            </w:r>
            <w:r w:rsidRPr="009768C0">
              <w:rPr>
                <w:color w:val="auto"/>
                <w:sz w:val="22"/>
                <w:u w:val="double"/>
              </w:rPr>
              <w:t>1,500</w:t>
            </w:r>
          </w:p>
        </w:tc>
      </w:tr>
    </w:tbl>
    <w:p w:rsidR="009768C0" w:rsidRPr="009768C0" w:rsidRDefault="009768C0" w:rsidP="009768C0">
      <w:pPr>
        <w:jc w:val="center"/>
        <w:rPr>
          <w:rFonts w:asciiTheme="minorHAnsi" w:eastAsiaTheme="minorHAnsi" w:hAnsiTheme="minorHAnsi" w:cstheme="minorBidi"/>
          <w:b/>
          <w:color w:val="auto"/>
          <w:sz w:val="22"/>
          <w:szCs w:val="22"/>
        </w:rPr>
      </w:pPr>
      <w:proofErr w:type="gramStart"/>
      <w:r w:rsidRPr="009768C0">
        <w:rPr>
          <w:rFonts w:asciiTheme="minorHAnsi" w:eastAsiaTheme="minorHAnsi" w:hAnsiTheme="minorHAnsi" w:cstheme="minorBidi"/>
          <w:b/>
          <w:color w:val="auto"/>
          <w:sz w:val="22"/>
          <w:szCs w:val="22"/>
        </w:rPr>
        <w:lastRenderedPageBreak/>
        <w:t>Appendix A, Contd.</w:t>
      </w:r>
      <w:proofErr w:type="gramEnd"/>
    </w:p>
    <w:p w:rsidR="009768C0" w:rsidRPr="009768C0" w:rsidRDefault="009768C0" w:rsidP="009768C0">
      <w:pPr>
        <w:jc w:val="center"/>
        <w:rPr>
          <w:rFonts w:asciiTheme="minorHAnsi" w:eastAsiaTheme="minorHAnsi" w:hAnsiTheme="minorHAnsi" w:cstheme="minorBidi"/>
          <w:b/>
          <w:color w:val="auto"/>
          <w:sz w:val="22"/>
          <w:szCs w:val="22"/>
        </w:rPr>
      </w:pPr>
      <w:r w:rsidRPr="009768C0">
        <w:rPr>
          <w:rFonts w:asciiTheme="minorHAnsi" w:eastAsiaTheme="minorHAnsi" w:hAnsiTheme="minorHAnsi" w:cstheme="minorBidi"/>
          <w:b/>
          <w:color w:val="auto"/>
          <w:sz w:val="22"/>
          <w:szCs w:val="22"/>
        </w:rPr>
        <w:t>R-2014-2419115</w:t>
      </w:r>
    </w:p>
    <w:p w:rsidR="009768C0" w:rsidRPr="009768C0" w:rsidRDefault="009768C0" w:rsidP="009768C0">
      <w:pPr>
        <w:rPr>
          <w:rFonts w:asciiTheme="minorHAnsi" w:eastAsiaTheme="minorHAnsi" w:hAnsiTheme="minorHAnsi" w:cstheme="minorBidi"/>
          <w:b/>
          <w:color w:val="auto"/>
          <w:sz w:val="22"/>
          <w:szCs w:val="22"/>
        </w:rPr>
      </w:pPr>
    </w:p>
    <w:p w:rsidR="009768C0" w:rsidRPr="009768C0" w:rsidRDefault="009768C0" w:rsidP="009768C0">
      <w:pPr>
        <w:jc w:val="center"/>
        <w:rPr>
          <w:rFonts w:asciiTheme="minorHAnsi" w:eastAsiaTheme="minorHAnsi" w:hAnsiTheme="minorHAnsi" w:cstheme="minorBidi"/>
          <w:b/>
          <w:color w:val="auto"/>
          <w:sz w:val="22"/>
          <w:szCs w:val="22"/>
        </w:rPr>
      </w:pPr>
      <w:proofErr w:type="spellStart"/>
      <w:r w:rsidRPr="009768C0">
        <w:rPr>
          <w:rFonts w:asciiTheme="minorHAnsi" w:eastAsiaTheme="minorHAnsi" w:hAnsiTheme="minorHAnsi" w:cstheme="minorBidi"/>
          <w:b/>
          <w:color w:val="auto"/>
          <w:sz w:val="22"/>
          <w:szCs w:val="22"/>
        </w:rPr>
        <w:t>Manwalamink</w:t>
      </w:r>
      <w:proofErr w:type="spellEnd"/>
      <w:r w:rsidRPr="009768C0">
        <w:rPr>
          <w:rFonts w:asciiTheme="minorHAnsi" w:eastAsiaTheme="minorHAnsi" w:hAnsiTheme="minorHAnsi" w:cstheme="minorBidi"/>
          <w:b/>
          <w:color w:val="auto"/>
          <w:sz w:val="22"/>
          <w:szCs w:val="22"/>
        </w:rPr>
        <w:t xml:space="preserve"> Sewer Company</w:t>
      </w:r>
    </w:p>
    <w:p w:rsidR="009768C0" w:rsidRPr="009768C0" w:rsidRDefault="009768C0" w:rsidP="009768C0">
      <w:pPr>
        <w:jc w:val="center"/>
        <w:rPr>
          <w:rFonts w:asciiTheme="minorHAnsi" w:eastAsiaTheme="minorHAnsi" w:hAnsiTheme="minorHAnsi" w:cstheme="minorBidi"/>
          <w:b/>
          <w:color w:val="auto"/>
          <w:sz w:val="22"/>
          <w:szCs w:val="22"/>
        </w:rPr>
      </w:pPr>
      <w:r w:rsidRPr="009768C0">
        <w:rPr>
          <w:rFonts w:asciiTheme="minorHAnsi" w:eastAsiaTheme="minorHAnsi" w:hAnsiTheme="minorHAnsi" w:cstheme="minorBidi"/>
          <w:b/>
          <w:color w:val="auto"/>
          <w:sz w:val="22"/>
          <w:szCs w:val="22"/>
        </w:rPr>
        <w:t>Commission Adjustments</w:t>
      </w:r>
    </w:p>
    <w:p w:rsidR="009768C0" w:rsidRPr="009768C0" w:rsidRDefault="009768C0" w:rsidP="009768C0">
      <w:pPr>
        <w:jc w:val="center"/>
        <w:rPr>
          <w:rFonts w:asciiTheme="minorHAnsi" w:eastAsiaTheme="minorHAnsi" w:hAnsiTheme="minorHAnsi" w:cstheme="minorBidi"/>
          <w:b/>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030"/>
        <w:gridCol w:w="1404"/>
        <w:gridCol w:w="1404"/>
      </w:tblGrid>
      <w:tr w:rsidR="009768C0" w:rsidRPr="009768C0" w:rsidTr="006503A2">
        <w:tc>
          <w:tcPr>
            <w:tcW w:w="8172" w:type="dxa"/>
            <w:gridSpan w:val="3"/>
          </w:tcPr>
          <w:p w:rsidR="009768C0" w:rsidRPr="009768C0" w:rsidRDefault="009768C0" w:rsidP="009768C0">
            <w:pPr>
              <w:rPr>
                <w:b/>
                <w:color w:val="auto"/>
                <w:sz w:val="24"/>
                <w:szCs w:val="24"/>
              </w:rPr>
            </w:pPr>
          </w:p>
          <w:p w:rsidR="009768C0" w:rsidRPr="009768C0" w:rsidRDefault="009768C0" w:rsidP="009768C0">
            <w:pPr>
              <w:rPr>
                <w:b/>
                <w:color w:val="auto"/>
                <w:sz w:val="24"/>
                <w:szCs w:val="24"/>
              </w:rPr>
            </w:pPr>
            <w:r w:rsidRPr="009768C0">
              <w:rPr>
                <w:b/>
                <w:color w:val="auto"/>
                <w:sz w:val="24"/>
                <w:szCs w:val="24"/>
              </w:rPr>
              <w:t>Rate Case Expenses</w:t>
            </w:r>
          </w:p>
        </w:tc>
        <w:tc>
          <w:tcPr>
            <w:tcW w:w="1404" w:type="dxa"/>
          </w:tcPr>
          <w:p w:rsidR="009768C0" w:rsidRPr="009768C0" w:rsidRDefault="009768C0" w:rsidP="009768C0">
            <w:pPr>
              <w:jc w:val="right"/>
              <w:rPr>
                <w:color w:val="auto"/>
                <w:sz w:val="22"/>
                <w:u w:val="double"/>
              </w:rPr>
            </w:pPr>
          </w:p>
        </w:tc>
      </w:tr>
      <w:tr w:rsidR="009768C0" w:rsidRPr="009768C0" w:rsidTr="006503A2">
        <w:tc>
          <w:tcPr>
            <w:tcW w:w="738" w:type="dxa"/>
          </w:tcPr>
          <w:p w:rsidR="009768C0" w:rsidRPr="009768C0" w:rsidRDefault="009768C0" w:rsidP="009768C0">
            <w:pPr>
              <w:rPr>
                <w:color w:val="auto"/>
                <w:sz w:val="22"/>
              </w:rPr>
            </w:pPr>
          </w:p>
        </w:tc>
        <w:tc>
          <w:tcPr>
            <w:tcW w:w="6030" w:type="dxa"/>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p>
        </w:tc>
      </w:tr>
      <w:tr w:rsidR="009768C0" w:rsidRPr="009768C0" w:rsidTr="006503A2">
        <w:tc>
          <w:tcPr>
            <w:tcW w:w="9576" w:type="dxa"/>
            <w:gridSpan w:val="4"/>
          </w:tcPr>
          <w:p w:rsidR="009768C0" w:rsidRPr="009768C0" w:rsidRDefault="009768C0" w:rsidP="009768C0">
            <w:pPr>
              <w:rPr>
                <w:color w:val="auto"/>
                <w:sz w:val="22"/>
              </w:rPr>
            </w:pPr>
            <w:r w:rsidRPr="009768C0">
              <w:rPr>
                <w:color w:val="auto"/>
                <w:sz w:val="22"/>
              </w:rPr>
              <w:t xml:space="preserve">     The Company claimed rate case expenses of $13,000 comprised of $12,500 for preparation of tariff and $500 for mailing and preparation of the customer notice.</w:t>
            </w:r>
          </w:p>
          <w:p w:rsidR="009768C0" w:rsidRPr="009768C0" w:rsidRDefault="009768C0" w:rsidP="009768C0">
            <w:pPr>
              <w:rPr>
                <w:color w:val="auto"/>
                <w:sz w:val="22"/>
              </w:rPr>
            </w:pPr>
            <w:r w:rsidRPr="009768C0">
              <w:rPr>
                <w:color w:val="auto"/>
                <w:sz w:val="22"/>
              </w:rPr>
              <w:t xml:space="preserve">     The Company claim is based on the cost if they were to retain a consultant.  Expenses based on hypothetical circumstances are not acceptable for rate purpose.  The filing was prepared by in-house personnel. The Company submitted documentation of Company personnel based on actual hours over and above normal working hours at an average of $96 hourly rate. Commission adjustment rejects the company claim based on preparation by others and reduces the hourly rate to actual rate paid to the employees plus a provision for pension and benefits of 31%.</w:t>
            </w:r>
          </w:p>
          <w:p w:rsidR="009768C0" w:rsidRPr="009768C0" w:rsidRDefault="009768C0" w:rsidP="009768C0">
            <w:pPr>
              <w:rPr>
                <w:color w:val="auto"/>
                <w:sz w:val="22"/>
              </w:rPr>
            </w:pPr>
          </w:p>
          <w:p w:rsidR="009768C0" w:rsidRPr="009768C0" w:rsidRDefault="009768C0" w:rsidP="009768C0">
            <w:pPr>
              <w:rPr>
                <w:color w:val="auto"/>
                <w:sz w:val="22"/>
              </w:rPr>
            </w:pPr>
            <w:r w:rsidRPr="009768C0">
              <w:rPr>
                <w:color w:val="auto"/>
                <w:sz w:val="22"/>
              </w:rPr>
              <w:t>The Commission adjustment is  calculated as follows:</w:t>
            </w:r>
          </w:p>
          <w:p w:rsidR="009768C0" w:rsidRPr="009768C0" w:rsidRDefault="009768C0" w:rsidP="009768C0">
            <w:pPr>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 xml:space="preserve">Sewer Filing </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 xml:space="preserve">                                 Hours                               Rate</w:t>
            </w:r>
          </w:p>
        </w:tc>
        <w:tc>
          <w:tcPr>
            <w:tcW w:w="1404" w:type="dxa"/>
          </w:tcPr>
          <w:p w:rsidR="009768C0" w:rsidRPr="009768C0" w:rsidRDefault="009768C0" w:rsidP="009768C0">
            <w:pPr>
              <w:jc w:val="center"/>
              <w:rPr>
                <w:color w:val="auto"/>
                <w:sz w:val="22"/>
              </w:rPr>
            </w:pPr>
            <w:r w:rsidRPr="009768C0">
              <w:rPr>
                <w:color w:val="auto"/>
                <w:sz w:val="22"/>
              </w:rPr>
              <w:t>Amount</w:t>
            </w:r>
          </w:p>
        </w:tc>
        <w:tc>
          <w:tcPr>
            <w:tcW w:w="1404" w:type="dxa"/>
          </w:tcPr>
          <w:p w:rsidR="009768C0" w:rsidRPr="009768C0" w:rsidRDefault="009768C0" w:rsidP="009768C0">
            <w:pPr>
              <w:jc w:val="right"/>
              <w:rPr>
                <w:color w:val="auto"/>
                <w:sz w:val="22"/>
                <w:u w:val="double"/>
              </w:rPr>
            </w:pPr>
            <w:r w:rsidRPr="009768C0">
              <w:rPr>
                <w:color w:val="auto"/>
                <w:sz w:val="22"/>
              </w:rPr>
              <w:t>Adjustment</w:t>
            </w: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 xml:space="preserve">Treasurer                 80                      X             $40.20                    =    </w:t>
            </w:r>
          </w:p>
        </w:tc>
        <w:tc>
          <w:tcPr>
            <w:tcW w:w="1404" w:type="dxa"/>
          </w:tcPr>
          <w:p w:rsidR="009768C0" w:rsidRPr="009768C0" w:rsidRDefault="009768C0" w:rsidP="009768C0">
            <w:pPr>
              <w:jc w:val="center"/>
              <w:rPr>
                <w:color w:val="auto"/>
                <w:sz w:val="22"/>
              </w:rPr>
            </w:pPr>
            <w:r w:rsidRPr="009768C0">
              <w:rPr>
                <w:color w:val="auto"/>
                <w:sz w:val="22"/>
              </w:rPr>
              <w:t>$3,216</w:t>
            </w: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 xml:space="preserve">Secretary                 50                       X             $20.19                    =    </w:t>
            </w:r>
          </w:p>
        </w:tc>
        <w:tc>
          <w:tcPr>
            <w:tcW w:w="1404" w:type="dxa"/>
            <w:tcBorders>
              <w:bottom w:val="single" w:sz="4" w:space="0" w:color="auto"/>
            </w:tcBorders>
          </w:tcPr>
          <w:p w:rsidR="009768C0" w:rsidRPr="009768C0" w:rsidRDefault="009768C0" w:rsidP="009768C0">
            <w:pPr>
              <w:jc w:val="center"/>
              <w:rPr>
                <w:color w:val="auto"/>
                <w:sz w:val="22"/>
              </w:rPr>
            </w:pPr>
            <w:r w:rsidRPr="009768C0">
              <w:rPr>
                <w:color w:val="auto"/>
                <w:sz w:val="22"/>
              </w:rPr>
              <w:t>1,010</w:t>
            </w: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Payroll</w:t>
            </w:r>
          </w:p>
        </w:tc>
        <w:tc>
          <w:tcPr>
            <w:tcW w:w="1404" w:type="dxa"/>
            <w:tcBorders>
              <w:top w:val="single" w:sz="4" w:space="0" w:color="auto"/>
              <w:bottom w:val="single" w:sz="4" w:space="0" w:color="auto"/>
            </w:tcBorders>
          </w:tcPr>
          <w:p w:rsidR="009768C0" w:rsidRPr="009768C0" w:rsidRDefault="009768C0" w:rsidP="009768C0">
            <w:pPr>
              <w:jc w:val="center"/>
              <w:rPr>
                <w:color w:val="auto"/>
                <w:sz w:val="22"/>
              </w:rPr>
            </w:pPr>
            <w:r w:rsidRPr="009768C0">
              <w:rPr>
                <w:color w:val="auto"/>
                <w:sz w:val="22"/>
              </w:rPr>
              <w:t>$4,226</w:t>
            </w: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p>
        </w:tc>
        <w:tc>
          <w:tcPr>
            <w:tcW w:w="1404" w:type="dxa"/>
            <w:tcBorders>
              <w:top w:val="single" w:sz="4" w:space="0" w:color="auto"/>
            </w:tcBorders>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Pension and Benefits</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 xml:space="preserve">                                 $4,226                   X              31%                        =</w:t>
            </w:r>
          </w:p>
        </w:tc>
        <w:tc>
          <w:tcPr>
            <w:tcW w:w="1404" w:type="dxa"/>
          </w:tcPr>
          <w:p w:rsidR="009768C0" w:rsidRPr="009768C0" w:rsidRDefault="009768C0" w:rsidP="009768C0">
            <w:pPr>
              <w:jc w:val="center"/>
              <w:rPr>
                <w:color w:val="auto"/>
                <w:sz w:val="22"/>
              </w:rPr>
            </w:pPr>
            <w:r w:rsidRPr="009768C0">
              <w:rPr>
                <w:color w:val="auto"/>
                <w:sz w:val="22"/>
              </w:rPr>
              <w:t>$1,310</w:t>
            </w: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Plus Postage</w:t>
            </w:r>
          </w:p>
        </w:tc>
        <w:tc>
          <w:tcPr>
            <w:tcW w:w="1404" w:type="dxa"/>
            <w:tcBorders>
              <w:bottom w:val="single" w:sz="4" w:space="0" w:color="auto"/>
            </w:tcBorders>
          </w:tcPr>
          <w:p w:rsidR="009768C0" w:rsidRPr="009768C0" w:rsidRDefault="009768C0" w:rsidP="009768C0">
            <w:pPr>
              <w:jc w:val="center"/>
              <w:rPr>
                <w:color w:val="auto"/>
                <w:sz w:val="22"/>
              </w:rPr>
            </w:pPr>
            <w:r w:rsidRPr="009768C0">
              <w:rPr>
                <w:color w:val="auto"/>
                <w:sz w:val="22"/>
              </w:rPr>
              <w:t xml:space="preserve">     500</w:t>
            </w: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Total Rate Case Expense Allowed</w:t>
            </w:r>
          </w:p>
        </w:tc>
        <w:tc>
          <w:tcPr>
            <w:tcW w:w="1404" w:type="dxa"/>
            <w:tcBorders>
              <w:top w:val="single" w:sz="4" w:space="0" w:color="auto"/>
              <w:bottom w:val="single" w:sz="4" w:space="0" w:color="auto"/>
            </w:tcBorders>
          </w:tcPr>
          <w:p w:rsidR="009768C0" w:rsidRPr="009768C0" w:rsidRDefault="009768C0" w:rsidP="009768C0">
            <w:pPr>
              <w:jc w:val="center"/>
              <w:rPr>
                <w:color w:val="auto"/>
                <w:sz w:val="22"/>
              </w:rPr>
            </w:pPr>
            <w:r w:rsidRPr="009768C0">
              <w:rPr>
                <w:color w:val="auto"/>
                <w:sz w:val="22"/>
              </w:rPr>
              <w:t>$6,035</w:t>
            </w: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p>
        </w:tc>
        <w:tc>
          <w:tcPr>
            <w:tcW w:w="1404" w:type="dxa"/>
            <w:tcBorders>
              <w:top w:val="single" w:sz="4" w:space="0" w:color="auto"/>
            </w:tcBorders>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Amortize Expense over 3 years</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 xml:space="preserve">                                 $6,035                      /             3                            =   </w:t>
            </w:r>
          </w:p>
        </w:tc>
        <w:tc>
          <w:tcPr>
            <w:tcW w:w="1404" w:type="dxa"/>
          </w:tcPr>
          <w:p w:rsidR="009768C0" w:rsidRPr="009768C0" w:rsidRDefault="009768C0" w:rsidP="009768C0">
            <w:pPr>
              <w:jc w:val="center"/>
              <w:rPr>
                <w:color w:val="auto"/>
                <w:sz w:val="22"/>
              </w:rPr>
            </w:pPr>
            <w:r w:rsidRPr="009768C0">
              <w:rPr>
                <w:color w:val="auto"/>
                <w:sz w:val="22"/>
              </w:rPr>
              <w:t>$2,012</w:t>
            </w: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Less Company claimed amortization</w:t>
            </w:r>
          </w:p>
        </w:tc>
        <w:tc>
          <w:tcPr>
            <w:tcW w:w="1404" w:type="dxa"/>
          </w:tcPr>
          <w:p w:rsidR="009768C0" w:rsidRPr="009768C0" w:rsidRDefault="009768C0" w:rsidP="009768C0">
            <w:pPr>
              <w:jc w:val="center"/>
              <w:rPr>
                <w:color w:val="auto"/>
                <w:sz w:val="22"/>
              </w:rPr>
            </w:pPr>
            <w:r w:rsidRPr="009768C0">
              <w:rPr>
                <w:color w:val="auto"/>
                <w:sz w:val="22"/>
              </w:rPr>
              <w:t>(4,333)</w:t>
            </w: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Adjustment</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r w:rsidRPr="009768C0">
              <w:rPr>
                <w:color w:val="auto"/>
                <w:sz w:val="22"/>
              </w:rPr>
              <w:t>($2,321)</w:t>
            </w:r>
          </w:p>
        </w:tc>
      </w:tr>
      <w:tr w:rsidR="009768C0" w:rsidRPr="009768C0" w:rsidTr="006503A2">
        <w:tc>
          <w:tcPr>
            <w:tcW w:w="6768" w:type="dxa"/>
            <w:gridSpan w:val="2"/>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Borders>
              <w:bottom w:val="single" w:sz="4" w:space="0" w:color="auto"/>
            </w:tcBorders>
          </w:tcPr>
          <w:p w:rsidR="009768C0" w:rsidRPr="009768C0" w:rsidRDefault="009768C0" w:rsidP="009768C0">
            <w:pPr>
              <w:jc w:val="right"/>
              <w:rPr>
                <w:color w:val="auto"/>
                <w:sz w:val="22"/>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Total Adjustment to Operation and Maintenance Expense</w:t>
            </w:r>
          </w:p>
        </w:tc>
        <w:tc>
          <w:tcPr>
            <w:tcW w:w="1404" w:type="dxa"/>
          </w:tcPr>
          <w:p w:rsidR="009768C0" w:rsidRPr="009768C0" w:rsidRDefault="009768C0" w:rsidP="009768C0">
            <w:pPr>
              <w:jc w:val="center"/>
              <w:rPr>
                <w:color w:val="auto"/>
                <w:sz w:val="22"/>
              </w:rPr>
            </w:pPr>
          </w:p>
        </w:tc>
        <w:tc>
          <w:tcPr>
            <w:tcW w:w="1404" w:type="dxa"/>
            <w:tcBorders>
              <w:top w:val="single" w:sz="4" w:space="0" w:color="auto"/>
              <w:bottom w:val="single" w:sz="4" w:space="0" w:color="auto"/>
            </w:tcBorders>
          </w:tcPr>
          <w:p w:rsidR="009768C0" w:rsidRPr="009768C0" w:rsidRDefault="009768C0" w:rsidP="009768C0">
            <w:pPr>
              <w:jc w:val="right"/>
              <w:rPr>
                <w:color w:val="auto"/>
                <w:sz w:val="22"/>
              </w:rPr>
            </w:pPr>
            <w:r w:rsidRPr="009768C0">
              <w:rPr>
                <w:color w:val="auto"/>
                <w:sz w:val="22"/>
                <w:u w:val="double"/>
              </w:rPr>
              <w:t xml:space="preserve">  (</w:t>
            </w:r>
            <w:r w:rsidRPr="009768C0">
              <w:rPr>
                <w:color w:val="auto"/>
                <w:sz w:val="22"/>
                <w:u w:val="single"/>
              </w:rPr>
              <w:t>$</w:t>
            </w:r>
            <w:r w:rsidRPr="009768C0">
              <w:rPr>
                <w:color w:val="auto"/>
                <w:sz w:val="22"/>
                <w:u w:val="double"/>
              </w:rPr>
              <w:t>8,635)</w:t>
            </w:r>
          </w:p>
        </w:tc>
      </w:tr>
      <w:tr w:rsidR="009768C0" w:rsidRPr="009768C0" w:rsidTr="006503A2">
        <w:tc>
          <w:tcPr>
            <w:tcW w:w="6768" w:type="dxa"/>
            <w:gridSpan w:val="2"/>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Borders>
              <w:top w:val="single" w:sz="4" w:space="0" w:color="auto"/>
            </w:tcBorders>
          </w:tcPr>
          <w:p w:rsidR="009768C0" w:rsidRPr="009768C0" w:rsidRDefault="009768C0" w:rsidP="009768C0">
            <w:pPr>
              <w:jc w:val="right"/>
              <w:rPr>
                <w:color w:val="auto"/>
                <w:sz w:val="22"/>
                <w:u w:val="double"/>
              </w:rPr>
            </w:pPr>
          </w:p>
        </w:tc>
      </w:tr>
      <w:tr w:rsidR="009768C0" w:rsidRPr="009768C0" w:rsidTr="006503A2">
        <w:trPr>
          <w:trHeight w:val="621"/>
        </w:trPr>
        <w:tc>
          <w:tcPr>
            <w:tcW w:w="6768" w:type="dxa"/>
            <w:gridSpan w:val="2"/>
          </w:tcPr>
          <w:p w:rsidR="009768C0" w:rsidRPr="009768C0" w:rsidRDefault="009768C0" w:rsidP="009768C0">
            <w:pPr>
              <w:rPr>
                <w:b/>
                <w:color w:val="auto"/>
                <w:sz w:val="22"/>
              </w:rPr>
            </w:pPr>
            <w:r w:rsidRPr="009768C0">
              <w:rPr>
                <w:b/>
                <w:color w:val="auto"/>
                <w:sz w:val="22"/>
              </w:rPr>
              <w:t>Taxes Other Than Income Taxes</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Corresponding Adjustment to reflect Taxes Other than Income Taxes at Commission adjusted rates</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 xml:space="preserve">Commission Adjustment to Company proposed PUC Assessment </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p>
        </w:tc>
      </w:tr>
      <w:tr w:rsidR="009768C0" w:rsidRPr="009768C0" w:rsidTr="006503A2">
        <w:tc>
          <w:tcPr>
            <w:tcW w:w="6768" w:type="dxa"/>
            <w:gridSpan w:val="2"/>
          </w:tcPr>
          <w:p w:rsidR="009768C0" w:rsidRPr="009768C0" w:rsidRDefault="009768C0" w:rsidP="009768C0">
            <w:pPr>
              <w:rPr>
                <w:color w:val="auto"/>
                <w:sz w:val="22"/>
              </w:rPr>
            </w:pPr>
            <w:r w:rsidRPr="009768C0">
              <w:rPr>
                <w:color w:val="auto"/>
                <w:sz w:val="22"/>
              </w:rPr>
              <w:t xml:space="preserve">                                                                  ($1,914)       X         0.00518     =</w:t>
            </w:r>
          </w:p>
        </w:tc>
        <w:tc>
          <w:tcPr>
            <w:tcW w:w="1404" w:type="dxa"/>
          </w:tcPr>
          <w:p w:rsidR="009768C0" w:rsidRPr="009768C0" w:rsidRDefault="009768C0" w:rsidP="009768C0">
            <w:pPr>
              <w:jc w:val="center"/>
              <w:rPr>
                <w:color w:val="auto"/>
                <w:sz w:val="22"/>
              </w:rPr>
            </w:pPr>
          </w:p>
        </w:tc>
        <w:tc>
          <w:tcPr>
            <w:tcW w:w="1404" w:type="dxa"/>
          </w:tcPr>
          <w:p w:rsidR="009768C0" w:rsidRPr="009768C0" w:rsidRDefault="009768C0" w:rsidP="009768C0">
            <w:pPr>
              <w:jc w:val="right"/>
              <w:rPr>
                <w:color w:val="auto"/>
                <w:sz w:val="22"/>
                <w:u w:val="double"/>
              </w:rPr>
            </w:pPr>
            <w:r w:rsidRPr="009768C0">
              <w:rPr>
                <w:color w:val="auto"/>
                <w:sz w:val="22"/>
                <w:u w:val="double"/>
              </w:rPr>
              <w:t xml:space="preserve">  (</w:t>
            </w:r>
            <w:r w:rsidRPr="009768C0">
              <w:rPr>
                <w:color w:val="auto"/>
                <w:sz w:val="22"/>
                <w:u w:val="single"/>
              </w:rPr>
              <w:t>$10</w:t>
            </w:r>
            <w:r w:rsidRPr="009768C0">
              <w:rPr>
                <w:color w:val="auto"/>
                <w:sz w:val="22"/>
                <w:u w:val="double"/>
              </w:rPr>
              <w:t>)</w:t>
            </w:r>
          </w:p>
        </w:tc>
      </w:tr>
    </w:tbl>
    <w:p w:rsidR="009768C0" w:rsidRDefault="009768C0">
      <w:r>
        <w:br w:type="page"/>
      </w:r>
    </w:p>
    <w:p w:rsidR="009768C0" w:rsidRPr="009768C0" w:rsidRDefault="009768C0" w:rsidP="009768C0">
      <w:pPr>
        <w:spacing w:before="12" w:line="208" w:lineRule="exact"/>
        <w:jc w:val="center"/>
        <w:textAlignment w:val="baseline"/>
        <w:rPr>
          <w:rFonts w:ascii="Arial" w:eastAsia="Arial" w:hAnsi="Arial"/>
          <w:spacing w:val="8"/>
          <w:sz w:val="18"/>
          <w:szCs w:val="22"/>
        </w:rPr>
      </w:pPr>
      <w:proofErr w:type="gramStart"/>
      <w:r w:rsidRPr="009768C0">
        <w:rPr>
          <w:rFonts w:ascii="Arial" w:eastAsia="Arial" w:hAnsi="Arial"/>
          <w:spacing w:val="8"/>
          <w:sz w:val="18"/>
          <w:szCs w:val="22"/>
        </w:rPr>
        <w:lastRenderedPageBreak/>
        <w:t>Appendix A, Contd.</w:t>
      </w:r>
      <w:proofErr w:type="gramEnd"/>
    </w:p>
    <w:p w:rsidR="009768C0" w:rsidRPr="009768C0" w:rsidRDefault="009768C0" w:rsidP="009768C0">
      <w:pPr>
        <w:spacing w:before="72" w:line="159" w:lineRule="exact"/>
        <w:jc w:val="center"/>
        <w:textAlignment w:val="baseline"/>
        <w:rPr>
          <w:rFonts w:ascii="Verdana" w:eastAsia="Verdana" w:hAnsi="Verdana"/>
          <w:spacing w:val="-9"/>
          <w:sz w:val="14"/>
          <w:szCs w:val="22"/>
        </w:rPr>
      </w:pPr>
      <w:r w:rsidRPr="009768C0">
        <w:rPr>
          <w:rFonts w:ascii="Verdana" w:eastAsia="Verdana" w:hAnsi="Verdana"/>
          <w:spacing w:val="-9"/>
          <w:sz w:val="14"/>
          <w:szCs w:val="22"/>
        </w:rPr>
        <w:t>R-2014-2419115</w:t>
      </w:r>
    </w:p>
    <w:p w:rsidR="009768C0" w:rsidRPr="009768C0" w:rsidRDefault="009768C0" w:rsidP="009768C0">
      <w:pPr>
        <w:spacing w:before="9" w:line="499" w:lineRule="exact"/>
        <w:jc w:val="center"/>
        <w:textAlignment w:val="baseline"/>
        <w:rPr>
          <w:rFonts w:ascii="Arial" w:eastAsia="Arial" w:hAnsi="Arial"/>
          <w:sz w:val="18"/>
          <w:szCs w:val="22"/>
        </w:rPr>
      </w:pPr>
      <w:proofErr w:type="spellStart"/>
      <w:r w:rsidRPr="009768C0">
        <w:rPr>
          <w:rFonts w:ascii="Arial" w:eastAsia="Arial" w:hAnsi="Arial"/>
          <w:sz w:val="18"/>
          <w:szCs w:val="22"/>
        </w:rPr>
        <w:t>Manwalamink</w:t>
      </w:r>
      <w:proofErr w:type="spellEnd"/>
      <w:r w:rsidRPr="009768C0">
        <w:rPr>
          <w:rFonts w:ascii="Arial" w:eastAsia="Arial" w:hAnsi="Arial"/>
          <w:sz w:val="18"/>
          <w:szCs w:val="22"/>
        </w:rPr>
        <w:t xml:space="preserve"> Sewer Company </w:t>
      </w:r>
      <w:r w:rsidRPr="009768C0">
        <w:rPr>
          <w:rFonts w:ascii="Arial" w:eastAsia="Arial" w:hAnsi="Arial"/>
          <w:sz w:val="18"/>
          <w:szCs w:val="22"/>
        </w:rPr>
        <w:br/>
        <w:t>Commission Adjustments</w:t>
      </w:r>
    </w:p>
    <w:p w:rsidR="009768C0" w:rsidRPr="009768C0" w:rsidRDefault="009768C0" w:rsidP="009768C0">
      <w:pPr>
        <w:spacing w:before="289" w:line="208" w:lineRule="exact"/>
        <w:textAlignment w:val="baseline"/>
        <w:rPr>
          <w:rFonts w:ascii="Arial" w:eastAsia="Arial" w:hAnsi="Arial"/>
          <w:spacing w:val="9"/>
          <w:sz w:val="18"/>
          <w:szCs w:val="22"/>
        </w:rPr>
      </w:pPr>
      <w:r w:rsidRPr="009768C0">
        <w:rPr>
          <w:rFonts w:ascii="Arial" w:eastAsia="Arial" w:hAnsi="Arial"/>
          <w:spacing w:val="9"/>
          <w:sz w:val="18"/>
          <w:szCs w:val="22"/>
        </w:rPr>
        <w:t>Operating Expenses</w:t>
      </w:r>
    </w:p>
    <w:p w:rsidR="009768C0" w:rsidRPr="009768C0" w:rsidRDefault="009768C0" w:rsidP="009768C0">
      <w:pPr>
        <w:spacing w:before="286" w:after="143" w:line="208" w:lineRule="exact"/>
        <w:ind w:left="288"/>
        <w:textAlignment w:val="baseline"/>
        <w:rPr>
          <w:rFonts w:ascii="Arial" w:eastAsia="Arial" w:hAnsi="Arial"/>
          <w:spacing w:val="3"/>
          <w:sz w:val="18"/>
          <w:szCs w:val="22"/>
        </w:rPr>
      </w:pPr>
      <w:proofErr w:type="gramStart"/>
      <w:r w:rsidRPr="009768C0">
        <w:rPr>
          <w:rFonts w:ascii="Arial" w:eastAsia="Arial" w:hAnsi="Arial"/>
          <w:spacing w:val="3"/>
          <w:sz w:val="18"/>
          <w:szCs w:val="22"/>
        </w:rPr>
        <w:t>Adjustment to modify Company claim for on-going manhole rehabilitation.</w:t>
      </w:r>
      <w:proofErr w:type="gramEnd"/>
    </w:p>
    <w:tbl>
      <w:tblPr>
        <w:tblW w:w="0" w:type="auto"/>
        <w:tblLayout w:type="fixed"/>
        <w:tblCellMar>
          <w:left w:w="0" w:type="dxa"/>
          <w:right w:w="0" w:type="dxa"/>
        </w:tblCellMar>
        <w:tblLook w:val="0000" w:firstRow="0" w:lastRow="0" w:firstColumn="0" w:lastColumn="0" w:noHBand="0" w:noVBand="0"/>
      </w:tblPr>
      <w:tblGrid>
        <w:gridCol w:w="7459"/>
        <w:gridCol w:w="1061"/>
        <w:gridCol w:w="1200"/>
      </w:tblGrid>
      <w:tr w:rsidR="009768C0" w:rsidRPr="009768C0" w:rsidTr="006503A2">
        <w:trPr>
          <w:trHeight w:hRule="exact" w:val="360"/>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tabs>
                <w:tab w:val="left" w:pos="6624"/>
              </w:tabs>
              <w:spacing w:before="136" w:after="6" w:line="208" w:lineRule="exact"/>
              <w:ind w:left="677"/>
              <w:textAlignment w:val="baseline"/>
              <w:rPr>
                <w:rFonts w:ascii="Arial" w:eastAsia="Arial" w:hAnsi="Arial"/>
                <w:sz w:val="18"/>
                <w:szCs w:val="22"/>
              </w:rPr>
            </w:pPr>
            <w:r w:rsidRPr="009768C0">
              <w:rPr>
                <w:rFonts w:ascii="Arial" w:eastAsia="Arial" w:hAnsi="Arial"/>
                <w:sz w:val="18"/>
                <w:szCs w:val="22"/>
              </w:rPr>
              <w:t>Contractor Estimate for one manhole rehab."</w:t>
            </w:r>
            <w:r w:rsidRPr="009768C0">
              <w:rPr>
                <w:rFonts w:ascii="Arial" w:eastAsia="Arial" w:hAnsi="Arial"/>
                <w:sz w:val="18"/>
                <w:szCs w:val="22"/>
              </w:rPr>
              <w:tab/>
              <w:t>$3,610</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r>
      <w:tr w:rsidR="009768C0" w:rsidRPr="009768C0" w:rsidTr="006503A2">
        <w:trPr>
          <w:trHeight w:hRule="exact" w:val="245"/>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after="4" w:line="208" w:lineRule="exact"/>
              <w:ind w:left="677"/>
              <w:textAlignment w:val="baseline"/>
              <w:rPr>
                <w:rFonts w:ascii="Arial" w:eastAsia="Arial" w:hAnsi="Arial"/>
                <w:sz w:val="18"/>
                <w:szCs w:val="22"/>
              </w:rPr>
            </w:pPr>
            <w:r w:rsidRPr="009768C0">
              <w:rPr>
                <w:rFonts w:ascii="Arial" w:eastAsia="Arial" w:hAnsi="Arial"/>
                <w:sz w:val="18"/>
                <w:szCs w:val="22"/>
              </w:rPr>
              <w:t>Estimate for two manholes to be rehabilitated in 2014</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after="3" w:line="208" w:lineRule="exact"/>
              <w:ind w:right="298"/>
              <w:jc w:val="right"/>
              <w:textAlignment w:val="baseline"/>
              <w:rPr>
                <w:rFonts w:ascii="Arial" w:eastAsia="Arial" w:hAnsi="Arial"/>
                <w:sz w:val="18"/>
                <w:szCs w:val="22"/>
              </w:rPr>
            </w:pPr>
            <w:r w:rsidRPr="009768C0">
              <w:rPr>
                <w:rFonts w:ascii="Arial" w:eastAsia="Arial" w:hAnsi="Arial"/>
                <w:sz w:val="18"/>
                <w:szCs w:val="22"/>
              </w:rPr>
              <w:t>$7,220</w:t>
            </w:r>
          </w:p>
        </w:tc>
      </w:tr>
      <w:tr w:rsidR="009768C0" w:rsidRPr="009768C0" w:rsidTr="006503A2">
        <w:trPr>
          <w:trHeight w:hRule="exact" w:val="235"/>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after="5" w:line="208" w:lineRule="exact"/>
              <w:ind w:left="677"/>
              <w:textAlignment w:val="baseline"/>
              <w:rPr>
                <w:rFonts w:ascii="Arial" w:eastAsia="Arial" w:hAnsi="Arial"/>
                <w:sz w:val="18"/>
                <w:szCs w:val="22"/>
              </w:rPr>
            </w:pPr>
            <w:r w:rsidRPr="009768C0">
              <w:rPr>
                <w:rFonts w:ascii="Arial" w:eastAsia="Arial" w:hAnsi="Arial"/>
                <w:sz w:val="18"/>
                <w:szCs w:val="22"/>
              </w:rPr>
              <w:t>Contractor Estimate for rehab interceptor pump station</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single" w:sz="4" w:space="0" w:color="000000"/>
              <w:right w:val="none" w:sz="0" w:space="0" w:color="000000"/>
            </w:tcBorders>
            <w:vAlign w:val="center"/>
          </w:tcPr>
          <w:p w:rsidR="009768C0" w:rsidRPr="009768C0" w:rsidRDefault="009768C0" w:rsidP="009768C0">
            <w:pPr>
              <w:spacing w:after="5" w:line="208" w:lineRule="exact"/>
              <w:ind w:right="298"/>
              <w:jc w:val="right"/>
              <w:textAlignment w:val="baseline"/>
              <w:rPr>
                <w:rFonts w:ascii="Arial" w:eastAsia="Arial" w:hAnsi="Arial"/>
                <w:sz w:val="18"/>
                <w:szCs w:val="22"/>
              </w:rPr>
            </w:pPr>
            <w:r w:rsidRPr="009768C0">
              <w:rPr>
                <w:rFonts w:ascii="Arial" w:eastAsia="Arial" w:hAnsi="Arial"/>
                <w:sz w:val="18"/>
                <w:szCs w:val="22"/>
              </w:rPr>
              <w:t>3,140</w:t>
            </w:r>
          </w:p>
        </w:tc>
      </w:tr>
      <w:tr w:rsidR="009768C0" w:rsidRPr="009768C0" w:rsidTr="006503A2">
        <w:trPr>
          <w:trHeight w:hRule="exact" w:val="307"/>
        </w:trPr>
        <w:tc>
          <w:tcPr>
            <w:tcW w:w="7459"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single" w:sz="4" w:space="0" w:color="000000"/>
              <w:left w:val="none" w:sz="0" w:space="0" w:color="000000"/>
              <w:bottom w:val="none" w:sz="0" w:space="0" w:color="000000"/>
              <w:right w:val="none" w:sz="0" w:space="0" w:color="000000"/>
            </w:tcBorders>
            <w:vAlign w:val="center"/>
          </w:tcPr>
          <w:p w:rsidR="009768C0" w:rsidRPr="009768C0" w:rsidRDefault="009768C0" w:rsidP="009768C0">
            <w:pPr>
              <w:spacing w:before="93" w:after="1" w:line="208" w:lineRule="exact"/>
              <w:ind w:right="298"/>
              <w:jc w:val="right"/>
              <w:textAlignment w:val="baseline"/>
              <w:rPr>
                <w:rFonts w:ascii="Arial" w:eastAsia="Arial" w:hAnsi="Arial"/>
                <w:sz w:val="18"/>
                <w:szCs w:val="22"/>
              </w:rPr>
            </w:pPr>
            <w:r w:rsidRPr="009768C0">
              <w:rPr>
                <w:rFonts w:ascii="Arial" w:eastAsia="Arial" w:hAnsi="Arial"/>
                <w:sz w:val="18"/>
                <w:szCs w:val="22"/>
              </w:rPr>
              <w:t>10,360</w:t>
            </w:r>
          </w:p>
        </w:tc>
      </w:tr>
      <w:tr w:rsidR="009768C0" w:rsidRPr="009768C0" w:rsidTr="006503A2">
        <w:trPr>
          <w:trHeight w:hRule="exact" w:val="240"/>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after="5" w:line="208" w:lineRule="exact"/>
              <w:ind w:left="677"/>
              <w:textAlignment w:val="baseline"/>
              <w:rPr>
                <w:rFonts w:ascii="Arial" w:eastAsia="Arial" w:hAnsi="Arial"/>
                <w:sz w:val="18"/>
                <w:szCs w:val="22"/>
              </w:rPr>
            </w:pPr>
            <w:r w:rsidRPr="009768C0">
              <w:rPr>
                <w:rFonts w:ascii="Arial" w:eastAsia="Arial" w:hAnsi="Arial"/>
                <w:sz w:val="18"/>
                <w:szCs w:val="22"/>
              </w:rPr>
              <w:t>Less Company Claim</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single" w:sz="4" w:space="0" w:color="000000"/>
              <w:right w:val="none" w:sz="0" w:space="0" w:color="000000"/>
            </w:tcBorders>
            <w:vAlign w:val="center"/>
          </w:tcPr>
          <w:p w:rsidR="009768C0" w:rsidRPr="009768C0" w:rsidRDefault="009768C0" w:rsidP="009768C0">
            <w:pPr>
              <w:spacing w:before="31" w:line="208" w:lineRule="exact"/>
              <w:ind w:right="298"/>
              <w:jc w:val="right"/>
              <w:textAlignment w:val="baseline"/>
              <w:rPr>
                <w:rFonts w:ascii="Arial" w:eastAsia="Arial" w:hAnsi="Arial"/>
                <w:sz w:val="18"/>
                <w:szCs w:val="22"/>
              </w:rPr>
            </w:pPr>
            <w:r w:rsidRPr="009768C0">
              <w:rPr>
                <w:rFonts w:ascii="Arial" w:eastAsia="Arial" w:hAnsi="Arial"/>
                <w:sz w:val="18"/>
                <w:szCs w:val="22"/>
              </w:rPr>
              <w:t>(10,000)</w:t>
            </w:r>
          </w:p>
        </w:tc>
      </w:tr>
      <w:tr w:rsidR="009768C0" w:rsidRPr="009768C0" w:rsidTr="006503A2">
        <w:trPr>
          <w:trHeight w:hRule="exact" w:val="442"/>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before="93" w:after="130" w:line="208" w:lineRule="exact"/>
              <w:ind w:left="677"/>
              <w:textAlignment w:val="baseline"/>
              <w:rPr>
                <w:rFonts w:ascii="Arial" w:eastAsia="Arial" w:hAnsi="Arial"/>
                <w:sz w:val="18"/>
                <w:szCs w:val="22"/>
              </w:rPr>
            </w:pPr>
            <w:r w:rsidRPr="009768C0">
              <w:rPr>
                <w:rFonts w:ascii="Arial" w:eastAsia="Arial" w:hAnsi="Arial"/>
                <w:sz w:val="18"/>
                <w:szCs w:val="22"/>
              </w:rPr>
              <w:t>Adjustment to Company Claim</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single" w:sz="4" w:space="0" w:color="000000"/>
              <w:left w:val="none" w:sz="0" w:space="0" w:color="000000"/>
              <w:bottom w:val="none" w:sz="0" w:space="0" w:color="000000"/>
              <w:right w:val="none" w:sz="0" w:space="0" w:color="000000"/>
            </w:tcBorders>
            <w:vAlign w:val="center"/>
          </w:tcPr>
          <w:p w:rsidR="009768C0" w:rsidRPr="009768C0" w:rsidRDefault="009768C0" w:rsidP="009768C0">
            <w:pPr>
              <w:spacing w:before="93" w:after="130" w:line="208" w:lineRule="exact"/>
              <w:ind w:right="298"/>
              <w:jc w:val="right"/>
              <w:textAlignment w:val="baseline"/>
              <w:rPr>
                <w:rFonts w:ascii="Arial" w:eastAsia="Arial" w:hAnsi="Arial"/>
                <w:sz w:val="18"/>
                <w:szCs w:val="22"/>
              </w:rPr>
            </w:pPr>
            <w:r w:rsidRPr="009768C0">
              <w:rPr>
                <w:rFonts w:ascii="Arial" w:eastAsia="Arial" w:hAnsi="Arial"/>
                <w:sz w:val="18"/>
                <w:szCs w:val="22"/>
              </w:rPr>
              <w:t>$360</w:t>
            </w:r>
          </w:p>
        </w:tc>
      </w:tr>
      <w:tr w:rsidR="009768C0" w:rsidRPr="009768C0" w:rsidTr="006503A2">
        <w:trPr>
          <w:trHeight w:hRule="exact" w:val="465"/>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before="150" w:after="117" w:line="198" w:lineRule="exact"/>
              <w:ind w:left="317"/>
              <w:textAlignment w:val="baseline"/>
              <w:rPr>
                <w:rFonts w:ascii="Arial" w:eastAsia="Arial" w:hAnsi="Arial"/>
                <w:i/>
                <w:sz w:val="15"/>
                <w:szCs w:val="22"/>
              </w:rPr>
            </w:pPr>
            <w:r w:rsidRPr="009768C0">
              <w:rPr>
                <w:rFonts w:ascii="Arial" w:eastAsia="Arial" w:hAnsi="Arial"/>
                <w:i/>
                <w:sz w:val="15"/>
                <w:szCs w:val="22"/>
              </w:rPr>
              <w:t>*See Response to Data Request No. A-6. Attachment No.1</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r>
      <w:tr w:rsidR="009768C0" w:rsidRPr="009768C0" w:rsidTr="006503A2">
        <w:trPr>
          <w:trHeight w:hRule="exact" w:val="394"/>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before="175" w:after="4" w:line="209" w:lineRule="exact"/>
              <w:ind w:left="317"/>
              <w:textAlignment w:val="baseline"/>
              <w:rPr>
                <w:rFonts w:ascii="Arial" w:eastAsia="Arial" w:hAnsi="Arial"/>
                <w:sz w:val="18"/>
                <w:szCs w:val="22"/>
              </w:rPr>
            </w:pPr>
            <w:r w:rsidRPr="009768C0">
              <w:rPr>
                <w:rFonts w:ascii="Arial" w:eastAsia="Arial" w:hAnsi="Arial"/>
                <w:sz w:val="18"/>
                <w:szCs w:val="22"/>
              </w:rPr>
              <w:t>Adjustment to modify Company claim for Flow Equalization Tank**</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r>
      <w:tr w:rsidR="009768C0" w:rsidRPr="009768C0" w:rsidTr="006503A2">
        <w:trPr>
          <w:trHeight w:hRule="exact" w:val="254"/>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after="16" w:line="208" w:lineRule="exact"/>
              <w:ind w:left="677"/>
              <w:textAlignment w:val="baseline"/>
              <w:rPr>
                <w:rFonts w:ascii="Arial" w:eastAsia="Arial" w:hAnsi="Arial"/>
                <w:sz w:val="18"/>
                <w:szCs w:val="22"/>
              </w:rPr>
            </w:pPr>
            <w:r w:rsidRPr="009768C0">
              <w:rPr>
                <w:rFonts w:ascii="Arial" w:eastAsia="Arial" w:hAnsi="Arial"/>
                <w:sz w:val="18"/>
                <w:szCs w:val="22"/>
              </w:rPr>
              <w:t>Contractor Estimate</w:t>
            </w:r>
          </w:p>
        </w:tc>
        <w:tc>
          <w:tcPr>
            <w:tcW w:w="1061"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after="16" w:line="208" w:lineRule="exact"/>
              <w:jc w:val="center"/>
              <w:textAlignment w:val="baseline"/>
              <w:rPr>
                <w:rFonts w:ascii="Arial" w:eastAsia="Arial" w:hAnsi="Arial"/>
                <w:sz w:val="18"/>
                <w:szCs w:val="22"/>
              </w:rPr>
            </w:pPr>
            <w:r w:rsidRPr="009768C0">
              <w:rPr>
                <w:rFonts w:ascii="Arial" w:eastAsia="Arial" w:hAnsi="Arial"/>
                <w:sz w:val="18"/>
                <w:szCs w:val="22"/>
              </w:rPr>
              <w:t>$1,655</w:t>
            </w:r>
          </w:p>
        </w:tc>
        <w:tc>
          <w:tcPr>
            <w:tcW w:w="1200"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r>
      <w:tr w:rsidR="009768C0" w:rsidRPr="009768C0" w:rsidTr="006503A2">
        <w:trPr>
          <w:trHeight w:hRule="exact" w:val="240"/>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line="206" w:lineRule="exact"/>
              <w:ind w:left="677"/>
              <w:textAlignment w:val="baseline"/>
              <w:rPr>
                <w:rFonts w:ascii="Arial" w:eastAsia="Arial" w:hAnsi="Arial"/>
                <w:sz w:val="18"/>
                <w:szCs w:val="22"/>
              </w:rPr>
            </w:pPr>
            <w:r w:rsidRPr="009768C0">
              <w:rPr>
                <w:rFonts w:ascii="Arial" w:eastAsia="Arial" w:hAnsi="Arial"/>
                <w:sz w:val="18"/>
                <w:szCs w:val="22"/>
              </w:rPr>
              <w:t>Amortize over 3 years</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line="204" w:lineRule="exact"/>
              <w:ind w:right="298"/>
              <w:jc w:val="right"/>
              <w:textAlignment w:val="baseline"/>
              <w:rPr>
                <w:rFonts w:ascii="Arial" w:eastAsia="Arial" w:hAnsi="Arial"/>
                <w:sz w:val="18"/>
                <w:szCs w:val="22"/>
              </w:rPr>
            </w:pPr>
            <w:r w:rsidRPr="009768C0">
              <w:rPr>
                <w:rFonts w:ascii="Arial" w:eastAsia="Arial" w:hAnsi="Arial"/>
                <w:sz w:val="18"/>
                <w:szCs w:val="22"/>
              </w:rPr>
              <w:t>552</w:t>
            </w:r>
          </w:p>
        </w:tc>
      </w:tr>
      <w:tr w:rsidR="009768C0" w:rsidRPr="009768C0" w:rsidTr="006503A2">
        <w:trPr>
          <w:trHeight w:hRule="exact" w:val="240"/>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after="1" w:line="208" w:lineRule="exact"/>
              <w:ind w:left="677"/>
              <w:textAlignment w:val="baseline"/>
              <w:rPr>
                <w:rFonts w:ascii="Arial" w:eastAsia="Arial" w:hAnsi="Arial"/>
                <w:sz w:val="18"/>
                <w:szCs w:val="22"/>
              </w:rPr>
            </w:pPr>
            <w:r w:rsidRPr="009768C0">
              <w:rPr>
                <w:rFonts w:ascii="Arial" w:eastAsia="Arial" w:hAnsi="Arial"/>
                <w:sz w:val="18"/>
                <w:szCs w:val="22"/>
              </w:rPr>
              <w:t>Less Company Claim</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single" w:sz="4" w:space="0" w:color="000000"/>
              <w:right w:val="none" w:sz="0" w:space="0" w:color="000000"/>
            </w:tcBorders>
            <w:vAlign w:val="center"/>
          </w:tcPr>
          <w:p w:rsidR="009768C0" w:rsidRPr="009768C0" w:rsidRDefault="009768C0" w:rsidP="009768C0">
            <w:pPr>
              <w:spacing w:line="209" w:lineRule="exact"/>
              <w:ind w:right="298"/>
              <w:jc w:val="right"/>
              <w:textAlignment w:val="baseline"/>
              <w:rPr>
                <w:rFonts w:ascii="Arial" w:eastAsia="Arial" w:hAnsi="Arial"/>
                <w:sz w:val="18"/>
                <w:szCs w:val="22"/>
              </w:rPr>
            </w:pPr>
            <w:r w:rsidRPr="009768C0">
              <w:rPr>
                <w:rFonts w:ascii="Arial" w:eastAsia="Arial" w:hAnsi="Arial"/>
                <w:sz w:val="18"/>
                <w:szCs w:val="22"/>
              </w:rPr>
              <w:t>(4,000)</w:t>
            </w:r>
          </w:p>
        </w:tc>
      </w:tr>
      <w:tr w:rsidR="009768C0" w:rsidRPr="009768C0" w:rsidTr="006503A2">
        <w:trPr>
          <w:trHeight w:hRule="exact" w:val="442"/>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before="93" w:after="140" w:line="208" w:lineRule="exact"/>
              <w:ind w:left="677"/>
              <w:textAlignment w:val="baseline"/>
              <w:rPr>
                <w:rFonts w:ascii="Arial" w:eastAsia="Arial" w:hAnsi="Arial"/>
                <w:sz w:val="18"/>
                <w:szCs w:val="22"/>
              </w:rPr>
            </w:pPr>
            <w:r w:rsidRPr="009768C0">
              <w:rPr>
                <w:rFonts w:ascii="Arial" w:eastAsia="Arial" w:hAnsi="Arial"/>
                <w:sz w:val="18"/>
                <w:szCs w:val="22"/>
              </w:rPr>
              <w:t>Adjustment to Company Claim</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single" w:sz="4" w:space="0" w:color="000000"/>
              <w:left w:val="none" w:sz="0" w:space="0" w:color="000000"/>
              <w:bottom w:val="none" w:sz="0" w:space="0" w:color="000000"/>
              <w:right w:val="none" w:sz="0" w:space="0" w:color="000000"/>
            </w:tcBorders>
            <w:vAlign w:val="center"/>
          </w:tcPr>
          <w:p w:rsidR="009768C0" w:rsidRPr="009768C0" w:rsidRDefault="009768C0" w:rsidP="009768C0">
            <w:pPr>
              <w:spacing w:before="93" w:after="140" w:line="208" w:lineRule="exact"/>
              <w:ind w:right="298"/>
              <w:jc w:val="right"/>
              <w:textAlignment w:val="baseline"/>
              <w:rPr>
                <w:rFonts w:ascii="Arial" w:eastAsia="Arial" w:hAnsi="Arial"/>
                <w:sz w:val="18"/>
                <w:szCs w:val="22"/>
              </w:rPr>
            </w:pPr>
            <w:r w:rsidRPr="009768C0">
              <w:rPr>
                <w:rFonts w:ascii="Arial" w:eastAsia="Arial" w:hAnsi="Arial"/>
                <w:sz w:val="18"/>
                <w:szCs w:val="22"/>
              </w:rPr>
              <w:t>($3,448)</w:t>
            </w:r>
          </w:p>
        </w:tc>
      </w:tr>
      <w:tr w:rsidR="009768C0" w:rsidRPr="009768C0" w:rsidTr="006503A2">
        <w:trPr>
          <w:trHeight w:hRule="exact" w:val="466"/>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before="151" w:after="111" w:line="198" w:lineRule="exact"/>
              <w:ind w:left="317"/>
              <w:textAlignment w:val="baseline"/>
              <w:rPr>
                <w:rFonts w:ascii="Arial" w:eastAsia="Arial" w:hAnsi="Arial"/>
                <w:i/>
                <w:sz w:val="15"/>
                <w:szCs w:val="22"/>
              </w:rPr>
            </w:pPr>
            <w:r w:rsidRPr="009768C0">
              <w:rPr>
                <w:rFonts w:ascii="Arial" w:eastAsia="Arial" w:hAnsi="Arial"/>
                <w:i/>
                <w:sz w:val="15"/>
                <w:szCs w:val="22"/>
              </w:rPr>
              <w:t>*See Response to Data Request No. A-7. Attachment No.3</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r>
      <w:tr w:rsidR="009768C0" w:rsidRPr="009768C0" w:rsidTr="006503A2">
        <w:trPr>
          <w:trHeight w:hRule="exact" w:val="393"/>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before="174" w:line="209" w:lineRule="exact"/>
              <w:ind w:left="317"/>
              <w:textAlignment w:val="baseline"/>
              <w:rPr>
                <w:rFonts w:ascii="Arial" w:eastAsia="Arial" w:hAnsi="Arial"/>
                <w:sz w:val="18"/>
                <w:szCs w:val="22"/>
              </w:rPr>
            </w:pPr>
            <w:r w:rsidRPr="009768C0">
              <w:rPr>
                <w:rFonts w:ascii="Arial" w:eastAsia="Arial" w:hAnsi="Arial"/>
                <w:sz w:val="18"/>
                <w:szCs w:val="22"/>
              </w:rPr>
              <w:t>Adjustment to modify Company claim for membrane sleeve replacement***</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r>
      <w:tr w:rsidR="009768C0" w:rsidRPr="009768C0" w:rsidTr="006503A2">
        <w:trPr>
          <w:trHeight w:hRule="exact" w:val="255"/>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before="31" w:after="10" w:line="208" w:lineRule="exact"/>
              <w:ind w:left="677"/>
              <w:textAlignment w:val="baseline"/>
              <w:rPr>
                <w:rFonts w:ascii="Arial" w:eastAsia="Arial" w:hAnsi="Arial"/>
                <w:sz w:val="18"/>
                <w:szCs w:val="22"/>
              </w:rPr>
            </w:pPr>
            <w:r w:rsidRPr="009768C0">
              <w:rPr>
                <w:rFonts w:ascii="Arial" w:eastAsia="Arial" w:hAnsi="Arial"/>
                <w:sz w:val="18"/>
                <w:szCs w:val="22"/>
              </w:rPr>
              <w:t>Contractor Estimate</w:t>
            </w:r>
          </w:p>
        </w:tc>
        <w:tc>
          <w:tcPr>
            <w:tcW w:w="1061"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before="31" w:after="10" w:line="208" w:lineRule="exact"/>
              <w:jc w:val="center"/>
              <w:textAlignment w:val="baseline"/>
              <w:rPr>
                <w:rFonts w:ascii="Arial" w:eastAsia="Arial" w:hAnsi="Arial"/>
                <w:sz w:val="18"/>
                <w:szCs w:val="22"/>
              </w:rPr>
            </w:pPr>
            <w:r w:rsidRPr="009768C0">
              <w:rPr>
                <w:rFonts w:ascii="Arial" w:eastAsia="Arial" w:hAnsi="Arial"/>
                <w:sz w:val="18"/>
                <w:szCs w:val="22"/>
              </w:rPr>
              <w:t>$3,525</w:t>
            </w:r>
          </w:p>
        </w:tc>
        <w:tc>
          <w:tcPr>
            <w:tcW w:w="1200"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r>
      <w:tr w:rsidR="009768C0" w:rsidRPr="009768C0" w:rsidTr="006503A2">
        <w:trPr>
          <w:trHeight w:hRule="exact" w:val="240"/>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after="6" w:line="208" w:lineRule="exact"/>
              <w:ind w:left="677"/>
              <w:textAlignment w:val="baseline"/>
              <w:rPr>
                <w:rFonts w:ascii="Arial" w:eastAsia="Arial" w:hAnsi="Arial"/>
                <w:sz w:val="18"/>
                <w:szCs w:val="22"/>
              </w:rPr>
            </w:pPr>
            <w:r w:rsidRPr="009768C0">
              <w:rPr>
                <w:rFonts w:ascii="Arial" w:eastAsia="Arial" w:hAnsi="Arial"/>
                <w:sz w:val="18"/>
                <w:szCs w:val="22"/>
              </w:rPr>
              <w:t>Amortize over 3 years</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after="10" w:line="208" w:lineRule="exact"/>
              <w:ind w:right="298"/>
              <w:jc w:val="right"/>
              <w:textAlignment w:val="baseline"/>
              <w:rPr>
                <w:rFonts w:ascii="Arial" w:eastAsia="Arial" w:hAnsi="Arial"/>
                <w:sz w:val="18"/>
                <w:szCs w:val="22"/>
              </w:rPr>
            </w:pPr>
            <w:r w:rsidRPr="009768C0">
              <w:rPr>
                <w:rFonts w:ascii="Arial" w:eastAsia="Arial" w:hAnsi="Arial"/>
                <w:sz w:val="18"/>
                <w:szCs w:val="22"/>
              </w:rPr>
              <w:t>1,175</w:t>
            </w:r>
          </w:p>
        </w:tc>
      </w:tr>
      <w:tr w:rsidR="009768C0" w:rsidRPr="009768C0" w:rsidTr="006503A2">
        <w:trPr>
          <w:trHeight w:hRule="exact" w:val="240"/>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line="204" w:lineRule="exact"/>
              <w:ind w:left="677"/>
              <w:textAlignment w:val="baseline"/>
              <w:rPr>
                <w:rFonts w:ascii="Arial" w:eastAsia="Arial" w:hAnsi="Arial"/>
                <w:sz w:val="18"/>
                <w:szCs w:val="22"/>
              </w:rPr>
            </w:pPr>
            <w:r w:rsidRPr="009768C0">
              <w:rPr>
                <w:rFonts w:ascii="Arial" w:eastAsia="Arial" w:hAnsi="Arial"/>
                <w:sz w:val="18"/>
                <w:szCs w:val="22"/>
              </w:rPr>
              <w:t>Less Company Claim</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single" w:sz="4" w:space="0" w:color="000000"/>
              <w:right w:val="none" w:sz="0" w:space="0" w:color="000000"/>
            </w:tcBorders>
            <w:vAlign w:val="center"/>
          </w:tcPr>
          <w:p w:rsidR="009768C0" w:rsidRPr="009768C0" w:rsidRDefault="009768C0" w:rsidP="009768C0">
            <w:pPr>
              <w:spacing w:line="204" w:lineRule="exact"/>
              <w:ind w:right="298"/>
              <w:jc w:val="right"/>
              <w:textAlignment w:val="baseline"/>
              <w:rPr>
                <w:rFonts w:ascii="Arial" w:eastAsia="Arial" w:hAnsi="Arial"/>
                <w:sz w:val="18"/>
                <w:szCs w:val="22"/>
              </w:rPr>
            </w:pPr>
            <w:r w:rsidRPr="009768C0">
              <w:rPr>
                <w:rFonts w:ascii="Arial" w:eastAsia="Arial" w:hAnsi="Arial"/>
                <w:sz w:val="18"/>
                <w:szCs w:val="22"/>
              </w:rPr>
              <w:t>(1,067)</w:t>
            </w:r>
          </w:p>
        </w:tc>
      </w:tr>
      <w:tr w:rsidR="009768C0" w:rsidRPr="009768C0" w:rsidTr="006503A2">
        <w:trPr>
          <w:trHeight w:hRule="exact" w:val="427"/>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before="92" w:after="121" w:line="208" w:lineRule="exact"/>
              <w:ind w:left="677"/>
              <w:textAlignment w:val="baseline"/>
              <w:rPr>
                <w:rFonts w:ascii="Arial" w:eastAsia="Arial" w:hAnsi="Arial"/>
                <w:sz w:val="18"/>
                <w:szCs w:val="22"/>
              </w:rPr>
            </w:pPr>
            <w:r w:rsidRPr="009768C0">
              <w:rPr>
                <w:rFonts w:ascii="Arial" w:eastAsia="Arial" w:hAnsi="Arial"/>
                <w:sz w:val="18"/>
                <w:szCs w:val="22"/>
              </w:rPr>
              <w:t>Adjustment to Company Claim</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single" w:sz="4" w:space="0" w:color="000000"/>
              <w:left w:val="none" w:sz="0" w:space="0" w:color="000000"/>
              <w:bottom w:val="none" w:sz="0" w:space="0" w:color="000000"/>
              <w:right w:val="none" w:sz="0" w:space="0" w:color="000000"/>
            </w:tcBorders>
            <w:vAlign w:val="center"/>
          </w:tcPr>
          <w:p w:rsidR="009768C0" w:rsidRPr="009768C0" w:rsidRDefault="009768C0" w:rsidP="009768C0">
            <w:pPr>
              <w:spacing w:before="92" w:after="121" w:line="208" w:lineRule="exact"/>
              <w:ind w:right="298"/>
              <w:jc w:val="right"/>
              <w:textAlignment w:val="baseline"/>
              <w:rPr>
                <w:rFonts w:ascii="Arial" w:eastAsia="Arial" w:hAnsi="Arial"/>
                <w:sz w:val="18"/>
                <w:szCs w:val="22"/>
              </w:rPr>
            </w:pPr>
            <w:r w:rsidRPr="009768C0">
              <w:rPr>
                <w:rFonts w:ascii="Arial" w:eastAsia="Arial" w:hAnsi="Arial"/>
                <w:sz w:val="18"/>
                <w:szCs w:val="22"/>
              </w:rPr>
              <w:t>$108</w:t>
            </w:r>
          </w:p>
        </w:tc>
      </w:tr>
      <w:tr w:rsidR="009768C0" w:rsidRPr="009768C0" w:rsidTr="006503A2">
        <w:trPr>
          <w:trHeight w:hRule="exact" w:val="499"/>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before="165" w:after="135" w:line="198" w:lineRule="exact"/>
              <w:ind w:left="317"/>
              <w:textAlignment w:val="baseline"/>
              <w:rPr>
                <w:rFonts w:ascii="Arial" w:eastAsia="Arial" w:hAnsi="Arial"/>
                <w:i/>
                <w:sz w:val="15"/>
                <w:szCs w:val="22"/>
              </w:rPr>
            </w:pPr>
            <w:r w:rsidRPr="009768C0">
              <w:rPr>
                <w:rFonts w:ascii="Arial" w:eastAsia="Arial" w:hAnsi="Arial"/>
                <w:i/>
                <w:sz w:val="15"/>
                <w:szCs w:val="22"/>
              </w:rPr>
              <w:t>***See Response to Data Request No. A-8. Attachment No.4</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r>
      <w:tr w:rsidR="009768C0" w:rsidRPr="009768C0" w:rsidTr="006503A2">
        <w:trPr>
          <w:trHeight w:hRule="exact" w:val="384"/>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before="155" w:after="10" w:line="209" w:lineRule="exact"/>
              <w:ind w:left="317"/>
              <w:textAlignment w:val="baseline"/>
              <w:rPr>
                <w:rFonts w:ascii="Arial" w:eastAsia="Arial" w:hAnsi="Arial"/>
                <w:sz w:val="18"/>
                <w:szCs w:val="22"/>
              </w:rPr>
            </w:pPr>
            <w:r w:rsidRPr="009768C0">
              <w:rPr>
                <w:rFonts w:ascii="Arial" w:eastAsia="Arial" w:hAnsi="Arial"/>
                <w:sz w:val="18"/>
                <w:szCs w:val="22"/>
              </w:rPr>
              <w:t>Adjustment to remove Company claim for handrail at sewage treatment plant</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before="155" w:after="11" w:line="208" w:lineRule="exact"/>
              <w:ind w:right="298"/>
              <w:jc w:val="right"/>
              <w:textAlignment w:val="baseline"/>
              <w:rPr>
                <w:rFonts w:ascii="Arial" w:eastAsia="Arial" w:hAnsi="Arial"/>
                <w:sz w:val="18"/>
                <w:szCs w:val="22"/>
              </w:rPr>
            </w:pPr>
            <w:r w:rsidRPr="009768C0">
              <w:rPr>
                <w:rFonts w:ascii="Arial" w:eastAsia="Arial" w:hAnsi="Arial"/>
                <w:sz w:val="18"/>
                <w:szCs w:val="22"/>
              </w:rPr>
              <w:t>($3,333)</w:t>
            </w:r>
          </w:p>
        </w:tc>
      </w:tr>
      <w:tr w:rsidR="009768C0" w:rsidRPr="009768C0" w:rsidTr="006503A2">
        <w:trPr>
          <w:trHeight w:hRule="exact" w:val="290"/>
        </w:trPr>
        <w:tc>
          <w:tcPr>
            <w:tcW w:w="7459" w:type="dxa"/>
            <w:tcBorders>
              <w:top w:val="none" w:sz="0" w:space="0" w:color="000000"/>
              <w:left w:val="none" w:sz="0" w:space="0" w:color="000000"/>
              <w:bottom w:val="none" w:sz="0" w:space="0" w:color="000000"/>
              <w:right w:val="none" w:sz="0" w:space="0" w:color="000000"/>
            </w:tcBorders>
            <w:vAlign w:val="center"/>
          </w:tcPr>
          <w:p w:rsidR="009768C0" w:rsidRPr="009768C0" w:rsidRDefault="009768C0" w:rsidP="009768C0">
            <w:pPr>
              <w:spacing w:before="45" w:after="55" w:line="178" w:lineRule="exact"/>
              <w:ind w:left="677"/>
              <w:textAlignment w:val="baseline"/>
              <w:rPr>
                <w:rFonts w:ascii="Arial" w:eastAsia="Arial" w:hAnsi="Arial"/>
                <w:i/>
                <w:sz w:val="15"/>
                <w:szCs w:val="22"/>
              </w:rPr>
            </w:pPr>
            <w:r w:rsidRPr="009768C0">
              <w:rPr>
                <w:rFonts w:ascii="Arial" w:eastAsia="Arial" w:hAnsi="Arial"/>
                <w:i/>
                <w:sz w:val="15"/>
                <w:szCs w:val="22"/>
              </w:rPr>
              <w:t>(The cost of the handrail is added to the cost of utility plant)</w:t>
            </w:r>
          </w:p>
        </w:tc>
        <w:tc>
          <w:tcPr>
            <w:tcW w:w="1061"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c>
          <w:tcPr>
            <w:tcW w:w="1200" w:type="dxa"/>
            <w:tcBorders>
              <w:top w:val="none" w:sz="0" w:space="0" w:color="000000"/>
              <w:left w:val="none" w:sz="0" w:space="0" w:color="000000"/>
              <w:bottom w:val="none" w:sz="0" w:space="0" w:color="000000"/>
              <w:right w:val="none" w:sz="0" w:space="0" w:color="000000"/>
            </w:tcBorders>
          </w:tcPr>
          <w:p w:rsidR="009768C0" w:rsidRPr="009768C0" w:rsidRDefault="009768C0" w:rsidP="009768C0">
            <w:pPr>
              <w:textAlignment w:val="baseline"/>
              <w:rPr>
                <w:rFonts w:ascii="Arial" w:eastAsia="Arial" w:hAnsi="Arial"/>
                <w:sz w:val="24"/>
                <w:szCs w:val="22"/>
              </w:rPr>
            </w:pPr>
          </w:p>
        </w:tc>
      </w:tr>
    </w:tbl>
    <w:p w:rsidR="009768C0" w:rsidRPr="009768C0" w:rsidRDefault="009768C0" w:rsidP="009768C0">
      <w:pPr>
        <w:rPr>
          <w:rFonts w:eastAsia="PMingLiU"/>
          <w:color w:val="auto"/>
          <w:sz w:val="22"/>
          <w:szCs w:val="22"/>
        </w:rPr>
      </w:pPr>
    </w:p>
    <w:p w:rsidR="00B709D6" w:rsidRDefault="00B709D6">
      <w:pPr>
        <w:tabs>
          <w:tab w:val="left" w:pos="4320"/>
        </w:tabs>
        <w:rPr>
          <w:szCs w:val="26"/>
        </w:rPr>
      </w:pPr>
    </w:p>
    <w:p w:rsidR="00B709D6" w:rsidRDefault="00B709D6">
      <w:pPr>
        <w:rPr>
          <w:szCs w:val="26"/>
        </w:rPr>
      </w:pPr>
      <w:r>
        <w:rPr>
          <w:szCs w:val="26"/>
        </w:rPr>
        <w:br w:type="page"/>
      </w:r>
    </w:p>
    <w:p w:rsidR="00B709D6" w:rsidRPr="00B709D6" w:rsidRDefault="00B709D6" w:rsidP="00B709D6">
      <w:pPr>
        <w:spacing w:before="10" w:line="210" w:lineRule="exact"/>
        <w:jc w:val="center"/>
        <w:textAlignment w:val="baseline"/>
        <w:rPr>
          <w:rFonts w:ascii="Arial" w:eastAsia="Arial" w:hAnsi="Arial"/>
          <w:spacing w:val="9"/>
          <w:sz w:val="18"/>
          <w:szCs w:val="22"/>
        </w:rPr>
      </w:pPr>
      <w:proofErr w:type="gramStart"/>
      <w:r w:rsidRPr="00B709D6">
        <w:rPr>
          <w:rFonts w:ascii="Arial" w:eastAsia="Arial" w:hAnsi="Arial"/>
          <w:spacing w:val="9"/>
          <w:sz w:val="18"/>
          <w:szCs w:val="22"/>
        </w:rPr>
        <w:lastRenderedPageBreak/>
        <w:t>Appendix A, contd.</w:t>
      </w:r>
      <w:proofErr w:type="gramEnd"/>
    </w:p>
    <w:p w:rsidR="00B709D6" w:rsidRPr="00B709D6" w:rsidRDefault="00B709D6" w:rsidP="00B709D6">
      <w:pPr>
        <w:spacing w:before="95" w:line="131" w:lineRule="exact"/>
        <w:jc w:val="center"/>
        <w:textAlignment w:val="baseline"/>
        <w:rPr>
          <w:rFonts w:ascii="Lucida Console" w:eastAsia="Lucida Console" w:hAnsi="Lucida Console"/>
          <w:spacing w:val="-8"/>
          <w:sz w:val="14"/>
          <w:szCs w:val="22"/>
        </w:rPr>
      </w:pPr>
      <w:r w:rsidRPr="00B709D6">
        <w:rPr>
          <w:rFonts w:ascii="Lucida Console" w:eastAsia="Lucida Console" w:hAnsi="Lucida Console"/>
          <w:spacing w:val="-8"/>
          <w:sz w:val="14"/>
          <w:szCs w:val="22"/>
        </w:rPr>
        <w:t>R-2014-2419115</w:t>
      </w:r>
    </w:p>
    <w:p w:rsidR="00B709D6" w:rsidRPr="00B709D6" w:rsidRDefault="00B709D6" w:rsidP="00B709D6">
      <w:pPr>
        <w:spacing w:before="38" w:line="497" w:lineRule="exact"/>
        <w:ind w:left="360"/>
        <w:jc w:val="center"/>
        <w:textAlignment w:val="baseline"/>
        <w:rPr>
          <w:rFonts w:ascii="Arial" w:eastAsia="Arial" w:hAnsi="Arial"/>
          <w:sz w:val="18"/>
          <w:szCs w:val="22"/>
        </w:rPr>
      </w:pPr>
      <w:proofErr w:type="spellStart"/>
      <w:r w:rsidRPr="00B709D6">
        <w:rPr>
          <w:rFonts w:ascii="Arial" w:eastAsia="Arial" w:hAnsi="Arial"/>
          <w:sz w:val="18"/>
          <w:szCs w:val="22"/>
        </w:rPr>
        <w:t>Manwalamink</w:t>
      </w:r>
      <w:proofErr w:type="spellEnd"/>
      <w:r w:rsidRPr="00B709D6">
        <w:rPr>
          <w:rFonts w:ascii="Arial" w:eastAsia="Arial" w:hAnsi="Arial"/>
          <w:sz w:val="18"/>
          <w:szCs w:val="22"/>
        </w:rPr>
        <w:t xml:space="preserve"> Sewer Company </w:t>
      </w:r>
      <w:r w:rsidRPr="00B709D6">
        <w:rPr>
          <w:rFonts w:ascii="Arial" w:eastAsia="Arial" w:hAnsi="Arial"/>
          <w:sz w:val="18"/>
          <w:szCs w:val="22"/>
        </w:rPr>
        <w:br/>
        <w:t>Commission Adjustments</w:t>
      </w:r>
    </w:p>
    <w:p w:rsidR="00B709D6" w:rsidRPr="00B709D6" w:rsidRDefault="00B709D6" w:rsidP="00B709D6">
      <w:pPr>
        <w:spacing w:before="463" w:line="210" w:lineRule="exact"/>
        <w:textAlignment w:val="baseline"/>
        <w:rPr>
          <w:rFonts w:ascii="Arial" w:eastAsia="Arial" w:hAnsi="Arial"/>
          <w:spacing w:val="10"/>
          <w:sz w:val="18"/>
          <w:szCs w:val="22"/>
        </w:rPr>
      </w:pPr>
      <w:r w:rsidRPr="00B709D6">
        <w:rPr>
          <w:rFonts w:ascii="Arial" w:eastAsia="Arial" w:hAnsi="Arial"/>
          <w:spacing w:val="10"/>
          <w:sz w:val="18"/>
          <w:szCs w:val="22"/>
        </w:rPr>
        <w:t>Annual Depreciation</w:t>
      </w:r>
    </w:p>
    <w:p w:rsidR="00B709D6" w:rsidRPr="00B709D6" w:rsidRDefault="00B709D6" w:rsidP="00B709D6">
      <w:pPr>
        <w:spacing w:before="284" w:after="281" w:line="210" w:lineRule="exact"/>
        <w:ind w:left="360"/>
        <w:textAlignment w:val="baseline"/>
        <w:rPr>
          <w:rFonts w:ascii="Arial" w:eastAsia="Arial" w:hAnsi="Arial"/>
          <w:spacing w:val="4"/>
          <w:sz w:val="18"/>
          <w:szCs w:val="22"/>
        </w:rPr>
      </w:pPr>
      <w:r w:rsidRPr="00B709D6">
        <w:rPr>
          <w:rFonts w:ascii="Arial" w:eastAsia="Arial" w:hAnsi="Arial"/>
          <w:spacing w:val="4"/>
          <w:sz w:val="18"/>
          <w:szCs w:val="22"/>
        </w:rPr>
        <w:t>Adjustment to Company Claimed Annual Depreciation Expense</w:t>
      </w:r>
    </w:p>
    <w:tbl>
      <w:tblPr>
        <w:tblW w:w="0" w:type="auto"/>
        <w:tblLayout w:type="fixed"/>
        <w:tblCellMar>
          <w:left w:w="0" w:type="dxa"/>
          <w:right w:w="0" w:type="dxa"/>
        </w:tblCellMar>
        <w:tblLook w:val="0000" w:firstRow="0" w:lastRow="0" w:firstColumn="0" w:lastColumn="0" w:noHBand="0" w:noVBand="0"/>
      </w:tblPr>
      <w:tblGrid>
        <w:gridCol w:w="8524"/>
        <w:gridCol w:w="99"/>
        <w:gridCol w:w="857"/>
      </w:tblGrid>
      <w:tr w:rsidR="00B709D6" w:rsidRPr="00B709D6" w:rsidTr="006503A2">
        <w:trPr>
          <w:trHeight w:hRule="exact" w:val="1356"/>
        </w:trPr>
        <w:tc>
          <w:tcPr>
            <w:tcW w:w="8623" w:type="dxa"/>
            <w:gridSpan w:val="2"/>
            <w:tcBorders>
              <w:top w:val="none" w:sz="0" w:space="0" w:color="000000"/>
              <w:left w:val="none" w:sz="0" w:space="0" w:color="000000"/>
              <w:bottom w:val="none" w:sz="0" w:space="0" w:color="000000"/>
              <w:right w:val="none" w:sz="0" w:space="0" w:color="000000"/>
            </w:tcBorders>
          </w:tcPr>
          <w:p w:rsidR="00B709D6" w:rsidRPr="00B709D6" w:rsidRDefault="00B709D6" w:rsidP="00B709D6">
            <w:pPr>
              <w:spacing w:after="150" w:line="239" w:lineRule="exact"/>
              <w:ind w:left="756" w:right="108"/>
              <w:textAlignment w:val="baseline"/>
              <w:rPr>
                <w:rFonts w:ascii="Arial" w:eastAsia="Arial" w:hAnsi="Arial"/>
                <w:sz w:val="18"/>
                <w:szCs w:val="22"/>
              </w:rPr>
            </w:pPr>
            <w:r w:rsidRPr="00B709D6">
              <w:rPr>
                <w:rFonts w:ascii="Arial" w:eastAsia="Arial" w:hAnsi="Arial"/>
                <w:sz w:val="18"/>
                <w:szCs w:val="22"/>
              </w:rPr>
              <w:t>The Company claimed $62,725 for annual depreciation expense. For rate making purposes, Annual Depreciation is calculated using service lives consistent with the experience of comparable waterworks property. The Commission's calculated depreciation is $63,007. The difference reflects a change to life span a roof replacement for the control building with the estimated life of the building and for change in service life for mechanical equipment.</w:t>
            </w:r>
          </w:p>
        </w:tc>
        <w:tc>
          <w:tcPr>
            <w:tcW w:w="857" w:type="dxa"/>
            <w:tcBorders>
              <w:top w:val="none" w:sz="0" w:space="0" w:color="000000"/>
              <w:left w:val="none" w:sz="0" w:space="0" w:color="000000"/>
              <w:bottom w:val="none" w:sz="0" w:space="0" w:color="000000"/>
              <w:right w:val="none" w:sz="0" w:space="0" w:color="000000"/>
            </w:tcBorders>
          </w:tcPr>
          <w:p w:rsidR="00B709D6" w:rsidRPr="00B709D6" w:rsidRDefault="00B709D6" w:rsidP="00B709D6">
            <w:pPr>
              <w:rPr>
                <w:rFonts w:eastAsia="PMingLiU"/>
                <w:color w:val="auto"/>
                <w:sz w:val="22"/>
                <w:szCs w:val="22"/>
              </w:rPr>
            </w:pPr>
          </w:p>
        </w:tc>
      </w:tr>
      <w:tr w:rsidR="00B709D6" w:rsidRPr="00B709D6" w:rsidTr="006503A2">
        <w:trPr>
          <w:trHeight w:hRule="exact" w:val="583"/>
        </w:trPr>
        <w:tc>
          <w:tcPr>
            <w:tcW w:w="8524" w:type="dxa"/>
            <w:tcBorders>
              <w:top w:val="none" w:sz="0" w:space="0" w:color="000000"/>
              <w:left w:val="none" w:sz="0" w:space="0" w:color="000000"/>
              <w:bottom w:val="none" w:sz="0" w:space="0" w:color="000000"/>
              <w:right w:val="none" w:sz="0" w:space="0" w:color="000000"/>
            </w:tcBorders>
          </w:tcPr>
          <w:p w:rsidR="00B709D6" w:rsidRPr="00B709D6" w:rsidRDefault="00B709D6" w:rsidP="00B709D6">
            <w:pPr>
              <w:spacing w:before="93" w:line="238" w:lineRule="exact"/>
              <w:ind w:left="2700" w:right="2520"/>
              <w:textAlignment w:val="baseline"/>
              <w:rPr>
                <w:rFonts w:ascii="Arial" w:eastAsia="Arial" w:hAnsi="Arial"/>
                <w:sz w:val="18"/>
                <w:szCs w:val="22"/>
              </w:rPr>
            </w:pPr>
            <w:r w:rsidRPr="00B709D6">
              <w:rPr>
                <w:rFonts w:ascii="Arial" w:eastAsia="Arial" w:hAnsi="Arial"/>
                <w:sz w:val="18"/>
                <w:szCs w:val="22"/>
              </w:rPr>
              <w:t>Commission Calculated Depreciation Less Company Calculated Depreciation</w:t>
            </w:r>
          </w:p>
        </w:tc>
        <w:tc>
          <w:tcPr>
            <w:tcW w:w="99" w:type="dxa"/>
            <w:tcBorders>
              <w:top w:val="none" w:sz="0" w:space="0" w:color="000000"/>
              <w:left w:val="none" w:sz="0" w:space="0" w:color="000000"/>
              <w:bottom w:val="single" w:sz="5" w:space="0" w:color="000000"/>
              <w:right w:val="none" w:sz="0" w:space="0" w:color="000000"/>
            </w:tcBorders>
          </w:tcPr>
          <w:p w:rsidR="00B709D6" w:rsidRPr="00B709D6" w:rsidRDefault="00B709D6" w:rsidP="00B709D6">
            <w:pPr>
              <w:rPr>
                <w:rFonts w:eastAsia="PMingLiU"/>
                <w:color w:val="auto"/>
                <w:sz w:val="22"/>
                <w:szCs w:val="22"/>
              </w:rPr>
            </w:pPr>
          </w:p>
        </w:tc>
        <w:tc>
          <w:tcPr>
            <w:tcW w:w="857" w:type="dxa"/>
            <w:tcBorders>
              <w:top w:val="none" w:sz="0" w:space="0" w:color="000000"/>
              <w:left w:val="none" w:sz="0" w:space="0" w:color="000000"/>
              <w:bottom w:val="single" w:sz="5" w:space="0" w:color="000000"/>
              <w:right w:val="none" w:sz="0" w:space="0" w:color="000000"/>
            </w:tcBorders>
          </w:tcPr>
          <w:p w:rsidR="00B709D6" w:rsidRPr="00B709D6" w:rsidRDefault="00B709D6" w:rsidP="00B709D6">
            <w:pPr>
              <w:spacing w:before="129" w:line="210" w:lineRule="exact"/>
              <w:ind w:right="36"/>
              <w:jc w:val="right"/>
              <w:textAlignment w:val="baseline"/>
              <w:rPr>
                <w:rFonts w:ascii="Arial" w:eastAsia="Arial" w:hAnsi="Arial"/>
                <w:sz w:val="18"/>
                <w:szCs w:val="22"/>
              </w:rPr>
            </w:pPr>
            <w:r w:rsidRPr="00B709D6">
              <w:rPr>
                <w:rFonts w:ascii="Arial" w:eastAsia="Arial" w:hAnsi="Arial"/>
                <w:sz w:val="18"/>
                <w:szCs w:val="22"/>
              </w:rPr>
              <w:t>$63,007</w:t>
            </w:r>
          </w:p>
          <w:p w:rsidR="00B709D6" w:rsidRPr="00B709D6" w:rsidRDefault="00B709D6" w:rsidP="00B709D6">
            <w:pPr>
              <w:spacing w:before="40" w:line="190" w:lineRule="exact"/>
              <w:ind w:right="36"/>
              <w:jc w:val="right"/>
              <w:textAlignment w:val="baseline"/>
              <w:rPr>
                <w:rFonts w:ascii="Arial" w:eastAsia="Arial" w:hAnsi="Arial"/>
                <w:sz w:val="18"/>
                <w:szCs w:val="22"/>
                <w:u w:val="single"/>
              </w:rPr>
            </w:pPr>
            <w:r w:rsidRPr="00B709D6">
              <w:rPr>
                <w:rFonts w:ascii="Arial" w:eastAsia="Arial" w:hAnsi="Arial"/>
                <w:sz w:val="18"/>
                <w:szCs w:val="22"/>
                <w:u w:val="single"/>
              </w:rPr>
              <w:t>(62,725)</w:t>
            </w:r>
          </w:p>
        </w:tc>
      </w:tr>
      <w:tr w:rsidR="00B709D6" w:rsidRPr="00B709D6" w:rsidTr="006503A2">
        <w:trPr>
          <w:trHeight w:hRule="exact" w:val="22"/>
        </w:trPr>
        <w:tc>
          <w:tcPr>
            <w:tcW w:w="8524" w:type="dxa"/>
            <w:tcBorders>
              <w:top w:val="none" w:sz="0" w:space="0" w:color="000000"/>
              <w:left w:val="none" w:sz="0" w:space="0" w:color="000000"/>
              <w:bottom w:val="none" w:sz="0" w:space="0" w:color="000000"/>
              <w:right w:val="none" w:sz="0" w:space="0" w:color="000000"/>
            </w:tcBorders>
          </w:tcPr>
          <w:p w:rsidR="00B709D6" w:rsidRPr="00B709D6" w:rsidRDefault="00B709D6" w:rsidP="00B709D6">
            <w:pPr>
              <w:rPr>
                <w:rFonts w:eastAsia="PMingLiU"/>
                <w:color w:val="auto"/>
                <w:sz w:val="22"/>
                <w:szCs w:val="22"/>
              </w:rPr>
            </w:pPr>
          </w:p>
        </w:tc>
        <w:tc>
          <w:tcPr>
            <w:tcW w:w="99" w:type="dxa"/>
            <w:tcBorders>
              <w:top w:val="single" w:sz="5" w:space="0" w:color="000000"/>
              <w:left w:val="none" w:sz="0" w:space="0" w:color="000000"/>
              <w:bottom w:val="none" w:sz="0" w:space="0" w:color="000000"/>
              <w:right w:val="none" w:sz="0" w:space="0" w:color="000000"/>
            </w:tcBorders>
          </w:tcPr>
          <w:p w:rsidR="00B709D6" w:rsidRPr="00B709D6" w:rsidRDefault="00B709D6" w:rsidP="00B709D6">
            <w:pPr>
              <w:rPr>
                <w:rFonts w:eastAsia="PMingLiU"/>
                <w:color w:val="auto"/>
                <w:sz w:val="22"/>
                <w:szCs w:val="22"/>
              </w:rPr>
            </w:pPr>
          </w:p>
        </w:tc>
        <w:tc>
          <w:tcPr>
            <w:tcW w:w="857" w:type="dxa"/>
            <w:tcBorders>
              <w:top w:val="single" w:sz="5" w:space="0" w:color="000000"/>
              <w:left w:val="none" w:sz="0" w:space="0" w:color="000000"/>
              <w:bottom w:val="none" w:sz="0" w:space="0" w:color="000000"/>
              <w:right w:val="none" w:sz="0" w:space="0" w:color="000000"/>
            </w:tcBorders>
          </w:tcPr>
          <w:p w:rsidR="00B709D6" w:rsidRPr="00B709D6" w:rsidRDefault="00B709D6" w:rsidP="00B709D6">
            <w:pPr>
              <w:rPr>
                <w:rFonts w:eastAsia="PMingLiU"/>
                <w:color w:val="auto"/>
                <w:sz w:val="22"/>
                <w:szCs w:val="22"/>
              </w:rPr>
            </w:pPr>
          </w:p>
        </w:tc>
      </w:tr>
    </w:tbl>
    <w:p w:rsidR="00B709D6" w:rsidRPr="00B709D6" w:rsidRDefault="00B709D6" w:rsidP="00B709D6">
      <w:pPr>
        <w:spacing w:after="196" w:line="20" w:lineRule="exact"/>
        <w:rPr>
          <w:rFonts w:eastAsia="PMingLiU"/>
          <w:color w:val="auto"/>
          <w:sz w:val="22"/>
          <w:szCs w:val="22"/>
        </w:rPr>
      </w:pPr>
    </w:p>
    <w:tbl>
      <w:tblPr>
        <w:tblW w:w="0" w:type="auto"/>
        <w:tblLayout w:type="fixed"/>
        <w:tblCellMar>
          <w:left w:w="0" w:type="dxa"/>
          <w:right w:w="0" w:type="dxa"/>
        </w:tblCellMar>
        <w:tblLook w:val="0000" w:firstRow="0" w:lastRow="0" w:firstColumn="0" w:lastColumn="0" w:noHBand="0" w:noVBand="0"/>
      </w:tblPr>
      <w:tblGrid>
        <w:gridCol w:w="8428"/>
        <w:gridCol w:w="1052"/>
      </w:tblGrid>
      <w:tr w:rsidR="00B709D6" w:rsidRPr="00B709D6" w:rsidTr="006503A2">
        <w:trPr>
          <w:trHeight w:hRule="exact" w:val="267"/>
        </w:trPr>
        <w:tc>
          <w:tcPr>
            <w:tcW w:w="8428" w:type="dxa"/>
            <w:vMerge w:val="restart"/>
            <w:tcBorders>
              <w:top w:val="none" w:sz="0" w:space="0" w:color="000000"/>
              <w:left w:val="none" w:sz="0" w:space="0" w:color="000000"/>
              <w:bottom w:val="single" w:sz="0" w:space="0" w:color="000000"/>
              <w:right w:val="none" w:sz="0" w:space="0" w:color="000000"/>
            </w:tcBorders>
          </w:tcPr>
          <w:p w:rsidR="00B709D6" w:rsidRPr="00B709D6" w:rsidRDefault="00B709D6" w:rsidP="00B709D6">
            <w:pPr>
              <w:spacing w:before="34" w:line="210" w:lineRule="exact"/>
              <w:ind w:right="4790"/>
              <w:jc w:val="right"/>
              <w:textAlignment w:val="baseline"/>
              <w:rPr>
                <w:rFonts w:ascii="Arial" w:eastAsia="Arial" w:hAnsi="Arial"/>
                <w:sz w:val="18"/>
                <w:szCs w:val="22"/>
              </w:rPr>
            </w:pPr>
            <w:r w:rsidRPr="00B709D6">
              <w:rPr>
                <w:rFonts w:ascii="Arial" w:eastAsia="Arial" w:hAnsi="Arial"/>
                <w:sz w:val="18"/>
                <w:szCs w:val="22"/>
              </w:rPr>
              <w:t>Adjustment</w:t>
            </w:r>
          </w:p>
          <w:p w:rsidR="00B709D6" w:rsidRPr="00B709D6" w:rsidRDefault="00B709D6" w:rsidP="00B709D6">
            <w:pPr>
              <w:spacing w:before="272" w:after="30" w:line="210" w:lineRule="exact"/>
              <w:ind w:right="5240"/>
              <w:jc w:val="right"/>
              <w:textAlignment w:val="baseline"/>
              <w:rPr>
                <w:rFonts w:ascii="Arial" w:eastAsia="Arial" w:hAnsi="Arial"/>
                <w:sz w:val="18"/>
                <w:szCs w:val="22"/>
              </w:rPr>
            </w:pPr>
            <w:r w:rsidRPr="00B709D6">
              <w:rPr>
                <w:rFonts w:ascii="Arial" w:eastAsia="Arial" w:hAnsi="Arial"/>
                <w:sz w:val="18"/>
                <w:szCs w:val="22"/>
              </w:rPr>
              <w:t>Calculate Rate of Return on Equity</w:t>
            </w:r>
          </w:p>
        </w:tc>
        <w:tc>
          <w:tcPr>
            <w:tcW w:w="1052" w:type="dxa"/>
            <w:tcBorders>
              <w:top w:val="single" w:sz="5" w:space="0" w:color="000000"/>
              <w:left w:val="none" w:sz="0" w:space="0" w:color="000000"/>
              <w:bottom w:val="double" w:sz="7" w:space="0" w:color="000000"/>
              <w:right w:val="none" w:sz="0" w:space="0" w:color="000000"/>
            </w:tcBorders>
            <w:vAlign w:val="center"/>
          </w:tcPr>
          <w:p w:rsidR="00B709D6" w:rsidRPr="00B709D6" w:rsidRDefault="00B709D6" w:rsidP="00B709D6">
            <w:pPr>
              <w:tabs>
                <w:tab w:val="right" w:pos="936"/>
              </w:tabs>
              <w:spacing w:before="34" w:after="22" w:line="210" w:lineRule="exact"/>
              <w:jc w:val="center"/>
              <w:textAlignment w:val="baseline"/>
              <w:rPr>
                <w:rFonts w:ascii="Arial" w:eastAsia="Arial" w:hAnsi="Arial"/>
                <w:sz w:val="18"/>
                <w:szCs w:val="22"/>
              </w:rPr>
            </w:pPr>
            <w:r w:rsidRPr="00B709D6">
              <w:rPr>
                <w:rFonts w:ascii="Arial" w:eastAsia="Arial" w:hAnsi="Arial"/>
                <w:sz w:val="18"/>
                <w:szCs w:val="22"/>
              </w:rPr>
              <w:t>$</w:t>
            </w:r>
            <w:r w:rsidRPr="00B709D6">
              <w:rPr>
                <w:rFonts w:ascii="Arial" w:eastAsia="Arial" w:hAnsi="Arial"/>
                <w:sz w:val="18"/>
                <w:szCs w:val="22"/>
              </w:rPr>
              <w:tab/>
              <w:t>282</w:t>
            </w:r>
          </w:p>
        </w:tc>
      </w:tr>
      <w:tr w:rsidR="00B709D6" w:rsidRPr="00B709D6" w:rsidTr="006503A2">
        <w:trPr>
          <w:trHeight w:hRule="exact" w:val="495"/>
        </w:trPr>
        <w:tc>
          <w:tcPr>
            <w:tcW w:w="8428" w:type="dxa"/>
            <w:vMerge/>
            <w:tcBorders>
              <w:top w:val="single" w:sz="0" w:space="0" w:color="000000"/>
              <w:left w:val="none" w:sz="0" w:space="0" w:color="000000"/>
              <w:bottom w:val="none" w:sz="0" w:space="0" w:color="000000"/>
              <w:right w:val="none" w:sz="0" w:space="0" w:color="000000"/>
            </w:tcBorders>
          </w:tcPr>
          <w:p w:rsidR="00B709D6" w:rsidRPr="00B709D6" w:rsidRDefault="00B709D6" w:rsidP="00B709D6">
            <w:pPr>
              <w:rPr>
                <w:rFonts w:eastAsia="PMingLiU"/>
                <w:color w:val="auto"/>
                <w:sz w:val="22"/>
                <w:szCs w:val="22"/>
              </w:rPr>
            </w:pPr>
          </w:p>
        </w:tc>
        <w:tc>
          <w:tcPr>
            <w:tcW w:w="1052" w:type="dxa"/>
            <w:tcBorders>
              <w:top w:val="double" w:sz="7" w:space="0" w:color="000000"/>
              <w:left w:val="none" w:sz="0" w:space="0" w:color="000000"/>
              <w:bottom w:val="none" w:sz="0" w:space="0" w:color="000000"/>
              <w:right w:val="none" w:sz="0" w:space="0" w:color="000000"/>
            </w:tcBorders>
          </w:tcPr>
          <w:p w:rsidR="00B709D6" w:rsidRPr="00B709D6" w:rsidRDefault="00B709D6" w:rsidP="00B709D6">
            <w:pPr>
              <w:rPr>
                <w:rFonts w:eastAsia="PMingLiU"/>
                <w:color w:val="auto"/>
                <w:sz w:val="22"/>
                <w:szCs w:val="22"/>
              </w:rPr>
            </w:pPr>
          </w:p>
        </w:tc>
      </w:tr>
    </w:tbl>
    <w:p w:rsidR="00B709D6" w:rsidRPr="00B709D6" w:rsidRDefault="00B709D6" w:rsidP="00B709D6">
      <w:pPr>
        <w:spacing w:after="232" w:line="20" w:lineRule="exact"/>
        <w:rPr>
          <w:rFonts w:eastAsia="PMingLiU"/>
          <w:color w:val="auto"/>
          <w:sz w:val="22"/>
          <w:szCs w:val="22"/>
        </w:rPr>
      </w:pPr>
    </w:p>
    <w:p w:rsidR="00B709D6" w:rsidRPr="00B709D6" w:rsidRDefault="00B709D6" w:rsidP="00B709D6">
      <w:pPr>
        <w:tabs>
          <w:tab w:val="right" w:pos="3168"/>
          <w:tab w:val="left" w:pos="3888"/>
          <w:tab w:val="decimal" w:pos="4896"/>
          <w:tab w:val="left" w:pos="5616"/>
          <w:tab w:val="left" w:pos="6552"/>
        </w:tabs>
        <w:spacing w:line="206" w:lineRule="exact"/>
        <w:ind w:left="1800"/>
        <w:textAlignment w:val="baseline"/>
        <w:rPr>
          <w:rFonts w:ascii="Arial" w:eastAsia="Arial" w:hAnsi="Arial"/>
          <w:sz w:val="18"/>
          <w:szCs w:val="22"/>
        </w:rPr>
      </w:pPr>
      <w:r w:rsidRPr="00B709D6">
        <w:rPr>
          <w:rFonts w:ascii="Arial" w:eastAsia="Arial" w:hAnsi="Arial"/>
          <w:sz w:val="18"/>
          <w:szCs w:val="22"/>
        </w:rPr>
        <w:tab/>
        <w:t>Capital Structure</w:t>
      </w:r>
      <w:r w:rsidRPr="00B709D6">
        <w:rPr>
          <w:rFonts w:ascii="Arial" w:eastAsia="Arial" w:hAnsi="Arial"/>
          <w:sz w:val="18"/>
          <w:szCs w:val="22"/>
        </w:rPr>
        <w:tab/>
        <w:t>Debt</w:t>
      </w:r>
      <w:r w:rsidRPr="00B709D6">
        <w:rPr>
          <w:rFonts w:ascii="Arial" w:eastAsia="Arial" w:hAnsi="Arial"/>
          <w:sz w:val="18"/>
          <w:szCs w:val="22"/>
        </w:rPr>
        <w:tab/>
        <w:t>0.5</w:t>
      </w:r>
      <w:r w:rsidRPr="00B709D6">
        <w:rPr>
          <w:rFonts w:ascii="Arial" w:eastAsia="Arial" w:hAnsi="Arial"/>
          <w:sz w:val="18"/>
          <w:szCs w:val="22"/>
        </w:rPr>
        <w:tab/>
        <w:t>Cost</w:t>
      </w:r>
      <w:r w:rsidRPr="00B709D6">
        <w:rPr>
          <w:rFonts w:ascii="Arial" w:eastAsia="Arial" w:hAnsi="Arial"/>
          <w:sz w:val="18"/>
          <w:szCs w:val="22"/>
        </w:rPr>
        <w:tab/>
        <w:t>5.10%</w:t>
      </w:r>
    </w:p>
    <w:p w:rsidR="00B709D6" w:rsidRPr="00B709D6" w:rsidRDefault="00B709D6" w:rsidP="00B709D6">
      <w:pPr>
        <w:tabs>
          <w:tab w:val="decimal" w:pos="4896"/>
          <w:tab w:val="left" w:pos="6624"/>
        </w:tabs>
        <w:spacing w:before="38" w:line="210" w:lineRule="exact"/>
        <w:ind w:left="3816"/>
        <w:textAlignment w:val="baseline"/>
        <w:rPr>
          <w:rFonts w:ascii="Arial" w:eastAsia="Arial" w:hAnsi="Arial"/>
          <w:sz w:val="18"/>
          <w:szCs w:val="22"/>
        </w:rPr>
      </w:pPr>
      <w:r w:rsidRPr="00B709D6">
        <w:rPr>
          <w:rFonts w:ascii="Arial" w:eastAsia="Arial" w:hAnsi="Arial"/>
          <w:sz w:val="18"/>
          <w:szCs w:val="22"/>
        </w:rPr>
        <w:t>Equity</w:t>
      </w:r>
      <w:r w:rsidRPr="00B709D6">
        <w:rPr>
          <w:rFonts w:ascii="Arial" w:eastAsia="Arial" w:hAnsi="Arial"/>
          <w:sz w:val="18"/>
          <w:szCs w:val="22"/>
        </w:rPr>
        <w:tab/>
        <w:t>0.5</w:t>
      </w:r>
      <w:r w:rsidRPr="00B709D6">
        <w:rPr>
          <w:rFonts w:ascii="Arial" w:eastAsia="Arial" w:hAnsi="Arial"/>
          <w:sz w:val="18"/>
          <w:szCs w:val="22"/>
        </w:rPr>
        <w:tab/>
        <w:t>X%</w:t>
      </w:r>
    </w:p>
    <w:p w:rsidR="00B709D6" w:rsidRPr="00B709D6" w:rsidRDefault="00B709D6" w:rsidP="00B709D6">
      <w:pPr>
        <w:tabs>
          <w:tab w:val="left" w:pos="2088"/>
          <w:tab w:val="left" w:pos="2808"/>
          <w:tab w:val="left" w:pos="4050"/>
          <w:tab w:val="left" w:pos="5040"/>
          <w:tab w:val="left" w:pos="5760"/>
          <w:tab w:val="left" w:pos="6696"/>
          <w:tab w:val="left" w:pos="7776"/>
          <w:tab w:val="left" w:pos="8568"/>
        </w:tabs>
        <w:spacing w:before="287" w:line="210" w:lineRule="exact"/>
        <w:ind w:left="1368"/>
        <w:textAlignment w:val="baseline"/>
        <w:rPr>
          <w:rFonts w:ascii="Arial" w:eastAsia="Arial" w:hAnsi="Arial"/>
          <w:spacing w:val="3"/>
          <w:sz w:val="18"/>
          <w:szCs w:val="22"/>
        </w:rPr>
      </w:pPr>
      <w:r w:rsidRPr="00B709D6">
        <w:rPr>
          <w:rFonts w:ascii="Arial" w:eastAsia="Arial" w:hAnsi="Arial"/>
          <w:spacing w:val="3"/>
          <w:sz w:val="18"/>
          <w:szCs w:val="22"/>
        </w:rPr>
        <w:t>0.5</w:t>
      </w:r>
      <w:r w:rsidRPr="00B709D6">
        <w:rPr>
          <w:rFonts w:ascii="Arial" w:eastAsia="Arial" w:hAnsi="Arial"/>
          <w:spacing w:val="3"/>
          <w:sz w:val="18"/>
          <w:szCs w:val="22"/>
        </w:rPr>
        <w:tab/>
        <w:t>x</w:t>
      </w:r>
      <w:r w:rsidRPr="00B709D6">
        <w:rPr>
          <w:rFonts w:ascii="Arial" w:eastAsia="Arial" w:hAnsi="Arial"/>
          <w:spacing w:val="3"/>
          <w:sz w:val="18"/>
          <w:szCs w:val="22"/>
        </w:rPr>
        <w:tab/>
        <w:t>5.10%</w:t>
      </w:r>
      <w:r>
        <w:rPr>
          <w:rFonts w:ascii="Arial" w:eastAsia="Arial" w:hAnsi="Arial"/>
          <w:spacing w:val="3"/>
          <w:sz w:val="18"/>
          <w:szCs w:val="22"/>
        </w:rPr>
        <w:tab/>
        <w:t>+</w:t>
      </w:r>
      <w:r w:rsidRPr="00B709D6">
        <w:rPr>
          <w:rFonts w:ascii="Arial" w:eastAsia="Arial" w:hAnsi="Arial"/>
          <w:spacing w:val="3"/>
          <w:sz w:val="18"/>
          <w:szCs w:val="22"/>
        </w:rPr>
        <w:tab/>
        <w:t>0.5</w:t>
      </w:r>
      <w:r w:rsidRPr="00B709D6">
        <w:rPr>
          <w:rFonts w:ascii="Arial" w:eastAsia="Arial" w:hAnsi="Arial"/>
          <w:spacing w:val="3"/>
          <w:sz w:val="18"/>
          <w:szCs w:val="22"/>
        </w:rPr>
        <w:tab/>
        <w:t>x</w:t>
      </w:r>
      <w:r w:rsidRPr="00B709D6">
        <w:rPr>
          <w:rFonts w:ascii="Arial" w:eastAsia="Arial" w:hAnsi="Arial"/>
          <w:spacing w:val="3"/>
          <w:sz w:val="18"/>
          <w:szCs w:val="22"/>
        </w:rPr>
        <w:tab/>
      </w:r>
      <w:proofErr w:type="spellStart"/>
      <w:r w:rsidRPr="00B709D6">
        <w:rPr>
          <w:rFonts w:ascii="Arial" w:eastAsia="Arial" w:hAnsi="Arial"/>
          <w:spacing w:val="3"/>
          <w:sz w:val="18"/>
          <w:szCs w:val="22"/>
        </w:rPr>
        <w:t>X</w:t>
      </w:r>
      <w:proofErr w:type="spellEnd"/>
      <w:r w:rsidRPr="00B709D6">
        <w:rPr>
          <w:rFonts w:ascii="Arial" w:eastAsia="Arial" w:hAnsi="Arial"/>
          <w:spacing w:val="3"/>
          <w:sz w:val="18"/>
          <w:szCs w:val="22"/>
        </w:rPr>
        <w:tab/>
        <w:t>=</w:t>
      </w:r>
      <w:r w:rsidRPr="00B709D6">
        <w:rPr>
          <w:rFonts w:ascii="Arial" w:eastAsia="Arial" w:hAnsi="Arial"/>
          <w:spacing w:val="3"/>
          <w:sz w:val="18"/>
          <w:szCs w:val="22"/>
        </w:rPr>
        <w:tab/>
        <w:t>8.07%</w:t>
      </w:r>
    </w:p>
    <w:p w:rsidR="00B709D6" w:rsidRPr="00B709D6" w:rsidRDefault="00B709D6" w:rsidP="00B709D6">
      <w:pPr>
        <w:tabs>
          <w:tab w:val="right" w:pos="3168"/>
          <w:tab w:val="left" w:pos="4032"/>
          <w:tab w:val="decimal" w:pos="4896"/>
          <w:tab w:val="left" w:pos="6696"/>
        </w:tabs>
        <w:spacing w:before="285" w:line="210" w:lineRule="exact"/>
        <w:ind w:left="3024"/>
        <w:textAlignment w:val="baseline"/>
        <w:rPr>
          <w:rFonts w:ascii="Arial" w:eastAsia="Arial" w:hAnsi="Arial"/>
          <w:sz w:val="18"/>
          <w:szCs w:val="22"/>
        </w:rPr>
      </w:pPr>
      <w:r w:rsidRPr="00B709D6">
        <w:rPr>
          <w:rFonts w:ascii="Arial" w:eastAsia="Arial" w:hAnsi="Arial"/>
          <w:sz w:val="18"/>
          <w:szCs w:val="22"/>
        </w:rPr>
        <w:tab/>
        <w:t>X</w:t>
      </w:r>
      <w:r w:rsidRPr="00B709D6">
        <w:rPr>
          <w:rFonts w:ascii="Arial" w:eastAsia="Arial" w:hAnsi="Arial"/>
          <w:sz w:val="18"/>
          <w:szCs w:val="22"/>
        </w:rPr>
        <w:tab/>
        <w:t>=</w:t>
      </w:r>
      <w:r w:rsidRPr="00B709D6">
        <w:rPr>
          <w:rFonts w:ascii="Arial" w:eastAsia="Arial" w:hAnsi="Arial"/>
          <w:sz w:val="18"/>
          <w:szCs w:val="22"/>
        </w:rPr>
        <w:tab/>
      </w:r>
      <w:r w:rsidRPr="00B709D6">
        <w:rPr>
          <w:rFonts w:ascii="Arial" w:eastAsia="Arial" w:hAnsi="Arial"/>
          <w:sz w:val="18"/>
          <w:szCs w:val="22"/>
          <w:u w:val="single"/>
        </w:rPr>
        <w:t>8.07%</w:t>
      </w:r>
      <w:r w:rsidR="0057450A">
        <w:rPr>
          <w:rFonts w:ascii="Arial" w:eastAsia="Arial" w:hAnsi="Arial"/>
          <w:sz w:val="18"/>
          <w:szCs w:val="22"/>
          <w:u w:val="single"/>
        </w:rPr>
        <w:t xml:space="preserve">          -</w:t>
      </w:r>
      <w:r w:rsidRPr="00B709D6">
        <w:rPr>
          <w:rFonts w:ascii="Arial" w:eastAsia="Arial" w:hAnsi="Arial"/>
          <w:sz w:val="18"/>
          <w:szCs w:val="22"/>
          <w:u w:val="single"/>
        </w:rPr>
        <w:tab/>
        <w:t>2.55%</w:t>
      </w:r>
    </w:p>
    <w:p w:rsidR="00B709D6" w:rsidRPr="00B709D6" w:rsidRDefault="00B709D6" w:rsidP="00B709D6">
      <w:pPr>
        <w:spacing w:before="36" w:line="210" w:lineRule="exact"/>
        <w:ind w:left="5616"/>
        <w:textAlignment w:val="baseline"/>
        <w:rPr>
          <w:rFonts w:ascii="Arial" w:eastAsia="Arial" w:hAnsi="Arial"/>
          <w:spacing w:val="-1"/>
          <w:sz w:val="18"/>
          <w:szCs w:val="22"/>
        </w:rPr>
      </w:pPr>
      <w:r w:rsidRPr="00B709D6">
        <w:rPr>
          <w:rFonts w:ascii="Arial" w:eastAsia="Arial" w:hAnsi="Arial"/>
          <w:spacing w:val="-1"/>
          <w:sz w:val="18"/>
          <w:szCs w:val="22"/>
        </w:rPr>
        <w:t>50%</w:t>
      </w:r>
    </w:p>
    <w:p w:rsidR="00B709D6" w:rsidRPr="00B709D6" w:rsidRDefault="00B709D6" w:rsidP="0057450A">
      <w:pPr>
        <w:spacing w:before="284" w:line="210" w:lineRule="exact"/>
        <w:ind w:left="2880" w:firstLine="1170"/>
        <w:textAlignment w:val="baseline"/>
        <w:rPr>
          <w:rFonts w:ascii="Arial" w:eastAsia="Arial" w:hAnsi="Arial"/>
          <w:spacing w:val="21"/>
          <w:sz w:val="18"/>
          <w:szCs w:val="22"/>
        </w:rPr>
      </w:pPr>
      <w:r>
        <w:rPr>
          <w:rFonts w:ascii="Arial" w:eastAsia="Arial" w:hAnsi="Arial"/>
          <w:spacing w:val="21"/>
          <w:sz w:val="18"/>
          <w:szCs w:val="22"/>
        </w:rPr>
        <w:t xml:space="preserve">X </w:t>
      </w:r>
      <w:r w:rsidR="0057450A">
        <w:rPr>
          <w:rFonts w:ascii="Arial" w:eastAsia="Arial" w:hAnsi="Arial"/>
          <w:spacing w:val="21"/>
          <w:sz w:val="18"/>
          <w:szCs w:val="22"/>
        </w:rPr>
        <w:t xml:space="preserve">         </w:t>
      </w:r>
      <w:r>
        <w:rPr>
          <w:rFonts w:ascii="Arial" w:eastAsia="Arial" w:hAnsi="Arial"/>
          <w:spacing w:val="21"/>
          <w:sz w:val="18"/>
          <w:szCs w:val="22"/>
        </w:rPr>
        <w:t>=</w:t>
      </w:r>
      <w:r w:rsidR="0057450A">
        <w:rPr>
          <w:rFonts w:ascii="Arial" w:eastAsia="Arial" w:hAnsi="Arial"/>
          <w:spacing w:val="21"/>
          <w:sz w:val="18"/>
          <w:szCs w:val="22"/>
        </w:rPr>
        <w:t xml:space="preserve">       </w:t>
      </w:r>
      <w:r>
        <w:rPr>
          <w:rFonts w:ascii="Arial" w:eastAsia="Arial" w:hAnsi="Arial"/>
          <w:spacing w:val="21"/>
          <w:sz w:val="18"/>
          <w:szCs w:val="22"/>
        </w:rPr>
        <w:t xml:space="preserve"> </w:t>
      </w:r>
      <w:r w:rsidRPr="00B709D6">
        <w:rPr>
          <w:rFonts w:ascii="Arial" w:eastAsia="Arial" w:hAnsi="Arial"/>
          <w:spacing w:val="21"/>
          <w:sz w:val="18"/>
          <w:szCs w:val="22"/>
        </w:rPr>
        <w:t>11%</w:t>
      </w:r>
    </w:p>
    <w:p w:rsidR="00DC45F7" w:rsidRDefault="00DC45F7">
      <w:pPr>
        <w:tabs>
          <w:tab w:val="left" w:pos="4320"/>
        </w:tabs>
        <w:rPr>
          <w:szCs w:val="26"/>
        </w:rPr>
      </w:pPr>
    </w:p>
    <w:p w:rsidR="00DC45F7" w:rsidRDefault="00DC45F7">
      <w:pPr>
        <w:rPr>
          <w:szCs w:val="26"/>
        </w:rPr>
      </w:pPr>
      <w:r>
        <w:rPr>
          <w:szCs w:val="26"/>
        </w:rPr>
        <w:br w:type="page"/>
      </w:r>
    </w:p>
    <w:p w:rsidR="00DC45F7" w:rsidRPr="00DC45F7" w:rsidRDefault="00DC45F7" w:rsidP="00DC45F7">
      <w:pPr>
        <w:jc w:val="center"/>
        <w:rPr>
          <w:rFonts w:asciiTheme="minorHAnsi" w:eastAsiaTheme="minorHAnsi" w:hAnsiTheme="minorHAnsi" w:cstheme="minorBidi"/>
          <w:b/>
          <w:color w:val="auto"/>
          <w:sz w:val="22"/>
          <w:szCs w:val="22"/>
        </w:rPr>
      </w:pPr>
      <w:r w:rsidRPr="00DC45F7">
        <w:rPr>
          <w:rFonts w:asciiTheme="minorHAnsi" w:eastAsiaTheme="minorHAnsi" w:hAnsiTheme="minorHAnsi" w:cstheme="minorBidi"/>
          <w:b/>
          <w:color w:val="auto"/>
          <w:sz w:val="22"/>
          <w:szCs w:val="22"/>
        </w:rPr>
        <w:lastRenderedPageBreak/>
        <w:t>Appendix B</w:t>
      </w:r>
    </w:p>
    <w:p w:rsidR="00DC45F7" w:rsidRPr="00DC45F7" w:rsidRDefault="00DC45F7" w:rsidP="00DC45F7">
      <w:pPr>
        <w:jc w:val="center"/>
        <w:rPr>
          <w:rFonts w:asciiTheme="minorHAnsi" w:eastAsiaTheme="minorHAnsi" w:hAnsiTheme="minorHAnsi" w:cstheme="minorBidi"/>
          <w:b/>
          <w:color w:val="auto"/>
          <w:sz w:val="22"/>
          <w:szCs w:val="22"/>
        </w:rPr>
      </w:pPr>
      <w:r w:rsidRPr="00DC45F7">
        <w:rPr>
          <w:rFonts w:asciiTheme="minorHAnsi" w:eastAsiaTheme="minorHAnsi" w:hAnsiTheme="minorHAnsi" w:cstheme="minorBidi"/>
          <w:b/>
          <w:color w:val="auto"/>
          <w:sz w:val="22"/>
          <w:szCs w:val="22"/>
        </w:rPr>
        <w:t>R-2014-2419115</w:t>
      </w:r>
    </w:p>
    <w:p w:rsidR="00DC45F7" w:rsidRPr="00DC45F7" w:rsidRDefault="00DC45F7" w:rsidP="00DC45F7">
      <w:pPr>
        <w:jc w:val="center"/>
        <w:rPr>
          <w:rFonts w:asciiTheme="minorHAnsi" w:eastAsiaTheme="minorHAnsi" w:hAnsiTheme="minorHAnsi" w:cstheme="minorBidi"/>
          <w:b/>
          <w:color w:val="auto"/>
          <w:sz w:val="22"/>
          <w:szCs w:val="22"/>
        </w:rPr>
      </w:pPr>
      <w:proofErr w:type="spellStart"/>
      <w:r w:rsidRPr="00DC45F7">
        <w:rPr>
          <w:rFonts w:asciiTheme="minorHAnsi" w:eastAsiaTheme="minorHAnsi" w:hAnsiTheme="minorHAnsi" w:cstheme="minorBidi"/>
          <w:b/>
          <w:color w:val="auto"/>
          <w:sz w:val="22"/>
          <w:szCs w:val="22"/>
        </w:rPr>
        <w:t>Manwalamink</w:t>
      </w:r>
      <w:proofErr w:type="spellEnd"/>
      <w:r w:rsidRPr="00DC45F7">
        <w:rPr>
          <w:rFonts w:asciiTheme="minorHAnsi" w:eastAsiaTheme="minorHAnsi" w:hAnsiTheme="minorHAnsi" w:cstheme="minorBidi"/>
          <w:b/>
          <w:color w:val="auto"/>
          <w:sz w:val="22"/>
          <w:szCs w:val="22"/>
        </w:rPr>
        <w:t xml:space="preserve"> Sewer Company</w:t>
      </w:r>
    </w:p>
    <w:p w:rsidR="00DC45F7" w:rsidRPr="00DC45F7" w:rsidRDefault="00DC45F7" w:rsidP="00DC45F7">
      <w:pPr>
        <w:rPr>
          <w:rFonts w:ascii="Calibri" w:hAnsi="Calibri"/>
          <w:sz w:val="22"/>
          <w:szCs w:val="22"/>
        </w:rPr>
      </w:pPr>
    </w:p>
    <w:p w:rsidR="00DC45F7" w:rsidRPr="00DC45F7" w:rsidRDefault="00DC45F7" w:rsidP="00DC45F7">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9"/>
        <w:gridCol w:w="15"/>
        <w:gridCol w:w="3013"/>
        <w:gridCol w:w="1150"/>
        <w:gridCol w:w="1109"/>
        <w:gridCol w:w="49"/>
        <w:gridCol w:w="1298"/>
        <w:gridCol w:w="26"/>
        <w:gridCol w:w="1227"/>
      </w:tblGrid>
      <w:tr w:rsidR="00DC45F7" w:rsidRPr="00DC45F7" w:rsidTr="006503A2">
        <w:tc>
          <w:tcPr>
            <w:tcW w:w="7025" w:type="dxa"/>
            <w:gridSpan w:val="6"/>
          </w:tcPr>
          <w:p w:rsidR="00DC45F7" w:rsidRPr="00DC45F7" w:rsidRDefault="00DC45F7" w:rsidP="00DC45F7">
            <w:pPr>
              <w:rPr>
                <w:b/>
                <w:color w:val="auto"/>
                <w:sz w:val="24"/>
                <w:szCs w:val="24"/>
                <w:u w:val="single"/>
              </w:rPr>
            </w:pPr>
            <w:r w:rsidRPr="00DC45F7">
              <w:rPr>
                <w:b/>
                <w:color w:val="auto"/>
                <w:sz w:val="24"/>
                <w:szCs w:val="24"/>
                <w:u w:val="single"/>
              </w:rPr>
              <w:t>Rate Structure</w:t>
            </w:r>
          </w:p>
        </w:tc>
        <w:tc>
          <w:tcPr>
            <w:tcW w:w="1324" w:type="dxa"/>
            <w:gridSpan w:val="2"/>
          </w:tcPr>
          <w:p w:rsidR="00DC45F7" w:rsidRPr="00DC45F7" w:rsidRDefault="00DC45F7" w:rsidP="00DC45F7">
            <w:pPr>
              <w:jc w:val="center"/>
              <w:rPr>
                <w:color w:val="auto"/>
                <w:sz w:val="22"/>
              </w:rPr>
            </w:pPr>
          </w:p>
        </w:tc>
        <w:tc>
          <w:tcPr>
            <w:tcW w:w="1227" w:type="dxa"/>
          </w:tcPr>
          <w:p w:rsidR="00DC45F7" w:rsidRPr="00DC45F7" w:rsidRDefault="00DC45F7" w:rsidP="00DC45F7">
            <w:pPr>
              <w:jc w:val="right"/>
              <w:rPr>
                <w:color w:val="auto"/>
                <w:sz w:val="22"/>
                <w:u w:val="double"/>
              </w:rPr>
            </w:pPr>
          </w:p>
        </w:tc>
      </w:tr>
      <w:tr w:rsidR="00DC45F7" w:rsidRPr="00DC45F7" w:rsidTr="006503A2">
        <w:tc>
          <w:tcPr>
            <w:tcW w:w="1689" w:type="dxa"/>
          </w:tcPr>
          <w:p w:rsidR="00DC45F7" w:rsidRPr="00DC45F7" w:rsidRDefault="00DC45F7" w:rsidP="00DC45F7">
            <w:pPr>
              <w:rPr>
                <w:color w:val="auto"/>
                <w:sz w:val="22"/>
              </w:rPr>
            </w:pPr>
          </w:p>
        </w:tc>
        <w:tc>
          <w:tcPr>
            <w:tcW w:w="5336" w:type="dxa"/>
            <w:gridSpan w:val="5"/>
          </w:tcPr>
          <w:p w:rsidR="00DC45F7" w:rsidRPr="00DC45F7" w:rsidRDefault="00DC45F7" w:rsidP="00DC45F7">
            <w:pPr>
              <w:rPr>
                <w:color w:val="auto"/>
                <w:sz w:val="22"/>
              </w:rPr>
            </w:pPr>
            <w:r w:rsidRPr="00DC45F7">
              <w:rPr>
                <w:color w:val="auto"/>
                <w:sz w:val="22"/>
              </w:rPr>
              <w:t xml:space="preserve">   </w:t>
            </w:r>
          </w:p>
        </w:tc>
        <w:tc>
          <w:tcPr>
            <w:tcW w:w="1324" w:type="dxa"/>
            <w:gridSpan w:val="2"/>
          </w:tcPr>
          <w:p w:rsidR="00DC45F7" w:rsidRPr="00DC45F7" w:rsidRDefault="00DC45F7" w:rsidP="00DC45F7">
            <w:pPr>
              <w:jc w:val="center"/>
              <w:rPr>
                <w:color w:val="auto"/>
                <w:sz w:val="22"/>
              </w:rPr>
            </w:pPr>
          </w:p>
        </w:tc>
        <w:tc>
          <w:tcPr>
            <w:tcW w:w="1227" w:type="dxa"/>
          </w:tcPr>
          <w:p w:rsidR="00DC45F7" w:rsidRPr="00DC45F7" w:rsidRDefault="00DC45F7" w:rsidP="00DC45F7">
            <w:pPr>
              <w:jc w:val="right"/>
              <w:rPr>
                <w:color w:val="auto"/>
                <w:sz w:val="22"/>
                <w:u w:val="double"/>
              </w:rPr>
            </w:pPr>
          </w:p>
        </w:tc>
      </w:tr>
      <w:tr w:rsidR="00DC45F7" w:rsidRPr="00DC45F7" w:rsidTr="006503A2">
        <w:tc>
          <w:tcPr>
            <w:tcW w:w="9576" w:type="dxa"/>
            <w:gridSpan w:val="9"/>
            <w:shd w:val="clear" w:color="auto" w:fill="auto"/>
          </w:tcPr>
          <w:p w:rsidR="00DC45F7" w:rsidRPr="00DC45F7" w:rsidRDefault="00DC45F7" w:rsidP="00DC45F7">
            <w:pPr>
              <w:rPr>
                <w:color w:val="auto"/>
                <w:sz w:val="22"/>
              </w:rPr>
            </w:pPr>
          </w:p>
          <w:p w:rsidR="00DC45F7" w:rsidRPr="00DC45F7" w:rsidRDefault="00DC45F7" w:rsidP="00DC45F7">
            <w:pPr>
              <w:rPr>
                <w:color w:val="auto"/>
                <w:sz w:val="22"/>
              </w:rPr>
            </w:pPr>
            <w:r w:rsidRPr="00DC45F7">
              <w:rPr>
                <w:color w:val="auto"/>
                <w:sz w:val="22"/>
              </w:rPr>
              <w:t xml:space="preserve">    The Company’s rate structure consists of a Service Charge and a two block declining rate structure.  Bills are rendered on a monthly basis.  The objective of rate design is to ensure that no class of service results in subsidizing service to one class at the expense of another class.</w:t>
            </w:r>
          </w:p>
          <w:p w:rsidR="00DC45F7" w:rsidRPr="00DC45F7" w:rsidRDefault="00DC45F7" w:rsidP="00DC45F7">
            <w:pPr>
              <w:rPr>
                <w:color w:val="auto"/>
                <w:sz w:val="22"/>
              </w:rPr>
            </w:pPr>
          </w:p>
          <w:p w:rsidR="00DC45F7" w:rsidRPr="00DC45F7" w:rsidRDefault="00DC45F7" w:rsidP="00DC45F7">
            <w:pPr>
              <w:rPr>
                <w:color w:val="auto"/>
                <w:sz w:val="22"/>
              </w:rPr>
            </w:pPr>
            <w:r w:rsidRPr="00DC45F7">
              <w:rPr>
                <w:color w:val="auto"/>
                <w:sz w:val="22"/>
              </w:rPr>
              <w:t xml:space="preserve">    The Company’s proposed second rate block for sales volumes greater than 10,000 gallons per month is $2.27 per 1,000 gallons, an increase of approximately 10% over the existing rate of $2.06.  As a general rule, no rate should be below the incremental cost of treatment &amp; disposal, as well as covering a percentage of fixed costs.</w:t>
            </w:r>
          </w:p>
          <w:p w:rsidR="00DC45F7" w:rsidRPr="00DC45F7" w:rsidRDefault="00DC45F7" w:rsidP="00DC45F7">
            <w:pPr>
              <w:rPr>
                <w:color w:val="auto"/>
                <w:sz w:val="22"/>
              </w:rPr>
            </w:pPr>
          </w:p>
          <w:p w:rsidR="00DC45F7" w:rsidRPr="00DC45F7" w:rsidRDefault="00DC45F7" w:rsidP="00DC45F7">
            <w:pPr>
              <w:rPr>
                <w:color w:val="auto"/>
                <w:sz w:val="22"/>
              </w:rPr>
            </w:pPr>
            <w:r w:rsidRPr="00DC45F7">
              <w:rPr>
                <w:color w:val="auto"/>
                <w:sz w:val="22"/>
              </w:rPr>
              <w:t xml:space="preserve">     As a test, an estimate of the incremental cost was developed resulting in a unit cost per 1,000 gallons of approximately $2.53. In this case, the</w:t>
            </w:r>
            <w:r w:rsidR="000B0C47">
              <w:rPr>
                <w:color w:val="auto"/>
                <w:sz w:val="22"/>
              </w:rPr>
              <w:t xml:space="preserve"> increase to the second rate blo</w:t>
            </w:r>
            <w:r w:rsidRPr="00DC45F7">
              <w:rPr>
                <w:color w:val="auto"/>
                <w:sz w:val="22"/>
              </w:rPr>
              <w:t>ck would be approximately 22.8%</w:t>
            </w:r>
          </w:p>
          <w:p w:rsidR="00DC45F7" w:rsidRPr="00DC45F7" w:rsidRDefault="00DC45F7" w:rsidP="00DC45F7">
            <w:pPr>
              <w:rPr>
                <w:color w:val="auto"/>
                <w:sz w:val="22"/>
              </w:rPr>
            </w:pPr>
          </w:p>
          <w:p w:rsidR="00DC45F7" w:rsidRPr="00DC45F7" w:rsidRDefault="00DC45F7" w:rsidP="00DC45F7">
            <w:pPr>
              <w:rPr>
                <w:color w:val="auto"/>
                <w:sz w:val="22"/>
              </w:rPr>
            </w:pPr>
            <w:r w:rsidRPr="00DC45F7">
              <w:rPr>
                <w:color w:val="auto"/>
                <w:sz w:val="22"/>
              </w:rPr>
              <w:t xml:space="preserve">     To the extent that the second </w:t>
            </w:r>
            <w:proofErr w:type="gramStart"/>
            <w:r w:rsidRPr="00DC45F7">
              <w:rPr>
                <w:color w:val="auto"/>
                <w:sz w:val="22"/>
              </w:rPr>
              <w:t>rate block</w:t>
            </w:r>
            <w:proofErr w:type="gramEnd"/>
            <w:r w:rsidRPr="00DC45F7">
              <w:rPr>
                <w:color w:val="auto"/>
                <w:sz w:val="22"/>
              </w:rPr>
              <w:t xml:space="preserve"> increases by a greater than average increase, other rates will decrease correspondingly.  In this case, the incremental increase to revenue from the second rate block will go to reduce the first rate block. The usage data is taken from the consumer usage analysis as shown in the Company rate filing.</w:t>
            </w:r>
          </w:p>
          <w:p w:rsidR="00DC45F7" w:rsidRPr="00DC45F7" w:rsidRDefault="00DC45F7" w:rsidP="00DC45F7">
            <w:pPr>
              <w:rPr>
                <w:color w:val="auto"/>
                <w:sz w:val="22"/>
                <w:u w:val="double"/>
              </w:rPr>
            </w:pPr>
          </w:p>
        </w:tc>
      </w:tr>
      <w:tr w:rsidR="00DC45F7" w:rsidRPr="00DC45F7" w:rsidTr="006503A2">
        <w:tc>
          <w:tcPr>
            <w:tcW w:w="9576" w:type="dxa"/>
            <w:gridSpan w:val="9"/>
          </w:tcPr>
          <w:p w:rsidR="00DC45F7" w:rsidRPr="00DC45F7" w:rsidRDefault="00DC45F7" w:rsidP="00DC45F7">
            <w:pPr>
              <w:rPr>
                <w:color w:val="auto"/>
                <w:sz w:val="22"/>
              </w:rPr>
            </w:pPr>
            <w:r w:rsidRPr="00DC45F7">
              <w:rPr>
                <w:color w:val="auto"/>
                <w:sz w:val="22"/>
              </w:rPr>
              <w:t xml:space="preserve">      Commission’s design of the first rate block (10,000 gallons per month) is shown in Appendix C, Proof of Revenue.</w:t>
            </w:r>
          </w:p>
          <w:p w:rsidR="00DC45F7" w:rsidRPr="00DC45F7" w:rsidRDefault="00DC45F7" w:rsidP="00DC45F7">
            <w:pPr>
              <w:rPr>
                <w:color w:val="auto"/>
                <w:sz w:val="22"/>
              </w:rPr>
            </w:pPr>
          </w:p>
          <w:p w:rsidR="00DC45F7" w:rsidRPr="00DC45F7" w:rsidRDefault="00DC45F7" w:rsidP="00DC45F7">
            <w:pPr>
              <w:rPr>
                <w:color w:val="auto"/>
                <w:sz w:val="22"/>
              </w:rPr>
            </w:pPr>
            <w:r w:rsidRPr="00DC45F7">
              <w:rPr>
                <w:color w:val="auto"/>
                <w:sz w:val="22"/>
              </w:rPr>
              <w:t xml:space="preserve">       Using a first rate block of $6.59 per 1,000 gallons, revenue from metered sales and flat rate sales equals $593,337 of the Commission Adjusted Revenue.  Total Revenue including Non-Operating Income equals $594,837.</w:t>
            </w:r>
          </w:p>
        </w:tc>
      </w:tr>
      <w:tr w:rsidR="00DC45F7" w:rsidRPr="00DC45F7" w:rsidTr="006503A2">
        <w:tc>
          <w:tcPr>
            <w:tcW w:w="4717" w:type="dxa"/>
            <w:gridSpan w:val="3"/>
          </w:tcPr>
          <w:p w:rsidR="00DC45F7" w:rsidRPr="00DC45F7" w:rsidRDefault="00DC45F7" w:rsidP="00DC45F7">
            <w:pPr>
              <w:jc w:val="right"/>
              <w:rPr>
                <w:color w:val="auto"/>
                <w:sz w:val="22"/>
              </w:rPr>
            </w:pPr>
          </w:p>
        </w:tc>
        <w:tc>
          <w:tcPr>
            <w:tcW w:w="1150" w:type="dxa"/>
          </w:tcPr>
          <w:p w:rsidR="00DC45F7" w:rsidRPr="00DC45F7" w:rsidRDefault="00DC45F7" w:rsidP="00DC45F7">
            <w:pPr>
              <w:rPr>
                <w:color w:val="auto"/>
                <w:sz w:val="22"/>
              </w:rPr>
            </w:pPr>
          </w:p>
        </w:tc>
        <w:tc>
          <w:tcPr>
            <w:tcW w:w="1158" w:type="dxa"/>
            <w:gridSpan w:val="2"/>
          </w:tcPr>
          <w:p w:rsidR="00DC45F7" w:rsidRPr="00DC45F7" w:rsidRDefault="00DC45F7" w:rsidP="00DC45F7">
            <w:pPr>
              <w:jc w:val="center"/>
              <w:rPr>
                <w:color w:val="auto"/>
                <w:sz w:val="22"/>
              </w:rPr>
            </w:pPr>
          </w:p>
        </w:tc>
        <w:tc>
          <w:tcPr>
            <w:tcW w:w="2551" w:type="dxa"/>
            <w:gridSpan w:val="3"/>
          </w:tcPr>
          <w:p w:rsidR="00DC45F7" w:rsidRPr="00DC45F7" w:rsidRDefault="00DC45F7" w:rsidP="00DC45F7">
            <w:pPr>
              <w:rPr>
                <w:color w:val="auto"/>
                <w:sz w:val="22"/>
                <w:u w:val="double"/>
              </w:rPr>
            </w:pPr>
          </w:p>
        </w:tc>
      </w:tr>
      <w:tr w:rsidR="00DC45F7" w:rsidRPr="00DC45F7" w:rsidTr="006503A2">
        <w:tc>
          <w:tcPr>
            <w:tcW w:w="4717" w:type="dxa"/>
            <w:gridSpan w:val="3"/>
          </w:tcPr>
          <w:p w:rsidR="00DC45F7" w:rsidRPr="00DC45F7" w:rsidRDefault="00DC45F7" w:rsidP="00DC45F7">
            <w:pPr>
              <w:rPr>
                <w:b/>
                <w:color w:val="auto"/>
                <w:sz w:val="24"/>
                <w:szCs w:val="24"/>
              </w:rPr>
            </w:pPr>
            <w:r w:rsidRPr="00DC45F7">
              <w:rPr>
                <w:b/>
                <w:color w:val="auto"/>
                <w:sz w:val="24"/>
                <w:szCs w:val="24"/>
              </w:rPr>
              <w:t>Average Bill per Commission Rates</w:t>
            </w:r>
          </w:p>
          <w:p w:rsidR="00DC45F7" w:rsidRPr="00DC45F7" w:rsidRDefault="00DC45F7" w:rsidP="00DC45F7">
            <w:pPr>
              <w:rPr>
                <w:color w:val="auto"/>
                <w:sz w:val="22"/>
              </w:rPr>
            </w:pPr>
          </w:p>
        </w:tc>
        <w:tc>
          <w:tcPr>
            <w:tcW w:w="1150" w:type="dxa"/>
          </w:tcPr>
          <w:p w:rsidR="00DC45F7" w:rsidRPr="00DC45F7" w:rsidRDefault="00DC45F7" w:rsidP="00DC45F7">
            <w:pPr>
              <w:rPr>
                <w:color w:val="auto"/>
                <w:sz w:val="22"/>
              </w:rPr>
            </w:pPr>
          </w:p>
        </w:tc>
        <w:tc>
          <w:tcPr>
            <w:tcW w:w="1158" w:type="dxa"/>
            <w:gridSpan w:val="2"/>
          </w:tcPr>
          <w:p w:rsidR="00DC45F7" w:rsidRPr="00DC45F7" w:rsidRDefault="00DC45F7" w:rsidP="00DC45F7">
            <w:pPr>
              <w:rPr>
                <w:color w:val="auto"/>
                <w:sz w:val="22"/>
              </w:rPr>
            </w:pPr>
          </w:p>
        </w:tc>
        <w:tc>
          <w:tcPr>
            <w:tcW w:w="2551" w:type="dxa"/>
            <w:gridSpan w:val="3"/>
          </w:tcPr>
          <w:p w:rsidR="00DC45F7" w:rsidRPr="00DC45F7" w:rsidRDefault="00DC45F7" w:rsidP="00DC45F7">
            <w:pPr>
              <w:rPr>
                <w:color w:val="auto"/>
                <w:sz w:val="22"/>
              </w:rPr>
            </w:pPr>
          </w:p>
        </w:tc>
      </w:tr>
      <w:tr w:rsidR="00DC45F7" w:rsidRPr="00DC45F7" w:rsidTr="006503A2">
        <w:tc>
          <w:tcPr>
            <w:tcW w:w="9576" w:type="dxa"/>
            <w:gridSpan w:val="9"/>
          </w:tcPr>
          <w:p w:rsidR="00DC45F7" w:rsidRPr="00DC45F7" w:rsidRDefault="00DC45F7" w:rsidP="00DC45F7">
            <w:pPr>
              <w:rPr>
                <w:color w:val="auto"/>
                <w:sz w:val="22"/>
              </w:rPr>
            </w:pPr>
            <w:r w:rsidRPr="00DC45F7">
              <w:rPr>
                <w:color w:val="auto"/>
                <w:sz w:val="22"/>
              </w:rPr>
              <w:t xml:space="preserve">     The average monthly residential bill for a metered residential customer at Commission rates is $37.22 resulting in an increase of </w:t>
            </w:r>
            <w:r w:rsidRPr="00DC45F7">
              <w:rPr>
                <w:b/>
                <w:color w:val="auto"/>
                <w:sz w:val="22"/>
              </w:rPr>
              <w:t xml:space="preserve">8.67% </w:t>
            </w:r>
            <w:r w:rsidRPr="00DC45F7">
              <w:rPr>
                <w:color w:val="auto"/>
                <w:sz w:val="22"/>
              </w:rPr>
              <w:t xml:space="preserve">and for a commercial customer $107.47, an increase of </w:t>
            </w:r>
            <w:r w:rsidRPr="00DC45F7">
              <w:rPr>
                <w:b/>
                <w:color w:val="auto"/>
                <w:sz w:val="22"/>
              </w:rPr>
              <w:t>16.49%.</w:t>
            </w:r>
          </w:p>
        </w:tc>
      </w:tr>
      <w:tr w:rsidR="00DC45F7" w:rsidRPr="00DC45F7" w:rsidTr="006503A2">
        <w:tc>
          <w:tcPr>
            <w:tcW w:w="9576" w:type="dxa"/>
            <w:gridSpan w:val="9"/>
          </w:tcPr>
          <w:p w:rsidR="00DC45F7" w:rsidRPr="00DC45F7" w:rsidRDefault="00DC45F7" w:rsidP="00DC45F7">
            <w:pPr>
              <w:rPr>
                <w:color w:val="auto"/>
                <w:sz w:val="22"/>
              </w:rPr>
            </w:pPr>
          </w:p>
        </w:tc>
      </w:tr>
      <w:tr w:rsidR="00DC45F7" w:rsidRPr="00DC45F7" w:rsidTr="006503A2">
        <w:tc>
          <w:tcPr>
            <w:tcW w:w="9576" w:type="dxa"/>
            <w:gridSpan w:val="9"/>
          </w:tcPr>
          <w:p w:rsidR="00DC45F7" w:rsidRPr="00DC45F7" w:rsidRDefault="00DC45F7" w:rsidP="00DC45F7">
            <w:pPr>
              <w:rPr>
                <w:b/>
                <w:color w:val="auto"/>
                <w:sz w:val="24"/>
              </w:rPr>
            </w:pPr>
          </w:p>
          <w:p w:rsidR="00DC45F7" w:rsidRPr="00DC45F7" w:rsidRDefault="00DC45F7" w:rsidP="00DC45F7">
            <w:pPr>
              <w:rPr>
                <w:b/>
                <w:color w:val="auto"/>
                <w:sz w:val="24"/>
              </w:rPr>
            </w:pPr>
          </w:p>
          <w:p w:rsidR="00DC45F7" w:rsidRPr="00DC45F7" w:rsidRDefault="00DC45F7" w:rsidP="00DC45F7">
            <w:pPr>
              <w:rPr>
                <w:b/>
                <w:color w:val="auto"/>
                <w:sz w:val="24"/>
              </w:rPr>
            </w:pPr>
          </w:p>
          <w:p w:rsidR="00DC45F7" w:rsidRPr="00DC45F7" w:rsidRDefault="00DC45F7" w:rsidP="00DC45F7">
            <w:pPr>
              <w:rPr>
                <w:b/>
                <w:color w:val="auto"/>
                <w:sz w:val="24"/>
              </w:rPr>
            </w:pPr>
          </w:p>
          <w:p w:rsidR="00DC45F7" w:rsidRPr="00DC45F7" w:rsidRDefault="00DC45F7" w:rsidP="00DC45F7">
            <w:pPr>
              <w:rPr>
                <w:b/>
                <w:color w:val="auto"/>
                <w:sz w:val="24"/>
              </w:rPr>
            </w:pPr>
          </w:p>
          <w:p w:rsidR="00DC45F7" w:rsidRPr="00DC45F7" w:rsidRDefault="00DC45F7" w:rsidP="00DC45F7">
            <w:pPr>
              <w:rPr>
                <w:b/>
                <w:color w:val="auto"/>
                <w:sz w:val="24"/>
              </w:rPr>
            </w:pPr>
          </w:p>
          <w:p w:rsidR="00DC45F7" w:rsidRPr="00DC45F7" w:rsidRDefault="00DC45F7" w:rsidP="00DC45F7">
            <w:pPr>
              <w:rPr>
                <w:b/>
                <w:color w:val="auto"/>
                <w:sz w:val="24"/>
              </w:rPr>
            </w:pPr>
          </w:p>
          <w:p w:rsidR="00DC45F7" w:rsidRPr="00DC45F7" w:rsidRDefault="00DC45F7" w:rsidP="00DC45F7">
            <w:pPr>
              <w:rPr>
                <w:b/>
                <w:color w:val="auto"/>
                <w:sz w:val="24"/>
              </w:rPr>
            </w:pPr>
          </w:p>
          <w:p w:rsidR="00DC45F7" w:rsidRPr="00DC45F7" w:rsidRDefault="00DC45F7" w:rsidP="00DC45F7">
            <w:pPr>
              <w:rPr>
                <w:b/>
                <w:color w:val="auto"/>
                <w:sz w:val="24"/>
              </w:rPr>
            </w:pPr>
          </w:p>
          <w:p w:rsidR="00DC45F7" w:rsidRPr="00DC45F7" w:rsidRDefault="00DC45F7" w:rsidP="00DC45F7">
            <w:pPr>
              <w:jc w:val="center"/>
              <w:rPr>
                <w:b/>
                <w:color w:val="auto"/>
                <w:sz w:val="22"/>
              </w:rPr>
            </w:pPr>
            <w:r w:rsidRPr="00DC45F7">
              <w:rPr>
                <w:b/>
                <w:color w:val="auto"/>
                <w:sz w:val="22"/>
              </w:rPr>
              <w:lastRenderedPageBreak/>
              <w:t>Appendix B, Contd.</w:t>
            </w:r>
          </w:p>
          <w:p w:rsidR="00DC45F7" w:rsidRPr="00DC45F7" w:rsidRDefault="00DC45F7" w:rsidP="00DC45F7">
            <w:pPr>
              <w:jc w:val="center"/>
              <w:rPr>
                <w:b/>
                <w:color w:val="auto"/>
                <w:sz w:val="22"/>
              </w:rPr>
            </w:pPr>
            <w:r w:rsidRPr="00DC45F7">
              <w:rPr>
                <w:b/>
                <w:color w:val="auto"/>
                <w:sz w:val="22"/>
              </w:rPr>
              <w:t>R-2014-2419115</w:t>
            </w:r>
          </w:p>
          <w:p w:rsidR="00DC45F7" w:rsidRPr="00DC45F7" w:rsidRDefault="00DC45F7" w:rsidP="00DC45F7">
            <w:pPr>
              <w:jc w:val="center"/>
              <w:rPr>
                <w:b/>
                <w:color w:val="auto"/>
                <w:sz w:val="22"/>
              </w:rPr>
            </w:pPr>
            <w:proofErr w:type="spellStart"/>
            <w:r w:rsidRPr="00DC45F7">
              <w:rPr>
                <w:b/>
                <w:color w:val="auto"/>
                <w:sz w:val="22"/>
              </w:rPr>
              <w:t>Manwalamink</w:t>
            </w:r>
            <w:proofErr w:type="spellEnd"/>
            <w:r w:rsidRPr="00DC45F7">
              <w:rPr>
                <w:b/>
                <w:color w:val="auto"/>
                <w:sz w:val="22"/>
              </w:rPr>
              <w:t xml:space="preserve"> Sewer Company</w:t>
            </w:r>
          </w:p>
          <w:p w:rsidR="00DC45F7" w:rsidRPr="00DC45F7" w:rsidRDefault="00DC45F7" w:rsidP="00DC45F7">
            <w:pPr>
              <w:rPr>
                <w:b/>
                <w:color w:val="auto"/>
                <w:sz w:val="24"/>
              </w:rPr>
            </w:pPr>
          </w:p>
          <w:p w:rsidR="00DC45F7" w:rsidRPr="00DC45F7" w:rsidRDefault="00DC45F7" w:rsidP="00DC45F7">
            <w:pPr>
              <w:rPr>
                <w:b/>
                <w:color w:val="auto"/>
                <w:sz w:val="24"/>
              </w:rPr>
            </w:pPr>
          </w:p>
          <w:p w:rsidR="00DC45F7" w:rsidRPr="00DC45F7" w:rsidRDefault="00DC45F7" w:rsidP="00DC45F7">
            <w:pPr>
              <w:rPr>
                <w:b/>
                <w:color w:val="auto"/>
                <w:sz w:val="22"/>
              </w:rPr>
            </w:pPr>
            <w:r w:rsidRPr="00DC45F7">
              <w:rPr>
                <w:b/>
                <w:color w:val="auto"/>
                <w:sz w:val="24"/>
              </w:rPr>
              <w:t>Estimated Cost Of Treatment &amp; Disposal</w:t>
            </w:r>
          </w:p>
        </w:tc>
      </w:tr>
      <w:tr w:rsidR="00DC45F7" w:rsidRPr="00DC45F7" w:rsidTr="006503A2">
        <w:tc>
          <w:tcPr>
            <w:tcW w:w="9576" w:type="dxa"/>
            <w:gridSpan w:val="9"/>
          </w:tcPr>
          <w:p w:rsidR="00DC45F7" w:rsidRPr="00DC45F7" w:rsidRDefault="00DC45F7" w:rsidP="00DC45F7">
            <w:pPr>
              <w:rPr>
                <w:color w:val="auto"/>
                <w:sz w:val="22"/>
              </w:rPr>
            </w:pPr>
          </w:p>
        </w:tc>
      </w:tr>
      <w:tr w:rsidR="00DC45F7" w:rsidRPr="00DC45F7" w:rsidTr="006503A2">
        <w:tc>
          <w:tcPr>
            <w:tcW w:w="9576" w:type="dxa"/>
            <w:gridSpan w:val="9"/>
          </w:tcPr>
          <w:p w:rsidR="00DC45F7" w:rsidRPr="00DC45F7" w:rsidRDefault="00DC45F7" w:rsidP="00DC45F7">
            <w:pPr>
              <w:rPr>
                <w:color w:val="auto"/>
                <w:sz w:val="22"/>
              </w:rPr>
            </w:pPr>
            <w:r w:rsidRPr="00DC45F7">
              <w:rPr>
                <w:color w:val="auto"/>
                <w:sz w:val="22"/>
              </w:rPr>
              <w:t xml:space="preserve">     The cost of treatment and disposal includes direct treatment expenses and a share of overhead expenses of 20%</w:t>
            </w:r>
          </w:p>
        </w:tc>
      </w:tr>
      <w:tr w:rsidR="00DC45F7" w:rsidRPr="00DC45F7" w:rsidTr="006503A2">
        <w:tc>
          <w:tcPr>
            <w:tcW w:w="4717" w:type="dxa"/>
            <w:gridSpan w:val="3"/>
          </w:tcPr>
          <w:p w:rsidR="00DC45F7" w:rsidRPr="00DC45F7" w:rsidRDefault="00DC45F7" w:rsidP="00DC45F7">
            <w:pPr>
              <w:rPr>
                <w:b/>
                <w:color w:val="auto"/>
                <w:sz w:val="22"/>
                <w:u w:val="single"/>
              </w:rPr>
            </w:pPr>
            <w:r w:rsidRPr="00DC45F7">
              <w:rPr>
                <w:color w:val="auto"/>
                <w:sz w:val="22"/>
              </w:rPr>
              <w:t xml:space="preserve">       </w:t>
            </w:r>
            <w:r w:rsidRPr="00DC45F7">
              <w:rPr>
                <w:b/>
                <w:color w:val="auto"/>
                <w:sz w:val="22"/>
                <w:u w:val="single"/>
              </w:rPr>
              <w:t>Direct Variable Expenses</w:t>
            </w:r>
          </w:p>
        </w:tc>
        <w:tc>
          <w:tcPr>
            <w:tcW w:w="1150" w:type="dxa"/>
          </w:tcPr>
          <w:p w:rsidR="00DC45F7" w:rsidRPr="00DC45F7" w:rsidRDefault="00DC45F7" w:rsidP="00DC45F7">
            <w:pPr>
              <w:rPr>
                <w:color w:val="auto"/>
                <w:sz w:val="22"/>
              </w:rPr>
            </w:pPr>
          </w:p>
        </w:tc>
        <w:tc>
          <w:tcPr>
            <w:tcW w:w="1158" w:type="dxa"/>
            <w:gridSpan w:val="2"/>
          </w:tcPr>
          <w:p w:rsidR="00DC45F7" w:rsidRPr="00DC45F7" w:rsidRDefault="00DC45F7" w:rsidP="00DC45F7">
            <w:pPr>
              <w:rPr>
                <w:color w:val="auto"/>
                <w:sz w:val="22"/>
              </w:rPr>
            </w:pPr>
          </w:p>
        </w:tc>
        <w:tc>
          <w:tcPr>
            <w:tcW w:w="2551" w:type="dxa"/>
            <w:gridSpan w:val="3"/>
          </w:tcPr>
          <w:p w:rsidR="00DC45F7" w:rsidRPr="00DC45F7" w:rsidRDefault="00DC45F7" w:rsidP="00DC45F7">
            <w:pPr>
              <w:rPr>
                <w:color w:val="auto"/>
                <w:sz w:val="22"/>
              </w:rPr>
            </w:pPr>
          </w:p>
        </w:tc>
      </w:tr>
      <w:tr w:rsidR="00DC45F7" w:rsidRPr="00DC45F7" w:rsidTr="006503A2">
        <w:tc>
          <w:tcPr>
            <w:tcW w:w="4717" w:type="dxa"/>
            <w:gridSpan w:val="3"/>
          </w:tcPr>
          <w:p w:rsidR="00DC45F7" w:rsidRPr="00DC45F7" w:rsidRDefault="00DC45F7" w:rsidP="00DC45F7">
            <w:pPr>
              <w:rPr>
                <w:color w:val="auto"/>
                <w:sz w:val="22"/>
              </w:rPr>
            </w:pPr>
            <w:r w:rsidRPr="00DC45F7">
              <w:rPr>
                <w:color w:val="auto"/>
                <w:sz w:val="22"/>
              </w:rPr>
              <w:t xml:space="preserve">       Sludge Removal Expenses</w:t>
            </w:r>
          </w:p>
        </w:tc>
        <w:tc>
          <w:tcPr>
            <w:tcW w:w="1150" w:type="dxa"/>
          </w:tcPr>
          <w:p w:rsidR="00DC45F7" w:rsidRPr="00DC45F7" w:rsidRDefault="00DC45F7" w:rsidP="00DC45F7">
            <w:pPr>
              <w:rPr>
                <w:color w:val="auto"/>
                <w:sz w:val="22"/>
              </w:rPr>
            </w:pPr>
          </w:p>
        </w:tc>
        <w:tc>
          <w:tcPr>
            <w:tcW w:w="1158" w:type="dxa"/>
            <w:gridSpan w:val="2"/>
          </w:tcPr>
          <w:p w:rsidR="00DC45F7" w:rsidRPr="00DC45F7" w:rsidRDefault="00DC45F7" w:rsidP="00DC45F7">
            <w:pPr>
              <w:rPr>
                <w:color w:val="auto"/>
                <w:sz w:val="22"/>
              </w:rPr>
            </w:pPr>
          </w:p>
        </w:tc>
        <w:tc>
          <w:tcPr>
            <w:tcW w:w="2551" w:type="dxa"/>
            <w:gridSpan w:val="3"/>
          </w:tcPr>
          <w:p w:rsidR="00DC45F7" w:rsidRPr="00DC45F7" w:rsidRDefault="00DC45F7" w:rsidP="00DC45F7">
            <w:pPr>
              <w:rPr>
                <w:color w:val="auto"/>
                <w:sz w:val="22"/>
              </w:rPr>
            </w:pPr>
            <w:r w:rsidRPr="00DC45F7">
              <w:rPr>
                <w:color w:val="auto"/>
                <w:sz w:val="22"/>
              </w:rPr>
              <w:t xml:space="preserve"> $17,600</w:t>
            </w:r>
          </w:p>
        </w:tc>
      </w:tr>
      <w:tr w:rsidR="00DC45F7" w:rsidRPr="00DC45F7" w:rsidTr="006503A2">
        <w:tc>
          <w:tcPr>
            <w:tcW w:w="4717" w:type="dxa"/>
            <w:gridSpan w:val="3"/>
          </w:tcPr>
          <w:p w:rsidR="00DC45F7" w:rsidRPr="00DC45F7" w:rsidRDefault="00DC45F7" w:rsidP="00DC45F7">
            <w:pPr>
              <w:rPr>
                <w:color w:val="auto"/>
                <w:sz w:val="22"/>
              </w:rPr>
            </w:pPr>
            <w:r w:rsidRPr="00DC45F7">
              <w:rPr>
                <w:color w:val="auto"/>
                <w:sz w:val="22"/>
              </w:rPr>
              <w:t xml:space="preserve">       Purchases Power         </w:t>
            </w:r>
          </w:p>
        </w:tc>
        <w:tc>
          <w:tcPr>
            <w:tcW w:w="1150" w:type="dxa"/>
          </w:tcPr>
          <w:p w:rsidR="00DC45F7" w:rsidRPr="00DC45F7" w:rsidRDefault="00DC45F7" w:rsidP="00DC45F7">
            <w:pPr>
              <w:rPr>
                <w:color w:val="auto"/>
                <w:sz w:val="22"/>
              </w:rPr>
            </w:pPr>
          </w:p>
        </w:tc>
        <w:tc>
          <w:tcPr>
            <w:tcW w:w="1158" w:type="dxa"/>
            <w:gridSpan w:val="2"/>
          </w:tcPr>
          <w:p w:rsidR="00DC45F7" w:rsidRPr="00DC45F7" w:rsidRDefault="00DC45F7" w:rsidP="00DC45F7">
            <w:pPr>
              <w:rPr>
                <w:color w:val="auto"/>
                <w:sz w:val="22"/>
              </w:rPr>
            </w:pPr>
          </w:p>
        </w:tc>
        <w:tc>
          <w:tcPr>
            <w:tcW w:w="2551" w:type="dxa"/>
            <w:gridSpan w:val="3"/>
          </w:tcPr>
          <w:p w:rsidR="00DC45F7" w:rsidRPr="00DC45F7" w:rsidRDefault="00DC45F7" w:rsidP="00DC45F7">
            <w:pPr>
              <w:rPr>
                <w:color w:val="auto"/>
                <w:sz w:val="22"/>
              </w:rPr>
            </w:pPr>
            <w:r w:rsidRPr="00DC45F7">
              <w:rPr>
                <w:color w:val="auto"/>
                <w:sz w:val="22"/>
              </w:rPr>
              <w:t xml:space="preserve">   65,015</w:t>
            </w:r>
          </w:p>
        </w:tc>
      </w:tr>
      <w:tr w:rsidR="00DC45F7" w:rsidRPr="00DC45F7" w:rsidTr="006503A2">
        <w:tc>
          <w:tcPr>
            <w:tcW w:w="4717" w:type="dxa"/>
            <w:gridSpan w:val="3"/>
          </w:tcPr>
          <w:p w:rsidR="00DC45F7" w:rsidRPr="00DC45F7" w:rsidRDefault="00DC45F7" w:rsidP="00DC45F7">
            <w:pPr>
              <w:rPr>
                <w:color w:val="auto"/>
                <w:sz w:val="22"/>
              </w:rPr>
            </w:pPr>
            <w:r w:rsidRPr="00DC45F7">
              <w:rPr>
                <w:color w:val="auto"/>
                <w:sz w:val="22"/>
              </w:rPr>
              <w:t xml:space="preserve">       Chemicals</w:t>
            </w:r>
          </w:p>
        </w:tc>
        <w:tc>
          <w:tcPr>
            <w:tcW w:w="1150" w:type="dxa"/>
          </w:tcPr>
          <w:p w:rsidR="00DC45F7" w:rsidRPr="00DC45F7" w:rsidRDefault="00DC45F7" w:rsidP="00DC45F7">
            <w:pPr>
              <w:rPr>
                <w:color w:val="auto"/>
                <w:sz w:val="22"/>
              </w:rPr>
            </w:pPr>
          </w:p>
        </w:tc>
        <w:tc>
          <w:tcPr>
            <w:tcW w:w="1158" w:type="dxa"/>
            <w:gridSpan w:val="2"/>
          </w:tcPr>
          <w:p w:rsidR="00DC45F7" w:rsidRPr="00DC45F7" w:rsidRDefault="00DC45F7" w:rsidP="00DC45F7">
            <w:pPr>
              <w:rPr>
                <w:color w:val="auto"/>
                <w:sz w:val="22"/>
              </w:rPr>
            </w:pPr>
          </w:p>
        </w:tc>
        <w:tc>
          <w:tcPr>
            <w:tcW w:w="2551" w:type="dxa"/>
            <w:gridSpan w:val="3"/>
          </w:tcPr>
          <w:p w:rsidR="00DC45F7" w:rsidRPr="00DC45F7" w:rsidRDefault="00DC45F7" w:rsidP="00DC45F7">
            <w:pPr>
              <w:rPr>
                <w:color w:val="auto"/>
                <w:sz w:val="22"/>
              </w:rPr>
            </w:pPr>
            <w:r w:rsidRPr="00DC45F7">
              <w:rPr>
                <w:color w:val="auto"/>
                <w:sz w:val="22"/>
              </w:rPr>
              <w:t xml:space="preserve">   43,623</w:t>
            </w:r>
          </w:p>
        </w:tc>
      </w:tr>
      <w:tr w:rsidR="00DC45F7" w:rsidRPr="00DC45F7" w:rsidTr="006503A2">
        <w:tc>
          <w:tcPr>
            <w:tcW w:w="4717" w:type="dxa"/>
            <w:gridSpan w:val="3"/>
          </w:tcPr>
          <w:p w:rsidR="00DC45F7" w:rsidRPr="00DC45F7" w:rsidRDefault="00DC45F7" w:rsidP="00DC45F7">
            <w:pPr>
              <w:rPr>
                <w:color w:val="auto"/>
                <w:sz w:val="22"/>
              </w:rPr>
            </w:pPr>
            <w:r w:rsidRPr="00DC45F7">
              <w:rPr>
                <w:color w:val="auto"/>
                <w:sz w:val="22"/>
              </w:rPr>
              <w:t xml:space="preserve">       Other</w:t>
            </w:r>
          </w:p>
        </w:tc>
        <w:tc>
          <w:tcPr>
            <w:tcW w:w="1150" w:type="dxa"/>
          </w:tcPr>
          <w:p w:rsidR="00DC45F7" w:rsidRPr="00DC45F7" w:rsidRDefault="00DC45F7" w:rsidP="00DC45F7">
            <w:pPr>
              <w:rPr>
                <w:color w:val="auto"/>
                <w:sz w:val="22"/>
              </w:rPr>
            </w:pPr>
          </w:p>
        </w:tc>
        <w:tc>
          <w:tcPr>
            <w:tcW w:w="1158" w:type="dxa"/>
            <w:gridSpan w:val="2"/>
          </w:tcPr>
          <w:p w:rsidR="00DC45F7" w:rsidRPr="00DC45F7" w:rsidRDefault="00DC45F7" w:rsidP="00DC45F7">
            <w:pPr>
              <w:rPr>
                <w:color w:val="auto"/>
                <w:sz w:val="22"/>
              </w:rPr>
            </w:pPr>
          </w:p>
        </w:tc>
        <w:tc>
          <w:tcPr>
            <w:tcW w:w="2551" w:type="dxa"/>
            <w:gridSpan w:val="3"/>
          </w:tcPr>
          <w:p w:rsidR="00DC45F7" w:rsidRPr="00DC45F7" w:rsidRDefault="00DC45F7" w:rsidP="00DC45F7">
            <w:pPr>
              <w:rPr>
                <w:color w:val="auto"/>
                <w:sz w:val="22"/>
                <w:u w:val="single"/>
              </w:rPr>
            </w:pPr>
            <w:r w:rsidRPr="00DC45F7">
              <w:rPr>
                <w:color w:val="auto"/>
                <w:sz w:val="22"/>
                <w:u w:val="single"/>
              </w:rPr>
              <w:t xml:space="preserve">     4,256</w:t>
            </w:r>
          </w:p>
        </w:tc>
      </w:tr>
      <w:tr w:rsidR="00DC45F7" w:rsidRPr="00DC45F7" w:rsidTr="006503A2">
        <w:tc>
          <w:tcPr>
            <w:tcW w:w="4717" w:type="dxa"/>
            <w:gridSpan w:val="3"/>
          </w:tcPr>
          <w:p w:rsidR="00DC45F7" w:rsidRPr="00DC45F7" w:rsidRDefault="00DC45F7" w:rsidP="00DC45F7">
            <w:pPr>
              <w:rPr>
                <w:color w:val="auto"/>
                <w:sz w:val="22"/>
              </w:rPr>
            </w:pPr>
          </w:p>
        </w:tc>
        <w:tc>
          <w:tcPr>
            <w:tcW w:w="1150" w:type="dxa"/>
          </w:tcPr>
          <w:p w:rsidR="00DC45F7" w:rsidRPr="00DC45F7" w:rsidRDefault="00DC45F7" w:rsidP="00DC45F7">
            <w:pPr>
              <w:rPr>
                <w:color w:val="auto"/>
                <w:sz w:val="22"/>
              </w:rPr>
            </w:pPr>
          </w:p>
        </w:tc>
        <w:tc>
          <w:tcPr>
            <w:tcW w:w="1158" w:type="dxa"/>
            <w:gridSpan w:val="2"/>
          </w:tcPr>
          <w:p w:rsidR="00DC45F7" w:rsidRPr="00DC45F7" w:rsidRDefault="00DC45F7" w:rsidP="00DC45F7">
            <w:pPr>
              <w:rPr>
                <w:color w:val="auto"/>
                <w:sz w:val="22"/>
              </w:rPr>
            </w:pPr>
          </w:p>
        </w:tc>
        <w:tc>
          <w:tcPr>
            <w:tcW w:w="2551" w:type="dxa"/>
            <w:gridSpan w:val="3"/>
          </w:tcPr>
          <w:p w:rsidR="00DC45F7" w:rsidRPr="00DC45F7" w:rsidRDefault="00DC45F7" w:rsidP="00DC45F7">
            <w:pPr>
              <w:rPr>
                <w:color w:val="auto"/>
                <w:sz w:val="22"/>
                <w:u w:val="single"/>
              </w:rPr>
            </w:pPr>
          </w:p>
        </w:tc>
      </w:tr>
      <w:tr w:rsidR="00DC45F7" w:rsidRPr="00DC45F7" w:rsidTr="006503A2">
        <w:trPr>
          <w:trHeight w:val="198"/>
        </w:trPr>
        <w:tc>
          <w:tcPr>
            <w:tcW w:w="5867" w:type="dxa"/>
            <w:gridSpan w:val="4"/>
          </w:tcPr>
          <w:p w:rsidR="00DC45F7" w:rsidRPr="00DC45F7" w:rsidRDefault="00DC45F7" w:rsidP="00DC45F7">
            <w:pPr>
              <w:rPr>
                <w:color w:val="auto"/>
                <w:sz w:val="22"/>
              </w:rPr>
            </w:pPr>
            <w:r w:rsidRPr="00DC45F7">
              <w:rPr>
                <w:color w:val="auto"/>
                <w:sz w:val="22"/>
              </w:rPr>
              <w:t xml:space="preserve">      Total Direct Variable Treatment Expenses</w:t>
            </w:r>
          </w:p>
        </w:tc>
        <w:tc>
          <w:tcPr>
            <w:tcW w:w="1158" w:type="dxa"/>
            <w:gridSpan w:val="2"/>
          </w:tcPr>
          <w:p w:rsidR="00DC45F7" w:rsidRPr="00DC45F7" w:rsidRDefault="00DC45F7" w:rsidP="00DC45F7">
            <w:pPr>
              <w:rPr>
                <w:color w:val="auto"/>
                <w:sz w:val="22"/>
              </w:rPr>
            </w:pPr>
          </w:p>
        </w:tc>
        <w:tc>
          <w:tcPr>
            <w:tcW w:w="2551" w:type="dxa"/>
            <w:gridSpan w:val="3"/>
          </w:tcPr>
          <w:p w:rsidR="00DC45F7" w:rsidRPr="00DC45F7" w:rsidRDefault="00DC45F7" w:rsidP="00DC45F7">
            <w:pPr>
              <w:rPr>
                <w:color w:val="auto"/>
                <w:sz w:val="22"/>
                <w:u w:val="single"/>
              </w:rPr>
            </w:pPr>
            <w:r w:rsidRPr="00DC45F7">
              <w:rPr>
                <w:color w:val="auto"/>
                <w:sz w:val="22"/>
              </w:rPr>
              <w:t>$130,494</w:t>
            </w:r>
          </w:p>
        </w:tc>
      </w:tr>
      <w:tr w:rsidR="00DC45F7" w:rsidRPr="00DC45F7" w:rsidTr="006503A2">
        <w:trPr>
          <w:trHeight w:val="198"/>
        </w:trPr>
        <w:tc>
          <w:tcPr>
            <w:tcW w:w="9576" w:type="dxa"/>
            <w:gridSpan w:val="9"/>
          </w:tcPr>
          <w:p w:rsidR="00DC45F7" w:rsidRPr="00DC45F7" w:rsidRDefault="00DC45F7" w:rsidP="00DC45F7">
            <w:pPr>
              <w:jc w:val="center"/>
              <w:rPr>
                <w:b/>
                <w:color w:val="auto"/>
                <w:sz w:val="22"/>
              </w:rPr>
            </w:pPr>
          </w:p>
          <w:p w:rsidR="00DC45F7" w:rsidRPr="00DC45F7" w:rsidRDefault="00DC45F7" w:rsidP="00DC45F7">
            <w:pPr>
              <w:jc w:val="center"/>
              <w:rPr>
                <w:b/>
                <w:color w:val="auto"/>
                <w:sz w:val="22"/>
              </w:rPr>
            </w:pPr>
          </w:p>
          <w:p w:rsidR="00DC45F7" w:rsidRPr="00DC45F7" w:rsidRDefault="00DC45F7" w:rsidP="00DC45F7">
            <w:pPr>
              <w:rPr>
                <w:color w:val="auto"/>
                <w:sz w:val="22"/>
              </w:rPr>
            </w:pPr>
          </w:p>
        </w:tc>
      </w:tr>
      <w:tr w:rsidR="00DC45F7" w:rsidRPr="00DC45F7" w:rsidTr="006503A2">
        <w:trPr>
          <w:trHeight w:val="198"/>
        </w:trPr>
        <w:tc>
          <w:tcPr>
            <w:tcW w:w="5867" w:type="dxa"/>
            <w:gridSpan w:val="4"/>
          </w:tcPr>
          <w:p w:rsidR="00DC45F7" w:rsidRPr="00DC45F7" w:rsidRDefault="00DC45F7" w:rsidP="00DC45F7">
            <w:pPr>
              <w:rPr>
                <w:b/>
                <w:color w:val="auto"/>
                <w:sz w:val="22"/>
                <w:u w:val="single"/>
              </w:rPr>
            </w:pPr>
            <w:r w:rsidRPr="00DC45F7">
              <w:rPr>
                <w:color w:val="auto"/>
                <w:sz w:val="22"/>
              </w:rPr>
              <w:t xml:space="preserve">      </w:t>
            </w:r>
            <w:r w:rsidRPr="00DC45F7">
              <w:rPr>
                <w:b/>
                <w:color w:val="auto"/>
                <w:sz w:val="22"/>
                <w:u w:val="single"/>
              </w:rPr>
              <w:t>Overhead Expenses</w:t>
            </w:r>
          </w:p>
        </w:tc>
        <w:tc>
          <w:tcPr>
            <w:tcW w:w="1158" w:type="dxa"/>
            <w:gridSpan w:val="2"/>
          </w:tcPr>
          <w:p w:rsidR="00DC45F7" w:rsidRPr="00DC45F7" w:rsidRDefault="00DC45F7" w:rsidP="00DC45F7">
            <w:pPr>
              <w:rPr>
                <w:color w:val="auto"/>
                <w:sz w:val="22"/>
              </w:rPr>
            </w:pPr>
          </w:p>
        </w:tc>
        <w:tc>
          <w:tcPr>
            <w:tcW w:w="2551" w:type="dxa"/>
            <w:gridSpan w:val="3"/>
          </w:tcPr>
          <w:p w:rsidR="00DC45F7" w:rsidRPr="00DC45F7" w:rsidRDefault="00DC45F7" w:rsidP="00DC45F7">
            <w:pPr>
              <w:rPr>
                <w:color w:val="auto"/>
                <w:sz w:val="22"/>
              </w:rPr>
            </w:pPr>
          </w:p>
        </w:tc>
      </w:tr>
      <w:tr w:rsidR="00DC45F7" w:rsidRPr="00DC45F7" w:rsidTr="006503A2">
        <w:trPr>
          <w:trHeight w:val="198"/>
        </w:trPr>
        <w:tc>
          <w:tcPr>
            <w:tcW w:w="9576" w:type="dxa"/>
            <w:gridSpan w:val="9"/>
          </w:tcPr>
          <w:p w:rsidR="00DC45F7" w:rsidRPr="00DC45F7" w:rsidRDefault="00DC45F7" w:rsidP="00DC45F7">
            <w:pPr>
              <w:rPr>
                <w:color w:val="auto"/>
                <w:sz w:val="22"/>
              </w:rPr>
            </w:pPr>
            <w:r w:rsidRPr="00DC45F7">
              <w:rPr>
                <w:color w:val="auto"/>
                <w:sz w:val="22"/>
              </w:rPr>
              <w:t xml:space="preserve">      Plus provision for a portion of  labor and administrative expenses of  20% </w:t>
            </w:r>
          </w:p>
        </w:tc>
      </w:tr>
      <w:tr w:rsidR="00DC45F7" w:rsidRPr="00DC45F7" w:rsidTr="006503A2">
        <w:tc>
          <w:tcPr>
            <w:tcW w:w="6976" w:type="dxa"/>
            <w:gridSpan w:val="5"/>
          </w:tcPr>
          <w:p w:rsidR="00DC45F7" w:rsidRPr="00DC45F7" w:rsidRDefault="00DC45F7" w:rsidP="00DC45F7">
            <w:pPr>
              <w:rPr>
                <w:color w:val="auto"/>
                <w:sz w:val="22"/>
              </w:rPr>
            </w:pPr>
            <w:r w:rsidRPr="00DC45F7">
              <w:rPr>
                <w:color w:val="auto"/>
                <w:sz w:val="22"/>
              </w:rPr>
              <w:t xml:space="preserve">                                                  $130,494       X      20%                  =     </w:t>
            </w:r>
          </w:p>
        </w:tc>
        <w:tc>
          <w:tcPr>
            <w:tcW w:w="1347" w:type="dxa"/>
            <w:gridSpan w:val="2"/>
          </w:tcPr>
          <w:p w:rsidR="00DC45F7" w:rsidRPr="00DC45F7" w:rsidRDefault="00DC45F7" w:rsidP="00DC45F7">
            <w:pPr>
              <w:rPr>
                <w:color w:val="auto"/>
                <w:sz w:val="22"/>
                <w:u w:val="single"/>
              </w:rPr>
            </w:pPr>
            <w:r w:rsidRPr="00DC45F7">
              <w:rPr>
                <w:color w:val="auto"/>
                <w:sz w:val="22"/>
                <w:u w:val="single"/>
              </w:rPr>
              <w:t xml:space="preserve">  $26,099</w:t>
            </w:r>
          </w:p>
        </w:tc>
        <w:tc>
          <w:tcPr>
            <w:tcW w:w="1253" w:type="dxa"/>
            <w:gridSpan w:val="2"/>
          </w:tcPr>
          <w:p w:rsidR="00DC45F7" w:rsidRPr="00DC45F7" w:rsidRDefault="00DC45F7" w:rsidP="00DC45F7">
            <w:pPr>
              <w:jc w:val="right"/>
              <w:rPr>
                <w:color w:val="auto"/>
                <w:sz w:val="22"/>
                <w:u w:val="double"/>
              </w:rPr>
            </w:pPr>
          </w:p>
        </w:tc>
      </w:tr>
      <w:tr w:rsidR="00DC45F7" w:rsidRPr="00DC45F7" w:rsidTr="006503A2">
        <w:tc>
          <w:tcPr>
            <w:tcW w:w="1704" w:type="dxa"/>
            <w:gridSpan w:val="2"/>
          </w:tcPr>
          <w:p w:rsidR="00DC45F7" w:rsidRPr="00DC45F7" w:rsidRDefault="00DC45F7" w:rsidP="00DC45F7">
            <w:pPr>
              <w:rPr>
                <w:color w:val="auto"/>
                <w:sz w:val="22"/>
              </w:rPr>
            </w:pPr>
          </w:p>
        </w:tc>
        <w:tc>
          <w:tcPr>
            <w:tcW w:w="5272" w:type="dxa"/>
            <w:gridSpan w:val="3"/>
          </w:tcPr>
          <w:p w:rsidR="00DC45F7" w:rsidRPr="00DC45F7" w:rsidRDefault="00DC45F7" w:rsidP="00DC45F7">
            <w:pPr>
              <w:rPr>
                <w:color w:val="auto"/>
                <w:sz w:val="22"/>
              </w:rPr>
            </w:pPr>
            <w:r w:rsidRPr="00DC45F7">
              <w:rPr>
                <w:color w:val="auto"/>
                <w:sz w:val="22"/>
              </w:rPr>
              <w:t xml:space="preserve">   </w:t>
            </w:r>
          </w:p>
        </w:tc>
        <w:tc>
          <w:tcPr>
            <w:tcW w:w="1347" w:type="dxa"/>
            <w:gridSpan w:val="2"/>
          </w:tcPr>
          <w:p w:rsidR="00DC45F7" w:rsidRPr="00DC45F7" w:rsidRDefault="00DC45F7" w:rsidP="00DC45F7">
            <w:pPr>
              <w:rPr>
                <w:color w:val="auto"/>
                <w:sz w:val="22"/>
              </w:rPr>
            </w:pPr>
            <w:r w:rsidRPr="00DC45F7">
              <w:rPr>
                <w:color w:val="auto"/>
                <w:sz w:val="22"/>
              </w:rPr>
              <w:t>$156,593</w:t>
            </w:r>
          </w:p>
        </w:tc>
        <w:tc>
          <w:tcPr>
            <w:tcW w:w="1253" w:type="dxa"/>
            <w:gridSpan w:val="2"/>
          </w:tcPr>
          <w:p w:rsidR="00DC45F7" w:rsidRPr="00DC45F7" w:rsidRDefault="00DC45F7" w:rsidP="00DC45F7">
            <w:pPr>
              <w:jc w:val="right"/>
              <w:rPr>
                <w:color w:val="auto"/>
                <w:sz w:val="22"/>
                <w:u w:val="double"/>
              </w:rPr>
            </w:pPr>
          </w:p>
        </w:tc>
      </w:tr>
      <w:tr w:rsidR="00DC45F7" w:rsidRPr="00DC45F7" w:rsidTr="006503A2">
        <w:tc>
          <w:tcPr>
            <w:tcW w:w="6976" w:type="dxa"/>
            <w:gridSpan w:val="5"/>
          </w:tcPr>
          <w:p w:rsidR="00DC45F7" w:rsidRPr="00DC45F7" w:rsidRDefault="00DC45F7" w:rsidP="00DC45F7">
            <w:pPr>
              <w:rPr>
                <w:color w:val="auto"/>
                <w:sz w:val="22"/>
              </w:rPr>
            </w:pPr>
            <w:r w:rsidRPr="00DC45F7">
              <w:rPr>
                <w:color w:val="auto"/>
                <w:sz w:val="22"/>
              </w:rPr>
              <w:t xml:space="preserve">      Total Sales volume                         61,981 (1,000 gallons)</w:t>
            </w:r>
          </w:p>
        </w:tc>
        <w:tc>
          <w:tcPr>
            <w:tcW w:w="1347" w:type="dxa"/>
            <w:gridSpan w:val="2"/>
          </w:tcPr>
          <w:p w:rsidR="00DC45F7" w:rsidRPr="00DC45F7" w:rsidRDefault="00DC45F7" w:rsidP="00DC45F7">
            <w:pPr>
              <w:jc w:val="center"/>
              <w:rPr>
                <w:color w:val="auto"/>
                <w:sz w:val="22"/>
              </w:rPr>
            </w:pPr>
          </w:p>
        </w:tc>
        <w:tc>
          <w:tcPr>
            <w:tcW w:w="1253" w:type="dxa"/>
            <w:gridSpan w:val="2"/>
          </w:tcPr>
          <w:p w:rsidR="00DC45F7" w:rsidRPr="00DC45F7" w:rsidRDefault="00DC45F7" w:rsidP="00DC45F7">
            <w:pPr>
              <w:jc w:val="right"/>
              <w:rPr>
                <w:color w:val="auto"/>
                <w:sz w:val="22"/>
                <w:u w:val="double"/>
              </w:rPr>
            </w:pPr>
          </w:p>
        </w:tc>
      </w:tr>
      <w:tr w:rsidR="00DC45F7" w:rsidRPr="00DC45F7" w:rsidTr="006503A2">
        <w:tc>
          <w:tcPr>
            <w:tcW w:w="6976" w:type="dxa"/>
            <w:gridSpan w:val="5"/>
          </w:tcPr>
          <w:p w:rsidR="00DC45F7" w:rsidRPr="00DC45F7" w:rsidRDefault="00DC45F7" w:rsidP="00DC45F7">
            <w:pPr>
              <w:rPr>
                <w:color w:val="auto"/>
                <w:sz w:val="22"/>
              </w:rPr>
            </w:pPr>
          </w:p>
        </w:tc>
        <w:tc>
          <w:tcPr>
            <w:tcW w:w="1347" w:type="dxa"/>
            <w:gridSpan w:val="2"/>
          </w:tcPr>
          <w:p w:rsidR="00DC45F7" w:rsidRPr="00DC45F7" w:rsidRDefault="00DC45F7" w:rsidP="00DC45F7">
            <w:pPr>
              <w:jc w:val="center"/>
              <w:rPr>
                <w:color w:val="auto"/>
                <w:sz w:val="22"/>
              </w:rPr>
            </w:pPr>
          </w:p>
        </w:tc>
        <w:tc>
          <w:tcPr>
            <w:tcW w:w="1253" w:type="dxa"/>
            <w:gridSpan w:val="2"/>
          </w:tcPr>
          <w:p w:rsidR="00DC45F7" w:rsidRPr="00DC45F7" w:rsidRDefault="00DC45F7" w:rsidP="00DC45F7">
            <w:pPr>
              <w:jc w:val="right"/>
              <w:rPr>
                <w:color w:val="auto"/>
                <w:sz w:val="22"/>
                <w:u w:val="double"/>
              </w:rPr>
            </w:pPr>
          </w:p>
        </w:tc>
      </w:tr>
      <w:tr w:rsidR="00DC45F7" w:rsidRPr="00DC45F7" w:rsidTr="006503A2">
        <w:tc>
          <w:tcPr>
            <w:tcW w:w="6976" w:type="dxa"/>
            <w:gridSpan w:val="5"/>
          </w:tcPr>
          <w:p w:rsidR="00DC45F7" w:rsidRPr="00DC45F7" w:rsidRDefault="00DC45F7" w:rsidP="00DC45F7">
            <w:pPr>
              <w:rPr>
                <w:color w:val="auto"/>
                <w:sz w:val="22"/>
              </w:rPr>
            </w:pPr>
            <w:r w:rsidRPr="00DC45F7">
              <w:rPr>
                <w:color w:val="auto"/>
                <w:sz w:val="22"/>
              </w:rPr>
              <w:t xml:space="preserve">       Estimated Unit Cost                       </w:t>
            </w:r>
            <w:r w:rsidRPr="00DC45F7">
              <w:rPr>
                <w:color w:val="auto"/>
                <w:sz w:val="22"/>
                <w:u w:val="single"/>
              </w:rPr>
              <w:t>$156,593</w:t>
            </w:r>
          </w:p>
        </w:tc>
        <w:tc>
          <w:tcPr>
            <w:tcW w:w="1347" w:type="dxa"/>
            <w:gridSpan w:val="2"/>
          </w:tcPr>
          <w:p w:rsidR="00DC45F7" w:rsidRPr="00DC45F7" w:rsidRDefault="00DC45F7" w:rsidP="00DC45F7">
            <w:pPr>
              <w:jc w:val="center"/>
              <w:rPr>
                <w:color w:val="auto"/>
                <w:sz w:val="22"/>
              </w:rPr>
            </w:pPr>
          </w:p>
        </w:tc>
        <w:tc>
          <w:tcPr>
            <w:tcW w:w="1253" w:type="dxa"/>
            <w:gridSpan w:val="2"/>
          </w:tcPr>
          <w:p w:rsidR="00DC45F7" w:rsidRPr="00DC45F7" w:rsidRDefault="00DC45F7" w:rsidP="00DC45F7">
            <w:pPr>
              <w:jc w:val="right"/>
              <w:rPr>
                <w:color w:val="auto"/>
                <w:sz w:val="22"/>
                <w:u w:val="double"/>
              </w:rPr>
            </w:pPr>
          </w:p>
        </w:tc>
      </w:tr>
      <w:tr w:rsidR="00DC45F7" w:rsidRPr="00DC45F7" w:rsidTr="006503A2">
        <w:tc>
          <w:tcPr>
            <w:tcW w:w="1689" w:type="dxa"/>
          </w:tcPr>
          <w:p w:rsidR="00DC45F7" w:rsidRPr="00DC45F7" w:rsidRDefault="00DC45F7" w:rsidP="00DC45F7">
            <w:pPr>
              <w:rPr>
                <w:color w:val="auto"/>
                <w:sz w:val="22"/>
              </w:rPr>
            </w:pPr>
          </w:p>
        </w:tc>
        <w:tc>
          <w:tcPr>
            <w:tcW w:w="5287" w:type="dxa"/>
            <w:gridSpan w:val="4"/>
          </w:tcPr>
          <w:p w:rsidR="00DC45F7" w:rsidRPr="00DC45F7" w:rsidRDefault="00DC45F7" w:rsidP="00DC45F7">
            <w:pPr>
              <w:rPr>
                <w:color w:val="auto"/>
                <w:sz w:val="22"/>
              </w:rPr>
            </w:pPr>
            <w:r w:rsidRPr="00DC45F7">
              <w:rPr>
                <w:color w:val="auto"/>
                <w:sz w:val="22"/>
              </w:rPr>
              <w:t xml:space="preserve">                                    61,981                         =     </w:t>
            </w:r>
          </w:p>
        </w:tc>
        <w:tc>
          <w:tcPr>
            <w:tcW w:w="1347" w:type="dxa"/>
            <w:gridSpan w:val="2"/>
          </w:tcPr>
          <w:p w:rsidR="00DC45F7" w:rsidRPr="00DC45F7" w:rsidRDefault="00DC45F7" w:rsidP="00DC45F7">
            <w:pPr>
              <w:rPr>
                <w:color w:val="auto"/>
                <w:sz w:val="22"/>
              </w:rPr>
            </w:pPr>
            <w:r w:rsidRPr="00DC45F7">
              <w:rPr>
                <w:color w:val="auto"/>
                <w:sz w:val="22"/>
              </w:rPr>
              <w:t xml:space="preserve">   $2.53 *</w:t>
            </w:r>
          </w:p>
          <w:p w:rsidR="00DC45F7" w:rsidRPr="00DC45F7" w:rsidRDefault="00DC45F7" w:rsidP="00DC45F7">
            <w:pPr>
              <w:rPr>
                <w:color w:val="auto"/>
                <w:sz w:val="22"/>
              </w:rPr>
            </w:pPr>
          </w:p>
          <w:p w:rsidR="00DC45F7" w:rsidRPr="00DC45F7" w:rsidRDefault="00DC45F7" w:rsidP="00DC45F7">
            <w:pPr>
              <w:rPr>
                <w:color w:val="auto"/>
                <w:sz w:val="22"/>
              </w:rPr>
            </w:pPr>
          </w:p>
          <w:p w:rsidR="00DC45F7" w:rsidRPr="00DC45F7" w:rsidRDefault="00DC45F7" w:rsidP="00DC45F7">
            <w:pPr>
              <w:rPr>
                <w:color w:val="auto"/>
                <w:sz w:val="22"/>
              </w:rPr>
            </w:pPr>
          </w:p>
          <w:p w:rsidR="00DC45F7" w:rsidRPr="00DC45F7" w:rsidRDefault="00DC45F7" w:rsidP="00DC45F7">
            <w:pPr>
              <w:rPr>
                <w:color w:val="auto"/>
                <w:sz w:val="22"/>
              </w:rPr>
            </w:pPr>
          </w:p>
          <w:p w:rsidR="00DC45F7" w:rsidRPr="00DC45F7" w:rsidRDefault="00DC45F7" w:rsidP="00DC45F7">
            <w:pPr>
              <w:rPr>
                <w:color w:val="auto"/>
                <w:sz w:val="22"/>
              </w:rPr>
            </w:pPr>
          </w:p>
          <w:p w:rsidR="00DC45F7" w:rsidRPr="00DC45F7" w:rsidRDefault="00DC45F7" w:rsidP="00DC45F7">
            <w:pPr>
              <w:rPr>
                <w:color w:val="auto"/>
                <w:sz w:val="22"/>
              </w:rPr>
            </w:pPr>
          </w:p>
          <w:p w:rsidR="00DC45F7" w:rsidRPr="00DC45F7" w:rsidRDefault="00DC45F7" w:rsidP="00DC45F7">
            <w:pPr>
              <w:rPr>
                <w:color w:val="auto"/>
                <w:sz w:val="22"/>
              </w:rPr>
            </w:pPr>
          </w:p>
          <w:p w:rsidR="00DC45F7" w:rsidRPr="00DC45F7" w:rsidRDefault="00DC45F7" w:rsidP="00DC45F7">
            <w:pPr>
              <w:rPr>
                <w:color w:val="auto"/>
                <w:sz w:val="22"/>
              </w:rPr>
            </w:pPr>
          </w:p>
        </w:tc>
        <w:tc>
          <w:tcPr>
            <w:tcW w:w="1253" w:type="dxa"/>
            <w:gridSpan w:val="2"/>
          </w:tcPr>
          <w:p w:rsidR="00DC45F7" w:rsidRPr="00DC45F7" w:rsidRDefault="00DC45F7" w:rsidP="00DC45F7">
            <w:pPr>
              <w:jc w:val="right"/>
              <w:rPr>
                <w:color w:val="auto"/>
                <w:sz w:val="22"/>
                <w:u w:val="double"/>
              </w:rPr>
            </w:pPr>
          </w:p>
        </w:tc>
      </w:tr>
      <w:tr w:rsidR="00DC45F7" w:rsidRPr="00DC45F7" w:rsidTr="006503A2">
        <w:tc>
          <w:tcPr>
            <w:tcW w:w="9576" w:type="dxa"/>
            <w:gridSpan w:val="9"/>
          </w:tcPr>
          <w:p w:rsidR="00DC45F7" w:rsidRPr="00DC45F7" w:rsidRDefault="00DC45F7" w:rsidP="00DC45F7">
            <w:pPr>
              <w:rPr>
                <w:color w:val="auto"/>
                <w:sz w:val="22"/>
                <w:u w:val="double"/>
              </w:rPr>
            </w:pPr>
            <w:r w:rsidRPr="00DC45F7">
              <w:rPr>
                <w:color w:val="auto"/>
                <w:sz w:val="22"/>
              </w:rPr>
              <w:t xml:space="preserve">*Rate for Sales over 10,000 gallons per month </w:t>
            </w:r>
          </w:p>
        </w:tc>
      </w:tr>
    </w:tbl>
    <w:p w:rsidR="00827BC6" w:rsidRPr="007A134B" w:rsidRDefault="00827BC6">
      <w:pPr>
        <w:tabs>
          <w:tab w:val="left" w:pos="4320"/>
        </w:tabs>
        <w:rPr>
          <w:szCs w:val="26"/>
        </w:rPr>
      </w:pPr>
    </w:p>
    <w:sectPr w:rsidR="00827BC6" w:rsidRPr="007A134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1C" w:rsidRDefault="00B0121C">
      <w:r>
        <w:separator/>
      </w:r>
    </w:p>
  </w:endnote>
  <w:endnote w:type="continuationSeparator" w:id="0">
    <w:p w:rsidR="00B0121C" w:rsidRDefault="00B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10" w:rsidRDefault="00463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3E10" w:rsidRDefault="00463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10" w:rsidRDefault="00463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6914">
      <w:rPr>
        <w:rStyle w:val="PageNumber"/>
        <w:noProof/>
      </w:rPr>
      <w:t>3</w:t>
    </w:r>
    <w:r>
      <w:rPr>
        <w:rStyle w:val="PageNumber"/>
      </w:rPr>
      <w:fldChar w:fldCharType="end"/>
    </w:r>
  </w:p>
  <w:p w:rsidR="00463E10" w:rsidRDefault="00463E10">
    <w:pPr>
      <w:pStyle w:val="Footer"/>
      <w:rPr>
        <w:color w:val="800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9D" w:rsidRDefault="00E66A9D" w:rsidP="00E66A9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9A" w:rsidRPr="00024FD3" w:rsidRDefault="002B209A" w:rsidP="00024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1C" w:rsidRDefault="00B0121C">
      <w:r>
        <w:separator/>
      </w:r>
    </w:p>
  </w:footnote>
  <w:footnote w:type="continuationSeparator" w:id="0">
    <w:p w:rsidR="00B0121C" w:rsidRDefault="00B01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C88C42"/>
    <w:lvl w:ilvl="0">
      <w:start w:val="1"/>
      <w:numFmt w:val="decimal"/>
      <w:lvlText w:val="%1."/>
      <w:lvlJc w:val="left"/>
      <w:pPr>
        <w:tabs>
          <w:tab w:val="num" w:pos="1800"/>
        </w:tabs>
        <w:ind w:left="1800" w:hanging="360"/>
      </w:pPr>
    </w:lvl>
  </w:abstractNum>
  <w:abstractNum w:abstractNumId="1">
    <w:nsid w:val="FFFFFF7D"/>
    <w:multiLevelType w:val="singleLevel"/>
    <w:tmpl w:val="49548978"/>
    <w:lvl w:ilvl="0">
      <w:start w:val="1"/>
      <w:numFmt w:val="decimal"/>
      <w:lvlText w:val="%1."/>
      <w:lvlJc w:val="left"/>
      <w:pPr>
        <w:tabs>
          <w:tab w:val="num" w:pos="1440"/>
        </w:tabs>
        <w:ind w:left="1440" w:hanging="360"/>
      </w:pPr>
    </w:lvl>
  </w:abstractNum>
  <w:abstractNum w:abstractNumId="2">
    <w:nsid w:val="FFFFFF7E"/>
    <w:multiLevelType w:val="singleLevel"/>
    <w:tmpl w:val="259644B6"/>
    <w:lvl w:ilvl="0">
      <w:start w:val="1"/>
      <w:numFmt w:val="decimal"/>
      <w:lvlText w:val="%1."/>
      <w:lvlJc w:val="left"/>
      <w:pPr>
        <w:tabs>
          <w:tab w:val="num" w:pos="1080"/>
        </w:tabs>
        <w:ind w:left="1080" w:hanging="360"/>
      </w:pPr>
    </w:lvl>
  </w:abstractNum>
  <w:abstractNum w:abstractNumId="3">
    <w:nsid w:val="FFFFFF7F"/>
    <w:multiLevelType w:val="singleLevel"/>
    <w:tmpl w:val="7B1670BE"/>
    <w:lvl w:ilvl="0">
      <w:start w:val="1"/>
      <w:numFmt w:val="decimal"/>
      <w:lvlText w:val="%1."/>
      <w:lvlJc w:val="left"/>
      <w:pPr>
        <w:tabs>
          <w:tab w:val="num" w:pos="720"/>
        </w:tabs>
        <w:ind w:left="720" w:hanging="360"/>
      </w:pPr>
    </w:lvl>
  </w:abstractNum>
  <w:abstractNum w:abstractNumId="4">
    <w:nsid w:val="FFFFFF88"/>
    <w:multiLevelType w:val="singleLevel"/>
    <w:tmpl w:val="6C28B04C"/>
    <w:lvl w:ilvl="0">
      <w:start w:val="1"/>
      <w:numFmt w:val="decimal"/>
      <w:pStyle w:val="ListNumber"/>
      <w:lvlText w:val="%1."/>
      <w:lvlJc w:val="left"/>
      <w:pPr>
        <w:tabs>
          <w:tab w:val="num" w:pos="360"/>
        </w:tabs>
        <w:ind w:left="360" w:hanging="360"/>
      </w:pPr>
    </w:lvl>
  </w:abstractNum>
  <w:abstractNum w:abstractNumId="5">
    <w:nsid w:val="00893C7C"/>
    <w:multiLevelType w:val="hybridMultilevel"/>
    <w:tmpl w:val="49906BA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01067D95"/>
    <w:multiLevelType w:val="hybridMultilevel"/>
    <w:tmpl w:val="6666F1D0"/>
    <w:lvl w:ilvl="0" w:tplc="FF54E60E">
      <w:start w:val="1"/>
      <w:numFmt w:val="decimal"/>
      <w:pStyle w:val="StyleListParagraphLinespacing15lin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9A0609"/>
    <w:multiLevelType w:val="hybridMultilevel"/>
    <w:tmpl w:val="93A6E9AC"/>
    <w:lvl w:ilvl="0" w:tplc="4318539A">
      <w:start w:val="1"/>
      <w:numFmt w:val="decimal"/>
      <w:lvlText w:val="%1.  "/>
      <w:lvlJc w:val="left"/>
      <w:pPr>
        <w:ind w:left="1800" w:hanging="360"/>
      </w:pPr>
      <w:rPr>
        <w:rFonts w:ascii="Times New Roman" w:hAnsi="Times New Roman" w:hint="default"/>
        <w:b w:val="0"/>
        <w:i w:val="0"/>
        <w:sz w:val="26"/>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06CA1CDC"/>
    <w:multiLevelType w:val="hybridMultilevel"/>
    <w:tmpl w:val="9440E24E"/>
    <w:lvl w:ilvl="0" w:tplc="DB3890D0">
      <w:start w:val="1"/>
      <w:numFmt w:val="lowerLetter"/>
      <w:lvlText w:val="%1."/>
      <w:lvlJc w:val="left"/>
      <w:pPr>
        <w:ind w:left="3600" w:hanging="360"/>
      </w:pPr>
      <w:rPr>
        <w:rFonts w:ascii="Times New Roman" w:hAnsi="Times New Roman" w:hint="default"/>
        <w:b w:val="0"/>
        <w:i w:val="0"/>
        <w:sz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096D4A74"/>
    <w:multiLevelType w:val="hybridMultilevel"/>
    <w:tmpl w:val="27148550"/>
    <w:lvl w:ilvl="0" w:tplc="3F700FC0">
      <w:start w:val="1"/>
      <w:numFmt w:val="decimal"/>
      <w:lvlText w:val="%1."/>
      <w:lvlJc w:val="left"/>
      <w:pPr>
        <w:ind w:left="2880" w:hanging="360"/>
      </w:pPr>
      <w:rPr>
        <w:rFonts w:hint="default"/>
        <w:color w:val="auto"/>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0BB97617"/>
    <w:multiLevelType w:val="hybridMultilevel"/>
    <w:tmpl w:val="B7805E50"/>
    <w:lvl w:ilvl="0" w:tplc="B6DCA900">
      <w:start w:val="1"/>
      <w:numFmt w:val="lowerLetter"/>
      <w:lvlText w:val="%1)"/>
      <w:lvlJc w:val="left"/>
      <w:pPr>
        <w:ind w:left="1440" w:hanging="360"/>
      </w:pPr>
      <w:rPr>
        <w:rFonts w:ascii="Arial" w:eastAsia="Calibri" w:hAnsi="Arial" w:cs="Arial"/>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483659"/>
    <w:multiLevelType w:val="hybridMultilevel"/>
    <w:tmpl w:val="8640D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43C66AF"/>
    <w:multiLevelType w:val="hybridMultilevel"/>
    <w:tmpl w:val="26CCC5B4"/>
    <w:lvl w:ilvl="0" w:tplc="5F7E0438">
      <w:start w:val="1"/>
      <w:numFmt w:val="lowerLetter"/>
      <w:lvlText w:val="(%1)"/>
      <w:lvlJc w:val="left"/>
      <w:pPr>
        <w:ind w:left="1710" w:hanging="42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3">
    <w:nsid w:val="320533B8"/>
    <w:multiLevelType w:val="hybridMultilevel"/>
    <w:tmpl w:val="8C52BBA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nsid w:val="37446799"/>
    <w:multiLevelType w:val="hybridMultilevel"/>
    <w:tmpl w:val="A96ADB3E"/>
    <w:lvl w:ilvl="0" w:tplc="0409000F">
      <w:start w:val="1"/>
      <w:numFmt w:val="decimal"/>
      <w:lvlText w:val="%1."/>
      <w:lvlJc w:val="left"/>
      <w:pPr>
        <w:ind w:left="4140" w:hanging="360"/>
      </w:pPr>
    </w:lvl>
    <w:lvl w:ilvl="1" w:tplc="4318539A">
      <w:start w:val="1"/>
      <w:numFmt w:val="decimal"/>
      <w:lvlText w:val="%2.  "/>
      <w:lvlJc w:val="left"/>
      <w:pPr>
        <w:ind w:left="2880" w:hanging="360"/>
      </w:pPr>
      <w:rPr>
        <w:rFonts w:ascii="Times New Roman" w:hAnsi="Times New Roman" w:hint="default"/>
        <w:b w:val="0"/>
        <w:i w:val="0"/>
        <w:sz w:val="26"/>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9156EBD"/>
    <w:multiLevelType w:val="hybridMultilevel"/>
    <w:tmpl w:val="AE022B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43C4A36"/>
    <w:multiLevelType w:val="hybridMultilevel"/>
    <w:tmpl w:val="7A9E8FB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62A05F90"/>
    <w:multiLevelType w:val="hybridMultilevel"/>
    <w:tmpl w:val="AEC4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15065"/>
    <w:multiLevelType w:val="hybridMultilevel"/>
    <w:tmpl w:val="1396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0"/>
  </w:num>
  <w:num w:numId="4">
    <w:abstractNumId w:val="11"/>
  </w:num>
  <w:num w:numId="5">
    <w:abstractNumId w:val="15"/>
  </w:num>
  <w:num w:numId="6">
    <w:abstractNumId w:val="18"/>
  </w:num>
  <w:num w:numId="7">
    <w:abstractNumId w:val="16"/>
  </w:num>
  <w:num w:numId="8">
    <w:abstractNumId w:val="4"/>
  </w:num>
  <w:num w:numId="9">
    <w:abstractNumId w:val="2"/>
  </w:num>
  <w:num w:numId="10">
    <w:abstractNumId w:val="3"/>
  </w:num>
  <w:num w:numId="11">
    <w:abstractNumId w:val="0"/>
  </w:num>
  <w:num w:numId="12">
    <w:abstractNumId w:val="1"/>
  </w:num>
  <w:num w:numId="13">
    <w:abstractNumId w:val="6"/>
  </w:num>
  <w:num w:numId="14">
    <w:abstractNumId w:val="14"/>
  </w:num>
  <w:num w:numId="15">
    <w:abstractNumId w:val="7"/>
  </w:num>
  <w:num w:numId="16">
    <w:abstractNumId w:val="9"/>
  </w:num>
  <w:num w:numId="17">
    <w:abstractNumId w:val="8"/>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58"/>
    <w:rsid w:val="00024FD3"/>
    <w:rsid w:val="00033DC5"/>
    <w:rsid w:val="00044343"/>
    <w:rsid w:val="00066464"/>
    <w:rsid w:val="0006672D"/>
    <w:rsid w:val="000703D8"/>
    <w:rsid w:val="00087437"/>
    <w:rsid w:val="000B0C47"/>
    <w:rsid w:val="000C1BDF"/>
    <w:rsid w:val="000C43E6"/>
    <w:rsid w:val="000C750C"/>
    <w:rsid w:val="001011BB"/>
    <w:rsid w:val="00133EB5"/>
    <w:rsid w:val="00140DC6"/>
    <w:rsid w:val="00144EEA"/>
    <w:rsid w:val="00150A58"/>
    <w:rsid w:val="00150B2A"/>
    <w:rsid w:val="001646A7"/>
    <w:rsid w:val="00165ED7"/>
    <w:rsid w:val="00171F08"/>
    <w:rsid w:val="00174ED5"/>
    <w:rsid w:val="001775A4"/>
    <w:rsid w:val="00187C1C"/>
    <w:rsid w:val="001966E1"/>
    <w:rsid w:val="001A2464"/>
    <w:rsid w:val="001B158A"/>
    <w:rsid w:val="001C0B9F"/>
    <w:rsid w:val="001D0F8C"/>
    <w:rsid w:val="001F2FD1"/>
    <w:rsid w:val="001F3D68"/>
    <w:rsid w:val="00213532"/>
    <w:rsid w:val="002308CC"/>
    <w:rsid w:val="002324B1"/>
    <w:rsid w:val="00236A17"/>
    <w:rsid w:val="00240B55"/>
    <w:rsid w:val="002550E4"/>
    <w:rsid w:val="00267A9C"/>
    <w:rsid w:val="002914EB"/>
    <w:rsid w:val="00294AFC"/>
    <w:rsid w:val="0029600B"/>
    <w:rsid w:val="00296024"/>
    <w:rsid w:val="002A22CC"/>
    <w:rsid w:val="002B209A"/>
    <w:rsid w:val="002C57C5"/>
    <w:rsid w:val="002E627D"/>
    <w:rsid w:val="002E6F70"/>
    <w:rsid w:val="002E7D6E"/>
    <w:rsid w:val="002F3500"/>
    <w:rsid w:val="00310899"/>
    <w:rsid w:val="00314560"/>
    <w:rsid w:val="00324E41"/>
    <w:rsid w:val="00330D38"/>
    <w:rsid w:val="00352123"/>
    <w:rsid w:val="0036083E"/>
    <w:rsid w:val="00361C95"/>
    <w:rsid w:val="0038602A"/>
    <w:rsid w:val="00396D2A"/>
    <w:rsid w:val="003B3B29"/>
    <w:rsid w:val="003C099B"/>
    <w:rsid w:val="003D7841"/>
    <w:rsid w:val="00433B30"/>
    <w:rsid w:val="004340E8"/>
    <w:rsid w:val="004510A5"/>
    <w:rsid w:val="00463E10"/>
    <w:rsid w:val="004966C0"/>
    <w:rsid w:val="00497673"/>
    <w:rsid w:val="004B2AA7"/>
    <w:rsid w:val="004B6914"/>
    <w:rsid w:val="004C7AF8"/>
    <w:rsid w:val="004D0898"/>
    <w:rsid w:val="00503DAE"/>
    <w:rsid w:val="0051599B"/>
    <w:rsid w:val="00520DCF"/>
    <w:rsid w:val="005271EA"/>
    <w:rsid w:val="00531D1B"/>
    <w:rsid w:val="0057450A"/>
    <w:rsid w:val="00574B1A"/>
    <w:rsid w:val="005827D8"/>
    <w:rsid w:val="00582A47"/>
    <w:rsid w:val="00596488"/>
    <w:rsid w:val="005C31A6"/>
    <w:rsid w:val="005E1817"/>
    <w:rsid w:val="005E419C"/>
    <w:rsid w:val="005F24DE"/>
    <w:rsid w:val="00602555"/>
    <w:rsid w:val="00612279"/>
    <w:rsid w:val="00617732"/>
    <w:rsid w:val="006234FC"/>
    <w:rsid w:val="00627183"/>
    <w:rsid w:val="006620D1"/>
    <w:rsid w:val="006C7AB2"/>
    <w:rsid w:val="00702706"/>
    <w:rsid w:val="007074D8"/>
    <w:rsid w:val="00727084"/>
    <w:rsid w:val="007448D3"/>
    <w:rsid w:val="0076007D"/>
    <w:rsid w:val="00783440"/>
    <w:rsid w:val="007A134B"/>
    <w:rsid w:val="007A2269"/>
    <w:rsid w:val="007B2DF3"/>
    <w:rsid w:val="007B3DDC"/>
    <w:rsid w:val="007D358C"/>
    <w:rsid w:val="00813AEE"/>
    <w:rsid w:val="00820ECC"/>
    <w:rsid w:val="00827BC6"/>
    <w:rsid w:val="00827E49"/>
    <w:rsid w:val="0084669D"/>
    <w:rsid w:val="00896FC9"/>
    <w:rsid w:val="008A12B4"/>
    <w:rsid w:val="008E2604"/>
    <w:rsid w:val="008F1C3E"/>
    <w:rsid w:val="008F5D4B"/>
    <w:rsid w:val="00933CBD"/>
    <w:rsid w:val="00946DD7"/>
    <w:rsid w:val="00951FE3"/>
    <w:rsid w:val="009670E1"/>
    <w:rsid w:val="009768C0"/>
    <w:rsid w:val="009872D1"/>
    <w:rsid w:val="00991F73"/>
    <w:rsid w:val="0099508C"/>
    <w:rsid w:val="009961CB"/>
    <w:rsid w:val="009A0B24"/>
    <w:rsid w:val="009A1EB2"/>
    <w:rsid w:val="009B6884"/>
    <w:rsid w:val="009C5CE9"/>
    <w:rsid w:val="009E2F6C"/>
    <w:rsid w:val="00A00447"/>
    <w:rsid w:val="00A8257E"/>
    <w:rsid w:val="00A90BB2"/>
    <w:rsid w:val="00A95215"/>
    <w:rsid w:val="00A97863"/>
    <w:rsid w:val="00AA0E0A"/>
    <w:rsid w:val="00AB002A"/>
    <w:rsid w:val="00AB7F77"/>
    <w:rsid w:val="00AD0B8D"/>
    <w:rsid w:val="00AE08D5"/>
    <w:rsid w:val="00B0121C"/>
    <w:rsid w:val="00B13119"/>
    <w:rsid w:val="00B1490C"/>
    <w:rsid w:val="00B2157A"/>
    <w:rsid w:val="00B35581"/>
    <w:rsid w:val="00B50CA5"/>
    <w:rsid w:val="00B709D6"/>
    <w:rsid w:val="00B94EFF"/>
    <w:rsid w:val="00BC1640"/>
    <w:rsid w:val="00BC1EA9"/>
    <w:rsid w:val="00BD0EDC"/>
    <w:rsid w:val="00C107A4"/>
    <w:rsid w:val="00C370D8"/>
    <w:rsid w:val="00C54F66"/>
    <w:rsid w:val="00C7038A"/>
    <w:rsid w:val="00CA0ABB"/>
    <w:rsid w:val="00CA1D35"/>
    <w:rsid w:val="00CB16DA"/>
    <w:rsid w:val="00CC1174"/>
    <w:rsid w:val="00CC37FB"/>
    <w:rsid w:val="00CE0314"/>
    <w:rsid w:val="00D235D2"/>
    <w:rsid w:val="00D36DCE"/>
    <w:rsid w:val="00D42FEF"/>
    <w:rsid w:val="00D47523"/>
    <w:rsid w:val="00D517F7"/>
    <w:rsid w:val="00D62CD0"/>
    <w:rsid w:val="00D80D45"/>
    <w:rsid w:val="00D81374"/>
    <w:rsid w:val="00DA0312"/>
    <w:rsid w:val="00DA515A"/>
    <w:rsid w:val="00DC45F7"/>
    <w:rsid w:val="00DD2DD1"/>
    <w:rsid w:val="00DE09BF"/>
    <w:rsid w:val="00DE1975"/>
    <w:rsid w:val="00DF27DE"/>
    <w:rsid w:val="00E105C4"/>
    <w:rsid w:val="00E23E65"/>
    <w:rsid w:val="00E4019C"/>
    <w:rsid w:val="00E41FAB"/>
    <w:rsid w:val="00E66A9D"/>
    <w:rsid w:val="00E869AE"/>
    <w:rsid w:val="00E96A92"/>
    <w:rsid w:val="00EA6E03"/>
    <w:rsid w:val="00EB5D7F"/>
    <w:rsid w:val="00EF6FA0"/>
    <w:rsid w:val="00F03558"/>
    <w:rsid w:val="00F10564"/>
    <w:rsid w:val="00F12399"/>
    <w:rsid w:val="00F27AEB"/>
    <w:rsid w:val="00F309FD"/>
    <w:rsid w:val="00F342BF"/>
    <w:rsid w:val="00F818ED"/>
    <w:rsid w:val="00FB2927"/>
    <w:rsid w:val="00FB6D79"/>
    <w:rsid w:val="00FC360E"/>
    <w:rsid w:val="00FC41C2"/>
    <w:rsid w:val="00FD5367"/>
    <w:rsid w:val="00FE1387"/>
    <w:rsid w:val="00FE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27084"/>
    <w:rPr>
      <w:rFonts w:ascii="Tahoma" w:hAnsi="Tahoma" w:cs="Tahoma"/>
      <w:sz w:val="16"/>
      <w:szCs w:val="16"/>
    </w:rPr>
  </w:style>
  <w:style w:type="character" w:customStyle="1" w:styleId="BalloonTextChar">
    <w:name w:val="Balloon Text Char"/>
    <w:link w:val="BalloonText"/>
    <w:rsid w:val="00727084"/>
    <w:rPr>
      <w:rFonts w:ascii="Tahoma" w:hAnsi="Tahoma" w:cs="Tahoma"/>
      <w:color w:val="000000"/>
      <w:sz w:val="16"/>
      <w:szCs w:val="16"/>
    </w:rPr>
  </w:style>
  <w:style w:type="paragraph" w:styleId="ListParagraph">
    <w:name w:val="List Paragraph"/>
    <w:basedOn w:val="Normal"/>
    <w:uiPriority w:val="34"/>
    <w:qFormat/>
    <w:rsid w:val="0038602A"/>
    <w:pPr>
      <w:spacing w:after="200" w:line="276" w:lineRule="auto"/>
      <w:ind w:left="720"/>
      <w:contextualSpacing/>
    </w:pPr>
    <w:rPr>
      <w:rFonts w:ascii="Calibri" w:eastAsia="Calibri" w:hAnsi="Calibri"/>
      <w:color w:val="auto"/>
      <w:sz w:val="22"/>
      <w:szCs w:val="22"/>
    </w:rPr>
  </w:style>
  <w:style w:type="character" w:customStyle="1" w:styleId="HeaderChar">
    <w:name w:val="Header Char"/>
    <w:link w:val="Header"/>
    <w:uiPriority w:val="99"/>
    <w:rsid w:val="0038602A"/>
    <w:rPr>
      <w:color w:val="000000"/>
      <w:sz w:val="26"/>
    </w:rPr>
  </w:style>
  <w:style w:type="character" w:customStyle="1" w:styleId="FooterChar">
    <w:name w:val="Footer Char"/>
    <w:link w:val="Footer"/>
    <w:uiPriority w:val="99"/>
    <w:rsid w:val="0038602A"/>
    <w:rPr>
      <w:color w:val="000000"/>
      <w:sz w:val="26"/>
    </w:rPr>
  </w:style>
  <w:style w:type="paragraph" w:customStyle="1" w:styleId="StyleListParagraphLinespacing15lines">
    <w:name w:val="Style List Paragraph + Line spacing:  1.5 lines"/>
    <w:basedOn w:val="ListNumber"/>
    <w:rsid w:val="007A134B"/>
    <w:pPr>
      <w:numPr>
        <w:numId w:val="13"/>
      </w:numPr>
      <w:spacing w:line="360" w:lineRule="auto"/>
    </w:pPr>
  </w:style>
  <w:style w:type="paragraph" w:styleId="ListNumber">
    <w:name w:val="List Number"/>
    <w:basedOn w:val="Normal"/>
    <w:rsid w:val="007A134B"/>
    <w:pPr>
      <w:numPr>
        <w:numId w:val="8"/>
      </w:numPr>
      <w:contextualSpacing/>
    </w:pPr>
  </w:style>
  <w:style w:type="table" w:styleId="TableGrid">
    <w:name w:val="Table Grid"/>
    <w:basedOn w:val="TableNormal"/>
    <w:uiPriority w:val="59"/>
    <w:rsid w:val="009768C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F5D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27084"/>
    <w:rPr>
      <w:rFonts w:ascii="Tahoma" w:hAnsi="Tahoma" w:cs="Tahoma"/>
      <w:sz w:val="16"/>
      <w:szCs w:val="16"/>
    </w:rPr>
  </w:style>
  <w:style w:type="character" w:customStyle="1" w:styleId="BalloonTextChar">
    <w:name w:val="Balloon Text Char"/>
    <w:link w:val="BalloonText"/>
    <w:rsid w:val="00727084"/>
    <w:rPr>
      <w:rFonts w:ascii="Tahoma" w:hAnsi="Tahoma" w:cs="Tahoma"/>
      <w:color w:val="000000"/>
      <w:sz w:val="16"/>
      <w:szCs w:val="16"/>
    </w:rPr>
  </w:style>
  <w:style w:type="paragraph" w:styleId="ListParagraph">
    <w:name w:val="List Paragraph"/>
    <w:basedOn w:val="Normal"/>
    <w:uiPriority w:val="34"/>
    <w:qFormat/>
    <w:rsid w:val="0038602A"/>
    <w:pPr>
      <w:spacing w:after="200" w:line="276" w:lineRule="auto"/>
      <w:ind w:left="720"/>
      <w:contextualSpacing/>
    </w:pPr>
    <w:rPr>
      <w:rFonts w:ascii="Calibri" w:eastAsia="Calibri" w:hAnsi="Calibri"/>
      <w:color w:val="auto"/>
      <w:sz w:val="22"/>
      <w:szCs w:val="22"/>
    </w:rPr>
  </w:style>
  <w:style w:type="character" w:customStyle="1" w:styleId="HeaderChar">
    <w:name w:val="Header Char"/>
    <w:link w:val="Header"/>
    <w:uiPriority w:val="99"/>
    <w:rsid w:val="0038602A"/>
    <w:rPr>
      <w:color w:val="000000"/>
      <w:sz w:val="26"/>
    </w:rPr>
  </w:style>
  <w:style w:type="character" w:customStyle="1" w:styleId="FooterChar">
    <w:name w:val="Footer Char"/>
    <w:link w:val="Footer"/>
    <w:uiPriority w:val="99"/>
    <w:rsid w:val="0038602A"/>
    <w:rPr>
      <w:color w:val="000000"/>
      <w:sz w:val="26"/>
    </w:rPr>
  </w:style>
  <w:style w:type="paragraph" w:customStyle="1" w:styleId="StyleListParagraphLinespacing15lines">
    <w:name w:val="Style List Paragraph + Line spacing:  1.5 lines"/>
    <w:basedOn w:val="ListNumber"/>
    <w:rsid w:val="007A134B"/>
    <w:pPr>
      <w:numPr>
        <w:numId w:val="13"/>
      </w:numPr>
      <w:spacing w:line="360" w:lineRule="auto"/>
    </w:pPr>
  </w:style>
  <w:style w:type="paragraph" w:styleId="ListNumber">
    <w:name w:val="List Number"/>
    <w:basedOn w:val="Normal"/>
    <w:rsid w:val="007A134B"/>
    <w:pPr>
      <w:numPr>
        <w:numId w:val="8"/>
      </w:numPr>
      <w:contextualSpacing/>
    </w:pPr>
  </w:style>
  <w:style w:type="table" w:styleId="TableGrid">
    <w:name w:val="Table Grid"/>
    <w:basedOn w:val="TableNormal"/>
    <w:uiPriority w:val="59"/>
    <w:rsid w:val="009768C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F5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7918">
      <w:bodyDiv w:val="1"/>
      <w:marLeft w:val="0"/>
      <w:marRight w:val="0"/>
      <w:marTop w:val="0"/>
      <w:marBottom w:val="0"/>
      <w:divBdr>
        <w:top w:val="none" w:sz="0" w:space="0" w:color="auto"/>
        <w:left w:val="none" w:sz="0" w:space="0" w:color="auto"/>
        <w:bottom w:val="none" w:sz="0" w:space="0" w:color="auto"/>
        <w:right w:val="none" w:sz="0" w:space="0" w:color="auto"/>
      </w:divBdr>
    </w:div>
    <w:div w:id="1023944577">
      <w:bodyDiv w:val="1"/>
      <w:marLeft w:val="0"/>
      <w:marRight w:val="0"/>
      <w:marTop w:val="0"/>
      <w:marBottom w:val="0"/>
      <w:divBdr>
        <w:top w:val="none" w:sz="0" w:space="0" w:color="auto"/>
        <w:left w:val="none" w:sz="0" w:space="0" w:color="auto"/>
        <w:bottom w:val="none" w:sz="0" w:space="0" w:color="auto"/>
        <w:right w:val="none" w:sz="0" w:space="0" w:color="auto"/>
      </w:divBdr>
    </w:div>
    <w:div w:id="1457522145">
      <w:bodyDiv w:val="1"/>
      <w:marLeft w:val="0"/>
      <w:marRight w:val="0"/>
      <w:marTop w:val="0"/>
      <w:marBottom w:val="0"/>
      <w:divBdr>
        <w:top w:val="none" w:sz="0" w:space="0" w:color="auto"/>
        <w:left w:val="none" w:sz="0" w:space="0" w:color="auto"/>
        <w:bottom w:val="none" w:sz="0" w:space="0" w:color="auto"/>
        <w:right w:val="none" w:sz="0" w:space="0" w:color="auto"/>
      </w:divBdr>
    </w:div>
    <w:div w:id="1690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C52E-0003-4490-9920-C15AA8A0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FUS-0843*; R-00994661.O; GLENDALE YEAROUND WATER COMPANY</vt:lpstr>
    </vt:vector>
  </TitlesOfParts>
  <Company>PA PUC</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FUS-0843*; R-00994661.O; GLENDALE YEAROUND WATER COMPANY</dc:title>
  <dc:creator>METCALF</dc:creator>
  <cp:lastModifiedBy>Farner, Joyce</cp:lastModifiedBy>
  <cp:revision>10</cp:revision>
  <cp:lastPrinted>2014-08-21T11:22:00Z</cp:lastPrinted>
  <dcterms:created xsi:type="dcterms:W3CDTF">2014-08-05T21:00:00Z</dcterms:created>
  <dcterms:modified xsi:type="dcterms:W3CDTF">2014-08-21T11:22:00Z</dcterms:modified>
</cp:coreProperties>
</file>