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51" w:rsidRPr="00062E21" w:rsidRDefault="00994C51" w:rsidP="00994C51">
      <w:pPr>
        <w:pStyle w:val="c2"/>
        <w:widowControl/>
        <w:outlineLvl w:val="0"/>
        <w:rPr>
          <w:b/>
          <w:sz w:val="28"/>
          <w:szCs w:val="28"/>
        </w:rPr>
      </w:pPr>
      <w:r w:rsidRPr="00062E21">
        <w:rPr>
          <w:b/>
          <w:sz w:val="28"/>
          <w:szCs w:val="28"/>
        </w:rPr>
        <w:t>PENNSYLVANIA</w:t>
      </w:r>
    </w:p>
    <w:p w:rsidR="00994C51" w:rsidRPr="00062E21" w:rsidRDefault="00994C51" w:rsidP="00994C51">
      <w:pPr>
        <w:pStyle w:val="c2"/>
        <w:widowControl/>
        <w:outlineLvl w:val="0"/>
        <w:rPr>
          <w:b/>
          <w:sz w:val="28"/>
          <w:szCs w:val="28"/>
        </w:rPr>
      </w:pPr>
      <w:r w:rsidRPr="00062E21">
        <w:rPr>
          <w:b/>
          <w:sz w:val="28"/>
          <w:szCs w:val="28"/>
        </w:rPr>
        <w:t>PUBLIC UTILITY COMMISSION</w:t>
      </w:r>
    </w:p>
    <w:p w:rsidR="00994C51" w:rsidRDefault="00994C51" w:rsidP="00994C51">
      <w:pPr>
        <w:pStyle w:val="c2"/>
        <w:widowControl/>
        <w:outlineLvl w:val="0"/>
        <w:rPr>
          <w:b/>
          <w:sz w:val="28"/>
          <w:szCs w:val="28"/>
        </w:rPr>
      </w:pPr>
      <w:r w:rsidRPr="00062E21">
        <w:rPr>
          <w:b/>
          <w:sz w:val="28"/>
          <w:szCs w:val="28"/>
        </w:rPr>
        <w:t>Harrisburg, PA 17105-3265</w:t>
      </w:r>
    </w:p>
    <w:p w:rsidR="00C237AA" w:rsidRDefault="00C237AA" w:rsidP="00994C51">
      <w:pPr>
        <w:pStyle w:val="c2"/>
        <w:widowControl/>
        <w:outlineLvl w:val="0"/>
        <w:rPr>
          <w:b/>
          <w:sz w:val="28"/>
          <w:szCs w:val="28"/>
        </w:rPr>
      </w:pPr>
    </w:p>
    <w:p w:rsidR="00994C51" w:rsidRPr="00062E21" w:rsidRDefault="00994C51" w:rsidP="00994C51">
      <w:pPr>
        <w:pStyle w:val="c2"/>
        <w:widowControl/>
        <w:outlineLvl w:val="0"/>
        <w:rPr>
          <w:b/>
          <w:sz w:val="28"/>
          <w:szCs w:val="28"/>
        </w:rPr>
      </w:pPr>
    </w:p>
    <w:p w:rsidR="00994C51" w:rsidRPr="00062E21" w:rsidRDefault="00994C51" w:rsidP="00871E56">
      <w:pPr>
        <w:pStyle w:val="p3"/>
        <w:widowControl/>
        <w:tabs>
          <w:tab w:val="clear" w:pos="4960"/>
          <w:tab w:val="left" w:pos="4320"/>
        </w:tabs>
        <w:spacing w:line="360" w:lineRule="auto"/>
        <w:jc w:val="right"/>
        <w:outlineLvl w:val="0"/>
        <w:rPr>
          <w:sz w:val="26"/>
          <w:szCs w:val="26"/>
        </w:rPr>
      </w:pPr>
      <w:r w:rsidRPr="00062E21">
        <w:rPr>
          <w:sz w:val="26"/>
          <w:szCs w:val="26"/>
        </w:rPr>
        <w:t xml:space="preserve">Public Meeting held </w:t>
      </w:r>
      <w:r w:rsidR="00663D19">
        <w:rPr>
          <w:sz w:val="26"/>
          <w:szCs w:val="26"/>
        </w:rPr>
        <w:t>September 11</w:t>
      </w:r>
      <w:r w:rsidR="008A6B03">
        <w:rPr>
          <w:sz w:val="26"/>
          <w:szCs w:val="26"/>
        </w:rPr>
        <w:t>, 2014</w:t>
      </w:r>
    </w:p>
    <w:p w:rsidR="00C237AA" w:rsidRDefault="00C237AA" w:rsidP="00994C51">
      <w:pPr>
        <w:pStyle w:val="p4"/>
        <w:widowControl/>
        <w:rPr>
          <w:sz w:val="26"/>
          <w:szCs w:val="26"/>
        </w:rPr>
      </w:pPr>
    </w:p>
    <w:p w:rsidR="00994C51" w:rsidRPr="00062E21" w:rsidRDefault="00994C51" w:rsidP="00994C51">
      <w:pPr>
        <w:pStyle w:val="p4"/>
        <w:widowControl/>
        <w:rPr>
          <w:sz w:val="26"/>
          <w:szCs w:val="26"/>
        </w:rPr>
      </w:pPr>
      <w:r w:rsidRPr="00062E21">
        <w:rPr>
          <w:sz w:val="26"/>
          <w:szCs w:val="26"/>
        </w:rPr>
        <w:t>Commissioners Present:</w:t>
      </w:r>
    </w:p>
    <w:p w:rsidR="00994C51" w:rsidRPr="00062E21" w:rsidRDefault="00994C51" w:rsidP="00994C51">
      <w:pPr>
        <w:widowControl/>
        <w:tabs>
          <w:tab w:val="left" w:pos="204"/>
        </w:tabs>
        <w:rPr>
          <w:sz w:val="26"/>
          <w:szCs w:val="26"/>
        </w:rPr>
      </w:pPr>
    </w:p>
    <w:p w:rsidR="00994C51" w:rsidRPr="00062E21" w:rsidRDefault="00994C51" w:rsidP="00994C51">
      <w:pPr>
        <w:pStyle w:val="p5"/>
        <w:widowControl/>
        <w:tabs>
          <w:tab w:val="clear" w:pos="391"/>
        </w:tabs>
        <w:ind w:left="720"/>
        <w:rPr>
          <w:sz w:val="26"/>
          <w:szCs w:val="26"/>
        </w:rPr>
      </w:pPr>
      <w:r w:rsidRPr="00062E21">
        <w:rPr>
          <w:sz w:val="26"/>
          <w:szCs w:val="26"/>
        </w:rPr>
        <w:t xml:space="preserve">Robert F. </w:t>
      </w:r>
      <w:proofErr w:type="spellStart"/>
      <w:r w:rsidRPr="00062E21">
        <w:rPr>
          <w:sz w:val="26"/>
          <w:szCs w:val="26"/>
        </w:rPr>
        <w:t>Powelson</w:t>
      </w:r>
      <w:proofErr w:type="spellEnd"/>
      <w:r w:rsidRPr="00062E21">
        <w:rPr>
          <w:sz w:val="26"/>
          <w:szCs w:val="26"/>
        </w:rPr>
        <w:t>, Chairman</w:t>
      </w:r>
    </w:p>
    <w:p w:rsidR="00994C51" w:rsidRPr="00062E21" w:rsidRDefault="00994C51" w:rsidP="00994C51">
      <w:pPr>
        <w:pStyle w:val="p5"/>
        <w:widowControl/>
        <w:tabs>
          <w:tab w:val="clear" w:pos="391"/>
        </w:tabs>
        <w:ind w:left="720"/>
        <w:rPr>
          <w:sz w:val="26"/>
          <w:szCs w:val="26"/>
        </w:rPr>
      </w:pPr>
      <w:r w:rsidRPr="00062E21">
        <w:rPr>
          <w:sz w:val="26"/>
          <w:szCs w:val="26"/>
        </w:rPr>
        <w:t>John F. Coleman, Jr., Vice Chairman</w:t>
      </w:r>
    </w:p>
    <w:p w:rsidR="00994C51" w:rsidRPr="00062E21" w:rsidRDefault="00994C51" w:rsidP="00994C51">
      <w:pPr>
        <w:pStyle w:val="p5"/>
        <w:widowControl/>
        <w:tabs>
          <w:tab w:val="clear" w:pos="391"/>
        </w:tabs>
        <w:ind w:left="720"/>
        <w:rPr>
          <w:sz w:val="26"/>
          <w:szCs w:val="26"/>
        </w:rPr>
      </w:pPr>
      <w:r w:rsidRPr="00062E21">
        <w:rPr>
          <w:sz w:val="26"/>
          <w:szCs w:val="26"/>
        </w:rPr>
        <w:t xml:space="preserve">James H. </w:t>
      </w:r>
      <w:proofErr w:type="spellStart"/>
      <w:r w:rsidRPr="00062E21">
        <w:rPr>
          <w:sz w:val="26"/>
          <w:szCs w:val="26"/>
        </w:rPr>
        <w:t>Cawley</w:t>
      </w:r>
      <w:proofErr w:type="spellEnd"/>
    </w:p>
    <w:p w:rsidR="00994C51" w:rsidRDefault="00994C51" w:rsidP="00994C51">
      <w:pPr>
        <w:pStyle w:val="p5"/>
        <w:widowControl/>
        <w:tabs>
          <w:tab w:val="clear" w:pos="391"/>
        </w:tabs>
        <w:ind w:left="720"/>
        <w:rPr>
          <w:sz w:val="26"/>
          <w:szCs w:val="26"/>
        </w:rPr>
      </w:pPr>
      <w:r w:rsidRPr="00062E21">
        <w:rPr>
          <w:sz w:val="26"/>
          <w:szCs w:val="26"/>
        </w:rPr>
        <w:t>Pamela A. Witmer</w:t>
      </w:r>
    </w:p>
    <w:p w:rsidR="008A6B03" w:rsidRDefault="008A6B03" w:rsidP="00994C51">
      <w:pPr>
        <w:pStyle w:val="p5"/>
        <w:widowControl/>
        <w:tabs>
          <w:tab w:val="clear" w:pos="391"/>
        </w:tabs>
        <w:ind w:left="720"/>
        <w:rPr>
          <w:sz w:val="26"/>
          <w:szCs w:val="26"/>
        </w:rPr>
      </w:pPr>
      <w:r>
        <w:rPr>
          <w:sz w:val="26"/>
          <w:szCs w:val="26"/>
        </w:rPr>
        <w:t>Gladys M. Brown</w:t>
      </w:r>
    </w:p>
    <w:p w:rsidR="003566CE" w:rsidRPr="00062E21" w:rsidRDefault="003566CE" w:rsidP="00994C51">
      <w:pPr>
        <w:pStyle w:val="p5"/>
        <w:widowControl/>
        <w:tabs>
          <w:tab w:val="clear" w:pos="391"/>
        </w:tabs>
        <w:ind w:left="720"/>
        <w:rPr>
          <w:sz w:val="26"/>
          <w:szCs w:val="26"/>
        </w:rPr>
      </w:pPr>
    </w:p>
    <w:p w:rsidR="00994C51" w:rsidRPr="007C0BCF" w:rsidRDefault="00994C51" w:rsidP="00994C51">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994C51" w:rsidRPr="007C0BCF" w:rsidTr="00B76080">
        <w:trPr>
          <w:trHeight w:val="1053"/>
        </w:trPr>
        <w:tc>
          <w:tcPr>
            <w:tcW w:w="6030" w:type="dxa"/>
          </w:tcPr>
          <w:p w:rsidR="00994C51" w:rsidRPr="007C0BCF" w:rsidRDefault="00994C51" w:rsidP="006472F5">
            <w:pPr>
              <w:widowControl/>
              <w:autoSpaceDE/>
              <w:autoSpaceDN/>
              <w:adjustRightInd/>
              <w:rPr>
                <w:color w:val="0D0D0D" w:themeColor="text1" w:themeTint="F2"/>
                <w:sz w:val="26"/>
                <w:szCs w:val="26"/>
              </w:rPr>
            </w:pPr>
            <w:r w:rsidRPr="007C0BCF">
              <w:rPr>
                <w:color w:val="0D0D0D" w:themeColor="text1" w:themeTint="F2"/>
                <w:sz w:val="26"/>
                <w:szCs w:val="26"/>
              </w:rPr>
              <w:t xml:space="preserve">Petition of </w:t>
            </w:r>
            <w:r w:rsidR="008A6B03">
              <w:rPr>
                <w:color w:val="0D0D0D" w:themeColor="text1" w:themeTint="F2"/>
                <w:sz w:val="26"/>
                <w:szCs w:val="26"/>
              </w:rPr>
              <w:t xml:space="preserve">UGI </w:t>
            </w:r>
            <w:r w:rsidR="008A61A4">
              <w:rPr>
                <w:color w:val="0D0D0D" w:themeColor="text1" w:themeTint="F2"/>
                <w:sz w:val="26"/>
                <w:szCs w:val="26"/>
              </w:rPr>
              <w:t>Central Penn</w:t>
            </w:r>
            <w:r w:rsidR="008A6B03">
              <w:rPr>
                <w:color w:val="0D0D0D" w:themeColor="text1" w:themeTint="F2"/>
                <w:sz w:val="26"/>
                <w:szCs w:val="26"/>
              </w:rPr>
              <w:t xml:space="preserve"> Gas, Inc.</w:t>
            </w:r>
            <w:r w:rsidRPr="007C0BCF">
              <w:rPr>
                <w:color w:val="0D0D0D" w:themeColor="text1" w:themeTint="F2"/>
                <w:sz w:val="26"/>
                <w:szCs w:val="26"/>
              </w:rPr>
              <w:t xml:space="preserve"> for</w:t>
            </w:r>
            <w:r w:rsidR="006472F5">
              <w:rPr>
                <w:color w:val="0D0D0D" w:themeColor="text1" w:themeTint="F2"/>
                <w:sz w:val="26"/>
                <w:szCs w:val="26"/>
              </w:rPr>
              <w:t xml:space="preserve"> </w:t>
            </w:r>
            <w:r w:rsidRPr="007C0BCF">
              <w:rPr>
                <w:color w:val="0D0D0D" w:themeColor="text1" w:themeTint="F2"/>
                <w:sz w:val="26"/>
                <w:szCs w:val="26"/>
              </w:rPr>
              <w:t xml:space="preserve">Approval of its Long-Term Infrastructure Improvement Plan </w:t>
            </w:r>
          </w:p>
          <w:p w:rsidR="00994C51" w:rsidRPr="007C0BCF" w:rsidRDefault="00994C51" w:rsidP="00B76080">
            <w:pPr>
              <w:pStyle w:val="p4"/>
              <w:widowControl/>
              <w:tabs>
                <w:tab w:val="clear" w:pos="204"/>
                <w:tab w:val="left" w:pos="0"/>
              </w:tabs>
              <w:outlineLvl w:val="0"/>
              <w:rPr>
                <w:color w:val="0D0D0D" w:themeColor="text1" w:themeTint="F2"/>
                <w:sz w:val="26"/>
                <w:szCs w:val="26"/>
              </w:rPr>
            </w:pPr>
          </w:p>
          <w:p w:rsidR="00994C51" w:rsidRDefault="00994C51" w:rsidP="00B76080">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 xml:space="preserve">Petition of </w:t>
            </w:r>
            <w:r w:rsidR="008A61A4">
              <w:rPr>
                <w:color w:val="0D0D0D" w:themeColor="text1" w:themeTint="F2"/>
                <w:sz w:val="26"/>
                <w:szCs w:val="26"/>
              </w:rPr>
              <w:t>UGI Central Penn Gas, Inc.</w:t>
            </w:r>
            <w:r w:rsidRPr="007C0BCF">
              <w:rPr>
                <w:color w:val="0D0D0D" w:themeColor="text1" w:themeTint="F2"/>
                <w:sz w:val="26"/>
                <w:szCs w:val="26"/>
              </w:rPr>
              <w:t xml:space="preserve"> for</w:t>
            </w:r>
            <w:r w:rsidR="00D535C8">
              <w:rPr>
                <w:color w:val="0D0D0D" w:themeColor="text1" w:themeTint="F2"/>
                <w:sz w:val="26"/>
                <w:szCs w:val="26"/>
              </w:rPr>
              <w:t xml:space="preserve"> </w:t>
            </w:r>
            <w:r w:rsidRPr="007C0BCF">
              <w:rPr>
                <w:color w:val="0D0D0D" w:themeColor="text1" w:themeTint="F2"/>
                <w:sz w:val="26"/>
                <w:szCs w:val="26"/>
              </w:rPr>
              <w:t>Approval of a Distribution System Improvement Charge</w:t>
            </w:r>
          </w:p>
          <w:p w:rsidR="00871E56" w:rsidRPr="007C0BCF" w:rsidRDefault="00871E56" w:rsidP="00B76080">
            <w:pPr>
              <w:pStyle w:val="p4"/>
              <w:widowControl/>
              <w:tabs>
                <w:tab w:val="clear" w:pos="204"/>
                <w:tab w:val="left" w:pos="0"/>
              </w:tabs>
              <w:outlineLvl w:val="0"/>
              <w:rPr>
                <w:color w:val="0D0D0D" w:themeColor="text1" w:themeTint="F2"/>
                <w:sz w:val="26"/>
                <w:szCs w:val="26"/>
              </w:rPr>
            </w:pPr>
          </w:p>
        </w:tc>
        <w:tc>
          <w:tcPr>
            <w:tcW w:w="3897" w:type="dxa"/>
          </w:tcPr>
          <w:p w:rsidR="00994C51" w:rsidRDefault="001F1888" w:rsidP="006472F5">
            <w:pPr>
              <w:widowControl/>
              <w:autoSpaceDE/>
              <w:autoSpaceDN/>
              <w:adjustRightInd/>
              <w:spacing w:line="360" w:lineRule="auto"/>
              <w:rPr>
                <w:color w:val="0D0D0D" w:themeColor="text1" w:themeTint="F2"/>
                <w:kern w:val="1"/>
                <w:sz w:val="26"/>
                <w:szCs w:val="26"/>
              </w:rPr>
            </w:pPr>
            <w:r>
              <w:rPr>
                <w:color w:val="0D0D0D" w:themeColor="text1" w:themeTint="F2"/>
                <w:sz w:val="26"/>
                <w:szCs w:val="20"/>
              </w:rPr>
              <w:t xml:space="preserve">        </w:t>
            </w:r>
            <w:r w:rsidR="008A61A4">
              <w:rPr>
                <w:color w:val="0D0D0D" w:themeColor="text1" w:themeTint="F2"/>
                <w:sz w:val="26"/>
                <w:szCs w:val="20"/>
              </w:rPr>
              <w:t>P-2013-2398835</w:t>
            </w:r>
          </w:p>
          <w:p w:rsidR="006472F5" w:rsidRPr="006472F5" w:rsidRDefault="006472F5" w:rsidP="006472F5">
            <w:pPr>
              <w:widowControl/>
              <w:autoSpaceDE/>
              <w:autoSpaceDN/>
              <w:adjustRightInd/>
              <w:spacing w:line="360" w:lineRule="auto"/>
              <w:rPr>
                <w:color w:val="0D0D0D" w:themeColor="text1" w:themeTint="F2"/>
                <w:kern w:val="1"/>
                <w:sz w:val="26"/>
                <w:szCs w:val="26"/>
              </w:rPr>
            </w:pPr>
          </w:p>
          <w:p w:rsidR="00994C51" w:rsidRPr="007C0BCF" w:rsidRDefault="001F1888" w:rsidP="00B76080">
            <w:pPr>
              <w:widowControl/>
              <w:autoSpaceDE/>
              <w:autoSpaceDN/>
              <w:adjustRightInd/>
              <w:rPr>
                <w:color w:val="0D0D0D" w:themeColor="text1" w:themeTint="F2"/>
                <w:sz w:val="26"/>
                <w:szCs w:val="26"/>
              </w:rPr>
            </w:pPr>
            <w:r>
              <w:rPr>
                <w:color w:val="0D0D0D" w:themeColor="text1" w:themeTint="F2"/>
                <w:sz w:val="26"/>
                <w:szCs w:val="26"/>
              </w:rPr>
              <w:t xml:space="preserve">        </w:t>
            </w:r>
            <w:r w:rsidR="008A61A4">
              <w:rPr>
                <w:color w:val="0D0D0D" w:themeColor="text1" w:themeTint="F2"/>
                <w:sz w:val="26"/>
                <w:szCs w:val="26"/>
              </w:rPr>
              <w:t>P-2013-2398835</w:t>
            </w:r>
          </w:p>
          <w:p w:rsidR="00994C51" w:rsidRDefault="00994C51" w:rsidP="00B76080">
            <w:pPr>
              <w:widowControl/>
              <w:autoSpaceDE/>
              <w:autoSpaceDN/>
              <w:adjustRightInd/>
              <w:rPr>
                <w:color w:val="0D0D0D" w:themeColor="text1" w:themeTint="F2"/>
                <w:sz w:val="26"/>
                <w:szCs w:val="26"/>
              </w:rPr>
            </w:pPr>
          </w:p>
          <w:p w:rsidR="00994C51" w:rsidRPr="007C0BCF" w:rsidRDefault="00994C51" w:rsidP="00B76080">
            <w:pPr>
              <w:widowControl/>
              <w:autoSpaceDE/>
              <w:autoSpaceDN/>
              <w:adjustRightInd/>
              <w:rPr>
                <w:color w:val="0D0D0D" w:themeColor="text1" w:themeTint="F2"/>
                <w:kern w:val="1"/>
                <w:sz w:val="26"/>
                <w:szCs w:val="26"/>
              </w:rPr>
            </w:pPr>
          </w:p>
        </w:tc>
      </w:tr>
      <w:tr w:rsidR="00D67E38" w:rsidRPr="007C0BCF" w:rsidTr="00B76080">
        <w:trPr>
          <w:trHeight w:val="1053"/>
        </w:trPr>
        <w:tc>
          <w:tcPr>
            <w:tcW w:w="6030" w:type="dxa"/>
          </w:tcPr>
          <w:p w:rsidR="00D67E38" w:rsidRPr="007C0BCF" w:rsidRDefault="00D67E38" w:rsidP="00871E56">
            <w:pPr>
              <w:widowControl/>
              <w:autoSpaceDE/>
              <w:autoSpaceDN/>
              <w:adjustRightInd/>
              <w:rPr>
                <w:color w:val="0D0D0D" w:themeColor="text1" w:themeTint="F2"/>
                <w:sz w:val="26"/>
                <w:szCs w:val="26"/>
              </w:rPr>
            </w:pPr>
            <w:r>
              <w:rPr>
                <w:color w:val="0D0D0D" w:themeColor="text1" w:themeTint="F2"/>
                <w:sz w:val="26"/>
                <w:szCs w:val="26"/>
              </w:rPr>
              <w:t xml:space="preserve">Office of Consumer Advocate v. </w:t>
            </w:r>
            <w:r w:rsidR="008A61A4">
              <w:rPr>
                <w:color w:val="0D0D0D" w:themeColor="text1" w:themeTint="F2"/>
                <w:sz w:val="26"/>
                <w:szCs w:val="26"/>
              </w:rPr>
              <w:t>UGI Central Penn Gas, Inc.</w:t>
            </w:r>
          </w:p>
        </w:tc>
        <w:tc>
          <w:tcPr>
            <w:tcW w:w="3897" w:type="dxa"/>
          </w:tcPr>
          <w:p w:rsidR="00D67E38" w:rsidRDefault="001F1888" w:rsidP="00871E56">
            <w:pPr>
              <w:widowControl/>
              <w:autoSpaceDE/>
              <w:autoSpaceDN/>
              <w:adjustRightInd/>
              <w:spacing w:line="360" w:lineRule="auto"/>
              <w:rPr>
                <w:color w:val="0D0D0D" w:themeColor="text1" w:themeTint="F2"/>
                <w:sz w:val="26"/>
                <w:szCs w:val="20"/>
              </w:rPr>
            </w:pPr>
            <w:r>
              <w:rPr>
                <w:color w:val="0D0D0D" w:themeColor="text1" w:themeTint="F2"/>
                <w:sz w:val="26"/>
                <w:szCs w:val="20"/>
              </w:rPr>
              <w:t xml:space="preserve">        </w:t>
            </w:r>
            <w:r w:rsidR="008A61A4">
              <w:rPr>
                <w:color w:val="0D0D0D" w:themeColor="text1" w:themeTint="F2"/>
                <w:sz w:val="26"/>
                <w:szCs w:val="20"/>
              </w:rPr>
              <w:t>C-2014-2399319</w:t>
            </w:r>
          </w:p>
        </w:tc>
      </w:tr>
    </w:tbl>
    <w:p w:rsidR="001F1888" w:rsidRDefault="001F1888" w:rsidP="00994C51">
      <w:pPr>
        <w:pStyle w:val="c2"/>
        <w:widowControl/>
        <w:tabs>
          <w:tab w:val="left" w:pos="204"/>
        </w:tabs>
        <w:spacing w:line="360" w:lineRule="auto"/>
        <w:outlineLvl w:val="0"/>
        <w:rPr>
          <w:b/>
          <w:sz w:val="26"/>
          <w:szCs w:val="26"/>
        </w:rPr>
      </w:pPr>
    </w:p>
    <w:p w:rsidR="003566CE" w:rsidRDefault="003566CE" w:rsidP="00994C51">
      <w:pPr>
        <w:pStyle w:val="c2"/>
        <w:widowControl/>
        <w:tabs>
          <w:tab w:val="left" w:pos="204"/>
        </w:tabs>
        <w:spacing w:line="360" w:lineRule="auto"/>
        <w:outlineLvl w:val="0"/>
        <w:rPr>
          <w:b/>
          <w:sz w:val="26"/>
          <w:szCs w:val="26"/>
        </w:rPr>
      </w:pPr>
    </w:p>
    <w:p w:rsidR="00994C51" w:rsidRPr="00062E21" w:rsidRDefault="00994C51" w:rsidP="00994C51">
      <w:pPr>
        <w:pStyle w:val="c2"/>
        <w:widowControl/>
        <w:tabs>
          <w:tab w:val="left" w:pos="204"/>
        </w:tabs>
        <w:spacing w:line="360" w:lineRule="auto"/>
        <w:outlineLvl w:val="0"/>
        <w:rPr>
          <w:b/>
          <w:sz w:val="26"/>
          <w:szCs w:val="26"/>
        </w:rPr>
      </w:pPr>
      <w:r w:rsidRPr="00062E21">
        <w:rPr>
          <w:b/>
          <w:sz w:val="26"/>
          <w:szCs w:val="26"/>
        </w:rPr>
        <w:t>OPINION AND ORDER</w:t>
      </w:r>
    </w:p>
    <w:p w:rsidR="00994C51" w:rsidRPr="00062E21" w:rsidRDefault="00994C51" w:rsidP="00994C51">
      <w:pPr>
        <w:pStyle w:val="c2"/>
        <w:widowControl/>
        <w:tabs>
          <w:tab w:val="left" w:pos="204"/>
        </w:tabs>
        <w:spacing w:line="360" w:lineRule="auto"/>
        <w:outlineLvl w:val="0"/>
        <w:rPr>
          <w:b/>
          <w:sz w:val="26"/>
          <w:szCs w:val="26"/>
        </w:rPr>
      </w:pPr>
    </w:p>
    <w:p w:rsidR="00994C51" w:rsidRPr="00062E21" w:rsidRDefault="00994C51" w:rsidP="00994C51">
      <w:pPr>
        <w:pStyle w:val="p4"/>
        <w:widowControl/>
        <w:spacing w:line="360" w:lineRule="auto"/>
        <w:rPr>
          <w:b/>
          <w:sz w:val="26"/>
          <w:szCs w:val="26"/>
        </w:rPr>
      </w:pPr>
      <w:r w:rsidRPr="00062E21">
        <w:rPr>
          <w:b/>
          <w:sz w:val="26"/>
          <w:szCs w:val="26"/>
        </w:rPr>
        <w:t>BY THE COMMISSION:</w:t>
      </w:r>
    </w:p>
    <w:p w:rsidR="00994C51" w:rsidRPr="00062E21" w:rsidRDefault="00994C51" w:rsidP="00994C51">
      <w:pPr>
        <w:widowControl/>
        <w:tabs>
          <w:tab w:val="left" w:pos="204"/>
        </w:tabs>
        <w:spacing w:line="360" w:lineRule="auto"/>
        <w:rPr>
          <w:sz w:val="26"/>
          <w:szCs w:val="26"/>
        </w:rPr>
      </w:pPr>
    </w:p>
    <w:p w:rsidR="00994C51" w:rsidRDefault="00994C51" w:rsidP="00994C51">
      <w:pPr>
        <w:pStyle w:val="p2"/>
        <w:widowControl/>
        <w:spacing w:line="360" w:lineRule="auto"/>
        <w:ind w:firstLine="1440"/>
        <w:rPr>
          <w:sz w:val="26"/>
          <w:szCs w:val="26"/>
        </w:rPr>
      </w:pPr>
      <w:r w:rsidRPr="00062E21">
        <w:rPr>
          <w:sz w:val="26"/>
          <w:szCs w:val="26"/>
        </w:rPr>
        <w:t xml:space="preserve">Before the Commission for consideration are the Petitions for approval of the Long-Term Infrastructure Improvement Plan (LTIIP) and the Distribution System Improvement Charge (DSIC) of </w:t>
      </w:r>
      <w:r w:rsidR="008A61A4">
        <w:rPr>
          <w:color w:val="0D0D0D" w:themeColor="text1" w:themeTint="F2"/>
          <w:sz w:val="26"/>
          <w:szCs w:val="26"/>
        </w:rPr>
        <w:t>UGI Central Penn Gas, Inc.</w:t>
      </w:r>
      <w:r w:rsidR="001F1888" w:rsidRPr="00062E21">
        <w:rPr>
          <w:sz w:val="26"/>
          <w:szCs w:val="26"/>
        </w:rPr>
        <w:t xml:space="preserve"> </w:t>
      </w:r>
      <w:r w:rsidRPr="00062E21">
        <w:rPr>
          <w:sz w:val="26"/>
          <w:szCs w:val="26"/>
        </w:rPr>
        <w:t>(</w:t>
      </w:r>
      <w:r w:rsidR="0014165C">
        <w:rPr>
          <w:sz w:val="26"/>
          <w:szCs w:val="26"/>
        </w:rPr>
        <w:t>UGI-CPG</w:t>
      </w:r>
      <w:r w:rsidRPr="00062E21">
        <w:rPr>
          <w:sz w:val="26"/>
          <w:szCs w:val="26"/>
        </w:rPr>
        <w:t xml:space="preserve"> or Company).  </w:t>
      </w:r>
    </w:p>
    <w:p w:rsidR="001F1888" w:rsidRDefault="001F1888" w:rsidP="00994C51">
      <w:pPr>
        <w:pStyle w:val="p2"/>
        <w:widowControl/>
        <w:spacing w:line="360" w:lineRule="auto"/>
        <w:ind w:firstLine="1440"/>
        <w:rPr>
          <w:sz w:val="26"/>
          <w:szCs w:val="26"/>
        </w:rPr>
      </w:pPr>
    </w:p>
    <w:p w:rsidR="00C237AA" w:rsidRDefault="00C237AA" w:rsidP="00994C51">
      <w:pPr>
        <w:pStyle w:val="p2"/>
        <w:widowControl/>
        <w:spacing w:line="360" w:lineRule="auto"/>
        <w:ind w:firstLine="0"/>
        <w:jc w:val="center"/>
        <w:rPr>
          <w:b/>
          <w:sz w:val="26"/>
          <w:szCs w:val="26"/>
        </w:rPr>
      </w:pPr>
    </w:p>
    <w:p w:rsidR="00994C51" w:rsidRPr="00C33314" w:rsidRDefault="00994C51" w:rsidP="00994C51">
      <w:pPr>
        <w:pStyle w:val="p2"/>
        <w:widowControl/>
        <w:spacing w:line="360" w:lineRule="auto"/>
        <w:ind w:firstLine="0"/>
        <w:jc w:val="center"/>
        <w:rPr>
          <w:b/>
          <w:sz w:val="26"/>
          <w:szCs w:val="26"/>
        </w:rPr>
      </w:pPr>
      <w:r w:rsidRPr="00C33314">
        <w:rPr>
          <w:b/>
          <w:sz w:val="26"/>
          <w:szCs w:val="26"/>
        </w:rPr>
        <w:lastRenderedPageBreak/>
        <w:t>HISTORY</w:t>
      </w:r>
      <w:r>
        <w:rPr>
          <w:b/>
          <w:sz w:val="26"/>
          <w:szCs w:val="26"/>
        </w:rPr>
        <w:t xml:space="preserve"> OF THE PROCEEDING</w:t>
      </w:r>
    </w:p>
    <w:p w:rsidR="00994C51" w:rsidRDefault="00994C51" w:rsidP="00994C51">
      <w:pPr>
        <w:pStyle w:val="p2"/>
        <w:widowControl/>
        <w:spacing w:line="360" w:lineRule="auto"/>
        <w:ind w:firstLine="0"/>
        <w:rPr>
          <w:sz w:val="26"/>
          <w:szCs w:val="26"/>
        </w:rPr>
      </w:pPr>
    </w:p>
    <w:p w:rsidR="002F6153" w:rsidRDefault="0014165C" w:rsidP="00994C51">
      <w:pPr>
        <w:pStyle w:val="p2"/>
        <w:widowControl/>
        <w:spacing w:line="360" w:lineRule="auto"/>
        <w:rPr>
          <w:sz w:val="26"/>
          <w:szCs w:val="26"/>
        </w:rPr>
      </w:pPr>
      <w:r>
        <w:rPr>
          <w:sz w:val="26"/>
          <w:szCs w:val="26"/>
        </w:rPr>
        <w:t>UGI-CPG</w:t>
      </w:r>
      <w:r w:rsidR="00994C51" w:rsidRPr="00062E21">
        <w:rPr>
          <w:sz w:val="26"/>
          <w:szCs w:val="26"/>
        </w:rPr>
        <w:t xml:space="preserve"> </w:t>
      </w:r>
      <w:r w:rsidR="00F33351">
        <w:rPr>
          <w:sz w:val="26"/>
          <w:szCs w:val="20"/>
        </w:rPr>
        <w:t>–</w:t>
      </w:r>
      <w:r w:rsidR="00C812E1">
        <w:rPr>
          <w:sz w:val="26"/>
          <w:szCs w:val="26"/>
        </w:rPr>
        <w:t xml:space="preserve"> a wholly owned subsidiary of UGI Utilities, Inc. (UGI Utilities), which, in turn, is a wholly owned subsidiary of UGI Corporation </w:t>
      </w:r>
      <w:r w:rsidR="00F33351">
        <w:rPr>
          <w:sz w:val="26"/>
          <w:szCs w:val="20"/>
        </w:rPr>
        <w:t>–</w:t>
      </w:r>
      <w:r w:rsidR="00C812E1" w:rsidRPr="00062E21">
        <w:rPr>
          <w:sz w:val="26"/>
          <w:szCs w:val="26"/>
        </w:rPr>
        <w:t xml:space="preserve"> </w:t>
      </w:r>
      <w:r w:rsidR="00994C51" w:rsidRPr="00062E21">
        <w:rPr>
          <w:sz w:val="26"/>
          <w:szCs w:val="26"/>
        </w:rPr>
        <w:t xml:space="preserve">is a corporation organized and existing under the laws of the Commonwealth of Pennsylvania.  </w:t>
      </w:r>
      <w:r>
        <w:rPr>
          <w:sz w:val="26"/>
          <w:szCs w:val="26"/>
        </w:rPr>
        <w:t>UGI-CPG</w:t>
      </w:r>
      <w:r w:rsidR="00994C51" w:rsidRPr="00062E21">
        <w:rPr>
          <w:sz w:val="26"/>
          <w:szCs w:val="26"/>
        </w:rPr>
        <w:t xml:space="preserve"> is in the business of selling and distributing natural gas to retail customers within the Commonwealth, and is therefore a “public utility” within the meaning of Section 102 of the Public Utility Code, 66 Pa. C.S. </w:t>
      </w:r>
      <w:r w:rsidR="00994C51" w:rsidRPr="00062E21">
        <w:rPr>
          <w:iCs/>
          <w:sz w:val="26"/>
          <w:szCs w:val="26"/>
        </w:rPr>
        <w:t>§§</w:t>
      </w:r>
      <w:r w:rsidR="00994C51" w:rsidRPr="00062E21">
        <w:rPr>
          <w:sz w:val="26"/>
          <w:szCs w:val="26"/>
        </w:rPr>
        <w:t xml:space="preserve"> 102, subject to the regulatory jurisdiction of the Commission.  </w:t>
      </w:r>
      <w:r>
        <w:rPr>
          <w:sz w:val="26"/>
          <w:szCs w:val="26"/>
        </w:rPr>
        <w:t>UGI-CPG</w:t>
      </w:r>
      <w:r w:rsidR="00994C51">
        <w:rPr>
          <w:sz w:val="26"/>
          <w:szCs w:val="26"/>
        </w:rPr>
        <w:t>, as an NGDC,</w:t>
      </w:r>
      <w:r w:rsidR="00994C51" w:rsidRPr="00062E21">
        <w:rPr>
          <w:sz w:val="26"/>
          <w:szCs w:val="26"/>
        </w:rPr>
        <w:t xml:space="preserve"> provides natural </w:t>
      </w:r>
      <w:r w:rsidR="00AA4FED">
        <w:rPr>
          <w:sz w:val="26"/>
          <w:szCs w:val="26"/>
        </w:rPr>
        <w:t xml:space="preserve">gas service to approximately </w:t>
      </w:r>
      <w:r w:rsidR="00443179">
        <w:rPr>
          <w:sz w:val="26"/>
          <w:szCs w:val="26"/>
        </w:rPr>
        <w:t>78</w:t>
      </w:r>
      <w:r w:rsidR="00994C51" w:rsidRPr="00062E21">
        <w:rPr>
          <w:sz w:val="26"/>
          <w:szCs w:val="26"/>
        </w:rPr>
        <w:t>,000 residential, commercial, and indust</w:t>
      </w:r>
      <w:r w:rsidR="00AA4FED">
        <w:rPr>
          <w:sz w:val="26"/>
          <w:szCs w:val="26"/>
        </w:rPr>
        <w:t xml:space="preserve">rial customers in </w:t>
      </w:r>
      <w:r w:rsidR="00443179">
        <w:rPr>
          <w:sz w:val="26"/>
          <w:szCs w:val="26"/>
        </w:rPr>
        <w:t>all or portions of 37 counties in</w:t>
      </w:r>
      <w:r w:rsidR="00AA4FED">
        <w:rPr>
          <w:sz w:val="26"/>
          <w:szCs w:val="26"/>
        </w:rPr>
        <w:t xml:space="preserve"> </w:t>
      </w:r>
      <w:r w:rsidR="00F726CE">
        <w:rPr>
          <w:sz w:val="26"/>
          <w:szCs w:val="26"/>
        </w:rPr>
        <w:t>Northeastern</w:t>
      </w:r>
      <w:r w:rsidR="00443179">
        <w:rPr>
          <w:sz w:val="26"/>
          <w:szCs w:val="26"/>
        </w:rPr>
        <w:t>, Central, and Northwestern Pennsylvania</w:t>
      </w:r>
      <w:r w:rsidR="00937A34">
        <w:rPr>
          <w:sz w:val="26"/>
          <w:szCs w:val="26"/>
        </w:rPr>
        <w:t>.</w:t>
      </w:r>
      <w:r w:rsidR="00AA4FED">
        <w:rPr>
          <w:sz w:val="26"/>
          <w:szCs w:val="26"/>
        </w:rPr>
        <w:t xml:space="preserve">  </w:t>
      </w:r>
      <w:r>
        <w:rPr>
          <w:sz w:val="26"/>
          <w:szCs w:val="26"/>
        </w:rPr>
        <w:t>UGI-CPG</w:t>
      </w:r>
      <w:r w:rsidR="00994C51" w:rsidRPr="00062E21">
        <w:rPr>
          <w:sz w:val="26"/>
          <w:szCs w:val="26"/>
        </w:rPr>
        <w:t xml:space="preserve"> provides</w:t>
      </w:r>
      <w:r w:rsidR="00DD7E1F">
        <w:rPr>
          <w:sz w:val="26"/>
          <w:szCs w:val="26"/>
        </w:rPr>
        <w:t xml:space="preserve"> </w:t>
      </w:r>
      <w:r w:rsidR="00443179">
        <w:rPr>
          <w:sz w:val="26"/>
          <w:szCs w:val="26"/>
        </w:rPr>
        <w:t>service through approximately 3,8</w:t>
      </w:r>
      <w:r w:rsidR="00D562FA">
        <w:rPr>
          <w:sz w:val="26"/>
          <w:szCs w:val="26"/>
        </w:rPr>
        <w:t>00 miles of mains</w:t>
      </w:r>
      <w:r w:rsidR="00994C51" w:rsidRPr="00062E21">
        <w:rPr>
          <w:sz w:val="26"/>
          <w:szCs w:val="26"/>
        </w:rPr>
        <w:t xml:space="preserve"> that it owns, operates and maintains.</w:t>
      </w:r>
    </w:p>
    <w:p w:rsidR="002F6153" w:rsidRDefault="002F6153" w:rsidP="00994C51">
      <w:pPr>
        <w:pStyle w:val="p2"/>
        <w:widowControl/>
        <w:spacing w:line="360" w:lineRule="auto"/>
        <w:rPr>
          <w:sz w:val="26"/>
          <w:szCs w:val="26"/>
        </w:rPr>
      </w:pPr>
    </w:p>
    <w:p w:rsidR="002F6153" w:rsidRDefault="002F6153" w:rsidP="002F6153">
      <w:pPr>
        <w:widowControl/>
        <w:tabs>
          <w:tab w:val="left" w:pos="-720"/>
        </w:tabs>
        <w:suppressAutoHyphens/>
        <w:autoSpaceDE/>
        <w:autoSpaceDN/>
        <w:adjustRightInd/>
        <w:spacing w:line="360" w:lineRule="auto"/>
        <w:ind w:firstLine="1440"/>
        <w:rPr>
          <w:sz w:val="26"/>
          <w:szCs w:val="20"/>
        </w:rPr>
      </w:pPr>
      <w:r w:rsidRPr="0094774C">
        <w:rPr>
          <w:sz w:val="26"/>
          <w:szCs w:val="20"/>
        </w:rPr>
        <w:t>On February 19, 2013</w:t>
      </w:r>
      <w:r>
        <w:rPr>
          <w:sz w:val="26"/>
          <w:szCs w:val="20"/>
        </w:rPr>
        <w:t>,</w:t>
      </w:r>
      <w:r w:rsidRPr="0094774C">
        <w:rPr>
          <w:sz w:val="26"/>
          <w:szCs w:val="20"/>
        </w:rPr>
        <w:t xml:space="preserve"> the </w:t>
      </w:r>
      <w:r>
        <w:rPr>
          <w:sz w:val="26"/>
          <w:szCs w:val="20"/>
        </w:rPr>
        <w:t>Commission</w:t>
      </w:r>
      <w:r w:rsidRPr="0094774C">
        <w:rPr>
          <w:sz w:val="26"/>
          <w:szCs w:val="20"/>
        </w:rPr>
        <w:t xml:space="preserve"> entered an Order (February 19 Order) approving and modifying a Joint Settlement Petition (Settlement) that was entered into by the Commission’s Bureau of Inv</w:t>
      </w:r>
      <w:r>
        <w:rPr>
          <w:sz w:val="26"/>
          <w:szCs w:val="20"/>
        </w:rPr>
        <w:t>estigation and Enforcement</w:t>
      </w:r>
      <w:r w:rsidRPr="0094774C">
        <w:rPr>
          <w:sz w:val="26"/>
          <w:szCs w:val="20"/>
        </w:rPr>
        <w:t xml:space="preserve"> and </w:t>
      </w:r>
      <w:r w:rsidR="0014165C">
        <w:rPr>
          <w:sz w:val="26"/>
          <w:szCs w:val="20"/>
        </w:rPr>
        <w:t>UGI-CPG</w:t>
      </w:r>
      <w:r>
        <w:rPr>
          <w:sz w:val="26"/>
          <w:szCs w:val="20"/>
        </w:rPr>
        <w:t xml:space="preserve">, </w:t>
      </w:r>
      <w:r w:rsidRPr="0094774C">
        <w:rPr>
          <w:sz w:val="26"/>
          <w:szCs w:val="20"/>
        </w:rPr>
        <w:t>UGI Uti</w:t>
      </w:r>
      <w:r>
        <w:rPr>
          <w:sz w:val="26"/>
          <w:szCs w:val="20"/>
        </w:rPr>
        <w:t>lities, Inc. – Gas Division</w:t>
      </w:r>
      <w:r w:rsidRPr="0094774C">
        <w:rPr>
          <w:sz w:val="26"/>
          <w:szCs w:val="20"/>
        </w:rPr>
        <w:t>, and</w:t>
      </w:r>
      <w:r>
        <w:rPr>
          <w:sz w:val="26"/>
          <w:szCs w:val="20"/>
        </w:rPr>
        <w:t xml:space="preserve"> UGI Central Penn Gas, Inc. (collectively the “UGI Companies”</w:t>
      </w:r>
      <w:r w:rsidRPr="0094774C">
        <w:rPr>
          <w:sz w:val="26"/>
          <w:szCs w:val="20"/>
        </w:rPr>
        <w:t xml:space="preserve">) at </w:t>
      </w:r>
      <w:r>
        <w:rPr>
          <w:sz w:val="26"/>
          <w:szCs w:val="20"/>
        </w:rPr>
        <w:t xml:space="preserve">Docket No. C-2012-2308997.  </w:t>
      </w:r>
      <w:r w:rsidRPr="0094774C">
        <w:rPr>
          <w:sz w:val="26"/>
          <w:szCs w:val="20"/>
        </w:rPr>
        <w:t>The Settlement resolved all issues raised in the Formal Complaint, which concerned a fatal natural gas explosion that occurred on February 9, 2011</w:t>
      </w:r>
      <w:r>
        <w:rPr>
          <w:sz w:val="26"/>
          <w:szCs w:val="20"/>
        </w:rPr>
        <w:t>,</w:t>
      </w:r>
      <w:r w:rsidRPr="0094774C">
        <w:rPr>
          <w:sz w:val="26"/>
          <w:szCs w:val="20"/>
        </w:rPr>
        <w:t xml:space="preserve"> at 542 and 544 North 13</w:t>
      </w:r>
      <w:r w:rsidRPr="0094774C">
        <w:rPr>
          <w:sz w:val="26"/>
          <w:szCs w:val="20"/>
          <w:vertAlign w:val="superscript"/>
        </w:rPr>
        <w:t>th</w:t>
      </w:r>
      <w:r w:rsidRPr="0094774C">
        <w:rPr>
          <w:sz w:val="26"/>
          <w:szCs w:val="20"/>
        </w:rPr>
        <w:t xml:space="preserve"> Street, Allentown, Pennsylvania.  </w:t>
      </w:r>
    </w:p>
    <w:p w:rsidR="002F6153" w:rsidRPr="0094774C" w:rsidRDefault="002F6153" w:rsidP="002F6153">
      <w:pPr>
        <w:widowControl/>
        <w:tabs>
          <w:tab w:val="left" w:pos="-720"/>
        </w:tabs>
        <w:suppressAutoHyphens/>
        <w:autoSpaceDE/>
        <w:autoSpaceDN/>
        <w:adjustRightInd/>
        <w:spacing w:line="360" w:lineRule="auto"/>
        <w:ind w:firstLine="1440"/>
        <w:rPr>
          <w:sz w:val="26"/>
          <w:szCs w:val="20"/>
        </w:rPr>
      </w:pPr>
    </w:p>
    <w:p w:rsidR="00994C51" w:rsidRPr="00062E21" w:rsidRDefault="002F6153" w:rsidP="007911E0">
      <w:pPr>
        <w:pStyle w:val="p2"/>
        <w:widowControl/>
        <w:spacing w:line="360" w:lineRule="auto"/>
        <w:rPr>
          <w:sz w:val="26"/>
          <w:szCs w:val="26"/>
        </w:rPr>
      </w:pPr>
      <w:r>
        <w:rPr>
          <w:sz w:val="26"/>
          <w:szCs w:val="20"/>
        </w:rPr>
        <w:t>The February 19 Order requires the UGI Companies to retire or replace all in-service cast iron mains in its three regulated service territories over the period of 14 years beginning in March 2013, while permitting them to continue the pace of their on-going 30-year bare steel main replacement program.  The February 19 Order prohibits the UGI Companies from seeking recovery of any costs that would otherwise be eligible for recovery through a DSIC until April 2015</w:t>
      </w:r>
      <w:r w:rsidR="007911E0">
        <w:rPr>
          <w:sz w:val="26"/>
          <w:szCs w:val="20"/>
        </w:rPr>
        <w:t xml:space="preserve">, hence </w:t>
      </w:r>
      <w:r w:rsidR="0014165C">
        <w:rPr>
          <w:sz w:val="26"/>
          <w:szCs w:val="20"/>
        </w:rPr>
        <w:t>UGI-CPG</w:t>
      </w:r>
      <w:r w:rsidR="007911E0">
        <w:rPr>
          <w:sz w:val="26"/>
          <w:szCs w:val="20"/>
        </w:rPr>
        <w:t xml:space="preserve"> filing for an initial DSIC rate of 0%</w:t>
      </w:r>
      <w:r>
        <w:rPr>
          <w:sz w:val="26"/>
          <w:szCs w:val="20"/>
        </w:rPr>
        <w:t xml:space="preserve">. </w:t>
      </w:r>
      <w:r w:rsidR="00994C51" w:rsidRPr="00062E21">
        <w:rPr>
          <w:sz w:val="26"/>
          <w:szCs w:val="26"/>
        </w:rPr>
        <w:t xml:space="preserve">  </w:t>
      </w:r>
    </w:p>
    <w:p w:rsidR="00994C51" w:rsidRPr="00062E21" w:rsidRDefault="0014165C" w:rsidP="00994C51">
      <w:pPr>
        <w:widowControl/>
        <w:spacing w:line="360" w:lineRule="auto"/>
        <w:ind w:firstLine="1440"/>
        <w:rPr>
          <w:sz w:val="26"/>
          <w:szCs w:val="26"/>
        </w:rPr>
      </w:pPr>
      <w:r>
        <w:rPr>
          <w:sz w:val="26"/>
          <w:szCs w:val="26"/>
        </w:rPr>
        <w:lastRenderedPageBreak/>
        <w:t>UGI-CPG</w:t>
      </w:r>
      <w:r w:rsidR="003109CA">
        <w:rPr>
          <w:sz w:val="26"/>
          <w:szCs w:val="26"/>
        </w:rPr>
        <w:t>’s</w:t>
      </w:r>
      <w:r w:rsidR="007A4FEF">
        <w:rPr>
          <w:sz w:val="26"/>
          <w:szCs w:val="26"/>
        </w:rPr>
        <w:t xml:space="preserve"> LTIIP was filed on December 12</w:t>
      </w:r>
      <w:r w:rsidR="00367E96">
        <w:rPr>
          <w:sz w:val="26"/>
          <w:szCs w:val="26"/>
        </w:rPr>
        <w:t>, 2013, with copies being</w:t>
      </w:r>
      <w:r w:rsidR="00994C51" w:rsidRPr="00062E21">
        <w:rPr>
          <w:sz w:val="26"/>
          <w:szCs w:val="26"/>
        </w:rPr>
        <w:t xml:space="preserve"> served </w:t>
      </w:r>
      <w:r w:rsidR="00367E96">
        <w:rPr>
          <w:sz w:val="26"/>
          <w:szCs w:val="26"/>
        </w:rPr>
        <w:t>upon the</w:t>
      </w:r>
      <w:r w:rsidR="00994C51" w:rsidRPr="00062E21">
        <w:rPr>
          <w:sz w:val="26"/>
          <w:szCs w:val="26"/>
        </w:rPr>
        <w:t xml:space="preserve"> statutory advocates </w:t>
      </w:r>
      <w:r w:rsidR="00367E96">
        <w:rPr>
          <w:sz w:val="26"/>
          <w:szCs w:val="26"/>
        </w:rPr>
        <w:t>in</w:t>
      </w:r>
      <w:r w:rsidR="00994C51" w:rsidRPr="00062E21">
        <w:rPr>
          <w:sz w:val="26"/>
          <w:szCs w:val="26"/>
        </w:rPr>
        <w:t xml:space="preserve"> accordance with </w:t>
      </w:r>
      <w:r w:rsidR="00994C51" w:rsidRPr="00DC108A">
        <w:rPr>
          <w:i/>
          <w:sz w:val="26"/>
          <w:szCs w:val="26"/>
        </w:rPr>
        <w:t>Implementation of Act 11 of 2012</w:t>
      </w:r>
      <w:r w:rsidR="00994C51">
        <w:rPr>
          <w:sz w:val="26"/>
          <w:szCs w:val="26"/>
        </w:rPr>
        <w:t>,</w:t>
      </w:r>
      <w:r w:rsidR="00994C51" w:rsidRPr="00062E21">
        <w:rPr>
          <w:sz w:val="26"/>
          <w:szCs w:val="26"/>
        </w:rPr>
        <w:t xml:space="preserve"> Docket No. M</w:t>
      </w:r>
      <w:r w:rsidR="00994C51">
        <w:rPr>
          <w:sz w:val="26"/>
          <w:szCs w:val="26"/>
        </w:rPr>
        <w:noBreakHyphen/>
      </w:r>
      <w:r w:rsidR="00994C51" w:rsidRPr="00062E21">
        <w:rPr>
          <w:sz w:val="26"/>
          <w:szCs w:val="26"/>
        </w:rPr>
        <w:t>2012</w:t>
      </w:r>
      <w:r w:rsidR="00075831">
        <w:rPr>
          <w:sz w:val="26"/>
          <w:szCs w:val="26"/>
        </w:rPr>
        <w:noBreakHyphen/>
      </w:r>
      <w:r w:rsidR="00994C51" w:rsidRPr="00062E21">
        <w:rPr>
          <w:sz w:val="26"/>
          <w:szCs w:val="26"/>
        </w:rPr>
        <w:t xml:space="preserve">2293611 </w:t>
      </w:r>
      <w:r w:rsidR="00994C51">
        <w:rPr>
          <w:sz w:val="26"/>
          <w:szCs w:val="26"/>
        </w:rPr>
        <w:t>(</w:t>
      </w:r>
      <w:r w:rsidR="00994C51" w:rsidRPr="00062E21">
        <w:rPr>
          <w:sz w:val="26"/>
          <w:szCs w:val="26"/>
        </w:rPr>
        <w:t>August 2, 2012</w:t>
      </w:r>
      <w:r w:rsidR="00994C51">
        <w:rPr>
          <w:sz w:val="26"/>
          <w:szCs w:val="26"/>
        </w:rPr>
        <w:t>) (</w:t>
      </w:r>
      <w:r w:rsidR="00994C51" w:rsidRPr="00062E21">
        <w:rPr>
          <w:sz w:val="26"/>
          <w:szCs w:val="26"/>
        </w:rPr>
        <w:t>Final Implementation Order</w:t>
      </w:r>
      <w:r w:rsidR="00994C51">
        <w:rPr>
          <w:sz w:val="26"/>
          <w:szCs w:val="26"/>
        </w:rPr>
        <w:t xml:space="preserve">). </w:t>
      </w:r>
      <w:r w:rsidR="00367E96">
        <w:rPr>
          <w:sz w:val="26"/>
          <w:szCs w:val="26"/>
        </w:rPr>
        <w:t xml:space="preserve"> The D</w:t>
      </w:r>
      <w:r w:rsidR="007A4FEF">
        <w:rPr>
          <w:sz w:val="26"/>
          <w:szCs w:val="26"/>
        </w:rPr>
        <w:t>SIC was also filed on December 12</w:t>
      </w:r>
      <w:r w:rsidR="00367E96">
        <w:rPr>
          <w:sz w:val="26"/>
          <w:szCs w:val="26"/>
        </w:rPr>
        <w:t xml:space="preserve">, 2013.  </w:t>
      </w:r>
      <w:r>
        <w:rPr>
          <w:sz w:val="26"/>
          <w:szCs w:val="26"/>
        </w:rPr>
        <w:t>UGI-CPG</w:t>
      </w:r>
      <w:r w:rsidR="002515D6">
        <w:rPr>
          <w:sz w:val="26"/>
          <w:szCs w:val="26"/>
        </w:rPr>
        <w:t>’s</w:t>
      </w:r>
      <w:r w:rsidR="00994C51">
        <w:rPr>
          <w:sz w:val="26"/>
          <w:szCs w:val="26"/>
        </w:rPr>
        <w:t xml:space="preserve"> </w:t>
      </w:r>
      <w:r w:rsidR="00994C51" w:rsidRPr="00062E21">
        <w:rPr>
          <w:sz w:val="26"/>
          <w:szCs w:val="26"/>
        </w:rPr>
        <w:t>DSIC Petition incl</w:t>
      </w:r>
      <w:r w:rsidR="0033243F">
        <w:rPr>
          <w:sz w:val="26"/>
          <w:szCs w:val="26"/>
        </w:rPr>
        <w:t xml:space="preserve">udes </w:t>
      </w:r>
      <w:r w:rsidR="00806A17">
        <w:rPr>
          <w:sz w:val="26"/>
          <w:szCs w:val="26"/>
        </w:rPr>
        <w:t xml:space="preserve">a </w:t>
      </w:r>
      <w:proofErr w:type="spellStart"/>
      <w:r w:rsidR="00806A17">
        <w:rPr>
          <w:sz w:val="26"/>
          <w:szCs w:val="26"/>
        </w:rPr>
        <w:t>ProForma</w:t>
      </w:r>
      <w:proofErr w:type="spellEnd"/>
      <w:r w:rsidR="00806A17">
        <w:rPr>
          <w:sz w:val="26"/>
          <w:szCs w:val="26"/>
        </w:rPr>
        <w:t xml:space="preserve"> Tariff Addendum</w:t>
      </w:r>
      <w:r w:rsidR="00994C51" w:rsidRPr="00062E21">
        <w:rPr>
          <w:sz w:val="26"/>
          <w:szCs w:val="26"/>
        </w:rPr>
        <w:t xml:space="preserve"> </w:t>
      </w:r>
      <w:r w:rsidR="00F33351">
        <w:rPr>
          <w:sz w:val="26"/>
          <w:szCs w:val="26"/>
        </w:rPr>
        <w:t>to CP</w:t>
      </w:r>
      <w:r w:rsidR="00806A17">
        <w:rPr>
          <w:sz w:val="26"/>
          <w:szCs w:val="26"/>
        </w:rPr>
        <w:t>G</w:t>
      </w:r>
      <w:r w:rsidR="00367E96">
        <w:rPr>
          <w:sz w:val="26"/>
          <w:szCs w:val="26"/>
        </w:rPr>
        <w:t xml:space="preserve"> Gas</w:t>
      </w:r>
      <w:r w:rsidR="00F33351">
        <w:rPr>
          <w:sz w:val="26"/>
          <w:szCs w:val="26"/>
        </w:rPr>
        <w:t xml:space="preserve"> – Pa. P.U.C. No. 4</w:t>
      </w:r>
      <w:r w:rsidR="00994C51" w:rsidRPr="00062E21">
        <w:rPr>
          <w:sz w:val="26"/>
          <w:szCs w:val="26"/>
        </w:rPr>
        <w:t xml:space="preserve"> to introduce the DSIC Rider into the Company’s tariff</w:t>
      </w:r>
      <w:r w:rsidR="00367E96">
        <w:rPr>
          <w:sz w:val="26"/>
          <w:szCs w:val="26"/>
        </w:rPr>
        <w:t xml:space="preserve"> with an effective date of April</w:t>
      </w:r>
      <w:r w:rsidR="00994C51" w:rsidRPr="00062E21">
        <w:rPr>
          <w:sz w:val="26"/>
          <w:szCs w:val="26"/>
        </w:rPr>
        <w:t xml:space="preserve"> </w:t>
      </w:r>
      <w:r w:rsidR="00367E96">
        <w:rPr>
          <w:sz w:val="26"/>
          <w:szCs w:val="26"/>
        </w:rPr>
        <w:t>1</w:t>
      </w:r>
      <w:r w:rsidR="00806A17">
        <w:rPr>
          <w:sz w:val="26"/>
          <w:szCs w:val="26"/>
        </w:rPr>
        <w:t>, 2014</w:t>
      </w:r>
      <w:r w:rsidR="00994C51" w:rsidRPr="00062E21">
        <w:rPr>
          <w:sz w:val="26"/>
          <w:szCs w:val="26"/>
        </w:rPr>
        <w:t>.  The filing was made pursuant to 66</w:t>
      </w:r>
      <w:r w:rsidR="00075831">
        <w:rPr>
          <w:sz w:val="26"/>
          <w:szCs w:val="26"/>
        </w:rPr>
        <w:t> </w:t>
      </w:r>
      <w:r w:rsidR="00994C51" w:rsidRPr="00062E21">
        <w:rPr>
          <w:sz w:val="26"/>
          <w:szCs w:val="26"/>
        </w:rPr>
        <w:t>Pa.</w:t>
      </w:r>
      <w:r w:rsidR="00075831">
        <w:rPr>
          <w:sz w:val="26"/>
          <w:szCs w:val="26"/>
        </w:rPr>
        <w:t> </w:t>
      </w:r>
      <w:r w:rsidR="00994C51" w:rsidRPr="00062E21">
        <w:rPr>
          <w:sz w:val="26"/>
          <w:szCs w:val="26"/>
        </w:rPr>
        <w:t>C.S.</w:t>
      </w:r>
      <w:r w:rsidR="00075831">
        <w:rPr>
          <w:sz w:val="26"/>
          <w:szCs w:val="26"/>
        </w:rPr>
        <w:t> </w:t>
      </w:r>
      <w:r w:rsidR="00994C51" w:rsidRPr="00062E21">
        <w:rPr>
          <w:bCs/>
          <w:sz w:val="26"/>
          <w:szCs w:val="26"/>
        </w:rPr>
        <w:t>§</w:t>
      </w:r>
      <w:r w:rsidR="00075831">
        <w:rPr>
          <w:bCs/>
          <w:sz w:val="26"/>
          <w:szCs w:val="26"/>
        </w:rPr>
        <w:t> </w:t>
      </w:r>
      <w:r w:rsidR="00994C51" w:rsidRPr="00062E21">
        <w:rPr>
          <w:bCs/>
          <w:sz w:val="26"/>
          <w:szCs w:val="26"/>
        </w:rPr>
        <w:t xml:space="preserve">1353 and </w:t>
      </w:r>
      <w:r w:rsidR="00994C51">
        <w:rPr>
          <w:bCs/>
          <w:sz w:val="26"/>
          <w:szCs w:val="26"/>
        </w:rPr>
        <w:t xml:space="preserve">the </w:t>
      </w:r>
      <w:r w:rsidR="00994C51" w:rsidRPr="00062E21">
        <w:rPr>
          <w:sz w:val="26"/>
          <w:szCs w:val="26"/>
        </w:rPr>
        <w:t xml:space="preserve">Final Implementation Order.    </w:t>
      </w:r>
    </w:p>
    <w:p w:rsidR="00994C51" w:rsidRPr="00330D75" w:rsidRDefault="00994C51" w:rsidP="00994C51">
      <w:pPr>
        <w:pStyle w:val="p2"/>
        <w:widowControl/>
        <w:spacing w:line="360" w:lineRule="auto"/>
        <w:ind w:firstLine="1440"/>
        <w:rPr>
          <w:color w:val="0D0D0D" w:themeColor="text1" w:themeTint="F2"/>
          <w:sz w:val="26"/>
          <w:szCs w:val="26"/>
        </w:rPr>
      </w:pPr>
    </w:p>
    <w:p w:rsidR="00994C51" w:rsidRDefault="00994C51" w:rsidP="00994C51">
      <w:pPr>
        <w:widowControl/>
        <w:spacing w:line="360" w:lineRule="auto"/>
        <w:ind w:firstLine="1440"/>
        <w:rPr>
          <w:sz w:val="26"/>
          <w:szCs w:val="26"/>
        </w:rPr>
      </w:pPr>
      <w:r w:rsidRPr="00330D75">
        <w:rPr>
          <w:color w:val="0D0D0D" w:themeColor="text1" w:themeTint="F2"/>
          <w:sz w:val="26"/>
          <w:szCs w:val="26"/>
        </w:rPr>
        <w:t xml:space="preserve">The </w:t>
      </w:r>
      <w:r w:rsidR="00AC3D3C">
        <w:rPr>
          <w:color w:val="0D0D0D" w:themeColor="text1" w:themeTint="F2"/>
          <w:sz w:val="26"/>
          <w:szCs w:val="26"/>
        </w:rPr>
        <w:t>Office of Consumer Advocate (</w:t>
      </w:r>
      <w:r w:rsidRPr="00330D75">
        <w:rPr>
          <w:color w:val="0D0D0D" w:themeColor="text1" w:themeTint="F2"/>
          <w:sz w:val="26"/>
          <w:szCs w:val="26"/>
        </w:rPr>
        <w:t>O</w:t>
      </w:r>
      <w:r w:rsidR="000721E9">
        <w:rPr>
          <w:color w:val="0D0D0D" w:themeColor="text1" w:themeTint="F2"/>
          <w:sz w:val="26"/>
          <w:szCs w:val="26"/>
        </w:rPr>
        <w:t>CA</w:t>
      </w:r>
      <w:r w:rsidR="00AC3D3C">
        <w:rPr>
          <w:color w:val="0D0D0D" w:themeColor="text1" w:themeTint="F2"/>
          <w:sz w:val="26"/>
          <w:szCs w:val="26"/>
        </w:rPr>
        <w:t>)</w:t>
      </w:r>
      <w:r w:rsidRPr="00330D75">
        <w:rPr>
          <w:color w:val="0D0D0D" w:themeColor="text1" w:themeTint="F2"/>
          <w:sz w:val="26"/>
          <w:szCs w:val="26"/>
        </w:rPr>
        <w:t xml:space="preserve"> filed comments </w:t>
      </w:r>
      <w:r w:rsidR="000721E9">
        <w:rPr>
          <w:color w:val="0D0D0D" w:themeColor="text1" w:themeTint="F2"/>
          <w:sz w:val="26"/>
          <w:szCs w:val="26"/>
        </w:rPr>
        <w:t xml:space="preserve">pertaining to the LTIIP </w:t>
      </w:r>
      <w:r w:rsidRPr="00330D75">
        <w:rPr>
          <w:color w:val="0D0D0D" w:themeColor="text1" w:themeTint="F2"/>
          <w:sz w:val="26"/>
          <w:szCs w:val="26"/>
        </w:rPr>
        <w:t xml:space="preserve">on </w:t>
      </w:r>
      <w:r w:rsidR="00AC3D3C">
        <w:rPr>
          <w:color w:val="0D0D0D" w:themeColor="text1" w:themeTint="F2"/>
          <w:sz w:val="26"/>
          <w:szCs w:val="26"/>
        </w:rPr>
        <w:t xml:space="preserve">January </w:t>
      </w:r>
      <w:r w:rsidR="000721E9">
        <w:rPr>
          <w:color w:val="0D0D0D" w:themeColor="text1" w:themeTint="F2"/>
          <w:sz w:val="26"/>
          <w:szCs w:val="26"/>
        </w:rPr>
        <w:t>2</w:t>
      </w:r>
      <w:r w:rsidR="00AC3D3C">
        <w:rPr>
          <w:color w:val="0D0D0D" w:themeColor="text1" w:themeTint="F2"/>
          <w:sz w:val="26"/>
          <w:szCs w:val="26"/>
        </w:rPr>
        <w:t>, 2014</w:t>
      </w:r>
      <w:r w:rsidRPr="00330D75">
        <w:rPr>
          <w:color w:val="0D0D0D" w:themeColor="text1" w:themeTint="F2"/>
          <w:sz w:val="26"/>
          <w:szCs w:val="26"/>
        </w:rPr>
        <w:t xml:space="preserve">, but did not initially request hearings.  </w:t>
      </w:r>
      <w:r w:rsidR="00AC3D3C">
        <w:rPr>
          <w:color w:val="0D0D0D" w:themeColor="text1" w:themeTint="F2"/>
          <w:sz w:val="26"/>
          <w:szCs w:val="26"/>
        </w:rPr>
        <w:t>On January 2, 2014</w:t>
      </w:r>
      <w:r w:rsidRPr="00330D75">
        <w:rPr>
          <w:color w:val="0D0D0D" w:themeColor="text1" w:themeTint="F2"/>
          <w:sz w:val="26"/>
          <w:szCs w:val="26"/>
        </w:rPr>
        <w:t xml:space="preserve"> OCA filed a Notice of Intervention</w:t>
      </w:r>
      <w:r w:rsidR="0040158E">
        <w:rPr>
          <w:color w:val="0D0D0D" w:themeColor="text1" w:themeTint="F2"/>
          <w:sz w:val="26"/>
          <w:szCs w:val="26"/>
        </w:rPr>
        <w:t xml:space="preserve"> and Public Statement</w:t>
      </w:r>
      <w:r w:rsidRPr="00330D75">
        <w:rPr>
          <w:color w:val="0D0D0D" w:themeColor="text1" w:themeTint="F2"/>
          <w:sz w:val="26"/>
          <w:szCs w:val="26"/>
        </w:rPr>
        <w:t xml:space="preserve">, a Formal Complaint </w:t>
      </w:r>
      <w:r w:rsidR="00C70068">
        <w:rPr>
          <w:color w:val="0D0D0D" w:themeColor="text1" w:themeTint="F2"/>
          <w:sz w:val="26"/>
          <w:szCs w:val="26"/>
        </w:rPr>
        <w:t xml:space="preserve">(Docket No. </w:t>
      </w:r>
      <w:r w:rsidR="00F33351">
        <w:rPr>
          <w:color w:val="0D0D0D" w:themeColor="text1" w:themeTint="F2"/>
          <w:sz w:val="26"/>
          <w:szCs w:val="20"/>
        </w:rPr>
        <w:t>C-2014-2399319</w:t>
      </w:r>
      <w:r w:rsidR="00F064FB">
        <w:rPr>
          <w:color w:val="0D0D0D" w:themeColor="text1" w:themeTint="F2"/>
          <w:sz w:val="26"/>
          <w:szCs w:val="26"/>
        </w:rPr>
        <w:t>)</w:t>
      </w:r>
      <w:r w:rsidRPr="00330D75">
        <w:rPr>
          <w:color w:val="0D0D0D" w:themeColor="text1" w:themeTint="F2"/>
          <w:sz w:val="26"/>
          <w:szCs w:val="26"/>
        </w:rPr>
        <w:t xml:space="preserve">, and an Answer to </w:t>
      </w:r>
      <w:r w:rsidR="0014165C">
        <w:rPr>
          <w:color w:val="0D0D0D" w:themeColor="text1" w:themeTint="F2"/>
          <w:sz w:val="26"/>
          <w:szCs w:val="26"/>
        </w:rPr>
        <w:t>UGI-CPG</w:t>
      </w:r>
      <w:r w:rsidR="002515D6">
        <w:rPr>
          <w:color w:val="0D0D0D" w:themeColor="text1" w:themeTint="F2"/>
          <w:sz w:val="26"/>
          <w:szCs w:val="26"/>
        </w:rPr>
        <w:t>’s</w:t>
      </w:r>
      <w:r w:rsidRPr="00330D75">
        <w:rPr>
          <w:color w:val="0D0D0D" w:themeColor="text1" w:themeTint="F2"/>
          <w:sz w:val="26"/>
          <w:szCs w:val="26"/>
        </w:rPr>
        <w:t xml:space="preserve"> DSIC Petition.  In its Answer </w:t>
      </w:r>
      <w:r w:rsidR="00634624">
        <w:rPr>
          <w:sz w:val="26"/>
          <w:szCs w:val="26"/>
        </w:rPr>
        <w:t xml:space="preserve">to </w:t>
      </w:r>
      <w:r w:rsidR="0014165C">
        <w:rPr>
          <w:sz w:val="26"/>
          <w:szCs w:val="26"/>
        </w:rPr>
        <w:t>UGI-CPG</w:t>
      </w:r>
      <w:r w:rsidR="002515D6">
        <w:rPr>
          <w:sz w:val="26"/>
          <w:szCs w:val="26"/>
        </w:rPr>
        <w:t>’s</w:t>
      </w:r>
      <w:r w:rsidR="004C5531">
        <w:rPr>
          <w:sz w:val="26"/>
          <w:szCs w:val="26"/>
        </w:rPr>
        <w:t xml:space="preserve"> DSIC p</w:t>
      </w:r>
      <w:r w:rsidRPr="00330D75">
        <w:rPr>
          <w:sz w:val="26"/>
          <w:szCs w:val="26"/>
        </w:rPr>
        <w:t xml:space="preserve">etition, OCA states that the Commission should deny </w:t>
      </w:r>
      <w:r w:rsidR="0014165C">
        <w:rPr>
          <w:sz w:val="26"/>
          <w:szCs w:val="26"/>
        </w:rPr>
        <w:t>UGI-CPG</w:t>
      </w:r>
      <w:r w:rsidR="00AC3D3C">
        <w:rPr>
          <w:sz w:val="26"/>
          <w:szCs w:val="26"/>
        </w:rPr>
        <w:t xml:space="preserve">’s Petition </w:t>
      </w:r>
      <w:proofErr w:type="spellStart"/>
      <w:r w:rsidR="00AC3D3C">
        <w:rPr>
          <w:sz w:val="26"/>
          <w:szCs w:val="26"/>
        </w:rPr>
        <w:t>as</w:t>
      </w:r>
      <w:proofErr w:type="spellEnd"/>
      <w:r w:rsidR="00AC3D3C">
        <w:rPr>
          <w:sz w:val="26"/>
          <w:szCs w:val="26"/>
        </w:rPr>
        <w:t xml:space="preserve"> filed, suspend</w:t>
      </w:r>
      <w:r w:rsidRPr="00330D75">
        <w:rPr>
          <w:sz w:val="26"/>
          <w:szCs w:val="26"/>
        </w:rPr>
        <w:t xml:space="preserve"> the pr</w:t>
      </w:r>
      <w:r w:rsidR="0098381A">
        <w:rPr>
          <w:sz w:val="26"/>
          <w:szCs w:val="26"/>
        </w:rPr>
        <w:t xml:space="preserve">oposed Tariff </w:t>
      </w:r>
      <w:r w:rsidR="00AC3D3C">
        <w:rPr>
          <w:sz w:val="26"/>
          <w:szCs w:val="26"/>
        </w:rPr>
        <w:t>Addendum</w:t>
      </w:r>
      <w:r w:rsidR="00AC3D3C" w:rsidRPr="00062E21">
        <w:rPr>
          <w:sz w:val="26"/>
          <w:szCs w:val="26"/>
        </w:rPr>
        <w:t xml:space="preserve"> </w:t>
      </w:r>
      <w:r w:rsidR="00AC3D3C">
        <w:rPr>
          <w:sz w:val="26"/>
          <w:szCs w:val="26"/>
        </w:rPr>
        <w:t>to PNG Gas – Pa. P.U.C. No. 8</w:t>
      </w:r>
      <w:r w:rsidRPr="00330D75">
        <w:rPr>
          <w:sz w:val="26"/>
          <w:szCs w:val="26"/>
        </w:rPr>
        <w:t xml:space="preserve">, and </w:t>
      </w:r>
      <w:r w:rsidR="00F064FB">
        <w:rPr>
          <w:sz w:val="26"/>
          <w:szCs w:val="26"/>
        </w:rPr>
        <w:t>refer the matter to the Commission’s Office of Administrative Law Judge (OALJ) for</w:t>
      </w:r>
      <w:r w:rsidRPr="00330D75">
        <w:rPr>
          <w:sz w:val="26"/>
          <w:szCs w:val="26"/>
        </w:rPr>
        <w:t xml:space="preserve"> a full hearing and investigation pursuant to OCA’</w:t>
      </w:r>
      <w:r w:rsidR="000721E9">
        <w:rPr>
          <w:sz w:val="26"/>
          <w:szCs w:val="26"/>
        </w:rPr>
        <w:t>s complaint.</w:t>
      </w:r>
    </w:p>
    <w:p w:rsidR="0040158E" w:rsidRDefault="0040158E" w:rsidP="00994C51">
      <w:pPr>
        <w:widowControl/>
        <w:spacing w:line="360" w:lineRule="auto"/>
        <w:ind w:firstLine="1440"/>
        <w:rPr>
          <w:sz w:val="26"/>
          <w:szCs w:val="26"/>
        </w:rPr>
      </w:pPr>
    </w:p>
    <w:p w:rsidR="00994C51" w:rsidRPr="00330D75" w:rsidRDefault="002515D6" w:rsidP="00994C51">
      <w:pPr>
        <w:pStyle w:val="p7"/>
        <w:widowControl/>
        <w:tabs>
          <w:tab w:val="clear" w:pos="782"/>
          <w:tab w:val="clear" w:pos="1133"/>
          <w:tab w:val="left" w:pos="720"/>
          <w:tab w:val="left" w:pos="1440"/>
        </w:tabs>
        <w:spacing w:line="360" w:lineRule="auto"/>
        <w:ind w:left="0" w:firstLine="1440"/>
        <w:rPr>
          <w:sz w:val="26"/>
          <w:szCs w:val="26"/>
        </w:rPr>
      </w:pPr>
      <w:r>
        <w:rPr>
          <w:sz w:val="26"/>
          <w:szCs w:val="26"/>
        </w:rPr>
        <w:t>On January 2, 2014</w:t>
      </w:r>
      <w:r w:rsidR="00EF11F2">
        <w:rPr>
          <w:sz w:val="26"/>
          <w:szCs w:val="26"/>
        </w:rPr>
        <w:t xml:space="preserve"> the </w:t>
      </w:r>
      <w:r>
        <w:rPr>
          <w:sz w:val="26"/>
          <w:szCs w:val="26"/>
        </w:rPr>
        <w:t>Office of Small Business Advocate (</w:t>
      </w:r>
      <w:r w:rsidR="00994C51" w:rsidRPr="00330D75">
        <w:rPr>
          <w:sz w:val="26"/>
          <w:szCs w:val="26"/>
        </w:rPr>
        <w:t>OSBA</w:t>
      </w:r>
      <w:r>
        <w:rPr>
          <w:sz w:val="26"/>
          <w:szCs w:val="26"/>
        </w:rPr>
        <w:t>)</w:t>
      </w:r>
      <w:r w:rsidR="00994C51" w:rsidRPr="00330D75">
        <w:rPr>
          <w:sz w:val="26"/>
          <w:szCs w:val="26"/>
        </w:rPr>
        <w:t xml:space="preserve"> filed a Notice of Intervention</w:t>
      </w:r>
      <w:r w:rsidR="0098381A">
        <w:rPr>
          <w:sz w:val="26"/>
          <w:szCs w:val="26"/>
        </w:rPr>
        <w:t>, Public Statement,</w:t>
      </w:r>
      <w:r>
        <w:rPr>
          <w:sz w:val="26"/>
          <w:szCs w:val="26"/>
        </w:rPr>
        <w:t xml:space="preserve"> and Complaint</w:t>
      </w:r>
      <w:r w:rsidR="00EF11F2">
        <w:rPr>
          <w:sz w:val="26"/>
          <w:szCs w:val="26"/>
        </w:rPr>
        <w:t xml:space="preserve"> to </w:t>
      </w:r>
      <w:r w:rsidR="0014165C">
        <w:rPr>
          <w:sz w:val="26"/>
          <w:szCs w:val="26"/>
        </w:rPr>
        <w:t>UGI-CPG</w:t>
      </w:r>
      <w:r>
        <w:rPr>
          <w:sz w:val="26"/>
          <w:szCs w:val="26"/>
        </w:rPr>
        <w:t>’s</w:t>
      </w:r>
      <w:r w:rsidR="00EF11F2">
        <w:rPr>
          <w:sz w:val="26"/>
          <w:szCs w:val="26"/>
        </w:rPr>
        <w:t xml:space="preserve"> DSIC Petition</w:t>
      </w:r>
      <w:r w:rsidR="00994C51" w:rsidRPr="00330D75">
        <w:rPr>
          <w:sz w:val="26"/>
          <w:szCs w:val="26"/>
        </w:rPr>
        <w:t>.  OSBA requested hearings and such relief as may be necessary or appropriat</w:t>
      </w:r>
      <w:r>
        <w:rPr>
          <w:sz w:val="26"/>
          <w:szCs w:val="26"/>
        </w:rPr>
        <w:t>e.  In its Complaint</w:t>
      </w:r>
      <w:r w:rsidR="00EF11F2">
        <w:rPr>
          <w:sz w:val="26"/>
          <w:szCs w:val="26"/>
        </w:rPr>
        <w:t xml:space="preserve">, </w:t>
      </w:r>
      <w:r w:rsidR="00994C51" w:rsidRPr="00330D75">
        <w:rPr>
          <w:sz w:val="26"/>
          <w:szCs w:val="26"/>
        </w:rPr>
        <w:t xml:space="preserve">OSBA did not allege that any particular provision or relief requested by </w:t>
      </w:r>
      <w:r w:rsidR="0014165C">
        <w:rPr>
          <w:sz w:val="26"/>
          <w:szCs w:val="26"/>
        </w:rPr>
        <w:t>UGI-CPG</w:t>
      </w:r>
      <w:r w:rsidR="00994C51" w:rsidRPr="00330D75">
        <w:rPr>
          <w:sz w:val="26"/>
          <w:szCs w:val="26"/>
        </w:rPr>
        <w:t xml:space="preserve"> should be denied.</w:t>
      </w:r>
    </w:p>
    <w:p w:rsidR="00994C51" w:rsidRDefault="00994C51" w:rsidP="00994C51">
      <w:pPr>
        <w:pStyle w:val="p7"/>
        <w:widowControl/>
        <w:tabs>
          <w:tab w:val="clear" w:pos="782"/>
          <w:tab w:val="clear" w:pos="1133"/>
          <w:tab w:val="left" w:pos="720"/>
          <w:tab w:val="left" w:pos="1440"/>
        </w:tabs>
        <w:spacing w:line="360" w:lineRule="auto"/>
        <w:ind w:left="0" w:firstLine="1440"/>
        <w:rPr>
          <w:sz w:val="26"/>
          <w:szCs w:val="26"/>
        </w:rPr>
      </w:pPr>
    </w:p>
    <w:p w:rsidR="00994C51" w:rsidRDefault="0014165C" w:rsidP="00994C51">
      <w:pPr>
        <w:pStyle w:val="p2"/>
        <w:widowControl/>
        <w:spacing w:line="360" w:lineRule="auto"/>
        <w:ind w:firstLine="1440"/>
        <w:rPr>
          <w:sz w:val="26"/>
          <w:szCs w:val="26"/>
        </w:rPr>
      </w:pPr>
      <w:r>
        <w:rPr>
          <w:sz w:val="26"/>
          <w:szCs w:val="26"/>
        </w:rPr>
        <w:t>UGI-CPG</w:t>
      </w:r>
      <w:r w:rsidR="009B250F">
        <w:rPr>
          <w:sz w:val="26"/>
          <w:szCs w:val="26"/>
        </w:rPr>
        <w:t xml:space="preserve"> filed Answers</w:t>
      </w:r>
      <w:r w:rsidR="00994C51" w:rsidRPr="00330D75">
        <w:rPr>
          <w:sz w:val="26"/>
          <w:szCs w:val="26"/>
        </w:rPr>
        <w:t xml:space="preserve"> on </w:t>
      </w:r>
      <w:r w:rsidR="009B250F">
        <w:rPr>
          <w:sz w:val="26"/>
          <w:szCs w:val="26"/>
        </w:rPr>
        <w:t>January 27, 2014</w:t>
      </w:r>
      <w:r w:rsidR="00994C51" w:rsidRPr="00330D75">
        <w:rPr>
          <w:sz w:val="26"/>
          <w:szCs w:val="26"/>
        </w:rPr>
        <w:t>, i</w:t>
      </w:r>
      <w:r w:rsidR="004C5531">
        <w:rPr>
          <w:sz w:val="26"/>
          <w:szCs w:val="26"/>
        </w:rPr>
        <w:t xml:space="preserve">n response to </w:t>
      </w:r>
      <w:r w:rsidR="009B250F">
        <w:rPr>
          <w:sz w:val="26"/>
          <w:szCs w:val="26"/>
        </w:rPr>
        <w:t xml:space="preserve">both </w:t>
      </w:r>
      <w:r w:rsidR="004C5531">
        <w:rPr>
          <w:sz w:val="26"/>
          <w:szCs w:val="26"/>
        </w:rPr>
        <w:t>the OCA’s</w:t>
      </w:r>
      <w:r w:rsidR="009B250F">
        <w:rPr>
          <w:sz w:val="26"/>
          <w:szCs w:val="26"/>
        </w:rPr>
        <w:t xml:space="preserve"> and the OSBA’s</w:t>
      </w:r>
      <w:r w:rsidR="004C5531">
        <w:rPr>
          <w:sz w:val="26"/>
          <w:szCs w:val="26"/>
        </w:rPr>
        <w:t xml:space="preserve"> formal complaint</w:t>
      </w:r>
      <w:r w:rsidR="009B250F">
        <w:rPr>
          <w:sz w:val="26"/>
          <w:szCs w:val="26"/>
        </w:rPr>
        <w:t xml:space="preserve">s </w:t>
      </w:r>
      <w:r w:rsidR="004C5531">
        <w:rPr>
          <w:sz w:val="26"/>
          <w:szCs w:val="26"/>
        </w:rPr>
        <w:t>on</w:t>
      </w:r>
      <w:r w:rsidR="00994C51" w:rsidRPr="00330D75">
        <w:rPr>
          <w:sz w:val="26"/>
          <w:szCs w:val="26"/>
        </w:rPr>
        <w:t xml:space="preserve"> </w:t>
      </w:r>
      <w:r>
        <w:rPr>
          <w:sz w:val="26"/>
          <w:szCs w:val="26"/>
        </w:rPr>
        <w:t>UGI-CPG</w:t>
      </w:r>
      <w:r w:rsidR="009B250F">
        <w:rPr>
          <w:sz w:val="26"/>
          <w:szCs w:val="26"/>
        </w:rPr>
        <w:t>’s</w:t>
      </w:r>
      <w:r w:rsidR="00994C51" w:rsidRPr="00330D75">
        <w:rPr>
          <w:sz w:val="26"/>
          <w:szCs w:val="26"/>
        </w:rPr>
        <w:t xml:space="preserve"> </w:t>
      </w:r>
      <w:r w:rsidR="004C5531">
        <w:rPr>
          <w:sz w:val="26"/>
          <w:szCs w:val="26"/>
        </w:rPr>
        <w:t>DSIC</w:t>
      </w:r>
      <w:r w:rsidR="00994C51" w:rsidRPr="00330D75">
        <w:rPr>
          <w:sz w:val="26"/>
          <w:szCs w:val="26"/>
        </w:rPr>
        <w:t xml:space="preserve"> petition</w:t>
      </w:r>
      <w:r w:rsidR="001F05E8">
        <w:rPr>
          <w:sz w:val="26"/>
          <w:szCs w:val="26"/>
        </w:rPr>
        <w:t>, in which they requested that the complaints of OCA and OSBA be dismissed in their entirety</w:t>
      </w:r>
      <w:r w:rsidR="004C5531">
        <w:rPr>
          <w:sz w:val="26"/>
          <w:szCs w:val="26"/>
        </w:rPr>
        <w:t>.</w:t>
      </w:r>
    </w:p>
    <w:p w:rsidR="007A4967" w:rsidRDefault="007A4967" w:rsidP="00994C51">
      <w:pPr>
        <w:pStyle w:val="p2"/>
        <w:widowControl/>
        <w:spacing w:line="360" w:lineRule="auto"/>
        <w:ind w:firstLine="1440"/>
        <w:rPr>
          <w:sz w:val="26"/>
          <w:szCs w:val="26"/>
        </w:rPr>
      </w:pPr>
    </w:p>
    <w:p w:rsidR="00994C51" w:rsidRPr="00062E21" w:rsidRDefault="00994C51" w:rsidP="00A479E4">
      <w:pPr>
        <w:pStyle w:val="p2"/>
        <w:widowControl/>
        <w:spacing w:line="360" w:lineRule="auto"/>
        <w:ind w:firstLine="1440"/>
        <w:rPr>
          <w:sz w:val="26"/>
          <w:szCs w:val="26"/>
        </w:rPr>
      </w:pPr>
      <w:r w:rsidRPr="00330D75">
        <w:rPr>
          <w:sz w:val="26"/>
          <w:szCs w:val="26"/>
        </w:rPr>
        <w:t>No objections</w:t>
      </w:r>
      <w:r w:rsidRPr="00062E21">
        <w:rPr>
          <w:sz w:val="26"/>
          <w:szCs w:val="26"/>
        </w:rPr>
        <w:t xml:space="preserve"> or comments were received from federal, state or local governmental agencies</w:t>
      </w:r>
      <w:r>
        <w:rPr>
          <w:sz w:val="26"/>
          <w:szCs w:val="26"/>
        </w:rPr>
        <w:t>.</w:t>
      </w:r>
    </w:p>
    <w:p w:rsidR="00994C51" w:rsidRPr="00062E21" w:rsidRDefault="00994C51" w:rsidP="00994C51">
      <w:pPr>
        <w:pStyle w:val="p2"/>
        <w:widowControl/>
        <w:spacing w:line="360" w:lineRule="auto"/>
        <w:ind w:firstLine="0"/>
        <w:jc w:val="center"/>
        <w:rPr>
          <w:b/>
          <w:sz w:val="26"/>
          <w:szCs w:val="26"/>
        </w:rPr>
      </w:pPr>
      <w:r>
        <w:rPr>
          <w:b/>
          <w:sz w:val="26"/>
          <w:szCs w:val="26"/>
        </w:rPr>
        <w:lastRenderedPageBreak/>
        <w:t>BACKGROUND</w:t>
      </w:r>
    </w:p>
    <w:p w:rsidR="00994C51" w:rsidRPr="00062E21" w:rsidRDefault="00994C51" w:rsidP="00994C51">
      <w:pPr>
        <w:pStyle w:val="p2"/>
        <w:widowControl/>
        <w:spacing w:line="360" w:lineRule="auto"/>
        <w:ind w:firstLine="0"/>
        <w:jc w:val="center"/>
        <w:rPr>
          <w:b/>
          <w:sz w:val="26"/>
          <w:szCs w:val="26"/>
        </w:rPr>
      </w:pPr>
    </w:p>
    <w:p w:rsidR="00994C51" w:rsidRPr="00062E21" w:rsidRDefault="00994C51" w:rsidP="00994C51">
      <w:pPr>
        <w:pStyle w:val="p2"/>
        <w:widowControl/>
        <w:spacing w:line="360" w:lineRule="auto"/>
        <w:ind w:firstLine="1440"/>
        <w:rPr>
          <w:sz w:val="26"/>
          <w:szCs w:val="26"/>
        </w:rPr>
      </w:pPr>
      <w:r w:rsidRPr="00062E21">
        <w:rPr>
          <w:sz w:val="26"/>
          <w:szCs w:val="26"/>
        </w:rPr>
        <w:t>On February 14, 2012,</w:t>
      </w:r>
      <w:r w:rsidRPr="00062E21">
        <w:rPr>
          <w:b/>
          <w:sz w:val="26"/>
          <w:szCs w:val="26"/>
        </w:rPr>
        <w:t xml:space="preserve"> </w:t>
      </w:r>
      <w:r w:rsidRPr="00062E21">
        <w:rPr>
          <w:sz w:val="26"/>
          <w:szCs w:val="26"/>
        </w:rPr>
        <w:t>Governor Corbett signed into law</w:t>
      </w:r>
      <w:r w:rsidRPr="00062E21">
        <w:rPr>
          <w:b/>
          <w:sz w:val="26"/>
          <w:szCs w:val="26"/>
        </w:rPr>
        <w:t xml:space="preserve"> </w:t>
      </w:r>
      <w:r w:rsidRPr="00062E21">
        <w:rPr>
          <w:sz w:val="26"/>
          <w:szCs w:val="26"/>
        </w:rPr>
        <w:t>Act 11 of 2012, (Act 11),</w:t>
      </w:r>
      <w:r w:rsidRPr="00062E21">
        <w:rPr>
          <w:rStyle w:val="FootnoteReference"/>
          <w:sz w:val="26"/>
          <w:szCs w:val="26"/>
        </w:rPr>
        <w:footnoteReference w:id="1"/>
      </w:r>
      <w:r w:rsidRPr="00062E21">
        <w:rPr>
          <w:sz w:val="26"/>
          <w:szCs w:val="26"/>
        </w:rPr>
        <w:t xml:space="preserve"> which amends Chapters 3, 13 and 33 of Title 66.  Act 11, </w:t>
      </w:r>
      <w:r w:rsidRPr="00062E21">
        <w:rPr>
          <w:i/>
          <w:sz w:val="26"/>
          <w:szCs w:val="26"/>
        </w:rPr>
        <w:t>inter alia</w:t>
      </w:r>
      <w:r w:rsidRPr="00062E21">
        <w:rPr>
          <w:sz w:val="26"/>
          <w:szCs w:val="26"/>
        </w:rPr>
        <w:t xml:space="preserve">, provides jurisdictional water and wastewater utilities, electric distribution companies (EDCs), and natural gas distribution companies (NGDCs) or a city natural gas distribution operation with the ability to implement a DSIC to recover reasonable and prudent costs incurred to repair, improve or replace certain eligible distribution property that is part of the utility’s distribution system.  The eligible property for the utilities is defined in 66 Pa. C.S. </w:t>
      </w:r>
      <w:r w:rsidRPr="00062E21">
        <w:rPr>
          <w:iCs/>
          <w:sz w:val="26"/>
          <w:szCs w:val="26"/>
        </w:rPr>
        <w:t>§</w:t>
      </w:r>
      <w:r w:rsidRPr="00062E21">
        <w:rPr>
          <w:sz w:val="26"/>
          <w:szCs w:val="26"/>
        </w:rPr>
        <w:t xml:space="preserve">1351.  Act 11 states that as a precondition to the implementation of a DSIC, a utility must file a LTIIP with the Commission that is consistent with 66 Pa. C.S. </w:t>
      </w:r>
      <w:r w:rsidRPr="00062E21">
        <w:rPr>
          <w:iCs/>
          <w:sz w:val="26"/>
          <w:szCs w:val="26"/>
        </w:rPr>
        <w:t>§</w:t>
      </w:r>
      <w:r w:rsidRPr="00062E21">
        <w:rPr>
          <w:sz w:val="26"/>
          <w:szCs w:val="26"/>
        </w:rPr>
        <w:t xml:space="preserve">1352.  </w:t>
      </w:r>
    </w:p>
    <w:p w:rsidR="00994C51" w:rsidRPr="00062E21" w:rsidRDefault="00994C51" w:rsidP="00994C51">
      <w:pPr>
        <w:pStyle w:val="p2"/>
        <w:widowControl/>
        <w:spacing w:line="360" w:lineRule="auto"/>
        <w:ind w:firstLine="0"/>
        <w:rPr>
          <w:sz w:val="26"/>
          <w:szCs w:val="26"/>
        </w:rPr>
      </w:pPr>
    </w:p>
    <w:p w:rsidR="00E56D3B" w:rsidRDefault="00994C51" w:rsidP="00BB2D17">
      <w:pPr>
        <w:spacing w:line="360" w:lineRule="auto"/>
        <w:ind w:firstLine="1440"/>
        <w:rPr>
          <w:sz w:val="26"/>
          <w:szCs w:val="26"/>
        </w:rPr>
      </w:pPr>
      <w:r w:rsidRPr="00062E21">
        <w:rPr>
          <w:sz w:val="26"/>
          <w:szCs w:val="26"/>
        </w:rPr>
        <w:t xml:space="preserve">On April 5, 2012, the Commission held a working group meeting for discussion and feedback from stakeholders regarding its implementation of Act 11.  On May 10, 2012, the Commission issued a Tentative Implementation Order addressing and incorporating input from the stakeholder meeting.  </w:t>
      </w:r>
      <w:r>
        <w:rPr>
          <w:sz w:val="26"/>
          <w:szCs w:val="26"/>
        </w:rPr>
        <w:t xml:space="preserve">Stakeholders filed comments to </w:t>
      </w:r>
      <w:r w:rsidRPr="00062E21">
        <w:rPr>
          <w:sz w:val="26"/>
          <w:szCs w:val="26"/>
        </w:rPr>
        <w:t>the Tentative Implementation Order on June 6, 2012.</w:t>
      </w:r>
      <w:r>
        <w:rPr>
          <w:sz w:val="26"/>
          <w:szCs w:val="26"/>
        </w:rPr>
        <w:t xml:space="preserve">  </w:t>
      </w:r>
      <w:r w:rsidRPr="00062E21">
        <w:rPr>
          <w:sz w:val="26"/>
          <w:szCs w:val="26"/>
        </w:rPr>
        <w:t>On August 2, 2012, the Commission issued the Final Implem</w:t>
      </w:r>
      <w:r w:rsidR="00882412">
        <w:rPr>
          <w:sz w:val="26"/>
          <w:szCs w:val="26"/>
        </w:rPr>
        <w:t>entation Order, at Docket No.</w:t>
      </w:r>
      <w:r w:rsidRPr="00062E21">
        <w:rPr>
          <w:sz w:val="26"/>
          <w:szCs w:val="26"/>
        </w:rPr>
        <w:t xml:space="preserve"> M</w:t>
      </w:r>
      <w:r w:rsidR="00075831">
        <w:rPr>
          <w:sz w:val="26"/>
          <w:szCs w:val="26"/>
        </w:rPr>
        <w:noBreakHyphen/>
        <w:t>2012</w:t>
      </w:r>
      <w:r w:rsidR="00075831">
        <w:rPr>
          <w:sz w:val="26"/>
          <w:szCs w:val="26"/>
        </w:rPr>
        <w:noBreakHyphen/>
      </w:r>
      <w:r w:rsidRPr="00062E21">
        <w:rPr>
          <w:sz w:val="26"/>
          <w:szCs w:val="26"/>
        </w:rPr>
        <w:t>2293611, establishing procedures and guidelines necessary to implement Act 11.</w:t>
      </w:r>
    </w:p>
    <w:p w:rsidR="00A33272" w:rsidRDefault="00A33272" w:rsidP="00BB2D17">
      <w:pPr>
        <w:spacing w:line="360" w:lineRule="auto"/>
        <w:ind w:firstLine="1440"/>
        <w:rPr>
          <w:sz w:val="26"/>
          <w:szCs w:val="26"/>
        </w:rPr>
      </w:pPr>
    </w:p>
    <w:p w:rsidR="00A33272" w:rsidRDefault="00A33272" w:rsidP="00BB2D17">
      <w:pPr>
        <w:spacing w:line="360" w:lineRule="auto"/>
        <w:ind w:firstLine="1440"/>
        <w:rPr>
          <w:sz w:val="26"/>
          <w:szCs w:val="26"/>
        </w:rPr>
      </w:pPr>
      <w:r>
        <w:rPr>
          <w:sz w:val="26"/>
          <w:szCs w:val="26"/>
        </w:rPr>
        <w:t xml:space="preserve">The Final Implementation Order adopts the requirements established in      66 Pa. C.S. </w:t>
      </w:r>
      <w:r w:rsidRPr="002B3E34">
        <w:rPr>
          <w:iCs/>
          <w:sz w:val="26"/>
          <w:szCs w:val="26"/>
        </w:rPr>
        <w:t>§</w:t>
      </w:r>
      <w:r>
        <w:rPr>
          <w:sz w:val="26"/>
          <w:szCs w:val="26"/>
        </w:rPr>
        <w:t xml:space="preserve"> 1352, provides additional standards that each LTIIP must meet, and gives guidance to utilities for meeting the Commission’s standards.  The Final Implementation Order of Act 11 requires the inclusion of seven elements in the LTIIP.</w:t>
      </w:r>
    </w:p>
    <w:p w:rsidR="00CF23F4" w:rsidRDefault="00CF23F4" w:rsidP="00C07ECB">
      <w:pPr>
        <w:spacing w:line="360" w:lineRule="auto"/>
        <w:rPr>
          <w:sz w:val="26"/>
          <w:szCs w:val="26"/>
        </w:rPr>
      </w:pPr>
    </w:p>
    <w:p w:rsidR="00CF23F4" w:rsidRDefault="0014165C" w:rsidP="00CF23F4">
      <w:pPr>
        <w:pStyle w:val="p2"/>
        <w:keepNext/>
        <w:widowControl/>
        <w:spacing w:line="360" w:lineRule="auto"/>
        <w:ind w:firstLine="0"/>
        <w:jc w:val="center"/>
        <w:rPr>
          <w:b/>
          <w:sz w:val="26"/>
          <w:szCs w:val="26"/>
        </w:rPr>
      </w:pPr>
      <w:r>
        <w:rPr>
          <w:b/>
          <w:sz w:val="26"/>
          <w:szCs w:val="26"/>
        </w:rPr>
        <w:lastRenderedPageBreak/>
        <w:t>UGI-CPG</w:t>
      </w:r>
      <w:r w:rsidR="001069CB">
        <w:rPr>
          <w:b/>
          <w:sz w:val="26"/>
          <w:szCs w:val="26"/>
        </w:rPr>
        <w:t>’s</w:t>
      </w:r>
      <w:r w:rsidR="00CF23F4" w:rsidRPr="00062E21">
        <w:rPr>
          <w:b/>
          <w:sz w:val="26"/>
          <w:szCs w:val="26"/>
        </w:rPr>
        <w:t xml:space="preserve"> L</w:t>
      </w:r>
      <w:r w:rsidR="00CF23F4">
        <w:rPr>
          <w:b/>
          <w:sz w:val="26"/>
          <w:szCs w:val="26"/>
        </w:rPr>
        <w:t>TIIP PETITION</w:t>
      </w:r>
    </w:p>
    <w:p w:rsidR="00CF23F4" w:rsidRDefault="00CF23F4" w:rsidP="00CF23F4">
      <w:pPr>
        <w:pStyle w:val="p2"/>
        <w:keepNext/>
        <w:widowControl/>
        <w:spacing w:line="360" w:lineRule="auto"/>
        <w:ind w:firstLine="0"/>
        <w:jc w:val="center"/>
        <w:rPr>
          <w:b/>
          <w:sz w:val="26"/>
          <w:szCs w:val="26"/>
        </w:rPr>
      </w:pPr>
    </w:p>
    <w:p w:rsidR="00CF23F4" w:rsidRDefault="0014165C" w:rsidP="00CF23F4">
      <w:pPr>
        <w:pStyle w:val="p2"/>
        <w:keepNext/>
        <w:widowControl/>
        <w:spacing w:line="360" w:lineRule="auto"/>
        <w:ind w:firstLine="0"/>
        <w:rPr>
          <w:b/>
          <w:sz w:val="26"/>
          <w:szCs w:val="26"/>
        </w:rPr>
      </w:pPr>
      <w:r>
        <w:rPr>
          <w:b/>
          <w:sz w:val="26"/>
          <w:szCs w:val="26"/>
        </w:rPr>
        <w:t>UGI-CPG</w:t>
      </w:r>
      <w:r w:rsidR="001069CB">
        <w:rPr>
          <w:b/>
          <w:sz w:val="26"/>
          <w:szCs w:val="26"/>
        </w:rPr>
        <w:t>’s</w:t>
      </w:r>
      <w:r w:rsidR="00CF23F4">
        <w:rPr>
          <w:b/>
          <w:sz w:val="26"/>
          <w:szCs w:val="26"/>
        </w:rPr>
        <w:t xml:space="preserve"> Petition</w:t>
      </w:r>
    </w:p>
    <w:p w:rsidR="00CF23F4" w:rsidRDefault="00CF23F4" w:rsidP="00CF23F4">
      <w:pPr>
        <w:pStyle w:val="p2"/>
        <w:spacing w:line="360" w:lineRule="auto"/>
        <w:ind w:firstLine="0"/>
        <w:rPr>
          <w:sz w:val="26"/>
          <w:szCs w:val="26"/>
        </w:rPr>
      </w:pPr>
    </w:p>
    <w:p w:rsidR="00004EC7" w:rsidRDefault="00CF23F4" w:rsidP="00515A16">
      <w:pPr>
        <w:pStyle w:val="p2"/>
        <w:spacing w:line="360" w:lineRule="auto"/>
        <w:ind w:firstLine="1440"/>
        <w:rPr>
          <w:sz w:val="26"/>
          <w:szCs w:val="26"/>
        </w:rPr>
      </w:pPr>
      <w:r>
        <w:rPr>
          <w:sz w:val="26"/>
          <w:szCs w:val="26"/>
        </w:rPr>
        <w:t>Before the Commission for consideration is the Petition for approval</w:t>
      </w:r>
      <w:r w:rsidR="004914E9">
        <w:rPr>
          <w:sz w:val="26"/>
          <w:szCs w:val="26"/>
        </w:rPr>
        <w:t xml:space="preserve"> of</w:t>
      </w:r>
      <w:r>
        <w:rPr>
          <w:sz w:val="26"/>
          <w:szCs w:val="26"/>
        </w:rPr>
        <w:t xml:space="preserve"> </w:t>
      </w:r>
      <w:r w:rsidR="0014165C">
        <w:rPr>
          <w:sz w:val="26"/>
          <w:szCs w:val="26"/>
        </w:rPr>
        <w:t>UGI-CPG</w:t>
      </w:r>
      <w:r w:rsidR="00004EC7">
        <w:rPr>
          <w:sz w:val="26"/>
          <w:szCs w:val="26"/>
        </w:rPr>
        <w:t>’s</w:t>
      </w:r>
      <w:r w:rsidR="00515A16">
        <w:rPr>
          <w:sz w:val="26"/>
          <w:szCs w:val="26"/>
        </w:rPr>
        <w:t xml:space="preserve"> LTIIP, </w:t>
      </w:r>
      <w:r w:rsidR="00004EC7">
        <w:rPr>
          <w:sz w:val="26"/>
          <w:szCs w:val="26"/>
        </w:rPr>
        <w:t>filed on December 12</w:t>
      </w:r>
      <w:r>
        <w:rPr>
          <w:sz w:val="26"/>
          <w:szCs w:val="26"/>
        </w:rPr>
        <w:t>, 2013</w:t>
      </w:r>
      <w:r w:rsidR="00515A16">
        <w:rPr>
          <w:sz w:val="26"/>
          <w:szCs w:val="26"/>
        </w:rPr>
        <w:t xml:space="preserve">.  Act 11 states that as a precondition to the implementation of a DSIC, a utility must file a LTIIP with the Commission that is consistent with 66 Pa. C.S. </w:t>
      </w:r>
      <w:r w:rsidR="00515A16" w:rsidRPr="002B3E34">
        <w:rPr>
          <w:iCs/>
          <w:sz w:val="26"/>
          <w:szCs w:val="26"/>
        </w:rPr>
        <w:t>§</w:t>
      </w:r>
      <w:r w:rsidR="00515A16">
        <w:rPr>
          <w:sz w:val="26"/>
          <w:szCs w:val="26"/>
        </w:rPr>
        <w:t>1352.</w:t>
      </w:r>
    </w:p>
    <w:p w:rsidR="00004EC7" w:rsidRDefault="00004EC7" w:rsidP="00515A16">
      <w:pPr>
        <w:pStyle w:val="p2"/>
        <w:spacing w:line="360" w:lineRule="auto"/>
        <w:ind w:firstLine="1440"/>
        <w:rPr>
          <w:sz w:val="26"/>
          <w:szCs w:val="26"/>
        </w:rPr>
      </w:pPr>
    </w:p>
    <w:p w:rsidR="00004EC7" w:rsidRDefault="0014165C" w:rsidP="00004EC7">
      <w:pPr>
        <w:pStyle w:val="p2"/>
        <w:widowControl/>
        <w:spacing w:line="360" w:lineRule="auto"/>
        <w:ind w:firstLine="1440"/>
        <w:rPr>
          <w:sz w:val="26"/>
          <w:szCs w:val="26"/>
        </w:rPr>
      </w:pPr>
      <w:r>
        <w:rPr>
          <w:sz w:val="26"/>
          <w:szCs w:val="26"/>
        </w:rPr>
        <w:t>UGI-CPG</w:t>
      </w:r>
      <w:r w:rsidR="00004EC7">
        <w:rPr>
          <w:sz w:val="26"/>
          <w:szCs w:val="26"/>
        </w:rPr>
        <w:t xml:space="preserve">’s LTIIP is a five year plan.  </w:t>
      </w:r>
      <w:r>
        <w:rPr>
          <w:sz w:val="26"/>
          <w:szCs w:val="26"/>
        </w:rPr>
        <w:t>UGI-CPG</w:t>
      </w:r>
      <w:r w:rsidR="00004EC7">
        <w:rPr>
          <w:sz w:val="26"/>
          <w:szCs w:val="26"/>
        </w:rPr>
        <w:t xml:space="preserve"> plans to replace its cast iron mains within 14 years and its bare steel mains within thirty years.  </w:t>
      </w:r>
      <w:r>
        <w:rPr>
          <w:sz w:val="26"/>
          <w:szCs w:val="26"/>
        </w:rPr>
        <w:t>UGI-CPG</w:t>
      </w:r>
      <w:r w:rsidR="00004EC7">
        <w:rPr>
          <w:sz w:val="26"/>
          <w:szCs w:val="26"/>
        </w:rPr>
        <w:t xml:space="preserve">’s projected annual investments in distribution infrastructure replacement will be approximately </w:t>
      </w:r>
      <w:r w:rsidR="00A623A5">
        <w:rPr>
          <w:sz w:val="26"/>
          <w:szCs w:val="26"/>
        </w:rPr>
        <w:t>$11.0 million beginning in fiscal year 2014, ramping up to $15.0 million in fiscal year 2017.</w:t>
      </w:r>
      <w:r w:rsidR="00004EC7">
        <w:rPr>
          <w:sz w:val="26"/>
          <w:szCs w:val="26"/>
        </w:rPr>
        <w:t xml:space="preserve">  This includes cast iron and bare steel main replacement, as well as service replacements.</w:t>
      </w:r>
    </w:p>
    <w:p w:rsidR="00004EC7" w:rsidRDefault="00004EC7" w:rsidP="00004EC7">
      <w:pPr>
        <w:pStyle w:val="p2"/>
        <w:widowControl/>
        <w:spacing w:line="360" w:lineRule="auto"/>
        <w:ind w:firstLine="1440"/>
        <w:rPr>
          <w:sz w:val="26"/>
          <w:szCs w:val="26"/>
        </w:rPr>
      </w:pPr>
    </w:p>
    <w:p w:rsidR="00343E93" w:rsidRDefault="0014165C" w:rsidP="00A118DF">
      <w:pPr>
        <w:pStyle w:val="p2"/>
        <w:spacing w:line="360" w:lineRule="auto"/>
        <w:ind w:firstLine="1440"/>
        <w:rPr>
          <w:sz w:val="26"/>
          <w:szCs w:val="26"/>
        </w:rPr>
      </w:pPr>
      <w:r>
        <w:rPr>
          <w:sz w:val="26"/>
          <w:szCs w:val="26"/>
        </w:rPr>
        <w:t>UGI-CPG</w:t>
      </w:r>
      <w:r w:rsidR="00004EC7" w:rsidRPr="004A7155">
        <w:rPr>
          <w:sz w:val="26"/>
          <w:szCs w:val="26"/>
        </w:rPr>
        <w:t xml:space="preserve"> states that it performs an annual review to identify the highest risk pipe segments and prioritizes those replacements each year.  </w:t>
      </w:r>
      <w:r w:rsidR="008505B2">
        <w:rPr>
          <w:sz w:val="26"/>
          <w:szCs w:val="26"/>
        </w:rPr>
        <w:t>The Company</w:t>
      </w:r>
      <w:r w:rsidR="00004EC7" w:rsidRPr="004A7155">
        <w:rPr>
          <w:sz w:val="26"/>
          <w:szCs w:val="26"/>
        </w:rPr>
        <w:t xml:space="preserve"> utilizes commercial risk evaluation software along with a team of Subject Matter Experts to evaluate, prioritize, and bundle replacement projects.  </w:t>
      </w:r>
      <w:r>
        <w:rPr>
          <w:sz w:val="26"/>
          <w:szCs w:val="26"/>
        </w:rPr>
        <w:t>UGI-CPG</w:t>
      </w:r>
      <w:r w:rsidR="00004EC7" w:rsidRPr="004A7155">
        <w:rPr>
          <w:sz w:val="26"/>
          <w:szCs w:val="26"/>
        </w:rPr>
        <w:t xml:space="preserve"> avers that it targets the highest risk mains first while also balancing the need to maximize the efficient deployment of capital and resources.  </w:t>
      </w:r>
      <w:r>
        <w:rPr>
          <w:sz w:val="26"/>
          <w:szCs w:val="26"/>
        </w:rPr>
        <w:t>UGI-CPG</w:t>
      </w:r>
      <w:r w:rsidR="00004EC7" w:rsidRPr="004A7155">
        <w:rPr>
          <w:sz w:val="26"/>
          <w:szCs w:val="26"/>
        </w:rPr>
        <w:t xml:space="preserve"> states that its approach is consistent with the </w:t>
      </w:r>
      <w:r>
        <w:rPr>
          <w:sz w:val="26"/>
          <w:szCs w:val="26"/>
        </w:rPr>
        <w:t>UGI-CPG</w:t>
      </w:r>
      <w:r w:rsidR="00004EC7" w:rsidRPr="004A7155">
        <w:rPr>
          <w:sz w:val="26"/>
          <w:szCs w:val="26"/>
        </w:rPr>
        <w:t xml:space="preserve"> Transmission Integrity Management Program (TIMP) and Distribution Integrity</w:t>
      </w:r>
      <w:r w:rsidR="008505B2">
        <w:rPr>
          <w:sz w:val="26"/>
          <w:szCs w:val="26"/>
        </w:rPr>
        <w:t xml:space="preserve"> Management Program (DIMP), and</w:t>
      </w:r>
      <w:r w:rsidR="00004EC7" w:rsidRPr="004A7155">
        <w:rPr>
          <w:sz w:val="26"/>
          <w:szCs w:val="26"/>
        </w:rPr>
        <w:t xml:space="preserve"> </w:t>
      </w:r>
      <w:r w:rsidR="00A118DF">
        <w:rPr>
          <w:sz w:val="26"/>
          <w:szCs w:val="26"/>
        </w:rPr>
        <w:t>provides that the purpose of its</w:t>
      </w:r>
      <w:r w:rsidR="00004EC7" w:rsidRPr="004A7155">
        <w:rPr>
          <w:sz w:val="26"/>
          <w:szCs w:val="26"/>
        </w:rPr>
        <w:t xml:space="preserve"> TIMP and DIMP </w:t>
      </w:r>
      <w:r w:rsidR="00004EC7">
        <w:rPr>
          <w:sz w:val="26"/>
          <w:szCs w:val="26"/>
        </w:rPr>
        <w:t>is</w:t>
      </w:r>
      <w:r w:rsidR="00004EC7" w:rsidRPr="004A7155">
        <w:rPr>
          <w:sz w:val="26"/>
          <w:szCs w:val="26"/>
        </w:rPr>
        <w:t xml:space="preserve"> to enhance public safety by identifying risks, assessing and prioritizing the risks, and implement additional and accelerated action</w:t>
      </w:r>
      <w:r w:rsidR="00004EC7">
        <w:rPr>
          <w:sz w:val="26"/>
          <w:szCs w:val="26"/>
        </w:rPr>
        <w:t>s or preventative and mitigating</w:t>
      </w:r>
      <w:r w:rsidR="00004EC7" w:rsidRPr="004A7155">
        <w:rPr>
          <w:sz w:val="26"/>
          <w:szCs w:val="26"/>
        </w:rPr>
        <w:t xml:space="preserve"> measures to reduce risks.</w:t>
      </w:r>
      <w:r w:rsidR="00CF23F4">
        <w:rPr>
          <w:sz w:val="26"/>
          <w:szCs w:val="26"/>
        </w:rPr>
        <w:t xml:space="preserve">  </w:t>
      </w:r>
    </w:p>
    <w:p w:rsidR="00343E93" w:rsidRDefault="00343E93" w:rsidP="00343E93">
      <w:pPr>
        <w:spacing w:line="360" w:lineRule="auto"/>
        <w:rPr>
          <w:sz w:val="26"/>
          <w:szCs w:val="26"/>
        </w:rPr>
      </w:pPr>
    </w:p>
    <w:p w:rsidR="00343E93" w:rsidRPr="00EE6947" w:rsidRDefault="0014165C" w:rsidP="00075831">
      <w:pPr>
        <w:tabs>
          <w:tab w:val="left" w:pos="1440"/>
        </w:tabs>
        <w:spacing w:line="360" w:lineRule="auto"/>
        <w:ind w:firstLine="1440"/>
        <w:rPr>
          <w:sz w:val="26"/>
          <w:szCs w:val="26"/>
        </w:rPr>
      </w:pPr>
      <w:r>
        <w:rPr>
          <w:sz w:val="26"/>
          <w:szCs w:val="26"/>
        </w:rPr>
        <w:t>UGI-CPG</w:t>
      </w:r>
      <w:r w:rsidR="00654CA2" w:rsidRPr="00EE6947">
        <w:rPr>
          <w:sz w:val="26"/>
          <w:szCs w:val="26"/>
        </w:rPr>
        <w:t xml:space="preserve"> owns and operates roughly</w:t>
      </w:r>
      <w:r w:rsidR="00343E93" w:rsidRPr="00EE6947">
        <w:rPr>
          <w:sz w:val="26"/>
          <w:szCs w:val="26"/>
        </w:rPr>
        <w:t xml:space="preserve"> </w:t>
      </w:r>
      <w:r w:rsidR="00CF7DD1">
        <w:rPr>
          <w:sz w:val="26"/>
          <w:szCs w:val="26"/>
        </w:rPr>
        <w:t>110</w:t>
      </w:r>
      <w:r w:rsidR="00343E93" w:rsidRPr="00EE6947">
        <w:rPr>
          <w:sz w:val="26"/>
          <w:szCs w:val="26"/>
        </w:rPr>
        <w:t xml:space="preserve"> miles of transmission pipeline</w:t>
      </w:r>
      <w:r w:rsidR="00654CA2" w:rsidRPr="00EE6947">
        <w:rPr>
          <w:sz w:val="26"/>
          <w:szCs w:val="26"/>
        </w:rPr>
        <w:t>,</w:t>
      </w:r>
      <w:r w:rsidR="00343E93" w:rsidRPr="00EE6947">
        <w:rPr>
          <w:sz w:val="26"/>
          <w:szCs w:val="26"/>
        </w:rPr>
        <w:t xml:space="preserve"> </w:t>
      </w:r>
      <w:r w:rsidR="00CF7DD1">
        <w:rPr>
          <w:sz w:val="26"/>
          <w:szCs w:val="26"/>
        </w:rPr>
        <w:lastRenderedPageBreak/>
        <w:t>3,7</w:t>
      </w:r>
      <w:r w:rsidR="00654CA2" w:rsidRPr="00EE6947">
        <w:rPr>
          <w:sz w:val="26"/>
          <w:szCs w:val="26"/>
        </w:rPr>
        <w:t>00</w:t>
      </w:r>
      <w:r w:rsidR="00343E93" w:rsidRPr="00EE6947">
        <w:rPr>
          <w:sz w:val="26"/>
          <w:szCs w:val="26"/>
        </w:rPr>
        <w:t xml:space="preserve"> miles of distribution pipeline</w:t>
      </w:r>
      <w:r w:rsidR="00CF7DD1">
        <w:rPr>
          <w:sz w:val="26"/>
          <w:szCs w:val="26"/>
        </w:rPr>
        <w:t>, and 81</w:t>
      </w:r>
      <w:r w:rsidR="00654CA2" w:rsidRPr="00EE6947">
        <w:rPr>
          <w:sz w:val="26"/>
          <w:szCs w:val="26"/>
        </w:rPr>
        <w:t>,000 service lines</w:t>
      </w:r>
      <w:r w:rsidR="00343E93" w:rsidRPr="00EE6947">
        <w:rPr>
          <w:sz w:val="26"/>
          <w:szCs w:val="26"/>
        </w:rPr>
        <w:t xml:space="preserve">.  Within this system, </w:t>
      </w:r>
      <w:r>
        <w:rPr>
          <w:sz w:val="26"/>
          <w:szCs w:val="26"/>
        </w:rPr>
        <w:t>UGI-CPG</w:t>
      </w:r>
      <w:r w:rsidR="00343E93" w:rsidRPr="00EE6947">
        <w:rPr>
          <w:sz w:val="26"/>
          <w:szCs w:val="26"/>
        </w:rPr>
        <w:t xml:space="preserve"> currently operates </w:t>
      </w:r>
      <w:r w:rsidR="005D0736">
        <w:rPr>
          <w:sz w:val="26"/>
          <w:szCs w:val="26"/>
        </w:rPr>
        <w:t>approximately nine</w:t>
      </w:r>
      <w:r w:rsidR="00A3440D" w:rsidRPr="00EE6947">
        <w:rPr>
          <w:sz w:val="26"/>
          <w:szCs w:val="26"/>
        </w:rPr>
        <w:t xml:space="preserve"> miles of cast iron pipeline, which is considered the highest risk category</w:t>
      </w:r>
      <w:r w:rsidR="005063C2" w:rsidRPr="00EE6947">
        <w:rPr>
          <w:sz w:val="26"/>
          <w:szCs w:val="26"/>
        </w:rPr>
        <w:t xml:space="preserve"> of pipeline within the Company’s system due to its relative age and vulnerability to breakage from ground movements.  Consequently, under its LTIIP, </w:t>
      </w:r>
      <w:r>
        <w:rPr>
          <w:sz w:val="26"/>
          <w:szCs w:val="26"/>
        </w:rPr>
        <w:t>UGI-CPG</w:t>
      </w:r>
      <w:r w:rsidR="005D0736">
        <w:rPr>
          <w:sz w:val="26"/>
          <w:szCs w:val="26"/>
        </w:rPr>
        <w:t xml:space="preserve"> plans to replace all nine</w:t>
      </w:r>
      <w:r w:rsidR="005063C2" w:rsidRPr="00EE6947">
        <w:rPr>
          <w:sz w:val="26"/>
          <w:szCs w:val="26"/>
        </w:rPr>
        <w:t xml:space="preserve"> miles of cast iron pipeline within its system over a 13-year period ending February of 2027.  </w:t>
      </w:r>
      <w:r w:rsidR="00343E93" w:rsidRPr="00EE6947">
        <w:rPr>
          <w:sz w:val="26"/>
          <w:szCs w:val="26"/>
        </w:rPr>
        <w:t xml:space="preserve">As a category, unprotected bare steel is </w:t>
      </w:r>
      <w:r>
        <w:rPr>
          <w:sz w:val="26"/>
          <w:szCs w:val="26"/>
        </w:rPr>
        <w:t>UGI-CPG</w:t>
      </w:r>
      <w:r w:rsidR="005063C2" w:rsidRPr="00EE6947">
        <w:rPr>
          <w:sz w:val="26"/>
          <w:szCs w:val="26"/>
        </w:rPr>
        <w:t>’s</w:t>
      </w:r>
      <w:r w:rsidR="00343E93" w:rsidRPr="00EE6947">
        <w:rPr>
          <w:sz w:val="26"/>
          <w:szCs w:val="26"/>
        </w:rPr>
        <w:t xml:space="preserve"> next highest risk pipe</w:t>
      </w:r>
      <w:r w:rsidR="005063C2" w:rsidRPr="00EE6947">
        <w:rPr>
          <w:sz w:val="26"/>
          <w:szCs w:val="26"/>
        </w:rPr>
        <w:t xml:space="preserve"> due to its propensity to be subject to corrosion, and as such, </w:t>
      </w:r>
      <w:r>
        <w:rPr>
          <w:sz w:val="26"/>
          <w:szCs w:val="26"/>
        </w:rPr>
        <w:t>UGI-CPG</w:t>
      </w:r>
      <w:r w:rsidR="005D0736">
        <w:rPr>
          <w:sz w:val="26"/>
          <w:szCs w:val="26"/>
        </w:rPr>
        <w:t xml:space="preserve"> plans to replace all 616</w:t>
      </w:r>
      <w:r w:rsidR="005063C2" w:rsidRPr="00EE6947">
        <w:rPr>
          <w:sz w:val="26"/>
          <w:szCs w:val="26"/>
        </w:rPr>
        <w:t xml:space="preserve"> miles of its bare steel and wrought iron</w:t>
      </w:r>
      <w:r w:rsidR="00EE6947">
        <w:rPr>
          <w:sz w:val="26"/>
          <w:szCs w:val="26"/>
        </w:rPr>
        <w:t xml:space="preserve"> pipelines</w:t>
      </w:r>
      <w:r w:rsidR="005063C2" w:rsidRPr="00EE6947">
        <w:rPr>
          <w:sz w:val="26"/>
          <w:szCs w:val="26"/>
        </w:rPr>
        <w:t xml:space="preserve"> by September of 2041 </w:t>
      </w:r>
    </w:p>
    <w:p w:rsidR="00343E93" w:rsidRPr="00EE6947" w:rsidRDefault="00343E93" w:rsidP="00343E93">
      <w:pPr>
        <w:pStyle w:val="p2"/>
        <w:spacing w:line="360" w:lineRule="auto"/>
        <w:ind w:firstLine="0"/>
        <w:rPr>
          <w:iCs/>
          <w:sz w:val="26"/>
          <w:szCs w:val="26"/>
        </w:rPr>
      </w:pPr>
    </w:p>
    <w:p w:rsidR="00343E93" w:rsidRPr="00EE6947" w:rsidRDefault="0014165C" w:rsidP="001069CB">
      <w:pPr>
        <w:pStyle w:val="p4"/>
        <w:tabs>
          <w:tab w:val="left" w:pos="0"/>
        </w:tabs>
        <w:spacing w:line="360" w:lineRule="auto"/>
        <w:ind w:firstLine="1440"/>
        <w:outlineLvl w:val="0"/>
        <w:rPr>
          <w:iCs/>
          <w:sz w:val="26"/>
          <w:szCs w:val="26"/>
        </w:rPr>
      </w:pPr>
      <w:r>
        <w:rPr>
          <w:iCs/>
          <w:sz w:val="26"/>
          <w:szCs w:val="26"/>
        </w:rPr>
        <w:t>UGI-CPG</w:t>
      </w:r>
      <w:r w:rsidR="00343E93" w:rsidRPr="00EE6947">
        <w:rPr>
          <w:iCs/>
          <w:sz w:val="26"/>
          <w:szCs w:val="26"/>
        </w:rPr>
        <w:t xml:space="preserve"> has also filed a petition at </w:t>
      </w:r>
      <w:r w:rsidR="005D0736">
        <w:rPr>
          <w:color w:val="0D0D0D" w:themeColor="text1" w:themeTint="F2"/>
          <w:sz w:val="26"/>
          <w:szCs w:val="26"/>
        </w:rPr>
        <w:t>P-2013-2398835</w:t>
      </w:r>
      <w:r w:rsidR="00343E93" w:rsidRPr="00EE6947">
        <w:rPr>
          <w:sz w:val="26"/>
          <w:szCs w:val="26"/>
        </w:rPr>
        <w:t xml:space="preserve"> </w:t>
      </w:r>
      <w:r w:rsidR="001069CB" w:rsidRPr="00EE6947">
        <w:rPr>
          <w:iCs/>
          <w:sz w:val="26"/>
          <w:szCs w:val="26"/>
        </w:rPr>
        <w:t xml:space="preserve">for approval of a DSIC.  </w:t>
      </w:r>
      <w:r w:rsidR="00343E93" w:rsidRPr="00EE6947">
        <w:rPr>
          <w:iCs/>
          <w:sz w:val="26"/>
          <w:szCs w:val="26"/>
        </w:rPr>
        <w:t xml:space="preserve">DSIC is a ratemaking mechanism that allows for the recovery of prudently incurred costs related to the repair, improvement and replacement of utility infrastructure through a surcharge on a timelier basis, subject to reconciliation, audit and other consumer protections.   </w:t>
      </w:r>
    </w:p>
    <w:p w:rsidR="00343E93" w:rsidRPr="00EE6947" w:rsidRDefault="00343E93" w:rsidP="00343E93">
      <w:pPr>
        <w:pStyle w:val="p2"/>
        <w:spacing w:line="360" w:lineRule="auto"/>
        <w:ind w:firstLine="0"/>
        <w:rPr>
          <w:sz w:val="26"/>
          <w:szCs w:val="26"/>
        </w:rPr>
      </w:pPr>
    </w:p>
    <w:p w:rsidR="006F1A41" w:rsidRDefault="00343E93" w:rsidP="00652094">
      <w:pPr>
        <w:pStyle w:val="p2"/>
        <w:spacing w:line="360" w:lineRule="auto"/>
        <w:ind w:firstLine="1440"/>
        <w:rPr>
          <w:sz w:val="26"/>
          <w:szCs w:val="26"/>
        </w:rPr>
      </w:pPr>
      <w:r w:rsidRPr="00EE6947">
        <w:rPr>
          <w:sz w:val="26"/>
          <w:szCs w:val="26"/>
        </w:rPr>
        <w:t xml:space="preserve">The LTIIP will allow </w:t>
      </w:r>
      <w:r w:rsidR="0014165C">
        <w:rPr>
          <w:sz w:val="26"/>
          <w:szCs w:val="26"/>
        </w:rPr>
        <w:t>UGI-CPG</w:t>
      </w:r>
      <w:r w:rsidRPr="00EE6947">
        <w:rPr>
          <w:sz w:val="26"/>
          <w:szCs w:val="26"/>
        </w:rPr>
        <w:t xml:space="preserve"> to rep</w:t>
      </w:r>
      <w:r w:rsidR="005D0736">
        <w:rPr>
          <w:sz w:val="26"/>
          <w:szCs w:val="26"/>
        </w:rPr>
        <w:t xml:space="preserve">lace an average of over </w:t>
      </w:r>
      <w:r w:rsidR="00EE6947">
        <w:rPr>
          <w:sz w:val="26"/>
          <w:szCs w:val="26"/>
        </w:rPr>
        <w:t>1</w:t>
      </w:r>
      <w:r w:rsidRPr="00EE6947">
        <w:rPr>
          <w:sz w:val="26"/>
          <w:szCs w:val="26"/>
        </w:rPr>
        <w:t xml:space="preserve">7 miles of pipeline per year during the five-year period of the LTIIP.  Further, </w:t>
      </w:r>
      <w:r w:rsidR="0014165C">
        <w:rPr>
          <w:sz w:val="26"/>
          <w:szCs w:val="26"/>
        </w:rPr>
        <w:t>UGI-CPG</w:t>
      </w:r>
      <w:r w:rsidR="00EE6947">
        <w:rPr>
          <w:sz w:val="26"/>
          <w:szCs w:val="26"/>
        </w:rPr>
        <w:t xml:space="preserve"> plans to spend nearly</w:t>
      </w:r>
      <w:r w:rsidRPr="00EE6947">
        <w:rPr>
          <w:sz w:val="26"/>
          <w:szCs w:val="26"/>
        </w:rPr>
        <w:t xml:space="preserve"> $</w:t>
      </w:r>
      <w:r w:rsidR="00FD6E0D">
        <w:rPr>
          <w:sz w:val="26"/>
          <w:szCs w:val="26"/>
        </w:rPr>
        <w:t>14</w:t>
      </w:r>
      <w:r w:rsidRPr="00EE6947">
        <w:rPr>
          <w:sz w:val="26"/>
          <w:szCs w:val="26"/>
        </w:rPr>
        <w:t xml:space="preserve"> million </w:t>
      </w:r>
      <w:r w:rsidR="00EE6947">
        <w:rPr>
          <w:sz w:val="26"/>
          <w:szCs w:val="26"/>
        </w:rPr>
        <w:t xml:space="preserve">per year on pipeline replacements, </w:t>
      </w:r>
      <w:r w:rsidRPr="00EE6947">
        <w:rPr>
          <w:sz w:val="26"/>
          <w:szCs w:val="26"/>
        </w:rPr>
        <w:t xml:space="preserve">service </w:t>
      </w:r>
      <w:r w:rsidR="00EE6947">
        <w:rPr>
          <w:sz w:val="26"/>
          <w:szCs w:val="26"/>
        </w:rPr>
        <w:t>line improvements</w:t>
      </w:r>
      <w:r w:rsidRPr="00EE6947">
        <w:rPr>
          <w:sz w:val="26"/>
          <w:szCs w:val="26"/>
        </w:rPr>
        <w:t xml:space="preserve">, </w:t>
      </w:r>
      <w:r w:rsidR="00EE6947">
        <w:rPr>
          <w:sz w:val="26"/>
          <w:szCs w:val="26"/>
        </w:rPr>
        <w:t xml:space="preserve">and safety device installations, </w:t>
      </w:r>
      <w:r w:rsidRPr="00EE6947">
        <w:rPr>
          <w:sz w:val="26"/>
          <w:szCs w:val="26"/>
        </w:rPr>
        <w:t>over the five-year period of the plan.</w:t>
      </w:r>
      <w:r w:rsidR="007A21D6">
        <w:rPr>
          <w:sz w:val="26"/>
          <w:szCs w:val="26"/>
        </w:rPr>
        <w:t xml:space="preserve"> </w:t>
      </w:r>
    </w:p>
    <w:p w:rsidR="006F1A41" w:rsidRDefault="006F1A41" w:rsidP="00CF23F4">
      <w:pPr>
        <w:pStyle w:val="p2"/>
        <w:spacing w:line="360" w:lineRule="auto"/>
        <w:ind w:firstLine="0"/>
        <w:rPr>
          <w:sz w:val="26"/>
          <w:szCs w:val="26"/>
        </w:rPr>
      </w:pPr>
    </w:p>
    <w:p w:rsidR="00CF23F4" w:rsidRDefault="00CF23F4" w:rsidP="00064F4B">
      <w:pPr>
        <w:pStyle w:val="p2"/>
        <w:tabs>
          <w:tab w:val="left" w:pos="720"/>
        </w:tabs>
        <w:spacing w:line="360" w:lineRule="auto"/>
        <w:ind w:firstLine="1440"/>
        <w:rPr>
          <w:sz w:val="26"/>
          <w:szCs w:val="26"/>
        </w:rPr>
      </w:pPr>
      <w:r w:rsidRPr="00433795">
        <w:rPr>
          <w:sz w:val="26"/>
          <w:szCs w:val="26"/>
        </w:rPr>
        <w:t xml:space="preserve">On March 14, 2013, </w:t>
      </w:r>
      <w:r>
        <w:rPr>
          <w:sz w:val="26"/>
          <w:szCs w:val="26"/>
        </w:rPr>
        <w:t>the Commission issued a proposed rulemaking on</w:t>
      </w:r>
      <w:r w:rsidR="00882412">
        <w:rPr>
          <w:sz w:val="26"/>
          <w:szCs w:val="26"/>
        </w:rPr>
        <w:t xml:space="preserve"> the </w:t>
      </w:r>
      <w:r>
        <w:rPr>
          <w:sz w:val="26"/>
          <w:szCs w:val="26"/>
        </w:rPr>
        <w:t>LTIIP at L</w:t>
      </w:r>
      <w:r w:rsidR="00652094">
        <w:rPr>
          <w:sz w:val="26"/>
          <w:szCs w:val="26"/>
        </w:rPr>
        <w:noBreakHyphen/>
      </w:r>
      <w:r>
        <w:rPr>
          <w:sz w:val="26"/>
          <w:szCs w:val="26"/>
        </w:rPr>
        <w:t>2012</w:t>
      </w:r>
      <w:r w:rsidR="00652094">
        <w:rPr>
          <w:sz w:val="26"/>
          <w:szCs w:val="26"/>
        </w:rPr>
        <w:noBreakHyphen/>
      </w:r>
      <w:r>
        <w:rPr>
          <w:sz w:val="26"/>
          <w:szCs w:val="26"/>
        </w:rPr>
        <w:t xml:space="preserve">2317274.  The proposed rulemaking acknowledged the Commission’s decision against establishing a separate Pipeline Replacement and Performance Plan filing process at Docket </w:t>
      </w:r>
      <w:r w:rsidR="00882412">
        <w:rPr>
          <w:sz w:val="26"/>
          <w:szCs w:val="26"/>
        </w:rPr>
        <w:t xml:space="preserve">No. </w:t>
      </w:r>
      <w:r>
        <w:rPr>
          <w:sz w:val="26"/>
          <w:szCs w:val="26"/>
        </w:rPr>
        <w:t>M</w:t>
      </w:r>
      <w:r w:rsidR="00652094">
        <w:rPr>
          <w:sz w:val="26"/>
          <w:szCs w:val="26"/>
        </w:rPr>
        <w:noBreakHyphen/>
      </w:r>
      <w:r>
        <w:rPr>
          <w:sz w:val="26"/>
          <w:szCs w:val="26"/>
        </w:rPr>
        <w:t>2011</w:t>
      </w:r>
      <w:r w:rsidR="00652094">
        <w:rPr>
          <w:sz w:val="26"/>
          <w:szCs w:val="26"/>
        </w:rPr>
        <w:noBreakHyphen/>
      </w:r>
      <w:r>
        <w:rPr>
          <w:sz w:val="26"/>
          <w:szCs w:val="26"/>
        </w:rPr>
        <w:t xml:space="preserve">2271982, because it would be duplicative of the Act 11 DSIC regulatory process, specifically, the filing of LTIIPs.  The Commission, nevertheless, determined that it would rather order additional actions from NGDCs if necessary, in order to safeguard the public.  The Commission also acknowledged that the implementation of a DSIC mechanism may lead to numerous construction projects by the </w:t>
      </w:r>
      <w:r>
        <w:rPr>
          <w:sz w:val="26"/>
          <w:szCs w:val="26"/>
        </w:rPr>
        <w:lastRenderedPageBreak/>
        <w:t>uti</w:t>
      </w:r>
      <w:r w:rsidR="007A21D6">
        <w:rPr>
          <w:sz w:val="26"/>
          <w:szCs w:val="26"/>
        </w:rPr>
        <w:t xml:space="preserve">lities.  The Commission is </w:t>
      </w:r>
      <w:r>
        <w:rPr>
          <w:sz w:val="26"/>
          <w:szCs w:val="26"/>
        </w:rPr>
        <w:t>aware that these construction projects could lead to significant disruptions as utilities perform work in the right of ways of the roadways and streets across the Commonwealth in order to repair or replace their infrastructure.  Therefore, the Commission has directed, by w</w:t>
      </w:r>
      <w:r w:rsidR="007A21D6">
        <w:rPr>
          <w:sz w:val="26"/>
          <w:szCs w:val="26"/>
        </w:rPr>
        <w:t xml:space="preserve">ay of the proposed rulemaking, </w:t>
      </w:r>
      <w:r>
        <w:rPr>
          <w:sz w:val="26"/>
          <w:szCs w:val="26"/>
        </w:rPr>
        <w:t>that a utility, as part of its LTIIP, should provide a description of its outreach and coordination activities with other utilities, Pennsylvania Department of Transportation (</w:t>
      </w:r>
      <w:proofErr w:type="spellStart"/>
      <w:r>
        <w:rPr>
          <w:sz w:val="26"/>
          <w:szCs w:val="26"/>
        </w:rPr>
        <w:t>PennDOT</w:t>
      </w:r>
      <w:proofErr w:type="spellEnd"/>
      <w:r>
        <w:rPr>
          <w:sz w:val="26"/>
          <w:szCs w:val="26"/>
        </w:rPr>
        <w:t>)</w:t>
      </w:r>
      <w:r w:rsidR="007A21D6">
        <w:rPr>
          <w:sz w:val="26"/>
          <w:szCs w:val="26"/>
        </w:rPr>
        <w:t>,</w:t>
      </w:r>
      <w:r>
        <w:rPr>
          <w:sz w:val="26"/>
          <w:szCs w:val="26"/>
        </w:rPr>
        <w:t xml:space="preserve"> and local governments regarding their planned maintenance/construction projects and roadways that may be impacted by the plan.  </w:t>
      </w:r>
    </w:p>
    <w:p w:rsidR="001069CB" w:rsidRDefault="001069CB" w:rsidP="00064F4B">
      <w:pPr>
        <w:pStyle w:val="p2"/>
        <w:tabs>
          <w:tab w:val="left" w:pos="720"/>
        </w:tabs>
        <w:spacing w:line="360" w:lineRule="auto"/>
        <w:ind w:firstLine="1440"/>
        <w:rPr>
          <w:sz w:val="26"/>
          <w:szCs w:val="26"/>
        </w:rPr>
      </w:pPr>
    </w:p>
    <w:p w:rsidR="00CF23F4" w:rsidRDefault="007A21D6" w:rsidP="00652094">
      <w:pPr>
        <w:pStyle w:val="p2"/>
        <w:spacing w:line="360" w:lineRule="auto"/>
        <w:ind w:firstLine="1440"/>
        <w:rPr>
          <w:sz w:val="26"/>
          <w:szCs w:val="26"/>
        </w:rPr>
      </w:pPr>
      <w:r>
        <w:rPr>
          <w:sz w:val="26"/>
          <w:szCs w:val="26"/>
        </w:rPr>
        <w:t>As a result</w:t>
      </w:r>
      <w:r w:rsidR="00CF23F4">
        <w:rPr>
          <w:sz w:val="26"/>
          <w:szCs w:val="26"/>
        </w:rPr>
        <w:t xml:space="preserve">, the proposed rulemaking added an additional element, thereby increasing the </w:t>
      </w:r>
      <w:r w:rsidR="00515A16">
        <w:rPr>
          <w:sz w:val="26"/>
          <w:szCs w:val="26"/>
        </w:rPr>
        <w:t xml:space="preserve">original </w:t>
      </w:r>
      <w:r w:rsidR="00CF23F4">
        <w:rPr>
          <w:sz w:val="26"/>
          <w:szCs w:val="26"/>
        </w:rPr>
        <w:t xml:space="preserve">seven elements in the LTIIP to eight as shown below:   </w:t>
      </w:r>
    </w:p>
    <w:p w:rsidR="00CF23F4" w:rsidRDefault="00CF23F4" w:rsidP="00CF23F4">
      <w:pPr>
        <w:pStyle w:val="p2"/>
        <w:spacing w:line="360" w:lineRule="auto"/>
        <w:ind w:firstLine="0"/>
        <w:rPr>
          <w:sz w:val="26"/>
          <w:szCs w:val="26"/>
        </w:rPr>
      </w:pPr>
    </w:p>
    <w:p w:rsidR="00CF23F4" w:rsidRPr="002B3E34" w:rsidRDefault="00CF23F4" w:rsidP="00CF23F4">
      <w:pPr>
        <w:pStyle w:val="p7"/>
        <w:numPr>
          <w:ilvl w:val="0"/>
          <w:numId w:val="11"/>
        </w:numPr>
        <w:tabs>
          <w:tab w:val="clear" w:pos="1133"/>
          <w:tab w:val="left" w:pos="720"/>
          <w:tab w:val="left" w:pos="1440"/>
        </w:tabs>
        <w:spacing w:line="360" w:lineRule="auto"/>
        <w:ind w:left="810" w:firstLine="0"/>
        <w:jc w:val="both"/>
        <w:rPr>
          <w:sz w:val="26"/>
          <w:szCs w:val="26"/>
        </w:rPr>
      </w:pPr>
      <w:r>
        <w:rPr>
          <w:sz w:val="26"/>
          <w:szCs w:val="26"/>
        </w:rPr>
        <w:t>Types and age of eligible property;</w:t>
      </w:r>
    </w:p>
    <w:p w:rsidR="00CF23F4" w:rsidRDefault="00CF23F4" w:rsidP="00CF23F4">
      <w:pPr>
        <w:pStyle w:val="p7"/>
        <w:numPr>
          <w:ilvl w:val="0"/>
          <w:numId w:val="11"/>
        </w:numPr>
        <w:tabs>
          <w:tab w:val="clear" w:pos="1133"/>
          <w:tab w:val="left" w:pos="720"/>
          <w:tab w:val="left" w:pos="1350"/>
          <w:tab w:val="left" w:pos="1440"/>
        </w:tabs>
        <w:spacing w:line="360" w:lineRule="auto"/>
        <w:ind w:hanging="540"/>
        <w:jc w:val="both"/>
        <w:rPr>
          <w:sz w:val="26"/>
          <w:szCs w:val="26"/>
        </w:rPr>
      </w:pPr>
      <w:r>
        <w:rPr>
          <w:sz w:val="26"/>
          <w:szCs w:val="26"/>
        </w:rPr>
        <w:t xml:space="preserve"> Schedule for its planned repair and replacement;</w:t>
      </w:r>
    </w:p>
    <w:p w:rsidR="00CF23F4" w:rsidRDefault="00CF23F4" w:rsidP="00CF23F4">
      <w:pPr>
        <w:pStyle w:val="p7"/>
        <w:numPr>
          <w:ilvl w:val="0"/>
          <w:numId w:val="11"/>
        </w:numPr>
        <w:tabs>
          <w:tab w:val="clear" w:pos="1133"/>
          <w:tab w:val="left" w:pos="720"/>
          <w:tab w:val="left" w:pos="1350"/>
          <w:tab w:val="left" w:pos="1440"/>
          <w:tab w:val="left" w:pos="1530"/>
        </w:tabs>
        <w:spacing w:line="360" w:lineRule="auto"/>
        <w:ind w:hanging="540"/>
        <w:jc w:val="both"/>
        <w:rPr>
          <w:sz w:val="26"/>
          <w:szCs w:val="26"/>
        </w:rPr>
      </w:pPr>
      <w:r w:rsidRPr="002B3E34">
        <w:rPr>
          <w:sz w:val="26"/>
          <w:szCs w:val="26"/>
        </w:rPr>
        <w:t xml:space="preserve"> </w:t>
      </w:r>
      <w:r>
        <w:rPr>
          <w:sz w:val="26"/>
          <w:szCs w:val="26"/>
        </w:rPr>
        <w:tab/>
        <w:t>Location of the eligible property;</w:t>
      </w:r>
    </w:p>
    <w:p w:rsidR="00CF23F4" w:rsidRDefault="00CF23F4" w:rsidP="00CF23F4">
      <w:pPr>
        <w:pStyle w:val="p7"/>
        <w:numPr>
          <w:ilvl w:val="0"/>
          <w:numId w:val="11"/>
        </w:numPr>
        <w:tabs>
          <w:tab w:val="clear" w:pos="1133"/>
          <w:tab w:val="left" w:pos="720"/>
          <w:tab w:val="left" w:pos="1350"/>
          <w:tab w:val="left" w:pos="1440"/>
          <w:tab w:val="left" w:pos="1530"/>
        </w:tabs>
        <w:spacing w:line="360" w:lineRule="auto"/>
        <w:ind w:left="1440" w:hanging="658"/>
        <w:jc w:val="both"/>
        <w:rPr>
          <w:sz w:val="26"/>
          <w:szCs w:val="26"/>
        </w:rPr>
      </w:pPr>
      <w:r>
        <w:rPr>
          <w:sz w:val="26"/>
          <w:szCs w:val="26"/>
        </w:rPr>
        <w:t xml:space="preserve"> Reasonable estimates of the quantity of property to be improved;</w:t>
      </w:r>
    </w:p>
    <w:p w:rsidR="00CF23F4" w:rsidRDefault="00CF23F4" w:rsidP="00CF23F4">
      <w:pPr>
        <w:pStyle w:val="p7"/>
        <w:numPr>
          <w:ilvl w:val="0"/>
          <w:numId w:val="11"/>
        </w:numPr>
        <w:tabs>
          <w:tab w:val="clear" w:pos="1133"/>
          <w:tab w:val="left" w:pos="720"/>
          <w:tab w:val="left" w:pos="1440"/>
          <w:tab w:val="left" w:pos="1530"/>
        </w:tabs>
        <w:spacing w:line="360" w:lineRule="auto"/>
        <w:ind w:left="1440" w:hanging="630"/>
        <w:rPr>
          <w:sz w:val="26"/>
          <w:szCs w:val="26"/>
        </w:rPr>
      </w:pPr>
      <w:r>
        <w:rPr>
          <w:sz w:val="26"/>
          <w:szCs w:val="26"/>
        </w:rPr>
        <w:t>Projected annual expenditures and measures to ensure that the plan is cost      effective;</w:t>
      </w:r>
    </w:p>
    <w:p w:rsidR="00CF23F4" w:rsidRDefault="00CF23F4" w:rsidP="00CF23F4">
      <w:pPr>
        <w:pStyle w:val="p7"/>
        <w:numPr>
          <w:ilvl w:val="0"/>
          <w:numId w:val="11"/>
        </w:numPr>
        <w:tabs>
          <w:tab w:val="clear" w:pos="782"/>
          <w:tab w:val="clear" w:pos="1133"/>
          <w:tab w:val="left" w:pos="720"/>
          <w:tab w:val="left" w:pos="1440"/>
          <w:tab w:val="left" w:pos="1530"/>
        </w:tabs>
        <w:spacing w:line="360" w:lineRule="auto"/>
        <w:ind w:left="1440" w:hanging="630"/>
        <w:rPr>
          <w:sz w:val="26"/>
          <w:szCs w:val="26"/>
        </w:rPr>
      </w:pPr>
      <w:r>
        <w:rPr>
          <w:sz w:val="26"/>
          <w:szCs w:val="26"/>
        </w:rPr>
        <w:t xml:space="preserve">Manner in which replacement of aging infrastructure will be accelerated and how repair, improvement or replacement will maintain safe and reliable </w:t>
      </w:r>
      <w:r w:rsidR="00515A16">
        <w:rPr>
          <w:sz w:val="26"/>
          <w:szCs w:val="26"/>
        </w:rPr>
        <w:t xml:space="preserve">service; </w:t>
      </w:r>
    </w:p>
    <w:p w:rsidR="00CF23F4" w:rsidRDefault="00515A16" w:rsidP="00CF23F4">
      <w:pPr>
        <w:pStyle w:val="p7"/>
        <w:numPr>
          <w:ilvl w:val="0"/>
          <w:numId w:val="11"/>
        </w:numPr>
        <w:tabs>
          <w:tab w:val="clear" w:pos="782"/>
          <w:tab w:val="clear" w:pos="1133"/>
          <w:tab w:val="left" w:pos="720"/>
          <w:tab w:val="left" w:pos="1440"/>
          <w:tab w:val="left" w:pos="1530"/>
        </w:tabs>
        <w:spacing w:line="360" w:lineRule="auto"/>
        <w:ind w:hanging="568"/>
        <w:rPr>
          <w:sz w:val="26"/>
          <w:szCs w:val="26"/>
        </w:rPr>
      </w:pPr>
      <w:r>
        <w:rPr>
          <w:sz w:val="26"/>
          <w:szCs w:val="26"/>
        </w:rPr>
        <w:t xml:space="preserve"> </w:t>
      </w:r>
      <w:r w:rsidR="00CF23F4">
        <w:rPr>
          <w:sz w:val="26"/>
          <w:szCs w:val="26"/>
        </w:rPr>
        <w:t xml:space="preserve">A workforce </w:t>
      </w:r>
      <w:r>
        <w:rPr>
          <w:sz w:val="26"/>
          <w:szCs w:val="26"/>
        </w:rPr>
        <w:t>management and training program; and</w:t>
      </w:r>
    </w:p>
    <w:p w:rsidR="00CF23F4" w:rsidRPr="00515A16" w:rsidRDefault="00CF23F4" w:rsidP="00515A16">
      <w:pPr>
        <w:pStyle w:val="p7"/>
        <w:numPr>
          <w:ilvl w:val="0"/>
          <w:numId w:val="11"/>
        </w:numPr>
        <w:tabs>
          <w:tab w:val="clear" w:pos="782"/>
          <w:tab w:val="clear" w:pos="1133"/>
          <w:tab w:val="left" w:pos="720"/>
          <w:tab w:val="left" w:pos="1440"/>
          <w:tab w:val="left" w:pos="1530"/>
        </w:tabs>
        <w:spacing w:line="360" w:lineRule="auto"/>
        <w:ind w:left="0" w:firstLine="782"/>
        <w:rPr>
          <w:sz w:val="26"/>
          <w:szCs w:val="26"/>
        </w:rPr>
      </w:pPr>
      <w:r>
        <w:rPr>
          <w:sz w:val="26"/>
          <w:szCs w:val="26"/>
        </w:rPr>
        <w:t xml:space="preserve">A description of a utility’s outreach and coordination activities with other </w:t>
      </w:r>
      <w:r w:rsidR="00515A16">
        <w:rPr>
          <w:sz w:val="26"/>
          <w:szCs w:val="26"/>
        </w:rPr>
        <w:tab/>
      </w:r>
      <w:r w:rsidR="00515A16">
        <w:rPr>
          <w:sz w:val="26"/>
          <w:szCs w:val="26"/>
        </w:rPr>
        <w:tab/>
      </w:r>
      <w:r w:rsidR="00515A16">
        <w:rPr>
          <w:sz w:val="26"/>
          <w:szCs w:val="26"/>
        </w:rPr>
        <w:tab/>
      </w:r>
      <w:r>
        <w:rPr>
          <w:sz w:val="26"/>
          <w:szCs w:val="26"/>
        </w:rPr>
        <w:t xml:space="preserve">utilities, </w:t>
      </w:r>
      <w:proofErr w:type="spellStart"/>
      <w:r>
        <w:rPr>
          <w:sz w:val="26"/>
          <w:szCs w:val="26"/>
        </w:rPr>
        <w:t>PennDOT</w:t>
      </w:r>
      <w:proofErr w:type="spellEnd"/>
      <w:r>
        <w:rPr>
          <w:sz w:val="26"/>
          <w:szCs w:val="26"/>
        </w:rPr>
        <w:t xml:space="preserve"> and local governments on planned </w:t>
      </w:r>
      <w:r w:rsidR="00515A16">
        <w:rPr>
          <w:sz w:val="26"/>
          <w:szCs w:val="26"/>
        </w:rPr>
        <w:tab/>
      </w:r>
      <w:r w:rsidR="00515A16">
        <w:rPr>
          <w:sz w:val="26"/>
          <w:szCs w:val="26"/>
        </w:rPr>
        <w:tab/>
      </w:r>
      <w:r w:rsidR="00515A16">
        <w:rPr>
          <w:sz w:val="26"/>
          <w:szCs w:val="26"/>
        </w:rPr>
        <w:tab/>
      </w:r>
      <w:r w:rsidR="00515A16">
        <w:rPr>
          <w:sz w:val="26"/>
          <w:szCs w:val="26"/>
        </w:rPr>
        <w:tab/>
      </w:r>
      <w:r w:rsidR="00515A16">
        <w:rPr>
          <w:sz w:val="26"/>
          <w:szCs w:val="26"/>
        </w:rPr>
        <w:tab/>
      </w:r>
      <w:r w:rsidR="00515A16">
        <w:rPr>
          <w:sz w:val="26"/>
          <w:szCs w:val="26"/>
        </w:rPr>
        <w:tab/>
      </w:r>
      <w:r>
        <w:rPr>
          <w:sz w:val="26"/>
          <w:szCs w:val="26"/>
        </w:rPr>
        <w:t>maintenance/construction projects.</w:t>
      </w:r>
    </w:p>
    <w:p w:rsidR="00CF23F4" w:rsidRDefault="00CF23F4" w:rsidP="00CF23F4">
      <w:pPr>
        <w:pStyle w:val="p2"/>
        <w:spacing w:line="360" w:lineRule="auto"/>
        <w:ind w:firstLine="0"/>
        <w:rPr>
          <w:sz w:val="26"/>
          <w:szCs w:val="26"/>
        </w:rPr>
      </w:pPr>
    </w:p>
    <w:p w:rsidR="00CF23F4" w:rsidRDefault="0014165C" w:rsidP="0020059C">
      <w:pPr>
        <w:pStyle w:val="p2"/>
        <w:spacing w:line="360" w:lineRule="auto"/>
        <w:ind w:firstLine="1440"/>
        <w:rPr>
          <w:sz w:val="26"/>
          <w:szCs w:val="26"/>
        </w:rPr>
      </w:pPr>
      <w:r>
        <w:rPr>
          <w:sz w:val="26"/>
          <w:szCs w:val="26"/>
        </w:rPr>
        <w:t>UGI-CPG</w:t>
      </w:r>
      <w:r w:rsidR="002E1175">
        <w:rPr>
          <w:sz w:val="26"/>
          <w:szCs w:val="26"/>
        </w:rPr>
        <w:t>’s</w:t>
      </w:r>
      <w:r w:rsidR="007A21D6">
        <w:rPr>
          <w:sz w:val="26"/>
          <w:szCs w:val="26"/>
        </w:rPr>
        <w:t xml:space="preserve"> LTIIP addressed these</w:t>
      </w:r>
      <w:r w:rsidR="00CF23F4">
        <w:rPr>
          <w:sz w:val="26"/>
          <w:szCs w:val="26"/>
        </w:rPr>
        <w:t xml:space="preserve"> eight elements as required in the Final Implementation Order of Act 11 and the proposed rulemaking of March 14, 2013</w:t>
      </w:r>
      <w:r w:rsidR="007A21D6">
        <w:rPr>
          <w:sz w:val="26"/>
          <w:szCs w:val="26"/>
        </w:rPr>
        <w:t>, as outlined below</w:t>
      </w:r>
      <w:r w:rsidR="00CF23F4">
        <w:rPr>
          <w:sz w:val="26"/>
          <w:szCs w:val="26"/>
        </w:rPr>
        <w:t>.</w:t>
      </w:r>
    </w:p>
    <w:p w:rsidR="00CF23F4" w:rsidRPr="000F5E3D" w:rsidRDefault="00CF23F4" w:rsidP="002576BB">
      <w:pPr>
        <w:pStyle w:val="p2"/>
        <w:numPr>
          <w:ilvl w:val="0"/>
          <w:numId w:val="25"/>
        </w:numPr>
        <w:tabs>
          <w:tab w:val="left" w:pos="720"/>
        </w:tabs>
        <w:spacing w:line="360" w:lineRule="auto"/>
        <w:rPr>
          <w:sz w:val="26"/>
          <w:szCs w:val="26"/>
        </w:rPr>
      </w:pPr>
      <w:r>
        <w:rPr>
          <w:b/>
          <w:sz w:val="26"/>
          <w:szCs w:val="26"/>
        </w:rPr>
        <w:lastRenderedPageBreak/>
        <w:t>TYPES AND AGE OF ELIGIBLE PROPERTY</w:t>
      </w:r>
    </w:p>
    <w:p w:rsidR="00CF23F4" w:rsidRDefault="00CF23F4" w:rsidP="00CF23F4">
      <w:pPr>
        <w:pStyle w:val="p2"/>
        <w:spacing w:line="360" w:lineRule="auto"/>
        <w:ind w:firstLine="0"/>
        <w:rPr>
          <w:sz w:val="26"/>
          <w:szCs w:val="26"/>
        </w:rPr>
      </w:pPr>
    </w:p>
    <w:p w:rsidR="00CF23F4" w:rsidRDefault="0014165C" w:rsidP="00CF23F4">
      <w:pPr>
        <w:pStyle w:val="p2"/>
        <w:tabs>
          <w:tab w:val="left" w:pos="720"/>
        </w:tabs>
        <w:spacing w:line="360" w:lineRule="auto"/>
        <w:ind w:firstLine="0"/>
        <w:rPr>
          <w:b/>
          <w:sz w:val="26"/>
          <w:szCs w:val="26"/>
        </w:rPr>
      </w:pPr>
      <w:r>
        <w:rPr>
          <w:b/>
          <w:sz w:val="26"/>
          <w:szCs w:val="26"/>
        </w:rPr>
        <w:t>UGI-CPG</w:t>
      </w:r>
      <w:r w:rsidR="00E54AEF">
        <w:rPr>
          <w:b/>
          <w:sz w:val="26"/>
          <w:szCs w:val="26"/>
        </w:rPr>
        <w:t>’s</w:t>
      </w:r>
      <w:r w:rsidR="002576BB">
        <w:rPr>
          <w:b/>
          <w:sz w:val="26"/>
          <w:szCs w:val="26"/>
        </w:rPr>
        <w:t xml:space="preserve"> Petition</w:t>
      </w:r>
    </w:p>
    <w:p w:rsidR="007412C2" w:rsidRDefault="007412C2" w:rsidP="004202C0">
      <w:pPr>
        <w:pStyle w:val="p2"/>
        <w:tabs>
          <w:tab w:val="left" w:pos="720"/>
        </w:tabs>
        <w:spacing w:line="360" w:lineRule="auto"/>
        <w:ind w:left="720" w:firstLine="0"/>
        <w:rPr>
          <w:b/>
          <w:sz w:val="26"/>
          <w:szCs w:val="26"/>
        </w:rPr>
      </w:pPr>
    </w:p>
    <w:p w:rsidR="004202C0" w:rsidRDefault="0014165C" w:rsidP="004202C0">
      <w:pPr>
        <w:pStyle w:val="p2"/>
        <w:widowControl/>
        <w:spacing w:line="360" w:lineRule="auto"/>
        <w:ind w:firstLine="1440"/>
        <w:rPr>
          <w:sz w:val="26"/>
          <w:szCs w:val="26"/>
        </w:rPr>
      </w:pPr>
      <w:r>
        <w:rPr>
          <w:sz w:val="26"/>
          <w:szCs w:val="26"/>
        </w:rPr>
        <w:t>UGI-CPG</w:t>
      </w:r>
      <w:r w:rsidR="004202C0">
        <w:rPr>
          <w:sz w:val="26"/>
          <w:szCs w:val="26"/>
        </w:rPr>
        <w:t xml:space="preserve"> proposes the following types of property as DSIC-eligible distribution infrastructure that will be replaced as part of its plan:</w:t>
      </w:r>
    </w:p>
    <w:p w:rsidR="004202C0" w:rsidRDefault="004202C0" w:rsidP="004202C0">
      <w:pPr>
        <w:pStyle w:val="p2"/>
        <w:widowControl/>
        <w:spacing w:line="360" w:lineRule="auto"/>
        <w:ind w:firstLine="1440"/>
        <w:rPr>
          <w:sz w:val="26"/>
          <w:szCs w:val="26"/>
        </w:rPr>
      </w:pPr>
    </w:p>
    <w:p w:rsidR="004202C0" w:rsidRDefault="004202C0" w:rsidP="004202C0">
      <w:pPr>
        <w:pStyle w:val="p2"/>
        <w:widowControl/>
        <w:numPr>
          <w:ilvl w:val="0"/>
          <w:numId w:val="36"/>
        </w:numPr>
        <w:spacing w:line="360" w:lineRule="auto"/>
        <w:rPr>
          <w:sz w:val="26"/>
          <w:szCs w:val="26"/>
        </w:rPr>
      </w:pPr>
      <w:r>
        <w:rPr>
          <w:sz w:val="26"/>
          <w:szCs w:val="26"/>
        </w:rPr>
        <w:t>Gas distribution &amp; transmission mains, valves, fittings, couplings, and appurtenances</w:t>
      </w:r>
    </w:p>
    <w:p w:rsidR="004202C0" w:rsidRDefault="004202C0" w:rsidP="004202C0">
      <w:pPr>
        <w:pStyle w:val="p2"/>
        <w:widowControl/>
        <w:numPr>
          <w:ilvl w:val="0"/>
          <w:numId w:val="36"/>
        </w:numPr>
        <w:spacing w:line="360" w:lineRule="auto"/>
        <w:rPr>
          <w:sz w:val="26"/>
          <w:szCs w:val="26"/>
        </w:rPr>
      </w:pPr>
      <w:r>
        <w:rPr>
          <w:sz w:val="26"/>
          <w:szCs w:val="26"/>
        </w:rPr>
        <w:t>Gas service lines including tees, excess flow valves, curb valves, first state regulators, tubing/piping, and risers</w:t>
      </w:r>
    </w:p>
    <w:p w:rsidR="004202C0" w:rsidRDefault="004202C0" w:rsidP="004202C0">
      <w:pPr>
        <w:pStyle w:val="p2"/>
        <w:widowControl/>
        <w:numPr>
          <w:ilvl w:val="0"/>
          <w:numId w:val="36"/>
        </w:numPr>
        <w:spacing w:line="360" w:lineRule="auto"/>
        <w:rPr>
          <w:sz w:val="26"/>
          <w:szCs w:val="26"/>
        </w:rPr>
      </w:pPr>
      <w:r>
        <w:rPr>
          <w:sz w:val="26"/>
          <w:szCs w:val="26"/>
        </w:rPr>
        <w:t>Gas meter sets including regulators, meter bars, meter set piping, meters, and telemetry</w:t>
      </w:r>
    </w:p>
    <w:p w:rsidR="004202C0" w:rsidRDefault="004202C0" w:rsidP="004202C0">
      <w:pPr>
        <w:pStyle w:val="p2"/>
        <w:widowControl/>
        <w:numPr>
          <w:ilvl w:val="0"/>
          <w:numId w:val="36"/>
        </w:numPr>
        <w:spacing w:line="360" w:lineRule="auto"/>
        <w:rPr>
          <w:sz w:val="26"/>
          <w:szCs w:val="26"/>
        </w:rPr>
      </w:pPr>
      <w:r>
        <w:rPr>
          <w:sz w:val="26"/>
          <w:szCs w:val="26"/>
        </w:rPr>
        <w:t>District regulator stations and city gate stations including telemetry</w:t>
      </w:r>
    </w:p>
    <w:p w:rsidR="004202C0" w:rsidRDefault="004202C0" w:rsidP="004202C0">
      <w:pPr>
        <w:pStyle w:val="p2"/>
        <w:widowControl/>
        <w:numPr>
          <w:ilvl w:val="0"/>
          <w:numId w:val="36"/>
        </w:numPr>
        <w:spacing w:line="360" w:lineRule="auto"/>
        <w:rPr>
          <w:sz w:val="26"/>
          <w:szCs w:val="26"/>
        </w:rPr>
      </w:pPr>
      <w:r>
        <w:rPr>
          <w:sz w:val="26"/>
          <w:szCs w:val="26"/>
        </w:rPr>
        <w:t>Mandated facility relocations, as related to highway projects (unreimbursed costs)</w:t>
      </w:r>
    </w:p>
    <w:p w:rsidR="004202C0" w:rsidRDefault="004202C0" w:rsidP="004202C0">
      <w:pPr>
        <w:pStyle w:val="p2"/>
        <w:widowControl/>
        <w:numPr>
          <w:ilvl w:val="0"/>
          <w:numId w:val="36"/>
        </w:numPr>
        <w:spacing w:line="360" w:lineRule="auto"/>
        <w:rPr>
          <w:sz w:val="26"/>
          <w:szCs w:val="26"/>
        </w:rPr>
      </w:pPr>
      <w:r>
        <w:rPr>
          <w:sz w:val="26"/>
          <w:szCs w:val="26"/>
        </w:rPr>
        <w:t>Related capitalized costs – equipment, tools, corrosion control equipment, vehicles, and supporting information technology</w:t>
      </w:r>
    </w:p>
    <w:p w:rsidR="004202C0" w:rsidRDefault="004202C0" w:rsidP="004202C0">
      <w:pPr>
        <w:pStyle w:val="p2"/>
        <w:widowControl/>
        <w:spacing w:line="360" w:lineRule="auto"/>
        <w:rPr>
          <w:sz w:val="26"/>
          <w:szCs w:val="26"/>
        </w:rPr>
      </w:pPr>
    </w:p>
    <w:p w:rsidR="004202C0" w:rsidRDefault="004202C0" w:rsidP="004202C0">
      <w:pPr>
        <w:pStyle w:val="p2"/>
        <w:widowControl/>
        <w:spacing w:line="360" w:lineRule="auto"/>
        <w:ind w:firstLine="0"/>
        <w:rPr>
          <w:sz w:val="26"/>
          <w:szCs w:val="26"/>
        </w:rPr>
      </w:pPr>
      <w:r w:rsidRPr="00EE1E3C">
        <w:rPr>
          <w:sz w:val="26"/>
          <w:szCs w:val="26"/>
          <w:u w:val="single"/>
        </w:rPr>
        <w:t>Distribution Mains:</w:t>
      </w:r>
      <w:r>
        <w:rPr>
          <w:sz w:val="26"/>
          <w:szCs w:val="26"/>
        </w:rPr>
        <w:t xml:space="preserve">  </w:t>
      </w:r>
      <w:r w:rsidRPr="00A302CF">
        <w:rPr>
          <w:sz w:val="26"/>
          <w:szCs w:val="26"/>
        </w:rPr>
        <w:t>As of December 31, 201</w:t>
      </w:r>
      <w:r>
        <w:rPr>
          <w:sz w:val="26"/>
          <w:szCs w:val="26"/>
        </w:rPr>
        <w:t>2</w:t>
      </w:r>
      <w:r w:rsidRPr="00A302CF">
        <w:rPr>
          <w:sz w:val="26"/>
          <w:szCs w:val="26"/>
        </w:rPr>
        <w:t xml:space="preserve">, </w:t>
      </w:r>
      <w:r w:rsidR="0014165C">
        <w:rPr>
          <w:sz w:val="26"/>
          <w:szCs w:val="26"/>
        </w:rPr>
        <w:t>UGI-CPG</w:t>
      </w:r>
      <w:r w:rsidR="0020059C">
        <w:rPr>
          <w:sz w:val="26"/>
          <w:szCs w:val="26"/>
        </w:rPr>
        <w:t xml:space="preserve"> had a total of 3,713</w:t>
      </w:r>
      <w:r>
        <w:rPr>
          <w:sz w:val="26"/>
          <w:szCs w:val="26"/>
        </w:rPr>
        <w:t xml:space="preserve"> miles of</w:t>
      </w:r>
      <w:r w:rsidRPr="00A302CF">
        <w:rPr>
          <w:sz w:val="26"/>
          <w:szCs w:val="26"/>
        </w:rPr>
        <w:t xml:space="preserve"> </w:t>
      </w:r>
      <w:r>
        <w:rPr>
          <w:sz w:val="26"/>
          <w:szCs w:val="26"/>
        </w:rPr>
        <w:t xml:space="preserve">distribution </w:t>
      </w:r>
      <w:r w:rsidRPr="00A302CF">
        <w:rPr>
          <w:sz w:val="26"/>
          <w:szCs w:val="26"/>
        </w:rPr>
        <w:t xml:space="preserve">mains </w:t>
      </w:r>
      <w:r>
        <w:rPr>
          <w:sz w:val="26"/>
          <w:szCs w:val="26"/>
        </w:rPr>
        <w:t xml:space="preserve">on its </w:t>
      </w:r>
      <w:r w:rsidRPr="00A302CF">
        <w:rPr>
          <w:sz w:val="26"/>
          <w:szCs w:val="26"/>
        </w:rPr>
        <w:t xml:space="preserve">system.  </w:t>
      </w:r>
      <w:r>
        <w:rPr>
          <w:sz w:val="26"/>
          <w:szCs w:val="26"/>
        </w:rPr>
        <w:t>The age and type of d</w:t>
      </w:r>
      <w:r w:rsidR="005E33A1">
        <w:rPr>
          <w:sz w:val="26"/>
          <w:szCs w:val="26"/>
        </w:rPr>
        <w:t>istribution mains present in</w:t>
      </w:r>
      <w:r>
        <w:rPr>
          <w:sz w:val="26"/>
          <w:szCs w:val="26"/>
        </w:rPr>
        <w:t xml:space="preserve"> </w:t>
      </w:r>
      <w:r w:rsidR="0014165C">
        <w:rPr>
          <w:sz w:val="26"/>
          <w:szCs w:val="26"/>
        </w:rPr>
        <w:t>UGI-CPG</w:t>
      </w:r>
      <w:r>
        <w:rPr>
          <w:sz w:val="26"/>
          <w:szCs w:val="26"/>
        </w:rPr>
        <w:t xml:space="preserve">’s system is detailed in </w:t>
      </w:r>
      <w:r w:rsidRPr="00B50EE4">
        <w:rPr>
          <w:sz w:val="26"/>
          <w:szCs w:val="26"/>
        </w:rPr>
        <w:t>Table1</w:t>
      </w:r>
      <w:r>
        <w:rPr>
          <w:sz w:val="26"/>
          <w:szCs w:val="26"/>
        </w:rPr>
        <w:t xml:space="preserve"> below.  </w:t>
      </w:r>
      <w:r w:rsidR="0014165C">
        <w:rPr>
          <w:sz w:val="26"/>
          <w:szCs w:val="26"/>
        </w:rPr>
        <w:t>UGI-CPG</w:t>
      </w:r>
      <w:r>
        <w:rPr>
          <w:sz w:val="26"/>
          <w:szCs w:val="26"/>
        </w:rPr>
        <w:t xml:space="preserve"> states that cast iron was used in the oldest portions of its distribution system.  Cast iron is vulnerable to breakage from ground movement.  Use of cast iron was replaced with wrought iron and bare steel.  A significant portion of </w:t>
      </w:r>
      <w:r w:rsidR="0014165C">
        <w:rPr>
          <w:sz w:val="26"/>
          <w:szCs w:val="26"/>
        </w:rPr>
        <w:t>UGI-CPG</w:t>
      </w:r>
      <w:r>
        <w:rPr>
          <w:sz w:val="26"/>
          <w:szCs w:val="26"/>
        </w:rPr>
        <w:t xml:space="preserve">’s system is composed of bare steel, which is subject to corrosion.  </w:t>
      </w:r>
      <w:r w:rsidR="0014165C">
        <w:rPr>
          <w:sz w:val="26"/>
          <w:szCs w:val="26"/>
        </w:rPr>
        <w:t>UGI-CPG</w:t>
      </w:r>
      <w:r>
        <w:rPr>
          <w:sz w:val="26"/>
          <w:szCs w:val="26"/>
        </w:rPr>
        <w:t>’s system also contains plastic piping which has shown a vulnerability t</w:t>
      </w:r>
      <w:r w:rsidR="008505B2">
        <w:rPr>
          <w:sz w:val="26"/>
          <w:szCs w:val="26"/>
        </w:rPr>
        <w:t>o stress propagation cracking.</w:t>
      </w:r>
      <w:r>
        <w:rPr>
          <w:sz w:val="26"/>
          <w:szCs w:val="26"/>
        </w:rPr>
        <w:t xml:space="preserve">  Cast iron and bare </w:t>
      </w:r>
      <w:r w:rsidR="0020059C">
        <w:rPr>
          <w:sz w:val="26"/>
          <w:szCs w:val="26"/>
        </w:rPr>
        <w:t>steel make up approximately 16.8</w:t>
      </w:r>
      <w:r>
        <w:rPr>
          <w:sz w:val="26"/>
          <w:szCs w:val="26"/>
        </w:rPr>
        <w:t xml:space="preserve">% of the </w:t>
      </w:r>
      <w:r w:rsidR="0014165C">
        <w:rPr>
          <w:sz w:val="26"/>
          <w:szCs w:val="26"/>
        </w:rPr>
        <w:t>UGI-CPG</w:t>
      </w:r>
      <w:r>
        <w:rPr>
          <w:sz w:val="26"/>
          <w:szCs w:val="26"/>
        </w:rPr>
        <w:t xml:space="preserve"> distributio</w:t>
      </w:r>
      <w:r w:rsidR="0020059C">
        <w:rPr>
          <w:sz w:val="26"/>
          <w:szCs w:val="26"/>
        </w:rPr>
        <w:t>n system while the remainder (83.2</w:t>
      </w:r>
      <w:r>
        <w:rPr>
          <w:sz w:val="26"/>
          <w:szCs w:val="26"/>
        </w:rPr>
        <w:t xml:space="preserve">%) </w:t>
      </w:r>
      <w:r>
        <w:rPr>
          <w:sz w:val="26"/>
          <w:szCs w:val="26"/>
        </w:rPr>
        <w:lastRenderedPageBreak/>
        <w:t xml:space="preserve">is comprised of contemporary materials which include plastic and coated steel.  </w:t>
      </w:r>
      <w:r w:rsidR="0014165C">
        <w:rPr>
          <w:sz w:val="26"/>
          <w:szCs w:val="26"/>
        </w:rPr>
        <w:t>UGI-CPG</w:t>
      </w:r>
      <w:r>
        <w:rPr>
          <w:sz w:val="26"/>
          <w:szCs w:val="26"/>
        </w:rPr>
        <w:t>’s plan includes the replacement and removal of all cast iron and bare steel/wrought iron pipelines by February 2027 and Sep</w:t>
      </w:r>
      <w:r w:rsidR="00EE1E3C">
        <w:rPr>
          <w:sz w:val="26"/>
          <w:szCs w:val="26"/>
        </w:rPr>
        <w:t xml:space="preserve">tember 2041 respectively.  </w:t>
      </w:r>
      <w:r w:rsidR="0014165C">
        <w:rPr>
          <w:sz w:val="26"/>
          <w:szCs w:val="26"/>
        </w:rPr>
        <w:t>UGI-CPG</w:t>
      </w:r>
      <w:r>
        <w:rPr>
          <w:sz w:val="26"/>
          <w:szCs w:val="26"/>
        </w:rPr>
        <w:t xml:space="preserve"> contends that in addition to replacement of first generation mains made out of cast iron</w:t>
      </w:r>
      <w:r w:rsidR="00EE1E3C">
        <w:rPr>
          <w:sz w:val="26"/>
          <w:szCs w:val="26"/>
        </w:rPr>
        <w:t>, wrought iron and bare steel, they</w:t>
      </w:r>
      <w:r>
        <w:rPr>
          <w:sz w:val="26"/>
          <w:szCs w:val="26"/>
        </w:rPr>
        <w:t xml:space="preserve"> will be replacing associated distribution equipment and installing additional safety and monitoring equipment that is compatible with the upgr</w:t>
      </w:r>
      <w:r w:rsidR="00B50EE4">
        <w:rPr>
          <w:sz w:val="26"/>
          <w:szCs w:val="26"/>
        </w:rPr>
        <w:t>ade design.</w:t>
      </w:r>
    </w:p>
    <w:p w:rsidR="004202C0" w:rsidRPr="00BC54EF" w:rsidRDefault="004202C0" w:rsidP="004202C0">
      <w:pPr>
        <w:pStyle w:val="p2"/>
        <w:widowControl/>
        <w:spacing w:line="360" w:lineRule="auto"/>
        <w:ind w:firstLine="0"/>
        <w:rPr>
          <w:sz w:val="26"/>
          <w:szCs w:val="26"/>
          <w:u w:val="single"/>
        </w:rPr>
      </w:pPr>
    </w:p>
    <w:p w:rsidR="004202C0" w:rsidRDefault="004202C0" w:rsidP="00B50EE4">
      <w:pPr>
        <w:rPr>
          <w:b/>
          <w:sz w:val="26"/>
          <w:szCs w:val="26"/>
          <w:u w:val="single"/>
        </w:rPr>
      </w:pPr>
      <w:r>
        <w:rPr>
          <w:b/>
          <w:sz w:val="26"/>
          <w:szCs w:val="26"/>
          <w:u w:val="single"/>
        </w:rPr>
        <w:t xml:space="preserve">Table 1:  DSIC-Eligible </w:t>
      </w:r>
      <w:r w:rsidRPr="000D0542">
        <w:rPr>
          <w:b/>
          <w:sz w:val="26"/>
          <w:szCs w:val="26"/>
          <w:u w:val="single"/>
        </w:rPr>
        <w:t>Dist</w:t>
      </w:r>
      <w:r>
        <w:rPr>
          <w:b/>
          <w:sz w:val="26"/>
          <w:szCs w:val="26"/>
          <w:u w:val="single"/>
        </w:rPr>
        <w:t xml:space="preserve">ribution Mains, Transmission Mains and Service Lines </w:t>
      </w:r>
      <w:r w:rsidRPr="006D2050">
        <w:rPr>
          <w:b/>
          <w:sz w:val="26"/>
          <w:szCs w:val="26"/>
          <w:u w:val="single"/>
        </w:rPr>
        <w:t>as of 12/31/2012</w:t>
      </w:r>
      <w:r>
        <w:rPr>
          <w:b/>
          <w:sz w:val="26"/>
          <w:szCs w:val="26"/>
          <w:u w:val="single"/>
        </w:rPr>
        <w:t>.</w:t>
      </w:r>
    </w:p>
    <w:tbl>
      <w:tblPr>
        <w:tblStyle w:val="TableGrid"/>
        <w:tblW w:w="0" w:type="auto"/>
        <w:tblInd w:w="108" w:type="dxa"/>
        <w:tblLayout w:type="fixed"/>
        <w:tblLook w:val="04A0" w:firstRow="1" w:lastRow="0" w:firstColumn="1" w:lastColumn="0" w:noHBand="0" w:noVBand="1"/>
      </w:tblPr>
      <w:tblGrid>
        <w:gridCol w:w="2808"/>
        <w:gridCol w:w="931"/>
        <w:gridCol w:w="1139"/>
        <w:gridCol w:w="1260"/>
        <w:gridCol w:w="1080"/>
        <w:gridCol w:w="1080"/>
        <w:gridCol w:w="1080"/>
      </w:tblGrid>
      <w:tr w:rsidR="0077563C" w:rsidTr="0077563C">
        <w:trPr>
          <w:trHeight w:val="323"/>
        </w:trPr>
        <w:tc>
          <w:tcPr>
            <w:tcW w:w="2808" w:type="dxa"/>
            <w:vMerge w:val="restart"/>
            <w:vAlign w:val="center"/>
          </w:tcPr>
          <w:p w:rsidR="0077563C" w:rsidRPr="00291447" w:rsidRDefault="0077563C" w:rsidP="00C25594">
            <w:pPr>
              <w:jc w:val="center"/>
              <w:rPr>
                <w:b/>
                <w:sz w:val="22"/>
                <w:szCs w:val="22"/>
                <w:u w:val="single"/>
              </w:rPr>
            </w:pPr>
            <w:r w:rsidRPr="00291447">
              <w:rPr>
                <w:b/>
                <w:sz w:val="22"/>
                <w:szCs w:val="22"/>
                <w:u w:val="single"/>
              </w:rPr>
              <w:t>Type of Material</w:t>
            </w:r>
          </w:p>
        </w:tc>
        <w:tc>
          <w:tcPr>
            <w:tcW w:w="2070" w:type="dxa"/>
            <w:gridSpan w:val="2"/>
            <w:vAlign w:val="center"/>
          </w:tcPr>
          <w:p w:rsidR="0077563C" w:rsidRPr="00291447" w:rsidRDefault="0077563C" w:rsidP="00C25594">
            <w:pPr>
              <w:rPr>
                <w:b/>
                <w:sz w:val="22"/>
                <w:szCs w:val="22"/>
                <w:u w:val="single"/>
              </w:rPr>
            </w:pPr>
            <w:r w:rsidRPr="00291447">
              <w:rPr>
                <w:b/>
                <w:sz w:val="22"/>
                <w:szCs w:val="22"/>
                <w:u w:val="single"/>
              </w:rPr>
              <w:t>Distribution Mains</w:t>
            </w:r>
          </w:p>
        </w:tc>
        <w:tc>
          <w:tcPr>
            <w:tcW w:w="2340" w:type="dxa"/>
            <w:gridSpan w:val="2"/>
            <w:vAlign w:val="center"/>
          </w:tcPr>
          <w:p w:rsidR="0077563C" w:rsidRPr="00291447" w:rsidRDefault="0077563C" w:rsidP="00C25594">
            <w:pPr>
              <w:jc w:val="center"/>
              <w:rPr>
                <w:b/>
                <w:sz w:val="22"/>
                <w:szCs w:val="22"/>
                <w:u w:val="single"/>
              </w:rPr>
            </w:pPr>
            <w:r>
              <w:rPr>
                <w:b/>
                <w:sz w:val="22"/>
                <w:szCs w:val="22"/>
                <w:u w:val="single"/>
              </w:rPr>
              <w:t>Transmission Mains</w:t>
            </w:r>
          </w:p>
        </w:tc>
        <w:tc>
          <w:tcPr>
            <w:tcW w:w="2160" w:type="dxa"/>
            <w:gridSpan w:val="2"/>
            <w:vAlign w:val="center"/>
          </w:tcPr>
          <w:p w:rsidR="0077563C" w:rsidRPr="00291447" w:rsidRDefault="0077563C" w:rsidP="00C25594">
            <w:pPr>
              <w:jc w:val="center"/>
              <w:rPr>
                <w:b/>
                <w:sz w:val="22"/>
                <w:szCs w:val="22"/>
                <w:u w:val="single"/>
              </w:rPr>
            </w:pPr>
            <w:r w:rsidRPr="00291447">
              <w:rPr>
                <w:b/>
                <w:sz w:val="22"/>
                <w:szCs w:val="22"/>
                <w:u w:val="single"/>
              </w:rPr>
              <w:t>Service Lines</w:t>
            </w:r>
          </w:p>
        </w:tc>
      </w:tr>
      <w:tr w:rsidR="0077563C" w:rsidTr="0077563C">
        <w:trPr>
          <w:trHeight w:val="307"/>
        </w:trPr>
        <w:tc>
          <w:tcPr>
            <w:tcW w:w="2808" w:type="dxa"/>
            <w:vMerge/>
            <w:vAlign w:val="center"/>
          </w:tcPr>
          <w:p w:rsidR="0077563C" w:rsidRPr="00291447" w:rsidRDefault="0077563C" w:rsidP="00C25594">
            <w:pPr>
              <w:jc w:val="center"/>
              <w:rPr>
                <w:b/>
                <w:sz w:val="22"/>
                <w:szCs w:val="22"/>
                <w:u w:val="single"/>
              </w:rPr>
            </w:pPr>
          </w:p>
        </w:tc>
        <w:tc>
          <w:tcPr>
            <w:tcW w:w="931" w:type="dxa"/>
            <w:vAlign w:val="center"/>
          </w:tcPr>
          <w:p w:rsidR="0077563C" w:rsidRPr="00291447" w:rsidRDefault="0077563C" w:rsidP="00C25594">
            <w:pPr>
              <w:jc w:val="center"/>
              <w:rPr>
                <w:b/>
                <w:sz w:val="22"/>
                <w:szCs w:val="22"/>
                <w:u w:val="single"/>
              </w:rPr>
            </w:pPr>
            <w:r w:rsidRPr="00291447">
              <w:rPr>
                <w:b/>
                <w:sz w:val="22"/>
                <w:szCs w:val="22"/>
                <w:u w:val="single"/>
              </w:rPr>
              <w:t>Miles</w:t>
            </w:r>
          </w:p>
        </w:tc>
        <w:tc>
          <w:tcPr>
            <w:tcW w:w="1139" w:type="dxa"/>
            <w:vAlign w:val="center"/>
          </w:tcPr>
          <w:p w:rsidR="0077563C" w:rsidRPr="00291447" w:rsidRDefault="0077563C" w:rsidP="00C25594">
            <w:pPr>
              <w:jc w:val="center"/>
              <w:rPr>
                <w:b/>
                <w:sz w:val="22"/>
                <w:szCs w:val="22"/>
                <w:u w:val="single"/>
              </w:rPr>
            </w:pPr>
            <w:r w:rsidRPr="00291447">
              <w:rPr>
                <w:b/>
                <w:sz w:val="22"/>
                <w:szCs w:val="22"/>
                <w:u w:val="single"/>
              </w:rPr>
              <w:t>% of Total</w:t>
            </w:r>
          </w:p>
        </w:tc>
        <w:tc>
          <w:tcPr>
            <w:tcW w:w="1260" w:type="dxa"/>
            <w:vAlign w:val="center"/>
          </w:tcPr>
          <w:p w:rsidR="0077563C" w:rsidRPr="00291447" w:rsidRDefault="0077563C" w:rsidP="00C25594">
            <w:pPr>
              <w:jc w:val="center"/>
              <w:rPr>
                <w:b/>
                <w:sz w:val="22"/>
                <w:szCs w:val="22"/>
                <w:u w:val="single"/>
              </w:rPr>
            </w:pPr>
            <w:r>
              <w:rPr>
                <w:b/>
                <w:sz w:val="22"/>
                <w:szCs w:val="22"/>
                <w:u w:val="single"/>
              </w:rPr>
              <w:t>Miles</w:t>
            </w:r>
          </w:p>
        </w:tc>
        <w:tc>
          <w:tcPr>
            <w:tcW w:w="1080" w:type="dxa"/>
            <w:vAlign w:val="center"/>
          </w:tcPr>
          <w:p w:rsidR="0077563C" w:rsidRPr="00291447" w:rsidRDefault="0077563C" w:rsidP="00C25594">
            <w:pPr>
              <w:jc w:val="center"/>
              <w:rPr>
                <w:b/>
                <w:sz w:val="22"/>
                <w:szCs w:val="22"/>
                <w:u w:val="single"/>
              </w:rPr>
            </w:pPr>
            <w:r w:rsidRPr="00291447">
              <w:rPr>
                <w:b/>
                <w:sz w:val="22"/>
                <w:szCs w:val="22"/>
                <w:u w:val="single"/>
              </w:rPr>
              <w:t>% of Total</w:t>
            </w:r>
          </w:p>
        </w:tc>
        <w:tc>
          <w:tcPr>
            <w:tcW w:w="1080" w:type="dxa"/>
            <w:vAlign w:val="center"/>
          </w:tcPr>
          <w:p w:rsidR="0077563C" w:rsidRPr="00291447" w:rsidRDefault="0077563C" w:rsidP="00C25594">
            <w:pPr>
              <w:jc w:val="center"/>
              <w:rPr>
                <w:b/>
                <w:sz w:val="22"/>
                <w:szCs w:val="22"/>
                <w:u w:val="single"/>
              </w:rPr>
            </w:pPr>
            <w:r>
              <w:rPr>
                <w:b/>
                <w:sz w:val="22"/>
                <w:szCs w:val="22"/>
                <w:u w:val="single"/>
              </w:rPr>
              <w:t>Number</w:t>
            </w:r>
          </w:p>
        </w:tc>
        <w:tc>
          <w:tcPr>
            <w:tcW w:w="1080" w:type="dxa"/>
            <w:vAlign w:val="center"/>
          </w:tcPr>
          <w:p w:rsidR="0077563C" w:rsidRDefault="0077563C" w:rsidP="00C25594">
            <w:pPr>
              <w:jc w:val="center"/>
              <w:rPr>
                <w:b/>
                <w:sz w:val="22"/>
                <w:szCs w:val="22"/>
                <w:u w:val="single"/>
              </w:rPr>
            </w:pPr>
            <w:r>
              <w:rPr>
                <w:b/>
                <w:sz w:val="22"/>
                <w:szCs w:val="22"/>
                <w:u w:val="single"/>
              </w:rPr>
              <w:t>% of Total</w:t>
            </w:r>
          </w:p>
        </w:tc>
      </w:tr>
      <w:tr w:rsidR="0077563C" w:rsidTr="0077563C">
        <w:tc>
          <w:tcPr>
            <w:tcW w:w="2808" w:type="dxa"/>
          </w:tcPr>
          <w:p w:rsidR="0077563C" w:rsidRPr="00291447" w:rsidRDefault="0077563C" w:rsidP="00C25594">
            <w:pPr>
              <w:rPr>
                <w:b/>
                <w:sz w:val="22"/>
                <w:szCs w:val="22"/>
                <w:u w:val="single"/>
              </w:rPr>
            </w:pPr>
            <w:r w:rsidRPr="00291447">
              <w:rPr>
                <w:b/>
                <w:bCs/>
                <w:sz w:val="22"/>
                <w:szCs w:val="22"/>
              </w:rPr>
              <w:t>Unprotected bare steel</w:t>
            </w:r>
          </w:p>
        </w:tc>
        <w:tc>
          <w:tcPr>
            <w:tcW w:w="931" w:type="dxa"/>
            <w:vAlign w:val="center"/>
          </w:tcPr>
          <w:p w:rsidR="0077563C" w:rsidRPr="00291447" w:rsidRDefault="0077563C" w:rsidP="00C25594">
            <w:pPr>
              <w:jc w:val="center"/>
              <w:rPr>
                <w:sz w:val="22"/>
                <w:szCs w:val="22"/>
              </w:rPr>
            </w:pPr>
            <w:r w:rsidRPr="00291447">
              <w:rPr>
                <w:sz w:val="22"/>
                <w:szCs w:val="22"/>
              </w:rPr>
              <w:t>594.1</w:t>
            </w:r>
          </w:p>
        </w:tc>
        <w:tc>
          <w:tcPr>
            <w:tcW w:w="1139" w:type="dxa"/>
            <w:vAlign w:val="center"/>
          </w:tcPr>
          <w:p w:rsidR="0077563C" w:rsidRPr="00291447" w:rsidRDefault="0077563C" w:rsidP="00C25594">
            <w:pPr>
              <w:jc w:val="center"/>
              <w:rPr>
                <w:sz w:val="22"/>
                <w:szCs w:val="22"/>
              </w:rPr>
            </w:pPr>
            <w:r w:rsidRPr="00291447">
              <w:rPr>
                <w:sz w:val="22"/>
                <w:szCs w:val="22"/>
              </w:rPr>
              <w:t>16.0</w:t>
            </w:r>
          </w:p>
        </w:tc>
        <w:tc>
          <w:tcPr>
            <w:tcW w:w="1260" w:type="dxa"/>
          </w:tcPr>
          <w:p w:rsidR="0077563C" w:rsidRPr="00291447" w:rsidRDefault="0077563C" w:rsidP="00C25594">
            <w:pPr>
              <w:jc w:val="center"/>
              <w:rPr>
                <w:sz w:val="22"/>
                <w:szCs w:val="22"/>
              </w:rPr>
            </w:pPr>
            <w:r>
              <w:rPr>
                <w:sz w:val="22"/>
                <w:szCs w:val="22"/>
              </w:rPr>
              <w:t>0</w:t>
            </w:r>
          </w:p>
        </w:tc>
        <w:tc>
          <w:tcPr>
            <w:tcW w:w="1080" w:type="dxa"/>
          </w:tcPr>
          <w:p w:rsidR="0077563C" w:rsidRPr="00291447" w:rsidRDefault="0077563C" w:rsidP="00C25594">
            <w:pPr>
              <w:jc w:val="center"/>
              <w:rPr>
                <w:sz w:val="22"/>
                <w:szCs w:val="22"/>
              </w:rPr>
            </w:pPr>
            <w:r>
              <w:rPr>
                <w:sz w:val="22"/>
                <w:szCs w:val="22"/>
              </w:rPr>
              <w:t>0</w:t>
            </w:r>
          </w:p>
        </w:tc>
        <w:tc>
          <w:tcPr>
            <w:tcW w:w="1080" w:type="dxa"/>
          </w:tcPr>
          <w:p w:rsidR="0077563C" w:rsidRPr="00291447" w:rsidRDefault="0077563C" w:rsidP="00C25594">
            <w:pPr>
              <w:jc w:val="center"/>
              <w:rPr>
                <w:sz w:val="22"/>
                <w:szCs w:val="22"/>
              </w:rPr>
            </w:pPr>
            <w:r w:rsidRPr="00291447">
              <w:rPr>
                <w:sz w:val="22"/>
                <w:szCs w:val="22"/>
              </w:rPr>
              <w:t>407</w:t>
            </w:r>
          </w:p>
        </w:tc>
        <w:tc>
          <w:tcPr>
            <w:tcW w:w="1080" w:type="dxa"/>
          </w:tcPr>
          <w:p w:rsidR="0077563C" w:rsidRPr="00291447" w:rsidRDefault="0077563C" w:rsidP="00C25594">
            <w:pPr>
              <w:jc w:val="center"/>
              <w:rPr>
                <w:sz w:val="22"/>
                <w:szCs w:val="22"/>
              </w:rPr>
            </w:pPr>
            <w:r w:rsidRPr="00291447">
              <w:rPr>
                <w:sz w:val="22"/>
                <w:szCs w:val="22"/>
              </w:rPr>
              <w:t>0.5</w:t>
            </w:r>
          </w:p>
        </w:tc>
      </w:tr>
      <w:tr w:rsidR="0077563C" w:rsidTr="0077563C">
        <w:tc>
          <w:tcPr>
            <w:tcW w:w="2808" w:type="dxa"/>
          </w:tcPr>
          <w:p w:rsidR="0077563C" w:rsidRPr="00291447" w:rsidRDefault="0077563C" w:rsidP="00C25594">
            <w:pPr>
              <w:rPr>
                <w:b/>
                <w:sz w:val="22"/>
                <w:szCs w:val="22"/>
                <w:u w:val="single"/>
              </w:rPr>
            </w:pPr>
            <w:r w:rsidRPr="00291447">
              <w:rPr>
                <w:b/>
                <w:bCs/>
                <w:sz w:val="22"/>
                <w:szCs w:val="22"/>
              </w:rPr>
              <w:t xml:space="preserve">Unprotected coated steel                                </w:t>
            </w:r>
          </w:p>
        </w:tc>
        <w:tc>
          <w:tcPr>
            <w:tcW w:w="931" w:type="dxa"/>
            <w:vAlign w:val="center"/>
          </w:tcPr>
          <w:p w:rsidR="0077563C" w:rsidRPr="00291447" w:rsidRDefault="0077563C" w:rsidP="00C25594">
            <w:pPr>
              <w:jc w:val="center"/>
              <w:rPr>
                <w:sz w:val="22"/>
                <w:szCs w:val="22"/>
              </w:rPr>
            </w:pPr>
            <w:r w:rsidRPr="00291447">
              <w:rPr>
                <w:sz w:val="22"/>
                <w:szCs w:val="22"/>
              </w:rPr>
              <w:t>0</w:t>
            </w:r>
          </w:p>
        </w:tc>
        <w:tc>
          <w:tcPr>
            <w:tcW w:w="1139" w:type="dxa"/>
            <w:vAlign w:val="center"/>
          </w:tcPr>
          <w:p w:rsidR="0077563C" w:rsidRPr="00291447" w:rsidRDefault="0077563C" w:rsidP="00C25594">
            <w:pPr>
              <w:jc w:val="center"/>
              <w:rPr>
                <w:sz w:val="22"/>
                <w:szCs w:val="22"/>
              </w:rPr>
            </w:pPr>
            <w:r w:rsidRPr="00291447">
              <w:rPr>
                <w:sz w:val="22"/>
                <w:szCs w:val="22"/>
              </w:rPr>
              <w:t>0</w:t>
            </w:r>
          </w:p>
        </w:tc>
        <w:tc>
          <w:tcPr>
            <w:tcW w:w="1260" w:type="dxa"/>
          </w:tcPr>
          <w:p w:rsidR="0077563C" w:rsidRPr="00291447" w:rsidRDefault="0077563C" w:rsidP="00C25594">
            <w:pPr>
              <w:jc w:val="center"/>
              <w:rPr>
                <w:sz w:val="22"/>
                <w:szCs w:val="22"/>
              </w:rPr>
            </w:pPr>
            <w:r>
              <w:rPr>
                <w:sz w:val="22"/>
                <w:szCs w:val="22"/>
              </w:rPr>
              <w:t>2.0</w:t>
            </w:r>
          </w:p>
        </w:tc>
        <w:tc>
          <w:tcPr>
            <w:tcW w:w="1080" w:type="dxa"/>
          </w:tcPr>
          <w:p w:rsidR="0077563C" w:rsidRPr="00291447" w:rsidRDefault="0077563C" w:rsidP="00C25594">
            <w:pPr>
              <w:jc w:val="center"/>
              <w:rPr>
                <w:sz w:val="22"/>
                <w:szCs w:val="22"/>
              </w:rPr>
            </w:pPr>
            <w:r>
              <w:rPr>
                <w:sz w:val="22"/>
                <w:szCs w:val="22"/>
              </w:rPr>
              <w:t>1.8</w:t>
            </w:r>
          </w:p>
        </w:tc>
        <w:tc>
          <w:tcPr>
            <w:tcW w:w="1080" w:type="dxa"/>
          </w:tcPr>
          <w:p w:rsidR="0077563C" w:rsidRPr="00291447" w:rsidRDefault="0077563C" w:rsidP="00C25594">
            <w:pPr>
              <w:jc w:val="center"/>
              <w:rPr>
                <w:sz w:val="22"/>
                <w:szCs w:val="22"/>
              </w:rPr>
            </w:pPr>
            <w:r w:rsidRPr="00291447">
              <w:rPr>
                <w:sz w:val="22"/>
                <w:szCs w:val="22"/>
              </w:rPr>
              <w:t>0</w:t>
            </w:r>
          </w:p>
        </w:tc>
        <w:tc>
          <w:tcPr>
            <w:tcW w:w="1080" w:type="dxa"/>
          </w:tcPr>
          <w:p w:rsidR="0077563C" w:rsidRPr="00291447" w:rsidRDefault="0077563C" w:rsidP="00C25594">
            <w:pPr>
              <w:jc w:val="center"/>
              <w:rPr>
                <w:sz w:val="22"/>
                <w:szCs w:val="22"/>
              </w:rPr>
            </w:pPr>
            <w:r w:rsidRPr="00291447">
              <w:rPr>
                <w:sz w:val="22"/>
                <w:szCs w:val="22"/>
              </w:rPr>
              <w:t>0</w:t>
            </w:r>
          </w:p>
        </w:tc>
      </w:tr>
      <w:tr w:rsidR="0077563C" w:rsidTr="0077563C">
        <w:tc>
          <w:tcPr>
            <w:tcW w:w="2808" w:type="dxa"/>
          </w:tcPr>
          <w:p w:rsidR="0077563C" w:rsidRPr="00291447" w:rsidRDefault="0077563C" w:rsidP="00C25594">
            <w:pPr>
              <w:rPr>
                <w:b/>
                <w:sz w:val="22"/>
                <w:szCs w:val="22"/>
                <w:u w:val="single"/>
              </w:rPr>
            </w:pPr>
            <w:r w:rsidRPr="00291447">
              <w:rPr>
                <w:b/>
                <w:bCs/>
                <w:sz w:val="22"/>
                <w:szCs w:val="22"/>
              </w:rPr>
              <w:t xml:space="preserve">Protected bare steel                                   </w:t>
            </w:r>
          </w:p>
        </w:tc>
        <w:tc>
          <w:tcPr>
            <w:tcW w:w="931" w:type="dxa"/>
            <w:vAlign w:val="center"/>
          </w:tcPr>
          <w:p w:rsidR="0077563C" w:rsidRPr="00291447" w:rsidRDefault="0077563C" w:rsidP="00C25594">
            <w:pPr>
              <w:jc w:val="center"/>
              <w:rPr>
                <w:sz w:val="22"/>
                <w:szCs w:val="22"/>
              </w:rPr>
            </w:pPr>
            <w:r w:rsidRPr="00291447">
              <w:rPr>
                <w:sz w:val="22"/>
                <w:szCs w:val="22"/>
              </w:rPr>
              <w:t>17.8</w:t>
            </w:r>
          </w:p>
        </w:tc>
        <w:tc>
          <w:tcPr>
            <w:tcW w:w="1139" w:type="dxa"/>
            <w:vAlign w:val="center"/>
          </w:tcPr>
          <w:p w:rsidR="0077563C" w:rsidRPr="00291447" w:rsidRDefault="0077563C" w:rsidP="00C25594">
            <w:pPr>
              <w:jc w:val="center"/>
              <w:rPr>
                <w:sz w:val="22"/>
                <w:szCs w:val="22"/>
              </w:rPr>
            </w:pPr>
            <w:r w:rsidRPr="00291447">
              <w:rPr>
                <w:sz w:val="22"/>
                <w:szCs w:val="22"/>
              </w:rPr>
              <w:t>0.5</w:t>
            </w:r>
          </w:p>
        </w:tc>
        <w:tc>
          <w:tcPr>
            <w:tcW w:w="1260" w:type="dxa"/>
          </w:tcPr>
          <w:p w:rsidR="0077563C" w:rsidRPr="00291447" w:rsidRDefault="0077563C" w:rsidP="00C25594">
            <w:pPr>
              <w:jc w:val="center"/>
              <w:rPr>
                <w:sz w:val="22"/>
                <w:szCs w:val="22"/>
              </w:rPr>
            </w:pPr>
            <w:r>
              <w:rPr>
                <w:sz w:val="22"/>
                <w:szCs w:val="22"/>
              </w:rPr>
              <w:t>39.0</w:t>
            </w:r>
          </w:p>
        </w:tc>
        <w:tc>
          <w:tcPr>
            <w:tcW w:w="1080" w:type="dxa"/>
          </w:tcPr>
          <w:p w:rsidR="0077563C" w:rsidRPr="00291447" w:rsidRDefault="0077563C" w:rsidP="00C25594">
            <w:pPr>
              <w:jc w:val="center"/>
              <w:rPr>
                <w:sz w:val="22"/>
                <w:szCs w:val="22"/>
              </w:rPr>
            </w:pPr>
            <w:r>
              <w:rPr>
                <w:sz w:val="22"/>
                <w:szCs w:val="22"/>
              </w:rPr>
              <w:t>35.5</w:t>
            </w:r>
          </w:p>
        </w:tc>
        <w:tc>
          <w:tcPr>
            <w:tcW w:w="1080" w:type="dxa"/>
          </w:tcPr>
          <w:p w:rsidR="0077563C" w:rsidRPr="00291447" w:rsidRDefault="0077563C" w:rsidP="00C25594">
            <w:pPr>
              <w:jc w:val="center"/>
              <w:rPr>
                <w:sz w:val="22"/>
                <w:szCs w:val="22"/>
              </w:rPr>
            </w:pPr>
            <w:r w:rsidRPr="00291447">
              <w:rPr>
                <w:sz w:val="22"/>
                <w:szCs w:val="22"/>
              </w:rPr>
              <w:t>0</w:t>
            </w:r>
          </w:p>
        </w:tc>
        <w:tc>
          <w:tcPr>
            <w:tcW w:w="1080" w:type="dxa"/>
          </w:tcPr>
          <w:p w:rsidR="0077563C" w:rsidRPr="00291447" w:rsidRDefault="0077563C" w:rsidP="00C25594">
            <w:pPr>
              <w:jc w:val="center"/>
              <w:rPr>
                <w:sz w:val="22"/>
                <w:szCs w:val="22"/>
              </w:rPr>
            </w:pPr>
            <w:r w:rsidRPr="00291447">
              <w:rPr>
                <w:sz w:val="22"/>
                <w:szCs w:val="22"/>
              </w:rPr>
              <w:t>0</w:t>
            </w:r>
          </w:p>
        </w:tc>
      </w:tr>
      <w:tr w:rsidR="0077563C" w:rsidTr="0077563C">
        <w:tc>
          <w:tcPr>
            <w:tcW w:w="2808" w:type="dxa"/>
          </w:tcPr>
          <w:p w:rsidR="0077563C" w:rsidRPr="00291447" w:rsidRDefault="0077563C" w:rsidP="00C25594">
            <w:pPr>
              <w:rPr>
                <w:b/>
                <w:sz w:val="22"/>
                <w:szCs w:val="22"/>
                <w:u w:val="single"/>
              </w:rPr>
            </w:pPr>
            <w:r w:rsidRPr="00291447">
              <w:rPr>
                <w:b/>
                <w:bCs/>
                <w:sz w:val="22"/>
                <w:szCs w:val="22"/>
              </w:rPr>
              <w:t xml:space="preserve">Protected coated steel                              </w:t>
            </w:r>
          </w:p>
        </w:tc>
        <w:tc>
          <w:tcPr>
            <w:tcW w:w="931" w:type="dxa"/>
            <w:vAlign w:val="center"/>
          </w:tcPr>
          <w:p w:rsidR="0077563C" w:rsidRPr="00291447" w:rsidRDefault="0077563C" w:rsidP="00C25594">
            <w:pPr>
              <w:jc w:val="center"/>
              <w:rPr>
                <w:sz w:val="22"/>
                <w:szCs w:val="22"/>
              </w:rPr>
            </w:pPr>
            <w:r w:rsidRPr="00291447">
              <w:rPr>
                <w:sz w:val="22"/>
                <w:szCs w:val="22"/>
              </w:rPr>
              <w:t>816.5</w:t>
            </w:r>
          </w:p>
        </w:tc>
        <w:tc>
          <w:tcPr>
            <w:tcW w:w="1139" w:type="dxa"/>
            <w:vAlign w:val="center"/>
          </w:tcPr>
          <w:p w:rsidR="0077563C" w:rsidRPr="00291447" w:rsidRDefault="0077563C" w:rsidP="00C25594">
            <w:pPr>
              <w:jc w:val="center"/>
              <w:rPr>
                <w:sz w:val="22"/>
                <w:szCs w:val="22"/>
              </w:rPr>
            </w:pPr>
            <w:r w:rsidRPr="00291447">
              <w:rPr>
                <w:sz w:val="22"/>
                <w:szCs w:val="22"/>
              </w:rPr>
              <w:t>22.00</w:t>
            </w:r>
          </w:p>
        </w:tc>
        <w:tc>
          <w:tcPr>
            <w:tcW w:w="1260" w:type="dxa"/>
          </w:tcPr>
          <w:p w:rsidR="0077563C" w:rsidRPr="00291447" w:rsidRDefault="0077563C" w:rsidP="00C25594">
            <w:pPr>
              <w:jc w:val="center"/>
              <w:rPr>
                <w:sz w:val="22"/>
                <w:szCs w:val="22"/>
              </w:rPr>
            </w:pPr>
            <w:r>
              <w:rPr>
                <w:sz w:val="22"/>
                <w:szCs w:val="22"/>
              </w:rPr>
              <w:t>68.9</w:t>
            </w:r>
          </w:p>
        </w:tc>
        <w:tc>
          <w:tcPr>
            <w:tcW w:w="1080" w:type="dxa"/>
          </w:tcPr>
          <w:p w:rsidR="0077563C" w:rsidRPr="00291447" w:rsidRDefault="0077563C" w:rsidP="00C25594">
            <w:pPr>
              <w:jc w:val="center"/>
              <w:rPr>
                <w:sz w:val="22"/>
                <w:szCs w:val="22"/>
              </w:rPr>
            </w:pPr>
            <w:r>
              <w:rPr>
                <w:sz w:val="22"/>
                <w:szCs w:val="22"/>
              </w:rPr>
              <w:t>62.7</w:t>
            </w:r>
          </w:p>
        </w:tc>
        <w:tc>
          <w:tcPr>
            <w:tcW w:w="1080" w:type="dxa"/>
          </w:tcPr>
          <w:p w:rsidR="0077563C" w:rsidRPr="00291447" w:rsidRDefault="0077563C" w:rsidP="00C25594">
            <w:pPr>
              <w:jc w:val="center"/>
              <w:rPr>
                <w:sz w:val="22"/>
                <w:szCs w:val="22"/>
              </w:rPr>
            </w:pPr>
            <w:r w:rsidRPr="00291447">
              <w:rPr>
                <w:sz w:val="22"/>
                <w:szCs w:val="22"/>
              </w:rPr>
              <w:t>6,981</w:t>
            </w:r>
          </w:p>
        </w:tc>
        <w:tc>
          <w:tcPr>
            <w:tcW w:w="1080" w:type="dxa"/>
          </w:tcPr>
          <w:p w:rsidR="0077563C" w:rsidRPr="00291447" w:rsidRDefault="0077563C" w:rsidP="00C25594">
            <w:pPr>
              <w:jc w:val="center"/>
              <w:rPr>
                <w:sz w:val="22"/>
                <w:szCs w:val="22"/>
              </w:rPr>
            </w:pPr>
            <w:r w:rsidRPr="00291447">
              <w:rPr>
                <w:sz w:val="22"/>
                <w:szCs w:val="22"/>
              </w:rPr>
              <w:t>8.6</w:t>
            </w:r>
          </w:p>
        </w:tc>
      </w:tr>
      <w:tr w:rsidR="0077563C" w:rsidTr="0077563C">
        <w:tc>
          <w:tcPr>
            <w:tcW w:w="2808" w:type="dxa"/>
          </w:tcPr>
          <w:p w:rsidR="0077563C" w:rsidRPr="00291447" w:rsidRDefault="0077563C" w:rsidP="00C25594">
            <w:pPr>
              <w:rPr>
                <w:b/>
                <w:sz w:val="22"/>
                <w:szCs w:val="22"/>
                <w:u w:val="single"/>
              </w:rPr>
            </w:pPr>
            <w:r w:rsidRPr="00291447">
              <w:rPr>
                <w:b/>
                <w:bCs/>
                <w:sz w:val="22"/>
                <w:szCs w:val="22"/>
              </w:rPr>
              <w:t xml:space="preserve">Ductile iron                                                      </w:t>
            </w:r>
          </w:p>
        </w:tc>
        <w:tc>
          <w:tcPr>
            <w:tcW w:w="931" w:type="dxa"/>
            <w:vAlign w:val="center"/>
          </w:tcPr>
          <w:p w:rsidR="0077563C" w:rsidRPr="00291447" w:rsidRDefault="0077563C" w:rsidP="00C25594">
            <w:pPr>
              <w:jc w:val="center"/>
              <w:rPr>
                <w:sz w:val="22"/>
                <w:szCs w:val="22"/>
              </w:rPr>
            </w:pPr>
            <w:r w:rsidRPr="00291447">
              <w:rPr>
                <w:sz w:val="22"/>
                <w:szCs w:val="22"/>
              </w:rPr>
              <w:t>0</w:t>
            </w:r>
          </w:p>
        </w:tc>
        <w:tc>
          <w:tcPr>
            <w:tcW w:w="1139" w:type="dxa"/>
            <w:vAlign w:val="center"/>
          </w:tcPr>
          <w:p w:rsidR="0077563C" w:rsidRPr="00291447" w:rsidRDefault="0077563C" w:rsidP="00C25594">
            <w:pPr>
              <w:jc w:val="center"/>
              <w:rPr>
                <w:sz w:val="22"/>
                <w:szCs w:val="22"/>
              </w:rPr>
            </w:pPr>
            <w:r w:rsidRPr="00291447">
              <w:rPr>
                <w:sz w:val="22"/>
                <w:szCs w:val="22"/>
              </w:rPr>
              <w:t>0</w:t>
            </w:r>
          </w:p>
        </w:tc>
        <w:tc>
          <w:tcPr>
            <w:tcW w:w="1260" w:type="dxa"/>
          </w:tcPr>
          <w:p w:rsidR="0077563C" w:rsidRPr="00291447" w:rsidRDefault="0077563C" w:rsidP="00C25594">
            <w:pPr>
              <w:jc w:val="center"/>
              <w:rPr>
                <w:sz w:val="22"/>
                <w:szCs w:val="22"/>
              </w:rPr>
            </w:pPr>
            <w:r>
              <w:rPr>
                <w:sz w:val="22"/>
                <w:szCs w:val="22"/>
              </w:rPr>
              <w:t>0</w:t>
            </w:r>
          </w:p>
        </w:tc>
        <w:tc>
          <w:tcPr>
            <w:tcW w:w="1080" w:type="dxa"/>
          </w:tcPr>
          <w:p w:rsidR="0077563C" w:rsidRPr="00291447" w:rsidRDefault="0077563C" w:rsidP="00C25594">
            <w:pPr>
              <w:jc w:val="center"/>
              <w:rPr>
                <w:sz w:val="22"/>
                <w:szCs w:val="22"/>
              </w:rPr>
            </w:pPr>
            <w:r>
              <w:rPr>
                <w:sz w:val="22"/>
                <w:szCs w:val="22"/>
              </w:rPr>
              <w:t>0</w:t>
            </w:r>
          </w:p>
        </w:tc>
        <w:tc>
          <w:tcPr>
            <w:tcW w:w="1080" w:type="dxa"/>
          </w:tcPr>
          <w:p w:rsidR="0077563C" w:rsidRPr="00291447" w:rsidRDefault="0077563C" w:rsidP="00C25594">
            <w:pPr>
              <w:jc w:val="center"/>
              <w:rPr>
                <w:sz w:val="22"/>
                <w:szCs w:val="22"/>
              </w:rPr>
            </w:pPr>
            <w:r w:rsidRPr="00291447">
              <w:rPr>
                <w:sz w:val="22"/>
                <w:szCs w:val="22"/>
              </w:rPr>
              <w:t>0</w:t>
            </w:r>
          </w:p>
        </w:tc>
        <w:tc>
          <w:tcPr>
            <w:tcW w:w="1080" w:type="dxa"/>
          </w:tcPr>
          <w:p w:rsidR="0077563C" w:rsidRPr="00291447" w:rsidRDefault="0077563C" w:rsidP="00C25594">
            <w:pPr>
              <w:jc w:val="center"/>
              <w:rPr>
                <w:sz w:val="22"/>
                <w:szCs w:val="22"/>
              </w:rPr>
            </w:pPr>
            <w:r w:rsidRPr="00291447">
              <w:rPr>
                <w:sz w:val="22"/>
                <w:szCs w:val="22"/>
              </w:rPr>
              <w:t>0</w:t>
            </w:r>
          </w:p>
        </w:tc>
      </w:tr>
      <w:tr w:rsidR="0077563C" w:rsidTr="0077563C">
        <w:tc>
          <w:tcPr>
            <w:tcW w:w="2808" w:type="dxa"/>
          </w:tcPr>
          <w:p w:rsidR="0077563C" w:rsidRPr="00291447" w:rsidRDefault="0077563C" w:rsidP="00C25594">
            <w:pPr>
              <w:rPr>
                <w:b/>
                <w:sz w:val="22"/>
                <w:szCs w:val="22"/>
                <w:u w:val="single"/>
              </w:rPr>
            </w:pPr>
            <w:r w:rsidRPr="00291447">
              <w:rPr>
                <w:b/>
                <w:bCs/>
                <w:sz w:val="22"/>
                <w:szCs w:val="22"/>
              </w:rPr>
              <w:t>Copper</w:t>
            </w:r>
          </w:p>
        </w:tc>
        <w:tc>
          <w:tcPr>
            <w:tcW w:w="931" w:type="dxa"/>
            <w:vAlign w:val="center"/>
          </w:tcPr>
          <w:p w:rsidR="0077563C" w:rsidRPr="00291447" w:rsidRDefault="0077563C" w:rsidP="00C25594">
            <w:pPr>
              <w:jc w:val="center"/>
              <w:rPr>
                <w:sz w:val="22"/>
                <w:szCs w:val="22"/>
              </w:rPr>
            </w:pPr>
            <w:r w:rsidRPr="00291447">
              <w:rPr>
                <w:sz w:val="22"/>
                <w:szCs w:val="22"/>
              </w:rPr>
              <w:t>0</w:t>
            </w:r>
          </w:p>
        </w:tc>
        <w:tc>
          <w:tcPr>
            <w:tcW w:w="1139" w:type="dxa"/>
            <w:vAlign w:val="center"/>
          </w:tcPr>
          <w:p w:rsidR="0077563C" w:rsidRPr="00291447" w:rsidRDefault="0077563C" w:rsidP="00C25594">
            <w:pPr>
              <w:jc w:val="center"/>
              <w:rPr>
                <w:sz w:val="22"/>
                <w:szCs w:val="22"/>
              </w:rPr>
            </w:pPr>
            <w:r w:rsidRPr="00291447">
              <w:rPr>
                <w:sz w:val="22"/>
                <w:szCs w:val="22"/>
              </w:rPr>
              <w:t>0</w:t>
            </w:r>
          </w:p>
        </w:tc>
        <w:tc>
          <w:tcPr>
            <w:tcW w:w="1260" w:type="dxa"/>
          </w:tcPr>
          <w:p w:rsidR="0077563C" w:rsidRPr="00291447" w:rsidRDefault="0077563C" w:rsidP="00C25594">
            <w:pPr>
              <w:jc w:val="center"/>
              <w:rPr>
                <w:sz w:val="22"/>
                <w:szCs w:val="22"/>
              </w:rPr>
            </w:pPr>
            <w:r>
              <w:rPr>
                <w:sz w:val="22"/>
                <w:szCs w:val="22"/>
              </w:rPr>
              <w:t>0</w:t>
            </w:r>
          </w:p>
        </w:tc>
        <w:tc>
          <w:tcPr>
            <w:tcW w:w="1080" w:type="dxa"/>
          </w:tcPr>
          <w:p w:rsidR="0077563C" w:rsidRPr="00291447" w:rsidRDefault="0077563C" w:rsidP="00C25594">
            <w:pPr>
              <w:jc w:val="center"/>
              <w:rPr>
                <w:sz w:val="22"/>
                <w:szCs w:val="22"/>
              </w:rPr>
            </w:pPr>
            <w:r>
              <w:rPr>
                <w:sz w:val="22"/>
                <w:szCs w:val="22"/>
              </w:rPr>
              <w:t>0</w:t>
            </w:r>
          </w:p>
        </w:tc>
        <w:tc>
          <w:tcPr>
            <w:tcW w:w="1080" w:type="dxa"/>
          </w:tcPr>
          <w:p w:rsidR="0077563C" w:rsidRPr="00291447" w:rsidRDefault="0077563C" w:rsidP="00C25594">
            <w:pPr>
              <w:jc w:val="center"/>
              <w:rPr>
                <w:sz w:val="22"/>
                <w:szCs w:val="22"/>
              </w:rPr>
            </w:pPr>
            <w:r w:rsidRPr="00291447">
              <w:rPr>
                <w:sz w:val="22"/>
                <w:szCs w:val="22"/>
              </w:rPr>
              <w:t>15</w:t>
            </w:r>
          </w:p>
        </w:tc>
        <w:tc>
          <w:tcPr>
            <w:tcW w:w="1080" w:type="dxa"/>
          </w:tcPr>
          <w:p w:rsidR="0077563C" w:rsidRPr="00291447" w:rsidRDefault="0077563C" w:rsidP="00C25594">
            <w:pPr>
              <w:jc w:val="center"/>
              <w:rPr>
                <w:sz w:val="22"/>
                <w:szCs w:val="22"/>
              </w:rPr>
            </w:pPr>
            <w:r w:rsidRPr="00291447">
              <w:rPr>
                <w:sz w:val="22"/>
                <w:szCs w:val="22"/>
              </w:rPr>
              <w:t>0</w:t>
            </w:r>
          </w:p>
        </w:tc>
      </w:tr>
      <w:tr w:rsidR="0077563C" w:rsidTr="0077563C">
        <w:tc>
          <w:tcPr>
            <w:tcW w:w="2808" w:type="dxa"/>
          </w:tcPr>
          <w:p w:rsidR="0077563C" w:rsidRPr="00291447" w:rsidRDefault="0077563C" w:rsidP="00C25594">
            <w:pPr>
              <w:rPr>
                <w:b/>
                <w:bCs/>
                <w:sz w:val="22"/>
                <w:szCs w:val="22"/>
              </w:rPr>
            </w:pPr>
            <w:r w:rsidRPr="00291447">
              <w:rPr>
                <w:b/>
                <w:bCs/>
                <w:sz w:val="22"/>
                <w:szCs w:val="22"/>
              </w:rPr>
              <w:t xml:space="preserve">Cast / wrought iron                                    </w:t>
            </w:r>
          </w:p>
        </w:tc>
        <w:tc>
          <w:tcPr>
            <w:tcW w:w="931" w:type="dxa"/>
            <w:vAlign w:val="center"/>
          </w:tcPr>
          <w:p w:rsidR="0077563C" w:rsidRPr="00291447" w:rsidRDefault="0077563C" w:rsidP="00C25594">
            <w:pPr>
              <w:jc w:val="center"/>
              <w:rPr>
                <w:sz w:val="22"/>
                <w:szCs w:val="22"/>
              </w:rPr>
            </w:pPr>
            <w:r w:rsidRPr="00291447">
              <w:rPr>
                <w:sz w:val="22"/>
                <w:szCs w:val="22"/>
              </w:rPr>
              <w:t>13.2</w:t>
            </w:r>
          </w:p>
        </w:tc>
        <w:tc>
          <w:tcPr>
            <w:tcW w:w="1139" w:type="dxa"/>
            <w:vAlign w:val="center"/>
          </w:tcPr>
          <w:p w:rsidR="0077563C" w:rsidRPr="00291447" w:rsidRDefault="0077563C" w:rsidP="00C25594">
            <w:pPr>
              <w:jc w:val="center"/>
              <w:rPr>
                <w:sz w:val="22"/>
                <w:szCs w:val="22"/>
              </w:rPr>
            </w:pPr>
            <w:r w:rsidRPr="00291447">
              <w:rPr>
                <w:sz w:val="22"/>
                <w:szCs w:val="22"/>
              </w:rPr>
              <w:t>0.3</w:t>
            </w:r>
          </w:p>
        </w:tc>
        <w:tc>
          <w:tcPr>
            <w:tcW w:w="1260" w:type="dxa"/>
          </w:tcPr>
          <w:p w:rsidR="0077563C" w:rsidRPr="00291447" w:rsidRDefault="0077563C" w:rsidP="00C25594">
            <w:pPr>
              <w:jc w:val="center"/>
              <w:rPr>
                <w:sz w:val="22"/>
                <w:szCs w:val="22"/>
              </w:rPr>
            </w:pPr>
            <w:r>
              <w:rPr>
                <w:sz w:val="22"/>
                <w:szCs w:val="22"/>
              </w:rPr>
              <w:t>0</w:t>
            </w:r>
          </w:p>
        </w:tc>
        <w:tc>
          <w:tcPr>
            <w:tcW w:w="1080" w:type="dxa"/>
          </w:tcPr>
          <w:p w:rsidR="0077563C" w:rsidRPr="00291447" w:rsidRDefault="0077563C" w:rsidP="00C25594">
            <w:pPr>
              <w:jc w:val="center"/>
              <w:rPr>
                <w:sz w:val="22"/>
                <w:szCs w:val="22"/>
              </w:rPr>
            </w:pPr>
            <w:r>
              <w:rPr>
                <w:sz w:val="22"/>
                <w:szCs w:val="22"/>
              </w:rPr>
              <w:t>0</w:t>
            </w:r>
          </w:p>
        </w:tc>
        <w:tc>
          <w:tcPr>
            <w:tcW w:w="1080" w:type="dxa"/>
          </w:tcPr>
          <w:p w:rsidR="0077563C" w:rsidRPr="00291447" w:rsidRDefault="0077563C" w:rsidP="00C25594">
            <w:pPr>
              <w:jc w:val="center"/>
              <w:rPr>
                <w:sz w:val="22"/>
                <w:szCs w:val="22"/>
              </w:rPr>
            </w:pPr>
            <w:r w:rsidRPr="00291447">
              <w:rPr>
                <w:sz w:val="22"/>
                <w:szCs w:val="22"/>
              </w:rPr>
              <w:t>0</w:t>
            </w:r>
          </w:p>
        </w:tc>
        <w:tc>
          <w:tcPr>
            <w:tcW w:w="1080" w:type="dxa"/>
          </w:tcPr>
          <w:p w:rsidR="0077563C" w:rsidRPr="00291447" w:rsidRDefault="0077563C" w:rsidP="00C25594">
            <w:pPr>
              <w:jc w:val="center"/>
              <w:rPr>
                <w:sz w:val="22"/>
                <w:szCs w:val="22"/>
              </w:rPr>
            </w:pPr>
            <w:r w:rsidRPr="00291447">
              <w:rPr>
                <w:sz w:val="22"/>
                <w:szCs w:val="22"/>
              </w:rPr>
              <w:t>0</w:t>
            </w:r>
          </w:p>
        </w:tc>
      </w:tr>
      <w:tr w:rsidR="0077563C" w:rsidTr="0077563C">
        <w:tc>
          <w:tcPr>
            <w:tcW w:w="2808" w:type="dxa"/>
          </w:tcPr>
          <w:p w:rsidR="0077563C" w:rsidRPr="00291447" w:rsidRDefault="0077563C" w:rsidP="00C25594">
            <w:pPr>
              <w:rPr>
                <w:b/>
                <w:bCs/>
                <w:sz w:val="22"/>
                <w:szCs w:val="22"/>
              </w:rPr>
            </w:pPr>
            <w:r w:rsidRPr="00291447">
              <w:rPr>
                <w:b/>
                <w:bCs/>
                <w:sz w:val="22"/>
                <w:szCs w:val="22"/>
              </w:rPr>
              <w:t xml:space="preserve">Plastic    </w:t>
            </w:r>
          </w:p>
        </w:tc>
        <w:tc>
          <w:tcPr>
            <w:tcW w:w="931" w:type="dxa"/>
            <w:vAlign w:val="center"/>
          </w:tcPr>
          <w:p w:rsidR="0077563C" w:rsidRPr="00291447" w:rsidRDefault="0077563C" w:rsidP="00C25594">
            <w:pPr>
              <w:jc w:val="center"/>
              <w:rPr>
                <w:sz w:val="22"/>
                <w:szCs w:val="22"/>
              </w:rPr>
            </w:pPr>
            <w:r w:rsidRPr="00291447">
              <w:rPr>
                <w:sz w:val="22"/>
                <w:szCs w:val="22"/>
              </w:rPr>
              <w:t>2271.2</w:t>
            </w:r>
          </w:p>
        </w:tc>
        <w:tc>
          <w:tcPr>
            <w:tcW w:w="1139" w:type="dxa"/>
            <w:vAlign w:val="center"/>
          </w:tcPr>
          <w:p w:rsidR="0077563C" w:rsidRPr="00291447" w:rsidRDefault="0077563C" w:rsidP="00C25594">
            <w:pPr>
              <w:jc w:val="center"/>
              <w:rPr>
                <w:sz w:val="22"/>
                <w:szCs w:val="22"/>
              </w:rPr>
            </w:pPr>
            <w:r w:rsidRPr="00291447">
              <w:rPr>
                <w:sz w:val="22"/>
                <w:szCs w:val="22"/>
              </w:rPr>
              <w:t>61.2</w:t>
            </w:r>
          </w:p>
        </w:tc>
        <w:tc>
          <w:tcPr>
            <w:tcW w:w="1260" w:type="dxa"/>
          </w:tcPr>
          <w:p w:rsidR="0077563C" w:rsidRPr="00291447" w:rsidRDefault="0077563C" w:rsidP="00C25594">
            <w:pPr>
              <w:jc w:val="center"/>
              <w:rPr>
                <w:sz w:val="22"/>
                <w:szCs w:val="22"/>
              </w:rPr>
            </w:pPr>
            <w:r>
              <w:rPr>
                <w:sz w:val="22"/>
                <w:szCs w:val="22"/>
              </w:rPr>
              <w:t>0</w:t>
            </w:r>
          </w:p>
        </w:tc>
        <w:tc>
          <w:tcPr>
            <w:tcW w:w="1080" w:type="dxa"/>
          </w:tcPr>
          <w:p w:rsidR="0077563C" w:rsidRPr="00291447" w:rsidRDefault="0077563C" w:rsidP="00C25594">
            <w:pPr>
              <w:jc w:val="center"/>
              <w:rPr>
                <w:sz w:val="22"/>
                <w:szCs w:val="22"/>
              </w:rPr>
            </w:pPr>
            <w:r>
              <w:rPr>
                <w:sz w:val="22"/>
                <w:szCs w:val="22"/>
              </w:rPr>
              <w:t>0</w:t>
            </w:r>
          </w:p>
        </w:tc>
        <w:tc>
          <w:tcPr>
            <w:tcW w:w="1080" w:type="dxa"/>
          </w:tcPr>
          <w:p w:rsidR="0077563C" w:rsidRPr="00291447" w:rsidRDefault="0077563C" w:rsidP="00C25594">
            <w:pPr>
              <w:jc w:val="center"/>
              <w:rPr>
                <w:sz w:val="22"/>
                <w:szCs w:val="22"/>
              </w:rPr>
            </w:pPr>
            <w:r w:rsidRPr="00291447">
              <w:rPr>
                <w:sz w:val="22"/>
                <w:szCs w:val="22"/>
              </w:rPr>
              <w:t>74,031</w:t>
            </w:r>
          </w:p>
        </w:tc>
        <w:tc>
          <w:tcPr>
            <w:tcW w:w="1080" w:type="dxa"/>
          </w:tcPr>
          <w:p w:rsidR="0077563C" w:rsidRPr="00291447" w:rsidRDefault="00FF4E0B" w:rsidP="00C25594">
            <w:pPr>
              <w:jc w:val="center"/>
              <w:rPr>
                <w:sz w:val="22"/>
                <w:szCs w:val="22"/>
              </w:rPr>
            </w:pPr>
            <w:r>
              <w:rPr>
                <w:sz w:val="22"/>
                <w:szCs w:val="22"/>
              </w:rPr>
              <w:t>90.9</w:t>
            </w:r>
          </w:p>
        </w:tc>
      </w:tr>
      <w:tr w:rsidR="0077563C" w:rsidTr="0077563C">
        <w:tc>
          <w:tcPr>
            <w:tcW w:w="2808" w:type="dxa"/>
          </w:tcPr>
          <w:p w:rsidR="0077563C" w:rsidRPr="00291447" w:rsidRDefault="0077563C" w:rsidP="00C25594">
            <w:pPr>
              <w:rPr>
                <w:b/>
                <w:bCs/>
                <w:sz w:val="22"/>
                <w:szCs w:val="22"/>
              </w:rPr>
            </w:pPr>
            <w:r w:rsidRPr="00291447">
              <w:rPr>
                <w:b/>
                <w:bCs/>
                <w:sz w:val="22"/>
                <w:szCs w:val="22"/>
              </w:rPr>
              <w:t xml:space="preserve">Other  </w:t>
            </w:r>
          </w:p>
        </w:tc>
        <w:tc>
          <w:tcPr>
            <w:tcW w:w="931" w:type="dxa"/>
            <w:vAlign w:val="center"/>
          </w:tcPr>
          <w:p w:rsidR="0077563C" w:rsidRPr="00291447" w:rsidRDefault="0077563C" w:rsidP="00C25594">
            <w:pPr>
              <w:jc w:val="center"/>
              <w:rPr>
                <w:sz w:val="22"/>
                <w:szCs w:val="22"/>
              </w:rPr>
            </w:pPr>
            <w:r w:rsidRPr="00291447">
              <w:rPr>
                <w:sz w:val="22"/>
                <w:szCs w:val="22"/>
              </w:rPr>
              <w:t>0</w:t>
            </w:r>
          </w:p>
        </w:tc>
        <w:tc>
          <w:tcPr>
            <w:tcW w:w="1139" w:type="dxa"/>
            <w:vAlign w:val="center"/>
          </w:tcPr>
          <w:p w:rsidR="0077563C" w:rsidRPr="00291447" w:rsidRDefault="0077563C" w:rsidP="00C25594">
            <w:pPr>
              <w:jc w:val="center"/>
              <w:rPr>
                <w:sz w:val="22"/>
                <w:szCs w:val="22"/>
              </w:rPr>
            </w:pPr>
            <w:r w:rsidRPr="00291447">
              <w:rPr>
                <w:sz w:val="22"/>
                <w:szCs w:val="22"/>
              </w:rPr>
              <w:t>0</w:t>
            </w:r>
          </w:p>
        </w:tc>
        <w:tc>
          <w:tcPr>
            <w:tcW w:w="1260" w:type="dxa"/>
          </w:tcPr>
          <w:p w:rsidR="0077563C" w:rsidRPr="00291447" w:rsidRDefault="0077563C" w:rsidP="00C25594">
            <w:pPr>
              <w:jc w:val="center"/>
              <w:rPr>
                <w:sz w:val="22"/>
                <w:szCs w:val="22"/>
              </w:rPr>
            </w:pPr>
            <w:r>
              <w:rPr>
                <w:sz w:val="22"/>
                <w:szCs w:val="22"/>
              </w:rPr>
              <w:t>0</w:t>
            </w:r>
          </w:p>
        </w:tc>
        <w:tc>
          <w:tcPr>
            <w:tcW w:w="1080" w:type="dxa"/>
          </w:tcPr>
          <w:p w:rsidR="0077563C" w:rsidRPr="00291447" w:rsidRDefault="0077563C" w:rsidP="00C25594">
            <w:pPr>
              <w:jc w:val="center"/>
              <w:rPr>
                <w:sz w:val="22"/>
                <w:szCs w:val="22"/>
              </w:rPr>
            </w:pPr>
            <w:r>
              <w:rPr>
                <w:sz w:val="22"/>
                <w:szCs w:val="22"/>
              </w:rPr>
              <w:t>0</w:t>
            </w:r>
          </w:p>
        </w:tc>
        <w:tc>
          <w:tcPr>
            <w:tcW w:w="1080" w:type="dxa"/>
          </w:tcPr>
          <w:p w:rsidR="0077563C" w:rsidRPr="00291447" w:rsidRDefault="0077563C" w:rsidP="00C25594">
            <w:pPr>
              <w:jc w:val="center"/>
              <w:rPr>
                <w:sz w:val="22"/>
                <w:szCs w:val="22"/>
              </w:rPr>
            </w:pPr>
            <w:r w:rsidRPr="00291447">
              <w:rPr>
                <w:sz w:val="22"/>
                <w:szCs w:val="22"/>
              </w:rPr>
              <w:t>0</w:t>
            </w:r>
          </w:p>
        </w:tc>
        <w:tc>
          <w:tcPr>
            <w:tcW w:w="1080" w:type="dxa"/>
          </w:tcPr>
          <w:p w:rsidR="0077563C" w:rsidRPr="00291447" w:rsidRDefault="0077563C" w:rsidP="00C25594">
            <w:pPr>
              <w:jc w:val="center"/>
              <w:rPr>
                <w:sz w:val="22"/>
                <w:szCs w:val="22"/>
              </w:rPr>
            </w:pPr>
            <w:r w:rsidRPr="00291447">
              <w:rPr>
                <w:sz w:val="22"/>
                <w:szCs w:val="22"/>
              </w:rPr>
              <w:t>0</w:t>
            </w:r>
          </w:p>
        </w:tc>
      </w:tr>
      <w:tr w:rsidR="0077563C" w:rsidTr="0077563C">
        <w:tc>
          <w:tcPr>
            <w:tcW w:w="2808" w:type="dxa"/>
          </w:tcPr>
          <w:p w:rsidR="0077563C" w:rsidRPr="00291447" w:rsidRDefault="0077563C" w:rsidP="00C25594">
            <w:pPr>
              <w:rPr>
                <w:b/>
                <w:bCs/>
                <w:sz w:val="22"/>
                <w:szCs w:val="22"/>
              </w:rPr>
            </w:pPr>
            <w:r w:rsidRPr="00291447">
              <w:rPr>
                <w:b/>
                <w:bCs/>
                <w:sz w:val="22"/>
                <w:szCs w:val="22"/>
              </w:rPr>
              <w:t xml:space="preserve">Total                                                        </w:t>
            </w:r>
          </w:p>
        </w:tc>
        <w:tc>
          <w:tcPr>
            <w:tcW w:w="931" w:type="dxa"/>
            <w:vAlign w:val="center"/>
          </w:tcPr>
          <w:p w:rsidR="0077563C" w:rsidRPr="00291447" w:rsidRDefault="0077563C" w:rsidP="00C25594">
            <w:pPr>
              <w:jc w:val="center"/>
              <w:rPr>
                <w:b/>
                <w:sz w:val="22"/>
                <w:szCs w:val="22"/>
                <w:u w:val="single"/>
              </w:rPr>
            </w:pPr>
            <w:r w:rsidRPr="00291447">
              <w:rPr>
                <w:b/>
                <w:sz w:val="22"/>
                <w:szCs w:val="22"/>
                <w:u w:val="single"/>
              </w:rPr>
              <w:t>3712.9</w:t>
            </w:r>
          </w:p>
        </w:tc>
        <w:tc>
          <w:tcPr>
            <w:tcW w:w="1139" w:type="dxa"/>
            <w:vAlign w:val="center"/>
          </w:tcPr>
          <w:p w:rsidR="0077563C" w:rsidRPr="00291447" w:rsidRDefault="0077563C" w:rsidP="00C25594">
            <w:pPr>
              <w:jc w:val="center"/>
              <w:rPr>
                <w:b/>
                <w:sz w:val="22"/>
                <w:szCs w:val="22"/>
                <w:u w:val="single"/>
              </w:rPr>
            </w:pPr>
            <w:r w:rsidRPr="00291447">
              <w:rPr>
                <w:b/>
                <w:sz w:val="22"/>
                <w:szCs w:val="22"/>
                <w:u w:val="single"/>
              </w:rPr>
              <w:t>100.0</w:t>
            </w:r>
          </w:p>
        </w:tc>
        <w:tc>
          <w:tcPr>
            <w:tcW w:w="1260" w:type="dxa"/>
          </w:tcPr>
          <w:p w:rsidR="0077563C" w:rsidRPr="00291447" w:rsidRDefault="0077563C" w:rsidP="00C25594">
            <w:pPr>
              <w:jc w:val="center"/>
              <w:rPr>
                <w:b/>
                <w:sz w:val="22"/>
                <w:szCs w:val="22"/>
                <w:u w:val="single"/>
              </w:rPr>
            </w:pPr>
            <w:r>
              <w:rPr>
                <w:b/>
                <w:sz w:val="22"/>
                <w:szCs w:val="22"/>
                <w:u w:val="single"/>
              </w:rPr>
              <w:t>109.9</w:t>
            </w:r>
          </w:p>
        </w:tc>
        <w:tc>
          <w:tcPr>
            <w:tcW w:w="1080" w:type="dxa"/>
          </w:tcPr>
          <w:p w:rsidR="0077563C" w:rsidRPr="00291447" w:rsidRDefault="0077563C" w:rsidP="00C25594">
            <w:pPr>
              <w:jc w:val="center"/>
              <w:rPr>
                <w:b/>
                <w:sz w:val="22"/>
                <w:szCs w:val="22"/>
                <w:u w:val="single"/>
              </w:rPr>
            </w:pPr>
            <w:r w:rsidRPr="00291447">
              <w:rPr>
                <w:b/>
                <w:sz w:val="22"/>
                <w:szCs w:val="22"/>
                <w:u w:val="single"/>
              </w:rPr>
              <w:t>100.0</w:t>
            </w:r>
          </w:p>
        </w:tc>
        <w:tc>
          <w:tcPr>
            <w:tcW w:w="1080" w:type="dxa"/>
          </w:tcPr>
          <w:p w:rsidR="0077563C" w:rsidRPr="00291447" w:rsidRDefault="0077563C" w:rsidP="00C25594">
            <w:pPr>
              <w:jc w:val="center"/>
              <w:rPr>
                <w:b/>
                <w:sz w:val="22"/>
                <w:szCs w:val="22"/>
                <w:u w:val="single"/>
              </w:rPr>
            </w:pPr>
            <w:r w:rsidRPr="00291447">
              <w:rPr>
                <w:b/>
                <w:sz w:val="22"/>
                <w:szCs w:val="22"/>
                <w:u w:val="single"/>
              </w:rPr>
              <w:t>81,434</w:t>
            </w:r>
          </w:p>
        </w:tc>
        <w:tc>
          <w:tcPr>
            <w:tcW w:w="1080" w:type="dxa"/>
          </w:tcPr>
          <w:p w:rsidR="0077563C" w:rsidRPr="00291447" w:rsidRDefault="0077563C" w:rsidP="00C25594">
            <w:pPr>
              <w:jc w:val="center"/>
              <w:rPr>
                <w:b/>
                <w:sz w:val="22"/>
                <w:szCs w:val="22"/>
                <w:u w:val="single"/>
              </w:rPr>
            </w:pPr>
            <w:r w:rsidRPr="00291447">
              <w:rPr>
                <w:b/>
                <w:sz w:val="22"/>
                <w:szCs w:val="22"/>
                <w:u w:val="single"/>
              </w:rPr>
              <w:t>100.0</w:t>
            </w:r>
          </w:p>
        </w:tc>
      </w:tr>
    </w:tbl>
    <w:p w:rsidR="00B50EE4" w:rsidRDefault="00B50EE4" w:rsidP="00B50EE4">
      <w:pPr>
        <w:pStyle w:val="p2"/>
        <w:widowControl/>
        <w:spacing w:line="360" w:lineRule="auto"/>
        <w:ind w:firstLine="0"/>
        <w:rPr>
          <w:b/>
          <w:sz w:val="26"/>
          <w:szCs w:val="26"/>
          <w:u w:val="single"/>
        </w:rPr>
      </w:pPr>
    </w:p>
    <w:p w:rsidR="005E33A1" w:rsidRDefault="005E33A1" w:rsidP="00B50EE4">
      <w:pPr>
        <w:pStyle w:val="p2"/>
        <w:widowControl/>
        <w:spacing w:line="360" w:lineRule="auto"/>
        <w:ind w:firstLine="0"/>
        <w:rPr>
          <w:sz w:val="26"/>
          <w:szCs w:val="26"/>
          <w:u w:val="single"/>
        </w:rPr>
      </w:pPr>
      <w:r w:rsidRPr="00EE1E3C">
        <w:rPr>
          <w:sz w:val="26"/>
          <w:szCs w:val="26"/>
          <w:u w:val="single"/>
        </w:rPr>
        <w:t>Gas Service Lines</w:t>
      </w:r>
      <w:r w:rsidRPr="00EE1E3C">
        <w:rPr>
          <w:sz w:val="26"/>
          <w:szCs w:val="26"/>
        </w:rPr>
        <w:t>:</w:t>
      </w:r>
      <w:r w:rsidRPr="00BC54EF">
        <w:rPr>
          <w:sz w:val="26"/>
          <w:szCs w:val="26"/>
        </w:rPr>
        <w:t xml:space="preserve">  </w:t>
      </w:r>
      <w:r w:rsidR="0014165C">
        <w:rPr>
          <w:sz w:val="26"/>
          <w:szCs w:val="26"/>
        </w:rPr>
        <w:t>UGI-CPG</w:t>
      </w:r>
      <w:r>
        <w:rPr>
          <w:sz w:val="26"/>
          <w:szCs w:val="26"/>
        </w:rPr>
        <w:t xml:space="preserve"> </w:t>
      </w:r>
      <w:r w:rsidRPr="00920125">
        <w:rPr>
          <w:sz w:val="26"/>
          <w:szCs w:val="26"/>
        </w:rPr>
        <w:t>states that typically gas service</w:t>
      </w:r>
      <w:r>
        <w:rPr>
          <w:sz w:val="26"/>
          <w:szCs w:val="26"/>
        </w:rPr>
        <w:t xml:space="preserve"> line</w:t>
      </w:r>
      <w:r w:rsidRPr="00920125">
        <w:rPr>
          <w:sz w:val="26"/>
          <w:szCs w:val="26"/>
        </w:rPr>
        <w:t>s</w:t>
      </w:r>
      <w:r>
        <w:rPr>
          <w:sz w:val="26"/>
          <w:szCs w:val="26"/>
        </w:rPr>
        <w:t xml:space="preserve"> </w:t>
      </w:r>
      <w:r w:rsidRPr="00920125">
        <w:rPr>
          <w:sz w:val="26"/>
          <w:szCs w:val="26"/>
        </w:rPr>
        <w:t xml:space="preserve">are </w:t>
      </w:r>
      <w:r>
        <w:rPr>
          <w:sz w:val="26"/>
          <w:szCs w:val="26"/>
        </w:rPr>
        <w:t xml:space="preserve">periodically replaced on the basis of condition or planned obsolescence </w:t>
      </w:r>
      <w:r w:rsidRPr="00920125">
        <w:rPr>
          <w:sz w:val="26"/>
          <w:szCs w:val="26"/>
        </w:rPr>
        <w:t>in conjunction with the replacement of the main to which they are connected.  At the time of service line replacement, inside meters will be replaced with outside meters wherever practical to be</w:t>
      </w:r>
      <w:r>
        <w:rPr>
          <w:sz w:val="26"/>
          <w:szCs w:val="26"/>
        </w:rPr>
        <w:t>tter facilitate company access.</w:t>
      </w:r>
    </w:p>
    <w:p w:rsidR="005E33A1" w:rsidRDefault="005E33A1" w:rsidP="00B50EE4">
      <w:pPr>
        <w:pStyle w:val="p2"/>
        <w:widowControl/>
        <w:spacing w:line="360" w:lineRule="auto"/>
        <w:ind w:firstLine="0"/>
        <w:rPr>
          <w:sz w:val="26"/>
          <w:szCs w:val="26"/>
          <w:u w:val="single"/>
        </w:rPr>
      </w:pPr>
    </w:p>
    <w:p w:rsidR="00B50EE4" w:rsidRDefault="00B50EE4" w:rsidP="00B50EE4">
      <w:pPr>
        <w:pStyle w:val="p2"/>
        <w:widowControl/>
        <w:spacing w:line="360" w:lineRule="auto"/>
        <w:ind w:firstLine="0"/>
        <w:rPr>
          <w:sz w:val="26"/>
          <w:szCs w:val="26"/>
        </w:rPr>
      </w:pPr>
      <w:r w:rsidRPr="00EE1E3C">
        <w:rPr>
          <w:sz w:val="26"/>
          <w:szCs w:val="26"/>
          <w:u w:val="single"/>
        </w:rPr>
        <w:t>Excess Flow Valves</w:t>
      </w:r>
      <w:r w:rsidRPr="00BC54EF">
        <w:rPr>
          <w:sz w:val="26"/>
          <w:szCs w:val="26"/>
        </w:rPr>
        <w:t xml:space="preserve">:  </w:t>
      </w:r>
      <w:r>
        <w:rPr>
          <w:sz w:val="26"/>
          <w:szCs w:val="26"/>
        </w:rPr>
        <w:t>Excess flow valves are safety devices installed on gas service lines which interrupt the flow of gas in the event of a fully severed line.   As service lines are replaced, excess flow valves are installed.</w:t>
      </w:r>
    </w:p>
    <w:p w:rsidR="00B50EE4" w:rsidRDefault="00B50EE4" w:rsidP="00B50EE4">
      <w:pPr>
        <w:pStyle w:val="p2"/>
        <w:widowControl/>
        <w:spacing w:line="360" w:lineRule="auto"/>
        <w:ind w:firstLine="0"/>
        <w:rPr>
          <w:sz w:val="26"/>
          <w:szCs w:val="26"/>
        </w:rPr>
      </w:pPr>
    </w:p>
    <w:p w:rsidR="00B50EE4" w:rsidRDefault="00B50EE4" w:rsidP="00B50EE4">
      <w:pPr>
        <w:pStyle w:val="p2"/>
        <w:widowControl/>
        <w:spacing w:line="360" w:lineRule="auto"/>
        <w:ind w:firstLine="0"/>
        <w:rPr>
          <w:sz w:val="26"/>
          <w:szCs w:val="26"/>
        </w:rPr>
      </w:pPr>
      <w:r w:rsidRPr="00EE1E3C">
        <w:rPr>
          <w:sz w:val="26"/>
          <w:szCs w:val="26"/>
          <w:u w:val="single"/>
        </w:rPr>
        <w:t>City Gate and District Regulator Stations</w:t>
      </w:r>
      <w:r w:rsidRPr="00EE1E3C">
        <w:rPr>
          <w:sz w:val="26"/>
          <w:szCs w:val="26"/>
        </w:rPr>
        <w:t>:</w:t>
      </w:r>
      <w:r w:rsidRPr="00BC54EF">
        <w:rPr>
          <w:sz w:val="26"/>
          <w:szCs w:val="26"/>
        </w:rPr>
        <w:t xml:space="preserve">  </w:t>
      </w:r>
      <w:r>
        <w:rPr>
          <w:sz w:val="26"/>
          <w:szCs w:val="26"/>
        </w:rPr>
        <w:t xml:space="preserve">City Gate and District Regulator Stations are facilities which reduce system pressures as gas is distributed throughout the piping </w:t>
      </w:r>
      <w:r>
        <w:rPr>
          <w:sz w:val="26"/>
          <w:szCs w:val="26"/>
        </w:rPr>
        <w:lastRenderedPageBreak/>
        <w:t xml:space="preserve">network.  City Gate Stations are generally located at the point of custody transfer between the interstate pipelines and distribution systems, whereas District Regulator </w:t>
      </w:r>
    </w:p>
    <w:p w:rsidR="00B50EE4" w:rsidRDefault="00B50EE4" w:rsidP="00B50EE4">
      <w:pPr>
        <w:pStyle w:val="p2"/>
        <w:widowControl/>
        <w:spacing w:line="360" w:lineRule="auto"/>
        <w:ind w:firstLine="0"/>
        <w:rPr>
          <w:sz w:val="26"/>
          <w:szCs w:val="26"/>
        </w:rPr>
      </w:pPr>
      <w:r>
        <w:rPr>
          <w:sz w:val="26"/>
          <w:szCs w:val="26"/>
        </w:rPr>
        <w:t xml:space="preserve">Stations are located within distribution systems.  </w:t>
      </w:r>
      <w:r w:rsidR="0014165C">
        <w:rPr>
          <w:sz w:val="26"/>
          <w:szCs w:val="26"/>
        </w:rPr>
        <w:t>UGI-CPG</w:t>
      </w:r>
      <w:r>
        <w:rPr>
          <w:sz w:val="26"/>
          <w:szCs w:val="26"/>
        </w:rPr>
        <w:t xml:space="preserve"> states that regulator stations must be periodically updated or replaced as components such as piping and mechanical equipment age and wear or become obsolete.  </w:t>
      </w:r>
      <w:r w:rsidR="0014165C">
        <w:rPr>
          <w:sz w:val="26"/>
          <w:szCs w:val="26"/>
        </w:rPr>
        <w:t>UGI-CPG</w:t>
      </w:r>
      <w:r w:rsidR="00C70A09">
        <w:rPr>
          <w:sz w:val="26"/>
          <w:szCs w:val="26"/>
        </w:rPr>
        <w:t xml:space="preserve"> has 39 City Gate Stations and 889</w:t>
      </w:r>
      <w:r>
        <w:rPr>
          <w:sz w:val="26"/>
          <w:szCs w:val="26"/>
        </w:rPr>
        <w:t xml:space="preserve"> District Regulator Stations.</w:t>
      </w:r>
    </w:p>
    <w:p w:rsidR="00B50EE4" w:rsidRDefault="00B50EE4" w:rsidP="00B50EE4">
      <w:pPr>
        <w:pStyle w:val="p2"/>
        <w:widowControl/>
        <w:spacing w:line="360" w:lineRule="auto"/>
        <w:ind w:firstLine="0"/>
        <w:rPr>
          <w:sz w:val="26"/>
          <w:szCs w:val="26"/>
        </w:rPr>
      </w:pPr>
    </w:p>
    <w:p w:rsidR="00E77BE2" w:rsidRDefault="00B50EE4" w:rsidP="00E77BE2">
      <w:pPr>
        <w:widowControl/>
        <w:spacing w:line="360" w:lineRule="auto"/>
        <w:rPr>
          <w:sz w:val="26"/>
          <w:szCs w:val="26"/>
        </w:rPr>
      </w:pPr>
      <w:r w:rsidRPr="00EE1E3C">
        <w:rPr>
          <w:sz w:val="26"/>
          <w:szCs w:val="26"/>
          <w:u w:val="single"/>
        </w:rPr>
        <w:t>Vintage Plastic Pipe</w:t>
      </w:r>
      <w:r w:rsidRPr="00EE1E3C">
        <w:rPr>
          <w:sz w:val="26"/>
          <w:szCs w:val="26"/>
        </w:rPr>
        <w:t>:</w:t>
      </w:r>
      <w:r w:rsidRPr="00BC54EF">
        <w:rPr>
          <w:sz w:val="26"/>
          <w:szCs w:val="26"/>
        </w:rPr>
        <w:t xml:space="preserve">  </w:t>
      </w:r>
      <w:r w:rsidR="00E77BE2" w:rsidRPr="00E77BE2">
        <w:rPr>
          <w:rFonts w:eastAsiaTheme="minorHAnsi"/>
          <w:sz w:val="26"/>
          <w:szCs w:val="26"/>
        </w:rPr>
        <w:t>Certain plastic pipe materials have been found to exhibit a higher than average potential</w:t>
      </w:r>
      <w:r w:rsidR="00E77BE2">
        <w:rPr>
          <w:rFonts w:eastAsiaTheme="minorHAnsi"/>
          <w:sz w:val="26"/>
          <w:szCs w:val="26"/>
        </w:rPr>
        <w:t xml:space="preserve"> </w:t>
      </w:r>
      <w:r w:rsidR="00E77BE2" w:rsidRPr="00E77BE2">
        <w:rPr>
          <w:rFonts w:eastAsiaTheme="minorHAnsi"/>
          <w:sz w:val="26"/>
          <w:szCs w:val="26"/>
        </w:rPr>
        <w:t>for failure. In particular, early vintage plastic pipes h</w:t>
      </w:r>
      <w:r w:rsidR="00E77BE2">
        <w:rPr>
          <w:rFonts w:eastAsiaTheme="minorHAnsi"/>
          <w:sz w:val="26"/>
          <w:szCs w:val="26"/>
        </w:rPr>
        <w:t xml:space="preserve">ave been found to be subject to </w:t>
      </w:r>
      <w:r w:rsidR="00E77BE2" w:rsidRPr="00E77BE2">
        <w:rPr>
          <w:rFonts w:eastAsiaTheme="minorHAnsi"/>
          <w:sz w:val="26"/>
          <w:szCs w:val="26"/>
        </w:rPr>
        <w:t>higher potential for brittle cracking type failures. UGI-C</w:t>
      </w:r>
      <w:r w:rsidR="00E77BE2">
        <w:rPr>
          <w:rFonts w:eastAsiaTheme="minorHAnsi"/>
          <w:sz w:val="26"/>
          <w:szCs w:val="26"/>
        </w:rPr>
        <w:t xml:space="preserve">PG will monitor vintage plastic </w:t>
      </w:r>
      <w:r w:rsidR="00E77BE2" w:rsidRPr="00E77BE2">
        <w:rPr>
          <w:rFonts w:eastAsiaTheme="minorHAnsi"/>
          <w:sz w:val="26"/>
          <w:szCs w:val="26"/>
        </w:rPr>
        <w:t xml:space="preserve">pipe performance and replace on a risk prioritized basis </w:t>
      </w:r>
      <w:r w:rsidR="00E77BE2">
        <w:rPr>
          <w:rFonts w:eastAsiaTheme="minorHAnsi"/>
          <w:sz w:val="26"/>
          <w:szCs w:val="26"/>
        </w:rPr>
        <w:t xml:space="preserve">as may be necessary to maintain </w:t>
      </w:r>
      <w:r w:rsidR="00E77BE2" w:rsidRPr="00E77BE2">
        <w:rPr>
          <w:rFonts w:eastAsiaTheme="minorHAnsi"/>
          <w:sz w:val="26"/>
          <w:szCs w:val="26"/>
        </w:rPr>
        <w:t>reliability and integrity.</w:t>
      </w:r>
    </w:p>
    <w:p w:rsidR="00B50EE4" w:rsidRDefault="00B50EE4" w:rsidP="00B50EE4">
      <w:pPr>
        <w:pStyle w:val="p2"/>
        <w:widowControl/>
        <w:spacing w:line="360" w:lineRule="auto"/>
        <w:ind w:firstLine="0"/>
        <w:rPr>
          <w:sz w:val="26"/>
          <w:szCs w:val="26"/>
        </w:rPr>
      </w:pPr>
    </w:p>
    <w:p w:rsidR="00BB3FDC" w:rsidRDefault="00B50EE4" w:rsidP="00B50EE4">
      <w:pPr>
        <w:pStyle w:val="p2"/>
        <w:widowControl/>
        <w:spacing w:line="360" w:lineRule="auto"/>
        <w:ind w:firstLine="0"/>
        <w:rPr>
          <w:sz w:val="26"/>
          <w:szCs w:val="26"/>
        </w:rPr>
      </w:pPr>
      <w:r w:rsidRPr="00EE1E3C">
        <w:rPr>
          <w:sz w:val="26"/>
          <w:szCs w:val="26"/>
          <w:u w:val="single"/>
        </w:rPr>
        <w:t>Transmission Mains and Infrastructure</w:t>
      </w:r>
      <w:r w:rsidRPr="00EE1E3C">
        <w:rPr>
          <w:sz w:val="26"/>
          <w:szCs w:val="26"/>
        </w:rPr>
        <w:t>:</w:t>
      </w:r>
      <w:r w:rsidRPr="00BC54EF">
        <w:rPr>
          <w:sz w:val="26"/>
          <w:szCs w:val="26"/>
        </w:rPr>
        <w:t xml:space="preserve">  </w:t>
      </w:r>
      <w:r w:rsidR="008835C3">
        <w:rPr>
          <w:sz w:val="26"/>
          <w:szCs w:val="26"/>
        </w:rPr>
        <w:t xml:space="preserve">As outlined in Table 2 below, </w:t>
      </w:r>
      <w:r w:rsidR="0014165C">
        <w:rPr>
          <w:sz w:val="26"/>
          <w:szCs w:val="26"/>
        </w:rPr>
        <w:t>UGI-CPG</w:t>
      </w:r>
      <w:r w:rsidR="00E77BE2">
        <w:rPr>
          <w:sz w:val="26"/>
          <w:szCs w:val="26"/>
        </w:rPr>
        <w:t xml:space="preserve"> maintains approximately 110</w:t>
      </w:r>
      <w:r>
        <w:rPr>
          <w:sz w:val="26"/>
          <w:szCs w:val="26"/>
        </w:rPr>
        <w:t xml:space="preserve"> miles of natural gas transmission pipelines</w:t>
      </w:r>
      <w:r w:rsidR="00E77BE2">
        <w:rPr>
          <w:sz w:val="26"/>
          <w:szCs w:val="26"/>
        </w:rPr>
        <w:t>,</w:t>
      </w:r>
      <w:r>
        <w:rPr>
          <w:sz w:val="26"/>
          <w:szCs w:val="26"/>
        </w:rPr>
        <w:t xml:space="preserve"> which provide large volumes of gas at h</w:t>
      </w:r>
      <w:r w:rsidR="00E77BE2">
        <w:rPr>
          <w:sz w:val="26"/>
          <w:szCs w:val="26"/>
        </w:rPr>
        <w:t>igh pressures.  Approximately 69</w:t>
      </w:r>
      <w:r>
        <w:rPr>
          <w:sz w:val="26"/>
          <w:szCs w:val="26"/>
        </w:rPr>
        <w:t xml:space="preserve"> miles</w:t>
      </w:r>
      <w:r w:rsidR="005E33A1">
        <w:rPr>
          <w:sz w:val="26"/>
          <w:szCs w:val="26"/>
        </w:rPr>
        <w:t>,</w:t>
      </w:r>
      <w:r>
        <w:rPr>
          <w:sz w:val="26"/>
          <w:szCs w:val="26"/>
        </w:rPr>
        <w:t xml:space="preserve"> </w:t>
      </w:r>
      <w:r w:rsidR="00E77BE2">
        <w:rPr>
          <w:sz w:val="26"/>
          <w:szCs w:val="26"/>
        </w:rPr>
        <w:t>or 63</w:t>
      </w:r>
      <w:r>
        <w:rPr>
          <w:sz w:val="26"/>
          <w:szCs w:val="26"/>
        </w:rPr>
        <w:t>% of total transmission mains</w:t>
      </w:r>
      <w:r w:rsidR="005E33A1">
        <w:rPr>
          <w:sz w:val="26"/>
          <w:szCs w:val="26"/>
        </w:rPr>
        <w:t>,</w:t>
      </w:r>
      <w:r>
        <w:rPr>
          <w:sz w:val="26"/>
          <w:szCs w:val="26"/>
        </w:rPr>
        <w:t xml:space="preserve"> are protected</w:t>
      </w:r>
      <w:r w:rsidR="00261F1B">
        <w:rPr>
          <w:sz w:val="26"/>
          <w:szCs w:val="26"/>
        </w:rPr>
        <w:t xml:space="preserve"> coated steel.  Approximately 43</w:t>
      </w:r>
      <w:r>
        <w:rPr>
          <w:sz w:val="26"/>
          <w:szCs w:val="26"/>
        </w:rPr>
        <w:t xml:space="preserve">% of the </w:t>
      </w:r>
      <w:r w:rsidR="0014165C">
        <w:rPr>
          <w:sz w:val="26"/>
          <w:szCs w:val="26"/>
        </w:rPr>
        <w:t>UGI-CPG</w:t>
      </w:r>
      <w:r>
        <w:rPr>
          <w:sz w:val="26"/>
          <w:szCs w:val="26"/>
        </w:rPr>
        <w:t xml:space="preserve"> transmission system is pre-1960s vint</w:t>
      </w:r>
      <w:r w:rsidR="00E77BE2">
        <w:rPr>
          <w:sz w:val="26"/>
          <w:szCs w:val="26"/>
        </w:rPr>
        <w:t>age, or more than 50 years old.</w:t>
      </w:r>
    </w:p>
    <w:p w:rsidR="00BB3FDC" w:rsidRDefault="00BB3FDC" w:rsidP="00B50EE4">
      <w:pPr>
        <w:pStyle w:val="p2"/>
        <w:widowControl/>
        <w:spacing w:line="360" w:lineRule="auto"/>
        <w:ind w:firstLine="0"/>
        <w:rPr>
          <w:sz w:val="26"/>
          <w:szCs w:val="26"/>
        </w:rPr>
      </w:pPr>
    </w:p>
    <w:p w:rsidR="00F4616F" w:rsidRDefault="00F4616F" w:rsidP="00B50EE4">
      <w:pPr>
        <w:rPr>
          <w:b/>
          <w:sz w:val="26"/>
          <w:szCs w:val="26"/>
          <w:u w:val="single"/>
        </w:rPr>
      </w:pPr>
    </w:p>
    <w:p w:rsidR="00F4616F" w:rsidRDefault="00F4616F" w:rsidP="00B50EE4">
      <w:pPr>
        <w:rPr>
          <w:b/>
          <w:sz w:val="26"/>
          <w:szCs w:val="26"/>
          <w:u w:val="single"/>
        </w:rPr>
      </w:pPr>
    </w:p>
    <w:p w:rsidR="00F4616F" w:rsidRDefault="00F4616F" w:rsidP="00B50EE4">
      <w:pPr>
        <w:rPr>
          <w:b/>
          <w:sz w:val="26"/>
          <w:szCs w:val="26"/>
          <w:u w:val="single"/>
        </w:rPr>
      </w:pPr>
    </w:p>
    <w:p w:rsidR="00F4616F" w:rsidRDefault="00F4616F" w:rsidP="00B50EE4">
      <w:pPr>
        <w:rPr>
          <w:b/>
          <w:sz w:val="26"/>
          <w:szCs w:val="26"/>
          <w:u w:val="single"/>
        </w:rPr>
      </w:pPr>
    </w:p>
    <w:p w:rsidR="00F4616F" w:rsidRDefault="00F4616F" w:rsidP="00B50EE4">
      <w:pPr>
        <w:rPr>
          <w:b/>
          <w:sz w:val="26"/>
          <w:szCs w:val="26"/>
          <w:u w:val="single"/>
        </w:rPr>
      </w:pPr>
    </w:p>
    <w:p w:rsidR="00F4616F" w:rsidRDefault="00F4616F" w:rsidP="00B50EE4">
      <w:pPr>
        <w:rPr>
          <w:b/>
          <w:sz w:val="26"/>
          <w:szCs w:val="26"/>
          <w:u w:val="single"/>
        </w:rPr>
      </w:pPr>
    </w:p>
    <w:p w:rsidR="00F4616F" w:rsidRDefault="00F4616F" w:rsidP="00B50EE4">
      <w:pPr>
        <w:rPr>
          <w:b/>
          <w:sz w:val="26"/>
          <w:szCs w:val="26"/>
          <w:u w:val="single"/>
        </w:rPr>
      </w:pPr>
    </w:p>
    <w:p w:rsidR="00F4616F" w:rsidRDefault="00F4616F" w:rsidP="00B50EE4">
      <w:pPr>
        <w:rPr>
          <w:b/>
          <w:sz w:val="26"/>
          <w:szCs w:val="26"/>
          <w:u w:val="single"/>
        </w:rPr>
      </w:pPr>
    </w:p>
    <w:p w:rsidR="00F4616F" w:rsidRDefault="00F4616F" w:rsidP="00B50EE4">
      <w:pPr>
        <w:rPr>
          <w:b/>
          <w:sz w:val="26"/>
          <w:szCs w:val="26"/>
          <w:u w:val="single"/>
        </w:rPr>
      </w:pPr>
    </w:p>
    <w:p w:rsidR="00F4616F" w:rsidRDefault="00F4616F" w:rsidP="00B50EE4">
      <w:pPr>
        <w:rPr>
          <w:b/>
          <w:sz w:val="26"/>
          <w:szCs w:val="26"/>
          <w:u w:val="single"/>
        </w:rPr>
      </w:pPr>
    </w:p>
    <w:p w:rsidR="00F4616F" w:rsidRDefault="00F4616F" w:rsidP="00B50EE4">
      <w:pPr>
        <w:rPr>
          <w:b/>
          <w:sz w:val="26"/>
          <w:szCs w:val="26"/>
          <w:u w:val="single"/>
        </w:rPr>
      </w:pPr>
    </w:p>
    <w:p w:rsidR="00F4616F" w:rsidRDefault="00F4616F" w:rsidP="00B50EE4">
      <w:pPr>
        <w:rPr>
          <w:b/>
          <w:sz w:val="26"/>
          <w:szCs w:val="26"/>
          <w:u w:val="single"/>
        </w:rPr>
      </w:pPr>
    </w:p>
    <w:p w:rsidR="00F4616F" w:rsidRDefault="00F4616F" w:rsidP="00B50EE4">
      <w:pPr>
        <w:rPr>
          <w:b/>
          <w:sz w:val="26"/>
          <w:szCs w:val="26"/>
          <w:u w:val="single"/>
        </w:rPr>
      </w:pPr>
    </w:p>
    <w:p w:rsidR="00F4616F" w:rsidRDefault="00F4616F" w:rsidP="00B50EE4">
      <w:pPr>
        <w:rPr>
          <w:b/>
          <w:sz w:val="26"/>
          <w:szCs w:val="26"/>
          <w:u w:val="single"/>
        </w:rPr>
      </w:pPr>
    </w:p>
    <w:p w:rsidR="00B50EE4" w:rsidRDefault="00B50EE4" w:rsidP="00B50EE4">
      <w:pPr>
        <w:rPr>
          <w:b/>
          <w:sz w:val="26"/>
          <w:szCs w:val="26"/>
          <w:u w:val="single"/>
        </w:rPr>
      </w:pPr>
      <w:r>
        <w:rPr>
          <w:b/>
          <w:sz w:val="26"/>
          <w:szCs w:val="26"/>
          <w:u w:val="single"/>
        </w:rPr>
        <w:lastRenderedPageBreak/>
        <w:t>Table 2</w:t>
      </w:r>
      <w:r w:rsidRPr="000D0542">
        <w:rPr>
          <w:b/>
          <w:sz w:val="26"/>
          <w:szCs w:val="26"/>
          <w:u w:val="single"/>
        </w:rPr>
        <w:t xml:space="preserve">:  </w:t>
      </w:r>
      <w:r>
        <w:rPr>
          <w:b/>
          <w:sz w:val="26"/>
          <w:szCs w:val="26"/>
          <w:u w:val="single"/>
        </w:rPr>
        <w:t>Age Profile</w:t>
      </w:r>
      <w:r w:rsidRPr="000D0542">
        <w:rPr>
          <w:b/>
          <w:sz w:val="26"/>
          <w:szCs w:val="26"/>
          <w:u w:val="single"/>
        </w:rPr>
        <w:t xml:space="preserve"> of </w:t>
      </w:r>
      <w:r>
        <w:rPr>
          <w:b/>
          <w:sz w:val="26"/>
          <w:szCs w:val="26"/>
          <w:u w:val="single"/>
        </w:rPr>
        <w:t xml:space="preserve">Eligible </w:t>
      </w:r>
      <w:r w:rsidRPr="000D0542">
        <w:rPr>
          <w:b/>
          <w:sz w:val="26"/>
          <w:szCs w:val="26"/>
          <w:u w:val="single"/>
        </w:rPr>
        <w:t>Dist</w:t>
      </w:r>
      <w:r>
        <w:rPr>
          <w:b/>
          <w:sz w:val="26"/>
          <w:szCs w:val="26"/>
          <w:u w:val="single"/>
        </w:rPr>
        <w:t>ribution and Transmission Mains</w:t>
      </w:r>
    </w:p>
    <w:p w:rsidR="00B50EE4" w:rsidRDefault="00B50EE4" w:rsidP="00CF23F4">
      <w:pPr>
        <w:pStyle w:val="p2"/>
        <w:tabs>
          <w:tab w:val="left" w:pos="720"/>
        </w:tabs>
        <w:spacing w:line="360" w:lineRule="auto"/>
        <w:ind w:firstLine="0"/>
        <w:rPr>
          <w:b/>
          <w:sz w:val="26"/>
          <w:szCs w:val="26"/>
        </w:rPr>
      </w:pPr>
      <w:r>
        <w:rPr>
          <w:b/>
          <w:sz w:val="26"/>
          <w:szCs w:val="26"/>
          <w:u w:val="single"/>
        </w:rPr>
        <w:t xml:space="preserve"> as of 12/31/2012.</w:t>
      </w:r>
    </w:p>
    <w:tbl>
      <w:tblPr>
        <w:tblStyle w:val="TableGrid"/>
        <w:tblW w:w="8337" w:type="dxa"/>
        <w:tblInd w:w="108" w:type="dxa"/>
        <w:tblLook w:val="04A0" w:firstRow="1" w:lastRow="0" w:firstColumn="1" w:lastColumn="0" w:noHBand="0" w:noVBand="1"/>
      </w:tblPr>
      <w:tblGrid>
        <w:gridCol w:w="1546"/>
        <w:gridCol w:w="1341"/>
        <w:gridCol w:w="1340"/>
        <w:gridCol w:w="1488"/>
        <w:gridCol w:w="1311"/>
        <w:gridCol w:w="1311"/>
      </w:tblGrid>
      <w:tr w:rsidR="00E77BE2" w:rsidTr="00261F1B">
        <w:trPr>
          <w:trHeight w:val="368"/>
        </w:trPr>
        <w:tc>
          <w:tcPr>
            <w:tcW w:w="4227" w:type="dxa"/>
            <w:gridSpan w:val="3"/>
            <w:vAlign w:val="center"/>
          </w:tcPr>
          <w:p w:rsidR="00E77BE2" w:rsidRPr="005025B6" w:rsidRDefault="00E77BE2" w:rsidP="00A8050E">
            <w:pPr>
              <w:jc w:val="center"/>
              <w:rPr>
                <w:b/>
                <w:sz w:val="26"/>
                <w:szCs w:val="26"/>
                <w:u w:val="single"/>
              </w:rPr>
            </w:pPr>
            <w:r w:rsidRPr="000D0542">
              <w:rPr>
                <w:b/>
                <w:sz w:val="26"/>
                <w:szCs w:val="26"/>
                <w:u w:val="single"/>
              </w:rPr>
              <w:t>Dist</w:t>
            </w:r>
            <w:r>
              <w:rPr>
                <w:b/>
                <w:sz w:val="26"/>
                <w:szCs w:val="26"/>
                <w:u w:val="single"/>
              </w:rPr>
              <w:t>ribution Mains</w:t>
            </w:r>
          </w:p>
        </w:tc>
        <w:tc>
          <w:tcPr>
            <w:tcW w:w="4110" w:type="dxa"/>
            <w:gridSpan w:val="3"/>
            <w:vAlign w:val="center"/>
          </w:tcPr>
          <w:p w:rsidR="00E77BE2" w:rsidRPr="005025B6" w:rsidRDefault="00E77BE2" w:rsidP="00A8050E">
            <w:pPr>
              <w:jc w:val="center"/>
              <w:rPr>
                <w:b/>
                <w:sz w:val="26"/>
                <w:szCs w:val="26"/>
                <w:u w:val="single"/>
              </w:rPr>
            </w:pPr>
            <w:r>
              <w:rPr>
                <w:b/>
                <w:sz w:val="26"/>
                <w:szCs w:val="26"/>
                <w:u w:val="single"/>
              </w:rPr>
              <w:t>Transmission Mains</w:t>
            </w:r>
          </w:p>
        </w:tc>
      </w:tr>
      <w:tr w:rsidR="00E77BE2" w:rsidTr="00261F1B">
        <w:trPr>
          <w:trHeight w:val="731"/>
        </w:trPr>
        <w:tc>
          <w:tcPr>
            <w:tcW w:w="1546" w:type="dxa"/>
          </w:tcPr>
          <w:p w:rsidR="00E77BE2" w:rsidRPr="00C606B0" w:rsidRDefault="00E77BE2" w:rsidP="00A8050E">
            <w:pPr>
              <w:rPr>
                <w:sz w:val="26"/>
                <w:szCs w:val="26"/>
              </w:rPr>
            </w:pPr>
            <w:r>
              <w:rPr>
                <w:b/>
                <w:sz w:val="26"/>
                <w:szCs w:val="26"/>
                <w:u w:val="single"/>
              </w:rPr>
              <w:t>Decade of Installation</w:t>
            </w:r>
          </w:p>
        </w:tc>
        <w:tc>
          <w:tcPr>
            <w:tcW w:w="1341" w:type="dxa"/>
            <w:vAlign w:val="center"/>
          </w:tcPr>
          <w:p w:rsidR="00E77BE2" w:rsidRPr="00C97C83" w:rsidRDefault="00E77BE2" w:rsidP="00A8050E">
            <w:pPr>
              <w:jc w:val="center"/>
              <w:rPr>
                <w:sz w:val="26"/>
                <w:szCs w:val="26"/>
              </w:rPr>
            </w:pPr>
            <w:r>
              <w:rPr>
                <w:b/>
                <w:sz w:val="26"/>
                <w:szCs w:val="26"/>
                <w:u w:val="single"/>
              </w:rPr>
              <w:t>Mileage</w:t>
            </w:r>
          </w:p>
        </w:tc>
        <w:tc>
          <w:tcPr>
            <w:tcW w:w="1340" w:type="dxa"/>
            <w:vAlign w:val="center"/>
          </w:tcPr>
          <w:p w:rsidR="00E77BE2" w:rsidRPr="00C97C83" w:rsidRDefault="00E77BE2" w:rsidP="00A8050E">
            <w:pPr>
              <w:jc w:val="center"/>
              <w:rPr>
                <w:sz w:val="26"/>
                <w:szCs w:val="26"/>
              </w:rPr>
            </w:pPr>
            <w:r w:rsidRPr="005025B6">
              <w:rPr>
                <w:b/>
                <w:sz w:val="26"/>
                <w:szCs w:val="26"/>
                <w:u w:val="single"/>
              </w:rPr>
              <w:t>Percent of Total</w:t>
            </w:r>
          </w:p>
        </w:tc>
        <w:tc>
          <w:tcPr>
            <w:tcW w:w="1488" w:type="dxa"/>
          </w:tcPr>
          <w:p w:rsidR="00E77BE2" w:rsidRPr="00C606B0" w:rsidRDefault="00E77BE2" w:rsidP="00A8050E">
            <w:pPr>
              <w:rPr>
                <w:sz w:val="26"/>
                <w:szCs w:val="26"/>
              </w:rPr>
            </w:pPr>
            <w:r>
              <w:rPr>
                <w:b/>
                <w:sz w:val="26"/>
                <w:szCs w:val="26"/>
                <w:u w:val="single"/>
              </w:rPr>
              <w:t>Decade of Installation</w:t>
            </w:r>
          </w:p>
        </w:tc>
        <w:tc>
          <w:tcPr>
            <w:tcW w:w="1311" w:type="dxa"/>
            <w:vAlign w:val="center"/>
          </w:tcPr>
          <w:p w:rsidR="00E77BE2" w:rsidRDefault="00E77BE2" w:rsidP="00A8050E">
            <w:pPr>
              <w:jc w:val="center"/>
              <w:rPr>
                <w:sz w:val="26"/>
                <w:szCs w:val="26"/>
              </w:rPr>
            </w:pPr>
            <w:r>
              <w:rPr>
                <w:b/>
                <w:sz w:val="26"/>
                <w:szCs w:val="26"/>
                <w:u w:val="single"/>
              </w:rPr>
              <w:t>Mileage</w:t>
            </w:r>
          </w:p>
        </w:tc>
        <w:tc>
          <w:tcPr>
            <w:tcW w:w="1311" w:type="dxa"/>
          </w:tcPr>
          <w:p w:rsidR="00E77BE2" w:rsidRDefault="00E77BE2" w:rsidP="00A8050E">
            <w:pPr>
              <w:jc w:val="center"/>
              <w:rPr>
                <w:sz w:val="26"/>
                <w:szCs w:val="26"/>
              </w:rPr>
            </w:pPr>
            <w:r w:rsidRPr="005025B6">
              <w:rPr>
                <w:b/>
                <w:sz w:val="26"/>
                <w:szCs w:val="26"/>
                <w:u w:val="single"/>
              </w:rPr>
              <w:t>Percent of Total</w:t>
            </w:r>
          </w:p>
        </w:tc>
      </w:tr>
      <w:tr w:rsidR="00E77BE2" w:rsidTr="00261F1B">
        <w:tc>
          <w:tcPr>
            <w:tcW w:w="1546" w:type="dxa"/>
          </w:tcPr>
          <w:p w:rsidR="00E77BE2" w:rsidRPr="00C606B0" w:rsidRDefault="00E77BE2" w:rsidP="00A8050E">
            <w:pPr>
              <w:rPr>
                <w:sz w:val="26"/>
                <w:szCs w:val="26"/>
              </w:rPr>
            </w:pPr>
            <w:r w:rsidRPr="00C606B0">
              <w:rPr>
                <w:sz w:val="26"/>
                <w:szCs w:val="26"/>
              </w:rPr>
              <w:t>Unknown</w:t>
            </w:r>
          </w:p>
        </w:tc>
        <w:tc>
          <w:tcPr>
            <w:tcW w:w="1341" w:type="dxa"/>
            <w:vAlign w:val="center"/>
          </w:tcPr>
          <w:p w:rsidR="00E77BE2" w:rsidRPr="00C97C83" w:rsidRDefault="00E77BE2" w:rsidP="00A8050E">
            <w:pPr>
              <w:jc w:val="center"/>
              <w:rPr>
                <w:sz w:val="26"/>
                <w:szCs w:val="26"/>
              </w:rPr>
            </w:pPr>
            <w:r>
              <w:rPr>
                <w:sz w:val="26"/>
                <w:szCs w:val="26"/>
              </w:rPr>
              <w:t>692.2</w:t>
            </w:r>
          </w:p>
        </w:tc>
        <w:tc>
          <w:tcPr>
            <w:tcW w:w="1340" w:type="dxa"/>
            <w:vAlign w:val="center"/>
          </w:tcPr>
          <w:p w:rsidR="00E77BE2" w:rsidRPr="00C97C83" w:rsidRDefault="00E77BE2" w:rsidP="00A8050E">
            <w:pPr>
              <w:jc w:val="center"/>
              <w:rPr>
                <w:sz w:val="26"/>
                <w:szCs w:val="26"/>
              </w:rPr>
            </w:pPr>
            <w:r>
              <w:rPr>
                <w:sz w:val="26"/>
                <w:szCs w:val="26"/>
              </w:rPr>
              <w:t>18.7</w:t>
            </w:r>
          </w:p>
        </w:tc>
        <w:tc>
          <w:tcPr>
            <w:tcW w:w="1488" w:type="dxa"/>
          </w:tcPr>
          <w:p w:rsidR="00E77BE2" w:rsidRPr="00C606B0" w:rsidRDefault="00E77BE2" w:rsidP="00A8050E">
            <w:pPr>
              <w:rPr>
                <w:sz w:val="26"/>
                <w:szCs w:val="26"/>
              </w:rPr>
            </w:pPr>
            <w:r w:rsidRPr="00C606B0">
              <w:rPr>
                <w:sz w:val="26"/>
                <w:szCs w:val="26"/>
              </w:rPr>
              <w:t>Unknown</w:t>
            </w:r>
          </w:p>
        </w:tc>
        <w:tc>
          <w:tcPr>
            <w:tcW w:w="1311" w:type="dxa"/>
          </w:tcPr>
          <w:p w:rsidR="00E77BE2" w:rsidRDefault="00E77BE2" w:rsidP="00A8050E">
            <w:pPr>
              <w:jc w:val="center"/>
              <w:rPr>
                <w:sz w:val="26"/>
                <w:szCs w:val="26"/>
              </w:rPr>
            </w:pPr>
            <w:r>
              <w:rPr>
                <w:sz w:val="26"/>
                <w:szCs w:val="26"/>
              </w:rPr>
              <w:t>13.8</w:t>
            </w:r>
          </w:p>
        </w:tc>
        <w:tc>
          <w:tcPr>
            <w:tcW w:w="1311" w:type="dxa"/>
          </w:tcPr>
          <w:p w:rsidR="00E77BE2" w:rsidRDefault="00E77BE2" w:rsidP="00A8050E">
            <w:pPr>
              <w:jc w:val="center"/>
              <w:rPr>
                <w:sz w:val="26"/>
                <w:szCs w:val="26"/>
              </w:rPr>
            </w:pPr>
            <w:r>
              <w:rPr>
                <w:sz w:val="26"/>
                <w:szCs w:val="26"/>
              </w:rPr>
              <w:t>12.5</w:t>
            </w:r>
          </w:p>
        </w:tc>
      </w:tr>
      <w:tr w:rsidR="00E77BE2" w:rsidTr="00261F1B">
        <w:tc>
          <w:tcPr>
            <w:tcW w:w="1546" w:type="dxa"/>
          </w:tcPr>
          <w:p w:rsidR="00E77BE2" w:rsidRPr="00C606B0" w:rsidRDefault="00E77BE2" w:rsidP="00A8050E">
            <w:pPr>
              <w:rPr>
                <w:sz w:val="26"/>
                <w:szCs w:val="26"/>
              </w:rPr>
            </w:pPr>
            <w:r w:rsidRPr="00C606B0">
              <w:rPr>
                <w:sz w:val="26"/>
                <w:szCs w:val="26"/>
              </w:rPr>
              <w:t>Pre-1940</w:t>
            </w:r>
          </w:p>
        </w:tc>
        <w:tc>
          <w:tcPr>
            <w:tcW w:w="1341" w:type="dxa"/>
            <w:vAlign w:val="center"/>
          </w:tcPr>
          <w:p w:rsidR="00E77BE2" w:rsidRPr="00C97C83" w:rsidRDefault="00E77BE2" w:rsidP="00A8050E">
            <w:pPr>
              <w:jc w:val="center"/>
              <w:rPr>
                <w:sz w:val="26"/>
                <w:szCs w:val="26"/>
              </w:rPr>
            </w:pPr>
            <w:r>
              <w:rPr>
                <w:sz w:val="26"/>
                <w:szCs w:val="26"/>
              </w:rPr>
              <w:t>41.3</w:t>
            </w:r>
          </w:p>
        </w:tc>
        <w:tc>
          <w:tcPr>
            <w:tcW w:w="1340" w:type="dxa"/>
            <w:vAlign w:val="center"/>
          </w:tcPr>
          <w:p w:rsidR="00E77BE2" w:rsidRPr="00C97C83" w:rsidRDefault="00E77BE2" w:rsidP="00A8050E">
            <w:pPr>
              <w:jc w:val="center"/>
              <w:rPr>
                <w:sz w:val="26"/>
                <w:szCs w:val="26"/>
              </w:rPr>
            </w:pPr>
            <w:r>
              <w:rPr>
                <w:sz w:val="26"/>
                <w:szCs w:val="26"/>
              </w:rPr>
              <w:t>1.1</w:t>
            </w:r>
          </w:p>
        </w:tc>
        <w:tc>
          <w:tcPr>
            <w:tcW w:w="1488" w:type="dxa"/>
          </w:tcPr>
          <w:p w:rsidR="00E77BE2" w:rsidRPr="00C606B0" w:rsidRDefault="00E77BE2" w:rsidP="00A8050E">
            <w:pPr>
              <w:rPr>
                <w:sz w:val="26"/>
                <w:szCs w:val="26"/>
              </w:rPr>
            </w:pPr>
            <w:r w:rsidRPr="00C606B0">
              <w:rPr>
                <w:sz w:val="26"/>
                <w:szCs w:val="26"/>
              </w:rPr>
              <w:t>Pre-1940</w:t>
            </w:r>
          </w:p>
        </w:tc>
        <w:tc>
          <w:tcPr>
            <w:tcW w:w="1311" w:type="dxa"/>
          </w:tcPr>
          <w:p w:rsidR="00E77BE2" w:rsidRDefault="00E77BE2" w:rsidP="00A8050E">
            <w:pPr>
              <w:jc w:val="center"/>
              <w:rPr>
                <w:sz w:val="26"/>
                <w:szCs w:val="26"/>
              </w:rPr>
            </w:pPr>
            <w:r>
              <w:rPr>
                <w:sz w:val="26"/>
                <w:szCs w:val="26"/>
              </w:rPr>
              <w:t>4.4</w:t>
            </w:r>
          </w:p>
        </w:tc>
        <w:tc>
          <w:tcPr>
            <w:tcW w:w="1311" w:type="dxa"/>
          </w:tcPr>
          <w:p w:rsidR="00E77BE2" w:rsidRDefault="00E77BE2" w:rsidP="00A8050E">
            <w:pPr>
              <w:jc w:val="center"/>
              <w:rPr>
                <w:sz w:val="26"/>
                <w:szCs w:val="26"/>
              </w:rPr>
            </w:pPr>
            <w:r>
              <w:rPr>
                <w:sz w:val="26"/>
                <w:szCs w:val="26"/>
              </w:rPr>
              <w:t>4.0</w:t>
            </w:r>
          </w:p>
        </w:tc>
      </w:tr>
      <w:tr w:rsidR="00E77BE2" w:rsidTr="00261F1B">
        <w:tc>
          <w:tcPr>
            <w:tcW w:w="1546" w:type="dxa"/>
          </w:tcPr>
          <w:p w:rsidR="00E77BE2" w:rsidRPr="00C606B0" w:rsidRDefault="00E77BE2" w:rsidP="00A8050E">
            <w:pPr>
              <w:rPr>
                <w:sz w:val="26"/>
                <w:szCs w:val="26"/>
              </w:rPr>
            </w:pPr>
            <w:r w:rsidRPr="00C606B0">
              <w:rPr>
                <w:sz w:val="26"/>
                <w:szCs w:val="26"/>
              </w:rPr>
              <w:t>1940’s</w:t>
            </w:r>
          </w:p>
        </w:tc>
        <w:tc>
          <w:tcPr>
            <w:tcW w:w="1341" w:type="dxa"/>
            <w:vAlign w:val="center"/>
          </w:tcPr>
          <w:p w:rsidR="00E77BE2" w:rsidRPr="00C97C83" w:rsidRDefault="00E77BE2" w:rsidP="00A8050E">
            <w:pPr>
              <w:jc w:val="center"/>
              <w:rPr>
                <w:sz w:val="26"/>
                <w:szCs w:val="26"/>
              </w:rPr>
            </w:pPr>
            <w:r>
              <w:rPr>
                <w:sz w:val="26"/>
                <w:szCs w:val="26"/>
              </w:rPr>
              <w:t>27.5</w:t>
            </w:r>
          </w:p>
        </w:tc>
        <w:tc>
          <w:tcPr>
            <w:tcW w:w="1340" w:type="dxa"/>
            <w:vAlign w:val="center"/>
          </w:tcPr>
          <w:p w:rsidR="00E77BE2" w:rsidRPr="00C97C83" w:rsidRDefault="00E77BE2" w:rsidP="00A8050E">
            <w:pPr>
              <w:jc w:val="center"/>
              <w:rPr>
                <w:sz w:val="26"/>
                <w:szCs w:val="26"/>
              </w:rPr>
            </w:pPr>
            <w:r>
              <w:rPr>
                <w:sz w:val="26"/>
                <w:szCs w:val="26"/>
              </w:rPr>
              <w:t>0.7</w:t>
            </w:r>
          </w:p>
        </w:tc>
        <w:tc>
          <w:tcPr>
            <w:tcW w:w="1488" w:type="dxa"/>
          </w:tcPr>
          <w:p w:rsidR="00E77BE2" w:rsidRPr="00C606B0" w:rsidRDefault="00E77BE2" w:rsidP="00A8050E">
            <w:pPr>
              <w:rPr>
                <w:sz w:val="26"/>
                <w:szCs w:val="26"/>
              </w:rPr>
            </w:pPr>
            <w:r w:rsidRPr="00C606B0">
              <w:rPr>
                <w:sz w:val="26"/>
                <w:szCs w:val="26"/>
              </w:rPr>
              <w:t>1940’s</w:t>
            </w:r>
          </w:p>
        </w:tc>
        <w:tc>
          <w:tcPr>
            <w:tcW w:w="1311" w:type="dxa"/>
          </w:tcPr>
          <w:p w:rsidR="00E77BE2" w:rsidRDefault="00E77BE2" w:rsidP="00A8050E">
            <w:pPr>
              <w:jc w:val="center"/>
              <w:rPr>
                <w:sz w:val="26"/>
                <w:szCs w:val="26"/>
              </w:rPr>
            </w:pPr>
            <w:r>
              <w:rPr>
                <w:sz w:val="26"/>
                <w:szCs w:val="26"/>
              </w:rPr>
              <w:t>0.3</w:t>
            </w:r>
          </w:p>
        </w:tc>
        <w:tc>
          <w:tcPr>
            <w:tcW w:w="1311" w:type="dxa"/>
          </w:tcPr>
          <w:p w:rsidR="00E77BE2" w:rsidRDefault="00E77BE2" w:rsidP="00A8050E">
            <w:pPr>
              <w:jc w:val="center"/>
              <w:rPr>
                <w:sz w:val="26"/>
                <w:szCs w:val="26"/>
              </w:rPr>
            </w:pPr>
            <w:r>
              <w:rPr>
                <w:sz w:val="26"/>
                <w:szCs w:val="26"/>
              </w:rPr>
              <w:t>0.3</w:t>
            </w:r>
          </w:p>
        </w:tc>
      </w:tr>
      <w:tr w:rsidR="00E77BE2" w:rsidTr="00261F1B">
        <w:tc>
          <w:tcPr>
            <w:tcW w:w="1546" w:type="dxa"/>
          </w:tcPr>
          <w:p w:rsidR="00E77BE2" w:rsidRPr="00C606B0" w:rsidRDefault="00E77BE2" w:rsidP="00A8050E">
            <w:pPr>
              <w:rPr>
                <w:sz w:val="26"/>
                <w:szCs w:val="26"/>
              </w:rPr>
            </w:pPr>
            <w:r w:rsidRPr="00C606B0">
              <w:rPr>
                <w:sz w:val="26"/>
                <w:szCs w:val="26"/>
              </w:rPr>
              <w:t>1950’s</w:t>
            </w:r>
          </w:p>
        </w:tc>
        <w:tc>
          <w:tcPr>
            <w:tcW w:w="1341" w:type="dxa"/>
            <w:vAlign w:val="center"/>
          </w:tcPr>
          <w:p w:rsidR="00E77BE2" w:rsidRPr="00C97C83" w:rsidRDefault="00E77BE2" w:rsidP="00A8050E">
            <w:pPr>
              <w:jc w:val="center"/>
              <w:rPr>
                <w:sz w:val="26"/>
                <w:szCs w:val="26"/>
              </w:rPr>
            </w:pPr>
            <w:r>
              <w:rPr>
                <w:sz w:val="26"/>
                <w:szCs w:val="26"/>
              </w:rPr>
              <w:t>128.6</w:t>
            </w:r>
          </w:p>
        </w:tc>
        <w:tc>
          <w:tcPr>
            <w:tcW w:w="1340" w:type="dxa"/>
            <w:vAlign w:val="center"/>
          </w:tcPr>
          <w:p w:rsidR="00E77BE2" w:rsidRPr="00C97C83" w:rsidRDefault="00E77BE2" w:rsidP="00A8050E">
            <w:pPr>
              <w:jc w:val="center"/>
              <w:rPr>
                <w:sz w:val="26"/>
                <w:szCs w:val="26"/>
              </w:rPr>
            </w:pPr>
            <w:r>
              <w:rPr>
                <w:sz w:val="26"/>
                <w:szCs w:val="26"/>
              </w:rPr>
              <w:t>3.5</w:t>
            </w:r>
          </w:p>
        </w:tc>
        <w:tc>
          <w:tcPr>
            <w:tcW w:w="1488" w:type="dxa"/>
          </w:tcPr>
          <w:p w:rsidR="00E77BE2" w:rsidRPr="00C606B0" w:rsidRDefault="00E77BE2" w:rsidP="00A8050E">
            <w:pPr>
              <w:rPr>
                <w:sz w:val="26"/>
                <w:szCs w:val="26"/>
              </w:rPr>
            </w:pPr>
            <w:r w:rsidRPr="00C606B0">
              <w:rPr>
                <w:sz w:val="26"/>
                <w:szCs w:val="26"/>
              </w:rPr>
              <w:t>1950’s</w:t>
            </w:r>
          </w:p>
        </w:tc>
        <w:tc>
          <w:tcPr>
            <w:tcW w:w="1311" w:type="dxa"/>
          </w:tcPr>
          <w:p w:rsidR="00E77BE2" w:rsidRDefault="00E77BE2" w:rsidP="00A8050E">
            <w:pPr>
              <w:jc w:val="center"/>
              <w:rPr>
                <w:sz w:val="26"/>
                <w:szCs w:val="26"/>
              </w:rPr>
            </w:pPr>
            <w:r>
              <w:rPr>
                <w:sz w:val="26"/>
                <w:szCs w:val="26"/>
              </w:rPr>
              <w:t>29.2</w:t>
            </w:r>
          </w:p>
        </w:tc>
        <w:tc>
          <w:tcPr>
            <w:tcW w:w="1311" w:type="dxa"/>
          </w:tcPr>
          <w:p w:rsidR="00E77BE2" w:rsidRDefault="00E77BE2" w:rsidP="00A8050E">
            <w:pPr>
              <w:jc w:val="center"/>
              <w:rPr>
                <w:sz w:val="26"/>
                <w:szCs w:val="26"/>
              </w:rPr>
            </w:pPr>
            <w:r>
              <w:rPr>
                <w:sz w:val="26"/>
                <w:szCs w:val="26"/>
              </w:rPr>
              <w:t>26.5</w:t>
            </w:r>
          </w:p>
        </w:tc>
      </w:tr>
      <w:tr w:rsidR="00E77BE2" w:rsidTr="00261F1B">
        <w:tc>
          <w:tcPr>
            <w:tcW w:w="1546" w:type="dxa"/>
          </w:tcPr>
          <w:p w:rsidR="00E77BE2" w:rsidRPr="00C606B0" w:rsidRDefault="00E77BE2" w:rsidP="00A8050E">
            <w:pPr>
              <w:rPr>
                <w:sz w:val="26"/>
                <w:szCs w:val="26"/>
              </w:rPr>
            </w:pPr>
            <w:r w:rsidRPr="00C606B0">
              <w:rPr>
                <w:sz w:val="26"/>
                <w:szCs w:val="26"/>
              </w:rPr>
              <w:t>1960’s</w:t>
            </w:r>
          </w:p>
        </w:tc>
        <w:tc>
          <w:tcPr>
            <w:tcW w:w="1341" w:type="dxa"/>
            <w:vAlign w:val="center"/>
          </w:tcPr>
          <w:p w:rsidR="00E77BE2" w:rsidRPr="00C97C83" w:rsidRDefault="00E77BE2" w:rsidP="00A8050E">
            <w:pPr>
              <w:jc w:val="center"/>
              <w:rPr>
                <w:sz w:val="26"/>
                <w:szCs w:val="26"/>
              </w:rPr>
            </w:pPr>
            <w:r>
              <w:rPr>
                <w:sz w:val="26"/>
                <w:szCs w:val="26"/>
              </w:rPr>
              <w:t>438.6</w:t>
            </w:r>
          </w:p>
        </w:tc>
        <w:tc>
          <w:tcPr>
            <w:tcW w:w="1340" w:type="dxa"/>
            <w:vAlign w:val="center"/>
          </w:tcPr>
          <w:p w:rsidR="00E77BE2" w:rsidRPr="00C97C83" w:rsidRDefault="00E77BE2" w:rsidP="00A8050E">
            <w:pPr>
              <w:jc w:val="center"/>
              <w:rPr>
                <w:sz w:val="26"/>
                <w:szCs w:val="26"/>
              </w:rPr>
            </w:pPr>
            <w:r>
              <w:rPr>
                <w:sz w:val="26"/>
                <w:szCs w:val="26"/>
              </w:rPr>
              <w:t>11.8</w:t>
            </w:r>
          </w:p>
        </w:tc>
        <w:tc>
          <w:tcPr>
            <w:tcW w:w="1488" w:type="dxa"/>
          </w:tcPr>
          <w:p w:rsidR="00E77BE2" w:rsidRPr="00C606B0" w:rsidRDefault="00E77BE2" w:rsidP="00A8050E">
            <w:pPr>
              <w:rPr>
                <w:sz w:val="26"/>
                <w:szCs w:val="26"/>
              </w:rPr>
            </w:pPr>
            <w:r w:rsidRPr="00C606B0">
              <w:rPr>
                <w:sz w:val="26"/>
                <w:szCs w:val="26"/>
              </w:rPr>
              <w:t>1960’s</w:t>
            </w:r>
          </w:p>
        </w:tc>
        <w:tc>
          <w:tcPr>
            <w:tcW w:w="1311" w:type="dxa"/>
          </w:tcPr>
          <w:p w:rsidR="00E77BE2" w:rsidRDefault="00E77BE2" w:rsidP="00A8050E">
            <w:pPr>
              <w:jc w:val="center"/>
              <w:rPr>
                <w:sz w:val="26"/>
                <w:szCs w:val="26"/>
              </w:rPr>
            </w:pPr>
            <w:r>
              <w:rPr>
                <w:sz w:val="26"/>
                <w:szCs w:val="26"/>
              </w:rPr>
              <w:t>7.1</w:t>
            </w:r>
          </w:p>
        </w:tc>
        <w:tc>
          <w:tcPr>
            <w:tcW w:w="1311" w:type="dxa"/>
          </w:tcPr>
          <w:p w:rsidR="00E77BE2" w:rsidRDefault="00E77BE2" w:rsidP="00A8050E">
            <w:pPr>
              <w:jc w:val="center"/>
              <w:rPr>
                <w:sz w:val="26"/>
                <w:szCs w:val="26"/>
              </w:rPr>
            </w:pPr>
            <w:r>
              <w:rPr>
                <w:sz w:val="26"/>
                <w:szCs w:val="26"/>
              </w:rPr>
              <w:t>6.5</w:t>
            </w:r>
          </w:p>
        </w:tc>
      </w:tr>
      <w:tr w:rsidR="00E77BE2" w:rsidTr="00261F1B">
        <w:tc>
          <w:tcPr>
            <w:tcW w:w="1546" w:type="dxa"/>
          </w:tcPr>
          <w:p w:rsidR="00E77BE2" w:rsidRPr="00C606B0" w:rsidRDefault="00E77BE2" w:rsidP="00A8050E">
            <w:pPr>
              <w:rPr>
                <w:sz w:val="26"/>
                <w:szCs w:val="26"/>
              </w:rPr>
            </w:pPr>
            <w:r w:rsidRPr="00C606B0">
              <w:rPr>
                <w:sz w:val="26"/>
                <w:szCs w:val="26"/>
              </w:rPr>
              <w:t>1970’s</w:t>
            </w:r>
          </w:p>
        </w:tc>
        <w:tc>
          <w:tcPr>
            <w:tcW w:w="1341" w:type="dxa"/>
            <w:vAlign w:val="center"/>
          </w:tcPr>
          <w:p w:rsidR="00E77BE2" w:rsidRPr="00C97C83" w:rsidRDefault="00E77BE2" w:rsidP="00A8050E">
            <w:pPr>
              <w:jc w:val="center"/>
              <w:rPr>
                <w:sz w:val="26"/>
                <w:szCs w:val="26"/>
              </w:rPr>
            </w:pPr>
            <w:r>
              <w:rPr>
                <w:sz w:val="26"/>
                <w:szCs w:val="26"/>
              </w:rPr>
              <w:t>452.4</w:t>
            </w:r>
          </w:p>
        </w:tc>
        <w:tc>
          <w:tcPr>
            <w:tcW w:w="1340" w:type="dxa"/>
            <w:vAlign w:val="center"/>
          </w:tcPr>
          <w:p w:rsidR="00E77BE2" w:rsidRPr="00C97C83" w:rsidRDefault="00E77BE2" w:rsidP="00A8050E">
            <w:pPr>
              <w:jc w:val="center"/>
              <w:rPr>
                <w:sz w:val="26"/>
                <w:szCs w:val="26"/>
              </w:rPr>
            </w:pPr>
            <w:r>
              <w:rPr>
                <w:sz w:val="26"/>
                <w:szCs w:val="26"/>
              </w:rPr>
              <w:t>12.2</w:t>
            </w:r>
          </w:p>
        </w:tc>
        <w:tc>
          <w:tcPr>
            <w:tcW w:w="1488" w:type="dxa"/>
          </w:tcPr>
          <w:p w:rsidR="00E77BE2" w:rsidRPr="00C606B0" w:rsidRDefault="00E77BE2" w:rsidP="00A8050E">
            <w:pPr>
              <w:rPr>
                <w:sz w:val="26"/>
                <w:szCs w:val="26"/>
              </w:rPr>
            </w:pPr>
            <w:r w:rsidRPr="00C606B0">
              <w:rPr>
                <w:sz w:val="26"/>
                <w:szCs w:val="26"/>
              </w:rPr>
              <w:t>1970’s</w:t>
            </w:r>
          </w:p>
        </w:tc>
        <w:tc>
          <w:tcPr>
            <w:tcW w:w="1311" w:type="dxa"/>
          </w:tcPr>
          <w:p w:rsidR="00E77BE2" w:rsidRDefault="00E77BE2" w:rsidP="00A8050E">
            <w:pPr>
              <w:jc w:val="center"/>
              <w:rPr>
                <w:sz w:val="26"/>
                <w:szCs w:val="26"/>
              </w:rPr>
            </w:pPr>
            <w:r>
              <w:rPr>
                <w:sz w:val="26"/>
                <w:szCs w:val="26"/>
              </w:rPr>
              <w:t>27.6</w:t>
            </w:r>
          </w:p>
        </w:tc>
        <w:tc>
          <w:tcPr>
            <w:tcW w:w="1311" w:type="dxa"/>
          </w:tcPr>
          <w:p w:rsidR="00E77BE2" w:rsidRDefault="00E77BE2" w:rsidP="00A8050E">
            <w:pPr>
              <w:jc w:val="center"/>
              <w:rPr>
                <w:sz w:val="26"/>
                <w:szCs w:val="26"/>
              </w:rPr>
            </w:pPr>
            <w:r>
              <w:rPr>
                <w:sz w:val="26"/>
                <w:szCs w:val="26"/>
              </w:rPr>
              <w:t>25.1</w:t>
            </w:r>
          </w:p>
        </w:tc>
      </w:tr>
      <w:tr w:rsidR="00E77BE2" w:rsidTr="00261F1B">
        <w:tc>
          <w:tcPr>
            <w:tcW w:w="1546" w:type="dxa"/>
          </w:tcPr>
          <w:p w:rsidR="00E77BE2" w:rsidRPr="00C606B0" w:rsidRDefault="00E77BE2" w:rsidP="00A8050E">
            <w:pPr>
              <w:rPr>
                <w:bCs/>
              </w:rPr>
            </w:pPr>
            <w:r w:rsidRPr="00C606B0">
              <w:rPr>
                <w:bCs/>
              </w:rPr>
              <w:t>1980’s</w:t>
            </w:r>
          </w:p>
        </w:tc>
        <w:tc>
          <w:tcPr>
            <w:tcW w:w="1341" w:type="dxa"/>
            <w:vAlign w:val="center"/>
          </w:tcPr>
          <w:p w:rsidR="00E77BE2" w:rsidRPr="00C97C83" w:rsidRDefault="00E77BE2" w:rsidP="00A8050E">
            <w:pPr>
              <w:jc w:val="center"/>
              <w:rPr>
                <w:sz w:val="26"/>
                <w:szCs w:val="26"/>
              </w:rPr>
            </w:pPr>
            <w:r>
              <w:rPr>
                <w:sz w:val="26"/>
                <w:szCs w:val="26"/>
              </w:rPr>
              <w:t>613.3</w:t>
            </w:r>
          </w:p>
        </w:tc>
        <w:tc>
          <w:tcPr>
            <w:tcW w:w="1340" w:type="dxa"/>
            <w:vAlign w:val="center"/>
          </w:tcPr>
          <w:p w:rsidR="00E77BE2" w:rsidRPr="00C97C83" w:rsidRDefault="00E77BE2" w:rsidP="00A8050E">
            <w:pPr>
              <w:jc w:val="center"/>
              <w:rPr>
                <w:sz w:val="26"/>
                <w:szCs w:val="26"/>
              </w:rPr>
            </w:pPr>
            <w:r>
              <w:rPr>
                <w:sz w:val="26"/>
                <w:szCs w:val="26"/>
              </w:rPr>
              <w:t>16.5</w:t>
            </w:r>
          </w:p>
        </w:tc>
        <w:tc>
          <w:tcPr>
            <w:tcW w:w="1488" w:type="dxa"/>
          </w:tcPr>
          <w:p w:rsidR="00E77BE2" w:rsidRPr="00C606B0" w:rsidRDefault="00E77BE2" w:rsidP="00A8050E">
            <w:pPr>
              <w:rPr>
                <w:bCs/>
              </w:rPr>
            </w:pPr>
            <w:r w:rsidRPr="00C606B0">
              <w:rPr>
                <w:bCs/>
              </w:rPr>
              <w:t>1980’s</w:t>
            </w:r>
          </w:p>
        </w:tc>
        <w:tc>
          <w:tcPr>
            <w:tcW w:w="1311" w:type="dxa"/>
          </w:tcPr>
          <w:p w:rsidR="00E77BE2" w:rsidRDefault="00E77BE2" w:rsidP="00A8050E">
            <w:pPr>
              <w:jc w:val="center"/>
              <w:rPr>
                <w:sz w:val="26"/>
                <w:szCs w:val="26"/>
              </w:rPr>
            </w:pPr>
            <w:r>
              <w:rPr>
                <w:sz w:val="26"/>
                <w:szCs w:val="26"/>
              </w:rPr>
              <w:t>11.4</w:t>
            </w:r>
          </w:p>
        </w:tc>
        <w:tc>
          <w:tcPr>
            <w:tcW w:w="1311" w:type="dxa"/>
          </w:tcPr>
          <w:p w:rsidR="00E77BE2" w:rsidRDefault="00E77BE2" w:rsidP="00A8050E">
            <w:pPr>
              <w:jc w:val="center"/>
              <w:rPr>
                <w:sz w:val="26"/>
                <w:szCs w:val="26"/>
              </w:rPr>
            </w:pPr>
            <w:r>
              <w:rPr>
                <w:sz w:val="26"/>
                <w:szCs w:val="26"/>
              </w:rPr>
              <w:t>10.4</w:t>
            </w:r>
          </w:p>
        </w:tc>
      </w:tr>
      <w:tr w:rsidR="00E77BE2" w:rsidTr="00261F1B">
        <w:tc>
          <w:tcPr>
            <w:tcW w:w="1546" w:type="dxa"/>
          </w:tcPr>
          <w:p w:rsidR="00E77BE2" w:rsidRPr="00C606B0" w:rsidRDefault="00E77BE2" w:rsidP="00A8050E">
            <w:pPr>
              <w:rPr>
                <w:bCs/>
              </w:rPr>
            </w:pPr>
            <w:r w:rsidRPr="00C606B0">
              <w:rPr>
                <w:bCs/>
              </w:rPr>
              <w:t>1990’s</w:t>
            </w:r>
          </w:p>
        </w:tc>
        <w:tc>
          <w:tcPr>
            <w:tcW w:w="1341" w:type="dxa"/>
            <w:vAlign w:val="center"/>
          </w:tcPr>
          <w:p w:rsidR="00E77BE2" w:rsidRPr="00C97C83" w:rsidRDefault="00E77BE2" w:rsidP="00A8050E">
            <w:pPr>
              <w:jc w:val="center"/>
              <w:rPr>
                <w:sz w:val="26"/>
                <w:szCs w:val="26"/>
              </w:rPr>
            </w:pPr>
            <w:r>
              <w:rPr>
                <w:sz w:val="26"/>
                <w:szCs w:val="26"/>
              </w:rPr>
              <w:t>844.2</w:t>
            </w:r>
          </w:p>
        </w:tc>
        <w:tc>
          <w:tcPr>
            <w:tcW w:w="1340" w:type="dxa"/>
            <w:vAlign w:val="center"/>
          </w:tcPr>
          <w:p w:rsidR="00E77BE2" w:rsidRPr="00C97C83" w:rsidRDefault="00E77BE2" w:rsidP="00A8050E">
            <w:pPr>
              <w:jc w:val="center"/>
              <w:rPr>
                <w:sz w:val="26"/>
                <w:szCs w:val="26"/>
              </w:rPr>
            </w:pPr>
            <w:r>
              <w:rPr>
                <w:sz w:val="26"/>
                <w:szCs w:val="26"/>
              </w:rPr>
              <w:t>22.7</w:t>
            </w:r>
          </w:p>
        </w:tc>
        <w:tc>
          <w:tcPr>
            <w:tcW w:w="1488" w:type="dxa"/>
          </w:tcPr>
          <w:p w:rsidR="00E77BE2" w:rsidRPr="00C606B0" w:rsidRDefault="00E77BE2" w:rsidP="00A8050E">
            <w:pPr>
              <w:rPr>
                <w:bCs/>
              </w:rPr>
            </w:pPr>
            <w:r w:rsidRPr="00C606B0">
              <w:rPr>
                <w:bCs/>
              </w:rPr>
              <w:t>1990’s</w:t>
            </w:r>
          </w:p>
        </w:tc>
        <w:tc>
          <w:tcPr>
            <w:tcW w:w="1311" w:type="dxa"/>
          </w:tcPr>
          <w:p w:rsidR="00E77BE2" w:rsidRDefault="00E77BE2" w:rsidP="00A8050E">
            <w:pPr>
              <w:jc w:val="center"/>
              <w:rPr>
                <w:sz w:val="26"/>
                <w:szCs w:val="26"/>
              </w:rPr>
            </w:pPr>
            <w:r>
              <w:rPr>
                <w:sz w:val="26"/>
                <w:szCs w:val="26"/>
              </w:rPr>
              <w:t>13.1</w:t>
            </w:r>
          </w:p>
        </w:tc>
        <w:tc>
          <w:tcPr>
            <w:tcW w:w="1311" w:type="dxa"/>
          </w:tcPr>
          <w:p w:rsidR="00E77BE2" w:rsidRDefault="00E77BE2" w:rsidP="00A8050E">
            <w:pPr>
              <w:jc w:val="center"/>
              <w:rPr>
                <w:sz w:val="26"/>
                <w:szCs w:val="26"/>
              </w:rPr>
            </w:pPr>
            <w:r>
              <w:rPr>
                <w:sz w:val="26"/>
                <w:szCs w:val="26"/>
              </w:rPr>
              <w:t>11.9</w:t>
            </w:r>
          </w:p>
        </w:tc>
      </w:tr>
      <w:tr w:rsidR="00E77BE2" w:rsidTr="00261F1B">
        <w:tc>
          <w:tcPr>
            <w:tcW w:w="1546" w:type="dxa"/>
          </w:tcPr>
          <w:p w:rsidR="00E77BE2" w:rsidRPr="00C606B0" w:rsidRDefault="00E77BE2" w:rsidP="00A8050E">
            <w:pPr>
              <w:rPr>
                <w:bCs/>
              </w:rPr>
            </w:pPr>
            <w:r w:rsidRPr="00C606B0">
              <w:rPr>
                <w:bCs/>
              </w:rPr>
              <w:t>2000’s</w:t>
            </w:r>
          </w:p>
        </w:tc>
        <w:tc>
          <w:tcPr>
            <w:tcW w:w="1341" w:type="dxa"/>
            <w:vAlign w:val="center"/>
          </w:tcPr>
          <w:p w:rsidR="00E77BE2" w:rsidRPr="00C97C83" w:rsidRDefault="00E77BE2" w:rsidP="00A8050E">
            <w:pPr>
              <w:jc w:val="center"/>
              <w:rPr>
                <w:sz w:val="26"/>
                <w:szCs w:val="26"/>
              </w:rPr>
            </w:pPr>
            <w:r>
              <w:rPr>
                <w:sz w:val="26"/>
                <w:szCs w:val="26"/>
              </w:rPr>
              <w:t>409.0</w:t>
            </w:r>
          </w:p>
        </w:tc>
        <w:tc>
          <w:tcPr>
            <w:tcW w:w="1340" w:type="dxa"/>
            <w:vAlign w:val="center"/>
          </w:tcPr>
          <w:p w:rsidR="00E77BE2" w:rsidRPr="00C97C83" w:rsidRDefault="00E77BE2" w:rsidP="00A8050E">
            <w:pPr>
              <w:jc w:val="center"/>
              <w:rPr>
                <w:sz w:val="26"/>
                <w:szCs w:val="26"/>
              </w:rPr>
            </w:pPr>
            <w:r>
              <w:rPr>
                <w:sz w:val="26"/>
                <w:szCs w:val="26"/>
              </w:rPr>
              <w:t>11.0</w:t>
            </w:r>
          </w:p>
        </w:tc>
        <w:tc>
          <w:tcPr>
            <w:tcW w:w="1488" w:type="dxa"/>
          </w:tcPr>
          <w:p w:rsidR="00E77BE2" w:rsidRPr="00C606B0" w:rsidRDefault="00E77BE2" w:rsidP="00A8050E">
            <w:pPr>
              <w:rPr>
                <w:bCs/>
              </w:rPr>
            </w:pPr>
            <w:r w:rsidRPr="00C606B0">
              <w:rPr>
                <w:bCs/>
              </w:rPr>
              <w:t>2000’s</w:t>
            </w:r>
          </w:p>
        </w:tc>
        <w:tc>
          <w:tcPr>
            <w:tcW w:w="1311" w:type="dxa"/>
          </w:tcPr>
          <w:p w:rsidR="00E77BE2" w:rsidRDefault="00E77BE2" w:rsidP="00A8050E">
            <w:pPr>
              <w:jc w:val="center"/>
              <w:rPr>
                <w:sz w:val="26"/>
                <w:szCs w:val="26"/>
              </w:rPr>
            </w:pPr>
            <w:r>
              <w:rPr>
                <w:sz w:val="26"/>
                <w:szCs w:val="26"/>
              </w:rPr>
              <w:t>2.6</w:t>
            </w:r>
          </w:p>
        </w:tc>
        <w:tc>
          <w:tcPr>
            <w:tcW w:w="1311" w:type="dxa"/>
          </w:tcPr>
          <w:p w:rsidR="00E77BE2" w:rsidRDefault="00E77BE2" w:rsidP="00A8050E">
            <w:pPr>
              <w:jc w:val="center"/>
              <w:rPr>
                <w:sz w:val="26"/>
                <w:szCs w:val="26"/>
              </w:rPr>
            </w:pPr>
            <w:r>
              <w:rPr>
                <w:sz w:val="26"/>
                <w:szCs w:val="26"/>
              </w:rPr>
              <w:t>2.4</w:t>
            </w:r>
          </w:p>
        </w:tc>
      </w:tr>
      <w:tr w:rsidR="00E77BE2" w:rsidTr="00261F1B">
        <w:tc>
          <w:tcPr>
            <w:tcW w:w="1546" w:type="dxa"/>
          </w:tcPr>
          <w:p w:rsidR="00E77BE2" w:rsidRPr="00C606B0" w:rsidRDefault="00E77BE2" w:rsidP="00A8050E">
            <w:pPr>
              <w:rPr>
                <w:bCs/>
              </w:rPr>
            </w:pPr>
            <w:r w:rsidRPr="00C606B0">
              <w:rPr>
                <w:bCs/>
              </w:rPr>
              <w:t>2010’s</w:t>
            </w:r>
          </w:p>
        </w:tc>
        <w:tc>
          <w:tcPr>
            <w:tcW w:w="1341" w:type="dxa"/>
            <w:vAlign w:val="center"/>
          </w:tcPr>
          <w:p w:rsidR="00E77BE2" w:rsidRPr="00C97C83" w:rsidRDefault="00E77BE2" w:rsidP="00A8050E">
            <w:pPr>
              <w:jc w:val="center"/>
              <w:rPr>
                <w:sz w:val="26"/>
                <w:szCs w:val="26"/>
              </w:rPr>
            </w:pPr>
            <w:r>
              <w:rPr>
                <w:sz w:val="26"/>
                <w:szCs w:val="26"/>
              </w:rPr>
              <w:t>65.7</w:t>
            </w:r>
          </w:p>
        </w:tc>
        <w:tc>
          <w:tcPr>
            <w:tcW w:w="1340" w:type="dxa"/>
            <w:vAlign w:val="center"/>
          </w:tcPr>
          <w:p w:rsidR="00E77BE2" w:rsidRPr="00C97C83" w:rsidRDefault="00E77BE2" w:rsidP="00A8050E">
            <w:pPr>
              <w:jc w:val="center"/>
              <w:rPr>
                <w:sz w:val="26"/>
                <w:szCs w:val="26"/>
              </w:rPr>
            </w:pPr>
            <w:r>
              <w:rPr>
                <w:sz w:val="26"/>
                <w:szCs w:val="26"/>
              </w:rPr>
              <w:t>1.8</w:t>
            </w:r>
          </w:p>
        </w:tc>
        <w:tc>
          <w:tcPr>
            <w:tcW w:w="1488" w:type="dxa"/>
          </w:tcPr>
          <w:p w:rsidR="00E77BE2" w:rsidRPr="00C606B0" w:rsidRDefault="00E77BE2" w:rsidP="00A8050E">
            <w:pPr>
              <w:rPr>
                <w:bCs/>
              </w:rPr>
            </w:pPr>
            <w:r w:rsidRPr="00C606B0">
              <w:rPr>
                <w:bCs/>
              </w:rPr>
              <w:t>2010’s</w:t>
            </w:r>
          </w:p>
        </w:tc>
        <w:tc>
          <w:tcPr>
            <w:tcW w:w="1311" w:type="dxa"/>
          </w:tcPr>
          <w:p w:rsidR="00E77BE2" w:rsidRDefault="00E77BE2" w:rsidP="00A8050E">
            <w:pPr>
              <w:jc w:val="center"/>
              <w:rPr>
                <w:sz w:val="26"/>
                <w:szCs w:val="26"/>
              </w:rPr>
            </w:pPr>
            <w:r>
              <w:rPr>
                <w:sz w:val="26"/>
                <w:szCs w:val="26"/>
              </w:rPr>
              <w:t>0.4</w:t>
            </w:r>
          </w:p>
        </w:tc>
        <w:tc>
          <w:tcPr>
            <w:tcW w:w="1311" w:type="dxa"/>
          </w:tcPr>
          <w:p w:rsidR="00E77BE2" w:rsidRDefault="00E77BE2" w:rsidP="00A8050E">
            <w:pPr>
              <w:jc w:val="center"/>
              <w:rPr>
                <w:sz w:val="26"/>
                <w:szCs w:val="26"/>
              </w:rPr>
            </w:pPr>
            <w:r>
              <w:rPr>
                <w:sz w:val="26"/>
                <w:szCs w:val="26"/>
              </w:rPr>
              <w:t>0.4</w:t>
            </w:r>
          </w:p>
        </w:tc>
      </w:tr>
      <w:tr w:rsidR="00E77BE2" w:rsidTr="00261F1B">
        <w:tc>
          <w:tcPr>
            <w:tcW w:w="1546" w:type="dxa"/>
          </w:tcPr>
          <w:p w:rsidR="00E77BE2" w:rsidRDefault="00E77BE2" w:rsidP="00A8050E">
            <w:pPr>
              <w:rPr>
                <w:b/>
                <w:bCs/>
              </w:rPr>
            </w:pPr>
            <w:r>
              <w:rPr>
                <w:b/>
                <w:bCs/>
              </w:rPr>
              <w:t xml:space="preserve">Total                                                        </w:t>
            </w:r>
          </w:p>
        </w:tc>
        <w:tc>
          <w:tcPr>
            <w:tcW w:w="1341" w:type="dxa"/>
            <w:vAlign w:val="center"/>
          </w:tcPr>
          <w:p w:rsidR="00E77BE2" w:rsidRPr="00C97C83" w:rsidRDefault="00E77BE2" w:rsidP="00A8050E">
            <w:pPr>
              <w:jc w:val="center"/>
              <w:rPr>
                <w:b/>
                <w:sz w:val="26"/>
                <w:szCs w:val="26"/>
                <w:u w:val="single"/>
              </w:rPr>
            </w:pPr>
            <w:r w:rsidRPr="00C97C83">
              <w:rPr>
                <w:b/>
                <w:sz w:val="26"/>
                <w:szCs w:val="26"/>
                <w:u w:val="single"/>
              </w:rPr>
              <w:t>3712.9</w:t>
            </w:r>
          </w:p>
        </w:tc>
        <w:tc>
          <w:tcPr>
            <w:tcW w:w="1340" w:type="dxa"/>
            <w:vAlign w:val="center"/>
          </w:tcPr>
          <w:p w:rsidR="00E77BE2" w:rsidRPr="00C97C83" w:rsidRDefault="00E77BE2" w:rsidP="00A8050E">
            <w:pPr>
              <w:jc w:val="center"/>
              <w:rPr>
                <w:b/>
                <w:sz w:val="26"/>
                <w:szCs w:val="26"/>
                <w:u w:val="single"/>
              </w:rPr>
            </w:pPr>
            <w:r w:rsidRPr="00C97C83">
              <w:rPr>
                <w:b/>
                <w:sz w:val="26"/>
                <w:szCs w:val="26"/>
                <w:u w:val="single"/>
              </w:rPr>
              <w:t>100.0</w:t>
            </w:r>
          </w:p>
        </w:tc>
        <w:tc>
          <w:tcPr>
            <w:tcW w:w="1488" w:type="dxa"/>
          </w:tcPr>
          <w:p w:rsidR="00E77BE2" w:rsidRDefault="00E77BE2" w:rsidP="00A8050E">
            <w:pPr>
              <w:rPr>
                <w:b/>
                <w:bCs/>
              </w:rPr>
            </w:pPr>
            <w:r>
              <w:rPr>
                <w:b/>
                <w:bCs/>
              </w:rPr>
              <w:t xml:space="preserve">Total                                                        </w:t>
            </w:r>
          </w:p>
        </w:tc>
        <w:tc>
          <w:tcPr>
            <w:tcW w:w="1311" w:type="dxa"/>
          </w:tcPr>
          <w:p w:rsidR="00E77BE2" w:rsidRPr="00C97C83" w:rsidRDefault="00E77BE2" w:rsidP="00A8050E">
            <w:pPr>
              <w:jc w:val="center"/>
              <w:rPr>
                <w:b/>
                <w:sz w:val="26"/>
                <w:szCs w:val="26"/>
                <w:u w:val="single"/>
              </w:rPr>
            </w:pPr>
            <w:r>
              <w:rPr>
                <w:b/>
                <w:sz w:val="26"/>
                <w:szCs w:val="26"/>
                <w:u w:val="single"/>
              </w:rPr>
              <w:t>109.9</w:t>
            </w:r>
          </w:p>
        </w:tc>
        <w:tc>
          <w:tcPr>
            <w:tcW w:w="1311" w:type="dxa"/>
          </w:tcPr>
          <w:p w:rsidR="00E77BE2" w:rsidRPr="00C97C83" w:rsidRDefault="00E77BE2" w:rsidP="00A8050E">
            <w:pPr>
              <w:jc w:val="center"/>
              <w:rPr>
                <w:b/>
                <w:sz w:val="26"/>
                <w:szCs w:val="26"/>
                <w:u w:val="single"/>
              </w:rPr>
            </w:pPr>
            <w:r>
              <w:rPr>
                <w:b/>
                <w:sz w:val="26"/>
                <w:szCs w:val="26"/>
                <w:u w:val="single"/>
              </w:rPr>
              <w:t>100.0</w:t>
            </w:r>
          </w:p>
        </w:tc>
      </w:tr>
    </w:tbl>
    <w:p w:rsidR="00B50EE4" w:rsidRDefault="00B50EE4" w:rsidP="00CF23F4">
      <w:pPr>
        <w:pStyle w:val="p2"/>
        <w:tabs>
          <w:tab w:val="left" w:pos="720"/>
        </w:tabs>
        <w:spacing w:line="360" w:lineRule="auto"/>
        <w:ind w:firstLine="0"/>
        <w:rPr>
          <w:b/>
          <w:sz w:val="26"/>
          <w:szCs w:val="26"/>
        </w:rPr>
      </w:pPr>
    </w:p>
    <w:p w:rsidR="00B50EE4" w:rsidRDefault="00B50EE4" w:rsidP="00B50EE4">
      <w:pPr>
        <w:pStyle w:val="p2"/>
        <w:widowControl/>
        <w:spacing w:line="360" w:lineRule="auto"/>
        <w:ind w:firstLine="0"/>
        <w:rPr>
          <w:sz w:val="26"/>
          <w:szCs w:val="26"/>
        </w:rPr>
      </w:pPr>
      <w:r w:rsidRPr="008835C3">
        <w:rPr>
          <w:sz w:val="26"/>
          <w:szCs w:val="26"/>
          <w:u w:val="single"/>
        </w:rPr>
        <w:t>System Reliability Improvements:</w:t>
      </w:r>
      <w:r w:rsidRPr="00BC54EF">
        <w:rPr>
          <w:sz w:val="26"/>
          <w:szCs w:val="26"/>
        </w:rPr>
        <w:t xml:space="preserve">  </w:t>
      </w:r>
      <w:r w:rsidR="0014165C">
        <w:rPr>
          <w:sz w:val="26"/>
          <w:szCs w:val="26"/>
        </w:rPr>
        <w:t>UGI-CPG</w:t>
      </w:r>
      <w:r>
        <w:rPr>
          <w:sz w:val="26"/>
          <w:szCs w:val="26"/>
        </w:rPr>
        <w:t xml:space="preserve"> states that System Reliability Improvements are those investments required to maintain ongoing system reliability.  Typical projects include investments in distribution or transmission infrastructure needed to reinforce system pressures to ensure firm peak-day deliverability.</w:t>
      </w:r>
    </w:p>
    <w:p w:rsidR="00B50EE4" w:rsidRDefault="00B50EE4" w:rsidP="00B50EE4">
      <w:pPr>
        <w:pStyle w:val="p2"/>
        <w:widowControl/>
        <w:spacing w:line="360" w:lineRule="auto"/>
        <w:ind w:firstLine="0"/>
        <w:rPr>
          <w:sz w:val="26"/>
          <w:szCs w:val="26"/>
        </w:rPr>
      </w:pPr>
    </w:p>
    <w:p w:rsidR="00B50EE4" w:rsidRDefault="00B50EE4" w:rsidP="00B50EE4">
      <w:pPr>
        <w:pStyle w:val="p2"/>
        <w:widowControl/>
        <w:spacing w:line="360" w:lineRule="auto"/>
        <w:ind w:firstLine="0"/>
        <w:rPr>
          <w:sz w:val="26"/>
          <w:szCs w:val="26"/>
        </w:rPr>
      </w:pPr>
      <w:r w:rsidRPr="00434508">
        <w:rPr>
          <w:sz w:val="26"/>
          <w:szCs w:val="26"/>
          <w:u w:val="single"/>
        </w:rPr>
        <w:t>Meters</w:t>
      </w:r>
      <w:r w:rsidRPr="00434508">
        <w:rPr>
          <w:sz w:val="26"/>
          <w:szCs w:val="26"/>
        </w:rPr>
        <w:t>:</w:t>
      </w:r>
      <w:r w:rsidRPr="00BC54EF">
        <w:rPr>
          <w:sz w:val="26"/>
          <w:szCs w:val="26"/>
        </w:rPr>
        <w:t xml:space="preserve">  </w:t>
      </w:r>
      <w:r w:rsidR="0014165C">
        <w:rPr>
          <w:sz w:val="26"/>
          <w:szCs w:val="26"/>
        </w:rPr>
        <w:t>UGI-CPG</w:t>
      </w:r>
      <w:r>
        <w:rPr>
          <w:sz w:val="26"/>
          <w:szCs w:val="26"/>
        </w:rPr>
        <w:t xml:space="preserve"> replaces meters as may be necessary to maintain compliance with gas measurement accuracy standards.  </w:t>
      </w:r>
      <w:r w:rsidR="0014165C">
        <w:rPr>
          <w:sz w:val="26"/>
          <w:szCs w:val="26"/>
        </w:rPr>
        <w:t>UGI-CPG</w:t>
      </w:r>
      <w:r>
        <w:rPr>
          <w:sz w:val="26"/>
          <w:szCs w:val="26"/>
        </w:rPr>
        <w:t xml:space="preserve"> uses a statistical sampling program to evaluate meter accuracy.  If a grouping of meters fails to meet accuracy requirements, the meters are repaired or replaced. </w:t>
      </w:r>
    </w:p>
    <w:p w:rsidR="00B50EE4" w:rsidRDefault="00B50EE4" w:rsidP="00B50EE4">
      <w:pPr>
        <w:pStyle w:val="p2"/>
        <w:widowControl/>
        <w:spacing w:line="360" w:lineRule="auto"/>
        <w:ind w:firstLine="0"/>
        <w:rPr>
          <w:sz w:val="26"/>
          <w:szCs w:val="26"/>
        </w:rPr>
      </w:pPr>
    </w:p>
    <w:p w:rsidR="00B50EE4" w:rsidRDefault="00B50EE4" w:rsidP="00B50EE4">
      <w:pPr>
        <w:pStyle w:val="p2"/>
        <w:widowControl/>
        <w:spacing w:line="360" w:lineRule="auto"/>
        <w:ind w:firstLine="0"/>
        <w:rPr>
          <w:sz w:val="26"/>
          <w:szCs w:val="26"/>
        </w:rPr>
      </w:pPr>
      <w:r w:rsidRPr="00434508">
        <w:rPr>
          <w:sz w:val="26"/>
          <w:szCs w:val="26"/>
          <w:u w:val="single"/>
        </w:rPr>
        <w:t>Mandated Facility Relocations</w:t>
      </w:r>
      <w:r w:rsidRPr="00434508">
        <w:rPr>
          <w:sz w:val="26"/>
          <w:szCs w:val="26"/>
        </w:rPr>
        <w:t>:</w:t>
      </w:r>
      <w:r w:rsidRPr="00BC54EF">
        <w:rPr>
          <w:sz w:val="26"/>
          <w:szCs w:val="26"/>
        </w:rPr>
        <w:t xml:space="preserve">  </w:t>
      </w:r>
      <w:r w:rsidR="0014165C">
        <w:rPr>
          <w:sz w:val="26"/>
          <w:szCs w:val="26"/>
        </w:rPr>
        <w:t>UGI-CPG</w:t>
      </w:r>
      <w:r>
        <w:rPr>
          <w:sz w:val="26"/>
          <w:szCs w:val="26"/>
        </w:rPr>
        <w:t xml:space="preserve"> states that periodically it is required to relocate gas facilities to accommodate highway improvement projects, and the unreimbursed portion of these costs is DSIC-eligible.</w:t>
      </w:r>
    </w:p>
    <w:p w:rsidR="00B50EE4" w:rsidRDefault="00B50EE4" w:rsidP="00B50EE4">
      <w:pPr>
        <w:pStyle w:val="p2"/>
        <w:widowControl/>
        <w:spacing w:line="360" w:lineRule="auto"/>
        <w:ind w:firstLine="0"/>
        <w:rPr>
          <w:sz w:val="26"/>
          <w:szCs w:val="26"/>
        </w:rPr>
      </w:pPr>
    </w:p>
    <w:p w:rsidR="00B50EE4" w:rsidRDefault="00B50EE4" w:rsidP="00B50EE4">
      <w:pPr>
        <w:pStyle w:val="p2"/>
        <w:tabs>
          <w:tab w:val="left" w:pos="720"/>
        </w:tabs>
        <w:spacing w:line="360" w:lineRule="auto"/>
        <w:ind w:firstLine="0"/>
        <w:rPr>
          <w:b/>
          <w:sz w:val="26"/>
          <w:szCs w:val="26"/>
        </w:rPr>
      </w:pPr>
      <w:r w:rsidRPr="00434508">
        <w:rPr>
          <w:sz w:val="26"/>
          <w:szCs w:val="26"/>
          <w:u w:val="single"/>
        </w:rPr>
        <w:t>Related Capitalized Costs</w:t>
      </w:r>
      <w:r w:rsidRPr="00434508">
        <w:rPr>
          <w:sz w:val="26"/>
          <w:szCs w:val="26"/>
        </w:rPr>
        <w:t>:</w:t>
      </w:r>
      <w:r w:rsidRPr="00BC54EF">
        <w:rPr>
          <w:sz w:val="26"/>
          <w:szCs w:val="26"/>
        </w:rPr>
        <w:t xml:space="preserve">  </w:t>
      </w:r>
      <w:r w:rsidR="0014165C">
        <w:rPr>
          <w:sz w:val="26"/>
          <w:szCs w:val="26"/>
        </w:rPr>
        <w:t>UGI-CPG</w:t>
      </w:r>
      <w:r>
        <w:rPr>
          <w:sz w:val="26"/>
          <w:szCs w:val="26"/>
        </w:rPr>
        <w:t xml:space="preserve"> states that the replacement of DSIC eligible property may result in additional related costs incurred that are essential and necessary in </w:t>
      </w:r>
      <w:r>
        <w:rPr>
          <w:sz w:val="26"/>
          <w:szCs w:val="26"/>
        </w:rPr>
        <w:lastRenderedPageBreak/>
        <w:t>order to efficiently manage specific accelerated capital improvement projects. Examples include</w:t>
      </w:r>
      <w:r w:rsidR="00B32FD3">
        <w:rPr>
          <w:sz w:val="26"/>
          <w:szCs w:val="26"/>
        </w:rPr>
        <w:t>,</w:t>
      </w:r>
      <w:r>
        <w:rPr>
          <w:sz w:val="26"/>
          <w:szCs w:val="26"/>
        </w:rPr>
        <w:t xml:space="preserve"> but </w:t>
      </w:r>
      <w:r w:rsidR="00B32FD3">
        <w:rPr>
          <w:sz w:val="26"/>
          <w:szCs w:val="26"/>
        </w:rPr>
        <w:t xml:space="preserve">are </w:t>
      </w:r>
      <w:r>
        <w:rPr>
          <w:sz w:val="26"/>
          <w:szCs w:val="26"/>
        </w:rPr>
        <w:t>not limited to, tools, equipment, fleet, corrosion control, and information technology investments.</w:t>
      </w:r>
    </w:p>
    <w:p w:rsidR="00B50EE4" w:rsidRDefault="00B50EE4" w:rsidP="00CF23F4">
      <w:pPr>
        <w:pStyle w:val="p2"/>
        <w:tabs>
          <w:tab w:val="left" w:pos="720"/>
        </w:tabs>
        <w:spacing w:line="360" w:lineRule="auto"/>
        <w:ind w:firstLine="0"/>
        <w:rPr>
          <w:b/>
          <w:sz w:val="26"/>
          <w:szCs w:val="26"/>
        </w:rPr>
      </w:pPr>
    </w:p>
    <w:p w:rsidR="00CF23F4" w:rsidRPr="001414CA"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spacing w:line="360" w:lineRule="auto"/>
        <w:ind w:firstLine="0"/>
        <w:rPr>
          <w:sz w:val="26"/>
          <w:szCs w:val="26"/>
        </w:rPr>
      </w:pPr>
    </w:p>
    <w:p w:rsidR="00F1655D" w:rsidRDefault="00B50EE4" w:rsidP="00CF23F4">
      <w:pPr>
        <w:pStyle w:val="p2"/>
        <w:tabs>
          <w:tab w:val="left" w:pos="720"/>
        </w:tabs>
        <w:spacing w:line="360" w:lineRule="auto"/>
        <w:ind w:firstLine="0"/>
        <w:rPr>
          <w:b/>
          <w:sz w:val="26"/>
          <w:szCs w:val="26"/>
        </w:rPr>
      </w:pPr>
      <w:r>
        <w:rPr>
          <w:sz w:val="26"/>
          <w:szCs w:val="26"/>
        </w:rPr>
        <w:tab/>
      </w:r>
      <w:r>
        <w:rPr>
          <w:sz w:val="26"/>
          <w:szCs w:val="26"/>
        </w:rPr>
        <w:tab/>
      </w:r>
      <w:r w:rsidRPr="004B0C21">
        <w:rPr>
          <w:sz w:val="26"/>
          <w:szCs w:val="26"/>
        </w:rPr>
        <w:t>OCA recommends that the Company’s proposal to recover costs incurred for tools, equipment, fleet, corrosion control, and information technology investments through the DSIC be reviewed to determine whether it is consistent with statutory requirements.  OCA states that the Company should address project costs associated with reliability improvements through its normal capital planning process and recover those costs through its base rates.</w:t>
      </w:r>
    </w:p>
    <w:p w:rsidR="00B50EE4" w:rsidRDefault="00B50EE4" w:rsidP="00CF23F4">
      <w:pPr>
        <w:pStyle w:val="p2"/>
        <w:tabs>
          <w:tab w:val="left" w:pos="720"/>
        </w:tabs>
        <w:spacing w:line="360" w:lineRule="auto"/>
        <w:ind w:firstLine="0"/>
        <w:rPr>
          <w:b/>
          <w:sz w:val="26"/>
          <w:szCs w:val="26"/>
        </w:rPr>
      </w:pPr>
    </w:p>
    <w:p w:rsidR="001D25CD" w:rsidRDefault="00CF23F4" w:rsidP="001D25CD">
      <w:pPr>
        <w:pStyle w:val="p2"/>
        <w:tabs>
          <w:tab w:val="left" w:pos="720"/>
        </w:tabs>
        <w:spacing w:line="360" w:lineRule="auto"/>
        <w:ind w:firstLine="0"/>
        <w:rPr>
          <w:b/>
          <w:sz w:val="26"/>
          <w:szCs w:val="26"/>
        </w:rPr>
      </w:pPr>
      <w:r w:rsidRPr="000F5E3D">
        <w:rPr>
          <w:b/>
          <w:sz w:val="26"/>
          <w:szCs w:val="26"/>
        </w:rPr>
        <w:t>Resolution</w:t>
      </w:r>
    </w:p>
    <w:p w:rsidR="001D25CD" w:rsidRDefault="001D25CD" w:rsidP="001D25CD">
      <w:pPr>
        <w:pStyle w:val="p2"/>
        <w:tabs>
          <w:tab w:val="left" w:pos="720"/>
        </w:tabs>
        <w:spacing w:line="360" w:lineRule="auto"/>
        <w:ind w:firstLine="0"/>
        <w:rPr>
          <w:b/>
          <w:sz w:val="26"/>
          <w:szCs w:val="26"/>
        </w:rPr>
      </w:pPr>
    </w:p>
    <w:p w:rsidR="001D25CD" w:rsidRDefault="001D25CD" w:rsidP="001D25CD">
      <w:pPr>
        <w:pStyle w:val="p2"/>
        <w:tabs>
          <w:tab w:val="left" w:pos="720"/>
        </w:tabs>
        <w:spacing w:line="360" w:lineRule="auto"/>
        <w:ind w:firstLine="0"/>
        <w:rPr>
          <w:sz w:val="26"/>
          <w:szCs w:val="26"/>
        </w:rPr>
      </w:pPr>
      <w:r>
        <w:rPr>
          <w:sz w:val="26"/>
          <w:szCs w:val="26"/>
        </w:rPr>
        <w:tab/>
      </w:r>
      <w:r>
        <w:rPr>
          <w:sz w:val="26"/>
          <w:szCs w:val="26"/>
        </w:rPr>
        <w:tab/>
      </w:r>
      <w:r w:rsidRPr="00FC6C46">
        <w:rPr>
          <w:sz w:val="26"/>
          <w:szCs w:val="26"/>
        </w:rPr>
        <w:t>In response to OCA’s concerns</w:t>
      </w:r>
      <w:r>
        <w:rPr>
          <w:sz w:val="26"/>
          <w:szCs w:val="26"/>
        </w:rPr>
        <w:t xml:space="preserve"> regarding capitalized costs for equipment and other expenses and reliability improvements</w:t>
      </w:r>
      <w:r w:rsidRPr="00FC6C46">
        <w:rPr>
          <w:sz w:val="26"/>
          <w:szCs w:val="26"/>
        </w:rPr>
        <w:t xml:space="preserve">, </w:t>
      </w:r>
      <w:r>
        <w:rPr>
          <w:sz w:val="26"/>
          <w:szCs w:val="26"/>
        </w:rPr>
        <w:t>t</w:t>
      </w:r>
      <w:r w:rsidRPr="00FC6C46">
        <w:rPr>
          <w:sz w:val="26"/>
          <w:szCs w:val="26"/>
        </w:rPr>
        <w:t>he Commission will address each of these concerns.</w:t>
      </w:r>
    </w:p>
    <w:p w:rsidR="001D25CD" w:rsidRDefault="001D25CD" w:rsidP="001D25CD">
      <w:pPr>
        <w:pStyle w:val="p2"/>
        <w:tabs>
          <w:tab w:val="left" w:pos="720"/>
        </w:tabs>
        <w:spacing w:line="360" w:lineRule="auto"/>
        <w:ind w:firstLine="0"/>
        <w:rPr>
          <w:sz w:val="26"/>
          <w:szCs w:val="26"/>
        </w:rPr>
      </w:pPr>
    </w:p>
    <w:p w:rsidR="001D25CD" w:rsidRDefault="001D25CD" w:rsidP="001D25CD">
      <w:pPr>
        <w:pStyle w:val="p2"/>
        <w:tabs>
          <w:tab w:val="left" w:pos="720"/>
        </w:tabs>
        <w:spacing w:line="360" w:lineRule="auto"/>
        <w:ind w:firstLine="0"/>
        <w:rPr>
          <w:sz w:val="26"/>
          <w:szCs w:val="26"/>
        </w:rPr>
      </w:pPr>
      <w:r w:rsidRPr="00AD7CFB">
        <w:rPr>
          <w:sz w:val="26"/>
          <w:szCs w:val="26"/>
          <w:u w:val="single"/>
        </w:rPr>
        <w:t>Related Capitalized Costs:</w:t>
      </w:r>
      <w:r w:rsidRPr="00F02127">
        <w:rPr>
          <w:sz w:val="26"/>
          <w:szCs w:val="26"/>
        </w:rPr>
        <w:t xml:space="preserve">  </w:t>
      </w:r>
      <w:r>
        <w:rPr>
          <w:sz w:val="26"/>
          <w:szCs w:val="26"/>
        </w:rPr>
        <w:t xml:space="preserve">While we acknowledge OCA’s concerns regarding capitalized costs for vehicles, tools, equipment and information technology, the Commission believes that these upgrades to existing infrastructure will improve the reliability of </w:t>
      </w:r>
      <w:r w:rsidR="0014165C">
        <w:rPr>
          <w:sz w:val="26"/>
          <w:szCs w:val="26"/>
        </w:rPr>
        <w:t>UGI-CPG</w:t>
      </w:r>
      <w:r>
        <w:rPr>
          <w:sz w:val="26"/>
          <w:szCs w:val="26"/>
        </w:rPr>
        <w:t xml:space="preserve">’s service to customers.  If the capital project requiring these costs is a DSIC-eligible project, then the costs of tools, equipment, fleet, and information technology can be capitalized as overhead as part of the DSIC-eligible project.  We note the use of the term “other related capitalized costs” in the definition of eligible property in Act 11.  See 66 Pa. C.S. § 1351.  More importantly, we believe that the inclusion of these DSIC-eligible properties will encourage the acceleration of infrastructure upgrades by </w:t>
      </w:r>
      <w:r w:rsidR="0014165C">
        <w:rPr>
          <w:sz w:val="26"/>
          <w:szCs w:val="26"/>
        </w:rPr>
        <w:t>UGI-CPG</w:t>
      </w:r>
      <w:r>
        <w:rPr>
          <w:sz w:val="26"/>
          <w:szCs w:val="26"/>
        </w:rPr>
        <w:t xml:space="preserve">.  Therefore, we approve these DSIC-eligible properties in </w:t>
      </w:r>
      <w:r w:rsidR="0014165C">
        <w:rPr>
          <w:sz w:val="26"/>
          <w:szCs w:val="26"/>
        </w:rPr>
        <w:t>UGI-CPG</w:t>
      </w:r>
      <w:r>
        <w:rPr>
          <w:sz w:val="26"/>
          <w:szCs w:val="26"/>
        </w:rPr>
        <w:t xml:space="preserve">’s </w:t>
      </w:r>
      <w:r>
        <w:rPr>
          <w:sz w:val="26"/>
          <w:szCs w:val="26"/>
        </w:rPr>
        <w:lastRenderedPageBreak/>
        <w:t>LTIIP.</w:t>
      </w:r>
    </w:p>
    <w:p w:rsidR="001D25CD" w:rsidRDefault="001D25CD" w:rsidP="001D25CD">
      <w:pPr>
        <w:pStyle w:val="p2"/>
        <w:tabs>
          <w:tab w:val="left" w:pos="720"/>
        </w:tabs>
        <w:spacing w:line="360" w:lineRule="auto"/>
        <w:ind w:firstLine="0"/>
        <w:rPr>
          <w:sz w:val="26"/>
          <w:szCs w:val="26"/>
        </w:rPr>
      </w:pPr>
    </w:p>
    <w:p w:rsidR="001D25CD" w:rsidRDefault="001D25CD" w:rsidP="001D25CD">
      <w:pPr>
        <w:pStyle w:val="p2"/>
        <w:tabs>
          <w:tab w:val="left" w:pos="720"/>
        </w:tabs>
        <w:spacing w:line="360" w:lineRule="auto"/>
        <w:ind w:firstLine="0"/>
        <w:rPr>
          <w:sz w:val="26"/>
          <w:szCs w:val="26"/>
        </w:rPr>
      </w:pPr>
      <w:r w:rsidRPr="00BC54EF">
        <w:rPr>
          <w:sz w:val="26"/>
          <w:szCs w:val="26"/>
          <w:u w:val="single"/>
        </w:rPr>
        <w:t>Reliability Improvements</w:t>
      </w:r>
      <w:r w:rsidRPr="00F02127">
        <w:rPr>
          <w:sz w:val="26"/>
          <w:szCs w:val="26"/>
        </w:rPr>
        <w:t xml:space="preserve">:  </w:t>
      </w:r>
      <w:r w:rsidRPr="00F02127">
        <w:rPr>
          <w:sz w:val="26"/>
          <w:szCs w:val="26"/>
        </w:rPr>
        <w:tab/>
      </w:r>
      <w:r w:rsidR="0014165C">
        <w:rPr>
          <w:sz w:val="26"/>
          <w:szCs w:val="26"/>
        </w:rPr>
        <w:t>UGI-CPG</w:t>
      </w:r>
      <w:r>
        <w:rPr>
          <w:sz w:val="26"/>
          <w:szCs w:val="26"/>
        </w:rPr>
        <w:t xml:space="preserve"> avers that reliability projects proposed by </w:t>
      </w:r>
      <w:r w:rsidR="0014165C">
        <w:rPr>
          <w:sz w:val="26"/>
          <w:szCs w:val="26"/>
        </w:rPr>
        <w:t>UGI-CPG</w:t>
      </w:r>
      <w:r>
        <w:rPr>
          <w:sz w:val="26"/>
          <w:szCs w:val="26"/>
        </w:rPr>
        <w:t xml:space="preserve"> are included in the LTIIP for the purposes of elevating system pressures or increasing diversity of system support for the benefit of improving service reliability to existing customers.</w:t>
      </w:r>
    </w:p>
    <w:p w:rsidR="001D25CD" w:rsidRDefault="001D25CD" w:rsidP="001D25CD">
      <w:pPr>
        <w:pStyle w:val="p2"/>
        <w:tabs>
          <w:tab w:val="left" w:pos="720"/>
        </w:tabs>
        <w:spacing w:line="360" w:lineRule="auto"/>
        <w:ind w:firstLine="0"/>
        <w:rPr>
          <w:sz w:val="26"/>
          <w:szCs w:val="26"/>
        </w:rPr>
      </w:pPr>
    </w:p>
    <w:p w:rsidR="001D25CD" w:rsidRDefault="001D25CD" w:rsidP="001D25CD">
      <w:pPr>
        <w:pStyle w:val="p2"/>
        <w:tabs>
          <w:tab w:val="left" w:pos="720"/>
        </w:tabs>
        <w:spacing w:line="360" w:lineRule="auto"/>
        <w:ind w:firstLine="0"/>
        <w:rPr>
          <w:sz w:val="26"/>
          <w:szCs w:val="26"/>
        </w:rPr>
      </w:pPr>
      <w:r>
        <w:rPr>
          <w:sz w:val="26"/>
          <w:szCs w:val="26"/>
        </w:rPr>
        <w:tab/>
      </w:r>
      <w:r>
        <w:rPr>
          <w:sz w:val="26"/>
          <w:szCs w:val="26"/>
        </w:rPr>
        <w:tab/>
        <w:t xml:space="preserve">As we stated in our </w:t>
      </w:r>
      <w:r w:rsidRPr="00842979">
        <w:rPr>
          <w:i/>
          <w:sz w:val="26"/>
          <w:szCs w:val="26"/>
        </w:rPr>
        <w:t>Final Implementation Order</w:t>
      </w:r>
      <w:r>
        <w:rPr>
          <w:i/>
          <w:sz w:val="26"/>
          <w:szCs w:val="26"/>
        </w:rPr>
        <w:t>,</w:t>
      </w:r>
      <w:r>
        <w:rPr>
          <w:sz w:val="26"/>
          <w:szCs w:val="26"/>
        </w:rPr>
        <w:t xml:space="preserve"> “…the DSIC mechanism was granted to fixed utilities so that they could repair and replace their existing infrastructure...necessary upgrades to existing infrastructure serving existing customers…will be considered a DSIC-eligible project.  </w:t>
      </w:r>
      <w:r w:rsidRPr="00842979">
        <w:rPr>
          <w:i/>
          <w:sz w:val="26"/>
          <w:szCs w:val="26"/>
        </w:rPr>
        <w:t>See Final Implementation Order</w:t>
      </w:r>
      <w:r>
        <w:rPr>
          <w:sz w:val="26"/>
          <w:szCs w:val="26"/>
        </w:rPr>
        <w:t xml:space="preserve"> at 23-24.  This is in line with the reasoning that this will potentially reduce outages on such systems and increase reliability of their infrastructure.</w:t>
      </w:r>
    </w:p>
    <w:p w:rsidR="001D25CD" w:rsidRDefault="001D25CD" w:rsidP="001D25CD">
      <w:pPr>
        <w:pStyle w:val="p7"/>
        <w:keepNext/>
        <w:widowControl/>
        <w:tabs>
          <w:tab w:val="clear" w:pos="1133"/>
          <w:tab w:val="left" w:pos="720"/>
          <w:tab w:val="left" w:pos="1350"/>
          <w:tab w:val="left" w:pos="1440"/>
        </w:tabs>
        <w:spacing w:line="360" w:lineRule="auto"/>
        <w:ind w:left="0" w:firstLine="0"/>
        <w:jc w:val="both"/>
        <w:rPr>
          <w:sz w:val="26"/>
          <w:szCs w:val="26"/>
        </w:rPr>
      </w:pPr>
    </w:p>
    <w:p w:rsidR="00801CB1" w:rsidRDefault="001D25CD" w:rsidP="001D25CD">
      <w:pPr>
        <w:pStyle w:val="p2"/>
        <w:tabs>
          <w:tab w:val="left" w:pos="720"/>
        </w:tabs>
        <w:spacing w:line="360" w:lineRule="auto"/>
        <w:ind w:firstLine="0"/>
        <w:rPr>
          <w:sz w:val="26"/>
          <w:szCs w:val="26"/>
        </w:rPr>
      </w:pPr>
      <w:r>
        <w:rPr>
          <w:sz w:val="26"/>
          <w:szCs w:val="26"/>
        </w:rPr>
        <w:tab/>
      </w:r>
      <w:r>
        <w:rPr>
          <w:sz w:val="26"/>
          <w:szCs w:val="26"/>
        </w:rPr>
        <w:tab/>
        <w:t>We believe that upgrading existing facilities</w:t>
      </w:r>
      <w:r w:rsidR="00B32FD3">
        <w:rPr>
          <w:sz w:val="26"/>
          <w:szCs w:val="26"/>
        </w:rPr>
        <w:t>,</w:t>
      </w:r>
      <w:r>
        <w:rPr>
          <w:sz w:val="26"/>
          <w:szCs w:val="26"/>
        </w:rPr>
        <w:t xml:space="preserve"> such as </w:t>
      </w:r>
      <w:r w:rsidR="0014165C">
        <w:rPr>
          <w:sz w:val="26"/>
          <w:szCs w:val="26"/>
        </w:rPr>
        <w:t>UGI-CPG</w:t>
      </w:r>
      <w:r>
        <w:rPr>
          <w:sz w:val="26"/>
          <w:szCs w:val="26"/>
        </w:rPr>
        <w:t>’s example of investments in distribution or transmission infrastructure needed to reinforce system pressures to ensure firm peak-day deliverability</w:t>
      </w:r>
      <w:r w:rsidR="00B32FD3">
        <w:rPr>
          <w:sz w:val="26"/>
          <w:szCs w:val="26"/>
        </w:rPr>
        <w:t>,</w:t>
      </w:r>
      <w:r>
        <w:rPr>
          <w:sz w:val="26"/>
          <w:szCs w:val="26"/>
        </w:rPr>
        <w:t xml:space="preserve"> will decrease the likelihood of failure, thereby increasing reliability of their infrastructure.  Accordingly, we believe that any reliability improvements performed by </w:t>
      </w:r>
      <w:r w:rsidR="0014165C">
        <w:rPr>
          <w:sz w:val="26"/>
          <w:szCs w:val="26"/>
        </w:rPr>
        <w:t>UGI-CPG</w:t>
      </w:r>
      <w:r>
        <w:rPr>
          <w:sz w:val="26"/>
          <w:szCs w:val="26"/>
        </w:rPr>
        <w:t xml:space="preserve"> as part of a </w:t>
      </w:r>
      <w:r w:rsidRPr="00A758B3">
        <w:rPr>
          <w:i/>
          <w:sz w:val="26"/>
          <w:szCs w:val="26"/>
        </w:rPr>
        <w:t>planned</w:t>
      </w:r>
      <w:r>
        <w:rPr>
          <w:sz w:val="26"/>
          <w:szCs w:val="26"/>
        </w:rPr>
        <w:t xml:space="preserve"> repair and replacement project should be rightfully included in its LTIIP.</w:t>
      </w:r>
    </w:p>
    <w:p w:rsidR="00801CB1" w:rsidRDefault="00801CB1" w:rsidP="00FE7087">
      <w:pPr>
        <w:pStyle w:val="p2"/>
        <w:tabs>
          <w:tab w:val="left" w:pos="720"/>
        </w:tabs>
        <w:spacing w:line="360" w:lineRule="auto"/>
        <w:ind w:firstLine="0"/>
        <w:rPr>
          <w:sz w:val="26"/>
          <w:szCs w:val="26"/>
        </w:rPr>
      </w:pPr>
    </w:p>
    <w:p w:rsidR="00CF23F4" w:rsidRDefault="00FE7087" w:rsidP="00652094">
      <w:pPr>
        <w:pStyle w:val="p2"/>
        <w:spacing w:line="360" w:lineRule="auto"/>
        <w:ind w:firstLine="1440"/>
        <w:rPr>
          <w:sz w:val="26"/>
          <w:szCs w:val="26"/>
        </w:rPr>
      </w:pPr>
      <w:r>
        <w:rPr>
          <w:sz w:val="26"/>
          <w:szCs w:val="26"/>
        </w:rPr>
        <w:t xml:space="preserve">Upon review of </w:t>
      </w:r>
      <w:r w:rsidR="0014165C">
        <w:rPr>
          <w:color w:val="0D0D0D"/>
          <w:sz w:val="26"/>
          <w:szCs w:val="26"/>
        </w:rPr>
        <w:t>UGI-CPG</w:t>
      </w:r>
      <w:r w:rsidR="00663210">
        <w:rPr>
          <w:color w:val="0D0D0D"/>
          <w:sz w:val="26"/>
          <w:szCs w:val="26"/>
        </w:rPr>
        <w:t>’s</w:t>
      </w:r>
      <w:r>
        <w:rPr>
          <w:color w:val="0D0D0D"/>
          <w:sz w:val="26"/>
          <w:szCs w:val="26"/>
        </w:rPr>
        <w:t xml:space="preserve"> </w:t>
      </w:r>
      <w:r>
        <w:rPr>
          <w:sz w:val="26"/>
          <w:szCs w:val="26"/>
        </w:rPr>
        <w:t>LTIIP and all supplemental information and explanations filed, the Commission finds that the requirements of element one of the Final Implementation Order of Act 11, types a</w:t>
      </w:r>
      <w:r w:rsidR="00B32FD3">
        <w:rPr>
          <w:sz w:val="26"/>
          <w:szCs w:val="26"/>
        </w:rPr>
        <w:t>nd age of eligible property, have</w:t>
      </w:r>
      <w:r>
        <w:rPr>
          <w:sz w:val="26"/>
          <w:szCs w:val="26"/>
        </w:rPr>
        <w:t xml:space="preserve"> been fulfilled</w:t>
      </w:r>
      <w:r w:rsidR="00D24228">
        <w:rPr>
          <w:sz w:val="26"/>
          <w:szCs w:val="26"/>
        </w:rPr>
        <w:t>.</w:t>
      </w:r>
      <w:r w:rsidR="00A73345">
        <w:rPr>
          <w:sz w:val="26"/>
          <w:szCs w:val="26"/>
        </w:rPr>
        <w:t xml:space="preserve"> </w:t>
      </w:r>
    </w:p>
    <w:p w:rsidR="00801CB1" w:rsidRDefault="00801CB1">
      <w:pPr>
        <w:widowControl/>
        <w:autoSpaceDE/>
        <w:autoSpaceDN/>
        <w:adjustRightInd/>
        <w:spacing w:after="200" w:line="276" w:lineRule="auto"/>
        <w:rPr>
          <w:sz w:val="26"/>
          <w:szCs w:val="26"/>
        </w:rPr>
      </w:pPr>
    </w:p>
    <w:p w:rsidR="00F4616F" w:rsidRDefault="00F4616F">
      <w:pPr>
        <w:widowControl/>
        <w:autoSpaceDE/>
        <w:autoSpaceDN/>
        <w:adjustRightInd/>
        <w:spacing w:after="200" w:line="276" w:lineRule="auto"/>
        <w:rPr>
          <w:sz w:val="26"/>
          <w:szCs w:val="26"/>
        </w:rPr>
      </w:pPr>
    </w:p>
    <w:p w:rsidR="00F4616F" w:rsidRDefault="00F4616F">
      <w:pPr>
        <w:widowControl/>
        <w:autoSpaceDE/>
        <w:autoSpaceDN/>
        <w:adjustRightInd/>
        <w:spacing w:after="200" w:line="276" w:lineRule="auto"/>
        <w:rPr>
          <w:sz w:val="26"/>
          <w:szCs w:val="26"/>
        </w:rPr>
      </w:pPr>
    </w:p>
    <w:p w:rsidR="00CF23F4" w:rsidRPr="000F5E3D" w:rsidRDefault="00CF23F4" w:rsidP="00E32B1D">
      <w:pPr>
        <w:pStyle w:val="p2"/>
        <w:numPr>
          <w:ilvl w:val="0"/>
          <w:numId w:val="25"/>
        </w:numPr>
        <w:spacing w:line="360" w:lineRule="auto"/>
        <w:rPr>
          <w:sz w:val="26"/>
          <w:szCs w:val="26"/>
        </w:rPr>
      </w:pPr>
      <w:r>
        <w:rPr>
          <w:b/>
          <w:sz w:val="26"/>
          <w:szCs w:val="26"/>
        </w:rPr>
        <w:lastRenderedPageBreak/>
        <w:t>SCHEDULE FOR PLANNED REPAIR AND REPLACEMENT OF ELIGIBLE PROPERTY</w:t>
      </w:r>
    </w:p>
    <w:p w:rsidR="00CF23F4" w:rsidRDefault="00CF23F4" w:rsidP="00CF23F4">
      <w:pPr>
        <w:pStyle w:val="p2"/>
        <w:spacing w:line="360" w:lineRule="auto"/>
        <w:ind w:firstLine="0"/>
        <w:rPr>
          <w:sz w:val="26"/>
          <w:szCs w:val="26"/>
        </w:rPr>
      </w:pPr>
    </w:p>
    <w:p w:rsidR="00CF23F4" w:rsidRDefault="0014165C" w:rsidP="00CF23F4">
      <w:pPr>
        <w:pStyle w:val="p2"/>
        <w:tabs>
          <w:tab w:val="left" w:pos="720"/>
        </w:tabs>
        <w:spacing w:line="360" w:lineRule="auto"/>
        <w:ind w:firstLine="0"/>
        <w:rPr>
          <w:b/>
          <w:sz w:val="26"/>
          <w:szCs w:val="26"/>
        </w:rPr>
      </w:pPr>
      <w:r>
        <w:rPr>
          <w:b/>
          <w:sz w:val="26"/>
          <w:szCs w:val="26"/>
        </w:rPr>
        <w:t>UGI-CPG</w:t>
      </w:r>
      <w:r w:rsidR="001D25CD">
        <w:rPr>
          <w:b/>
          <w:sz w:val="26"/>
          <w:szCs w:val="26"/>
        </w:rPr>
        <w:t>’s</w:t>
      </w:r>
      <w:r w:rsidR="00E32B1D">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801CB1" w:rsidRDefault="003F6360" w:rsidP="001F0E61">
      <w:pPr>
        <w:pStyle w:val="p2"/>
        <w:tabs>
          <w:tab w:val="left" w:pos="720"/>
        </w:tabs>
        <w:spacing w:line="360" w:lineRule="auto"/>
        <w:ind w:firstLine="1440"/>
      </w:pPr>
      <w:r>
        <w:rPr>
          <w:sz w:val="26"/>
          <w:szCs w:val="26"/>
        </w:rPr>
        <w:t>The Sched</w:t>
      </w:r>
      <w:r w:rsidR="00663210">
        <w:rPr>
          <w:sz w:val="26"/>
          <w:szCs w:val="26"/>
        </w:rPr>
        <w:t>ule for Planned Replacements may</w:t>
      </w:r>
      <w:r w:rsidR="00261F1B">
        <w:rPr>
          <w:sz w:val="26"/>
          <w:szCs w:val="26"/>
        </w:rPr>
        <w:t xml:space="preserve"> be found in Table 4</w:t>
      </w:r>
      <w:r w:rsidR="00601E15">
        <w:rPr>
          <w:sz w:val="26"/>
          <w:szCs w:val="26"/>
        </w:rPr>
        <w:t>, located in the combined Section 4/5</w:t>
      </w:r>
      <w:r>
        <w:rPr>
          <w:sz w:val="26"/>
          <w:szCs w:val="26"/>
        </w:rPr>
        <w:t xml:space="preserve"> below.  </w:t>
      </w:r>
      <w:r w:rsidR="0014165C">
        <w:rPr>
          <w:sz w:val="26"/>
          <w:szCs w:val="26"/>
        </w:rPr>
        <w:t>UGI-CPG</w:t>
      </w:r>
      <w:r>
        <w:rPr>
          <w:sz w:val="26"/>
          <w:szCs w:val="26"/>
        </w:rPr>
        <w:t xml:space="preserve"> states that LTIIP projects performed by </w:t>
      </w:r>
      <w:r w:rsidR="0014165C">
        <w:rPr>
          <w:sz w:val="26"/>
          <w:szCs w:val="26"/>
        </w:rPr>
        <w:t>UGI-CPG</w:t>
      </w:r>
      <w:r>
        <w:rPr>
          <w:sz w:val="26"/>
          <w:szCs w:val="26"/>
        </w:rPr>
        <w:t xml:space="preserve"> will be adjusted or changed as required to align with changing circumstances such as transportation construction projects, or changes in </w:t>
      </w:r>
      <w:r w:rsidR="00663210">
        <w:rPr>
          <w:sz w:val="26"/>
          <w:szCs w:val="26"/>
        </w:rPr>
        <w:t>state or federal pipe</w:t>
      </w:r>
      <w:r>
        <w:rPr>
          <w:sz w:val="26"/>
          <w:szCs w:val="26"/>
        </w:rPr>
        <w:t xml:space="preserve">line safety codes.  </w:t>
      </w:r>
      <w:r w:rsidR="0014165C">
        <w:rPr>
          <w:sz w:val="26"/>
          <w:szCs w:val="26"/>
        </w:rPr>
        <w:t>UGI-CPG</w:t>
      </w:r>
      <w:r>
        <w:rPr>
          <w:sz w:val="26"/>
          <w:szCs w:val="26"/>
        </w:rPr>
        <w:t xml:space="preserve"> avers that projects will be regularly reviewed and updated to ensure all projects are cost effective and provide the expected system integrity and reliability benefits.</w:t>
      </w:r>
      <w:r w:rsidR="00CF23F4">
        <w:rPr>
          <w:sz w:val="26"/>
          <w:szCs w:val="26"/>
        </w:rPr>
        <w:t xml:space="preserve"> </w:t>
      </w:r>
    </w:p>
    <w:p w:rsidR="00064F4B" w:rsidRDefault="00064F4B" w:rsidP="00CF23F4">
      <w:pPr>
        <w:pStyle w:val="p2"/>
        <w:tabs>
          <w:tab w:val="left" w:pos="720"/>
        </w:tabs>
        <w:spacing w:line="360" w:lineRule="auto"/>
        <w:ind w:firstLine="0"/>
        <w:rPr>
          <w:b/>
          <w:sz w:val="26"/>
          <w:szCs w:val="26"/>
        </w:rPr>
      </w:pPr>
    </w:p>
    <w:p w:rsidR="00CF23F4" w:rsidRPr="001414CA"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spacing w:line="360" w:lineRule="auto"/>
        <w:ind w:firstLine="0"/>
        <w:rPr>
          <w:sz w:val="26"/>
          <w:szCs w:val="26"/>
        </w:rPr>
      </w:pPr>
    </w:p>
    <w:p w:rsidR="00CF23F4" w:rsidRDefault="003F6360" w:rsidP="00652094">
      <w:pPr>
        <w:pStyle w:val="p2"/>
        <w:tabs>
          <w:tab w:val="left" w:pos="720"/>
        </w:tabs>
        <w:spacing w:line="360" w:lineRule="auto"/>
        <w:ind w:firstLine="1440"/>
        <w:rPr>
          <w:sz w:val="26"/>
          <w:szCs w:val="26"/>
        </w:rPr>
      </w:pPr>
      <w:r>
        <w:rPr>
          <w:sz w:val="26"/>
          <w:szCs w:val="26"/>
        </w:rPr>
        <w:t>No comments were received regarding the schedule for planned repair and replacement of eligible property.</w:t>
      </w:r>
    </w:p>
    <w:p w:rsidR="00663210" w:rsidRDefault="00663210" w:rsidP="003F6360">
      <w:pPr>
        <w:pStyle w:val="p2"/>
        <w:tabs>
          <w:tab w:val="left" w:pos="720"/>
        </w:tabs>
        <w:spacing w:line="360" w:lineRule="auto"/>
        <w:ind w:firstLine="0"/>
        <w:rPr>
          <w:b/>
          <w:sz w:val="26"/>
          <w:szCs w:val="26"/>
        </w:rPr>
      </w:pPr>
    </w:p>
    <w:p w:rsidR="003F6360" w:rsidRPr="003F6360" w:rsidRDefault="00CF23F4" w:rsidP="003F6360">
      <w:pPr>
        <w:pStyle w:val="p2"/>
        <w:tabs>
          <w:tab w:val="left" w:pos="720"/>
        </w:tabs>
        <w:spacing w:line="360" w:lineRule="auto"/>
        <w:ind w:firstLine="0"/>
        <w:rPr>
          <w:b/>
          <w:sz w:val="26"/>
          <w:szCs w:val="26"/>
        </w:rPr>
      </w:pPr>
      <w:r w:rsidRPr="000F5E3D">
        <w:rPr>
          <w:b/>
          <w:sz w:val="26"/>
          <w:szCs w:val="26"/>
        </w:rPr>
        <w:t>Resolution</w:t>
      </w:r>
    </w:p>
    <w:p w:rsidR="00CF23F4" w:rsidRDefault="003F6360" w:rsidP="003F6360">
      <w:pPr>
        <w:pStyle w:val="p2"/>
        <w:tabs>
          <w:tab w:val="left" w:pos="720"/>
        </w:tabs>
        <w:spacing w:line="360" w:lineRule="auto"/>
        <w:ind w:firstLine="1440"/>
        <w:rPr>
          <w:sz w:val="26"/>
          <w:szCs w:val="26"/>
        </w:rPr>
      </w:pPr>
      <w:r>
        <w:rPr>
          <w:sz w:val="26"/>
          <w:szCs w:val="26"/>
        </w:rPr>
        <w:t xml:space="preserve">  </w:t>
      </w:r>
    </w:p>
    <w:p w:rsidR="00CB3D9E" w:rsidRPr="00A73345" w:rsidRDefault="00CF23F4" w:rsidP="003F6360">
      <w:pPr>
        <w:pStyle w:val="p7"/>
        <w:tabs>
          <w:tab w:val="clear" w:pos="782"/>
          <w:tab w:val="clear" w:pos="1133"/>
          <w:tab w:val="left" w:pos="720"/>
          <w:tab w:val="left" w:pos="1440"/>
        </w:tabs>
        <w:spacing w:line="360" w:lineRule="auto"/>
        <w:ind w:left="0" w:firstLine="1440"/>
        <w:rPr>
          <w:sz w:val="26"/>
          <w:szCs w:val="26"/>
        </w:rPr>
      </w:pPr>
      <w:r>
        <w:rPr>
          <w:sz w:val="26"/>
          <w:szCs w:val="26"/>
        </w:rPr>
        <w:t xml:space="preserve">Upon review of </w:t>
      </w:r>
      <w:r w:rsidR="0014165C">
        <w:rPr>
          <w:sz w:val="26"/>
          <w:szCs w:val="26"/>
        </w:rPr>
        <w:t>UGI-CPG</w:t>
      </w:r>
      <w:r w:rsidR="001A7CCB">
        <w:rPr>
          <w:sz w:val="26"/>
          <w:szCs w:val="26"/>
        </w:rPr>
        <w:t>’s</w:t>
      </w:r>
      <w:r>
        <w:rPr>
          <w:sz w:val="26"/>
          <w:szCs w:val="26"/>
        </w:rPr>
        <w:t xml:space="preserve"> LTIIP and all supplemental information and explanations filed, the Commission finds that the requirements of element two of the Fi</w:t>
      </w:r>
      <w:r w:rsidR="005F0257">
        <w:rPr>
          <w:sz w:val="26"/>
          <w:szCs w:val="26"/>
        </w:rPr>
        <w:t>nal Implementation Order</w:t>
      </w:r>
      <w:r>
        <w:rPr>
          <w:sz w:val="26"/>
          <w:szCs w:val="26"/>
        </w:rPr>
        <w:t>, schedule for planned repair and replacement of eligible</w:t>
      </w:r>
      <w:r w:rsidR="001A7CCB">
        <w:rPr>
          <w:sz w:val="26"/>
          <w:szCs w:val="26"/>
        </w:rPr>
        <w:t xml:space="preserve"> property, have</w:t>
      </w:r>
      <w:r w:rsidR="00D24228">
        <w:rPr>
          <w:sz w:val="26"/>
          <w:szCs w:val="26"/>
        </w:rPr>
        <w:t xml:space="preserve"> been fulfilled. </w:t>
      </w:r>
    </w:p>
    <w:p w:rsidR="00213DBE" w:rsidRDefault="00213DBE" w:rsidP="00CF23F4">
      <w:pPr>
        <w:pStyle w:val="p2"/>
        <w:spacing w:line="360" w:lineRule="auto"/>
        <w:ind w:firstLine="0"/>
        <w:jc w:val="center"/>
        <w:rPr>
          <w:b/>
          <w:sz w:val="26"/>
          <w:szCs w:val="26"/>
        </w:rPr>
      </w:pPr>
    </w:p>
    <w:p w:rsidR="00F4616F" w:rsidRDefault="00F4616F" w:rsidP="00CF23F4">
      <w:pPr>
        <w:pStyle w:val="p2"/>
        <w:spacing w:line="360" w:lineRule="auto"/>
        <w:ind w:firstLine="0"/>
        <w:jc w:val="center"/>
        <w:rPr>
          <w:b/>
          <w:sz w:val="26"/>
          <w:szCs w:val="26"/>
        </w:rPr>
      </w:pPr>
    </w:p>
    <w:p w:rsidR="00F4616F" w:rsidRDefault="00F4616F" w:rsidP="00CF23F4">
      <w:pPr>
        <w:pStyle w:val="p2"/>
        <w:spacing w:line="360" w:lineRule="auto"/>
        <w:ind w:firstLine="0"/>
        <w:jc w:val="center"/>
        <w:rPr>
          <w:b/>
          <w:sz w:val="26"/>
          <w:szCs w:val="26"/>
        </w:rPr>
      </w:pPr>
    </w:p>
    <w:p w:rsidR="00F4616F" w:rsidRDefault="00F4616F" w:rsidP="00CF23F4">
      <w:pPr>
        <w:pStyle w:val="p2"/>
        <w:spacing w:line="360" w:lineRule="auto"/>
        <w:ind w:firstLine="0"/>
        <w:jc w:val="center"/>
        <w:rPr>
          <w:b/>
          <w:sz w:val="26"/>
          <w:szCs w:val="26"/>
        </w:rPr>
      </w:pPr>
    </w:p>
    <w:p w:rsidR="00F4616F" w:rsidRDefault="00F4616F" w:rsidP="00CF23F4">
      <w:pPr>
        <w:pStyle w:val="p2"/>
        <w:spacing w:line="360" w:lineRule="auto"/>
        <w:ind w:firstLine="0"/>
        <w:jc w:val="center"/>
        <w:rPr>
          <w:b/>
          <w:sz w:val="26"/>
          <w:szCs w:val="26"/>
        </w:rPr>
      </w:pPr>
    </w:p>
    <w:p w:rsidR="00CF23F4" w:rsidRPr="000F5E3D" w:rsidRDefault="00CF23F4" w:rsidP="00213DBE">
      <w:pPr>
        <w:pStyle w:val="p2"/>
        <w:numPr>
          <w:ilvl w:val="0"/>
          <w:numId w:val="25"/>
        </w:numPr>
        <w:spacing w:line="360" w:lineRule="auto"/>
        <w:rPr>
          <w:sz w:val="26"/>
          <w:szCs w:val="26"/>
        </w:rPr>
      </w:pPr>
      <w:r>
        <w:rPr>
          <w:b/>
          <w:sz w:val="26"/>
          <w:szCs w:val="26"/>
        </w:rPr>
        <w:lastRenderedPageBreak/>
        <w:t>LOCATION OF ELIGIBLE PROPERTY</w:t>
      </w:r>
    </w:p>
    <w:p w:rsidR="00CF23F4" w:rsidRDefault="00CF23F4" w:rsidP="00CF23F4">
      <w:pPr>
        <w:pStyle w:val="p2"/>
        <w:spacing w:line="360" w:lineRule="auto"/>
        <w:ind w:firstLine="0"/>
        <w:rPr>
          <w:sz w:val="26"/>
          <w:szCs w:val="26"/>
        </w:rPr>
      </w:pPr>
    </w:p>
    <w:p w:rsidR="00CF23F4" w:rsidRDefault="0014165C" w:rsidP="00CF23F4">
      <w:pPr>
        <w:pStyle w:val="p2"/>
        <w:tabs>
          <w:tab w:val="left" w:pos="720"/>
        </w:tabs>
        <w:spacing w:line="360" w:lineRule="auto"/>
        <w:ind w:firstLine="0"/>
        <w:rPr>
          <w:b/>
          <w:sz w:val="26"/>
          <w:szCs w:val="26"/>
        </w:rPr>
      </w:pPr>
      <w:r>
        <w:rPr>
          <w:b/>
          <w:sz w:val="26"/>
          <w:szCs w:val="26"/>
        </w:rPr>
        <w:t>UGI-CPG</w:t>
      </w:r>
      <w:r w:rsidR="00686858">
        <w:rPr>
          <w:b/>
          <w:sz w:val="26"/>
          <w:szCs w:val="26"/>
        </w:rPr>
        <w:t>’s</w:t>
      </w:r>
      <w:r w:rsidR="00213DBE">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3F6360" w:rsidRDefault="00652094" w:rsidP="003F6360">
      <w:pPr>
        <w:pStyle w:val="p7"/>
        <w:widowControl/>
        <w:tabs>
          <w:tab w:val="clear" w:pos="1133"/>
          <w:tab w:val="left" w:pos="720"/>
          <w:tab w:val="left" w:pos="1350"/>
          <w:tab w:val="left" w:pos="1440"/>
          <w:tab w:val="left" w:pos="1530"/>
        </w:tabs>
        <w:spacing w:line="360" w:lineRule="auto"/>
        <w:ind w:left="0" w:firstLine="1440"/>
        <w:rPr>
          <w:sz w:val="26"/>
          <w:szCs w:val="26"/>
        </w:rPr>
      </w:pPr>
      <w:r>
        <w:rPr>
          <w:b/>
          <w:sz w:val="26"/>
          <w:szCs w:val="26"/>
        </w:rPr>
        <w:tab/>
      </w:r>
      <w:r w:rsidR="003F6360">
        <w:rPr>
          <w:sz w:val="26"/>
          <w:szCs w:val="26"/>
        </w:rPr>
        <w:t xml:space="preserve">Eligible property (including property that is the focus of this LTIIP) is located throughout </w:t>
      </w:r>
      <w:r w:rsidR="0014165C">
        <w:rPr>
          <w:sz w:val="26"/>
          <w:szCs w:val="26"/>
        </w:rPr>
        <w:t>UGI-CPG</w:t>
      </w:r>
      <w:r w:rsidR="003F6360">
        <w:rPr>
          <w:sz w:val="26"/>
          <w:szCs w:val="26"/>
        </w:rPr>
        <w:t>’s territory.  Mains</w:t>
      </w:r>
      <w:r w:rsidR="00686858">
        <w:rPr>
          <w:sz w:val="26"/>
          <w:szCs w:val="26"/>
        </w:rPr>
        <w:t xml:space="preserve">, by type, </w:t>
      </w:r>
      <w:r w:rsidR="003F6360">
        <w:rPr>
          <w:sz w:val="26"/>
          <w:szCs w:val="26"/>
        </w:rPr>
        <w:t>county</w:t>
      </w:r>
      <w:r w:rsidR="00686858">
        <w:rPr>
          <w:sz w:val="26"/>
          <w:szCs w:val="26"/>
        </w:rPr>
        <w:t xml:space="preserve">, and quantity are displayed in Table 3 below. </w:t>
      </w:r>
    </w:p>
    <w:p w:rsidR="003F6360" w:rsidRDefault="003F6360" w:rsidP="003F6360">
      <w:pPr>
        <w:pStyle w:val="p7"/>
        <w:widowControl/>
        <w:tabs>
          <w:tab w:val="clear" w:pos="1133"/>
          <w:tab w:val="left" w:pos="720"/>
          <w:tab w:val="left" w:pos="1350"/>
          <w:tab w:val="left" w:pos="1440"/>
          <w:tab w:val="left" w:pos="1530"/>
        </w:tabs>
        <w:spacing w:line="360" w:lineRule="auto"/>
        <w:ind w:left="0" w:firstLine="0"/>
        <w:rPr>
          <w:sz w:val="26"/>
          <w:szCs w:val="26"/>
        </w:rPr>
      </w:pPr>
    </w:p>
    <w:p w:rsidR="007D0C88" w:rsidRDefault="003F6360" w:rsidP="003F6360">
      <w:pPr>
        <w:pStyle w:val="p7"/>
        <w:widowControl/>
        <w:tabs>
          <w:tab w:val="clear" w:pos="1133"/>
          <w:tab w:val="left" w:pos="720"/>
          <w:tab w:val="left" w:pos="1350"/>
          <w:tab w:val="left" w:pos="1440"/>
          <w:tab w:val="left" w:pos="1530"/>
        </w:tabs>
        <w:spacing w:line="360" w:lineRule="auto"/>
        <w:ind w:left="0" w:firstLine="0"/>
        <w:rPr>
          <w:sz w:val="26"/>
          <w:szCs w:val="26"/>
        </w:rPr>
      </w:pPr>
      <w:r>
        <w:rPr>
          <w:b/>
          <w:sz w:val="26"/>
          <w:szCs w:val="26"/>
        </w:rPr>
        <w:t>Table 3</w:t>
      </w:r>
      <w:r w:rsidRPr="005E1047">
        <w:rPr>
          <w:b/>
          <w:sz w:val="26"/>
          <w:szCs w:val="26"/>
        </w:rPr>
        <w:t xml:space="preserve"> Location of </w:t>
      </w:r>
      <w:r>
        <w:rPr>
          <w:b/>
          <w:sz w:val="26"/>
          <w:szCs w:val="26"/>
        </w:rPr>
        <w:t>Mains by County, Type</w:t>
      </w:r>
      <w:r w:rsidRPr="009D5AFF">
        <w:rPr>
          <w:b/>
          <w:sz w:val="26"/>
          <w:szCs w:val="26"/>
        </w:rPr>
        <w:t xml:space="preserve"> </w:t>
      </w:r>
      <w:r>
        <w:rPr>
          <w:b/>
          <w:sz w:val="26"/>
          <w:szCs w:val="26"/>
        </w:rPr>
        <w:t>and Quantity (in Footage)</w:t>
      </w:r>
      <w:r w:rsidR="00345B51">
        <w:rPr>
          <w:sz w:val="26"/>
          <w:szCs w:val="26"/>
        </w:rPr>
        <w:tab/>
      </w:r>
    </w:p>
    <w:tbl>
      <w:tblPr>
        <w:tblStyle w:val="TableGrid"/>
        <w:tblW w:w="10278" w:type="dxa"/>
        <w:tblLayout w:type="fixed"/>
        <w:tblLook w:val="04A0" w:firstRow="1" w:lastRow="0" w:firstColumn="1" w:lastColumn="0" w:noHBand="0" w:noVBand="1"/>
      </w:tblPr>
      <w:tblGrid>
        <w:gridCol w:w="1368"/>
        <w:gridCol w:w="1080"/>
        <w:gridCol w:w="900"/>
        <w:gridCol w:w="990"/>
        <w:gridCol w:w="900"/>
        <w:gridCol w:w="900"/>
        <w:gridCol w:w="1080"/>
        <w:gridCol w:w="900"/>
        <w:gridCol w:w="990"/>
        <w:gridCol w:w="1170"/>
      </w:tblGrid>
      <w:tr w:rsidR="00E43B9E" w:rsidTr="00A8050E">
        <w:trPr>
          <w:cantSplit/>
          <w:trHeight w:val="20"/>
          <w:tblHeader/>
        </w:trPr>
        <w:tc>
          <w:tcPr>
            <w:tcW w:w="1368" w:type="dxa"/>
            <w:vAlign w:val="center"/>
          </w:tcPr>
          <w:p w:rsidR="00E43B9E" w:rsidRPr="003D3ACB" w:rsidRDefault="00E43B9E" w:rsidP="00A8050E">
            <w:pPr>
              <w:pStyle w:val="p7"/>
              <w:widowControl/>
              <w:tabs>
                <w:tab w:val="clear" w:pos="1133"/>
                <w:tab w:val="left" w:pos="720"/>
                <w:tab w:val="left" w:pos="1350"/>
                <w:tab w:val="left" w:pos="1440"/>
                <w:tab w:val="left" w:pos="1530"/>
              </w:tabs>
              <w:ind w:left="0" w:firstLine="0"/>
              <w:jc w:val="center"/>
              <w:rPr>
                <w:b/>
              </w:rPr>
            </w:pPr>
            <w:r w:rsidRPr="003D3ACB">
              <w:rPr>
                <w:b/>
              </w:rPr>
              <w:t>County</w:t>
            </w:r>
          </w:p>
        </w:tc>
        <w:tc>
          <w:tcPr>
            <w:tcW w:w="1080" w:type="dxa"/>
            <w:vAlign w:val="center"/>
          </w:tcPr>
          <w:p w:rsidR="00E43B9E" w:rsidRPr="002E4EC5" w:rsidRDefault="00E43B9E" w:rsidP="00A8050E">
            <w:pPr>
              <w:pStyle w:val="p7"/>
              <w:widowControl/>
              <w:tabs>
                <w:tab w:val="clear" w:pos="1133"/>
                <w:tab w:val="left" w:pos="720"/>
                <w:tab w:val="left" w:pos="1350"/>
                <w:tab w:val="left" w:pos="1440"/>
                <w:tab w:val="left" w:pos="1530"/>
              </w:tabs>
              <w:ind w:left="0" w:firstLine="0"/>
              <w:jc w:val="center"/>
              <w:rPr>
                <w:b/>
                <w:sz w:val="20"/>
                <w:szCs w:val="20"/>
              </w:rPr>
            </w:pPr>
            <w:r w:rsidRPr="002E4EC5">
              <w:rPr>
                <w:b/>
                <w:sz w:val="20"/>
                <w:szCs w:val="20"/>
              </w:rPr>
              <w:t>Bare Steel</w:t>
            </w:r>
          </w:p>
        </w:tc>
        <w:tc>
          <w:tcPr>
            <w:tcW w:w="900" w:type="dxa"/>
            <w:vAlign w:val="center"/>
          </w:tcPr>
          <w:p w:rsidR="00E43B9E" w:rsidRPr="002E4EC5" w:rsidRDefault="00E43B9E" w:rsidP="00A8050E">
            <w:pPr>
              <w:pStyle w:val="p7"/>
              <w:widowControl/>
              <w:tabs>
                <w:tab w:val="clear" w:pos="1133"/>
                <w:tab w:val="left" w:pos="720"/>
                <w:tab w:val="left" w:pos="1350"/>
                <w:tab w:val="left" w:pos="1440"/>
                <w:tab w:val="left" w:pos="1530"/>
              </w:tabs>
              <w:ind w:left="0" w:firstLine="0"/>
              <w:jc w:val="center"/>
              <w:rPr>
                <w:b/>
                <w:sz w:val="20"/>
                <w:szCs w:val="20"/>
              </w:rPr>
            </w:pPr>
            <w:r w:rsidRPr="002E4EC5">
              <w:rPr>
                <w:b/>
                <w:sz w:val="20"/>
                <w:szCs w:val="20"/>
              </w:rPr>
              <w:t>Cast Iron</w:t>
            </w:r>
          </w:p>
        </w:tc>
        <w:tc>
          <w:tcPr>
            <w:tcW w:w="990" w:type="dxa"/>
            <w:vAlign w:val="center"/>
          </w:tcPr>
          <w:p w:rsidR="00E43B9E" w:rsidRPr="002E4EC5" w:rsidRDefault="00E43B9E" w:rsidP="00A8050E">
            <w:pPr>
              <w:pStyle w:val="p7"/>
              <w:widowControl/>
              <w:tabs>
                <w:tab w:val="clear" w:pos="1133"/>
                <w:tab w:val="left" w:pos="720"/>
                <w:tab w:val="left" w:pos="1350"/>
                <w:tab w:val="left" w:pos="1440"/>
                <w:tab w:val="left" w:pos="1530"/>
              </w:tabs>
              <w:ind w:left="0" w:firstLine="0"/>
              <w:jc w:val="center"/>
              <w:rPr>
                <w:b/>
                <w:sz w:val="20"/>
                <w:szCs w:val="20"/>
              </w:rPr>
            </w:pPr>
            <w:r w:rsidRPr="002E4EC5">
              <w:rPr>
                <w:b/>
                <w:sz w:val="20"/>
                <w:szCs w:val="20"/>
              </w:rPr>
              <w:t>Coated Steel</w:t>
            </w:r>
          </w:p>
        </w:tc>
        <w:tc>
          <w:tcPr>
            <w:tcW w:w="900" w:type="dxa"/>
            <w:vAlign w:val="center"/>
          </w:tcPr>
          <w:p w:rsidR="00E43B9E" w:rsidRPr="002E4EC5" w:rsidRDefault="00E43B9E" w:rsidP="00A8050E">
            <w:pPr>
              <w:pStyle w:val="p7"/>
              <w:widowControl/>
              <w:tabs>
                <w:tab w:val="clear" w:pos="782"/>
                <w:tab w:val="clear" w:pos="1133"/>
                <w:tab w:val="left" w:pos="1350"/>
                <w:tab w:val="left" w:pos="1440"/>
                <w:tab w:val="left" w:pos="1530"/>
              </w:tabs>
              <w:ind w:left="0" w:right="-108" w:firstLine="0"/>
              <w:jc w:val="center"/>
              <w:rPr>
                <w:b/>
                <w:sz w:val="20"/>
                <w:szCs w:val="20"/>
              </w:rPr>
            </w:pPr>
            <w:r w:rsidRPr="002E4EC5">
              <w:rPr>
                <w:b/>
                <w:sz w:val="20"/>
                <w:szCs w:val="20"/>
              </w:rPr>
              <w:t>Wrought Iron</w:t>
            </w:r>
          </w:p>
        </w:tc>
        <w:tc>
          <w:tcPr>
            <w:tcW w:w="900" w:type="dxa"/>
            <w:vAlign w:val="center"/>
          </w:tcPr>
          <w:p w:rsidR="00E43B9E" w:rsidRPr="002E4EC5" w:rsidRDefault="00E43B9E" w:rsidP="00A8050E">
            <w:pPr>
              <w:pStyle w:val="p7"/>
              <w:widowControl/>
              <w:tabs>
                <w:tab w:val="clear" w:pos="782"/>
                <w:tab w:val="clear" w:pos="1133"/>
              </w:tabs>
              <w:ind w:left="0" w:firstLine="0"/>
              <w:jc w:val="center"/>
              <w:rPr>
                <w:b/>
                <w:sz w:val="20"/>
                <w:szCs w:val="20"/>
              </w:rPr>
            </w:pPr>
            <w:r w:rsidRPr="002E4EC5">
              <w:rPr>
                <w:b/>
                <w:sz w:val="20"/>
                <w:szCs w:val="20"/>
              </w:rPr>
              <w:t>PVC</w:t>
            </w:r>
          </w:p>
        </w:tc>
        <w:tc>
          <w:tcPr>
            <w:tcW w:w="1080" w:type="dxa"/>
            <w:vAlign w:val="center"/>
          </w:tcPr>
          <w:p w:rsidR="00E43B9E" w:rsidRPr="002E4EC5" w:rsidRDefault="00E43B9E" w:rsidP="00A8050E">
            <w:pPr>
              <w:pStyle w:val="p7"/>
              <w:widowControl/>
              <w:tabs>
                <w:tab w:val="clear" w:pos="782"/>
                <w:tab w:val="clear" w:pos="1133"/>
              </w:tabs>
              <w:ind w:left="0" w:firstLine="0"/>
              <w:jc w:val="center"/>
              <w:rPr>
                <w:b/>
                <w:sz w:val="20"/>
                <w:szCs w:val="20"/>
              </w:rPr>
            </w:pPr>
            <w:r w:rsidRPr="002E4EC5">
              <w:rPr>
                <w:b/>
                <w:sz w:val="20"/>
                <w:szCs w:val="20"/>
              </w:rPr>
              <w:t>Plastic</w:t>
            </w:r>
          </w:p>
        </w:tc>
        <w:tc>
          <w:tcPr>
            <w:tcW w:w="900" w:type="dxa"/>
            <w:vAlign w:val="center"/>
          </w:tcPr>
          <w:p w:rsidR="00E43B9E" w:rsidRPr="002E4EC5" w:rsidRDefault="00E43B9E" w:rsidP="00A8050E">
            <w:pPr>
              <w:pStyle w:val="p7"/>
              <w:widowControl/>
              <w:tabs>
                <w:tab w:val="clear" w:pos="782"/>
                <w:tab w:val="clear" w:pos="1133"/>
              </w:tabs>
              <w:ind w:left="0" w:firstLine="0"/>
              <w:jc w:val="center"/>
              <w:rPr>
                <w:b/>
                <w:sz w:val="20"/>
                <w:szCs w:val="20"/>
              </w:rPr>
            </w:pPr>
            <w:proofErr w:type="spellStart"/>
            <w:r w:rsidRPr="002E4EC5">
              <w:rPr>
                <w:b/>
                <w:sz w:val="20"/>
                <w:szCs w:val="20"/>
              </w:rPr>
              <w:t>Aldyl</w:t>
            </w:r>
            <w:proofErr w:type="spellEnd"/>
            <w:r w:rsidRPr="002E4EC5">
              <w:rPr>
                <w:b/>
                <w:sz w:val="20"/>
                <w:szCs w:val="20"/>
              </w:rPr>
              <w:t xml:space="preserve"> A</w:t>
            </w:r>
          </w:p>
        </w:tc>
        <w:tc>
          <w:tcPr>
            <w:tcW w:w="990" w:type="dxa"/>
            <w:vAlign w:val="center"/>
          </w:tcPr>
          <w:p w:rsidR="00E43B9E" w:rsidRPr="002E4EC5" w:rsidRDefault="00E43B9E" w:rsidP="00A8050E">
            <w:pPr>
              <w:pStyle w:val="p7"/>
              <w:widowControl/>
              <w:tabs>
                <w:tab w:val="clear" w:pos="782"/>
                <w:tab w:val="clear" w:pos="1133"/>
                <w:tab w:val="left" w:pos="1350"/>
                <w:tab w:val="left" w:pos="1440"/>
                <w:tab w:val="left" w:pos="1530"/>
              </w:tabs>
              <w:ind w:left="0" w:right="-104" w:firstLine="0"/>
              <w:rPr>
                <w:b/>
                <w:sz w:val="20"/>
                <w:szCs w:val="20"/>
              </w:rPr>
            </w:pPr>
            <w:r w:rsidRPr="002E4EC5">
              <w:rPr>
                <w:b/>
                <w:sz w:val="20"/>
                <w:szCs w:val="20"/>
              </w:rPr>
              <w:t>Unknown</w:t>
            </w:r>
          </w:p>
        </w:tc>
        <w:tc>
          <w:tcPr>
            <w:tcW w:w="1170" w:type="dxa"/>
            <w:vAlign w:val="center"/>
          </w:tcPr>
          <w:p w:rsidR="00E43B9E" w:rsidRPr="002E4EC5" w:rsidRDefault="00E43B9E" w:rsidP="00A8050E">
            <w:pPr>
              <w:pStyle w:val="p7"/>
              <w:widowControl/>
              <w:tabs>
                <w:tab w:val="clear" w:pos="782"/>
                <w:tab w:val="clear" w:pos="1133"/>
              </w:tabs>
              <w:ind w:left="0" w:right="-198" w:firstLine="0"/>
              <w:rPr>
                <w:b/>
                <w:sz w:val="20"/>
                <w:szCs w:val="20"/>
              </w:rPr>
            </w:pPr>
            <w:r w:rsidRPr="002E4EC5">
              <w:rPr>
                <w:b/>
                <w:sz w:val="20"/>
                <w:szCs w:val="20"/>
              </w:rPr>
              <w:t>Total (Feet)</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Adams</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pStyle w:val="p7"/>
              <w:widowControl/>
              <w:tabs>
                <w:tab w:val="clear" w:pos="782"/>
                <w:tab w:val="clear" w:pos="1133"/>
              </w:tabs>
              <w:spacing w:line="276" w:lineRule="auto"/>
              <w:ind w:left="0" w:firstLine="0"/>
              <w:jc w:val="right"/>
              <w:rPr>
                <w:sz w:val="20"/>
                <w:szCs w:val="20"/>
              </w:rPr>
            </w:pPr>
            <w:r w:rsidRPr="00045FCC">
              <w:rPr>
                <w:sz w:val="20"/>
                <w:szCs w:val="20"/>
              </w:rPr>
              <w:t>22,374</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pStyle w:val="p7"/>
              <w:widowControl/>
              <w:tabs>
                <w:tab w:val="clear" w:pos="782"/>
                <w:tab w:val="clear" w:pos="1133"/>
                <w:tab w:val="left" w:pos="1350"/>
                <w:tab w:val="left" w:pos="1440"/>
                <w:tab w:val="left" w:pos="1530"/>
              </w:tabs>
              <w:spacing w:line="276" w:lineRule="auto"/>
              <w:ind w:left="0" w:firstLine="0"/>
              <w:jc w:val="right"/>
              <w:rPr>
                <w:sz w:val="20"/>
                <w:szCs w:val="20"/>
              </w:rPr>
            </w:pPr>
            <w:r w:rsidRPr="00045FCC">
              <w:rPr>
                <w:sz w:val="20"/>
                <w:szCs w:val="20"/>
              </w:rPr>
              <w:t>4,996</w:t>
            </w:r>
          </w:p>
        </w:tc>
        <w:tc>
          <w:tcPr>
            <w:tcW w:w="900" w:type="dxa"/>
            <w:vAlign w:val="bottom"/>
          </w:tcPr>
          <w:p w:rsidR="00E43B9E" w:rsidRPr="00045FCC" w:rsidRDefault="00E43B9E" w:rsidP="00A8050E">
            <w:pPr>
              <w:pStyle w:val="p7"/>
              <w:widowControl/>
              <w:tabs>
                <w:tab w:val="clear" w:pos="782"/>
                <w:tab w:val="clear" w:pos="1133"/>
              </w:tabs>
              <w:spacing w:line="276" w:lineRule="auto"/>
              <w:ind w:left="0" w:firstLine="0"/>
              <w:jc w:val="right"/>
              <w:rPr>
                <w:sz w:val="20"/>
                <w:szCs w:val="20"/>
              </w:rPr>
            </w:pPr>
          </w:p>
        </w:tc>
        <w:tc>
          <w:tcPr>
            <w:tcW w:w="99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170" w:type="dxa"/>
            <w:vAlign w:val="bottom"/>
          </w:tcPr>
          <w:p w:rsidR="00E43B9E" w:rsidRPr="00045FCC" w:rsidRDefault="00E43B9E" w:rsidP="00A8050E">
            <w:pPr>
              <w:pStyle w:val="p7"/>
              <w:widowControl/>
              <w:tabs>
                <w:tab w:val="clear" w:pos="782"/>
                <w:tab w:val="clear" w:pos="1133"/>
              </w:tabs>
              <w:spacing w:line="276" w:lineRule="auto"/>
              <w:ind w:left="0" w:right="72" w:firstLine="0"/>
              <w:jc w:val="right"/>
              <w:rPr>
                <w:b/>
                <w:sz w:val="20"/>
                <w:szCs w:val="20"/>
              </w:rPr>
            </w:pPr>
            <w:r w:rsidRPr="00045FCC">
              <w:rPr>
                <w:b/>
                <w:sz w:val="20"/>
                <w:szCs w:val="20"/>
              </w:rPr>
              <w:t>27,370</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Bedford</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782"/>
                <w:tab w:val="clear" w:pos="1133"/>
              </w:tabs>
              <w:spacing w:line="276" w:lineRule="auto"/>
              <w:ind w:left="0" w:firstLine="0"/>
              <w:jc w:val="right"/>
              <w:rPr>
                <w:sz w:val="20"/>
                <w:szCs w:val="20"/>
              </w:rPr>
            </w:pPr>
          </w:p>
        </w:tc>
        <w:tc>
          <w:tcPr>
            <w:tcW w:w="990" w:type="dxa"/>
            <w:vAlign w:val="bottom"/>
          </w:tcPr>
          <w:p w:rsidR="00E43B9E" w:rsidRPr="00045FCC" w:rsidRDefault="00E43B9E" w:rsidP="00A8050E">
            <w:pPr>
              <w:pStyle w:val="p7"/>
              <w:widowControl/>
              <w:tabs>
                <w:tab w:val="clear" w:pos="782"/>
                <w:tab w:val="clear" w:pos="1133"/>
                <w:tab w:val="left" w:pos="1350"/>
                <w:tab w:val="left" w:pos="1440"/>
                <w:tab w:val="left" w:pos="1530"/>
              </w:tabs>
              <w:spacing w:line="276" w:lineRule="auto"/>
              <w:ind w:left="0" w:firstLine="0"/>
              <w:jc w:val="right"/>
              <w:rPr>
                <w:sz w:val="20"/>
                <w:szCs w:val="20"/>
              </w:rPr>
            </w:pPr>
            <w:r w:rsidRPr="00045FCC">
              <w:rPr>
                <w:sz w:val="20"/>
                <w:szCs w:val="20"/>
              </w:rPr>
              <w:t>124,966</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76,029</w:t>
            </w:r>
          </w:p>
        </w:tc>
        <w:tc>
          <w:tcPr>
            <w:tcW w:w="900" w:type="dxa"/>
            <w:vAlign w:val="bottom"/>
          </w:tcPr>
          <w:p w:rsidR="00E43B9E" w:rsidRPr="00045FCC" w:rsidRDefault="00E43B9E" w:rsidP="00A8050E">
            <w:pPr>
              <w:pStyle w:val="p7"/>
              <w:widowControl/>
              <w:tabs>
                <w:tab w:val="clear" w:pos="782"/>
                <w:tab w:val="clear" w:pos="1133"/>
                <w:tab w:val="left" w:pos="792"/>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r w:rsidRPr="00045FCC">
              <w:rPr>
                <w:rFonts w:eastAsia="Verdana"/>
                <w:color w:val="000000"/>
                <w:sz w:val="20"/>
                <w:szCs w:val="20"/>
              </w:rPr>
              <w:t>554</w:t>
            </w:r>
          </w:p>
        </w:tc>
        <w:tc>
          <w:tcPr>
            <w:tcW w:w="1170" w:type="dxa"/>
            <w:vAlign w:val="bottom"/>
          </w:tcPr>
          <w:p w:rsidR="00E43B9E" w:rsidRPr="00045FCC" w:rsidRDefault="00E43B9E" w:rsidP="00A8050E">
            <w:pPr>
              <w:spacing w:line="276" w:lineRule="auto"/>
              <w:ind w:right="72"/>
              <w:jc w:val="right"/>
              <w:textAlignment w:val="baseline"/>
              <w:rPr>
                <w:rFonts w:eastAsia="Verdana"/>
                <w:b/>
                <w:color w:val="000000"/>
                <w:sz w:val="20"/>
                <w:szCs w:val="20"/>
              </w:rPr>
            </w:pPr>
            <w:r w:rsidRPr="00045FCC">
              <w:rPr>
                <w:rFonts w:eastAsia="Verdana"/>
                <w:b/>
                <w:color w:val="000000"/>
                <w:sz w:val="20"/>
                <w:szCs w:val="20"/>
              </w:rPr>
              <w:t>201,549</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Berks</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3,475</w:t>
            </w:r>
          </w:p>
        </w:tc>
        <w:tc>
          <w:tcPr>
            <w:tcW w:w="990" w:type="dxa"/>
            <w:vAlign w:val="bottom"/>
          </w:tcPr>
          <w:p w:rsidR="00E43B9E" w:rsidRPr="00045FCC" w:rsidRDefault="00E43B9E" w:rsidP="00A8050E">
            <w:pPr>
              <w:spacing w:after="2" w:line="276" w:lineRule="auto"/>
              <w:jc w:val="right"/>
              <w:textAlignment w:val="baseline"/>
              <w:rPr>
                <w:rFonts w:eastAsia="Verdana"/>
                <w:color w:val="000000"/>
                <w:sz w:val="20"/>
                <w:szCs w:val="20"/>
              </w:rPr>
            </w:pPr>
            <w:r w:rsidRPr="00045FCC">
              <w:rPr>
                <w:rFonts w:eastAsia="Verdana"/>
                <w:color w:val="000000"/>
                <w:sz w:val="20"/>
                <w:szCs w:val="20"/>
              </w:rPr>
              <w:t>135,092</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84,458</w:t>
            </w:r>
          </w:p>
        </w:tc>
        <w:tc>
          <w:tcPr>
            <w:tcW w:w="900" w:type="dxa"/>
            <w:vAlign w:val="bottom"/>
          </w:tcPr>
          <w:p w:rsidR="00E43B9E" w:rsidRPr="00045FCC" w:rsidRDefault="00E43B9E" w:rsidP="00A8050E">
            <w:pPr>
              <w:pStyle w:val="p7"/>
              <w:widowControl/>
              <w:tabs>
                <w:tab w:val="clear" w:pos="782"/>
                <w:tab w:val="clear" w:pos="1133"/>
                <w:tab w:val="left" w:pos="792"/>
                <w:tab w:val="left" w:pos="882"/>
                <w:tab w:val="left" w:pos="1350"/>
                <w:tab w:val="left" w:pos="1440"/>
                <w:tab w:val="left" w:pos="1530"/>
              </w:tabs>
              <w:spacing w:line="276" w:lineRule="auto"/>
              <w:ind w:left="0" w:firstLine="0"/>
              <w:jc w:val="right"/>
              <w:rPr>
                <w:sz w:val="20"/>
                <w:szCs w:val="20"/>
              </w:rPr>
            </w:pPr>
            <w:r w:rsidRPr="00045FCC">
              <w:rPr>
                <w:sz w:val="20"/>
                <w:szCs w:val="20"/>
              </w:rPr>
              <w:t>5,011</w:t>
            </w: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spacing w:line="276" w:lineRule="auto"/>
              <w:ind w:right="72"/>
              <w:jc w:val="right"/>
              <w:textAlignment w:val="baseline"/>
              <w:rPr>
                <w:rFonts w:eastAsia="Verdana"/>
                <w:b/>
                <w:color w:val="000000"/>
                <w:sz w:val="20"/>
                <w:szCs w:val="20"/>
              </w:rPr>
            </w:pPr>
            <w:r w:rsidRPr="00045FCC">
              <w:rPr>
                <w:rFonts w:eastAsia="Verdana"/>
                <w:b/>
                <w:color w:val="000000"/>
                <w:sz w:val="20"/>
                <w:szCs w:val="20"/>
              </w:rPr>
              <w:t>228,036</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Blair</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52,783</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46,900</w:t>
            </w:r>
          </w:p>
        </w:tc>
        <w:tc>
          <w:tcPr>
            <w:tcW w:w="900" w:type="dxa"/>
            <w:vAlign w:val="bottom"/>
          </w:tcPr>
          <w:p w:rsidR="00E43B9E" w:rsidRPr="00045FCC" w:rsidRDefault="00E43B9E" w:rsidP="00A8050E">
            <w:pPr>
              <w:pStyle w:val="p7"/>
              <w:widowControl/>
              <w:tabs>
                <w:tab w:val="clear" w:pos="782"/>
                <w:tab w:val="clear" w:pos="1133"/>
                <w:tab w:val="left" w:pos="792"/>
                <w:tab w:val="left" w:pos="882"/>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8" w:line="276" w:lineRule="auto"/>
              <w:ind w:right="62"/>
              <w:jc w:val="right"/>
              <w:textAlignment w:val="baseline"/>
              <w:rPr>
                <w:rFonts w:eastAsia="Verdana"/>
                <w:color w:val="000000"/>
                <w:sz w:val="20"/>
                <w:szCs w:val="20"/>
              </w:rPr>
            </w:pPr>
            <w:r w:rsidRPr="00045FCC">
              <w:rPr>
                <w:rFonts w:eastAsia="Verdana"/>
                <w:color w:val="000000"/>
                <w:sz w:val="20"/>
                <w:szCs w:val="20"/>
              </w:rPr>
              <w:t>185</w:t>
            </w:r>
          </w:p>
        </w:tc>
        <w:tc>
          <w:tcPr>
            <w:tcW w:w="1170" w:type="dxa"/>
            <w:vAlign w:val="bottom"/>
          </w:tcPr>
          <w:p w:rsidR="00E43B9E" w:rsidRPr="00045FCC" w:rsidRDefault="00E43B9E" w:rsidP="00A8050E">
            <w:pPr>
              <w:spacing w:line="276" w:lineRule="auto"/>
              <w:ind w:right="72"/>
              <w:jc w:val="right"/>
              <w:textAlignment w:val="baseline"/>
              <w:rPr>
                <w:rFonts w:eastAsia="Verdana"/>
                <w:b/>
                <w:color w:val="000000"/>
                <w:sz w:val="20"/>
                <w:szCs w:val="20"/>
              </w:rPr>
            </w:pPr>
            <w:r w:rsidRPr="00045FCC">
              <w:rPr>
                <w:rFonts w:eastAsia="Verdana"/>
                <w:b/>
                <w:color w:val="000000"/>
                <w:sz w:val="20"/>
                <w:szCs w:val="20"/>
              </w:rPr>
              <w:t>99,868</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Bradford</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359,905</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2" w:line="276" w:lineRule="auto"/>
              <w:jc w:val="right"/>
              <w:textAlignment w:val="baseline"/>
              <w:rPr>
                <w:rFonts w:eastAsia="Verdana"/>
                <w:color w:val="000000"/>
                <w:sz w:val="20"/>
                <w:szCs w:val="20"/>
              </w:rPr>
            </w:pPr>
            <w:r w:rsidRPr="00045FCC">
              <w:rPr>
                <w:rFonts w:eastAsia="Verdana"/>
                <w:color w:val="000000"/>
                <w:sz w:val="20"/>
                <w:szCs w:val="20"/>
              </w:rPr>
              <w:t>213,407</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836,246</w:t>
            </w:r>
          </w:p>
        </w:tc>
        <w:tc>
          <w:tcPr>
            <w:tcW w:w="900" w:type="dxa"/>
            <w:vAlign w:val="bottom"/>
          </w:tcPr>
          <w:p w:rsidR="00E43B9E" w:rsidRPr="00045FCC" w:rsidRDefault="00E43B9E" w:rsidP="00A8050E">
            <w:pPr>
              <w:pStyle w:val="p7"/>
              <w:widowControl/>
              <w:tabs>
                <w:tab w:val="clear" w:pos="782"/>
                <w:tab w:val="clear" w:pos="1133"/>
                <w:tab w:val="left" w:pos="792"/>
                <w:tab w:val="left" w:pos="882"/>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r w:rsidRPr="00045FCC">
              <w:rPr>
                <w:rFonts w:eastAsia="Verdana"/>
                <w:color w:val="000000"/>
                <w:sz w:val="20"/>
                <w:szCs w:val="20"/>
              </w:rPr>
              <w:t>725</w:t>
            </w:r>
          </w:p>
        </w:tc>
        <w:tc>
          <w:tcPr>
            <w:tcW w:w="1170" w:type="dxa"/>
            <w:vAlign w:val="bottom"/>
          </w:tcPr>
          <w:p w:rsidR="00E43B9E" w:rsidRPr="00045FCC" w:rsidRDefault="00E43B9E" w:rsidP="00A8050E">
            <w:pPr>
              <w:spacing w:line="276" w:lineRule="auto"/>
              <w:ind w:right="72"/>
              <w:jc w:val="right"/>
              <w:textAlignment w:val="baseline"/>
              <w:rPr>
                <w:rFonts w:eastAsia="Verdana"/>
                <w:b/>
                <w:color w:val="000000"/>
                <w:sz w:val="20"/>
                <w:szCs w:val="20"/>
              </w:rPr>
            </w:pPr>
            <w:r w:rsidRPr="00045FCC">
              <w:rPr>
                <w:rFonts w:eastAsia="Verdana"/>
                <w:b/>
                <w:color w:val="000000"/>
                <w:sz w:val="20"/>
                <w:szCs w:val="20"/>
              </w:rPr>
              <w:t>1,410,283</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Carbon</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24,147</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195,035</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1,435</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89,362</w:t>
            </w:r>
          </w:p>
        </w:tc>
        <w:tc>
          <w:tcPr>
            <w:tcW w:w="900" w:type="dxa"/>
            <w:vAlign w:val="bottom"/>
          </w:tcPr>
          <w:p w:rsidR="00E43B9E" w:rsidRPr="00045FCC" w:rsidRDefault="00E43B9E" w:rsidP="00A8050E">
            <w:pPr>
              <w:pStyle w:val="p7"/>
              <w:widowControl/>
              <w:tabs>
                <w:tab w:val="clear" w:pos="782"/>
                <w:tab w:val="clear" w:pos="1133"/>
                <w:tab w:val="left" w:pos="792"/>
                <w:tab w:val="left" w:pos="882"/>
                <w:tab w:val="left" w:pos="1350"/>
                <w:tab w:val="left" w:pos="1440"/>
                <w:tab w:val="left" w:pos="1530"/>
              </w:tabs>
              <w:spacing w:line="276" w:lineRule="auto"/>
              <w:ind w:left="0" w:firstLine="0"/>
              <w:jc w:val="right"/>
              <w:rPr>
                <w:sz w:val="20"/>
                <w:szCs w:val="20"/>
              </w:rPr>
            </w:pPr>
            <w:r w:rsidRPr="00045FCC">
              <w:rPr>
                <w:sz w:val="20"/>
                <w:szCs w:val="20"/>
              </w:rPr>
              <w:t>12,631</w:t>
            </w: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pStyle w:val="p7"/>
              <w:widowControl/>
              <w:tabs>
                <w:tab w:val="clear" w:pos="782"/>
                <w:tab w:val="clear" w:pos="1133"/>
              </w:tabs>
              <w:spacing w:line="276" w:lineRule="auto"/>
              <w:ind w:left="0" w:right="72" w:firstLine="0"/>
              <w:jc w:val="right"/>
              <w:rPr>
                <w:b/>
                <w:sz w:val="20"/>
                <w:szCs w:val="20"/>
              </w:rPr>
            </w:pPr>
            <w:r w:rsidRPr="00045FCC">
              <w:rPr>
                <w:b/>
                <w:sz w:val="20"/>
                <w:szCs w:val="20"/>
              </w:rPr>
              <w:t>322,610</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Center</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1,251</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45,124</w:t>
            </w:r>
          </w:p>
        </w:tc>
        <w:tc>
          <w:tcPr>
            <w:tcW w:w="900" w:type="dxa"/>
            <w:vAlign w:val="bottom"/>
          </w:tcPr>
          <w:p w:rsidR="00E43B9E" w:rsidRPr="00045FCC" w:rsidRDefault="00E43B9E" w:rsidP="00A8050E">
            <w:pPr>
              <w:pStyle w:val="p7"/>
              <w:widowControl/>
              <w:tabs>
                <w:tab w:val="clear" w:pos="782"/>
                <w:tab w:val="clear" w:pos="1133"/>
                <w:tab w:val="left" w:pos="792"/>
                <w:tab w:val="left" w:pos="882"/>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pStyle w:val="p7"/>
              <w:widowControl/>
              <w:tabs>
                <w:tab w:val="clear" w:pos="782"/>
                <w:tab w:val="clear" w:pos="1133"/>
              </w:tabs>
              <w:spacing w:line="276" w:lineRule="auto"/>
              <w:ind w:left="0" w:right="72" w:firstLine="0"/>
              <w:jc w:val="right"/>
              <w:rPr>
                <w:b/>
                <w:sz w:val="20"/>
                <w:szCs w:val="20"/>
              </w:rPr>
            </w:pPr>
            <w:r w:rsidRPr="00045FCC">
              <w:rPr>
                <w:b/>
                <w:sz w:val="20"/>
                <w:szCs w:val="20"/>
              </w:rPr>
              <w:t>46,375</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Chester</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13,062</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77,231</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782"/>
                <w:tab w:val="clear" w:pos="1133"/>
                <w:tab w:val="left" w:pos="720"/>
              </w:tabs>
              <w:spacing w:line="276" w:lineRule="auto"/>
              <w:ind w:left="0" w:firstLine="0"/>
              <w:jc w:val="right"/>
              <w:rPr>
                <w:sz w:val="20"/>
                <w:szCs w:val="20"/>
              </w:rPr>
            </w:pPr>
            <w:r w:rsidRPr="00045FCC">
              <w:rPr>
                <w:sz w:val="20"/>
                <w:szCs w:val="20"/>
              </w:rPr>
              <w:t>1,802</w:t>
            </w:r>
          </w:p>
        </w:tc>
        <w:tc>
          <w:tcPr>
            <w:tcW w:w="1080" w:type="dxa"/>
            <w:vAlign w:val="bottom"/>
          </w:tcPr>
          <w:p w:rsidR="00E43B9E" w:rsidRPr="00045FCC" w:rsidRDefault="00E43B9E" w:rsidP="00A8050E">
            <w:pPr>
              <w:spacing w:after="4" w:line="276" w:lineRule="auto"/>
              <w:jc w:val="right"/>
              <w:textAlignment w:val="baseline"/>
              <w:rPr>
                <w:rFonts w:eastAsia="Verdana"/>
                <w:color w:val="000000"/>
                <w:sz w:val="20"/>
                <w:szCs w:val="20"/>
              </w:rPr>
            </w:pPr>
            <w:r w:rsidRPr="00045FCC">
              <w:rPr>
                <w:rFonts w:eastAsia="Verdana"/>
                <w:color w:val="000000"/>
                <w:sz w:val="20"/>
                <w:szCs w:val="20"/>
              </w:rPr>
              <w:t>260,714</w:t>
            </w:r>
          </w:p>
        </w:tc>
        <w:tc>
          <w:tcPr>
            <w:tcW w:w="900" w:type="dxa"/>
            <w:vAlign w:val="bottom"/>
          </w:tcPr>
          <w:p w:rsidR="00E43B9E" w:rsidRPr="00045FCC" w:rsidRDefault="00E43B9E" w:rsidP="00A8050E">
            <w:pPr>
              <w:tabs>
                <w:tab w:val="left" w:pos="792"/>
                <w:tab w:val="left" w:pos="882"/>
              </w:tabs>
              <w:spacing w:after="8" w:line="276" w:lineRule="auto"/>
              <w:ind w:right="53"/>
              <w:jc w:val="right"/>
              <w:textAlignment w:val="baseline"/>
              <w:rPr>
                <w:rFonts w:eastAsia="Verdana"/>
                <w:color w:val="000000"/>
                <w:sz w:val="20"/>
                <w:szCs w:val="20"/>
              </w:rPr>
            </w:pPr>
            <w:r w:rsidRPr="00045FCC">
              <w:rPr>
                <w:rFonts w:eastAsia="Verdana"/>
                <w:color w:val="000000"/>
                <w:sz w:val="20"/>
                <w:szCs w:val="20"/>
              </w:rPr>
              <w:t>2,328</w:t>
            </w: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pStyle w:val="p7"/>
              <w:widowControl/>
              <w:tabs>
                <w:tab w:val="clear" w:pos="782"/>
                <w:tab w:val="clear" w:pos="1133"/>
              </w:tabs>
              <w:spacing w:line="276" w:lineRule="auto"/>
              <w:ind w:left="0" w:right="72" w:firstLine="0"/>
              <w:jc w:val="right"/>
              <w:rPr>
                <w:b/>
                <w:sz w:val="20"/>
                <w:szCs w:val="20"/>
              </w:rPr>
            </w:pPr>
            <w:r w:rsidRPr="00045FCC">
              <w:rPr>
                <w:b/>
                <w:sz w:val="20"/>
                <w:szCs w:val="20"/>
              </w:rPr>
              <w:t>355,137</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Clarion</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205,515</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248,015</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4,052</w:t>
            </w: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1,234,376</w:t>
            </w:r>
          </w:p>
        </w:tc>
        <w:tc>
          <w:tcPr>
            <w:tcW w:w="900" w:type="dxa"/>
            <w:vAlign w:val="bottom"/>
          </w:tcPr>
          <w:p w:rsidR="00E43B9E" w:rsidRPr="00045FCC" w:rsidRDefault="00E43B9E" w:rsidP="00A8050E">
            <w:pPr>
              <w:tabs>
                <w:tab w:val="left" w:pos="792"/>
              </w:tabs>
              <w:spacing w:line="276" w:lineRule="auto"/>
              <w:ind w:right="-18"/>
              <w:jc w:val="right"/>
              <w:textAlignment w:val="baseline"/>
              <w:rPr>
                <w:rFonts w:eastAsia="Verdana"/>
                <w:color w:val="000000"/>
                <w:sz w:val="20"/>
                <w:szCs w:val="20"/>
              </w:rPr>
            </w:pPr>
          </w:p>
        </w:tc>
        <w:tc>
          <w:tcPr>
            <w:tcW w:w="990" w:type="dxa"/>
            <w:vAlign w:val="bottom"/>
          </w:tcPr>
          <w:p w:rsidR="00E43B9E" w:rsidRPr="00045FCC" w:rsidRDefault="00E43B9E" w:rsidP="00A8050E">
            <w:pPr>
              <w:spacing w:after="4" w:line="276" w:lineRule="auto"/>
              <w:ind w:right="62"/>
              <w:jc w:val="right"/>
              <w:textAlignment w:val="baseline"/>
              <w:rPr>
                <w:rFonts w:eastAsia="Verdana"/>
                <w:color w:val="000000"/>
                <w:sz w:val="20"/>
                <w:szCs w:val="20"/>
              </w:rPr>
            </w:pPr>
            <w:r w:rsidRPr="00045FCC">
              <w:rPr>
                <w:rFonts w:eastAsia="Verdana"/>
                <w:color w:val="000000"/>
                <w:sz w:val="20"/>
                <w:szCs w:val="20"/>
              </w:rPr>
              <w:t>1,194</w:t>
            </w: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1,693,152</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Clearfield</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24</w:t>
            </w:r>
          </w:p>
        </w:tc>
        <w:tc>
          <w:tcPr>
            <w:tcW w:w="99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223,288</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after="3" w:line="276" w:lineRule="auto"/>
              <w:jc w:val="right"/>
              <w:textAlignment w:val="baseline"/>
              <w:rPr>
                <w:rFonts w:eastAsia="Verdana"/>
                <w:color w:val="000000"/>
                <w:sz w:val="20"/>
                <w:szCs w:val="20"/>
              </w:rPr>
            </w:pPr>
            <w:r w:rsidRPr="00045FCC">
              <w:rPr>
                <w:rFonts w:eastAsia="Verdana"/>
                <w:color w:val="000000"/>
                <w:sz w:val="20"/>
                <w:szCs w:val="20"/>
              </w:rPr>
              <w:t>188,761</w:t>
            </w:r>
          </w:p>
        </w:tc>
        <w:tc>
          <w:tcPr>
            <w:tcW w:w="900" w:type="dxa"/>
            <w:vAlign w:val="bottom"/>
          </w:tcPr>
          <w:p w:rsidR="00E43B9E" w:rsidRPr="00045FCC" w:rsidRDefault="00E43B9E" w:rsidP="00A8050E">
            <w:pPr>
              <w:tabs>
                <w:tab w:val="left" w:pos="792"/>
                <w:tab w:val="left" w:pos="882"/>
              </w:tabs>
              <w:spacing w:after="3" w:line="276" w:lineRule="auto"/>
              <w:ind w:right="53"/>
              <w:jc w:val="right"/>
              <w:textAlignment w:val="baseline"/>
              <w:rPr>
                <w:rFonts w:eastAsia="Verdana"/>
                <w:color w:val="000000"/>
                <w:sz w:val="20"/>
                <w:szCs w:val="20"/>
              </w:rPr>
            </w:pPr>
            <w:r w:rsidRPr="00045FCC">
              <w:rPr>
                <w:rFonts w:eastAsia="Verdana"/>
                <w:color w:val="000000"/>
                <w:sz w:val="20"/>
                <w:szCs w:val="20"/>
              </w:rPr>
              <w:t>265</w:t>
            </w:r>
          </w:p>
        </w:tc>
        <w:tc>
          <w:tcPr>
            <w:tcW w:w="990" w:type="dxa"/>
            <w:vAlign w:val="bottom"/>
          </w:tcPr>
          <w:p w:rsidR="00E43B9E" w:rsidRPr="00045FCC" w:rsidRDefault="00E43B9E" w:rsidP="00A8050E">
            <w:pPr>
              <w:spacing w:after="13" w:line="276" w:lineRule="auto"/>
              <w:ind w:right="62"/>
              <w:jc w:val="right"/>
              <w:textAlignment w:val="baseline"/>
              <w:rPr>
                <w:rFonts w:eastAsia="Verdana"/>
                <w:color w:val="000000"/>
                <w:sz w:val="20"/>
                <w:szCs w:val="20"/>
              </w:rPr>
            </w:pPr>
            <w:r w:rsidRPr="00045FCC">
              <w:rPr>
                <w:rFonts w:eastAsia="Verdana"/>
                <w:color w:val="000000"/>
                <w:sz w:val="20"/>
                <w:szCs w:val="20"/>
              </w:rPr>
              <w:t>711</w:t>
            </w:r>
          </w:p>
        </w:tc>
        <w:tc>
          <w:tcPr>
            <w:tcW w:w="1170" w:type="dxa"/>
            <w:vAlign w:val="bottom"/>
          </w:tcPr>
          <w:p w:rsidR="00E43B9E" w:rsidRPr="00045FCC" w:rsidRDefault="00E43B9E" w:rsidP="00A8050E">
            <w:pPr>
              <w:tabs>
                <w:tab w:val="left" w:pos="1032"/>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413,049</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Clinton</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12,833</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15" w:line="276" w:lineRule="auto"/>
              <w:jc w:val="right"/>
              <w:textAlignment w:val="baseline"/>
              <w:rPr>
                <w:rFonts w:eastAsia="Verdana"/>
                <w:color w:val="000000"/>
                <w:sz w:val="20"/>
                <w:szCs w:val="20"/>
              </w:rPr>
            </w:pPr>
            <w:r w:rsidRPr="00045FCC">
              <w:rPr>
                <w:rFonts w:eastAsia="Verdana"/>
                <w:color w:val="000000"/>
                <w:sz w:val="20"/>
                <w:szCs w:val="20"/>
              </w:rPr>
              <w:t>209,408</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after="1" w:line="276" w:lineRule="auto"/>
              <w:jc w:val="right"/>
              <w:textAlignment w:val="baseline"/>
              <w:rPr>
                <w:rFonts w:eastAsia="Verdana"/>
                <w:color w:val="000000"/>
                <w:sz w:val="20"/>
                <w:szCs w:val="20"/>
              </w:rPr>
            </w:pPr>
            <w:r w:rsidRPr="00045FCC">
              <w:rPr>
                <w:rFonts w:eastAsia="Verdana"/>
                <w:color w:val="000000"/>
                <w:sz w:val="20"/>
                <w:szCs w:val="20"/>
              </w:rPr>
              <w:t>209,936</w:t>
            </w:r>
          </w:p>
        </w:tc>
        <w:tc>
          <w:tcPr>
            <w:tcW w:w="900" w:type="dxa"/>
            <w:vAlign w:val="bottom"/>
          </w:tcPr>
          <w:p w:rsidR="00E43B9E" w:rsidRPr="00045FCC" w:rsidRDefault="00E43B9E" w:rsidP="00A8050E">
            <w:pPr>
              <w:tabs>
                <w:tab w:val="left" w:pos="792"/>
                <w:tab w:val="left" w:pos="882"/>
              </w:tabs>
              <w:spacing w:after="9" w:line="276" w:lineRule="auto"/>
              <w:ind w:right="53"/>
              <w:jc w:val="right"/>
              <w:textAlignment w:val="baseline"/>
              <w:rPr>
                <w:rFonts w:eastAsia="Verdana"/>
                <w:color w:val="000000"/>
                <w:sz w:val="20"/>
                <w:szCs w:val="20"/>
              </w:rPr>
            </w:pPr>
            <w:r w:rsidRPr="00045FCC">
              <w:rPr>
                <w:rFonts w:eastAsia="Verdana"/>
                <w:color w:val="000000"/>
                <w:sz w:val="20"/>
                <w:szCs w:val="20"/>
              </w:rPr>
              <w:t>23,298</w:t>
            </w:r>
          </w:p>
        </w:tc>
        <w:tc>
          <w:tcPr>
            <w:tcW w:w="990" w:type="dxa"/>
            <w:vAlign w:val="bottom"/>
          </w:tcPr>
          <w:p w:rsidR="00E43B9E" w:rsidRPr="00045FCC" w:rsidRDefault="00E43B9E" w:rsidP="00A8050E">
            <w:pPr>
              <w:spacing w:after="13" w:line="276" w:lineRule="auto"/>
              <w:ind w:right="62"/>
              <w:jc w:val="right"/>
              <w:textAlignment w:val="baseline"/>
              <w:rPr>
                <w:rFonts w:eastAsia="Verdana"/>
                <w:color w:val="000000"/>
                <w:sz w:val="20"/>
                <w:szCs w:val="20"/>
              </w:rPr>
            </w:pPr>
            <w:r w:rsidRPr="00045FCC">
              <w:rPr>
                <w:rFonts w:eastAsia="Verdana"/>
                <w:color w:val="000000"/>
                <w:sz w:val="20"/>
                <w:szCs w:val="20"/>
              </w:rPr>
              <w:t>1,172</w:t>
            </w:r>
          </w:p>
        </w:tc>
        <w:tc>
          <w:tcPr>
            <w:tcW w:w="1170" w:type="dxa"/>
            <w:vAlign w:val="bottom"/>
          </w:tcPr>
          <w:p w:rsidR="00E43B9E" w:rsidRPr="00045FCC" w:rsidRDefault="00E43B9E" w:rsidP="00A8050E">
            <w:pPr>
              <w:tabs>
                <w:tab w:val="left" w:pos="1032"/>
                <w:tab w:val="left" w:pos="1350"/>
              </w:tabs>
              <w:spacing w:after="3" w:line="276" w:lineRule="auto"/>
              <w:ind w:right="72"/>
              <w:jc w:val="right"/>
              <w:textAlignment w:val="baseline"/>
              <w:rPr>
                <w:rFonts w:eastAsia="Verdana"/>
                <w:b/>
                <w:color w:val="000000"/>
                <w:sz w:val="20"/>
                <w:szCs w:val="20"/>
              </w:rPr>
            </w:pPr>
            <w:r>
              <w:rPr>
                <w:rFonts w:eastAsia="Verdana"/>
                <w:b/>
                <w:color w:val="000000"/>
                <w:sz w:val="20"/>
                <w:szCs w:val="20"/>
              </w:rPr>
              <w:t>456,6</w:t>
            </w:r>
            <w:r w:rsidRPr="00045FCC">
              <w:rPr>
                <w:rFonts w:eastAsia="Verdana"/>
                <w:b/>
                <w:color w:val="000000"/>
                <w:sz w:val="20"/>
                <w:szCs w:val="20"/>
              </w:rPr>
              <w:t>47</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Columbia</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3" w:line="276" w:lineRule="auto"/>
              <w:jc w:val="right"/>
              <w:textAlignment w:val="baseline"/>
              <w:rPr>
                <w:rFonts w:eastAsia="Verdana"/>
                <w:color w:val="000000"/>
                <w:sz w:val="20"/>
                <w:szCs w:val="20"/>
              </w:rPr>
            </w:pPr>
            <w:r w:rsidRPr="00045FCC">
              <w:rPr>
                <w:rFonts w:eastAsia="Verdana"/>
                <w:color w:val="000000"/>
                <w:sz w:val="20"/>
                <w:szCs w:val="20"/>
              </w:rPr>
              <w:t>23,877</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782"/>
                <w:tab w:val="clear" w:pos="1133"/>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p>
        </w:tc>
        <w:tc>
          <w:tcPr>
            <w:tcW w:w="900" w:type="dxa"/>
            <w:vAlign w:val="bottom"/>
          </w:tcPr>
          <w:p w:rsidR="00E43B9E" w:rsidRPr="00045FCC" w:rsidRDefault="00E43B9E" w:rsidP="00A8050E">
            <w:pPr>
              <w:tabs>
                <w:tab w:val="left" w:pos="792"/>
                <w:tab w:val="left" w:pos="882"/>
              </w:tabs>
              <w:spacing w:line="276" w:lineRule="auto"/>
              <w:ind w:right="53"/>
              <w:jc w:val="right"/>
              <w:textAlignment w:val="baseline"/>
              <w:rPr>
                <w:rFonts w:eastAsia="Verdana"/>
                <w:color w:val="000000"/>
                <w:sz w:val="20"/>
                <w:szCs w:val="20"/>
              </w:rPr>
            </w:pP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032"/>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23,877</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Cumberland</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1,306</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11" w:line="276" w:lineRule="auto"/>
              <w:jc w:val="right"/>
              <w:textAlignment w:val="baseline"/>
              <w:rPr>
                <w:rFonts w:eastAsia="Verdana"/>
                <w:color w:val="000000"/>
                <w:sz w:val="20"/>
                <w:szCs w:val="20"/>
              </w:rPr>
            </w:pPr>
            <w:r w:rsidRPr="00045FCC">
              <w:rPr>
                <w:rFonts w:eastAsia="Verdana"/>
                <w:color w:val="000000"/>
                <w:sz w:val="20"/>
                <w:szCs w:val="20"/>
              </w:rPr>
              <w:t>47,575</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144,730</w:t>
            </w:r>
          </w:p>
        </w:tc>
        <w:tc>
          <w:tcPr>
            <w:tcW w:w="900" w:type="dxa"/>
            <w:vAlign w:val="bottom"/>
          </w:tcPr>
          <w:p w:rsidR="00E43B9E" w:rsidRPr="00045FCC" w:rsidRDefault="00E43B9E" w:rsidP="00A8050E">
            <w:pPr>
              <w:tabs>
                <w:tab w:val="left" w:pos="792"/>
                <w:tab w:val="left" w:pos="882"/>
              </w:tabs>
              <w:spacing w:after="3" w:line="276" w:lineRule="auto"/>
              <w:ind w:right="53"/>
              <w:jc w:val="right"/>
              <w:textAlignment w:val="baseline"/>
              <w:rPr>
                <w:rFonts w:eastAsia="Verdana"/>
                <w:color w:val="000000"/>
                <w:sz w:val="20"/>
                <w:szCs w:val="20"/>
              </w:rPr>
            </w:pPr>
            <w:r w:rsidRPr="00045FCC">
              <w:rPr>
                <w:rFonts w:eastAsia="Verdana"/>
                <w:color w:val="000000"/>
                <w:sz w:val="20"/>
                <w:szCs w:val="20"/>
              </w:rPr>
              <w:t>1,585</w:t>
            </w: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195,19</w:t>
            </w:r>
            <w:r>
              <w:rPr>
                <w:rFonts w:eastAsia="Verdana"/>
                <w:b/>
                <w:color w:val="000000"/>
                <w:sz w:val="20"/>
                <w:szCs w:val="20"/>
              </w:rPr>
              <w:t>6</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Dauphin</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51,440</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15" w:line="276" w:lineRule="auto"/>
              <w:jc w:val="right"/>
              <w:textAlignment w:val="baseline"/>
              <w:rPr>
                <w:rFonts w:eastAsia="Verdana"/>
                <w:color w:val="000000"/>
                <w:sz w:val="20"/>
                <w:szCs w:val="20"/>
              </w:rPr>
            </w:pPr>
            <w:r w:rsidRPr="00045FCC">
              <w:rPr>
                <w:rFonts w:eastAsia="Verdana"/>
                <w:color w:val="000000"/>
                <w:sz w:val="20"/>
                <w:szCs w:val="20"/>
              </w:rPr>
              <w:t>4,153</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after="9" w:line="276" w:lineRule="auto"/>
              <w:jc w:val="right"/>
              <w:textAlignment w:val="baseline"/>
              <w:rPr>
                <w:rFonts w:eastAsia="Verdana"/>
                <w:color w:val="000000"/>
                <w:sz w:val="20"/>
                <w:szCs w:val="20"/>
              </w:rPr>
            </w:pPr>
            <w:r w:rsidRPr="00045FCC">
              <w:rPr>
                <w:rFonts w:eastAsia="Verdana"/>
                <w:color w:val="000000"/>
                <w:sz w:val="20"/>
                <w:szCs w:val="20"/>
              </w:rPr>
              <w:t>4,821</w:t>
            </w:r>
          </w:p>
        </w:tc>
        <w:tc>
          <w:tcPr>
            <w:tcW w:w="900" w:type="dxa"/>
            <w:vAlign w:val="bottom"/>
          </w:tcPr>
          <w:p w:rsidR="00E43B9E" w:rsidRPr="00045FCC" w:rsidRDefault="00E43B9E" w:rsidP="00A8050E">
            <w:pPr>
              <w:tabs>
                <w:tab w:val="left" w:pos="792"/>
              </w:tabs>
              <w:spacing w:line="276" w:lineRule="auto"/>
              <w:ind w:right="53"/>
              <w:jc w:val="right"/>
              <w:textAlignment w:val="baseline"/>
              <w:rPr>
                <w:rFonts w:eastAsia="Verdana"/>
                <w:color w:val="000000"/>
                <w:sz w:val="20"/>
                <w:szCs w:val="20"/>
              </w:rPr>
            </w:pP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350"/>
              </w:tabs>
              <w:spacing w:after="3" w:line="276" w:lineRule="auto"/>
              <w:ind w:right="72"/>
              <w:jc w:val="right"/>
              <w:textAlignment w:val="baseline"/>
              <w:rPr>
                <w:rFonts w:eastAsia="Verdana"/>
                <w:b/>
                <w:color w:val="000000"/>
                <w:sz w:val="20"/>
                <w:szCs w:val="20"/>
              </w:rPr>
            </w:pPr>
            <w:r w:rsidRPr="00045FCC">
              <w:rPr>
                <w:rFonts w:eastAsia="Verdana"/>
                <w:b/>
                <w:color w:val="000000"/>
                <w:sz w:val="20"/>
                <w:szCs w:val="20"/>
              </w:rPr>
              <w:t>60,414</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Forest</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41,635</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13" w:line="276" w:lineRule="auto"/>
              <w:jc w:val="right"/>
              <w:textAlignment w:val="baseline"/>
              <w:rPr>
                <w:rFonts w:eastAsia="Verdana"/>
                <w:color w:val="000000"/>
                <w:sz w:val="20"/>
                <w:szCs w:val="20"/>
              </w:rPr>
            </w:pPr>
            <w:r w:rsidRPr="00045FCC">
              <w:rPr>
                <w:rFonts w:eastAsia="Verdana"/>
                <w:color w:val="000000"/>
                <w:sz w:val="20"/>
                <w:szCs w:val="20"/>
              </w:rPr>
              <w:t>78,525</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782"/>
                <w:tab w:val="clear" w:pos="1133"/>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132,968</w:t>
            </w:r>
          </w:p>
        </w:tc>
        <w:tc>
          <w:tcPr>
            <w:tcW w:w="900" w:type="dxa"/>
            <w:vAlign w:val="bottom"/>
          </w:tcPr>
          <w:p w:rsidR="00E43B9E" w:rsidRPr="00045FCC" w:rsidRDefault="00E43B9E" w:rsidP="00A8050E">
            <w:pPr>
              <w:tabs>
                <w:tab w:val="left" w:pos="792"/>
              </w:tabs>
              <w:spacing w:line="276" w:lineRule="auto"/>
              <w:ind w:right="53"/>
              <w:jc w:val="right"/>
              <w:textAlignment w:val="baseline"/>
              <w:rPr>
                <w:rFonts w:eastAsia="Verdana"/>
                <w:color w:val="000000"/>
                <w:sz w:val="20"/>
                <w:szCs w:val="20"/>
              </w:rPr>
            </w:pPr>
          </w:p>
        </w:tc>
        <w:tc>
          <w:tcPr>
            <w:tcW w:w="990" w:type="dxa"/>
            <w:vAlign w:val="bottom"/>
          </w:tcPr>
          <w:p w:rsidR="00E43B9E" w:rsidRPr="00045FCC" w:rsidRDefault="00E43B9E" w:rsidP="00A8050E">
            <w:pPr>
              <w:spacing w:after="13" w:line="276" w:lineRule="auto"/>
              <w:ind w:right="62"/>
              <w:jc w:val="right"/>
              <w:textAlignment w:val="baseline"/>
              <w:rPr>
                <w:rFonts w:eastAsia="Verdana"/>
                <w:color w:val="000000"/>
                <w:sz w:val="20"/>
                <w:szCs w:val="20"/>
              </w:rPr>
            </w:pPr>
            <w:r w:rsidRPr="00045FCC">
              <w:rPr>
                <w:rFonts w:eastAsia="Verdana"/>
                <w:color w:val="000000"/>
                <w:sz w:val="20"/>
                <w:szCs w:val="20"/>
              </w:rPr>
              <w:t>680</w:t>
            </w: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253,808</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Franklin</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1,517</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1,503</w:t>
            </w:r>
          </w:p>
        </w:tc>
        <w:tc>
          <w:tcPr>
            <w:tcW w:w="990" w:type="dxa"/>
            <w:vAlign w:val="bottom"/>
          </w:tcPr>
          <w:p w:rsidR="00E43B9E" w:rsidRPr="00045FCC" w:rsidRDefault="00E43B9E" w:rsidP="00A8050E">
            <w:pPr>
              <w:spacing w:after="7" w:line="276" w:lineRule="auto"/>
              <w:jc w:val="right"/>
              <w:textAlignment w:val="baseline"/>
              <w:rPr>
                <w:rFonts w:eastAsia="Verdana"/>
                <w:color w:val="000000"/>
                <w:sz w:val="20"/>
                <w:szCs w:val="20"/>
              </w:rPr>
            </w:pPr>
            <w:r w:rsidRPr="00045FCC">
              <w:rPr>
                <w:rFonts w:eastAsia="Verdana"/>
                <w:color w:val="000000"/>
                <w:sz w:val="20"/>
                <w:szCs w:val="20"/>
              </w:rPr>
              <w:t>232,652</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358,308</w:t>
            </w:r>
          </w:p>
        </w:tc>
        <w:tc>
          <w:tcPr>
            <w:tcW w:w="900" w:type="dxa"/>
            <w:vAlign w:val="bottom"/>
          </w:tcPr>
          <w:p w:rsidR="00E43B9E" w:rsidRPr="00045FCC" w:rsidRDefault="00E43B9E" w:rsidP="00A8050E">
            <w:pPr>
              <w:tabs>
                <w:tab w:val="left" w:pos="792"/>
              </w:tabs>
              <w:spacing w:line="276" w:lineRule="auto"/>
              <w:ind w:right="53"/>
              <w:jc w:val="right"/>
              <w:textAlignment w:val="baseline"/>
              <w:rPr>
                <w:rFonts w:eastAsia="Verdana"/>
                <w:color w:val="000000"/>
                <w:sz w:val="20"/>
                <w:szCs w:val="20"/>
              </w:rPr>
            </w:pPr>
            <w:r w:rsidRPr="00045FCC">
              <w:rPr>
                <w:rFonts w:eastAsia="Verdana"/>
                <w:color w:val="000000"/>
                <w:sz w:val="20"/>
                <w:szCs w:val="20"/>
              </w:rPr>
              <w:t>4,008</w:t>
            </w:r>
          </w:p>
        </w:tc>
        <w:tc>
          <w:tcPr>
            <w:tcW w:w="990" w:type="dxa"/>
            <w:vAlign w:val="bottom"/>
          </w:tcPr>
          <w:p w:rsidR="00E43B9E" w:rsidRPr="00045FCC" w:rsidRDefault="00E43B9E" w:rsidP="00A8050E">
            <w:pPr>
              <w:spacing w:after="9" w:line="276" w:lineRule="auto"/>
              <w:ind w:right="62"/>
              <w:jc w:val="right"/>
              <w:textAlignment w:val="baseline"/>
              <w:rPr>
                <w:rFonts w:eastAsia="Verdana"/>
                <w:color w:val="000000"/>
                <w:sz w:val="20"/>
                <w:szCs w:val="20"/>
              </w:rPr>
            </w:pPr>
            <w:r w:rsidRPr="00045FCC">
              <w:rPr>
                <w:rFonts w:eastAsia="Verdana"/>
                <w:color w:val="000000"/>
                <w:sz w:val="20"/>
                <w:szCs w:val="20"/>
              </w:rPr>
              <w:t>318</w:t>
            </w: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598,306</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Fulton</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16" w:line="276" w:lineRule="auto"/>
              <w:jc w:val="right"/>
              <w:textAlignment w:val="baseline"/>
              <w:rPr>
                <w:rFonts w:eastAsia="Verdana"/>
                <w:color w:val="000000"/>
                <w:sz w:val="20"/>
                <w:szCs w:val="20"/>
              </w:rPr>
            </w:pPr>
            <w:r w:rsidRPr="00045FCC">
              <w:rPr>
                <w:rFonts w:eastAsia="Verdana"/>
                <w:color w:val="000000"/>
                <w:sz w:val="20"/>
                <w:szCs w:val="20"/>
              </w:rPr>
              <w:t>10,157</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7,569</w:t>
            </w:r>
          </w:p>
        </w:tc>
        <w:tc>
          <w:tcPr>
            <w:tcW w:w="900" w:type="dxa"/>
            <w:vAlign w:val="bottom"/>
          </w:tcPr>
          <w:p w:rsidR="00E43B9E" w:rsidRPr="00045FCC" w:rsidRDefault="00E43B9E" w:rsidP="00A8050E">
            <w:pPr>
              <w:tabs>
                <w:tab w:val="left" w:pos="792"/>
              </w:tabs>
              <w:spacing w:line="276" w:lineRule="auto"/>
              <w:ind w:right="53"/>
              <w:jc w:val="right"/>
              <w:textAlignment w:val="baseline"/>
              <w:rPr>
                <w:rFonts w:eastAsia="Verdana"/>
                <w:color w:val="000000"/>
                <w:sz w:val="20"/>
                <w:szCs w:val="20"/>
              </w:rPr>
            </w:pP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17,726</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Huntingdon</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1,246</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3,031</w:t>
            </w:r>
          </w:p>
        </w:tc>
        <w:tc>
          <w:tcPr>
            <w:tcW w:w="990" w:type="dxa"/>
            <w:vAlign w:val="bottom"/>
          </w:tcPr>
          <w:p w:rsidR="00E43B9E" w:rsidRPr="00045FCC" w:rsidRDefault="00E43B9E" w:rsidP="00A8050E">
            <w:pPr>
              <w:spacing w:after="1" w:line="276" w:lineRule="auto"/>
              <w:jc w:val="right"/>
              <w:textAlignment w:val="baseline"/>
              <w:rPr>
                <w:rFonts w:eastAsia="Verdana"/>
                <w:color w:val="000000"/>
                <w:sz w:val="20"/>
                <w:szCs w:val="20"/>
              </w:rPr>
            </w:pPr>
            <w:r w:rsidRPr="00045FCC">
              <w:rPr>
                <w:rFonts w:eastAsia="Verdana"/>
                <w:color w:val="000000"/>
                <w:sz w:val="20"/>
                <w:szCs w:val="20"/>
              </w:rPr>
              <w:t>166,748</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130,044</w:t>
            </w:r>
          </w:p>
        </w:tc>
        <w:tc>
          <w:tcPr>
            <w:tcW w:w="900" w:type="dxa"/>
            <w:vAlign w:val="bottom"/>
          </w:tcPr>
          <w:p w:rsidR="00E43B9E" w:rsidRPr="00045FCC" w:rsidRDefault="00E43B9E" w:rsidP="00A8050E">
            <w:pPr>
              <w:tabs>
                <w:tab w:val="left" w:pos="792"/>
              </w:tabs>
              <w:spacing w:line="276" w:lineRule="auto"/>
              <w:ind w:right="53"/>
              <w:jc w:val="right"/>
              <w:textAlignment w:val="baseline"/>
              <w:rPr>
                <w:rFonts w:eastAsia="Verdana"/>
                <w:color w:val="000000"/>
                <w:sz w:val="20"/>
                <w:szCs w:val="20"/>
              </w:rPr>
            </w:pPr>
            <w:r w:rsidRPr="00045FCC">
              <w:rPr>
                <w:rFonts w:eastAsia="Verdana"/>
                <w:color w:val="000000"/>
                <w:sz w:val="20"/>
                <w:szCs w:val="20"/>
              </w:rPr>
              <w:t>528</w:t>
            </w:r>
          </w:p>
        </w:tc>
        <w:tc>
          <w:tcPr>
            <w:tcW w:w="990" w:type="dxa"/>
            <w:vAlign w:val="bottom"/>
          </w:tcPr>
          <w:p w:rsidR="00E43B9E" w:rsidRPr="00045FCC" w:rsidRDefault="00E43B9E" w:rsidP="00A8050E">
            <w:pPr>
              <w:spacing w:after="6" w:line="276" w:lineRule="auto"/>
              <w:ind w:right="62"/>
              <w:jc w:val="right"/>
              <w:textAlignment w:val="baseline"/>
              <w:rPr>
                <w:rFonts w:eastAsia="Verdana"/>
                <w:color w:val="000000"/>
                <w:sz w:val="20"/>
                <w:szCs w:val="20"/>
              </w:rPr>
            </w:pPr>
            <w:r w:rsidRPr="00045FCC">
              <w:rPr>
                <w:rFonts w:eastAsia="Verdana"/>
                <w:color w:val="000000"/>
                <w:sz w:val="20"/>
                <w:szCs w:val="20"/>
              </w:rPr>
              <w:t>1,671</w:t>
            </w: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303,268</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Juniata</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81,862</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p>
        </w:tc>
        <w:tc>
          <w:tcPr>
            <w:tcW w:w="900" w:type="dxa"/>
            <w:vAlign w:val="bottom"/>
          </w:tcPr>
          <w:p w:rsidR="00E43B9E" w:rsidRPr="00045FCC" w:rsidRDefault="00E43B9E" w:rsidP="00A8050E">
            <w:pPr>
              <w:spacing w:line="276" w:lineRule="auto"/>
              <w:ind w:right="53"/>
              <w:jc w:val="right"/>
              <w:textAlignment w:val="baseline"/>
              <w:rPr>
                <w:rFonts w:eastAsia="Verdana"/>
                <w:color w:val="000000"/>
                <w:sz w:val="20"/>
                <w:szCs w:val="20"/>
              </w:rPr>
            </w:pP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81,862</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Lancaster</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1,413</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18" w:line="276" w:lineRule="auto"/>
              <w:jc w:val="right"/>
              <w:textAlignment w:val="baseline"/>
              <w:rPr>
                <w:rFonts w:eastAsia="Verdana"/>
                <w:color w:val="000000"/>
                <w:sz w:val="20"/>
                <w:szCs w:val="20"/>
              </w:rPr>
            </w:pPr>
            <w:r w:rsidRPr="00045FCC">
              <w:rPr>
                <w:rFonts w:eastAsia="Verdana"/>
                <w:color w:val="000000"/>
                <w:sz w:val="20"/>
                <w:szCs w:val="20"/>
              </w:rPr>
              <w:t>615</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after="8" w:line="276" w:lineRule="auto"/>
              <w:jc w:val="right"/>
              <w:textAlignment w:val="baseline"/>
              <w:rPr>
                <w:rFonts w:eastAsia="Verdana"/>
                <w:color w:val="000000"/>
                <w:sz w:val="20"/>
                <w:szCs w:val="20"/>
              </w:rPr>
            </w:pPr>
            <w:r w:rsidRPr="00045FCC">
              <w:rPr>
                <w:rFonts w:eastAsia="Verdana"/>
                <w:color w:val="000000"/>
                <w:sz w:val="20"/>
                <w:szCs w:val="20"/>
              </w:rPr>
              <w:t>1,266</w:t>
            </w:r>
          </w:p>
        </w:tc>
        <w:tc>
          <w:tcPr>
            <w:tcW w:w="900" w:type="dxa"/>
            <w:vAlign w:val="bottom"/>
          </w:tcPr>
          <w:p w:rsidR="00E43B9E" w:rsidRPr="00045FCC" w:rsidRDefault="00E43B9E" w:rsidP="00A8050E">
            <w:pPr>
              <w:spacing w:line="276" w:lineRule="auto"/>
              <w:ind w:right="53"/>
              <w:jc w:val="right"/>
              <w:textAlignment w:val="baseline"/>
              <w:rPr>
                <w:rFonts w:eastAsia="Verdana"/>
                <w:color w:val="000000"/>
                <w:sz w:val="20"/>
                <w:szCs w:val="20"/>
              </w:rPr>
            </w:pP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3,294</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Lebanon</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38,084</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6" w:line="276" w:lineRule="auto"/>
              <w:jc w:val="right"/>
              <w:textAlignment w:val="baseline"/>
              <w:rPr>
                <w:rFonts w:eastAsia="Verdana"/>
                <w:color w:val="000000"/>
                <w:sz w:val="20"/>
                <w:szCs w:val="20"/>
              </w:rPr>
            </w:pPr>
            <w:r w:rsidRPr="00045FCC">
              <w:rPr>
                <w:rFonts w:eastAsia="Verdana"/>
                <w:color w:val="000000"/>
                <w:sz w:val="20"/>
                <w:szCs w:val="20"/>
              </w:rPr>
              <w:t>24,615</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p>
        </w:tc>
        <w:tc>
          <w:tcPr>
            <w:tcW w:w="900" w:type="dxa"/>
            <w:vAlign w:val="bottom"/>
          </w:tcPr>
          <w:p w:rsidR="00E43B9E" w:rsidRPr="00045FCC" w:rsidRDefault="00E43B9E" w:rsidP="00A8050E">
            <w:pPr>
              <w:spacing w:line="276" w:lineRule="auto"/>
              <w:ind w:right="53"/>
              <w:jc w:val="right"/>
              <w:textAlignment w:val="baseline"/>
              <w:rPr>
                <w:rFonts w:eastAsia="Verdana"/>
                <w:color w:val="000000"/>
                <w:sz w:val="20"/>
                <w:szCs w:val="20"/>
              </w:rPr>
            </w:pP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62,699</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Lehigh</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8,198</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730</w:t>
            </w:r>
          </w:p>
        </w:tc>
        <w:tc>
          <w:tcPr>
            <w:tcW w:w="990" w:type="dxa"/>
            <w:vAlign w:val="bottom"/>
          </w:tcPr>
          <w:p w:rsidR="00E43B9E" w:rsidRPr="00045FCC" w:rsidRDefault="00E43B9E" w:rsidP="00A8050E">
            <w:pPr>
              <w:spacing w:after="26" w:line="276" w:lineRule="auto"/>
              <w:jc w:val="right"/>
              <w:textAlignment w:val="baseline"/>
              <w:rPr>
                <w:rFonts w:eastAsia="Verdana"/>
                <w:color w:val="000000"/>
                <w:sz w:val="20"/>
                <w:szCs w:val="20"/>
              </w:rPr>
            </w:pPr>
            <w:r w:rsidRPr="00045FCC">
              <w:rPr>
                <w:rFonts w:eastAsia="Verdana"/>
                <w:color w:val="000000"/>
                <w:sz w:val="20"/>
                <w:szCs w:val="20"/>
              </w:rPr>
              <w:t>21,369</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after="18" w:line="276" w:lineRule="auto"/>
              <w:jc w:val="right"/>
              <w:textAlignment w:val="baseline"/>
              <w:rPr>
                <w:rFonts w:eastAsia="Verdana"/>
                <w:color w:val="000000"/>
                <w:sz w:val="20"/>
                <w:szCs w:val="20"/>
              </w:rPr>
            </w:pPr>
            <w:r w:rsidRPr="00045FCC">
              <w:rPr>
                <w:rFonts w:eastAsia="Verdana"/>
                <w:color w:val="000000"/>
                <w:sz w:val="20"/>
                <w:szCs w:val="20"/>
              </w:rPr>
              <w:t>20,380</w:t>
            </w:r>
          </w:p>
        </w:tc>
        <w:tc>
          <w:tcPr>
            <w:tcW w:w="900" w:type="dxa"/>
            <w:vAlign w:val="bottom"/>
          </w:tcPr>
          <w:p w:rsidR="00E43B9E" w:rsidRPr="00045FCC" w:rsidRDefault="00E43B9E" w:rsidP="00A8050E">
            <w:pPr>
              <w:spacing w:after="23" w:line="276" w:lineRule="auto"/>
              <w:ind w:right="53"/>
              <w:jc w:val="right"/>
              <w:textAlignment w:val="baseline"/>
              <w:rPr>
                <w:rFonts w:eastAsia="Verdana"/>
                <w:color w:val="000000"/>
                <w:sz w:val="20"/>
                <w:szCs w:val="20"/>
              </w:rPr>
            </w:pPr>
            <w:r w:rsidRPr="00045FCC">
              <w:rPr>
                <w:rFonts w:eastAsia="Verdana"/>
                <w:color w:val="000000"/>
                <w:sz w:val="20"/>
                <w:szCs w:val="20"/>
              </w:rPr>
              <w:t>463</w:t>
            </w: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350"/>
              </w:tabs>
              <w:spacing w:after="13" w:line="276" w:lineRule="auto"/>
              <w:ind w:right="72"/>
              <w:jc w:val="right"/>
              <w:textAlignment w:val="baseline"/>
              <w:rPr>
                <w:rFonts w:eastAsia="Verdana"/>
                <w:b/>
                <w:color w:val="000000"/>
                <w:sz w:val="20"/>
                <w:szCs w:val="20"/>
              </w:rPr>
            </w:pPr>
            <w:r w:rsidRPr="00045FCC">
              <w:rPr>
                <w:rFonts w:eastAsia="Verdana"/>
                <w:b/>
                <w:color w:val="000000"/>
                <w:sz w:val="20"/>
                <w:szCs w:val="20"/>
              </w:rPr>
              <w:t>51,140</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Luzerne</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9,666</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13" w:line="276" w:lineRule="auto"/>
              <w:jc w:val="right"/>
              <w:textAlignment w:val="baseline"/>
              <w:rPr>
                <w:rFonts w:eastAsia="Verdana"/>
                <w:color w:val="000000"/>
                <w:sz w:val="20"/>
                <w:szCs w:val="20"/>
              </w:rPr>
            </w:pPr>
            <w:r w:rsidRPr="00045FCC">
              <w:rPr>
                <w:rFonts w:eastAsia="Verdana"/>
                <w:color w:val="000000"/>
                <w:sz w:val="20"/>
                <w:szCs w:val="20"/>
              </w:rPr>
              <w:t>95,731</w:t>
            </w:r>
          </w:p>
        </w:tc>
        <w:tc>
          <w:tcPr>
            <w:tcW w:w="900" w:type="dxa"/>
            <w:vAlign w:val="bottom"/>
          </w:tcPr>
          <w:p w:rsidR="00E43B9E" w:rsidRPr="00045FCC" w:rsidRDefault="00E43B9E" w:rsidP="00A8050E">
            <w:pPr>
              <w:pStyle w:val="p7"/>
              <w:widowControl/>
              <w:tabs>
                <w:tab w:val="clear" w:pos="782"/>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18,930</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after="2" w:line="276" w:lineRule="auto"/>
              <w:jc w:val="right"/>
              <w:textAlignment w:val="baseline"/>
              <w:rPr>
                <w:rFonts w:eastAsia="Verdana"/>
                <w:color w:val="000000"/>
                <w:sz w:val="20"/>
                <w:szCs w:val="20"/>
              </w:rPr>
            </w:pPr>
            <w:r w:rsidRPr="00045FCC">
              <w:rPr>
                <w:rFonts w:eastAsia="Verdana"/>
                <w:color w:val="000000"/>
                <w:sz w:val="20"/>
                <w:szCs w:val="20"/>
              </w:rPr>
              <w:t>298,822</w:t>
            </w:r>
          </w:p>
        </w:tc>
        <w:tc>
          <w:tcPr>
            <w:tcW w:w="900" w:type="dxa"/>
            <w:vAlign w:val="bottom"/>
          </w:tcPr>
          <w:p w:rsidR="00E43B9E" w:rsidRPr="00045FCC" w:rsidRDefault="00E43B9E" w:rsidP="00A8050E">
            <w:pPr>
              <w:spacing w:line="276" w:lineRule="auto"/>
              <w:ind w:right="53"/>
              <w:jc w:val="right"/>
              <w:textAlignment w:val="baseline"/>
              <w:rPr>
                <w:rFonts w:eastAsia="Verdana"/>
                <w:color w:val="000000"/>
                <w:sz w:val="20"/>
                <w:szCs w:val="20"/>
              </w:rPr>
            </w:pP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423,149</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Lycoming</w:t>
            </w:r>
          </w:p>
        </w:tc>
        <w:tc>
          <w:tcPr>
            <w:tcW w:w="1080" w:type="dxa"/>
            <w:vAlign w:val="bottom"/>
          </w:tcPr>
          <w:p w:rsidR="00E43B9E" w:rsidRPr="00045FCC" w:rsidRDefault="00E43B9E" w:rsidP="00A8050E">
            <w:pPr>
              <w:pStyle w:val="p7"/>
              <w:widowControl/>
              <w:tabs>
                <w:tab w:val="clear" w:pos="782"/>
                <w:tab w:val="clear" w:pos="1133"/>
                <w:tab w:val="left" w:pos="720"/>
              </w:tabs>
              <w:spacing w:line="276" w:lineRule="auto"/>
              <w:ind w:left="0" w:firstLine="0"/>
              <w:jc w:val="right"/>
              <w:rPr>
                <w:sz w:val="20"/>
                <w:szCs w:val="20"/>
              </w:rPr>
            </w:pPr>
            <w:r w:rsidRPr="00045FCC">
              <w:rPr>
                <w:sz w:val="20"/>
                <w:szCs w:val="20"/>
              </w:rPr>
              <w:t>313</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4" w:line="276" w:lineRule="auto"/>
              <w:jc w:val="right"/>
              <w:textAlignment w:val="baseline"/>
              <w:rPr>
                <w:rFonts w:eastAsia="Verdana"/>
                <w:color w:val="000000"/>
                <w:sz w:val="20"/>
                <w:szCs w:val="20"/>
              </w:rPr>
            </w:pPr>
            <w:r w:rsidRPr="00045FCC">
              <w:rPr>
                <w:rFonts w:eastAsia="Verdana"/>
                <w:color w:val="000000"/>
                <w:sz w:val="20"/>
                <w:szCs w:val="20"/>
              </w:rPr>
              <w:t>102,660</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98,849</w:t>
            </w:r>
          </w:p>
        </w:tc>
        <w:tc>
          <w:tcPr>
            <w:tcW w:w="900" w:type="dxa"/>
            <w:vAlign w:val="bottom"/>
          </w:tcPr>
          <w:p w:rsidR="00E43B9E" w:rsidRPr="00045FCC" w:rsidRDefault="00E43B9E" w:rsidP="00A8050E">
            <w:pPr>
              <w:spacing w:line="276" w:lineRule="auto"/>
              <w:ind w:right="53"/>
              <w:jc w:val="right"/>
              <w:textAlignment w:val="baseline"/>
              <w:rPr>
                <w:rFonts w:eastAsia="Verdana"/>
                <w:color w:val="000000"/>
                <w:sz w:val="20"/>
                <w:szCs w:val="20"/>
              </w:rPr>
            </w:pPr>
            <w:r w:rsidRPr="00045FCC">
              <w:rPr>
                <w:rFonts w:eastAsia="Verdana"/>
                <w:color w:val="000000"/>
                <w:sz w:val="20"/>
                <w:szCs w:val="20"/>
              </w:rPr>
              <w:t>18,548</w:t>
            </w: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220,370</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roofErr w:type="spellStart"/>
            <w:r w:rsidRPr="00045FCC">
              <w:rPr>
                <w:sz w:val="20"/>
                <w:szCs w:val="20"/>
              </w:rPr>
              <w:t>Mckean</w:t>
            </w:r>
            <w:proofErr w:type="spellEnd"/>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408,823</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11" w:line="276" w:lineRule="auto"/>
              <w:jc w:val="right"/>
              <w:textAlignment w:val="baseline"/>
              <w:rPr>
                <w:rFonts w:eastAsia="Verdana"/>
                <w:color w:val="000000"/>
                <w:sz w:val="20"/>
                <w:szCs w:val="20"/>
              </w:rPr>
            </w:pPr>
            <w:r w:rsidRPr="00045FCC">
              <w:rPr>
                <w:rFonts w:eastAsia="Verdana"/>
                <w:color w:val="000000"/>
                <w:sz w:val="20"/>
                <w:szCs w:val="20"/>
              </w:rPr>
              <w:t>145,645</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8,041</w:t>
            </w:r>
          </w:p>
        </w:tc>
        <w:tc>
          <w:tcPr>
            <w:tcW w:w="1080" w:type="dxa"/>
            <w:vAlign w:val="bottom"/>
          </w:tcPr>
          <w:p w:rsidR="00E43B9E" w:rsidRPr="00045FCC" w:rsidRDefault="00E43B9E" w:rsidP="00A8050E">
            <w:pPr>
              <w:spacing w:after="1" w:line="276" w:lineRule="auto"/>
              <w:jc w:val="right"/>
              <w:textAlignment w:val="baseline"/>
              <w:rPr>
                <w:rFonts w:eastAsia="Verdana"/>
                <w:color w:val="000000"/>
                <w:sz w:val="20"/>
                <w:szCs w:val="20"/>
              </w:rPr>
            </w:pPr>
            <w:r w:rsidRPr="00045FCC">
              <w:rPr>
                <w:rFonts w:eastAsia="Verdana"/>
                <w:color w:val="000000"/>
                <w:sz w:val="20"/>
                <w:szCs w:val="20"/>
              </w:rPr>
              <w:t>1,169,033</w:t>
            </w:r>
          </w:p>
        </w:tc>
        <w:tc>
          <w:tcPr>
            <w:tcW w:w="900" w:type="dxa"/>
            <w:vAlign w:val="bottom"/>
          </w:tcPr>
          <w:p w:rsidR="00E43B9E" w:rsidRPr="00045FCC" w:rsidRDefault="00E43B9E" w:rsidP="00A8050E">
            <w:pPr>
              <w:spacing w:line="276" w:lineRule="auto"/>
              <w:ind w:right="53"/>
              <w:jc w:val="right"/>
              <w:textAlignment w:val="baseline"/>
              <w:rPr>
                <w:rFonts w:eastAsia="Verdana"/>
                <w:color w:val="000000"/>
                <w:sz w:val="20"/>
                <w:szCs w:val="20"/>
              </w:rPr>
            </w:pPr>
          </w:p>
        </w:tc>
        <w:tc>
          <w:tcPr>
            <w:tcW w:w="990" w:type="dxa"/>
            <w:vAlign w:val="bottom"/>
          </w:tcPr>
          <w:p w:rsidR="00E43B9E" w:rsidRPr="00045FCC" w:rsidRDefault="00E43B9E" w:rsidP="00A8050E">
            <w:pPr>
              <w:spacing w:after="13" w:line="276" w:lineRule="auto"/>
              <w:ind w:right="62"/>
              <w:jc w:val="right"/>
              <w:textAlignment w:val="baseline"/>
              <w:rPr>
                <w:rFonts w:eastAsia="Verdana"/>
                <w:color w:val="000000"/>
                <w:sz w:val="20"/>
                <w:szCs w:val="20"/>
              </w:rPr>
            </w:pPr>
            <w:r w:rsidRPr="00045FCC">
              <w:rPr>
                <w:rFonts w:eastAsia="Verdana"/>
                <w:color w:val="000000"/>
                <w:sz w:val="20"/>
                <w:szCs w:val="20"/>
              </w:rPr>
              <w:t>180</w:t>
            </w: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1,731,722</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782"/>
                <w:tab w:val="clear" w:pos="1133"/>
              </w:tabs>
              <w:spacing w:line="276" w:lineRule="auto"/>
              <w:ind w:left="0" w:firstLine="0"/>
              <w:jc w:val="right"/>
              <w:rPr>
                <w:sz w:val="20"/>
                <w:szCs w:val="20"/>
              </w:rPr>
            </w:pPr>
            <w:r w:rsidRPr="00045FCC">
              <w:rPr>
                <w:sz w:val="20"/>
                <w:szCs w:val="20"/>
              </w:rPr>
              <w:t>Mifflin</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2,930</w:t>
            </w:r>
          </w:p>
        </w:tc>
        <w:tc>
          <w:tcPr>
            <w:tcW w:w="990" w:type="dxa"/>
            <w:vAlign w:val="bottom"/>
          </w:tcPr>
          <w:p w:rsidR="00E43B9E" w:rsidRPr="00045FCC" w:rsidRDefault="00E43B9E" w:rsidP="00A8050E">
            <w:pPr>
              <w:spacing w:after="15" w:line="276" w:lineRule="auto"/>
              <w:jc w:val="right"/>
              <w:textAlignment w:val="baseline"/>
              <w:rPr>
                <w:rFonts w:eastAsia="Verdana"/>
                <w:color w:val="000000"/>
                <w:sz w:val="20"/>
                <w:szCs w:val="20"/>
              </w:rPr>
            </w:pPr>
            <w:r w:rsidRPr="00045FCC">
              <w:rPr>
                <w:rFonts w:eastAsia="Verdana"/>
                <w:color w:val="000000"/>
                <w:sz w:val="20"/>
                <w:szCs w:val="20"/>
              </w:rPr>
              <w:t>205,825</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after="8" w:line="276" w:lineRule="auto"/>
              <w:jc w:val="right"/>
              <w:textAlignment w:val="baseline"/>
              <w:rPr>
                <w:rFonts w:eastAsia="Verdana"/>
                <w:color w:val="000000"/>
                <w:sz w:val="20"/>
                <w:szCs w:val="20"/>
              </w:rPr>
            </w:pPr>
            <w:r w:rsidRPr="00045FCC">
              <w:rPr>
                <w:rFonts w:eastAsia="Verdana"/>
                <w:color w:val="000000"/>
                <w:sz w:val="20"/>
                <w:szCs w:val="20"/>
              </w:rPr>
              <w:t>185,828</w:t>
            </w:r>
          </w:p>
        </w:tc>
        <w:tc>
          <w:tcPr>
            <w:tcW w:w="900" w:type="dxa"/>
            <w:vAlign w:val="bottom"/>
          </w:tcPr>
          <w:p w:rsidR="00E43B9E" w:rsidRPr="00045FCC" w:rsidRDefault="00E43B9E" w:rsidP="00A8050E">
            <w:pPr>
              <w:spacing w:after="13" w:line="276" w:lineRule="auto"/>
              <w:ind w:right="53"/>
              <w:jc w:val="right"/>
              <w:textAlignment w:val="baseline"/>
              <w:rPr>
                <w:rFonts w:eastAsia="Verdana"/>
                <w:color w:val="000000"/>
                <w:sz w:val="20"/>
                <w:szCs w:val="20"/>
              </w:rPr>
            </w:pPr>
            <w:r w:rsidRPr="00045FCC">
              <w:rPr>
                <w:rFonts w:eastAsia="Verdana"/>
                <w:color w:val="000000"/>
                <w:sz w:val="20"/>
                <w:szCs w:val="20"/>
              </w:rPr>
              <w:t>29,408</w:t>
            </w:r>
          </w:p>
        </w:tc>
        <w:tc>
          <w:tcPr>
            <w:tcW w:w="990" w:type="dxa"/>
            <w:vAlign w:val="bottom"/>
          </w:tcPr>
          <w:p w:rsidR="00E43B9E" w:rsidRPr="00045FCC" w:rsidRDefault="00E43B9E" w:rsidP="00A8050E">
            <w:pPr>
              <w:spacing w:after="13" w:line="276" w:lineRule="auto"/>
              <w:ind w:right="62"/>
              <w:jc w:val="right"/>
              <w:textAlignment w:val="baseline"/>
              <w:rPr>
                <w:rFonts w:eastAsia="Verdana"/>
                <w:color w:val="000000"/>
                <w:sz w:val="20"/>
                <w:szCs w:val="20"/>
              </w:rPr>
            </w:pPr>
            <w:r w:rsidRPr="00045FCC">
              <w:rPr>
                <w:rFonts w:eastAsia="Verdana"/>
                <w:color w:val="000000"/>
                <w:sz w:val="20"/>
                <w:szCs w:val="20"/>
              </w:rPr>
              <w:t>183</w:t>
            </w:r>
          </w:p>
        </w:tc>
        <w:tc>
          <w:tcPr>
            <w:tcW w:w="1170" w:type="dxa"/>
            <w:vAlign w:val="bottom"/>
          </w:tcPr>
          <w:p w:rsidR="00E43B9E" w:rsidRPr="00045FCC" w:rsidRDefault="00E43B9E" w:rsidP="00A8050E">
            <w:pPr>
              <w:tabs>
                <w:tab w:val="left" w:pos="1350"/>
              </w:tabs>
              <w:spacing w:after="6" w:line="276" w:lineRule="auto"/>
              <w:ind w:right="72"/>
              <w:jc w:val="right"/>
              <w:textAlignment w:val="baseline"/>
              <w:rPr>
                <w:rFonts w:eastAsia="Verdana"/>
                <w:b/>
                <w:color w:val="000000"/>
                <w:sz w:val="20"/>
                <w:szCs w:val="20"/>
              </w:rPr>
            </w:pPr>
            <w:r w:rsidRPr="00045FCC">
              <w:rPr>
                <w:rFonts w:eastAsia="Verdana"/>
                <w:b/>
                <w:color w:val="000000"/>
                <w:sz w:val="20"/>
                <w:szCs w:val="20"/>
              </w:rPr>
              <w:t>424,174</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Monroe</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43,373</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4,946</w:t>
            </w:r>
          </w:p>
        </w:tc>
        <w:tc>
          <w:tcPr>
            <w:tcW w:w="990" w:type="dxa"/>
            <w:vAlign w:val="bottom"/>
          </w:tcPr>
          <w:p w:rsidR="00E43B9E" w:rsidRPr="00045FCC" w:rsidRDefault="00E43B9E" w:rsidP="00A8050E">
            <w:pPr>
              <w:spacing w:after="1" w:line="276" w:lineRule="auto"/>
              <w:jc w:val="right"/>
              <w:textAlignment w:val="baseline"/>
              <w:rPr>
                <w:rFonts w:eastAsia="Verdana"/>
                <w:color w:val="000000"/>
                <w:sz w:val="20"/>
                <w:szCs w:val="20"/>
              </w:rPr>
            </w:pPr>
            <w:r w:rsidRPr="00045FCC">
              <w:rPr>
                <w:rFonts w:eastAsia="Verdana"/>
                <w:color w:val="000000"/>
                <w:sz w:val="20"/>
                <w:szCs w:val="20"/>
              </w:rPr>
              <w:t>200,862</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216,376</w:t>
            </w:r>
          </w:p>
        </w:tc>
        <w:tc>
          <w:tcPr>
            <w:tcW w:w="900" w:type="dxa"/>
            <w:vAlign w:val="bottom"/>
          </w:tcPr>
          <w:p w:rsidR="00E43B9E" w:rsidRPr="00045FCC" w:rsidRDefault="00E43B9E" w:rsidP="00A8050E">
            <w:pPr>
              <w:spacing w:line="276" w:lineRule="auto"/>
              <w:ind w:right="53"/>
              <w:jc w:val="right"/>
              <w:textAlignment w:val="baseline"/>
              <w:rPr>
                <w:rFonts w:eastAsia="Verdana"/>
                <w:color w:val="000000"/>
                <w:sz w:val="20"/>
                <w:szCs w:val="20"/>
              </w:rPr>
            </w:pPr>
            <w:r w:rsidRPr="00045FCC">
              <w:rPr>
                <w:rFonts w:eastAsia="Verdana"/>
                <w:color w:val="000000"/>
                <w:sz w:val="20"/>
                <w:szCs w:val="20"/>
              </w:rPr>
              <w:t>13,138</w:t>
            </w: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478,695</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Montour</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9,499</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11" w:line="276" w:lineRule="auto"/>
              <w:jc w:val="right"/>
              <w:textAlignment w:val="baseline"/>
              <w:rPr>
                <w:rFonts w:eastAsia="Verdana"/>
                <w:color w:val="000000"/>
                <w:sz w:val="20"/>
                <w:szCs w:val="20"/>
              </w:rPr>
            </w:pPr>
            <w:r w:rsidRPr="00045FCC">
              <w:rPr>
                <w:rFonts w:eastAsia="Verdana"/>
                <w:color w:val="000000"/>
                <w:sz w:val="20"/>
                <w:szCs w:val="20"/>
              </w:rPr>
              <w:t>3,511</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p>
        </w:tc>
        <w:tc>
          <w:tcPr>
            <w:tcW w:w="900" w:type="dxa"/>
            <w:vAlign w:val="bottom"/>
          </w:tcPr>
          <w:p w:rsidR="00E43B9E" w:rsidRPr="00045FCC" w:rsidRDefault="00E43B9E" w:rsidP="00A8050E">
            <w:pPr>
              <w:spacing w:line="276" w:lineRule="auto"/>
              <w:ind w:right="53"/>
              <w:jc w:val="right"/>
              <w:textAlignment w:val="baseline"/>
              <w:rPr>
                <w:rFonts w:eastAsia="Verdana"/>
                <w:color w:val="000000"/>
                <w:sz w:val="20"/>
                <w:szCs w:val="20"/>
              </w:rPr>
            </w:pP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13,010</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Northampton</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265</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4,803</w:t>
            </w:r>
          </w:p>
        </w:tc>
        <w:tc>
          <w:tcPr>
            <w:tcW w:w="990" w:type="dxa"/>
            <w:vAlign w:val="bottom"/>
          </w:tcPr>
          <w:p w:rsidR="00E43B9E" w:rsidRPr="00045FCC" w:rsidRDefault="00E43B9E" w:rsidP="00A8050E">
            <w:pPr>
              <w:spacing w:after="16" w:line="276" w:lineRule="auto"/>
              <w:jc w:val="right"/>
              <w:textAlignment w:val="baseline"/>
              <w:rPr>
                <w:rFonts w:eastAsia="Verdana"/>
                <w:color w:val="000000"/>
                <w:sz w:val="20"/>
                <w:szCs w:val="20"/>
              </w:rPr>
            </w:pPr>
            <w:r w:rsidRPr="00045FCC">
              <w:rPr>
                <w:rFonts w:eastAsia="Verdana"/>
                <w:color w:val="000000"/>
                <w:sz w:val="20"/>
                <w:szCs w:val="20"/>
              </w:rPr>
              <w:t>136,768</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after="7" w:line="276" w:lineRule="auto"/>
              <w:jc w:val="right"/>
              <w:textAlignment w:val="baseline"/>
              <w:rPr>
                <w:rFonts w:eastAsia="Verdana"/>
                <w:color w:val="000000"/>
                <w:sz w:val="20"/>
                <w:szCs w:val="20"/>
              </w:rPr>
            </w:pPr>
            <w:r w:rsidRPr="00045FCC">
              <w:rPr>
                <w:rFonts w:eastAsia="Verdana"/>
                <w:color w:val="000000"/>
                <w:sz w:val="20"/>
                <w:szCs w:val="20"/>
              </w:rPr>
              <w:t>139,658</w:t>
            </w:r>
          </w:p>
        </w:tc>
        <w:tc>
          <w:tcPr>
            <w:tcW w:w="900" w:type="dxa"/>
            <w:vAlign w:val="bottom"/>
          </w:tcPr>
          <w:p w:rsidR="00E43B9E" w:rsidRPr="00045FCC" w:rsidRDefault="00E43B9E" w:rsidP="00A8050E">
            <w:pPr>
              <w:spacing w:after="13" w:line="276" w:lineRule="auto"/>
              <w:ind w:right="53"/>
              <w:jc w:val="right"/>
              <w:textAlignment w:val="baseline"/>
              <w:rPr>
                <w:rFonts w:eastAsia="Verdana"/>
                <w:color w:val="000000"/>
                <w:sz w:val="20"/>
                <w:szCs w:val="20"/>
              </w:rPr>
            </w:pPr>
            <w:r w:rsidRPr="00045FCC">
              <w:rPr>
                <w:rFonts w:eastAsia="Verdana"/>
                <w:color w:val="000000"/>
                <w:sz w:val="20"/>
                <w:szCs w:val="20"/>
              </w:rPr>
              <w:t>1,973</w:t>
            </w: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350"/>
              </w:tabs>
              <w:spacing w:after="1" w:line="276" w:lineRule="auto"/>
              <w:ind w:right="72"/>
              <w:jc w:val="right"/>
              <w:textAlignment w:val="baseline"/>
              <w:rPr>
                <w:rFonts w:eastAsia="Verdana"/>
                <w:b/>
                <w:color w:val="000000"/>
                <w:sz w:val="20"/>
                <w:szCs w:val="20"/>
              </w:rPr>
            </w:pPr>
            <w:r w:rsidRPr="00045FCC">
              <w:rPr>
                <w:rFonts w:eastAsia="Verdana"/>
                <w:b/>
                <w:color w:val="000000"/>
                <w:sz w:val="20"/>
                <w:szCs w:val="20"/>
              </w:rPr>
              <w:t>283,467</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782"/>
                <w:tab w:val="clear" w:pos="1133"/>
              </w:tabs>
              <w:spacing w:line="276" w:lineRule="auto"/>
              <w:ind w:left="0" w:firstLine="0"/>
              <w:jc w:val="right"/>
              <w:rPr>
                <w:sz w:val="20"/>
                <w:szCs w:val="20"/>
              </w:rPr>
            </w:pPr>
            <w:proofErr w:type="spellStart"/>
            <w:r w:rsidRPr="00045FCC">
              <w:rPr>
                <w:sz w:val="20"/>
                <w:szCs w:val="20"/>
              </w:rPr>
              <w:lastRenderedPageBreak/>
              <w:t>N’umberland</w:t>
            </w:r>
            <w:proofErr w:type="spellEnd"/>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101,684</w:t>
            </w:r>
          </w:p>
        </w:tc>
        <w:tc>
          <w:tcPr>
            <w:tcW w:w="900" w:type="dxa"/>
            <w:vAlign w:val="bottom"/>
          </w:tcPr>
          <w:p w:rsidR="00E43B9E" w:rsidRPr="00045FCC" w:rsidRDefault="00E43B9E" w:rsidP="00A8050E">
            <w:pPr>
              <w:pStyle w:val="p7"/>
              <w:widowControl/>
              <w:tabs>
                <w:tab w:val="clear" w:pos="782"/>
                <w:tab w:val="clear" w:pos="1133"/>
              </w:tabs>
              <w:spacing w:line="276" w:lineRule="auto"/>
              <w:ind w:left="0" w:firstLine="0"/>
              <w:jc w:val="right"/>
              <w:rPr>
                <w:sz w:val="20"/>
                <w:szCs w:val="20"/>
              </w:rPr>
            </w:pPr>
            <w:r w:rsidRPr="00045FCC">
              <w:rPr>
                <w:sz w:val="20"/>
                <w:szCs w:val="20"/>
              </w:rPr>
              <w:t>12,332</w:t>
            </w:r>
          </w:p>
        </w:tc>
        <w:tc>
          <w:tcPr>
            <w:tcW w:w="990" w:type="dxa"/>
            <w:vAlign w:val="bottom"/>
          </w:tcPr>
          <w:p w:rsidR="00E43B9E" w:rsidRPr="00045FCC" w:rsidRDefault="00E43B9E" w:rsidP="00A8050E">
            <w:pPr>
              <w:spacing w:after="26" w:line="276" w:lineRule="auto"/>
              <w:jc w:val="right"/>
              <w:textAlignment w:val="baseline"/>
              <w:rPr>
                <w:rFonts w:eastAsia="Verdana"/>
                <w:color w:val="000000"/>
                <w:sz w:val="20"/>
                <w:szCs w:val="20"/>
              </w:rPr>
            </w:pPr>
            <w:r w:rsidRPr="00045FCC">
              <w:rPr>
                <w:rFonts w:eastAsia="Verdana"/>
                <w:color w:val="000000"/>
                <w:sz w:val="20"/>
                <w:szCs w:val="20"/>
              </w:rPr>
              <w:t>255,340</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after="9" w:line="276" w:lineRule="auto"/>
              <w:jc w:val="right"/>
              <w:textAlignment w:val="baseline"/>
              <w:rPr>
                <w:rFonts w:eastAsia="Verdana"/>
                <w:color w:val="000000"/>
                <w:sz w:val="20"/>
                <w:szCs w:val="20"/>
              </w:rPr>
            </w:pPr>
            <w:r w:rsidRPr="00045FCC">
              <w:rPr>
                <w:rFonts w:eastAsia="Verdana"/>
                <w:color w:val="000000"/>
                <w:sz w:val="20"/>
                <w:szCs w:val="20"/>
              </w:rPr>
              <w:t>185,629</w:t>
            </w:r>
          </w:p>
        </w:tc>
        <w:tc>
          <w:tcPr>
            <w:tcW w:w="900" w:type="dxa"/>
            <w:vAlign w:val="bottom"/>
          </w:tcPr>
          <w:p w:rsidR="00E43B9E" w:rsidRPr="00045FCC" w:rsidRDefault="00E43B9E" w:rsidP="00A8050E">
            <w:pPr>
              <w:spacing w:after="13" w:line="276" w:lineRule="auto"/>
              <w:ind w:right="53"/>
              <w:jc w:val="right"/>
              <w:textAlignment w:val="baseline"/>
              <w:rPr>
                <w:rFonts w:eastAsia="Verdana"/>
                <w:color w:val="000000"/>
                <w:sz w:val="20"/>
                <w:szCs w:val="20"/>
              </w:rPr>
            </w:pPr>
            <w:r w:rsidRPr="00045FCC">
              <w:rPr>
                <w:rFonts w:eastAsia="Verdana"/>
                <w:color w:val="000000"/>
                <w:sz w:val="20"/>
                <w:szCs w:val="20"/>
              </w:rPr>
              <w:t>25,615</w:t>
            </w:r>
          </w:p>
        </w:tc>
        <w:tc>
          <w:tcPr>
            <w:tcW w:w="990" w:type="dxa"/>
            <w:vAlign w:val="bottom"/>
          </w:tcPr>
          <w:p w:rsidR="00E43B9E" w:rsidRPr="00045FCC" w:rsidRDefault="00E43B9E" w:rsidP="00A8050E">
            <w:pPr>
              <w:spacing w:line="276" w:lineRule="auto"/>
              <w:ind w:right="62"/>
              <w:jc w:val="right"/>
              <w:textAlignment w:val="baseline"/>
              <w:rPr>
                <w:rFonts w:eastAsia="Verdana"/>
                <w:color w:val="000000"/>
                <w:sz w:val="20"/>
                <w:szCs w:val="20"/>
              </w:rPr>
            </w:pPr>
          </w:p>
        </w:tc>
        <w:tc>
          <w:tcPr>
            <w:tcW w:w="1170" w:type="dxa"/>
            <w:vAlign w:val="bottom"/>
          </w:tcPr>
          <w:p w:rsidR="00E43B9E" w:rsidRPr="00045FCC" w:rsidRDefault="00E43B9E" w:rsidP="00A8050E">
            <w:pPr>
              <w:tabs>
                <w:tab w:val="left" w:pos="1350"/>
              </w:tabs>
              <w:spacing w:after="9" w:line="276" w:lineRule="auto"/>
              <w:ind w:right="72"/>
              <w:jc w:val="right"/>
              <w:textAlignment w:val="baseline"/>
              <w:rPr>
                <w:rFonts w:eastAsia="Verdana"/>
                <w:b/>
                <w:color w:val="000000"/>
                <w:sz w:val="20"/>
                <w:szCs w:val="20"/>
              </w:rPr>
            </w:pPr>
            <w:r w:rsidRPr="00045FCC">
              <w:rPr>
                <w:rFonts w:eastAsia="Verdana"/>
                <w:b/>
                <w:color w:val="000000"/>
                <w:sz w:val="20"/>
                <w:szCs w:val="20"/>
              </w:rPr>
              <w:t>580,600</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Potter</w:t>
            </w:r>
          </w:p>
        </w:tc>
        <w:tc>
          <w:tcPr>
            <w:tcW w:w="1080" w:type="dxa"/>
            <w:vAlign w:val="bottom"/>
          </w:tcPr>
          <w:p w:rsidR="00E43B9E" w:rsidRPr="00045FCC" w:rsidRDefault="00E43B9E" w:rsidP="00A8050E">
            <w:pPr>
              <w:pStyle w:val="p7"/>
              <w:widowControl/>
              <w:tabs>
                <w:tab w:val="clear" w:pos="782"/>
                <w:tab w:val="clear" w:pos="1133"/>
                <w:tab w:val="left" w:pos="720"/>
              </w:tabs>
              <w:spacing w:line="276" w:lineRule="auto"/>
              <w:ind w:left="0" w:hanging="108"/>
              <w:jc w:val="right"/>
              <w:rPr>
                <w:sz w:val="20"/>
                <w:szCs w:val="20"/>
              </w:rPr>
            </w:pPr>
            <w:r w:rsidRPr="00045FCC">
              <w:rPr>
                <w:sz w:val="20"/>
                <w:szCs w:val="20"/>
              </w:rPr>
              <w:t>1,017,096</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4" w:line="276" w:lineRule="auto"/>
              <w:jc w:val="right"/>
              <w:textAlignment w:val="baseline"/>
              <w:rPr>
                <w:rFonts w:eastAsia="Verdana"/>
                <w:color w:val="000000"/>
                <w:sz w:val="20"/>
                <w:szCs w:val="20"/>
              </w:rPr>
            </w:pPr>
            <w:r w:rsidRPr="00045FCC">
              <w:rPr>
                <w:rFonts w:eastAsia="Verdana"/>
                <w:color w:val="000000"/>
                <w:sz w:val="20"/>
                <w:szCs w:val="20"/>
              </w:rPr>
              <w:t>231,377</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29,898</w:t>
            </w:r>
          </w:p>
        </w:tc>
        <w:tc>
          <w:tcPr>
            <w:tcW w:w="1080" w:type="dxa"/>
            <w:vAlign w:val="bottom"/>
          </w:tcPr>
          <w:p w:rsidR="00E43B9E" w:rsidRPr="00045FCC" w:rsidRDefault="00E43B9E" w:rsidP="00A8050E">
            <w:pPr>
              <w:spacing w:line="276" w:lineRule="auto"/>
              <w:jc w:val="right"/>
              <w:textAlignment w:val="baseline"/>
              <w:rPr>
                <w:rFonts w:eastAsia="Verdana"/>
                <w:color w:val="000000"/>
                <w:spacing w:val="-18"/>
                <w:sz w:val="20"/>
                <w:szCs w:val="20"/>
              </w:rPr>
            </w:pPr>
            <w:r w:rsidRPr="00045FCC">
              <w:rPr>
                <w:rFonts w:eastAsia="Verdana"/>
                <w:color w:val="000000"/>
                <w:spacing w:val="-18"/>
                <w:sz w:val="20"/>
                <w:szCs w:val="20"/>
              </w:rPr>
              <w:t>1,667,182</w:t>
            </w:r>
          </w:p>
        </w:tc>
        <w:tc>
          <w:tcPr>
            <w:tcW w:w="900" w:type="dxa"/>
            <w:vAlign w:val="bottom"/>
          </w:tcPr>
          <w:p w:rsidR="00E43B9E" w:rsidRPr="00045FCC" w:rsidRDefault="00E43B9E" w:rsidP="00A8050E">
            <w:pPr>
              <w:spacing w:line="276" w:lineRule="auto"/>
              <w:ind w:right="53"/>
              <w:jc w:val="right"/>
              <w:textAlignment w:val="baseline"/>
              <w:rPr>
                <w:rFonts w:eastAsia="Verdana"/>
                <w:color w:val="000000"/>
                <w:sz w:val="20"/>
                <w:szCs w:val="20"/>
              </w:rPr>
            </w:pPr>
          </w:p>
        </w:tc>
        <w:tc>
          <w:tcPr>
            <w:tcW w:w="990" w:type="dxa"/>
            <w:vAlign w:val="bottom"/>
          </w:tcPr>
          <w:p w:rsidR="00E43B9E" w:rsidRPr="00045FCC" w:rsidRDefault="00E43B9E" w:rsidP="00A8050E">
            <w:pPr>
              <w:spacing w:after="9" w:line="276" w:lineRule="auto"/>
              <w:ind w:right="62"/>
              <w:jc w:val="right"/>
              <w:textAlignment w:val="baseline"/>
              <w:rPr>
                <w:rFonts w:eastAsia="Verdana"/>
                <w:color w:val="000000"/>
                <w:sz w:val="20"/>
                <w:szCs w:val="20"/>
              </w:rPr>
            </w:pPr>
            <w:r w:rsidRPr="00045FCC">
              <w:rPr>
                <w:rFonts w:eastAsia="Verdana"/>
                <w:color w:val="000000"/>
                <w:sz w:val="20"/>
                <w:szCs w:val="20"/>
              </w:rPr>
              <w:t>427</w:t>
            </w: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2.945,980</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Schuylkill</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17,846</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6,432</w:t>
            </w:r>
          </w:p>
        </w:tc>
        <w:tc>
          <w:tcPr>
            <w:tcW w:w="990" w:type="dxa"/>
            <w:vAlign w:val="bottom"/>
          </w:tcPr>
          <w:p w:rsidR="00E43B9E" w:rsidRPr="00045FCC" w:rsidRDefault="00E43B9E" w:rsidP="00A8050E">
            <w:pPr>
              <w:spacing w:after="11" w:line="276" w:lineRule="auto"/>
              <w:jc w:val="right"/>
              <w:textAlignment w:val="baseline"/>
              <w:rPr>
                <w:rFonts w:eastAsia="Verdana"/>
                <w:color w:val="000000"/>
                <w:sz w:val="20"/>
                <w:szCs w:val="20"/>
              </w:rPr>
            </w:pPr>
            <w:r w:rsidRPr="00045FCC">
              <w:rPr>
                <w:rFonts w:eastAsia="Verdana"/>
                <w:color w:val="000000"/>
                <w:sz w:val="20"/>
                <w:szCs w:val="20"/>
              </w:rPr>
              <w:t>294,960</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305,727</w:t>
            </w:r>
          </w:p>
        </w:tc>
        <w:tc>
          <w:tcPr>
            <w:tcW w:w="900" w:type="dxa"/>
            <w:vAlign w:val="bottom"/>
          </w:tcPr>
          <w:p w:rsidR="00E43B9E" w:rsidRPr="00045FCC" w:rsidRDefault="00E43B9E" w:rsidP="00A8050E">
            <w:pPr>
              <w:spacing w:after="3" w:line="276" w:lineRule="auto"/>
              <w:ind w:right="53"/>
              <w:jc w:val="right"/>
              <w:textAlignment w:val="baseline"/>
              <w:rPr>
                <w:rFonts w:eastAsia="Verdana"/>
                <w:color w:val="000000"/>
                <w:sz w:val="20"/>
                <w:szCs w:val="20"/>
              </w:rPr>
            </w:pPr>
            <w:r w:rsidRPr="00045FCC">
              <w:rPr>
                <w:rFonts w:eastAsia="Verdana"/>
                <w:color w:val="000000"/>
                <w:sz w:val="20"/>
                <w:szCs w:val="20"/>
              </w:rPr>
              <w:t>20,921</w:t>
            </w:r>
          </w:p>
        </w:tc>
        <w:tc>
          <w:tcPr>
            <w:tcW w:w="990" w:type="dxa"/>
            <w:vAlign w:val="bottom"/>
          </w:tcPr>
          <w:p w:rsidR="00E43B9E" w:rsidRPr="00045FCC" w:rsidRDefault="00E43B9E" w:rsidP="00A8050E">
            <w:pPr>
              <w:spacing w:after="5" w:line="276" w:lineRule="auto"/>
              <w:ind w:right="62"/>
              <w:jc w:val="right"/>
              <w:textAlignment w:val="baseline"/>
              <w:rPr>
                <w:rFonts w:eastAsia="Verdana"/>
                <w:color w:val="000000"/>
                <w:sz w:val="20"/>
                <w:szCs w:val="20"/>
              </w:rPr>
            </w:pPr>
            <w:r w:rsidRPr="00045FCC">
              <w:rPr>
                <w:rFonts w:eastAsia="Verdana"/>
                <w:color w:val="000000"/>
                <w:sz w:val="20"/>
                <w:szCs w:val="20"/>
              </w:rPr>
              <w:t>1,555</w:t>
            </w: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647,441</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Tioga</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942,682</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spacing w:after="16" w:line="276" w:lineRule="auto"/>
              <w:jc w:val="right"/>
              <w:textAlignment w:val="baseline"/>
              <w:rPr>
                <w:rFonts w:eastAsia="Verdana"/>
                <w:color w:val="000000"/>
                <w:sz w:val="20"/>
                <w:szCs w:val="20"/>
              </w:rPr>
            </w:pPr>
            <w:r w:rsidRPr="00045FCC">
              <w:rPr>
                <w:rFonts w:eastAsia="Verdana"/>
                <w:color w:val="000000"/>
                <w:sz w:val="20"/>
                <w:szCs w:val="20"/>
              </w:rPr>
              <w:t>710,167</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121,990</w:t>
            </w:r>
          </w:p>
        </w:tc>
        <w:tc>
          <w:tcPr>
            <w:tcW w:w="1080" w:type="dxa"/>
            <w:vAlign w:val="bottom"/>
          </w:tcPr>
          <w:p w:rsidR="00E43B9E" w:rsidRPr="00045FCC" w:rsidRDefault="00E43B9E" w:rsidP="00A8050E">
            <w:pPr>
              <w:spacing w:line="276" w:lineRule="auto"/>
              <w:jc w:val="right"/>
              <w:textAlignment w:val="baseline"/>
              <w:rPr>
                <w:rFonts w:eastAsia="Verdana"/>
                <w:color w:val="000000"/>
                <w:spacing w:val="-17"/>
                <w:sz w:val="20"/>
                <w:szCs w:val="20"/>
              </w:rPr>
            </w:pPr>
            <w:r w:rsidRPr="00045FCC">
              <w:rPr>
                <w:rFonts w:eastAsia="Verdana"/>
                <w:color w:val="000000"/>
                <w:spacing w:val="-17"/>
                <w:sz w:val="20"/>
                <w:szCs w:val="20"/>
              </w:rPr>
              <w:t>3,347,215</w:t>
            </w:r>
          </w:p>
        </w:tc>
        <w:tc>
          <w:tcPr>
            <w:tcW w:w="900" w:type="dxa"/>
            <w:vAlign w:val="bottom"/>
          </w:tcPr>
          <w:p w:rsidR="00E43B9E" w:rsidRPr="00045FCC" w:rsidRDefault="00E43B9E" w:rsidP="00A8050E">
            <w:pPr>
              <w:spacing w:after="8" w:line="276" w:lineRule="auto"/>
              <w:ind w:right="53"/>
              <w:jc w:val="right"/>
              <w:textAlignment w:val="baseline"/>
              <w:rPr>
                <w:rFonts w:eastAsia="Verdana"/>
                <w:color w:val="000000"/>
                <w:sz w:val="20"/>
                <w:szCs w:val="20"/>
              </w:rPr>
            </w:pPr>
          </w:p>
        </w:tc>
        <w:tc>
          <w:tcPr>
            <w:tcW w:w="990" w:type="dxa"/>
            <w:vAlign w:val="bottom"/>
          </w:tcPr>
          <w:p w:rsidR="00E43B9E" w:rsidRPr="00045FCC" w:rsidRDefault="00E43B9E" w:rsidP="00A8050E">
            <w:pPr>
              <w:spacing w:after="13" w:line="276" w:lineRule="auto"/>
              <w:ind w:right="62"/>
              <w:jc w:val="right"/>
              <w:textAlignment w:val="baseline"/>
              <w:rPr>
                <w:rFonts w:eastAsia="Verdana"/>
                <w:color w:val="000000"/>
                <w:sz w:val="20"/>
                <w:szCs w:val="20"/>
              </w:rPr>
            </w:pPr>
            <w:r w:rsidRPr="00045FCC">
              <w:rPr>
                <w:rFonts w:eastAsia="Verdana"/>
                <w:color w:val="000000"/>
                <w:sz w:val="20"/>
                <w:szCs w:val="20"/>
              </w:rPr>
              <w:t>2,908</w:t>
            </w: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5,124,962</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Union</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1,342</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2</w:t>
            </w:r>
          </w:p>
        </w:tc>
        <w:tc>
          <w:tcPr>
            <w:tcW w:w="99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77,023</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080" w:type="dxa"/>
            <w:vAlign w:val="bottom"/>
          </w:tcPr>
          <w:p w:rsidR="00E43B9E" w:rsidRPr="00045FCC" w:rsidRDefault="00E43B9E" w:rsidP="00A8050E">
            <w:pPr>
              <w:spacing w:after="4" w:line="276" w:lineRule="auto"/>
              <w:jc w:val="right"/>
              <w:textAlignment w:val="baseline"/>
              <w:rPr>
                <w:rFonts w:eastAsia="Verdana"/>
                <w:color w:val="000000"/>
                <w:sz w:val="20"/>
                <w:szCs w:val="20"/>
              </w:rPr>
            </w:pPr>
            <w:r w:rsidRPr="00045FCC">
              <w:rPr>
                <w:rFonts w:eastAsia="Verdana"/>
                <w:color w:val="000000"/>
                <w:sz w:val="20"/>
                <w:szCs w:val="20"/>
              </w:rPr>
              <w:t>106,143</w:t>
            </w:r>
          </w:p>
        </w:tc>
        <w:tc>
          <w:tcPr>
            <w:tcW w:w="900" w:type="dxa"/>
            <w:vAlign w:val="bottom"/>
          </w:tcPr>
          <w:p w:rsidR="00E43B9E" w:rsidRPr="00045FCC" w:rsidRDefault="00E43B9E" w:rsidP="00A8050E">
            <w:pPr>
              <w:spacing w:line="276" w:lineRule="auto"/>
              <w:ind w:right="53"/>
              <w:jc w:val="right"/>
              <w:textAlignment w:val="baseline"/>
              <w:rPr>
                <w:rFonts w:eastAsia="Verdana"/>
                <w:color w:val="000000"/>
                <w:sz w:val="20"/>
                <w:szCs w:val="20"/>
              </w:rPr>
            </w:pPr>
            <w:r w:rsidRPr="00045FCC">
              <w:rPr>
                <w:rFonts w:eastAsia="Verdana"/>
                <w:color w:val="000000"/>
                <w:sz w:val="20"/>
                <w:szCs w:val="20"/>
              </w:rPr>
              <w:t>7</w:t>
            </w:r>
          </w:p>
        </w:tc>
        <w:tc>
          <w:tcPr>
            <w:tcW w:w="99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sidRPr="00045FCC">
              <w:rPr>
                <w:rFonts w:eastAsia="Verdana"/>
                <w:b/>
                <w:color w:val="000000"/>
                <w:sz w:val="20"/>
                <w:szCs w:val="20"/>
              </w:rPr>
              <w:t>1</w:t>
            </w:r>
            <w:r>
              <w:rPr>
                <w:rFonts w:eastAsia="Verdana"/>
                <w:b/>
                <w:color w:val="000000"/>
                <w:sz w:val="20"/>
                <w:szCs w:val="20"/>
              </w:rPr>
              <w:t>84,517</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Venango</w:t>
            </w:r>
          </w:p>
        </w:tc>
        <w:tc>
          <w:tcPr>
            <w:tcW w:w="108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96,803</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9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44,121</w:t>
            </w: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90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r w:rsidRPr="00045FCC">
              <w:rPr>
                <w:sz w:val="20"/>
                <w:szCs w:val="20"/>
              </w:rPr>
              <w:t>4,590</w:t>
            </w:r>
          </w:p>
        </w:tc>
        <w:tc>
          <w:tcPr>
            <w:tcW w:w="1080" w:type="dxa"/>
            <w:vAlign w:val="bottom"/>
          </w:tcPr>
          <w:p w:rsidR="00E43B9E" w:rsidRPr="00045FCC" w:rsidRDefault="00E43B9E" w:rsidP="00A8050E">
            <w:pPr>
              <w:spacing w:line="276" w:lineRule="auto"/>
              <w:jc w:val="right"/>
              <w:textAlignment w:val="baseline"/>
              <w:rPr>
                <w:rFonts w:eastAsia="Verdana"/>
                <w:color w:val="000000"/>
                <w:sz w:val="20"/>
                <w:szCs w:val="20"/>
              </w:rPr>
            </w:pPr>
            <w:r w:rsidRPr="00045FCC">
              <w:rPr>
                <w:rFonts w:eastAsia="Verdana"/>
                <w:color w:val="000000"/>
                <w:sz w:val="20"/>
                <w:szCs w:val="20"/>
              </w:rPr>
              <w:t>283,072</w:t>
            </w:r>
          </w:p>
        </w:tc>
        <w:tc>
          <w:tcPr>
            <w:tcW w:w="900" w:type="dxa"/>
            <w:vAlign w:val="bottom"/>
          </w:tcPr>
          <w:p w:rsidR="00E43B9E" w:rsidRPr="00045FCC" w:rsidRDefault="00E43B9E" w:rsidP="00A8050E">
            <w:pPr>
              <w:spacing w:after="3" w:line="276" w:lineRule="auto"/>
              <w:ind w:right="53"/>
              <w:jc w:val="right"/>
              <w:textAlignment w:val="baseline"/>
              <w:rPr>
                <w:rFonts w:eastAsia="Verdana"/>
                <w:color w:val="000000"/>
                <w:sz w:val="20"/>
                <w:szCs w:val="20"/>
              </w:rPr>
            </w:pPr>
            <w:r w:rsidRPr="00045FCC">
              <w:rPr>
                <w:rFonts w:eastAsia="Verdana"/>
                <w:color w:val="000000"/>
                <w:sz w:val="20"/>
                <w:szCs w:val="20"/>
              </w:rPr>
              <w:t>355</w:t>
            </w:r>
          </w:p>
        </w:tc>
        <w:tc>
          <w:tcPr>
            <w:tcW w:w="990"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jc w:val="right"/>
              <w:rPr>
                <w:sz w:val="20"/>
                <w:szCs w:val="20"/>
              </w:rPr>
            </w:pPr>
          </w:p>
        </w:tc>
        <w:tc>
          <w:tcPr>
            <w:tcW w:w="1170" w:type="dxa"/>
            <w:vAlign w:val="bottom"/>
          </w:tcPr>
          <w:p w:rsidR="00E43B9E" w:rsidRPr="00045FCC" w:rsidRDefault="00E43B9E" w:rsidP="00A8050E">
            <w:pPr>
              <w:tabs>
                <w:tab w:val="left" w:pos="1350"/>
              </w:tabs>
              <w:spacing w:line="276" w:lineRule="auto"/>
              <w:ind w:right="72"/>
              <w:jc w:val="right"/>
              <w:textAlignment w:val="baseline"/>
              <w:rPr>
                <w:rFonts w:eastAsia="Verdana"/>
                <w:b/>
                <w:color w:val="000000"/>
                <w:sz w:val="20"/>
                <w:szCs w:val="20"/>
              </w:rPr>
            </w:pPr>
            <w:r>
              <w:rPr>
                <w:rFonts w:eastAsia="Verdana"/>
                <w:b/>
                <w:color w:val="000000"/>
                <w:sz w:val="20"/>
                <w:szCs w:val="20"/>
              </w:rPr>
              <w:t>428</w:t>
            </w:r>
            <w:r w:rsidRPr="00045FCC">
              <w:rPr>
                <w:rFonts w:eastAsia="Verdana"/>
                <w:b/>
                <w:color w:val="000000"/>
                <w:sz w:val="20"/>
                <w:szCs w:val="20"/>
              </w:rPr>
              <w:t>,</w:t>
            </w:r>
            <w:r>
              <w:rPr>
                <w:rFonts w:eastAsia="Verdana"/>
                <w:b/>
                <w:color w:val="000000"/>
                <w:sz w:val="20"/>
                <w:szCs w:val="20"/>
              </w:rPr>
              <w:t>941</w:t>
            </w:r>
          </w:p>
        </w:tc>
      </w:tr>
      <w:tr w:rsidR="00E43B9E" w:rsidTr="00A8050E">
        <w:trPr>
          <w:cantSplit/>
          <w:trHeight w:val="20"/>
          <w:tblHeader/>
        </w:trPr>
        <w:tc>
          <w:tcPr>
            <w:tcW w:w="1368" w:type="dxa"/>
            <w:vAlign w:val="bottom"/>
          </w:tcPr>
          <w:p w:rsidR="00E43B9E" w:rsidRPr="00045FCC" w:rsidRDefault="00E43B9E" w:rsidP="00A8050E">
            <w:pPr>
              <w:pStyle w:val="p7"/>
              <w:widowControl/>
              <w:tabs>
                <w:tab w:val="clear" w:pos="1133"/>
                <w:tab w:val="left" w:pos="720"/>
                <w:tab w:val="left" w:pos="1350"/>
                <w:tab w:val="left" w:pos="1440"/>
                <w:tab w:val="left" w:pos="1530"/>
              </w:tabs>
              <w:spacing w:line="276" w:lineRule="auto"/>
              <w:ind w:left="0" w:firstLine="0"/>
              <w:rPr>
                <w:sz w:val="20"/>
                <w:szCs w:val="20"/>
              </w:rPr>
            </w:pPr>
            <w:r w:rsidRPr="00045FCC">
              <w:rPr>
                <w:b/>
                <w:sz w:val="20"/>
                <w:szCs w:val="20"/>
              </w:rPr>
              <w:t>Total (Feet)</w:t>
            </w:r>
          </w:p>
        </w:tc>
        <w:tc>
          <w:tcPr>
            <w:tcW w:w="1080" w:type="dxa"/>
            <w:vAlign w:val="bottom"/>
          </w:tcPr>
          <w:p w:rsidR="00E43B9E" w:rsidRPr="00E73ED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20"/>
                <w:szCs w:val="20"/>
              </w:rPr>
            </w:pPr>
            <w:r w:rsidRPr="00E73ED5">
              <w:rPr>
                <w:b/>
                <w:sz w:val="20"/>
                <w:szCs w:val="20"/>
              </w:rPr>
              <w:t>3,409,693</w:t>
            </w:r>
          </w:p>
        </w:tc>
        <w:tc>
          <w:tcPr>
            <w:tcW w:w="900" w:type="dxa"/>
            <w:vAlign w:val="bottom"/>
          </w:tcPr>
          <w:p w:rsidR="00E43B9E" w:rsidRPr="00E73ED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20"/>
                <w:szCs w:val="20"/>
              </w:rPr>
            </w:pPr>
            <w:r w:rsidRPr="00E73ED5">
              <w:rPr>
                <w:b/>
                <w:sz w:val="20"/>
                <w:szCs w:val="20"/>
              </w:rPr>
              <w:t>40,208</w:t>
            </w:r>
          </w:p>
        </w:tc>
        <w:tc>
          <w:tcPr>
            <w:tcW w:w="990" w:type="dxa"/>
            <w:vAlign w:val="bottom"/>
          </w:tcPr>
          <w:p w:rsidR="00E43B9E" w:rsidRPr="00E73ED5" w:rsidRDefault="00E43B9E" w:rsidP="00A8050E">
            <w:pPr>
              <w:pStyle w:val="p7"/>
              <w:widowControl/>
              <w:tabs>
                <w:tab w:val="clear" w:pos="1133"/>
                <w:tab w:val="left" w:pos="720"/>
                <w:tab w:val="left" w:pos="1350"/>
                <w:tab w:val="left" w:pos="1440"/>
                <w:tab w:val="left" w:pos="1530"/>
              </w:tabs>
              <w:spacing w:line="276" w:lineRule="auto"/>
              <w:ind w:left="-108" w:firstLine="0"/>
              <w:jc w:val="right"/>
              <w:rPr>
                <w:b/>
                <w:sz w:val="20"/>
                <w:szCs w:val="20"/>
              </w:rPr>
            </w:pPr>
            <w:r w:rsidRPr="00E73ED5">
              <w:rPr>
                <w:b/>
                <w:sz w:val="20"/>
                <w:szCs w:val="20"/>
              </w:rPr>
              <w:t>4,698,988</w:t>
            </w:r>
          </w:p>
        </w:tc>
        <w:tc>
          <w:tcPr>
            <w:tcW w:w="900" w:type="dxa"/>
            <w:vAlign w:val="bottom"/>
          </w:tcPr>
          <w:p w:rsidR="00E43B9E" w:rsidRPr="00E73ED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20"/>
                <w:szCs w:val="20"/>
              </w:rPr>
            </w:pPr>
            <w:r w:rsidRPr="00E73ED5">
              <w:rPr>
                <w:b/>
                <w:sz w:val="20"/>
                <w:szCs w:val="20"/>
              </w:rPr>
              <w:t>20,365</w:t>
            </w:r>
          </w:p>
        </w:tc>
        <w:tc>
          <w:tcPr>
            <w:tcW w:w="900" w:type="dxa"/>
            <w:vAlign w:val="bottom"/>
          </w:tcPr>
          <w:p w:rsidR="00E43B9E" w:rsidRPr="00E73ED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20"/>
                <w:szCs w:val="20"/>
              </w:rPr>
            </w:pPr>
            <w:r w:rsidRPr="00E73ED5">
              <w:rPr>
                <w:b/>
                <w:sz w:val="20"/>
                <w:szCs w:val="20"/>
              </w:rPr>
              <w:t>170,373</w:t>
            </w:r>
          </w:p>
        </w:tc>
        <w:tc>
          <w:tcPr>
            <w:tcW w:w="1080" w:type="dxa"/>
            <w:vAlign w:val="bottom"/>
          </w:tcPr>
          <w:p w:rsidR="00E43B9E" w:rsidRPr="00E73ED5" w:rsidRDefault="00E43B9E" w:rsidP="00A8050E">
            <w:pPr>
              <w:pStyle w:val="p7"/>
              <w:widowControl/>
              <w:tabs>
                <w:tab w:val="clear" w:pos="782"/>
                <w:tab w:val="clear" w:pos="1133"/>
                <w:tab w:val="left" w:pos="1350"/>
                <w:tab w:val="left" w:pos="1440"/>
                <w:tab w:val="left" w:pos="1530"/>
              </w:tabs>
              <w:spacing w:line="276" w:lineRule="auto"/>
              <w:ind w:left="0" w:right="-108" w:firstLine="0"/>
              <w:jc w:val="right"/>
              <w:rPr>
                <w:b/>
                <w:sz w:val="20"/>
                <w:szCs w:val="20"/>
              </w:rPr>
            </w:pPr>
            <w:r w:rsidRPr="00E73ED5">
              <w:rPr>
                <w:b/>
                <w:sz w:val="20"/>
                <w:szCs w:val="20"/>
              </w:rPr>
              <w:t>11,880,522</w:t>
            </w:r>
          </w:p>
        </w:tc>
        <w:tc>
          <w:tcPr>
            <w:tcW w:w="900" w:type="dxa"/>
            <w:vAlign w:val="bottom"/>
          </w:tcPr>
          <w:p w:rsidR="00E43B9E" w:rsidRPr="00E73ED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20"/>
                <w:szCs w:val="20"/>
              </w:rPr>
            </w:pPr>
            <w:r w:rsidRPr="00E73ED5">
              <w:rPr>
                <w:b/>
                <w:sz w:val="20"/>
                <w:szCs w:val="20"/>
              </w:rPr>
              <w:t>160,082</w:t>
            </w:r>
          </w:p>
        </w:tc>
        <w:tc>
          <w:tcPr>
            <w:tcW w:w="990" w:type="dxa"/>
            <w:vAlign w:val="bottom"/>
          </w:tcPr>
          <w:p w:rsidR="00E43B9E" w:rsidRPr="00E73ED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20"/>
                <w:szCs w:val="20"/>
              </w:rPr>
            </w:pPr>
            <w:r w:rsidRPr="00E73ED5">
              <w:rPr>
                <w:b/>
                <w:sz w:val="20"/>
                <w:szCs w:val="20"/>
              </w:rPr>
              <w:t>12,463</w:t>
            </w:r>
          </w:p>
        </w:tc>
        <w:tc>
          <w:tcPr>
            <w:tcW w:w="1170" w:type="dxa"/>
            <w:vAlign w:val="bottom"/>
          </w:tcPr>
          <w:p w:rsidR="00E43B9E" w:rsidRPr="00E73ED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20"/>
                <w:szCs w:val="20"/>
              </w:rPr>
            </w:pPr>
            <w:r w:rsidRPr="00E73ED5">
              <w:rPr>
                <w:b/>
                <w:sz w:val="20"/>
                <w:szCs w:val="20"/>
              </w:rPr>
              <w:t>20,392,694</w:t>
            </w:r>
          </w:p>
        </w:tc>
      </w:tr>
      <w:tr w:rsidR="00E43B9E" w:rsidTr="00A8050E">
        <w:trPr>
          <w:cantSplit/>
          <w:trHeight w:val="20"/>
          <w:tblHeader/>
        </w:trPr>
        <w:tc>
          <w:tcPr>
            <w:tcW w:w="1368" w:type="dxa"/>
            <w:vAlign w:val="center"/>
          </w:tcPr>
          <w:p w:rsidR="00E43B9E" w:rsidRPr="002C1736" w:rsidRDefault="00E43B9E" w:rsidP="00A8050E">
            <w:pPr>
              <w:pStyle w:val="p7"/>
              <w:widowControl/>
              <w:tabs>
                <w:tab w:val="clear" w:pos="782"/>
                <w:tab w:val="clear" w:pos="1133"/>
              </w:tabs>
              <w:spacing w:line="276" w:lineRule="auto"/>
              <w:ind w:left="0" w:right="-108" w:firstLine="0"/>
              <w:rPr>
                <w:b/>
                <w:sz w:val="18"/>
                <w:szCs w:val="18"/>
              </w:rPr>
            </w:pPr>
            <w:r>
              <w:rPr>
                <w:b/>
                <w:sz w:val="18"/>
                <w:szCs w:val="18"/>
              </w:rPr>
              <w:t xml:space="preserve">Total </w:t>
            </w:r>
            <w:r w:rsidRPr="002C1736">
              <w:rPr>
                <w:b/>
                <w:sz w:val="18"/>
                <w:szCs w:val="18"/>
              </w:rPr>
              <w:t>(Miles)</w:t>
            </w:r>
          </w:p>
        </w:tc>
        <w:tc>
          <w:tcPr>
            <w:tcW w:w="1080" w:type="dxa"/>
            <w:vAlign w:val="center"/>
          </w:tcPr>
          <w:p w:rsidR="00E43B9E" w:rsidRPr="00167135" w:rsidRDefault="00E43B9E" w:rsidP="00A8050E">
            <w:pPr>
              <w:pStyle w:val="p7"/>
              <w:widowControl/>
              <w:tabs>
                <w:tab w:val="clear" w:pos="782"/>
                <w:tab w:val="clear" w:pos="1133"/>
                <w:tab w:val="left" w:pos="720"/>
                <w:tab w:val="left" w:pos="1350"/>
                <w:tab w:val="left" w:pos="1440"/>
                <w:tab w:val="left" w:pos="1530"/>
              </w:tabs>
              <w:spacing w:line="276" w:lineRule="auto"/>
              <w:ind w:left="0" w:firstLine="0"/>
              <w:jc w:val="right"/>
              <w:rPr>
                <w:b/>
                <w:sz w:val="18"/>
                <w:szCs w:val="18"/>
              </w:rPr>
            </w:pPr>
            <w:r w:rsidRPr="00167135">
              <w:rPr>
                <w:b/>
                <w:sz w:val="18"/>
                <w:szCs w:val="18"/>
              </w:rPr>
              <w:t>646</w:t>
            </w:r>
          </w:p>
        </w:tc>
        <w:tc>
          <w:tcPr>
            <w:tcW w:w="900" w:type="dxa"/>
            <w:vAlign w:val="center"/>
          </w:tcPr>
          <w:p w:rsidR="00E43B9E" w:rsidRPr="0016713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18"/>
                <w:szCs w:val="18"/>
              </w:rPr>
            </w:pPr>
            <w:r w:rsidRPr="00167135">
              <w:rPr>
                <w:b/>
                <w:sz w:val="18"/>
                <w:szCs w:val="18"/>
              </w:rPr>
              <w:t>8</w:t>
            </w:r>
          </w:p>
        </w:tc>
        <w:tc>
          <w:tcPr>
            <w:tcW w:w="990" w:type="dxa"/>
            <w:vAlign w:val="center"/>
          </w:tcPr>
          <w:p w:rsidR="00E43B9E" w:rsidRPr="0016713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18"/>
                <w:szCs w:val="18"/>
              </w:rPr>
            </w:pPr>
            <w:r w:rsidRPr="00167135">
              <w:rPr>
                <w:b/>
                <w:sz w:val="18"/>
                <w:szCs w:val="18"/>
              </w:rPr>
              <w:t>890</w:t>
            </w:r>
          </w:p>
        </w:tc>
        <w:tc>
          <w:tcPr>
            <w:tcW w:w="900" w:type="dxa"/>
            <w:vAlign w:val="center"/>
          </w:tcPr>
          <w:p w:rsidR="00E43B9E" w:rsidRPr="0016713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18"/>
                <w:szCs w:val="18"/>
              </w:rPr>
            </w:pPr>
            <w:r w:rsidRPr="00167135">
              <w:rPr>
                <w:b/>
                <w:sz w:val="18"/>
                <w:szCs w:val="18"/>
              </w:rPr>
              <w:t>4</w:t>
            </w:r>
          </w:p>
        </w:tc>
        <w:tc>
          <w:tcPr>
            <w:tcW w:w="900" w:type="dxa"/>
            <w:vAlign w:val="center"/>
          </w:tcPr>
          <w:p w:rsidR="00E43B9E" w:rsidRPr="0016713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18"/>
                <w:szCs w:val="18"/>
              </w:rPr>
            </w:pPr>
            <w:r w:rsidRPr="00167135">
              <w:rPr>
                <w:b/>
                <w:sz w:val="18"/>
                <w:szCs w:val="18"/>
              </w:rPr>
              <w:t>32</w:t>
            </w:r>
          </w:p>
        </w:tc>
        <w:tc>
          <w:tcPr>
            <w:tcW w:w="1080" w:type="dxa"/>
            <w:vAlign w:val="center"/>
          </w:tcPr>
          <w:p w:rsidR="00E43B9E" w:rsidRPr="0016713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18"/>
                <w:szCs w:val="18"/>
              </w:rPr>
            </w:pPr>
            <w:r w:rsidRPr="00167135">
              <w:rPr>
                <w:b/>
                <w:sz w:val="18"/>
                <w:szCs w:val="18"/>
              </w:rPr>
              <w:t>2,250</w:t>
            </w:r>
          </w:p>
        </w:tc>
        <w:tc>
          <w:tcPr>
            <w:tcW w:w="900" w:type="dxa"/>
          </w:tcPr>
          <w:p w:rsidR="00E43B9E" w:rsidRPr="0016713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18"/>
                <w:szCs w:val="18"/>
              </w:rPr>
            </w:pPr>
            <w:r w:rsidRPr="00167135">
              <w:rPr>
                <w:b/>
                <w:sz w:val="18"/>
                <w:szCs w:val="18"/>
              </w:rPr>
              <w:t>30</w:t>
            </w:r>
          </w:p>
        </w:tc>
        <w:tc>
          <w:tcPr>
            <w:tcW w:w="990" w:type="dxa"/>
          </w:tcPr>
          <w:p w:rsidR="00E43B9E" w:rsidRPr="0016713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18"/>
                <w:szCs w:val="18"/>
              </w:rPr>
            </w:pPr>
            <w:r w:rsidRPr="00167135">
              <w:rPr>
                <w:b/>
                <w:sz w:val="18"/>
                <w:szCs w:val="18"/>
              </w:rPr>
              <w:t>2</w:t>
            </w:r>
          </w:p>
        </w:tc>
        <w:tc>
          <w:tcPr>
            <w:tcW w:w="1170" w:type="dxa"/>
            <w:vAlign w:val="center"/>
          </w:tcPr>
          <w:p w:rsidR="00E43B9E" w:rsidRPr="00167135" w:rsidRDefault="00E43B9E" w:rsidP="00A8050E">
            <w:pPr>
              <w:pStyle w:val="p7"/>
              <w:widowControl/>
              <w:tabs>
                <w:tab w:val="clear" w:pos="1133"/>
                <w:tab w:val="left" w:pos="720"/>
                <w:tab w:val="left" w:pos="1350"/>
                <w:tab w:val="left" w:pos="1440"/>
                <w:tab w:val="left" w:pos="1530"/>
              </w:tabs>
              <w:spacing w:line="276" w:lineRule="auto"/>
              <w:ind w:left="0" w:firstLine="0"/>
              <w:jc w:val="right"/>
              <w:rPr>
                <w:b/>
                <w:sz w:val="18"/>
                <w:szCs w:val="18"/>
              </w:rPr>
            </w:pPr>
            <w:r w:rsidRPr="00167135">
              <w:rPr>
                <w:b/>
                <w:sz w:val="18"/>
                <w:szCs w:val="18"/>
              </w:rPr>
              <w:t>3,862</w:t>
            </w:r>
          </w:p>
        </w:tc>
      </w:tr>
    </w:tbl>
    <w:p w:rsidR="00237CEE" w:rsidRDefault="00237CEE" w:rsidP="00CF23F4">
      <w:pPr>
        <w:pStyle w:val="p2"/>
        <w:tabs>
          <w:tab w:val="left" w:pos="720"/>
        </w:tabs>
        <w:spacing w:line="360" w:lineRule="auto"/>
        <w:ind w:firstLine="0"/>
        <w:rPr>
          <w:b/>
          <w:sz w:val="26"/>
          <w:szCs w:val="26"/>
        </w:rPr>
      </w:pPr>
    </w:p>
    <w:p w:rsidR="00CF23F4" w:rsidRDefault="00CF23F4" w:rsidP="00CF23F4">
      <w:pPr>
        <w:pStyle w:val="p2"/>
        <w:tabs>
          <w:tab w:val="left" w:pos="720"/>
        </w:tabs>
        <w:spacing w:line="360" w:lineRule="auto"/>
        <w:ind w:firstLine="0"/>
        <w:rPr>
          <w:b/>
          <w:sz w:val="26"/>
          <w:szCs w:val="26"/>
        </w:rPr>
      </w:pPr>
      <w:r w:rsidRPr="001414CA">
        <w:rPr>
          <w:b/>
          <w:sz w:val="26"/>
          <w:szCs w:val="26"/>
        </w:rPr>
        <w:t>Comments</w:t>
      </w:r>
    </w:p>
    <w:p w:rsidR="00E43B9E" w:rsidRPr="00E43B9E" w:rsidRDefault="00E43B9E" w:rsidP="00CF23F4">
      <w:pPr>
        <w:pStyle w:val="p2"/>
        <w:tabs>
          <w:tab w:val="left" w:pos="720"/>
        </w:tabs>
        <w:spacing w:line="360" w:lineRule="auto"/>
        <w:ind w:firstLine="0"/>
        <w:rPr>
          <w:b/>
          <w:sz w:val="26"/>
          <w:szCs w:val="26"/>
        </w:rPr>
      </w:pPr>
    </w:p>
    <w:p w:rsidR="00CF23F4" w:rsidRDefault="00CF23F4" w:rsidP="00652094">
      <w:pPr>
        <w:pStyle w:val="p7"/>
        <w:tabs>
          <w:tab w:val="clear" w:pos="782"/>
          <w:tab w:val="clear" w:pos="1133"/>
          <w:tab w:val="left" w:pos="720"/>
          <w:tab w:val="left" w:pos="1440"/>
        </w:tabs>
        <w:spacing w:line="360" w:lineRule="auto"/>
        <w:ind w:left="0" w:firstLine="1440"/>
        <w:rPr>
          <w:sz w:val="26"/>
          <w:szCs w:val="26"/>
        </w:rPr>
      </w:pPr>
      <w:r>
        <w:rPr>
          <w:sz w:val="26"/>
          <w:szCs w:val="26"/>
        </w:rPr>
        <w:t>No comments were received regarding the location of eligible property.</w:t>
      </w:r>
    </w:p>
    <w:p w:rsidR="00E43B9E" w:rsidRDefault="00E43B9E" w:rsidP="00CF23F4">
      <w:pPr>
        <w:pStyle w:val="p2"/>
        <w:tabs>
          <w:tab w:val="left" w:pos="720"/>
        </w:tabs>
        <w:spacing w:line="360" w:lineRule="auto"/>
        <w:ind w:firstLine="0"/>
        <w:rPr>
          <w:b/>
          <w:sz w:val="26"/>
          <w:szCs w:val="26"/>
        </w:rPr>
      </w:pPr>
    </w:p>
    <w:p w:rsidR="00CF23F4" w:rsidRDefault="00CF23F4" w:rsidP="00CF23F4">
      <w:pPr>
        <w:pStyle w:val="p2"/>
        <w:tabs>
          <w:tab w:val="left" w:pos="720"/>
        </w:tabs>
        <w:spacing w:line="360" w:lineRule="auto"/>
        <w:ind w:firstLine="0"/>
        <w:rPr>
          <w:b/>
          <w:sz w:val="26"/>
          <w:szCs w:val="26"/>
        </w:rPr>
      </w:pPr>
      <w:r w:rsidRPr="000F5E3D">
        <w:rPr>
          <w:b/>
          <w:sz w:val="26"/>
          <w:szCs w:val="26"/>
        </w:rPr>
        <w:t>Resolution</w:t>
      </w:r>
    </w:p>
    <w:p w:rsidR="00CF23F4" w:rsidRDefault="00CF23F4" w:rsidP="00CF23F4">
      <w:pPr>
        <w:pStyle w:val="p2"/>
        <w:spacing w:line="360" w:lineRule="auto"/>
        <w:ind w:firstLine="0"/>
        <w:rPr>
          <w:sz w:val="26"/>
          <w:szCs w:val="26"/>
        </w:rPr>
      </w:pPr>
    </w:p>
    <w:p w:rsidR="00213DBE" w:rsidRPr="00A73345" w:rsidRDefault="005F0257" w:rsidP="00652094">
      <w:pPr>
        <w:pStyle w:val="p7"/>
        <w:tabs>
          <w:tab w:val="clear" w:pos="782"/>
          <w:tab w:val="clear" w:pos="1133"/>
          <w:tab w:val="left" w:pos="0"/>
          <w:tab w:val="left" w:pos="720"/>
        </w:tabs>
        <w:spacing w:line="360" w:lineRule="auto"/>
        <w:ind w:left="0" w:firstLine="1440"/>
        <w:rPr>
          <w:sz w:val="26"/>
          <w:szCs w:val="26"/>
        </w:rPr>
      </w:pPr>
      <w:r w:rsidRPr="00062E21">
        <w:rPr>
          <w:sz w:val="26"/>
          <w:szCs w:val="26"/>
        </w:rPr>
        <w:t xml:space="preserve">Upon review of the LTIIP, the Commission finds that </w:t>
      </w:r>
      <w:r>
        <w:rPr>
          <w:sz w:val="26"/>
          <w:szCs w:val="26"/>
        </w:rPr>
        <w:t>element three</w:t>
      </w:r>
      <w:r w:rsidR="005D7AA0">
        <w:rPr>
          <w:sz w:val="26"/>
          <w:szCs w:val="26"/>
        </w:rPr>
        <w:t xml:space="preserve"> </w:t>
      </w:r>
      <w:r w:rsidR="005D7AA0" w:rsidRPr="00062E21">
        <w:rPr>
          <w:sz w:val="26"/>
          <w:szCs w:val="26"/>
        </w:rPr>
        <w:t>of the Final Implementation Order</w:t>
      </w:r>
      <w:r>
        <w:rPr>
          <w:sz w:val="26"/>
          <w:szCs w:val="26"/>
        </w:rPr>
        <w:t xml:space="preserve">, </w:t>
      </w:r>
      <w:r w:rsidRPr="00062E21">
        <w:rPr>
          <w:sz w:val="26"/>
          <w:szCs w:val="26"/>
        </w:rPr>
        <w:t>the location of eligible property requirement</w:t>
      </w:r>
      <w:r>
        <w:rPr>
          <w:sz w:val="26"/>
          <w:szCs w:val="26"/>
        </w:rPr>
        <w:t>,</w:t>
      </w:r>
      <w:r w:rsidRPr="00062E21">
        <w:rPr>
          <w:sz w:val="26"/>
          <w:szCs w:val="26"/>
        </w:rPr>
        <w:t xml:space="preserve"> has been fulfilled.</w:t>
      </w:r>
    </w:p>
    <w:p w:rsidR="00801CB1" w:rsidRDefault="00801CB1">
      <w:pPr>
        <w:widowControl/>
        <w:autoSpaceDE/>
        <w:autoSpaceDN/>
        <w:adjustRightInd/>
        <w:spacing w:after="200" w:line="276" w:lineRule="auto"/>
        <w:rPr>
          <w:b/>
          <w:sz w:val="26"/>
          <w:szCs w:val="26"/>
        </w:rPr>
      </w:pPr>
    </w:p>
    <w:p w:rsidR="00CF23F4" w:rsidRPr="00EB3AE7" w:rsidRDefault="00CF23F4" w:rsidP="00213DBE">
      <w:pPr>
        <w:pStyle w:val="p2"/>
        <w:numPr>
          <w:ilvl w:val="0"/>
          <w:numId w:val="25"/>
        </w:numPr>
        <w:spacing w:line="360" w:lineRule="auto"/>
        <w:rPr>
          <w:sz w:val="26"/>
          <w:szCs w:val="26"/>
        </w:rPr>
      </w:pPr>
      <w:r>
        <w:rPr>
          <w:b/>
          <w:sz w:val="26"/>
          <w:szCs w:val="26"/>
        </w:rPr>
        <w:t>REASONABLE ESTIMATES OF THE QUANTITY OF PROPERTY TO BE IMPROVED</w:t>
      </w:r>
      <w:r w:rsidR="00EB3AE7">
        <w:rPr>
          <w:b/>
          <w:sz w:val="26"/>
          <w:szCs w:val="26"/>
        </w:rPr>
        <w:t>, and</w:t>
      </w:r>
    </w:p>
    <w:p w:rsidR="00EB3AE7" w:rsidRPr="00213DBE" w:rsidRDefault="00EB3AE7" w:rsidP="00EB3AE7">
      <w:pPr>
        <w:pStyle w:val="p2"/>
        <w:spacing w:line="360" w:lineRule="auto"/>
        <w:ind w:left="1080" w:firstLine="0"/>
        <w:rPr>
          <w:sz w:val="26"/>
          <w:szCs w:val="26"/>
        </w:rPr>
      </w:pPr>
    </w:p>
    <w:p w:rsidR="00213DBE" w:rsidRPr="00EB3AE7" w:rsidRDefault="00EB3AE7" w:rsidP="00EB3AE7">
      <w:pPr>
        <w:pStyle w:val="p2"/>
        <w:widowControl/>
        <w:numPr>
          <w:ilvl w:val="0"/>
          <w:numId w:val="25"/>
        </w:numPr>
        <w:spacing w:line="360" w:lineRule="auto"/>
        <w:rPr>
          <w:b/>
          <w:sz w:val="26"/>
          <w:szCs w:val="26"/>
        </w:rPr>
      </w:pPr>
      <w:r w:rsidRPr="00C71C0F">
        <w:rPr>
          <w:b/>
          <w:sz w:val="26"/>
          <w:szCs w:val="26"/>
        </w:rPr>
        <w:t xml:space="preserve">PROJECTED ANNUAL EXPENDITURES AND MEASURES TO </w:t>
      </w:r>
      <w:r w:rsidRPr="00EB3AE7">
        <w:rPr>
          <w:b/>
          <w:sz w:val="26"/>
          <w:szCs w:val="26"/>
        </w:rPr>
        <w:t xml:space="preserve">     ENSURE THAT THE PLAN IS COST EFFECTIVE</w:t>
      </w:r>
    </w:p>
    <w:p w:rsidR="001A7CCB" w:rsidRDefault="001A7CCB" w:rsidP="00CF23F4">
      <w:pPr>
        <w:pStyle w:val="p2"/>
        <w:tabs>
          <w:tab w:val="left" w:pos="720"/>
        </w:tabs>
        <w:spacing w:line="360" w:lineRule="auto"/>
        <w:ind w:firstLine="0"/>
        <w:rPr>
          <w:b/>
          <w:sz w:val="26"/>
          <w:szCs w:val="26"/>
        </w:rPr>
      </w:pPr>
    </w:p>
    <w:p w:rsidR="00E37D64" w:rsidRDefault="00E37D64" w:rsidP="00CF23F4">
      <w:pPr>
        <w:pStyle w:val="p2"/>
        <w:tabs>
          <w:tab w:val="left" w:pos="720"/>
        </w:tabs>
        <w:spacing w:line="360" w:lineRule="auto"/>
        <w:ind w:firstLine="0"/>
        <w:rPr>
          <w:b/>
          <w:sz w:val="26"/>
          <w:szCs w:val="26"/>
        </w:rPr>
      </w:pPr>
    </w:p>
    <w:p w:rsidR="00CF23F4" w:rsidRDefault="0014165C" w:rsidP="00CF23F4">
      <w:pPr>
        <w:pStyle w:val="p2"/>
        <w:tabs>
          <w:tab w:val="left" w:pos="720"/>
        </w:tabs>
        <w:spacing w:line="360" w:lineRule="auto"/>
        <w:ind w:firstLine="0"/>
        <w:rPr>
          <w:b/>
          <w:sz w:val="26"/>
          <w:szCs w:val="26"/>
        </w:rPr>
      </w:pPr>
      <w:r>
        <w:rPr>
          <w:b/>
          <w:sz w:val="26"/>
          <w:szCs w:val="26"/>
        </w:rPr>
        <w:t>UGI-CPG</w:t>
      </w:r>
      <w:r w:rsidR="000660C5">
        <w:rPr>
          <w:b/>
          <w:sz w:val="26"/>
          <w:szCs w:val="26"/>
        </w:rPr>
        <w:t>’s</w:t>
      </w:r>
      <w:r w:rsidR="00213DBE">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8A7315" w:rsidRPr="00F4616F" w:rsidRDefault="000660C5" w:rsidP="00F4616F">
      <w:pPr>
        <w:pStyle w:val="p2"/>
        <w:tabs>
          <w:tab w:val="left" w:pos="720"/>
        </w:tabs>
        <w:spacing w:line="360" w:lineRule="auto"/>
        <w:ind w:firstLine="0"/>
        <w:rPr>
          <w:sz w:val="26"/>
          <w:szCs w:val="26"/>
        </w:rPr>
      </w:pPr>
      <w:r>
        <w:rPr>
          <w:sz w:val="26"/>
          <w:szCs w:val="26"/>
        </w:rPr>
        <w:tab/>
      </w:r>
      <w:r>
        <w:rPr>
          <w:sz w:val="26"/>
          <w:szCs w:val="26"/>
        </w:rPr>
        <w:tab/>
      </w:r>
      <w:r w:rsidR="0014165C">
        <w:rPr>
          <w:sz w:val="26"/>
          <w:szCs w:val="26"/>
        </w:rPr>
        <w:t>UGI-CPG</w:t>
      </w:r>
      <w:r>
        <w:rPr>
          <w:sz w:val="26"/>
          <w:szCs w:val="26"/>
        </w:rPr>
        <w:t>’s 2014 replacement plan includes replacement of approximately 12 miles of c</w:t>
      </w:r>
      <w:r w:rsidR="008A7315">
        <w:rPr>
          <w:sz w:val="26"/>
          <w:szCs w:val="26"/>
        </w:rPr>
        <w:t>ast iron and bare steel mains.</w:t>
      </w:r>
      <w:r>
        <w:rPr>
          <w:sz w:val="26"/>
          <w:szCs w:val="26"/>
        </w:rPr>
        <w:t xml:space="preserve">  </w:t>
      </w:r>
      <w:r w:rsidR="0014165C">
        <w:rPr>
          <w:sz w:val="26"/>
          <w:szCs w:val="26"/>
        </w:rPr>
        <w:t>UGI-CPG</w:t>
      </w:r>
      <w:r>
        <w:rPr>
          <w:sz w:val="26"/>
          <w:szCs w:val="26"/>
        </w:rPr>
        <w:t xml:space="preserve"> avers that its annual asset optimization plan will provide updated yearly replacement plans, based on its latest risk assessment process.  Total </w:t>
      </w:r>
      <w:r w:rsidR="00C2154F">
        <w:rPr>
          <w:sz w:val="26"/>
          <w:szCs w:val="26"/>
        </w:rPr>
        <w:t xml:space="preserve">quantity of property to be improved and </w:t>
      </w:r>
      <w:r>
        <w:rPr>
          <w:sz w:val="26"/>
          <w:szCs w:val="26"/>
        </w:rPr>
        <w:t xml:space="preserve">annual expenditures </w:t>
      </w:r>
      <w:r>
        <w:rPr>
          <w:sz w:val="26"/>
          <w:szCs w:val="26"/>
        </w:rPr>
        <w:lastRenderedPageBreak/>
        <w:t xml:space="preserve">for the LTIIP period are provided </w:t>
      </w:r>
      <w:r w:rsidR="00C2154F">
        <w:rPr>
          <w:sz w:val="26"/>
          <w:szCs w:val="26"/>
        </w:rPr>
        <w:t xml:space="preserve">in Table 4 </w:t>
      </w:r>
      <w:r>
        <w:rPr>
          <w:sz w:val="26"/>
          <w:szCs w:val="26"/>
        </w:rPr>
        <w:t>below.</w:t>
      </w:r>
    </w:p>
    <w:p w:rsidR="008A7315" w:rsidRDefault="008A7315" w:rsidP="002C7E11">
      <w:pPr>
        <w:pStyle w:val="p2"/>
        <w:ind w:firstLine="0"/>
        <w:rPr>
          <w:b/>
          <w:sz w:val="26"/>
          <w:szCs w:val="26"/>
        </w:rPr>
      </w:pPr>
    </w:p>
    <w:p w:rsidR="00122D1B" w:rsidRDefault="000660C5" w:rsidP="002C7E11">
      <w:pPr>
        <w:pStyle w:val="p2"/>
        <w:ind w:firstLine="0"/>
        <w:rPr>
          <w:b/>
          <w:sz w:val="26"/>
          <w:szCs w:val="26"/>
        </w:rPr>
      </w:pPr>
      <w:r w:rsidRPr="005070BD">
        <w:rPr>
          <w:b/>
          <w:sz w:val="26"/>
          <w:szCs w:val="26"/>
        </w:rPr>
        <w:t xml:space="preserve">Table </w:t>
      </w:r>
      <w:r>
        <w:rPr>
          <w:b/>
          <w:sz w:val="26"/>
          <w:szCs w:val="26"/>
        </w:rPr>
        <w:t>4</w:t>
      </w:r>
      <w:r w:rsidRPr="005070BD">
        <w:rPr>
          <w:b/>
          <w:sz w:val="26"/>
          <w:szCs w:val="26"/>
        </w:rPr>
        <w:t xml:space="preserve"> – </w:t>
      </w:r>
      <w:r>
        <w:rPr>
          <w:b/>
          <w:sz w:val="26"/>
          <w:szCs w:val="26"/>
        </w:rPr>
        <w:t xml:space="preserve">Annual Schedule, </w:t>
      </w:r>
      <w:r w:rsidRPr="005070BD">
        <w:rPr>
          <w:b/>
          <w:sz w:val="26"/>
          <w:szCs w:val="26"/>
        </w:rPr>
        <w:t>Quantity of Property to Be Removed and Annual Expenditures</w:t>
      </w:r>
      <w:r>
        <w:rPr>
          <w:b/>
          <w:sz w:val="26"/>
          <w:szCs w:val="26"/>
        </w:rPr>
        <w:t xml:space="preserve"> FY 2014-2018</w:t>
      </w:r>
    </w:p>
    <w:tbl>
      <w:tblPr>
        <w:tblStyle w:val="TableGrid"/>
        <w:tblW w:w="9882" w:type="dxa"/>
        <w:tblInd w:w="-72" w:type="dxa"/>
        <w:tblLook w:val="04A0" w:firstRow="1" w:lastRow="0" w:firstColumn="1" w:lastColumn="0" w:noHBand="0" w:noVBand="1"/>
      </w:tblPr>
      <w:tblGrid>
        <w:gridCol w:w="9882"/>
      </w:tblGrid>
      <w:tr w:rsidR="008A7315" w:rsidTr="00A8050E">
        <w:trPr>
          <w:trHeight w:val="608"/>
        </w:trPr>
        <w:tc>
          <w:tcPr>
            <w:tcW w:w="9882" w:type="dxa"/>
          </w:tcPr>
          <w:p w:rsidR="008A7315" w:rsidRDefault="008A7315" w:rsidP="00A8050E">
            <w:pPr>
              <w:pStyle w:val="p7"/>
              <w:keepNext/>
              <w:widowControl/>
              <w:tabs>
                <w:tab w:val="clear" w:pos="1133"/>
                <w:tab w:val="left" w:pos="720"/>
                <w:tab w:val="left" w:pos="1350"/>
                <w:tab w:val="left" w:pos="1440"/>
                <w:tab w:val="left" w:pos="1530"/>
              </w:tabs>
              <w:ind w:left="0" w:firstLine="0"/>
            </w:pPr>
            <w:r w:rsidRPr="00E93DE4">
              <w:t xml:space="preserve">Long Term Infrastructure Improvement Program Annual Schedule, Quantities, and Expenditures </w:t>
            </w:r>
            <w:r>
              <w:t xml:space="preserve">                                        </w:t>
            </w:r>
          </w:p>
          <w:p w:rsidR="008A7315" w:rsidRPr="00E93DE4" w:rsidRDefault="008A7315" w:rsidP="00A8050E">
            <w:pPr>
              <w:pStyle w:val="p7"/>
              <w:keepNext/>
              <w:widowControl/>
              <w:tabs>
                <w:tab w:val="clear" w:pos="1133"/>
                <w:tab w:val="left" w:pos="720"/>
                <w:tab w:val="left" w:pos="1350"/>
                <w:tab w:val="left" w:pos="1440"/>
                <w:tab w:val="left" w:pos="1530"/>
              </w:tabs>
              <w:ind w:left="0" w:firstLine="0"/>
            </w:pPr>
            <w:r>
              <w:t xml:space="preserve">                                                                      </w:t>
            </w:r>
            <w:r w:rsidRPr="00E93DE4">
              <w:t>FY 2014- 2018</w:t>
            </w:r>
          </w:p>
        </w:tc>
      </w:tr>
      <w:tr w:rsidR="008A7315" w:rsidTr="00A8050E">
        <w:trPr>
          <w:trHeight w:val="5448"/>
        </w:trPr>
        <w:tc>
          <w:tcPr>
            <w:tcW w:w="9882" w:type="dxa"/>
          </w:tcPr>
          <w:p w:rsidR="008A7315" w:rsidRDefault="008A7315" w:rsidP="00A8050E">
            <w:pPr>
              <w:pStyle w:val="p7"/>
              <w:keepNext/>
              <w:widowControl/>
              <w:tabs>
                <w:tab w:val="clear" w:pos="1133"/>
                <w:tab w:val="left" w:pos="720"/>
                <w:tab w:val="left" w:pos="1350"/>
                <w:tab w:val="left" w:pos="1440"/>
                <w:tab w:val="left" w:pos="1530"/>
              </w:tabs>
              <w:ind w:left="0" w:firstLine="0"/>
              <w:rPr>
                <w:sz w:val="26"/>
                <w:szCs w:val="26"/>
              </w:rPr>
            </w:pPr>
          </w:p>
          <w:p w:rsidR="008A7315" w:rsidRPr="0040472E" w:rsidRDefault="008A7315" w:rsidP="00A8050E">
            <w:pPr>
              <w:pStyle w:val="p7"/>
              <w:keepNext/>
              <w:widowControl/>
              <w:tabs>
                <w:tab w:val="clear" w:pos="1133"/>
                <w:tab w:val="left" w:pos="720"/>
                <w:tab w:val="left" w:pos="1350"/>
                <w:tab w:val="left" w:pos="1440"/>
                <w:tab w:val="left" w:pos="1530"/>
              </w:tabs>
              <w:ind w:left="0" w:firstLine="0"/>
              <w:rPr>
                <w:b/>
                <w:sz w:val="26"/>
                <w:szCs w:val="26"/>
              </w:rPr>
            </w:pPr>
            <w:r w:rsidRPr="0040472E">
              <w:rPr>
                <w:b/>
                <w:sz w:val="26"/>
                <w:szCs w:val="26"/>
              </w:rPr>
              <w:t>Quantities</w:t>
            </w:r>
          </w:p>
          <w:p w:rsidR="008A7315" w:rsidRPr="002E63DA" w:rsidRDefault="008A7315" w:rsidP="00A8050E">
            <w:pPr>
              <w:pStyle w:val="p7"/>
              <w:keepNext/>
              <w:widowControl/>
              <w:tabs>
                <w:tab w:val="clear" w:pos="1133"/>
                <w:tab w:val="left" w:pos="720"/>
                <w:tab w:val="left" w:pos="1350"/>
                <w:tab w:val="left" w:pos="1440"/>
                <w:tab w:val="left" w:pos="1530"/>
              </w:tabs>
              <w:ind w:left="0" w:firstLine="0"/>
              <w:rPr>
                <w:b/>
              </w:rPr>
            </w:pPr>
            <w:r>
              <w:t xml:space="preserve">                                                      </w:t>
            </w:r>
            <w:r w:rsidRPr="002E63DA">
              <w:rPr>
                <w:b/>
                <w:u w:val="single"/>
              </w:rPr>
              <w:t>FY 2014    FY 2015     FY 2016    FY 2017   FY 2018      Totals</w:t>
            </w:r>
            <w:r w:rsidRPr="002E63DA">
              <w:rPr>
                <w:b/>
              </w:rPr>
              <w:t xml:space="preserve">                                                     </w:t>
            </w:r>
          </w:p>
          <w:p w:rsidR="008A7315" w:rsidRPr="00E93DE4" w:rsidRDefault="008A7315" w:rsidP="00A8050E">
            <w:pPr>
              <w:pStyle w:val="p7"/>
              <w:keepNext/>
              <w:tabs>
                <w:tab w:val="left" w:pos="720"/>
                <w:tab w:val="left" w:pos="1350"/>
                <w:tab w:val="left" w:pos="1440"/>
                <w:tab w:val="left" w:pos="1530"/>
              </w:tabs>
              <w:ind w:left="0" w:firstLine="0"/>
              <w:rPr>
                <w:b/>
                <w:u w:val="single"/>
              </w:rPr>
            </w:pPr>
            <w:r w:rsidRPr="00E93DE4">
              <w:rPr>
                <w:b/>
                <w:u w:val="single"/>
              </w:rPr>
              <w:t>Historical 2009-11 Program</w:t>
            </w:r>
          </w:p>
          <w:p w:rsidR="008A7315" w:rsidRDefault="008A7315" w:rsidP="00A8050E">
            <w:pPr>
              <w:pStyle w:val="p7"/>
              <w:keepNext/>
              <w:tabs>
                <w:tab w:val="left" w:pos="720"/>
                <w:tab w:val="left" w:pos="1350"/>
                <w:tab w:val="left" w:pos="1440"/>
                <w:tab w:val="left" w:pos="1530"/>
              </w:tabs>
              <w:ind w:left="0" w:firstLine="0"/>
            </w:pPr>
            <w:r w:rsidRPr="00E93DE4">
              <w:t xml:space="preserve">Base Mains (miles) </w:t>
            </w:r>
            <w:r>
              <w:t xml:space="preserve">                        </w:t>
            </w:r>
            <w:r w:rsidRPr="00E93DE4">
              <w:t xml:space="preserve">15.9          15.9         </w:t>
            </w:r>
            <w:r>
              <w:t xml:space="preserve">    </w:t>
            </w:r>
            <w:r w:rsidRPr="00E93DE4">
              <w:t xml:space="preserve">15.9           15.9           </w:t>
            </w:r>
            <w:r>
              <w:t xml:space="preserve">15.9           </w:t>
            </w:r>
            <w:r w:rsidRPr="00E93DE4">
              <w:t xml:space="preserve">79.5             </w:t>
            </w:r>
          </w:p>
          <w:p w:rsidR="008A7315" w:rsidRPr="00E93DE4" w:rsidRDefault="008A7315" w:rsidP="00A8050E">
            <w:pPr>
              <w:pStyle w:val="p7"/>
              <w:keepNext/>
              <w:tabs>
                <w:tab w:val="left" w:pos="720"/>
                <w:tab w:val="left" w:pos="1350"/>
                <w:tab w:val="left" w:pos="1440"/>
                <w:tab w:val="left" w:pos="1530"/>
              </w:tabs>
              <w:ind w:left="0" w:firstLine="0"/>
            </w:pPr>
            <w:r>
              <w:t>Base Services (#)                             330           330              330             330            330           1,650</w:t>
            </w:r>
          </w:p>
          <w:p w:rsidR="008A7315" w:rsidRDefault="008A7315" w:rsidP="00A8050E">
            <w:pPr>
              <w:pStyle w:val="p7"/>
              <w:keepNext/>
              <w:widowControl/>
              <w:tabs>
                <w:tab w:val="clear" w:pos="1133"/>
                <w:tab w:val="left" w:pos="720"/>
                <w:tab w:val="left" w:pos="1350"/>
                <w:tab w:val="left" w:pos="1440"/>
                <w:tab w:val="left" w:pos="1530"/>
              </w:tabs>
              <w:ind w:left="0" w:firstLine="0"/>
            </w:pPr>
          </w:p>
          <w:p w:rsidR="008A7315" w:rsidRDefault="008A7315" w:rsidP="00A8050E">
            <w:pPr>
              <w:pStyle w:val="p7"/>
              <w:keepNext/>
              <w:widowControl/>
              <w:tabs>
                <w:tab w:val="clear" w:pos="1133"/>
                <w:tab w:val="left" w:pos="720"/>
                <w:tab w:val="left" w:pos="1350"/>
                <w:tab w:val="left" w:pos="1440"/>
                <w:tab w:val="left" w:pos="1530"/>
              </w:tabs>
              <w:ind w:left="0" w:firstLine="0"/>
              <w:rPr>
                <w:b/>
                <w:u w:val="single"/>
              </w:rPr>
            </w:pPr>
            <w:r w:rsidRPr="00A6797B">
              <w:rPr>
                <w:b/>
                <w:u w:val="single"/>
              </w:rPr>
              <w:t>Settlement Agreement</w:t>
            </w:r>
          </w:p>
          <w:p w:rsidR="008A7315" w:rsidRDefault="008A7315" w:rsidP="00A8050E">
            <w:pPr>
              <w:pStyle w:val="p7"/>
              <w:keepNext/>
              <w:widowControl/>
              <w:tabs>
                <w:tab w:val="clear" w:pos="1133"/>
                <w:tab w:val="left" w:pos="720"/>
                <w:tab w:val="left" w:pos="1350"/>
                <w:tab w:val="left" w:pos="1440"/>
                <w:tab w:val="left" w:pos="1530"/>
              </w:tabs>
              <w:ind w:left="0" w:firstLine="0"/>
            </w:pPr>
            <w:r>
              <w:t>Additional Mains (miles)               (2.0)           1.0                2.0             2.0             3.0               6.0</w:t>
            </w:r>
          </w:p>
          <w:p w:rsidR="008A7315" w:rsidRDefault="008A7315" w:rsidP="00A8050E">
            <w:pPr>
              <w:pStyle w:val="p7"/>
              <w:keepNext/>
              <w:widowControl/>
              <w:tabs>
                <w:tab w:val="clear" w:pos="1133"/>
                <w:tab w:val="left" w:pos="720"/>
                <w:tab w:val="left" w:pos="1350"/>
                <w:tab w:val="left" w:pos="1440"/>
                <w:tab w:val="left" w:pos="1530"/>
              </w:tabs>
              <w:ind w:left="0" w:firstLine="0"/>
            </w:pPr>
            <w:r>
              <w:t>Additional Services (#)                   270            415              460            460             480             2,085</w:t>
            </w:r>
          </w:p>
          <w:p w:rsidR="008A7315" w:rsidRDefault="008A7315" w:rsidP="00A8050E">
            <w:pPr>
              <w:pStyle w:val="p7"/>
              <w:keepNext/>
              <w:widowControl/>
              <w:tabs>
                <w:tab w:val="clear" w:pos="1133"/>
                <w:tab w:val="left" w:pos="720"/>
                <w:tab w:val="left" w:pos="1350"/>
                <w:tab w:val="left" w:pos="1440"/>
                <w:tab w:val="left" w:pos="1530"/>
              </w:tabs>
              <w:ind w:left="0" w:firstLine="0"/>
            </w:pPr>
          </w:p>
          <w:p w:rsidR="008A7315" w:rsidRDefault="008A7315" w:rsidP="00A8050E">
            <w:pPr>
              <w:pStyle w:val="p7"/>
              <w:keepNext/>
              <w:widowControl/>
              <w:tabs>
                <w:tab w:val="clear" w:pos="1133"/>
                <w:tab w:val="left" w:pos="720"/>
                <w:tab w:val="left" w:pos="1350"/>
                <w:tab w:val="left" w:pos="1440"/>
                <w:tab w:val="left" w:pos="1530"/>
              </w:tabs>
              <w:ind w:left="0" w:firstLine="0"/>
            </w:pPr>
            <w:r w:rsidRPr="00E843C4">
              <w:rPr>
                <w:b/>
                <w:u w:val="single"/>
              </w:rPr>
              <w:t>Current Program Totals</w:t>
            </w:r>
            <w:r>
              <w:t xml:space="preserve">        ______________________________________________________</w:t>
            </w:r>
          </w:p>
          <w:p w:rsidR="008A7315" w:rsidRDefault="008A7315" w:rsidP="00A8050E">
            <w:pPr>
              <w:pStyle w:val="p7"/>
              <w:keepNext/>
              <w:widowControl/>
              <w:tabs>
                <w:tab w:val="clear" w:pos="1133"/>
                <w:tab w:val="left" w:pos="720"/>
                <w:tab w:val="left" w:pos="1350"/>
                <w:tab w:val="left" w:pos="1440"/>
                <w:tab w:val="left" w:pos="1530"/>
              </w:tabs>
              <w:ind w:left="0" w:firstLine="0"/>
            </w:pPr>
            <w:r>
              <w:t xml:space="preserve">    Mains (miles)                           </w:t>
            </w:r>
            <w:r w:rsidRPr="00992CBF">
              <w:rPr>
                <w:b/>
              </w:rPr>
              <w:t>13.90          16.90           17.90          17.90         18.90            85.5</w:t>
            </w:r>
          </w:p>
          <w:p w:rsidR="008A7315" w:rsidRPr="00A27C55" w:rsidRDefault="008A7315" w:rsidP="00A8050E">
            <w:pPr>
              <w:pStyle w:val="p7"/>
              <w:keepNext/>
              <w:widowControl/>
              <w:tabs>
                <w:tab w:val="clear" w:pos="1133"/>
                <w:tab w:val="left" w:pos="720"/>
                <w:tab w:val="left" w:pos="1350"/>
                <w:tab w:val="left" w:pos="1440"/>
                <w:tab w:val="left" w:pos="1530"/>
              </w:tabs>
              <w:ind w:left="0" w:firstLine="0"/>
              <w:rPr>
                <w:u w:val="single"/>
              </w:rPr>
            </w:pPr>
            <w:r w:rsidRPr="00A27C55">
              <w:rPr>
                <w:u w:val="single"/>
              </w:rPr>
              <w:t xml:space="preserve">    Services (#)                                </w:t>
            </w:r>
            <w:r w:rsidRPr="00992CBF">
              <w:rPr>
                <w:b/>
                <w:u w:val="single"/>
              </w:rPr>
              <w:t>600            745               790             790           810             3,735</w:t>
            </w:r>
          </w:p>
          <w:p w:rsidR="008A7315" w:rsidRDefault="008A7315" w:rsidP="00A8050E">
            <w:pPr>
              <w:pStyle w:val="p7"/>
              <w:keepNext/>
              <w:widowControl/>
              <w:tabs>
                <w:tab w:val="clear" w:pos="1133"/>
                <w:tab w:val="left" w:pos="720"/>
                <w:tab w:val="left" w:pos="1350"/>
                <w:tab w:val="left" w:pos="1440"/>
                <w:tab w:val="left" w:pos="1530"/>
              </w:tabs>
              <w:ind w:left="0" w:firstLine="0"/>
            </w:pPr>
          </w:p>
          <w:p w:rsidR="008A7315" w:rsidRDefault="008A7315" w:rsidP="00A8050E">
            <w:pPr>
              <w:pStyle w:val="p7"/>
              <w:keepNext/>
              <w:widowControl/>
              <w:tabs>
                <w:tab w:val="clear" w:pos="1133"/>
                <w:tab w:val="left" w:pos="720"/>
                <w:tab w:val="left" w:pos="1350"/>
                <w:tab w:val="left" w:pos="1440"/>
                <w:tab w:val="left" w:pos="1530"/>
              </w:tabs>
              <w:ind w:left="0" w:firstLine="0"/>
              <w:rPr>
                <w:b/>
              </w:rPr>
            </w:pPr>
            <w:r w:rsidRPr="00A7033D">
              <w:rPr>
                <w:b/>
              </w:rPr>
              <w:t>Expenditures</w:t>
            </w:r>
            <w:r>
              <w:rPr>
                <w:b/>
              </w:rPr>
              <w:t xml:space="preserve"> </w:t>
            </w:r>
          </w:p>
          <w:p w:rsidR="008A7315" w:rsidRPr="00A7033D" w:rsidRDefault="008A7315" w:rsidP="00A8050E">
            <w:pPr>
              <w:pStyle w:val="p7"/>
              <w:keepNext/>
              <w:widowControl/>
              <w:tabs>
                <w:tab w:val="clear" w:pos="1133"/>
                <w:tab w:val="left" w:pos="720"/>
                <w:tab w:val="left" w:pos="1350"/>
                <w:tab w:val="left" w:pos="1440"/>
                <w:tab w:val="left" w:pos="1530"/>
              </w:tabs>
              <w:ind w:left="0" w:firstLine="0"/>
            </w:pPr>
            <w:r w:rsidRPr="00A7033D">
              <w:t xml:space="preserve">($ million)        </w:t>
            </w:r>
          </w:p>
          <w:p w:rsidR="008A7315" w:rsidRPr="002E63DA" w:rsidRDefault="008A7315" w:rsidP="00A8050E">
            <w:pPr>
              <w:pStyle w:val="p7"/>
              <w:keepNext/>
              <w:widowControl/>
              <w:tabs>
                <w:tab w:val="clear" w:pos="1133"/>
                <w:tab w:val="left" w:pos="720"/>
                <w:tab w:val="left" w:pos="1350"/>
                <w:tab w:val="left" w:pos="1440"/>
                <w:tab w:val="left" w:pos="1530"/>
              </w:tabs>
              <w:ind w:left="0" w:firstLine="0"/>
              <w:rPr>
                <w:b/>
              </w:rPr>
            </w:pPr>
            <w:r>
              <w:t xml:space="preserve">                                                      </w:t>
            </w:r>
            <w:r w:rsidRPr="002E63DA">
              <w:rPr>
                <w:b/>
                <w:u w:val="single"/>
              </w:rPr>
              <w:t>FY 2014    FY 2015     FY 2016    FY 2017   FY 2018      Totals</w:t>
            </w:r>
            <w:r w:rsidRPr="002E63DA">
              <w:rPr>
                <w:b/>
              </w:rPr>
              <w:t xml:space="preserve">                                                     </w:t>
            </w:r>
          </w:p>
          <w:p w:rsidR="008A7315" w:rsidRPr="00E93DE4" w:rsidRDefault="008A7315" w:rsidP="00A8050E">
            <w:pPr>
              <w:pStyle w:val="p7"/>
              <w:keepNext/>
              <w:tabs>
                <w:tab w:val="left" w:pos="720"/>
                <w:tab w:val="left" w:pos="1350"/>
                <w:tab w:val="left" w:pos="1440"/>
                <w:tab w:val="left" w:pos="1530"/>
              </w:tabs>
              <w:ind w:left="0" w:firstLine="0"/>
              <w:rPr>
                <w:b/>
                <w:u w:val="single"/>
              </w:rPr>
            </w:pPr>
            <w:r w:rsidRPr="00E93DE4">
              <w:rPr>
                <w:b/>
                <w:u w:val="single"/>
              </w:rPr>
              <w:t>Historical 2009-11 Program</w:t>
            </w:r>
          </w:p>
          <w:p w:rsidR="008A7315" w:rsidRDefault="008A7315" w:rsidP="00A8050E">
            <w:pPr>
              <w:pStyle w:val="p7"/>
              <w:keepNext/>
              <w:tabs>
                <w:tab w:val="left" w:pos="720"/>
                <w:tab w:val="left" w:pos="1350"/>
                <w:tab w:val="left" w:pos="1440"/>
                <w:tab w:val="left" w:pos="1530"/>
              </w:tabs>
              <w:ind w:left="0" w:firstLine="0"/>
            </w:pPr>
            <w:r w:rsidRPr="00E93DE4">
              <w:t>Base Main</w:t>
            </w:r>
            <w:r>
              <w:t xml:space="preserve">s            </w:t>
            </w:r>
            <w:r w:rsidRPr="00E93DE4">
              <w:t xml:space="preserve"> </w:t>
            </w:r>
            <w:r>
              <w:t xml:space="preserve">                         $6.6</w:t>
            </w:r>
            <w:r w:rsidRPr="00E93DE4">
              <w:t xml:space="preserve">          </w:t>
            </w:r>
            <w:r>
              <w:t>$6.6</w:t>
            </w:r>
            <w:r w:rsidRPr="00E93DE4">
              <w:t xml:space="preserve">         </w:t>
            </w:r>
            <w:r>
              <w:t xml:space="preserve">    $6.6</w:t>
            </w:r>
            <w:r w:rsidRPr="00E93DE4">
              <w:t xml:space="preserve">           </w:t>
            </w:r>
            <w:r>
              <w:t>$6.6</w:t>
            </w:r>
            <w:r w:rsidRPr="00E93DE4">
              <w:t xml:space="preserve">           </w:t>
            </w:r>
            <w:r>
              <w:t>$6.6</w:t>
            </w:r>
            <w:r w:rsidRPr="00E93DE4">
              <w:t xml:space="preserve">           </w:t>
            </w:r>
            <w:r>
              <w:t>$33.0</w:t>
            </w:r>
            <w:r w:rsidRPr="00E93DE4">
              <w:t xml:space="preserve">             </w:t>
            </w:r>
          </w:p>
          <w:p w:rsidR="008A7315" w:rsidRPr="00E93DE4" w:rsidRDefault="008A7315" w:rsidP="00A8050E">
            <w:pPr>
              <w:pStyle w:val="p7"/>
              <w:keepNext/>
              <w:tabs>
                <w:tab w:val="left" w:pos="720"/>
                <w:tab w:val="left" w:pos="1350"/>
                <w:tab w:val="left" w:pos="1440"/>
                <w:tab w:val="left" w:pos="1530"/>
              </w:tabs>
              <w:ind w:left="0" w:firstLine="0"/>
            </w:pPr>
            <w:r>
              <w:t>Base Services                                  $0.7           $0.7             $0.7           $0.7           $0.7           $3.5</w:t>
            </w:r>
          </w:p>
          <w:p w:rsidR="008A7315" w:rsidRDefault="008A7315" w:rsidP="00A8050E">
            <w:pPr>
              <w:pStyle w:val="p7"/>
              <w:keepNext/>
              <w:widowControl/>
              <w:tabs>
                <w:tab w:val="clear" w:pos="1133"/>
                <w:tab w:val="left" w:pos="720"/>
                <w:tab w:val="left" w:pos="1350"/>
                <w:tab w:val="left" w:pos="1440"/>
                <w:tab w:val="left" w:pos="1530"/>
              </w:tabs>
              <w:ind w:left="0" w:firstLine="0"/>
            </w:pPr>
            <w:r>
              <w:t>Other                                               $3.4</w:t>
            </w:r>
            <w:r w:rsidRPr="00E93DE4">
              <w:t xml:space="preserve">          </w:t>
            </w:r>
            <w:r>
              <w:t xml:space="preserve"> $3.4</w:t>
            </w:r>
            <w:r w:rsidRPr="00E93DE4">
              <w:t xml:space="preserve">         </w:t>
            </w:r>
            <w:r>
              <w:t xml:space="preserve">    $3.4</w:t>
            </w:r>
            <w:r w:rsidRPr="00E93DE4">
              <w:t xml:space="preserve">           </w:t>
            </w:r>
            <w:r>
              <w:t>$3.4</w:t>
            </w:r>
            <w:r w:rsidRPr="00E93DE4">
              <w:t xml:space="preserve">         </w:t>
            </w:r>
            <w:r>
              <w:t xml:space="preserve">  $3.4</w:t>
            </w:r>
            <w:r w:rsidRPr="00E93DE4">
              <w:t xml:space="preserve">        </w:t>
            </w:r>
            <w:r>
              <w:t xml:space="preserve"> </w:t>
            </w:r>
            <w:r w:rsidRPr="00E93DE4">
              <w:t xml:space="preserve"> </w:t>
            </w:r>
            <w:r>
              <w:t xml:space="preserve"> $1</w:t>
            </w:r>
            <w:r w:rsidRPr="00E93DE4">
              <w:t>7</w:t>
            </w:r>
            <w:r>
              <w:t>.0</w:t>
            </w:r>
          </w:p>
          <w:p w:rsidR="008A7315" w:rsidRDefault="008A7315" w:rsidP="00A8050E">
            <w:pPr>
              <w:pStyle w:val="p7"/>
              <w:keepNext/>
              <w:widowControl/>
              <w:tabs>
                <w:tab w:val="clear" w:pos="1133"/>
                <w:tab w:val="left" w:pos="720"/>
                <w:tab w:val="left" w:pos="1350"/>
                <w:tab w:val="left" w:pos="1440"/>
                <w:tab w:val="left" w:pos="1530"/>
              </w:tabs>
              <w:ind w:left="0" w:firstLine="0"/>
            </w:pPr>
            <w:r w:rsidRPr="00E2742C">
              <w:rPr>
                <w:b/>
              </w:rPr>
              <w:t>Total</w:t>
            </w:r>
            <w:r>
              <w:t xml:space="preserve">                                              </w:t>
            </w:r>
            <w:r w:rsidRPr="00E2742C">
              <w:rPr>
                <w:b/>
                <w:u w:val="single"/>
              </w:rPr>
              <w:t>$10.7</w:t>
            </w:r>
            <w:r w:rsidRPr="00E2742C">
              <w:rPr>
                <w:b/>
              </w:rPr>
              <w:t xml:space="preserve">          </w:t>
            </w:r>
            <w:r w:rsidRPr="00E2742C">
              <w:rPr>
                <w:b/>
                <w:u w:val="single"/>
              </w:rPr>
              <w:t>$10.7</w:t>
            </w:r>
            <w:r w:rsidRPr="00E2742C">
              <w:rPr>
                <w:b/>
              </w:rPr>
              <w:t xml:space="preserve">           </w:t>
            </w:r>
            <w:r w:rsidRPr="00E2742C">
              <w:rPr>
                <w:b/>
                <w:u w:val="single"/>
              </w:rPr>
              <w:t>$10.7</w:t>
            </w:r>
            <w:r w:rsidRPr="00E2742C">
              <w:rPr>
                <w:b/>
              </w:rPr>
              <w:t xml:space="preserve">        </w:t>
            </w:r>
            <w:r w:rsidRPr="00E2742C">
              <w:rPr>
                <w:b/>
                <w:u w:val="single"/>
              </w:rPr>
              <w:t>$10.7</w:t>
            </w:r>
            <w:r w:rsidRPr="00E93DE4">
              <w:t xml:space="preserve">         </w:t>
            </w:r>
            <w:r>
              <w:t xml:space="preserve"> </w:t>
            </w:r>
            <w:r w:rsidRPr="00E2742C">
              <w:rPr>
                <w:b/>
                <w:u w:val="single"/>
              </w:rPr>
              <w:t>$10.7</w:t>
            </w:r>
            <w:r w:rsidRPr="00E93DE4">
              <w:t xml:space="preserve">        </w:t>
            </w:r>
            <w:r>
              <w:t xml:space="preserve"> </w:t>
            </w:r>
            <w:r w:rsidRPr="00E2742C">
              <w:rPr>
                <w:b/>
                <w:u w:val="single"/>
              </w:rPr>
              <w:t>$53.5</w:t>
            </w:r>
          </w:p>
          <w:p w:rsidR="008A7315" w:rsidRDefault="008A7315" w:rsidP="00A8050E">
            <w:pPr>
              <w:pStyle w:val="p7"/>
              <w:keepNext/>
              <w:widowControl/>
              <w:tabs>
                <w:tab w:val="clear" w:pos="1133"/>
                <w:tab w:val="left" w:pos="720"/>
                <w:tab w:val="left" w:pos="1350"/>
                <w:tab w:val="left" w:pos="1440"/>
                <w:tab w:val="left" w:pos="1530"/>
              </w:tabs>
              <w:ind w:left="0" w:firstLine="0"/>
            </w:pPr>
          </w:p>
          <w:p w:rsidR="008A7315" w:rsidRDefault="008A7315" w:rsidP="00A8050E">
            <w:pPr>
              <w:pStyle w:val="p7"/>
              <w:keepNext/>
              <w:widowControl/>
              <w:tabs>
                <w:tab w:val="clear" w:pos="1133"/>
                <w:tab w:val="left" w:pos="720"/>
                <w:tab w:val="left" w:pos="1350"/>
                <w:tab w:val="left" w:pos="1440"/>
                <w:tab w:val="left" w:pos="1530"/>
              </w:tabs>
              <w:ind w:left="0" w:firstLine="0"/>
              <w:rPr>
                <w:b/>
                <w:u w:val="single"/>
              </w:rPr>
            </w:pPr>
            <w:r w:rsidRPr="00A6797B">
              <w:rPr>
                <w:b/>
                <w:u w:val="single"/>
              </w:rPr>
              <w:t>Settlement Agreement</w:t>
            </w:r>
          </w:p>
          <w:p w:rsidR="008A7315" w:rsidRDefault="008A7315" w:rsidP="00A8050E">
            <w:pPr>
              <w:pStyle w:val="p7"/>
              <w:keepNext/>
              <w:widowControl/>
              <w:tabs>
                <w:tab w:val="clear" w:pos="1133"/>
                <w:tab w:val="left" w:pos="720"/>
                <w:tab w:val="left" w:pos="1350"/>
                <w:tab w:val="left" w:pos="1440"/>
                <w:tab w:val="left" w:pos="1530"/>
                <w:tab w:val="left" w:pos="3387"/>
              </w:tabs>
              <w:ind w:left="0" w:firstLine="0"/>
            </w:pPr>
            <w:r>
              <w:t>Additional Mains                            ($1.9)        $0.6              $1.3           $1.3          $1.7            $3.0</w:t>
            </w:r>
          </w:p>
          <w:p w:rsidR="008A7315" w:rsidRDefault="008A7315" w:rsidP="00A8050E">
            <w:pPr>
              <w:pStyle w:val="p7"/>
              <w:keepNext/>
              <w:widowControl/>
              <w:tabs>
                <w:tab w:val="clear" w:pos="1133"/>
                <w:tab w:val="left" w:pos="720"/>
                <w:tab w:val="left" w:pos="1350"/>
                <w:tab w:val="left" w:pos="1440"/>
                <w:tab w:val="left" w:pos="1530"/>
                <w:tab w:val="left" w:pos="3387"/>
              </w:tabs>
              <w:ind w:left="0" w:firstLine="0"/>
            </w:pPr>
            <w:r>
              <w:t>Additional Services                         $0.5          $0.8              $0.9           $0.9          $1.3            $4.4</w:t>
            </w:r>
          </w:p>
          <w:p w:rsidR="008A7315" w:rsidRDefault="008A7315" w:rsidP="00A8050E">
            <w:pPr>
              <w:pStyle w:val="p7"/>
              <w:keepNext/>
              <w:widowControl/>
              <w:tabs>
                <w:tab w:val="clear" w:pos="1133"/>
                <w:tab w:val="left" w:pos="720"/>
                <w:tab w:val="left" w:pos="1350"/>
                <w:tab w:val="left" w:pos="1440"/>
                <w:tab w:val="left" w:pos="1530"/>
                <w:tab w:val="left" w:pos="3387"/>
              </w:tabs>
              <w:ind w:left="0" w:firstLine="0"/>
            </w:pPr>
            <w:r>
              <w:t>Other                                                $1.8          $1.5             $1.2           $1.2           $1.5            $7.2</w:t>
            </w:r>
          </w:p>
          <w:p w:rsidR="008A7315" w:rsidRDefault="008A7315" w:rsidP="00A8050E">
            <w:pPr>
              <w:pStyle w:val="p7"/>
              <w:keepNext/>
              <w:widowControl/>
              <w:tabs>
                <w:tab w:val="clear" w:pos="1133"/>
                <w:tab w:val="left" w:pos="720"/>
                <w:tab w:val="left" w:pos="1350"/>
                <w:tab w:val="left" w:pos="1440"/>
                <w:tab w:val="left" w:pos="1530"/>
                <w:tab w:val="left" w:pos="3387"/>
                <w:tab w:val="left" w:pos="4392"/>
              </w:tabs>
              <w:ind w:left="0" w:firstLine="0"/>
            </w:pPr>
            <w:r w:rsidRPr="00E2742C">
              <w:rPr>
                <w:b/>
              </w:rPr>
              <w:t>Total</w:t>
            </w:r>
            <w:r>
              <w:t xml:space="preserve">                                                </w:t>
            </w:r>
            <w:r w:rsidRPr="00E2742C">
              <w:rPr>
                <w:b/>
                <w:u w:val="single"/>
              </w:rPr>
              <w:t>$0.</w:t>
            </w:r>
            <w:r>
              <w:rPr>
                <w:b/>
                <w:u w:val="single"/>
              </w:rPr>
              <w:t>4</w:t>
            </w:r>
            <w:r w:rsidRPr="00E2742C">
              <w:rPr>
                <w:b/>
              </w:rPr>
              <w:t xml:space="preserve">         </w:t>
            </w:r>
            <w:r>
              <w:rPr>
                <w:b/>
              </w:rPr>
              <w:t xml:space="preserve"> </w:t>
            </w:r>
            <w:r w:rsidRPr="00E2742C">
              <w:rPr>
                <w:b/>
                <w:u w:val="single"/>
              </w:rPr>
              <w:t>$</w:t>
            </w:r>
            <w:r>
              <w:rPr>
                <w:b/>
                <w:u w:val="single"/>
              </w:rPr>
              <w:t>2.9</w:t>
            </w:r>
            <w:r w:rsidRPr="00E2742C">
              <w:rPr>
                <w:b/>
              </w:rPr>
              <w:t xml:space="preserve">           </w:t>
            </w:r>
            <w:r>
              <w:rPr>
                <w:b/>
              </w:rPr>
              <w:t xml:space="preserve">  </w:t>
            </w:r>
            <w:r w:rsidRPr="00E2742C">
              <w:rPr>
                <w:b/>
                <w:u w:val="single"/>
              </w:rPr>
              <w:t>$</w:t>
            </w:r>
            <w:r>
              <w:rPr>
                <w:b/>
                <w:u w:val="single"/>
              </w:rPr>
              <w:t>3</w:t>
            </w:r>
            <w:r w:rsidRPr="00E2742C">
              <w:rPr>
                <w:b/>
                <w:u w:val="single"/>
              </w:rPr>
              <w:t>.</w:t>
            </w:r>
            <w:r>
              <w:rPr>
                <w:b/>
                <w:u w:val="single"/>
              </w:rPr>
              <w:t>4</w:t>
            </w:r>
            <w:r w:rsidRPr="00E2742C">
              <w:rPr>
                <w:b/>
              </w:rPr>
              <w:t xml:space="preserve">        </w:t>
            </w:r>
            <w:r>
              <w:rPr>
                <w:b/>
              </w:rPr>
              <w:t xml:space="preserve">   </w:t>
            </w:r>
            <w:r w:rsidRPr="00E2742C">
              <w:rPr>
                <w:b/>
                <w:u w:val="single"/>
              </w:rPr>
              <w:t>$</w:t>
            </w:r>
            <w:r>
              <w:rPr>
                <w:b/>
                <w:u w:val="single"/>
              </w:rPr>
              <w:t>3.4</w:t>
            </w:r>
            <w:r w:rsidRPr="00E93DE4">
              <w:t xml:space="preserve">         </w:t>
            </w:r>
            <w:r>
              <w:t xml:space="preserve">  </w:t>
            </w:r>
            <w:r w:rsidRPr="00E2742C">
              <w:rPr>
                <w:b/>
                <w:u w:val="single"/>
              </w:rPr>
              <w:t>$</w:t>
            </w:r>
            <w:r>
              <w:rPr>
                <w:b/>
                <w:u w:val="single"/>
              </w:rPr>
              <w:t>4.5</w:t>
            </w:r>
            <w:r w:rsidRPr="00E93DE4">
              <w:t xml:space="preserve">        </w:t>
            </w:r>
            <w:r>
              <w:t xml:space="preserve">   </w:t>
            </w:r>
            <w:r>
              <w:rPr>
                <w:b/>
                <w:u w:val="single"/>
              </w:rPr>
              <w:t>$14</w:t>
            </w:r>
            <w:r w:rsidRPr="00E2742C">
              <w:rPr>
                <w:b/>
                <w:u w:val="single"/>
              </w:rPr>
              <w:t>.</w:t>
            </w:r>
            <w:r>
              <w:rPr>
                <w:b/>
                <w:u w:val="single"/>
              </w:rPr>
              <w:t>6</w:t>
            </w:r>
          </w:p>
          <w:p w:rsidR="008A7315" w:rsidRDefault="008A7315" w:rsidP="00A8050E">
            <w:pPr>
              <w:pStyle w:val="p7"/>
              <w:keepNext/>
              <w:widowControl/>
              <w:tabs>
                <w:tab w:val="clear" w:pos="1133"/>
                <w:tab w:val="left" w:pos="720"/>
                <w:tab w:val="left" w:pos="1350"/>
                <w:tab w:val="left" w:pos="1440"/>
                <w:tab w:val="left" w:pos="1530"/>
              </w:tabs>
              <w:ind w:left="0" w:firstLine="0"/>
            </w:pPr>
          </w:p>
          <w:p w:rsidR="008A7315" w:rsidRPr="0040472E" w:rsidRDefault="008A7315" w:rsidP="00A8050E">
            <w:pPr>
              <w:pStyle w:val="p7"/>
              <w:keepNext/>
              <w:widowControl/>
              <w:tabs>
                <w:tab w:val="clear" w:pos="1133"/>
                <w:tab w:val="left" w:pos="720"/>
                <w:tab w:val="left" w:pos="1350"/>
                <w:tab w:val="left" w:pos="1440"/>
                <w:tab w:val="left" w:pos="1530"/>
              </w:tabs>
              <w:ind w:left="0" w:firstLine="0"/>
              <w:rPr>
                <w:b/>
                <w:sz w:val="26"/>
                <w:szCs w:val="26"/>
              </w:rPr>
            </w:pPr>
            <w:r w:rsidRPr="00E843C4">
              <w:rPr>
                <w:b/>
                <w:u w:val="single"/>
              </w:rPr>
              <w:t>Current Program Totals</w:t>
            </w:r>
            <w:r>
              <w:t xml:space="preserve">              </w:t>
            </w:r>
            <w:r w:rsidRPr="006C5A00">
              <w:rPr>
                <w:b/>
                <w:u w:val="single"/>
              </w:rPr>
              <w:t>$1</w:t>
            </w:r>
            <w:r w:rsidRPr="00330020">
              <w:rPr>
                <w:b/>
                <w:u w:val="single"/>
              </w:rPr>
              <w:t xml:space="preserve">1.10       $13.60        $14.10       </w:t>
            </w:r>
            <w:r w:rsidRPr="006C5A00">
              <w:rPr>
                <w:b/>
                <w:u w:val="single"/>
              </w:rPr>
              <w:t>$14.10       $15.20       $68.10</w:t>
            </w:r>
          </w:p>
        </w:tc>
      </w:tr>
    </w:tbl>
    <w:p w:rsidR="000660C5" w:rsidRDefault="000660C5" w:rsidP="000660C5">
      <w:pPr>
        <w:pStyle w:val="p7"/>
        <w:widowControl/>
        <w:tabs>
          <w:tab w:val="clear" w:pos="782"/>
          <w:tab w:val="clear" w:pos="1133"/>
        </w:tabs>
        <w:spacing w:line="360" w:lineRule="auto"/>
        <w:ind w:left="0" w:firstLine="1440"/>
        <w:rPr>
          <w:sz w:val="26"/>
          <w:szCs w:val="26"/>
        </w:rPr>
      </w:pPr>
    </w:p>
    <w:p w:rsidR="000660C5" w:rsidRDefault="0014165C" w:rsidP="000660C5">
      <w:pPr>
        <w:pStyle w:val="p7"/>
        <w:widowControl/>
        <w:tabs>
          <w:tab w:val="clear" w:pos="782"/>
          <w:tab w:val="clear" w:pos="1133"/>
        </w:tabs>
        <w:spacing w:line="360" w:lineRule="auto"/>
        <w:ind w:left="0" w:firstLine="1440"/>
        <w:rPr>
          <w:sz w:val="26"/>
          <w:szCs w:val="26"/>
        </w:rPr>
      </w:pPr>
      <w:r>
        <w:rPr>
          <w:sz w:val="26"/>
          <w:szCs w:val="26"/>
        </w:rPr>
        <w:t>UGI-CPG</w:t>
      </w:r>
      <w:r w:rsidR="000660C5">
        <w:rPr>
          <w:sz w:val="26"/>
          <w:szCs w:val="26"/>
        </w:rPr>
        <w:t xml:space="preserve"> states it will use numerous oversight and control process</w:t>
      </w:r>
      <w:r w:rsidR="005A1B7F">
        <w:rPr>
          <w:sz w:val="26"/>
          <w:szCs w:val="26"/>
        </w:rPr>
        <w:t>es</w:t>
      </w:r>
      <w:r w:rsidR="000660C5">
        <w:rPr>
          <w:sz w:val="26"/>
          <w:szCs w:val="26"/>
        </w:rPr>
        <w:t xml:space="preserve"> to ensure cost effectiveness including, but not limited to, competitive bidding of multi-year contracts, aggregation of UGI Companies’ projects for bid purposes, recruitment of </w:t>
      </w:r>
      <w:r w:rsidR="000660C5">
        <w:rPr>
          <w:sz w:val="26"/>
          <w:szCs w:val="26"/>
        </w:rPr>
        <w:lastRenderedPageBreak/>
        <w:t xml:space="preserve">additional qualified contractors, evaluation and implementation of new or improved technologies, and periodic HR staffing allocation reviews.  </w:t>
      </w:r>
    </w:p>
    <w:p w:rsidR="00E37D64" w:rsidRDefault="00E37D64" w:rsidP="000660C5">
      <w:pPr>
        <w:pStyle w:val="p7"/>
        <w:widowControl/>
        <w:tabs>
          <w:tab w:val="clear" w:pos="782"/>
          <w:tab w:val="clear" w:pos="1133"/>
        </w:tabs>
        <w:spacing w:line="360" w:lineRule="auto"/>
        <w:ind w:left="0" w:firstLine="1440"/>
        <w:rPr>
          <w:sz w:val="26"/>
          <w:szCs w:val="26"/>
        </w:rPr>
      </w:pPr>
    </w:p>
    <w:p w:rsidR="00CF23F4" w:rsidRDefault="000660C5" w:rsidP="000660C5">
      <w:pPr>
        <w:pStyle w:val="p2"/>
        <w:tabs>
          <w:tab w:val="left" w:pos="720"/>
        </w:tabs>
        <w:spacing w:line="360" w:lineRule="auto"/>
        <w:ind w:firstLine="0"/>
        <w:rPr>
          <w:sz w:val="26"/>
          <w:szCs w:val="26"/>
        </w:rPr>
      </w:pPr>
      <w:r>
        <w:rPr>
          <w:sz w:val="26"/>
          <w:szCs w:val="26"/>
        </w:rPr>
        <w:tab/>
      </w:r>
      <w:r>
        <w:rPr>
          <w:sz w:val="26"/>
          <w:szCs w:val="26"/>
        </w:rPr>
        <w:tab/>
      </w:r>
      <w:r w:rsidR="0014165C">
        <w:rPr>
          <w:sz w:val="26"/>
          <w:szCs w:val="26"/>
        </w:rPr>
        <w:t>UGI-CPG</w:t>
      </w:r>
      <w:r>
        <w:rPr>
          <w:sz w:val="26"/>
          <w:szCs w:val="26"/>
        </w:rPr>
        <w:t xml:space="preserve"> asserts it will monitor safety and reliability indicators to evaluate corrosion and leak resolution performance, track emergency response, pursue damage prevention, and reinforce employee safety and safety improvement.  Further, </w:t>
      </w:r>
      <w:r w:rsidR="0014165C">
        <w:rPr>
          <w:sz w:val="26"/>
          <w:szCs w:val="26"/>
        </w:rPr>
        <w:t>UGI-CPG</w:t>
      </w:r>
      <w:r>
        <w:rPr>
          <w:sz w:val="26"/>
          <w:szCs w:val="26"/>
        </w:rPr>
        <w:t xml:space="preserve"> states that it will increase construction efficiency by grouping planned replacement projects with others in a geographic region to reduce costs associated with mobilization and reduce the impact to the affected community.</w:t>
      </w:r>
    </w:p>
    <w:p w:rsidR="000660C5" w:rsidRDefault="000660C5" w:rsidP="00CF23F4">
      <w:pPr>
        <w:pStyle w:val="p2"/>
        <w:tabs>
          <w:tab w:val="left" w:pos="720"/>
        </w:tabs>
        <w:spacing w:line="360" w:lineRule="auto"/>
        <w:ind w:firstLine="0"/>
        <w:rPr>
          <w:b/>
          <w:sz w:val="26"/>
          <w:szCs w:val="26"/>
        </w:rPr>
      </w:pPr>
    </w:p>
    <w:p w:rsidR="00CF23F4"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tabs>
          <w:tab w:val="left" w:pos="720"/>
        </w:tabs>
        <w:spacing w:line="360" w:lineRule="auto"/>
        <w:ind w:firstLine="0"/>
        <w:rPr>
          <w:sz w:val="26"/>
          <w:szCs w:val="26"/>
        </w:rPr>
      </w:pPr>
    </w:p>
    <w:p w:rsidR="00CF23F4" w:rsidRDefault="000660C5" w:rsidP="008A3602">
      <w:pPr>
        <w:pStyle w:val="p7"/>
        <w:tabs>
          <w:tab w:val="clear" w:pos="782"/>
          <w:tab w:val="clear" w:pos="1133"/>
          <w:tab w:val="left" w:pos="720"/>
          <w:tab w:val="left" w:pos="1440"/>
        </w:tabs>
        <w:spacing w:line="360" w:lineRule="auto"/>
        <w:ind w:left="0" w:firstLine="1440"/>
        <w:rPr>
          <w:sz w:val="26"/>
          <w:szCs w:val="26"/>
        </w:rPr>
      </w:pPr>
      <w:r>
        <w:rPr>
          <w:sz w:val="26"/>
          <w:szCs w:val="26"/>
        </w:rPr>
        <w:t xml:space="preserve">OCA states that certain additional information may be needed to properly evaluate whether </w:t>
      </w:r>
      <w:r w:rsidR="0014165C">
        <w:rPr>
          <w:sz w:val="26"/>
          <w:szCs w:val="26"/>
        </w:rPr>
        <w:t>UGI-CPG</w:t>
      </w:r>
      <w:r>
        <w:rPr>
          <w:sz w:val="26"/>
          <w:szCs w:val="26"/>
        </w:rPr>
        <w:t xml:space="preserve">’s LTIIP meets all the requirements of Act 11 and the Final Implementation Order.  OCA submits that </w:t>
      </w:r>
      <w:r w:rsidR="0014165C">
        <w:rPr>
          <w:sz w:val="26"/>
          <w:szCs w:val="26"/>
        </w:rPr>
        <w:t>UGI-CPG</w:t>
      </w:r>
      <w:r>
        <w:rPr>
          <w:sz w:val="26"/>
          <w:szCs w:val="26"/>
        </w:rPr>
        <w:t xml:space="preserve"> should provide additional information on the results of risk assessments for mains and services.</w:t>
      </w:r>
    </w:p>
    <w:p w:rsidR="000660C5" w:rsidRDefault="000660C5" w:rsidP="008A3602">
      <w:pPr>
        <w:pStyle w:val="p7"/>
        <w:tabs>
          <w:tab w:val="clear" w:pos="782"/>
          <w:tab w:val="clear" w:pos="1133"/>
          <w:tab w:val="left" w:pos="720"/>
          <w:tab w:val="left" w:pos="1440"/>
        </w:tabs>
        <w:spacing w:line="360" w:lineRule="auto"/>
        <w:ind w:left="0" w:firstLine="1440"/>
        <w:rPr>
          <w:sz w:val="26"/>
          <w:szCs w:val="26"/>
        </w:rPr>
      </w:pPr>
    </w:p>
    <w:p w:rsidR="00CF23F4" w:rsidRDefault="00CF23F4" w:rsidP="00CF23F4">
      <w:pPr>
        <w:pStyle w:val="p2"/>
        <w:tabs>
          <w:tab w:val="left" w:pos="720"/>
        </w:tabs>
        <w:spacing w:line="360" w:lineRule="auto"/>
        <w:ind w:firstLine="0"/>
        <w:rPr>
          <w:b/>
          <w:sz w:val="26"/>
          <w:szCs w:val="26"/>
        </w:rPr>
      </w:pPr>
      <w:r w:rsidRPr="000F5E3D">
        <w:rPr>
          <w:b/>
          <w:sz w:val="26"/>
          <w:szCs w:val="26"/>
        </w:rPr>
        <w:t>Resolution</w:t>
      </w:r>
    </w:p>
    <w:p w:rsidR="00CF23F4" w:rsidRDefault="00CF23F4" w:rsidP="00CF23F4">
      <w:pPr>
        <w:pStyle w:val="p2"/>
        <w:spacing w:line="360" w:lineRule="auto"/>
        <w:ind w:firstLine="0"/>
        <w:rPr>
          <w:sz w:val="26"/>
          <w:szCs w:val="26"/>
        </w:rPr>
      </w:pPr>
    </w:p>
    <w:p w:rsidR="000660C5" w:rsidRPr="00F9086B" w:rsidRDefault="000660C5" w:rsidP="000660C5">
      <w:pPr>
        <w:pStyle w:val="p7"/>
        <w:widowControl/>
        <w:tabs>
          <w:tab w:val="clear" w:pos="1133"/>
          <w:tab w:val="left" w:pos="720"/>
          <w:tab w:val="left" w:pos="1350"/>
          <w:tab w:val="left" w:pos="1440"/>
          <w:tab w:val="left" w:pos="1530"/>
        </w:tabs>
        <w:spacing w:line="360" w:lineRule="auto"/>
        <w:ind w:left="0" w:right="-90" w:firstLine="1440"/>
        <w:rPr>
          <w:sz w:val="26"/>
          <w:szCs w:val="26"/>
        </w:rPr>
      </w:pPr>
      <w:r w:rsidRPr="00F9086B">
        <w:rPr>
          <w:sz w:val="26"/>
          <w:szCs w:val="26"/>
        </w:rPr>
        <w:t>In response to Commission Staff data request</w:t>
      </w:r>
      <w:r w:rsidR="0082239F">
        <w:rPr>
          <w:sz w:val="26"/>
          <w:szCs w:val="26"/>
        </w:rPr>
        <w:t>s</w:t>
      </w:r>
      <w:r w:rsidRPr="00F9086B">
        <w:rPr>
          <w:sz w:val="26"/>
          <w:szCs w:val="26"/>
        </w:rPr>
        <w:t xml:space="preserve"> </w:t>
      </w:r>
      <w:r>
        <w:rPr>
          <w:sz w:val="26"/>
          <w:szCs w:val="26"/>
        </w:rPr>
        <w:t xml:space="preserve">for results of risk assessments for mains and services, </w:t>
      </w:r>
      <w:r w:rsidR="0014165C">
        <w:rPr>
          <w:sz w:val="26"/>
          <w:szCs w:val="26"/>
        </w:rPr>
        <w:t>UGI-CPG</w:t>
      </w:r>
      <w:r w:rsidRPr="00F9086B">
        <w:rPr>
          <w:sz w:val="26"/>
          <w:szCs w:val="26"/>
        </w:rPr>
        <w:t xml:space="preserve"> states that </w:t>
      </w:r>
      <w:r>
        <w:rPr>
          <w:sz w:val="26"/>
          <w:szCs w:val="26"/>
        </w:rPr>
        <w:t xml:space="preserve">it utilizes a risk based prioritization as part of its DIMP.  </w:t>
      </w:r>
      <w:r w:rsidR="0014165C">
        <w:rPr>
          <w:sz w:val="26"/>
          <w:szCs w:val="26"/>
        </w:rPr>
        <w:t>UGI-CPG</w:t>
      </w:r>
      <w:r w:rsidRPr="00F9086B">
        <w:rPr>
          <w:sz w:val="26"/>
          <w:szCs w:val="26"/>
        </w:rPr>
        <w:t xml:space="preserve"> </w:t>
      </w:r>
      <w:r>
        <w:rPr>
          <w:sz w:val="26"/>
          <w:szCs w:val="26"/>
        </w:rPr>
        <w:t>provi</w:t>
      </w:r>
      <w:r w:rsidR="0082239F">
        <w:rPr>
          <w:sz w:val="26"/>
          <w:szCs w:val="26"/>
        </w:rPr>
        <w:t>des that within its</w:t>
      </w:r>
      <w:r w:rsidRPr="00F9086B">
        <w:rPr>
          <w:sz w:val="26"/>
          <w:szCs w:val="26"/>
        </w:rPr>
        <w:t xml:space="preserve"> </w:t>
      </w:r>
      <w:r>
        <w:rPr>
          <w:sz w:val="26"/>
          <w:szCs w:val="26"/>
        </w:rPr>
        <w:t>DIMP program cast iron and bare steel have been identified as the primary distribution system threats</w:t>
      </w:r>
      <w:r w:rsidR="0082239F">
        <w:rPr>
          <w:sz w:val="26"/>
          <w:szCs w:val="26"/>
        </w:rPr>
        <w:t>,</w:t>
      </w:r>
      <w:r>
        <w:rPr>
          <w:sz w:val="26"/>
          <w:szCs w:val="26"/>
        </w:rPr>
        <w:t xml:space="preserve"> and consequently the LTIIP reflects the accelerated replacement of these assets.  </w:t>
      </w:r>
      <w:r w:rsidR="0014165C">
        <w:rPr>
          <w:sz w:val="26"/>
          <w:szCs w:val="26"/>
        </w:rPr>
        <w:t>UGI-CPG</w:t>
      </w:r>
      <w:r w:rsidRPr="00F9086B">
        <w:rPr>
          <w:sz w:val="26"/>
          <w:szCs w:val="26"/>
        </w:rPr>
        <w:t xml:space="preserve"> </w:t>
      </w:r>
      <w:r>
        <w:rPr>
          <w:sz w:val="26"/>
          <w:szCs w:val="26"/>
        </w:rPr>
        <w:t>avers that as part of the DIMP, it</w:t>
      </w:r>
      <w:r w:rsidRPr="00F9086B">
        <w:rPr>
          <w:sz w:val="26"/>
          <w:szCs w:val="26"/>
        </w:rPr>
        <w:t xml:space="preserve"> </w:t>
      </w:r>
      <w:r>
        <w:rPr>
          <w:sz w:val="26"/>
          <w:szCs w:val="26"/>
        </w:rPr>
        <w:t xml:space="preserve">uses commercial software to assess distribution integrity risks and to prioritize infrastructure projects.  </w:t>
      </w:r>
    </w:p>
    <w:p w:rsidR="000660C5" w:rsidRPr="00F9086B" w:rsidRDefault="000660C5" w:rsidP="000660C5">
      <w:pPr>
        <w:pStyle w:val="p7"/>
        <w:widowControl/>
        <w:tabs>
          <w:tab w:val="clear" w:pos="1133"/>
          <w:tab w:val="left" w:pos="720"/>
          <w:tab w:val="left" w:pos="1350"/>
          <w:tab w:val="left" w:pos="1440"/>
          <w:tab w:val="left" w:pos="1530"/>
        </w:tabs>
        <w:spacing w:line="360" w:lineRule="auto"/>
        <w:ind w:left="0" w:firstLine="1440"/>
        <w:rPr>
          <w:sz w:val="26"/>
          <w:szCs w:val="26"/>
        </w:rPr>
      </w:pPr>
    </w:p>
    <w:p w:rsidR="00A73345" w:rsidRDefault="000660C5" w:rsidP="001309D8">
      <w:pPr>
        <w:pStyle w:val="p7"/>
        <w:tabs>
          <w:tab w:val="clear" w:pos="782"/>
          <w:tab w:val="clear" w:pos="1133"/>
          <w:tab w:val="left" w:pos="0"/>
          <w:tab w:val="left" w:pos="720"/>
        </w:tabs>
        <w:spacing w:line="360" w:lineRule="auto"/>
        <w:ind w:left="0" w:firstLine="1440"/>
        <w:rPr>
          <w:sz w:val="26"/>
          <w:szCs w:val="26"/>
        </w:rPr>
      </w:pPr>
      <w:r>
        <w:rPr>
          <w:sz w:val="26"/>
          <w:szCs w:val="26"/>
        </w:rPr>
        <w:t xml:space="preserve">Upon review of </w:t>
      </w:r>
      <w:r w:rsidR="0014165C">
        <w:rPr>
          <w:sz w:val="26"/>
          <w:szCs w:val="26"/>
        </w:rPr>
        <w:t>UGI-CPG</w:t>
      </w:r>
      <w:r>
        <w:rPr>
          <w:sz w:val="26"/>
          <w:szCs w:val="26"/>
        </w:rPr>
        <w:t>’s</w:t>
      </w:r>
      <w:r w:rsidRPr="00F9086B">
        <w:rPr>
          <w:sz w:val="26"/>
          <w:szCs w:val="26"/>
        </w:rPr>
        <w:t xml:space="preserve"> </w:t>
      </w:r>
      <w:r>
        <w:rPr>
          <w:sz w:val="26"/>
          <w:szCs w:val="26"/>
        </w:rPr>
        <w:t xml:space="preserve">LTIIP and all supplemental information filed, the Commission finds that the </w:t>
      </w:r>
      <w:r w:rsidR="005D7AA0">
        <w:rPr>
          <w:sz w:val="26"/>
          <w:szCs w:val="26"/>
        </w:rPr>
        <w:t xml:space="preserve">requirements of elements four and five of the Final </w:t>
      </w:r>
      <w:r w:rsidR="005D7AA0">
        <w:rPr>
          <w:sz w:val="26"/>
          <w:szCs w:val="26"/>
        </w:rPr>
        <w:lastRenderedPageBreak/>
        <w:t xml:space="preserve">Implementation Order, </w:t>
      </w:r>
      <w:r>
        <w:rPr>
          <w:sz w:val="26"/>
          <w:szCs w:val="26"/>
        </w:rPr>
        <w:t>reasonable estimates of the quantity of property to be improved and the projected annual expenditures and measures to ensure th</w:t>
      </w:r>
      <w:r w:rsidR="0082239F">
        <w:rPr>
          <w:sz w:val="26"/>
          <w:szCs w:val="26"/>
        </w:rPr>
        <w:t xml:space="preserve">at the plan is cost effective, </w:t>
      </w:r>
      <w:r>
        <w:rPr>
          <w:sz w:val="26"/>
          <w:szCs w:val="26"/>
        </w:rPr>
        <w:t xml:space="preserve">have been fulfilled.  </w:t>
      </w:r>
      <w:r w:rsidR="00A73345">
        <w:rPr>
          <w:sz w:val="26"/>
          <w:szCs w:val="26"/>
        </w:rPr>
        <w:t xml:space="preserve">  </w:t>
      </w:r>
    </w:p>
    <w:p w:rsidR="00325D62" w:rsidRDefault="00325D62" w:rsidP="001309D8">
      <w:pPr>
        <w:pStyle w:val="p7"/>
        <w:tabs>
          <w:tab w:val="clear" w:pos="782"/>
          <w:tab w:val="clear" w:pos="1133"/>
          <w:tab w:val="left" w:pos="0"/>
          <w:tab w:val="left" w:pos="720"/>
        </w:tabs>
        <w:spacing w:line="360" w:lineRule="auto"/>
        <w:ind w:left="0" w:firstLine="1440"/>
        <w:rPr>
          <w:sz w:val="26"/>
          <w:szCs w:val="26"/>
        </w:rPr>
      </w:pPr>
    </w:p>
    <w:p w:rsidR="00CF23F4" w:rsidRPr="000F5E3D" w:rsidRDefault="00CF23F4" w:rsidP="005F0257">
      <w:pPr>
        <w:pStyle w:val="p2"/>
        <w:numPr>
          <w:ilvl w:val="0"/>
          <w:numId w:val="25"/>
        </w:numPr>
        <w:spacing w:line="360" w:lineRule="auto"/>
        <w:rPr>
          <w:sz w:val="26"/>
          <w:szCs w:val="26"/>
        </w:rPr>
      </w:pPr>
      <w:r>
        <w:rPr>
          <w:b/>
          <w:sz w:val="26"/>
          <w:szCs w:val="26"/>
        </w:rPr>
        <w:t>ACCELERATED REPLACEMENT AND MAINTAINING SAFE AND RELIABLE SERVICE</w:t>
      </w:r>
    </w:p>
    <w:p w:rsidR="00CF23F4" w:rsidRDefault="00CF23F4" w:rsidP="00CF23F4">
      <w:pPr>
        <w:pStyle w:val="p2"/>
        <w:spacing w:line="360" w:lineRule="auto"/>
        <w:ind w:firstLine="0"/>
        <w:rPr>
          <w:sz w:val="26"/>
          <w:szCs w:val="26"/>
        </w:rPr>
      </w:pPr>
    </w:p>
    <w:p w:rsidR="00CF23F4" w:rsidRDefault="0014165C" w:rsidP="00CF23F4">
      <w:pPr>
        <w:pStyle w:val="p2"/>
        <w:tabs>
          <w:tab w:val="left" w:pos="720"/>
        </w:tabs>
        <w:spacing w:line="360" w:lineRule="auto"/>
        <w:ind w:firstLine="0"/>
        <w:rPr>
          <w:b/>
          <w:sz w:val="26"/>
          <w:szCs w:val="26"/>
        </w:rPr>
      </w:pPr>
      <w:r>
        <w:rPr>
          <w:b/>
          <w:sz w:val="26"/>
          <w:szCs w:val="26"/>
        </w:rPr>
        <w:t>UGI-CPG</w:t>
      </w:r>
      <w:r w:rsidR="0082239F">
        <w:rPr>
          <w:b/>
          <w:sz w:val="26"/>
          <w:szCs w:val="26"/>
        </w:rPr>
        <w:t>’s</w:t>
      </w:r>
      <w:r w:rsidR="005F0257">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1309D8" w:rsidRPr="001309D8" w:rsidRDefault="0014165C" w:rsidP="001309D8">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UGI-CPG</w:t>
      </w:r>
      <w:r w:rsidR="001309D8" w:rsidRPr="001309D8">
        <w:rPr>
          <w:sz w:val="26"/>
          <w:szCs w:val="26"/>
        </w:rPr>
        <w:t xml:space="preserve"> plans to retire or replace all in-service cast iron mains over the period of 14 years and all bare steel mains over the period of 30 years beginning in March 2013.  </w:t>
      </w:r>
    </w:p>
    <w:p w:rsidR="001309D8" w:rsidRPr="001309D8" w:rsidRDefault="001309D8" w:rsidP="001309D8">
      <w:pPr>
        <w:pStyle w:val="p2"/>
        <w:widowControl/>
        <w:tabs>
          <w:tab w:val="left" w:pos="720"/>
          <w:tab w:val="left" w:pos="810"/>
        </w:tabs>
        <w:spacing w:line="360" w:lineRule="auto"/>
        <w:ind w:firstLine="0"/>
        <w:rPr>
          <w:b/>
          <w:sz w:val="26"/>
          <w:szCs w:val="26"/>
        </w:rPr>
      </w:pPr>
    </w:p>
    <w:p w:rsidR="00D75BE8" w:rsidRPr="00A30F95" w:rsidRDefault="0014165C" w:rsidP="001309D8">
      <w:pPr>
        <w:pStyle w:val="PlainText"/>
        <w:spacing w:line="360" w:lineRule="auto"/>
        <w:ind w:firstLine="1440"/>
        <w:rPr>
          <w:rFonts w:ascii="Times New Roman" w:hAnsi="Times New Roman" w:cs="Times New Roman"/>
          <w:sz w:val="26"/>
          <w:szCs w:val="26"/>
        </w:rPr>
      </w:pPr>
      <w:r>
        <w:rPr>
          <w:rFonts w:ascii="Times New Roman" w:hAnsi="Times New Roman" w:cs="Times New Roman"/>
          <w:sz w:val="26"/>
          <w:szCs w:val="26"/>
        </w:rPr>
        <w:t>UGI-CPG</w:t>
      </w:r>
      <w:r w:rsidR="001309D8" w:rsidRPr="001309D8">
        <w:rPr>
          <w:rFonts w:ascii="Times New Roman" w:hAnsi="Times New Roman" w:cs="Times New Roman"/>
          <w:sz w:val="26"/>
          <w:szCs w:val="26"/>
        </w:rPr>
        <w:t xml:space="preserve"> avers that the LTIIP will provide customers with significant improvements in safety and reliability such as reduced leakage rates, fewer main breaks, and fewer unplanned customer interruptions.  </w:t>
      </w:r>
      <w:r>
        <w:rPr>
          <w:rFonts w:ascii="Times New Roman" w:hAnsi="Times New Roman" w:cs="Times New Roman"/>
          <w:sz w:val="26"/>
          <w:szCs w:val="26"/>
        </w:rPr>
        <w:t>UGI-CPG</w:t>
      </w:r>
      <w:r w:rsidR="001309D8" w:rsidRPr="001309D8">
        <w:rPr>
          <w:rFonts w:ascii="Times New Roman" w:hAnsi="Times New Roman" w:cs="Times New Roman"/>
          <w:sz w:val="26"/>
          <w:szCs w:val="26"/>
        </w:rPr>
        <w:t xml:space="preserve"> also expects the amount of lost and unaccounted for gas due to system leakage and measure inaccuracy will be reduced as leaks are eliminated and meters replaced.  </w:t>
      </w:r>
      <w:r>
        <w:rPr>
          <w:rFonts w:ascii="Times New Roman" w:hAnsi="Times New Roman" w:cs="Times New Roman"/>
          <w:sz w:val="26"/>
          <w:szCs w:val="26"/>
        </w:rPr>
        <w:t>UGI-CPG</w:t>
      </w:r>
      <w:r w:rsidR="001309D8" w:rsidRPr="001309D8">
        <w:rPr>
          <w:rFonts w:ascii="Times New Roman" w:hAnsi="Times New Roman" w:cs="Times New Roman"/>
          <w:sz w:val="26"/>
          <w:szCs w:val="26"/>
        </w:rPr>
        <w:t xml:space="preserve"> indicates peak day reliability will improve as pressure improvement projects elevate system low points under peak day design conditions. </w:t>
      </w:r>
      <w:r w:rsidR="00D75BE8" w:rsidRPr="00A30F95">
        <w:rPr>
          <w:rFonts w:ascii="Times New Roman" w:hAnsi="Times New Roman" w:cs="Times New Roman"/>
          <w:sz w:val="26"/>
          <w:szCs w:val="26"/>
        </w:rPr>
        <w:t xml:space="preserve">  </w:t>
      </w:r>
    </w:p>
    <w:p w:rsidR="00CF23F4" w:rsidRDefault="00CF23F4" w:rsidP="00CF23F4">
      <w:pPr>
        <w:pStyle w:val="p2"/>
        <w:tabs>
          <w:tab w:val="left" w:pos="720"/>
        </w:tabs>
        <w:spacing w:line="360" w:lineRule="auto"/>
        <w:ind w:firstLine="0"/>
        <w:rPr>
          <w:b/>
          <w:sz w:val="26"/>
          <w:szCs w:val="26"/>
        </w:rPr>
      </w:pPr>
      <w:r>
        <w:rPr>
          <w:sz w:val="26"/>
          <w:szCs w:val="26"/>
        </w:rPr>
        <w:tab/>
      </w:r>
    </w:p>
    <w:p w:rsidR="00CF23F4"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tabs>
          <w:tab w:val="left" w:pos="720"/>
        </w:tabs>
        <w:spacing w:line="360" w:lineRule="auto"/>
        <w:ind w:firstLine="0"/>
        <w:rPr>
          <w:sz w:val="26"/>
          <w:szCs w:val="26"/>
        </w:rPr>
      </w:pPr>
    </w:p>
    <w:p w:rsidR="00CF23F4" w:rsidRPr="0064195E" w:rsidRDefault="001309D8" w:rsidP="00CF23F4">
      <w:pPr>
        <w:pStyle w:val="p7"/>
        <w:tabs>
          <w:tab w:val="clear" w:pos="782"/>
          <w:tab w:val="clear" w:pos="1133"/>
          <w:tab w:val="left" w:pos="720"/>
          <w:tab w:val="left" w:pos="1440"/>
        </w:tabs>
        <w:spacing w:line="360" w:lineRule="auto"/>
        <w:ind w:left="-90" w:firstLine="1530"/>
        <w:rPr>
          <w:sz w:val="26"/>
          <w:szCs w:val="26"/>
        </w:rPr>
      </w:pPr>
      <w:r>
        <w:rPr>
          <w:sz w:val="26"/>
          <w:szCs w:val="26"/>
        </w:rPr>
        <w:t>No comm</w:t>
      </w:r>
      <w:r w:rsidR="0082239F">
        <w:rPr>
          <w:sz w:val="26"/>
          <w:szCs w:val="26"/>
        </w:rPr>
        <w:t xml:space="preserve">ents were received regarding </w:t>
      </w:r>
      <w:r w:rsidRPr="003A4386">
        <w:rPr>
          <w:sz w:val="26"/>
          <w:szCs w:val="26"/>
        </w:rPr>
        <w:t>accelerated replacement and maintaining safe and reliable service.</w:t>
      </w:r>
    </w:p>
    <w:p w:rsidR="00CF23F4" w:rsidRPr="00A955FB" w:rsidRDefault="00CF23F4" w:rsidP="00CF23F4">
      <w:pPr>
        <w:pStyle w:val="p2"/>
        <w:spacing w:line="360" w:lineRule="auto"/>
        <w:ind w:firstLine="0"/>
        <w:rPr>
          <w:b/>
          <w:sz w:val="26"/>
          <w:szCs w:val="26"/>
        </w:rPr>
      </w:pPr>
    </w:p>
    <w:p w:rsidR="00F4616F" w:rsidRDefault="00F4616F" w:rsidP="00CF23F4">
      <w:pPr>
        <w:pStyle w:val="p2"/>
        <w:tabs>
          <w:tab w:val="left" w:pos="720"/>
        </w:tabs>
        <w:spacing w:line="360" w:lineRule="auto"/>
        <w:ind w:firstLine="0"/>
        <w:rPr>
          <w:b/>
          <w:sz w:val="26"/>
          <w:szCs w:val="26"/>
        </w:rPr>
      </w:pPr>
    </w:p>
    <w:p w:rsidR="00F4616F" w:rsidRDefault="00F4616F" w:rsidP="00CF23F4">
      <w:pPr>
        <w:pStyle w:val="p2"/>
        <w:tabs>
          <w:tab w:val="left" w:pos="720"/>
        </w:tabs>
        <w:spacing w:line="360" w:lineRule="auto"/>
        <w:ind w:firstLine="0"/>
        <w:rPr>
          <w:b/>
          <w:sz w:val="26"/>
          <w:szCs w:val="26"/>
        </w:rPr>
      </w:pPr>
    </w:p>
    <w:p w:rsidR="00F4616F" w:rsidRDefault="00F4616F" w:rsidP="00CF23F4">
      <w:pPr>
        <w:pStyle w:val="p2"/>
        <w:tabs>
          <w:tab w:val="left" w:pos="720"/>
        </w:tabs>
        <w:spacing w:line="360" w:lineRule="auto"/>
        <w:ind w:firstLine="0"/>
        <w:rPr>
          <w:b/>
          <w:sz w:val="26"/>
          <w:szCs w:val="26"/>
        </w:rPr>
      </w:pPr>
    </w:p>
    <w:p w:rsidR="00CF23F4" w:rsidRPr="00A955FB" w:rsidRDefault="00CF23F4" w:rsidP="00CF23F4">
      <w:pPr>
        <w:pStyle w:val="p2"/>
        <w:tabs>
          <w:tab w:val="left" w:pos="720"/>
        </w:tabs>
        <w:spacing w:line="360" w:lineRule="auto"/>
        <w:ind w:firstLine="0"/>
        <w:rPr>
          <w:b/>
          <w:sz w:val="26"/>
          <w:szCs w:val="26"/>
        </w:rPr>
      </w:pPr>
      <w:r w:rsidRPr="00A955FB">
        <w:rPr>
          <w:b/>
          <w:sz w:val="26"/>
          <w:szCs w:val="26"/>
        </w:rPr>
        <w:lastRenderedPageBreak/>
        <w:t>Resolution</w:t>
      </w:r>
    </w:p>
    <w:p w:rsidR="00CF23F4" w:rsidRPr="00062E21" w:rsidRDefault="00CF23F4" w:rsidP="00CF23F4">
      <w:pPr>
        <w:pStyle w:val="p7"/>
        <w:widowControl/>
        <w:tabs>
          <w:tab w:val="clear" w:pos="782"/>
          <w:tab w:val="clear" w:pos="1133"/>
          <w:tab w:val="left" w:pos="0"/>
          <w:tab w:val="left" w:pos="720"/>
        </w:tabs>
        <w:spacing w:line="360" w:lineRule="auto"/>
        <w:ind w:left="0" w:firstLine="0"/>
        <w:rPr>
          <w:sz w:val="26"/>
          <w:szCs w:val="26"/>
        </w:rPr>
      </w:pPr>
    </w:p>
    <w:p w:rsidR="00CF23F4" w:rsidRDefault="00CF23F4" w:rsidP="00F67B30">
      <w:pPr>
        <w:pStyle w:val="p7"/>
        <w:widowControl/>
        <w:tabs>
          <w:tab w:val="clear" w:pos="782"/>
          <w:tab w:val="clear" w:pos="1133"/>
          <w:tab w:val="left" w:pos="720"/>
          <w:tab w:val="left" w:pos="1440"/>
        </w:tabs>
        <w:spacing w:line="360" w:lineRule="auto"/>
        <w:ind w:left="0" w:firstLine="1440"/>
        <w:rPr>
          <w:sz w:val="26"/>
          <w:szCs w:val="26"/>
        </w:rPr>
      </w:pPr>
      <w:r w:rsidRPr="00062E21">
        <w:rPr>
          <w:sz w:val="26"/>
          <w:szCs w:val="26"/>
        </w:rPr>
        <w:t xml:space="preserve">Upon review of </w:t>
      </w:r>
      <w:r w:rsidR="0014165C">
        <w:rPr>
          <w:sz w:val="26"/>
          <w:szCs w:val="26"/>
        </w:rPr>
        <w:t>UGI-CPG</w:t>
      </w:r>
      <w:r w:rsidR="0082239F">
        <w:rPr>
          <w:sz w:val="26"/>
          <w:szCs w:val="26"/>
        </w:rPr>
        <w:t>’s</w:t>
      </w:r>
      <w:r w:rsidRPr="00062E21">
        <w:rPr>
          <w:sz w:val="26"/>
          <w:szCs w:val="26"/>
        </w:rPr>
        <w:t xml:space="preserve"> LTIIP and all supplemental information and explanations filed, the Commission finds that the requirements of element six of the Final </w:t>
      </w:r>
      <w:r w:rsidR="00B77AAC">
        <w:rPr>
          <w:sz w:val="26"/>
          <w:szCs w:val="26"/>
        </w:rPr>
        <w:t>Implementation Order</w:t>
      </w:r>
      <w:r w:rsidRPr="00062E21">
        <w:rPr>
          <w:sz w:val="26"/>
          <w:szCs w:val="26"/>
        </w:rPr>
        <w:t xml:space="preserve">, manner in which replacement of aging infrastructure will be accelerated and how repair, improvement or replacement will maintain safe and reliable service, have been fulfilled. </w:t>
      </w:r>
    </w:p>
    <w:p w:rsidR="005D7AA0" w:rsidRPr="00F67B30" w:rsidRDefault="005D7AA0" w:rsidP="00F67B30">
      <w:pPr>
        <w:pStyle w:val="p7"/>
        <w:widowControl/>
        <w:tabs>
          <w:tab w:val="clear" w:pos="782"/>
          <w:tab w:val="clear" w:pos="1133"/>
          <w:tab w:val="left" w:pos="720"/>
          <w:tab w:val="left" w:pos="1440"/>
        </w:tabs>
        <w:spacing w:line="360" w:lineRule="auto"/>
        <w:ind w:left="0" w:firstLine="1440"/>
        <w:rPr>
          <w:sz w:val="26"/>
          <w:szCs w:val="26"/>
        </w:rPr>
      </w:pPr>
    </w:p>
    <w:p w:rsidR="00CF23F4" w:rsidRPr="000F5E3D" w:rsidRDefault="00CF23F4" w:rsidP="004C166D">
      <w:pPr>
        <w:pStyle w:val="p2"/>
        <w:numPr>
          <w:ilvl w:val="0"/>
          <w:numId w:val="25"/>
        </w:numPr>
        <w:spacing w:line="360" w:lineRule="auto"/>
        <w:rPr>
          <w:sz w:val="26"/>
          <w:szCs w:val="26"/>
        </w:rPr>
      </w:pPr>
      <w:r>
        <w:rPr>
          <w:b/>
          <w:sz w:val="26"/>
          <w:szCs w:val="26"/>
        </w:rPr>
        <w:t>WORKFORCE MANAGEMENT AND TRAINING PROGRAM</w:t>
      </w:r>
    </w:p>
    <w:p w:rsidR="00CF23F4" w:rsidRDefault="00CF23F4" w:rsidP="00CF23F4">
      <w:pPr>
        <w:pStyle w:val="p2"/>
        <w:spacing w:line="360" w:lineRule="auto"/>
        <w:ind w:firstLine="0"/>
        <w:rPr>
          <w:sz w:val="26"/>
          <w:szCs w:val="26"/>
        </w:rPr>
      </w:pPr>
    </w:p>
    <w:p w:rsidR="00CF23F4" w:rsidRDefault="0014165C" w:rsidP="00CF23F4">
      <w:pPr>
        <w:pStyle w:val="p2"/>
        <w:tabs>
          <w:tab w:val="left" w:pos="720"/>
        </w:tabs>
        <w:spacing w:line="360" w:lineRule="auto"/>
        <w:ind w:firstLine="0"/>
        <w:rPr>
          <w:b/>
          <w:sz w:val="26"/>
          <w:szCs w:val="26"/>
        </w:rPr>
      </w:pPr>
      <w:r>
        <w:rPr>
          <w:b/>
          <w:sz w:val="26"/>
          <w:szCs w:val="26"/>
        </w:rPr>
        <w:t>UGI-CPG</w:t>
      </w:r>
      <w:r w:rsidR="004B655C">
        <w:rPr>
          <w:b/>
          <w:sz w:val="26"/>
          <w:szCs w:val="26"/>
        </w:rPr>
        <w:t>’s</w:t>
      </w:r>
      <w:r w:rsidR="004C166D">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352E9C" w:rsidRDefault="00352E9C" w:rsidP="00352E9C">
      <w:pPr>
        <w:pStyle w:val="p2"/>
        <w:widowControl/>
        <w:spacing w:line="360" w:lineRule="auto"/>
        <w:ind w:firstLine="1440"/>
        <w:rPr>
          <w:sz w:val="26"/>
          <w:szCs w:val="26"/>
        </w:rPr>
      </w:pPr>
      <w:r w:rsidRPr="00A06107">
        <w:rPr>
          <w:sz w:val="26"/>
          <w:szCs w:val="26"/>
        </w:rPr>
        <w:t>The Final Implementation Order</w:t>
      </w:r>
      <w:r>
        <w:rPr>
          <w:sz w:val="26"/>
          <w:szCs w:val="26"/>
        </w:rPr>
        <w:t xml:space="preserve"> requires </w:t>
      </w:r>
      <w:r w:rsidR="004B655C">
        <w:rPr>
          <w:sz w:val="26"/>
          <w:szCs w:val="26"/>
        </w:rPr>
        <w:t>a utility</w:t>
      </w:r>
      <w:r>
        <w:rPr>
          <w:sz w:val="26"/>
          <w:szCs w:val="26"/>
        </w:rPr>
        <w:t xml:space="preserve"> to include within its LTIIP a workforce management and training plan designed to ensure that the utility will have access to a qualified workforce to perform work in a cost-effective, safe and reliable manner.</w:t>
      </w:r>
    </w:p>
    <w:p w:rsidR="00352E9C" w:rsidRDefault="00352E9C" w:rsidP="00352E9C">
      <w:pPr>
        <w:pStyle w:val="p2"/>
        <w:widowControl/>
        <w:spacing w:line="360" w:lineRule="auto"/>
        <w:ind w:firstLine="1440"/>
        <w:rPr>
          <w:sz w:val="26"/>
          <w:szCs w:val="26"/>
        </w:rPr>
      </w:pPr>
    </w:p>
    <w:p w:rsidR="00352E9C" w:rsidRDefault="0014165C" w:rsidP="00352E9C">
      <w:pPr>
        <w:pStyle w:val="p2"/>
        <w:widowControl/>
        <w:spacing w:line="360" w:lineRule="auto"/>
        <w:ind w:firstLine="1440"/>
        <w:rPr>
          <w:sz w:val="26"/>
          <w:szCs w:val="26"/>
        </w:rPr>
      </w:pPr>
      <w:r>
        <w:rPr>
          <w:sz w:val="26"/>
          <w:szCs w:val="26"/>
        </w:rPr>
        <w:t>UGI-CPG</w:t>
      </w:r>
      <w:r w:rsidR="00352E9C">
        <w:rPr>
          <w:sz w:val="26"/>
          <w:szCs w:val="26"/>
        </w:rPr>
        <w:t xml:space="preserve"> states that the UGI Companies conduct an Operator Qualification (OQ) Program to ensure that personnel performing critical tasks on all pipeline facilities have the necessary knowledge, skills and abilities.  The OQ program includes more than 120 identified tasks, with many sub-parts within tasks, requiring extensive training, testing and qualification verification.  Field technicians complete comprehensive safety courses including jobsite safety, driver safety, fire extinguisher use, pipefitting, hazardous materials recognition, abnormal operating condition recognition, emergency response, basic gas piping construction and maintenance, and leak detection.  </w:t>
      </w:r>
    </w:p>
    <w:p w:rsidR="00352E9C" w:rsidRDefault="00352E9C" w:rsidP="00352E9C">
      <w:pPr>
        <w:pStyle w:val="p2"/>
        <w:widowControl/>
        <w:spacing w:line="360" w:lineRule="auto"/>
        <w:ind w:firstLine="1440"/>
        <w:rPr>
          <w:sz w:val="26"/>
          <w:szCs w:val="26"/>
        </w:rPr>
      </w:pPr>
    </w:p>
    <w:p w:rsidR="00352E9C" w:rsidRDefault="0014165C" w:rsidP="00352E9C">
      <w:pPr>
        <w:pStyle w:val="p2"/>
        <w:widowControl/>
        <w:spacing w:line="360" w:lineRule="auto"/>
        <w:ind w:firstLine="1440"/>
        <w:rPr>
          <w:sz w:val="26"/>
          <w:szCs w:val="26"/>
        </w:rPr>
      </w:pPr>
      <w:r>
        <w:rPr>
          <w:sz w:val="26"/>
          <w:szCs w:val="26"/>
        </w:rPr>
        <w:t>UGI-CPG</w:t>
      </w:r>
      <w:r w:rsidR="00352E9C">
        <w:rPr>
          <w:sz w:val="26"/>
          <w:szCs w:val="26"/>
        </w:rPr>
        <w:t xml:space="preserve"> maintains that the UGI Companies utilize an internal compliance department to perform regular quality and safety inspections of construction activities, and verification of qualifications.   Compliance inspectors perform unannounced job site </w:t>
      </w:r>
      <w:r w:rsidR="00352E9C">
        <w:rPr>
          <w:sz w:val="26"/>
          <w:szCs w:val="26"/>
        </w:rPr>
        <w:lastRenderedPageBreak/>
        <w:t xml:space="preserve">inspections of both Company and contractor crews.  Contractors working on the </w:t>
      </w:r>
      <w:r>
        <w:rPr>
          <w:sz w:val="26"/>
          <w:szCs w:val="26"/>
        </w:rPr>
        <w:t>UGI-CPG</w:t>
      </w:r>
      <w:r w:rsidR="00352E9C">
        <w:rPr>
          <w:sz w:val="26"/>
          <w:szCs w:val="26"/>
        </w:rPr>
        <w:t xml:space="preserve"> system must pass a rigorous review and meet all Department of Transportation regulatory requirements.  </w:t>
      </w:r>
    </w:p>
    <w:p w:rsidR="00352E9C" w:rsidRDefault="00352E9C" w:rsidP="00352E9C">
      <w:pPr>
        <w:pStyle w:val="p2"/>
        <w:widowControl/>
        <w:spacing w:line="360" w:lineRule="auto"/>
        <w:ind w:firstLine="1440"/>
        <w:rPr>
          <w:sz w:val="26"/>
          <w:szCs w:val="26"/>
        </w:rPr>
      </w:pPr>
    </w:p>
    <w:p w:rsidR="00CF23F4" w:rsidRDefault="004B655C" w:rsidP="00352E9C">
      <w:pPr>
        <w:pStyle w:val="p2"/>
        <w:tabs>
          <w:tab w:val="left" w:pos="720"/>
        </w:tabs>
        <w:spacing w:line="360" w:lineRule="auto"/>
        <w:ind w:firstLine="1440"/>
        <w:rPr>
          <w:sz w:val="26"/>
          <w:szCs w:val="26"/>
        </w:rPr>
      </w:pPr>
      <w:r>
        <w:rPr>
          <w:sz w:val="26"/>
          <w:szCs w:val="26"/>
        </w:rPr>
        <w:t xml:space="preserve">The </w:t>
      </w:r>
      <w:r w:rsidR="00352E9C">
        <w:rPr>
          <w:sz w:val="26"/>
          <w:szCs w:val="26"/>
        </w:rPr>
        <w:t xml:space="preserve">UGI Companies will hire additional personnel and contractors in order to complete the LTIIP projects.  </w:t>
      </w:r>
      <w:r w:rsidR="005D7AA0">
        <w:rPr>
          <w:sz w:val="26"/>
          <w:szCs w:val="26"/>
        </w:rPr>
        <w:t xml:space="preserve">In addition, the </w:t>
      </w:r>
      <w:r w:rsidR="00352E9C">
        <w:rPr>
          <w:sz w:val="26"/>
          <w:szCs w:val="26"/>
        </w:rPr>
        <w:t>UGI Companies have allied with university, post-secondary technical schools and veterans’ programs to identify additional personnel resources.</w:t>
      </w:r>
      <w:r w:rsidR="00355230">
        <w:rPr>
          <w:sz w:val="26"/>
          <w:szCs w:val="26"/>
        </w:rPr>
        <w:t xml:space="preserve"> </w:t>
      </w:r>
      <w:r w:rsidR="00CF23F4">
        <w:rPr>
          <w:sz w:val="26"/>
          <w:szCs w:val="26"/>
        </w:rPr>
        <w:t xml:space="preserve"> </w:t>
      </w:r>
    </w:p>
    <w:p w:rsidR="00CF23F4" w:rsidRDefault="00CF23F4" w:rsidP="00CF23F4">
      <w:pPr>
        <w:pStyle w:val="p2"/>
        <w:tabs>
          <w:tab w:val="left" w:pos="720"/>
        </w:tabs>
        <w:spacing w:line="360" w:lineRule="auto"/>
        <w:ind w:firstLine="0"/>
        <w:rPr>
          <w:sz w:val="26"/>
          <w:szCs w:val="26"/>
        </w:rPr>
      </w:pPr>
      <w:r>
        <w:rPr>
          <w:sz w:val="26"/>
          <w:szCs w:val="26"/>
        </w:rPr>
        <w:tab/>
      </w:r>
    </w:p>
    <w:p w:rsidR="00CF23F4"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tabs>
          <w:tab w:val="left" w:pos="720"/>
        </w:tabs>
        <w:spacing w:line="360" w:lineRule="auto"/>
        <w:ind w:firstLine="0"/>
        <w:rPr>
          <w:sz w:val="26"/>
          <w:szCs w:val="26"/>
        </w:rPr>
      </w:pPr>
    </w:p>
    <w:p w:rsidR="00CF23F4" w:rsidRDefault="00352E9C" w:rsidP="00352E9C">
      <w:pPr>
        <w:pStyle w:val="p7"/>
        <w:widowControl/>
        <w:tabs>
          <w:tab w:val="clear" w:pos="782"/>
          <w:tab w:val="clear" w:pos="1133"/>
          <w:tab w:val="left" w:pos="0"/>
          <w:tab w:val="left" w:pos="720"/>
        </w:tabs>
        <w:spacing w:line="360" w:lineRule="auto"/>
        <w:ind w:left="0" w:firstLine="1440"/>
        <w:rPr>
          <w:sz w:val="26"/>
          <w:szCs w:val="26"/>
        </w:rPr>
      </w:pPr>
      <w:r>
        <w:rPr>
          <w:sz w:val="26"/>
          <w:szCs w:val="26"/>
        </w:rPr>
        <w:t>No comments were received regarding the workforce management and training program.</w:t>
      </w:r>
    </w:p>
    <w:p w:rsidR="00D43F82" w:rsidRDefault="00D43F82" w:rsidP="00CF23F4">
      <w:pPr>
        <w:pStyle w:val="p2"/>
        <w:tabs>
          <w:tab w:val="left" w:pos="720"/>
        </w:tabs>
        <w:spacing w:line="360" w:lineRule="auto"/>
        <w:ind w:firstLine="0"/>
        <w:rPr>
          <w:sz w:val="26"/>
          <w:szCs w:val="26"/>
        </w:rPr>
      </w:pPr>
    </w:p>
    <w:p w:rsidR="00D43F82" w:rsidRDefault="00CF23F4" w:rsidP="00CF23F4">
      <w:pPr>
        <w:pStyle w:val="p2"/>
        <w:tabs>
          <w:tab w:val="left" w:pos="720"/>
        </w:tabs>
        <w:spacing w:line="360" w:lineRule="auto"/>
        <w:ind w:firstLine="0"/>
        <w:rPr>
          <w:sz w:val="26"/>
          <w:szCs w:val="26"/>
        </w:rPr>
      </w:pPr>
      <w:r w:rsidRPr="000F5E3D">
        <w:rPr>
          <w:b/>
          <w:sz w:val="26"/>
          <w:szCs w:val="26"/>
        </w:rPr>
        <w:t>Resolution</w:t>
      </w:r>
      <w:r>
        <w:rPr>
          <w:sz w:val="26"/>
          <w:szCs w:val="26"/>
        </w:rPr>
        <w:tab/>
      </w:r>
    </w:p>
    <w:p w:rsidR="00CF5A3A" w:rsidRDefault="00CF5A3A" w:rsidP="00D43F82">
      <w:pPr>
        <w:pStyle w:val="p2"/>
        <w:tabs>
          <w:tab w:val="left" w:pos="720"/>
        </w:tabs>
        <w:spacing w:line="360" w:lineRule="auto"/>
        <w:ind w:firstLine="1440"/>
        <w:rPr>
          <w:sz w:val="26"/>
          <w:szCs w:val="26"/>
        </w:rPr>
      </w:pPr>
    </w:p>
    <w:p w:rsidR="00CF23F4" w:rsidRDefault="00D43F82" w:rsidP="00D43F82">
      <w:pPr>
        <w:pStyle w:val="p2"/>
        <w:tabs>
          <w:tab w:val="left" w:pos="720"/>
        </w:tabs>
        <w:spacing w:line="360" w:lineRule="auto"/>
        <w:ind w:firstLine="1440"/>
        <w:rPr>
          <w:sz w:val="26"/>
          <w:szCs w:val="26"/>
        </w:rPr>
      </w:pPr>
      <w:r>
        <w:rPr>
          <w:sz w:val="26"/>
          <w:szCs w:val="26"/>
        </w:rPr>
        <w:t>As part of the planning for DSIC projects, a utility may experience the need for increased workforce, internal and contractor.  Utilities should be able to identify the projected number of jobs (or full-time equivalents) that are expected to be created through specific replacement projects.  When a utility submits its information on the eligible projects, it should supply the number of anticipated new jobs to be created by those projects.  When the DSIC funds are audited for annual reconciliation, the utility should be able to provide actual numbers for the jobs created due to specific replacement projects.</w:t>
      </w:r>
      <w:r w:rsidR="00CF23F4">
        <w:rPr>
          <w:sz w:val="26"/>
          <w:szCs w:val="26"/>
        </w:rPr>
        <w:tab/>
      </w:r>
    </w:p>
    <w:p w:rsidR="00CF23F4" w:rsidRDefault="00CF23F4" w:rsidP="00CF23F4">
      <w:pPr>
        <w:pStyle w:val="p7"/>
        <w:tabs>
          <w:tab w:val="clear" w:pos="782"/>
          <w:tab w:val="clear" w:pos="1133"/>
          <w:tab w:val="left" w:pos="720"/>
          <w:tab w:val="left" w:pos="1440"/>
        </w:tabs>
        <w:spacing w:line="360" w:lineRule="auto"/>
        <w:ind w:left="0" w:firstLine="0"/>
        <w:rPr>
          <w:sz w:val="26"/>
          <w:szCs w:val="26"/>
        </w:rPr>
      </w:pPr>
    </w:p>
    <w:p w:rsidR="00CF23F4" w:rsidRDefault="00CF23F4" w:rsidP="00F4616F">
      <w:pPr>
        <w:pStyle w:val="p7"/>
        <w:tabs>
          <w:tab w:val="clear" w:pos="782"/>
          <w:tab w:val="clear" w:pos="1133"/>
          <w:tab w:val="left" w:pos="720"/>
          <w:tab w:val="left" w:pos="1440"/>
        </w:tabs>
        <w:spacing w:line="360" w:lineRule="auto"/>
        <w:ind w:left="0" w:firstLine="1440"/>
        <w:rPr>
          <w:sz w:val="26"/>
          <w:szCs w:val="26"/>
        </w:rPr>
      </w:pPr>
      <w:r>
        <w:rPr>
          <w:sz w:val="26"/>
          <w:szCs w:val="26"/>
        </w:rPr>
        <w:t xml:space="preserve">Upon review of </w:t>
      </w:r>
      <w:r w:rsidR="0014165C">
        <w:rPr>
          <w:sz w:val="26"/>
          <w:szCs w:val="26"/>
        </w:rPr>
        <w:t>UGI-CPG</w:t>
      </w:r>
      <w:r w:rsidR="00352E9C">
        <w:rPr>
          <w:sz w:val="26"/>
          <w:szCs w:val="26"/>
        </w:rPr>
        <w:t>’s</w:t>
      </w:r>
      <w:r>
        <w:rPr>
          <w:sz w:val="26"/>
          <w:szCs w:val="26"/>
        </w:rPr>
        <w:t xml:space="preserve"> LTIIP</w:t>
      </w:r>
      <w:r w:rsidR="008A7315">
        <w:rPr>
          <w:sz w:val="26"/>
          <w:szCs w:val="26"/>
        </w:rPr>
        <w:t xml:space="preserve"> </w:t>
      </w:r>
      <w:r w:rsidR="008A7315" w:rsidRPr="00062E21">
        <w:rPr>
          <w:sz w:val="26"/>
          <w:szCs w:val="26"/>
        </w:rPr>
        <w:t>and all supplemental information and explanations filed</w:t>
      </w:r>
      <w:r>
        <w:rPr>
          <w:sz w:val="26"/>
          <w:szCs w:val="26"/>
        </w:rPr>
        <w:t>, the Commission finds that the requirements of element seven of the Fi</w:t>
      </w:r>
      <w:r w:rsidR="004C166D">
        <w:rPr>
          <w:sz w:val="26"/>
          <w:szCs w:val="26"/>
        </w:rPr>
        <w:t>nal Implementation Order</w:t>
      </w:r>
      <w:r>
        <w:rPr>
          <w:sz w:val="26"/>
          <w:szCs w:val="26"/>
        </w:rPr>
        <w:t xml:space="preserve">, a workforce management and training program, have been fulfilled. </w:t>
      </w:r>
    </w:p>
    <w:p w:rsidR="00CF23F4" w:rsidRDefault="00CF23F4" w:rsidP="004C166D">
      <w:pPr>
        <w:pStyle w:val="p2"/>
        <w:numPr>
          <w:ilvl w:val="0"/>
          <w:numId w:val="25"/>
        </w:numPr>
        <w:spacing w:line="360" w:lineRule="auto"/>
        <w:rPr>
          <w:b/>
          <w:sz w:val="26"/>
          <w:szCs w:val="26"/>
        </w:rPr>
      </w:pPr>
      <w:r>
        <w:rPr>
          <w:b/>
          <w:sz w:val="26"/>
          <w:szCs w:val="26"/>
        </w:rPr>
        <w:lastRenderedPageBreak/>
        <w:t>DESCRIPTION OF OUTREACH AND COORDINATION ACTIVITIES WITH OTHER UTILITIES, PENNDOT AND LOCAL GOVERNMENTS</w:t>
      </w:r>
      <w:r w:rsidR="004C166D">
        <w:rPr>
          <w:b/>
          <w:sz w:val="26"/>
          <w:szCs w:val="26"/>
        </w:rPr>
        <w:t xml:space="preserve"> ON PLANNED PROJECTS</w:t>
      </w:r>
    </w:p>
    <w:p w:rsidR="00CF23F4" w:rsidRDefault="00CF23F4" w:rsidP="00CF23F4">
      <w:pPr>
        <w:pStyle w:val="p2"/>
        <w:spacing w:line="360" w:lineRule="auto"/>
        <w:ind w:firstLine="0"/>
        <w:jc w:val="center"/>
        <w:rPr>
          <w:sz w:val="26"/>
          <w:szCs w:val="26"/>
        </w:rPr>
      </w:pPr>
    </w:p>
    <w:p w:rsidR="00CF23F4" w:rsidRDefault="0014165C" w:rsidP="00CF23F4">
      <w:pPr>
        <w:pStyle w:val="p2"/>
        <w:tabs>
          <w:tab w:val="left" w:pos="720"/>
        </w:tabs>
        <w:spacing w:line="360" w:lineRule="auto"/>
        <w:ind w:firstLine="0"/>
        <w:rPr>
          <w:b/>
          <w:sz w:val="26"/>
          <w:szCs w:val="26"/>
        </w:rPr>
      </w:pPr>
      <w:r>
        <w:rPr>
          <w:b/>
          <w:sz w:val="26"/>
          <w:szCs w:val="26"/>
        </w:rPr>
        <w:t>UGI-CPG</w:t>
      </w:r>
      <w:r w:rsidR="008A7315">
        <w:rPr>
          <w:b/>
          <w:sz w:val="26"/>
          <w:szCs w:val="26"/>
        </w:rPr>
        <w:t>’s</w:t>
      </w:r>
      <w:r w:rsidR="004C166D">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CF23F4" w:rsidRDefault="0014165C" w:rsidP="002260D6">
      <w:pPr>
        <w:pStyle w:val="p2"/>
        <w:tabs>
          <w:tab w:val="left" w:pos="720"/>
        </w:tabs>
        <w:spacing w:line="360" w:lineRule="auto"/>
        <w:ind w:firstLine="1440"/>
        <w:rPr>
          <w:sz w:val="26"/>
          <w:szCs w:val="26"/>
        </w:rPr>
      </w:pPr>
      <w:r>
        <w:rPr>
          <w:sz w:val="26"/>
          <w:szCs w:val="26"/>
        </w:rPr>
        <w:t>UGI-CPG</w:t>
      </w:r>
      <w:r w:rsidR="00CF5A3A">
        <w:rPr>
          <w:sz w:val="26"/>
          <w:szCs w:val="26"/>
        </w:rPr>
        <w:t xml:space="preserve"> asserts that it has a long-standing and active outreach program with local municipalities in its service territories aimed at coordinating construction projects.</w:t>
      </w:r>
      <w:r w:rsidR="00CF23F4">
        <w:rPr>
          <w:sz w:val="26"/>
          <w:szCs w:val="26"/>
        </w:rPr>
        <w:t xml:space="preserve">   </w:t>
      </w:r>
    </w:p>
    <w:p w:rsidR="00797C91" w:rsidRDefault="00797C91" w:rsidP="001F0E61">
      <w:pPr>
        <w:widowControl/>
        <w:autoSpaceDE/>
        <w:autoSpaceDN/>
        <w:adjustRightInd/>
        <w:spacing w:after="200" w:line="276" w:lineRule="auto"/>
        <w:rPr>
          <w:b/>
          <w:sz w:val="26"/>
          <w:szCs w:val="26"/>
        </w:rPr>
      </w:pPr>
    </w:p>
    <w:p w:rsidR="00CF23F4" w:rsidRPr="001F0E61" w:rsidRDefault="00CF23F4" w:rsidP="001F0E61">
      <w:pPr>
        <w:widowControl/>
        <w:autoSpaceDE/>
        <w:autoSpaceDN/>
        <w:adjustRightInd/>
        <w:spacing w:after="200" w:line="276" w:lineRule="auto"/>
        <w:rPr>
          <w:b/>
          <w:sz w:val="26"/>
          <w:szCs w:val="26"/>
        </w:rPr>
      </w:pPr>
      <w:r w:rsidRPr="001F0E61">
        <w:rPr>
          <w:b/>
          <w:sz w:val="26"/>
          <w:szCs w:val="26"/>
        </w:rPr>
        <w:t>Comments</w:t>
      </w:r>
    </w:p>
    <w:p w:rsidR="00CF23F4" w:rsidRDefault="00CF23F4" w:rsidP="00CF23F4">
      <w:pPr>
        <w:pStyle w:val="p2"/>
        <w:tabs>
          <w:tab w:val="left" w:pos="720"/>
        </w:tabs>
        <w:spacing w:line="360" w:lineRule="auto"/>
        <w:ind w:firstLine="0"/>
        <w:rPr>
          <w:sz w:val="26"/>
          <w:szCs w:val="26"/>
        </w:rPr>
      </w:pPr>
    </w:p>
    <w:p w:rsidR="00CF23F4" w:rsidRDefault="00CF5A3A" w:rsidP="002260D6">
      <w:pPr>
        <w:pStyle w:val="p2"/>
        <w:tabs>
          <w:tab w:val="left" w:pos="720"/>
        </w:tabs>
        <w:spacing w:line="360" w:lineRule="auto"/>
        <w:ind w:firstLine="1440"/>
        <w:rPr>
          <w:sz w:val="26"/>
          <w:szCs w:val="26"/>
        </w:rPr>
      </w:pPr>
      <w:r>
        <w:rPr>
          <w:sz w:val="26"/>
          <w:szCs w:val="26"/>
        </w:rPr>
        <w:t xml:space="preserve">OCA recommends that </w:t>
      </w:r>
      <w:r w:rsidR="0014165C">
        <w:rPr>
          <w:sz w:val="26"/>
          <w:szCs w:val="26"/>
        </w:rPr>
        <w:t>UGI-CPG</w:t>
      </w:r>
      <w:r>
        <w:rPr>
          <w:sz w:val="26"/>
          <w:szCs w:val="26"/>
        </w:rPr>
        <w:t xml:space="preserve"> submit a report on its plans to coordinate with other utilities, agencies and local municipalities that may be planning sewer, water, paving and other utility projects. </w:t>
      </w:r>
      <w:r w:rsidR="003D70A1">
        <w:rPr>
          <w:sz w:val="26"/>
          <w:szCs w:val="26"/>
        </w:rPr>
        <w:t xml:space="preserve"> </w:t>
      </w:r>
    </w:p>
    <w:p w:rsidR="00CF23F4" w:rsidRDefault="00CF23F4" w:rsidP="00CF23F4">
      <w:pPr>
        <w:pStyle w:val="p2"/>
        <w:tabs>
          <w:tab w:val="left" w:pos="720"/>
        </w:tabs>
        <w:spacing w:line="360" w:lineRule="auto"/>
        <w:ind w:firstLine="0"/>
        <w:rPr>
          <w:sz w:val="26"/>
          <w:szCs w:val="26"/>
        </w:rPr>
      </w:pPr>
      <w:r>
        <w:rPr>
          <w:sz w:val="26"/>
          <w:szCs w:val="26"/>
        </w:rPr>
        <w:tab/>
      </w:r>
      <w:r>
        <w:rPr>
          <w:sz w:val="26"/>
          <w:szCs w:val="26"/>
        </w:rPr>
        <w:tab/>
      </w:r>
    </w:p>
    <w:p w:rsidR="00CF23F4" w:rsidRDefault="00CF23F4" w:rsidP="00CF23F4">
      <w:pPr>
        <w:pStyle w:val="p2"/>
        <w:tabs>
          <w:tab w:val="left" w:pos="720"/>
        </w:tabs>
        <w:spacing w:line="360" w:lineRule="auto"/>
        <w:ind w:firstLine="0"/>
        <w:rPr>
          <w:b/>
          <w:sz w:val="26"/>
          <w:szCs w:val="26"/>
        </w:rPr>
      </w:pPr>
      <w:r w:rsidRPr="000F5E3D">
        <w:rPr>
          <w:b/>
          <w:sz w:val="26"/>
          <w:szCs w:val="26"/>
        </w:rPr>
        <w:t>Resolution</w:t>
      </w:r>
    </w:p>
    <w:p w:rsidR="00CF23F4" w:rsidRDefault="00CF23F4" w:rsidP="00CF23F4">
      <w:pPr>
        <w:pStyle w:val="p2"/>
        <w:spacing w:line="360" w:lineRule="auto"/>
        <w:ind w:firstLine="0"/>
        <w:rPr>
          <w:sz w:val="26"/>
          <w:szCs w:val="26"/>
        </w:rPr>
      </w:pPr>
    </w:p>
    <w:p w:rsidR="00CF5A3A" w:rsidRPr="00ED3DA9" w:rsidRDefault="00CF5A3A" w:rsidP="00CF5A3A">
      <w:pPr>
        <w:pStyle w:val="p2"/>
        <w:widowControl/>
        <w:spacing w:line="360" w:lineRule="auto"/>
        <w:ind w:firstLine="0"/>
        <w:rPr>
          <w:b/>
          <w:sz w:val="26"/>
          <w:szCs w:val="26"/>
          <w:u w:val="single"/>
        </w:rPr>
      </w:pPr>
      <w:r>
        <w:rPr>
          <w:sz w:val="26"/>
          <w:szCs w:val="26"/>
        </w:rPr>
        <w:tab/>
        <w:t xml:space="preserve">In response to Commission Staff data requests TUS-I-2 and TUS-III-1, </w:t>
      </w:r>
      <w:r w:rsidR="0014165C">
        <w:rPr>
          <w:sz w:val="26"/>
          <w:szCs w:val="26"/>
        </w:rPr>
        <w:t>UGI-CPG</w:t>
      </w:r>
      <w:r>
        <w:rPr>
          <w:sz w:val="26"/>
          <w:szCs w:val="26"/>
        </w:rPr>
        <w:t xml:space="preserve"> provides that it performs significant efforts to coordinate operations and maintenance activities with other infrastructure owners including highway agencies, water/sewer authorities, and municipalities.  As a registered infrastructure owner in the Pennsylvania One-Call System, </w:t>
      </w:r>
      <w:r w:rsidR="0014165C">
        <w:rPr>
          <w:sz w:val="26"/>
          <w:szCs w:val="26"/>
        </w:rPr>
        <w:t>UGI-CPG</w:t>
      </w:r>
      <w:r>
        <w:rPr>
          <w:sz w:val="26"/>
          <w:szCs w:val="26"/>
        </w:rPr>
        <w:t xml:space="preserve"> asserts it is notified of planned work which may impact utility facilities.  As a part of the design and planning process, engineering consulting firms and infrastructure owners utilize Design Notices to provide </w:t>
      </w:r>
      <w:r w:rsidR="0014165C">
        <w:rPr>
          <w:sz w:val="26"/>
          <w:szCs w:val="26"/>
        </w:rPr>
        <w:t>UGI-CPG</w:t>
      </w:r>
      <w:r>
        <w:rPr>
          <w:sz w:val="26"/>
          <w:szCs w:val="26"/>
        </w:rPr>
        <w:t xml:space="preserve"> with advance pre-construction notification of projects which may impact utility infrastructure.  In response to Design Notices, </w:t>
      </w:r>
      <w:r w:rsidR="0014165C">
        <w:rPr>
          <w:sz w:val="26"/>
          <w:szCs w:val="26"/>
        </w:rPr>
        <w:t>UGI-CPG</w:t>
      </w:r>
      <w:r>
        <w:rPr>
          <w:sz w:val="26"/>
          <w:szCs w:val="26"/>
        </w:rPr>
        <w:t xml:space="preserve"> conveys that it is alerted to project plans and provides detailed information to support infrastructure coordination </w:t>
      </w:r>
      <w:r>
        <w:rPr>
          <w:sz w:val="26"/>
          <w:szCs w:val="26"/>
        </w:rPr>
        <w:lastRenderedPageBreak/>
        <w:t xml:space="preserve">efforts.  </w:t>
      </w:r>
      <w:r w:rsidR="0014165C">
        <w:rPr>
          <w:sz w:val="26"/>
          <w:szCs w:val="26"/>
        </w:rPr>
        <w:t>UGI-CPG</w:t>
      </w:r>
      <w:r>
        <w:rPr>
          <w:sz w:val="26"/>
          <w:szCs w:val="26"/>
        </w:rPr>
        <w:t xml:space="preserve"> sets forth that Design Notices have proven useful in identifying and resolving potential utility conflicts in advance of field construction.  Further, </w:t>
      </w:r>
      <w:r w:rsidR="0014165C">
        <w:rPr>
          <w:sz w:val="26"/>
          <w:szCs w:val="26"/>
        </w:rPr>
        <w:t>UGI-CPG</w:t>
      </w:r>
      <w:r>
        <w:rPr>
          <w:sz w:val="26"/>
          <w:szCs w:val="26"/>
        </w:rPr>
        <w:t xml:space="preserve"> asserts that Design Notices have alerted </w:t>
      </w:r>
      <w:r w:rsidR="0014165C">
        <w:rPr>
          <w:sz w:val="26"/>
          <w:szCs w:val="26"/>
        </w:rPr>
        <w:t>UGI-CPG</w:t>
      </w:r>
      <w:r>
        <w:rPr>
          <w:sz w:val="26"/>
          <w:szCs w:val="26"/>
        </w:rPr>
        <w:t xml:space="preserve"> to projects where accelerated replacement of gas infrastructure afforded the ability to minimize future restoration costs.  </w:t>
      </w:r>
    </w:p>
    <w:p w:rsidR="00CF5A3A" w:rsidRDefault="00CF5A3A" w:rsidP="00CF5A3A">
      <w:pPr>
        <w:pStyle w:val="p2"/>
        <w:widowControl/>
        <w:spacing w:line="360" w:lineRule="auto"/>
        <w:ind w:firstLine="0"/>
        <w:rPr>
          <w:sz w:val="26"/>
          <w:szCs w:val="26"/>
        </w:rPr>
      </w:pPr>
    </w:p>
    <w:p w:rsidR="00CF5A3A" w:rsidRDefault="00CF5A3A" w:rsidP="00CF5A3A">
      <w:pPr>
        <w:pStyle w:val="p2"/>
        <w:widowControl/>
        <w:spacing w:line="360" w:lineRule="auto"/>
        <w:ind w:firstLine="0"/>
        <w:rPr>
          <w:sz w:val="26"/>
          <w:szCs w:val="26"/>
        </w:rPr>
      </w:pPr>
      <w:r>
        <w:rPr>
          <w:sz w:val="26"/>
          <w:szCs w:val="26"/>
        </w:rPr>
        <w:tab/>
      </w:r>
      <w:r w:rsidR="0014165C">
        <w:rPr>
          <w:sz w:val="26"/>
          <w:szCs w:val="26"/>
        </w:rPr>
        <w:t>UGI-CPG</w:t>
      </w:r>
      <w:r>
        <w:rPr>
          <w:sz w:val="26"/>
          <w:szCs w:val="26"/>
        </w:rPr>
        <w:t xml:space="preserve"> indicates that it also coordinates operation and maintenance activity with water and sewer entities.  </w:t>
      </w:r>
      <w:r w:rsidR="0014165C">
        <w:rPr>
          <w:sz w:val="26"/>
          <w:szCs w:val="26"/>
        </w:rPr>
        <w:t>UGI-CPG</w:t>
      </w:r>
      <w:r>
        <w:rPr>
          <w:sz w:val="26"/>
          <w:szCs w:val="26"/>
        </w:rPr>
        <w:t xml:space="preserve"> states that water and sewer issues may create the potential for subsidence or creation of sink-holes, which can remove the support for adjacent utilities.  Whether identified through routine system surveillance, or in response to reports of subsidence received from municipal authorities or water/sewer utilities, </w:t>
      </w:r>
      <w:r w:rsidR="0014165C">
        <w:rPr>
          <w:sz w:val="26"/>
          <w:szCs w:val="26"/>
        </w:rPr>
        <w:t>UGI-CPG</w:t>
      </w:r>
      <w:r>
        <w:rPr>
          <w:sz w:val="26"/>
          <w:szCs w:val="26"/>
        </w:rPr>
        <w:t xml:space="preserve"> contends that it takes additional steps to ensure infrastructure integrity by performing additional leak surveys of affected facilities, providing inspection and monitoring during sink-hole repairs, temporarily de-pressurizing lines subjected to instability, and relocating lines away from areas of subsidence.   In addition to these efforts, </w:t>
      </w:r>
      <w:r w:rsidR="0014165C">
        <w:rPr>
          <w:sz w:val="26"/>
          <w:szCs w:val="26"/>
        </w:rPr>
        <w:t>UGI-CPG</w:t>
      </w:r>
      <w:r>
        <w:rPr>
          <w:sz w:val="26"/>
          <w:szCs w:val="26"/>
        </w:rPr>
        <w:t xml:space="preserve"> maintains that it records the presence of sink-holes or subsidence in a Geographic Information System to facilitate data integration for risk analysis.  </w:t>
      </w:r>
    </w:p>
    <w:p w:rsidR="00CF5A3A" w:rsidRDefault="00CF5A3A" w:rsidP="00CF5A3A">
      <w:pPr>
        <w:pStyle w:val="p2"/>
        <w:widowControl/>
        <w:spacing w:line="360" w:lineRule="auto"/>
        <w:ind w:firstLine="0"/>
        <w:rPr>
          <w:sz w:val="26"/>
          <w:szCs w:val="26"/>
        </w:rPr>
      </w:pPr>
    </w:p>
    <w:p w:rsidR="00CF5A3A" w:rsidRDefault="00CF5A3A" w:rsidP="00CF5A3A">
      <w:pPr>
        <w:pStyle w:val="p2"/>
        <w:widowControl/>
        <w:spacing w:line="360" w:lineRule="auto"/>
        <w:ind w:firstLine="0"/>
        <w:rPr>
          <w:sz w:val="26"/>
          <w:szCs w:val="26"/>
        </w:rPr>
      </w:pPr>
      <w:r>
        <w:rPr>
          <w:sz w:val="26"/>
          <w:szCs w:val="26"/>
        </w:rPr>
        <w:tab/>
      </w:r>
      <w:r w:rsidR="0014165C">
        <w:rPr>
          <w:sz w:val="26"/>
          <w:szCs w:val="26"/>
        </w:rPr>
        <w:t>UGI-CPG</w:t>
      </w:r>
      <w:r>
        <w:rPr>
          <w:sz w:val="26"/>
          <w:szCs w:val="26"/>
        </w:rPr>
        <w:t xml:space="preserve"> asserts </w:t>
      </w:r>
      <w:r w:rsidR="00797C91">
        <w:rPr>
          <w:sz w:val="26"/>
          <w:szCs w:val="26"/>
        </w:rPr>
        <w:t>that on an annual basis it</w:t>
      </w:r>
      <w:r>
        <w:rPr>
          <w:sz w:val="26"/>
          <w:szCs w:val="26"/>
        </w:rPr>
        <w:t xml:space="preserve"> performs outreach to roadway authorities to identify planned roadway resurfacing and reconstruction projects.  </w:t>
      </w:r>
      <w:r w:rsidR="0014165C">
        <w:rPr>
          <w:sz w:val="26"/>
          <w:szCs w:val="26"/>
        </w:rPr>
        <w:t>UGI-CPG</w:t>
      </w:r>
      <w:r>
        <w:rPr>
          <w:sz w:val="26"/>
          <w:szCs w:val="26"/>
        </w:rPr>
        <w:t xml:space="preserve"> issues template letter</w:t>
      </w:r>
      <w:r w:rsidR="00797C91">
        <w:rPr>
          <w:sz w:val="26"/>
          <w:szCs w:val="26"/>
        </w:rPr>
        <w:t>s</w:t>
      </w:r>
      <w:r>
        <w:rPr>
          <w:sz w:val="26"/>
          <w:szCs w:val="26"/>
        </w:rPr>
        <w:t xml:space="preserve"> to highway stakeholders to gather information to better coordinate and align utility infrastructure replacement projects with transportation infrastructure plans.  </w:t>
      </w:r>
      <w:r w:rsidR="0014165C">
        <w:rPr>
          <w:sz w:val="26"/>
          <w:szCs w:val="26"/>
        </w:rPr>
        <w:t>UGI-CPG</w:t>
      </w:r>
      <w:r>
        <w:rPr>
          <w:sz w:val="26"/>
          <w:szCs w:val="26"/>
        </w:rPr>
        <w:t xml:space="preserve"> offers that</w:t>
      </w:r>
      <w:r w:rsidR="00D72CFB">
        <w:rPr>
          <w:sz w:val="26"/>
          <w:szCs w:val="26"/>
        </w:rPr>
        <w:t>,</w:t>
      </w:r>
      <w:r>
        <w:rPr>
          <w:sz w:val="26"/>
          <w:szCs w:val="26"/>
        </w:rPr>
        <w:t xml:space="preserve"> in addition to the written outreach, periodic meetings are held with governmental officials to identify changes in project plans and to coordinate the efforts on major projects</w:t>
      </w:r>
      <w:r w:rsidR="00797C91">
        <w:rPr>
          <w:sz w:val="26"/>
          <w:szCs w:val="26"/>
        </w:rPr>
        <w:t xml:space="preserve">.  </w:t>
      </w:r>
      <w:r w:rsidR="00695B46" w:rsidRPr="00C649AC">
        <w:rPr>
          <w:sz w:val="26"/>
          <w:szCs w:val="26"/>
        </w:rPr>
        <w:t>In 2013 UGI-CPG Engineering Staff held meetings or discussions with larger municipalities including Waynesboro Borough, Shippensburg Borough, and Coal Township</w:t>
      </w:r>
      <w:r w:rsidR="00695B46">
        <w:rPr>
          <w:sz w:val="26"/>
          <w:szCs w:val="26"/>
        </w:rPr>
        <w:t>,</w:t>
      </w:r>
      <w:r w:rsidR="00695B46" w:rsidRPr="00C649AC">
        <w:rPr>
          <w:sz w:val="26"/>
          <w:szCs w:val="26"/>
        </w:rPr>
        <w:t xml:space="preserve"> among others.</w:t>
      </w:r>
      <w:r w:rsidRPr="00916237">
        <w:rPr>
          <w:sz w:val="26"/>
          <w:szCs w:val="26"/>
        </w:rPr>
        <w:t xml:space="preserve">  Additionally</w:t>
      </w:r>
      <w:r>
        <w:rPr>
          <w:sz w:val="26"/>
          <w:szCs w:val="26"/>
        </w:rPr>
        <w:t xml:space="preserve">, </w:t>
      </w:r>
      <w:r w:rsidR="0014165C">
        <w:rPr>
          <w:sz w:val="26"/>
          <w:szCs w:val="26"/>
        </w:rPr>
        <w:t>UGI-CPG</w:t>
      </w:r>
      <w:r>
        <w:rPr>
          <w:sz w:val="26"/>
          <w:szCs w:val="26"/>
        </w:rPr>
        <w:t xml:space="preserve"> governmental affairs staff periodically meets with local mayors to review replacement program progress and to identify any local issues of concern.  Secondly, </w:t>
      </w:r>
      <w:r w:rsidR="0014165C">
        <w:rPr>
          <w:sz w:val="26"/>
          <w:szCs w:val="26"/>
        </w:rPr>
        <w:t>UGI-CPG</w:t>
      </w:r>
      <w:r>
        <w:rPr>
          <w:sz w:val="26"/>
          <w:szCs w:val="26"/>
        </w:rPr>
        <w:t xml:space="preserve"> maintains close contact with </w:t>
      </w:r>
      <w:proofErr w:type="spellStart"/>
      <w:r>
        <w:rPr>
          <w:sz w:val="26"/>
          <w:szCs w:val="26"/>
        </w:rPr>
        <w:t>PennDOT</w:t>
      </w:r>
      <w:proofErr w:type="spellEnd"/>
      <w:r>
        <w:rPr>
          <w:sz w:val="26"/>
          <w:szCs w:val="26"/>
        </w:rPr>
        <w:t xml:space="preserve"> Local Utility Coordinators throughout the year to </w:t>
      </w:r>
      <w:r>
        <w:rPr>
          <w:sz w:val="26"/>
          <w:szCs w:val="26"/>
        </w:rPr>
        <w:lastRenderedPageBreak/>
        <w:t xml:space="preserve">coordinate utility relocation projects and to identify changes in </w:t>
      </w:r>
      <w:proofErr w:type="spellStart"/>
      <w:r>
        <w:rPr>
          <w:sz w:val="26"/>
          <w:szCs w:val="26"/>
        </w:rPr>
        <w:t>PennDOT</w:t>
      </w:r>
      <w:proofErr w:type="spellEnd"/>
      <w:r>
        <w:rPr>
          <w:sz w:val="26"/>
          <w:szCs w:val="26"/>
        </w:rPr>
        <w:t xml:space="preserve"> projects priorities.  Third, planning in coordination with local water utilities is utilized to stage projects for the purpose of sharing pavement restoration cost and minimizing disturbances to neighborhoods.  Finally, </w:t>
      </w:r>
      <w:r w:rsidR="0014165C">
        <w:rPr>
          <w:sz w:val="26"/>
          <w:szCs w:val="26"/>
        </w:rPr>
        <w:t>UGI-CPG</w:t>
      </w:r>
      <w:r>
        <w:rPr>
          <w:sz w:val="26"/>
          <w:szCs w:val="26"/>
        </w:rPr>
        <w:t xml:space="preserve"> utilizes press releases on major projects to increase community awareness in advance of replacement activities.</w:t>
      </w:r>
    </w:p>
    <w:p w:rsidR="00CF5A3A" w:rsidRDefault="00CF5A3A" w:rsidP="00CF5A3A">
      <w:pPr>
        <w:pStyle w:val="p2"/>
        <w:widowControl/>
        <w:spacing w:line="360" w:lineRule="auto"/>
        <w:ind w:firstLine="0"/>
        <w:rPr>
          <w:sz w:val="26"/>
          <w:szCs w:val="26"/>
        </w:rPr>
      </w:pPr>
    </w:p>
    <w:p w:rsidR="00CF23F4" w:rsidRDefault="00CF5A3A" w:rsidP="00CF5A3A">
      <w:pPr>
        <w:pStyle w:val="p7"/>
        <w:tabs>
          <w:tab w:val="clear" w:pos="782"/>
          <w:tab w:val="clear" w:pos="1133"/>
          <w:tab w:val="left" w:pos="720"/>
          <w:tab w:val="left" w:pos="1440"/>
        </w:tabs>
        <w:spacing w:line="360" w:lineRule="auto"/>
        <w:ind w:left="0" w:firstLine="1440"/>
        <w:rPr>
          <w:sz w:val="26"/>
          <w:szCs w:val="26"/>
        </w:rPr>
      </w:pPr>
      <w:r>
        <w:rPr>
          <w:sz w:val="26"/>
          <w:szCs w:val="26"/>
        </w:rPr>
        <w:t xml:space="preserve">In addition to the aforementioned efforts, </w:t>
      </w:r>
      <w:r w:rsidR="0014165C">
        <w:rPr>
          <w:sz w:val="26"/>
          <w:szCs w:val="26"/>
        </w:rPr>
        <w:t>UGI-CPG</w:t>
      </w:r>
      <w:r>
        <w:rPr>
          <w:sz w:val="26"/>
          <w:szCs w:val="26"/>
        </w:rPr>
        <w:t xml:space="preserve"> maintains an infrastructure project section on the UGI.com website.  The website provides utility coordination information including project lists by municipality, infrastructure press releases, and answers to frequently asked questions.</w:t>
      </w:r>
      <w:r w:rsidR="00CF23F4">
        <w:rPr>
          <w:sz w:val="26"/>
          <w:szCs w:val="26"/>
        </w:rPr>
        <w:t xml:space="preserve">  </w:t>
      </w:r>
    </w:p>
    <w:p w:rsidR="00CF23F4" w:rsidRDefault="00CF23F4" w:rsidP="002260D6">
      <w:pPr>
        <w:pStyle w:val="p7"/>
        <w:tabs>
          <w:tab w:val="clear" w:pos="782"/>
          <w:tab w:val="clear" w:pos="1133"/>
          <w:tab w:val="left" w:pos="720"/>
          <w:tab w:val="left" w:pos="1440"/>
        </w:tabs>
        <w:spacing w:line="360" w:lineRule="auto"/>
        <w:ind w:left="0" w:firstLine="1440"/>
        <w:rPr>
          <w:sz w:val="26"/>
          <w:szCs w:val="26"/>
        </w:rPr>
      </w:pPr>
    </w:p>
    <w:p w:rsidR="006935F3" w:rsidRDefault="00CF23F4" w:rsidP="001F0E61">
      <w:pPr>
        <w:pStyle w:val="p7"/>
        <w:tabs>
          <w:tab w:val="clear" w:pos="782"/>
          <w:tab w:val="clear" w:pos="1133"/>
          <w:tab w:val="left" w:pos="720"/>
          <w:tab w:val="left" w:pos="1440"/>
        </w:tabs>
        <w:spacing w:line="360" w:lineRule="auto"/>
        <w:ind w:left="0" w:firstLine="1440"/>
        <w:rPr>
          <w:sz w:val="26"/>
          <w:szCs w:val="26"/>
        </w:rPr>
      </w:pPr>
      <w:r>
        <w:rPr>
          <w:sz w:val="26"/>
          <w:szCs w:val="26"/>
        </w:rPr>
        <w:t xml:space="preserve">Upon review of </w:t>
      </w:r>
      <w:r w:rsidR="0014165C">
        <w:rPr>
          <w:sz w:val="26"/>
          <w:szCs w:val="26"/>
        </w:rPr>
        <w:t>UGI-CPG</w:t>
      </w:r>
      <w:r w:rsidR="002D6C53">
        <w:rPr>
          <w:sz w:val="26"/>
          <w:szCs w:val="26"/>
        </w:rPr>
        <w:t>’s</w:t>
      </w:r>
      <w:r>
        <w:rPr>
          <w:sz w:val="26"/>
          <w:szCs w:val="26"/>
        </w:rPr>
        <w:t xml:space="preserve"> LTIIP and all supplemental information and explanations filed, the Commission finds that the requirements of element eight of the Fi</w:t>
      </w:r>
      <w:r w:rsidR="003D70A1">
        <w:rPr>
          <w:sz w:val="26"/>
          <w:szCs w:val="26"/>
        </w:rPr>
        <w:t>nal Implementation Order</w:t>
      </w:r>
      <w:r>
        <w:rPr>
          <w:sz w:val="26"/>
          <w:szCs w:val="26"/>
        </w:rPr>
        <w:t>, a descript</w:t>
      </w:r>
      <w:r w:rsidR="00797C91">
        <w:rPr>
          <w:sz w:val="26"/>
          <w:szCs w:val="26"/>
        </w:rPr>
        <w:t>ion of a utility’s outreach and</w:t>
      </w:r>
      <w:r>
        <w:rPr>
          <w:sz w:val="26"/>
          <w:szCs w:val="26"/>
        </w:rPr>
        <w:t xml:space="preserve"> coordination activities with other utilities, </w:t>
      </w:r>
      <w:proofErr w:type="spellStart"/>
      <w:r>
        <w:rPr>
          <w:sz w:val="26"/>
          <w:szCs w:val="26"/>
        </w:rPr>
        <w:t>PennDOT</w:t>
      </w:r>
      <w:proofErr w:type="spellEnd"/>
      <w:r>
        <w:rPr>
          <w:sz w:val="26"/>
          <w:szCs w:val="26"/>
        </w:rPr>
        <w:t xml:space="preserve"> and local governments on planned maintenance/construction projects, have been fulfilled. </w:t>
      </w:r>
    </w:p>
    <w:p w:rsidR="006935F3" w:rsidRDefault="006935F3" w:rsidP="001F0E61">
      <w:pPr>
        <w:pStyle w:val="p7"/>
        <w:tabs>
          <w:tab w:val="clear" w:pos="782"/>
          <w:tab w:val="clear" w:pos="1133"/>
          <w:tab w:val="left" w:pos="720"/>
          <w:tab w:val="left" w:pos="1440"/>
        </w:tabs>
        <w:spacing w:line="360" w:lineRule="auto"/>
        <w:ind w:left="0" w:firstLine="1440"/>
      </w:pPr>
    </w:p>
    <w:p w:rsidR="00CF23F4" w:rsidRPr="00062E21" w:rsidRDefault="00CF23F4" w:rsidP="00CF23F4">
      <w:pPr>
        <w:pStyle w:val="p2"/>
        <w:keepNext/>
        <w:widowControl/>
        <w:spacing w:line="360" w:lineRule="auto"/>
        <w:ind w:firstLine="0"/>
        <w:jc w:val="center"/>
        <w:rPr>
          <w:b/>
          <w:sz w:val="26"/>
          <w:szCs w:val="26"/>
        </w:rPr>
      </w:pPr>
      <w:r w:rsidRPr="00062E21">
        <w:rPr>
          <w:b/>
          <w:sz w:val="26"/>
          <w:szCs w:val="26"/>
        </w:rPr>
        <w:t xml:space="preserve">LTIIP </w:t>
      </w:r>
      <w:r>
        <w:rPr>
          <w:b/>
          <w:sz w:val="26"/>
          <w:szCs w:val="26"/>
        </w:rPr>
        <w:t>SUMMARY</w:t>
      </w:r>
    </w:p>
    <w:p w:rsidR="00CF23F4" w:rsidRPr="00062E21" w:rsidRDefault="00CF23F4" w:rsidP="00CF23F4">
      <w:pPr>
        <w:pStyle w:val="p2"/>
        <w:keepNext/>
        <w:widowControl/>
        <w:spacing w:line="360" w:lineRule="auto"/>
        <w:ind w:firstLine="0"/>
        <w:rPr>
          <w:sz w:val="26"/>
          <w:szCs w:val="26"/>
        </w:rPr>
      </w:pPr>
    </w:p>
    <w:p w:rsidR="004C4BB2" w:rsidRPr="00F4616F" w:rsidRDefault="00CF23F4" w:rsidP="00F4616F">
      <w:pPr>
        <w:spacing w:line="360" w:lineRule="auto"/>
        <w:ind w:firstLine="1440"/>
        <w:rPr>
          <w:sz w:val="26"/>
          <w:szCs w:val="26"/>
          <w:highlight w:val="yellow"/>
        </w:rPr>
      </w:pPr>
      <w:r w:rsidRPr="000D321B">
        <w:rPr>
          <w:sz w:val="26"/>
          <w:szCs w:val="26"/>
        </w:rPr>
        <w:t xml:space="preserve">The Commission has reviewed each of the eight required elements of </w:t>
      </w:r>
      <w:r w:rsidR="0014165C">
        <w:rPr>
          <w:sz w:val="26"/>
          <w:szCs w:val="26"/>
        </w:rPr>
        <w:t>UGI-CPG</w:t>
      </w:r>
      <w:r w:rsidR="002D6C53" w:rsidRPr="000D321B">
        <w:rPr>
          <w:sz w:val="26"/>
          <w:szCs w:val="26"/>
        </w:rPr>
        <w:t>’s</w:t>
      </w:r>
      <w:r w:rsidRPr="000D321B">
        <w:rPr>
          <w:sz w:val="26"/>
          <w:szCs w:val="26"/>
        </w:rPr>
        <w:t xml:space="preserve"> Petition for Approval of its LTIIP individually and has taken into account the comments received on </w:t>
      </w:r>
      <w:r w:rsidR="002D6C53" w:rsidRPr="000D321B">
        <w:rPr>
          <w:sz w:val="26"/>
          <w:szCs w:val="26"/>
        </w:rPr>
        <w:t xml:space="preserve">this petition.  </w:t>
      </w:r>
      <w:r w:rsidRPr="000D321B">
        <w:rPr>
          <w:sz w:val="26"/>
          <w:szCs w:val="26"/>
        </w:rPr>
        <w:t xml:space="preserve">While the Commission’s </w:t>
      </w:r>
      <w:r w:rsidRPr="000D321B">
        <w:rPr>
          <w:iCs/>
          <w:sz w:val="26"/>
          <w:szCs w:val="26"/>
        </w:rPr>
        <w:t>Final Implementation Order</w:t>
      </w:r>
      <w:r w:rsidRPr="000D321B">
        <w:rPr>
          <w:sz w:val="26"/>
          <w:szCs w:val="26"/>
        </w:rPr>
        <w:t xml:space="preserve"> stated, at page 18, that the LTIIP “need only address the specific property eligible for DSIC recovery,” the inclusion of arguably non-DSIC-eligible property does not void the LTIIP application, nor is the inclusion of such property in the LTIIP dispositive of whether the cost of that project will be afforded DSIC recovery.  The issues of eligibility and cost recovery, for all property claimed as DSIC-eligible, are to be addressed and resolved in the subsequent DSIC petition and calculation.  Accordingly, </w:t>
      </w:r>
      <w:r w:rsidR="0014165C">
        <w:rPr>
          <w:sz w:val="26"/>
          <w:szCs w:val="26"/>
        </w:rPr>
        <w:t>UGI-CPG</w:t>
      </w:r>
      <w:r w:rsidR="002D6C53" w:rsidRPr="000D321B">
        <w:rPr>
          <w:sz w:val="26"/>
          <w:szCs w:val="26"/>
        </w:rPr>
        <w:t>’s</w:t>
      </w:r>
      <w:r w:rsidRPr="000D321B">
        <w:rPr>
          <w:sz w:val="26"/>
          <w:szCs w:val="26"/>
        </w:rPr>
        <w:t xml:space="preserve"> LTIIP is approved.</w:t>
      </w:r>
    </w:p>
    <w:p w:rsidR="00B76080" w:rsidRPr="00062E21" w:rsidRDefault="0014165C" w:rsidP="00B76080">
      <w:pPr>
        <w:pStyle w:val="p2"/>
        <w:widowControl/>
        <w:spacing w:line="360" w:lineRule="auto"/>
        <w:ind w:firstLine="0"/>
        <w:jc w:val="center"/>
        <w:rPr>
          <w:b/>
          <w:sz w:val="26"/>
          <w:szCs w:val="26"/>
        </w:rPr>
      </w:pPr>
      <w:r>
        <w:rPr>
          <w:b/>
          <w:sz w:val="26"/>
          <w:szCs w:val="26"/>
        </w:rPr>
        <w:lastRenderedPageBreak/>
        <w:t>UGI-CPG</w:t>
      </w:r>
      <w:r w:rsidR="00C237AA">
        <w:rPr>
          <w:b/>
          <w:sz w:val="26"/>
          <w:szCs w:val="26"/>
        </w:rPr>
        <w:t>’S</w:t>
      </w:r>
      <w:r w:rsidR="00B76080" w:rsidRPr="00062E21">
        <w:rPr>
          <w:b/>
          <w:sz w:val="26"/>
          <w:szCs w:val="26"/>
        </w:rPr>
        <w:t xml:space="preserve"> DISTRIBUTION SYSTEM IMPROVEMENT </w:t>
      </w:r>
      <w:r w:rsidR="00B76080">
        <w:rPr>
          <w:b/>
          <w:sz w:val="26"/>
          <w:szCs w:val="26"/>
        </w:rPr>
        <w:t>CHARGE PETITON</w:t>
      </w:r>
    </w:p>
    <w:p w:rsidR="00B76080" w:rsidRPr="00062E21" w:rsidRDefault="00B76080" w:rsidP="00B76080">
      <w:pPr>
        <w:pStyle w:val="p7"/>
        <w:widowControl/>
        <w:tabs>
          <w:tab w:val="clear" w:pos="782"/>
          <w:tab w:val="clear" w:pos="1133"/>
          <w:tab w:val="left" w:pos="0"/>
          <w:tab w:val="left" w:pos="720"/>
        </w:tabs>
        <w:spacing w:line="360" w:lineRule="auto"/>
        <w:ind w:left="0" w:firstLine="0"/>
        <w:rPr>
          <w:sz w:val="26"/>
          <w:szCs w:val="26"/>
        </w:rPr>
      </w:pPr>
    </w:p>
    <w:p w:rsidR="00B76080" w:rsidRPr="00062E21" w:rsidRDefault="00B76080" w:rsidP="00B76080">
      <w:pPr>
        <w:widowControl/>
        <w:tabs>
          <w:tab w:val="left" w:pos="720"/>
        </w:tabs>
        <w:spacing w:line="360" w:lineRule="auto"/>
        <w:ind w:firstLine="1440"/>
        <w:rPr>
          <w:bCs/>
          <w:sz w:val="26"/>
          <w:szCs w:val="26"/>
        </w:rPr>
      </w:pPr>
      <w:r w:rsidRPr="00062E21">
        <w:rPr>
          <w:sz w:val="26"/>
          <w:szCs w:val="26"/>
        </w:rPr>
        <w:t>Section</w:t>
      </w:r>
      <w:r w:rsidRPr="00062E21">
        <w:rPr>
          <w:bCs/>
          <w:sz w:val="26"/>
          <w:szCs w:val="26"/>
        </w:rPr>
        <w:t xml:space="preserve"> 1353 requires utilities to file a petition seeking approval of a DSIC that includes the following:</w:t>
      </w:r>
    </w:p>
    <w:p w:rsidR="00B76080" w:rsidRPr="00062E21" w:rsidRDefault="00B76080" w:rsidP="00B76080">
      <w:pPr>
        <w:widowControl/>
        <w:tabs>
          <w:tab w:val="left" w:pos="720"/>
        </w:tabs>
        <w:spacing w:line="360" w:lineRule="auto"/>
        <w:ind w:firstLine="720"/>
        <w:rPr>
          <w:bCs/>
          <w:sz w:val="26"/>
          <w:szCs w:val="26"/>
        </w:rPr>
      </w:pPr>
    </w:p>
    <w:p w:rsidR="00B76080" w:rsidRPr="00062E21"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sidRPr="00062E21">
        <w:rPr>
          <w:bCs/>
          <w:sz w:val="26"/>
          <w:szCs w:val="26"/>
        </w:rPr>
        <w:t>An initial tariff that complies with the Model Tariff adopted by the Commission, which includes:</w:t>
      </w:r>
    </w:p>
    <w:p w:rsidR="00B76080"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062E21">
        <w:rPr>
          <w:bCs/>
          <w:sz w:val="26"/>
          <w:szCs w:val="26"/>
        </w:rPr>
        <w:t>A description of eligible property;</w:t>
      </w:r>
    </w:p>
    <w:p w:rsidR="00B76080" w:rsidRPr="00062E21"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062E21">
        <w:rPr>
          <w:bCs/>
          <w:sz w:val="26"/>
          <w:szCs w:val="26"/>
        </w:rPr>
        <w:t>The effective date of the DSIC</w:t>
      </w:r>
      <w:r>
        <w:rPr>
          <w:bCs/>
          <w:sz w:val="26"/>
          <w:szCs w:val="26"/>
        </w:rPr>
        <w:t>;</w:t>
      </w:r>
    </w:p>
    <w:p w:rsidR="00B76080" w:rsidRPr="00062E21"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062E21">
        <w:rPr>
          <w:bCs/>
          <w:sz w:val="26"/>
          <w:szCs w:val="26"/>
        </w:rPr>
        <w:t>Computation of the DSIC;</w:t>
      </w:r>
    </w:p>
    <w:p w:rsidR="00B76080" w:rsidRPr="00062E21"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062E21">
        <w:rPr>
          <w:bCs/>
          <w:sz w:val="26"/>
          <w:szCs w:val="26"/>
        </w:rPr>
        <w:t xml:space="preserve">The method for quarterly updates of the DSIC; </w:t>
      </w:r>
      <w:r>
        <w:rPr>
          <w:bCs/>
          <w:sz w:val="26"/>
          <w:szCs w:val="26"/>
        </w:rPr>
        <w:t>and</w:t>
      </w:r>
    </w:p>
    <w:p w:rsidR="00B76080" w:rsidRPr="00B32F8D"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B32F8D">
        <w:rPr>
          <w:bCs/>
          <w:sz w:val="26"/>
          <w:szCs w:val="26"/>
        </w:rPr>
        <w:t>A description of consumer protections.</w:t>
      </w:r>
    </w:p>
    <w:p w:rsidR="00B76080" w:rsidRPr="00062E21"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sidRPr="00062E21">
        <w:rPr>
          <w:bCs/>
          <w:sz w:val="26"/>
          <w:szCs w:val="26"/>
        </w:rPr>
        <w:t>Testimony, affidavits, exhibits, and other supporting evidence demonstrating that the DSIC is in the public interest;</w:t>
      </w:r>
    </w:p>
    <w:p w:rsidR="00B76080" w:rsidRPr="00062E21"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sidRPr="00062E21">
        <w:rPr>
          <w:bCs/>
          <w:sz w:val="26"/>
          <w:szCs w:val="26"/>
        </w:rPr>
        <w:t xml:space="preserve">A Long Term Infrastructure Improvement Plan (LTIIP) as described in Section 1352, </w:t>
      </w:r>
      <w:r w:rsidRPr="00062E21">
        <w:rPr>
          <w:sz w:val="26"/>
          <w:szCs w:val="26"/>
        </w:rPr>
        <w:t xml:space="preserve">66 Pa. C.S. </w:t>
      </w:r>
      <w:r w:rsidRPr="00062E21">
        <w:rPr>
          <w:bCs/>
          <w:sz w:val="26"/>
          <w:szCs w:val="26"/>
        </w:rPr>
        <w:t xml:space="preserve">§ 1352; </w:t>
      </w:r>
    </w:p>
    <w:p w:rsidR="00B76080"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sidRPr="00062E21">
        <w:rPr>
          <w:bCs/>
          <w:sz w:val="26"/>
          <w:szCs w:val="26"/>
        </w:rPr>
        <w:t>Certification that a base rate case has been filed within five years prior to the filing of the DSIC petition</w:t>
      </w:r>
      <w:r>
        <w:rPr>
          <w:bCs/>
          <w:sz w:val="26"/>
          <w:szCs w:val="26"/>
        </w:rPr>
        <w:t xml:space="preserve">; </w:t>
      </w:r>
      <w:r w:rsidRPr="00062E21">
        <w:rPr>
          <w:bCs/>
          <w:sz w:val="26"/>
          <w:szCs w:val="26"/>
        </w:rPr>
        <w:t>and</w:t>
      </w:r>
    </w:p>
    <w:p w:rsidR="00B76080" w:rsidRPr="00062E21"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Pr>
          <w:bCs/>
          <w:sz w:val="26"/>
          <w:szCs w:val="26"/>
        </w:rPr>
        <w:t>Other information required by the Commission.</w:t>
      </w:r>
    </w:p>
    <w:p w:rsidR="00B76080" w:rsidRPr="00062E21" w:rsidRDefault="00B76080" w:rsidP="00B76080">
      <w:pPr>
        <w:widowControl/>
        <w:tabs>
          <w:tab w:val="left" w:pos="720"/>
        </w:tabs>
        <w:spacing w:line="360" w:lineRule="auto"/>
        <w:rPr>
          <w:bCs/>
          <w:sz w:val="26"/>
          <w:szCs w:val="26"/>
        </w:rPr>
      </w:pPr>
    </w:p>
    <w:p w:rsidR="00B76080" w:rsidRPr="00062E21" w:rsidRDefault="0014165C" w:rsidP="00B76080">
      <w:pPr>
        <w:widowControl/>
        <w:tabs>
          <w:tab w:val="left" w:pos="720"/>
        </w:tabs>
        <w:spacing w:line="360" w:lineRule="auto"/>
        <w:rPr>
          <w:bCs/>
          <w:sz w:val="26"/>
          <w:szCs w:val="26"/>
        </w:rPr>
      </w:pPr>
      <w:r>
        <w:rPr>
          <w:bCs/>
          <w:sz w:val="26"/>
          <w:szCs w:val="26"/>
        </w:rPr>
        <w:t>UGI-CPG</w:t>
      </w:r>
      <w:r w:rsidR="00B92916">
        <w:rPr>
          <w:bCs/>
          <w:sz w:val="26"/>
          <w:szCs w:val="26"/>
        </w:rPr>
        <w:t>’s</w:t>
      </w:r>
      <w:r w:rsidR="00B76080" w:rsidRPr="00062E21">
        <w:rPr>
          <w:bCs/>
          <w:sz w:val="26"/>
          <w:szCs w:val="26"/>
        </w:rPr>
        <w:t xml:space="preserve"> petition addresses each of the elements listed in the statute</w:t>
      </w:r>
      <w:r w:rsidR="00277380">
        <w:rPr>
          <w:bCs/>
          <w:sz w:val="26"/>
          <w:szCs w:val="26"/>
        </w:rPr>
        <w:t>, as detailed below</w:t>
      </w:r>
      <w:r w:rsidR="00B76080" w:rsidRPr="00062E21">
        <w:rPr>
          <w:bCs/>
          <w:sz w:val="26"/>
          <w:szCs w:val="26"/>
        </w:rPr>
        <w:t>.</w:t>
      </w:r>
    </w:p>
    <w:p w:rsidR="00B76080" w:rsidRPr="00062E21" w:rsidRDefault="00B76080" w:rsidP="00B76080">
      <w:pPr>
        <w:widowControl/>
        <w:tabs>
          <w:tab w:val="left" w:pos="720"/>
        </w:tabs>
        <w:spacing w:line="360" w:lineRule="auto"/>
        <w:rPr>
          <w:bCs/>
          <w:sz w:val="26"/>
          <w:szCs w:val="26"/>
        </w:rPr>
      </w:pPr>
    </w:p>
    <w:p w:rsidR="00B76080" w:rsidRPr="000E3234" w:rsidRDefault="00B76080" w:rsidP="00B76080">
      <w:pPr>
        <w:keepNext/>
        <w:widowControl/>
        <w:tabs>
          <w:tab w:val="left" w:pos="720"/>
        </w:tabs>
        <w:spacing w:line="360" w:lineRule="auto"/>
        <w:rPr>
          <w:b/>
          <w:bCs/>
          <w:sz w:val="26"/>
          <w:szCs w:val="26"/>
        </w:rPr>
      </w:pPr>
      <w:r>
        <w:rPr>
          <w:b/>
          <w:bCs/>
          <w:sz w:val="26"/>
          <w:szCs w:val="26"/>
        </w:rPr>
        <w:tab/>
      </w:r>
      <w:r w:rsidRPr="000E3234">
        <w:rPr>
          <w:b/>
          <w:bCs/>
          <w:sz w:val="26"/>
          <w:szCs w:val="26"/>
        </w:rPr>
        <w:t>(1) Tariff Filing</w:t>
      </w:r>
    </w:p>
    <w:p w:rsidR="00B76080" w:rsidRPr="00062E21" w:rsidRDefault="00B76080" w:rsidP="00B76080">
      <w:pPr>
        <w:keepNext/>
        <w:widowControl/>
        <w:tabs>
          <w:tab w:val="left" w:pos="720"/>
        </w:tabs>
        <w:spacing w:line="360" w:lineRule="auto"/>
        <w:rPr>
          <w:b/>
          <w:bCs/>
          <w:sz w:val="26"/>
          <w:szCs w:val="26"/>
          <w:u w:val="single"/>
        </w:rPr>
      </w:pPr>
    </w:p>
    <w:p w:rsidR="00B76080" w:rsidRPr="00062E21" w:rsidRDefault="00B76080" w:rsidP="00B76080">
      <w:pPr>
        <w:widowControl/>
        <w:spacing w:line="360" w:lineRule="auto"/>
        <w:ind w:firstLine="1440"/>
        <w:rPr>
          <w:sz w:val="26"/>
          <w:szCs w:val="26"/>
        </w:rPr>
      </w:pPr>
      <w:r w:rsidRPr="00062E21">
        <w:rPr>
          <w:sz w:val="26"/>
          <w:szCs w:val="26"/>
        </w:rPr>
        <w:t xml:space="preserve">Section 1353 requires utilities to file an initial tariff that complies with the Model Tariff adopted by the Commission.  </w:t>
      </w:r>
      <w:r w:rsidR="0014165C">
        <w:rPr>
          <w:sz w:val="26"/>
          <w:szCs w:val="26"/>
        </w:rPr>
        <w:t>UGI-CPG</w:t>
      </w:r>
      <w:r w:rsidR="005436DC">
        <w:rPr>
          <w:sz w:val="26"/>
          <w:szCs w:val="26"/>
        </w:rPr>
        <w:t>’s</w:t>
      </w:r>
      <w:r w:rsidR="00B71E4C">
        <w:rPr>
          <w:sz w:val="26"/>
          <w:szCs w:val="26"/>
        </w:rPr>
        <w:t xml:space="preserve"> proposed </w:t>
      </w:r>
      <w:proofErr w:type="spellStart"/>
      <w:r w:rsidR="00B92916">
        <w:rPr>
          <w:sz w:val="26"/>
          <w:szCs w:val="26"/>
        </w:rPr>
        <w:t>ProForma</w:t>
      </w:r>
      <w:proofErr w:type="spellEnd"/>
      <w:r w:rsidR="00B92916">
        <w:rPr>
          <w:sz w:val="26"/>
          <w:szCs w:val="26"/>
        </w:rPr>
        <w:t xml:space="preserve"> Tariff Addendum</w:t>
      </w:r>
      <w:r w:rsidR="00B92916" w:rsidRPr="00062E21">
        <w:rPr>
          <w:sz w:val="26"/>
          <w:szCs w:val="26"/>
        </w:rPr>
        <w:t xml:space="preserve"> </w:t>
      </w:r>
      <w:r w:rsidR="003257FD">
        <w:rPr>
          <w:sz w:val="26"/>
          <w:szCs w:val="26"/>
        </w:rPr>
        <w:t>to CPG Gas – Pa. P.U.C. No. 4</w:t>
      </w:r>
      <w:r w:rsidR="00B71E4C">
        <w:rPr>
          <w:sz w:val="26"/>
          <w:szCs w:val="26"/>
        </w:rPr>
        <w:t xml:space="preserve"> (</w:t>
      </w:r>
      <w:r w:rsidR="00C82B0F">
        <w:rPr>
          <w:sz w:val="26"/>
          <w:szCs w:val="26"/>
        </w:rPr>
        <w:t>Proposed Tariff</w:t>
      </w:r>
      <w:r w:rsidRPr="00062E21">
        <w:rPr>
          <w:sz w:val="26"/>
          <w:szCs w:val="26"/>
        </w:rPr>
        <w:t>) closely reflects the language of the Model Tariff.</w:t>
      </w:r>
      <w:r>
        <w:rPr>
          <w:sz w:val="26"/>
          <w:szCs w:val="26"/>
        </w:rPr>
        <w:t xml:space="preserve">  </w:t>
      </w:r>
      <w:r w:rsidR="0093638B">
        <w:rPr>
          <w:sz w:val="26"/>
          <w:szCs w:val="26"/>
        </w:rPr>
        <w:t xml:space="preserve">However, </w:t>
      </w:r>
      <w:r w:rsidR="0014165C">
        <w:rPr>
          <w:sz w:val="26"/>
          <w:szCs w:val="26"/>
        </w:rPr>
        <w:t>UGI-CPG</w:t>
      </w:r>
      <w:r w:rsidR="0093638B">
        <w:rPr>
          <w:sz w:val="26"/>
          <w:szCs w:val="26"/>
        </w:rPr>
        <w:t xml:space="preserve"> shall make the tariff sufficiency modifications </w:t>
      </w:r>
      <w:r w:rsidR="0093638B">
        <w:rPr>
          <w:sz w:val="26"/>
          <w:szCs w:val="26"/>
        </w:rPr>
        <w:lastRenderedPageBreak/>
        <w:t xml:space="preserve">as spelled-out in Appendix A at the conclusion of this Order.  </w:t>
      </w:r>
      <w:r>
        <w:rPr>
          <w:sz w:val="26"/>
          <w:szCs w:val="26"/>
        </w:rPr>
        <w:t>We shall review each item in turn.</w:t>
      </w:r>
    </w:p>
    <w:p w:rsidR="00B76080" w:rsidRPr="00062E21" w:rsidRDefault="00B76080" w:rsidP="00B76080">
      <w:pPr>
        <w:widowControl/>
        <w:spacing w:line="360" w:lineRule="auto"/>
        <w:ind w:firstLine="1440"/>
        <w:rPr>
          <w:sz w:val="26"/>
          <w:szCs w:val="26"/>
        </w:rPr>
      </w:pPr>
    </w:p>
    <w:p w:rsidR="00B76080" w:rsidRPr="00062E21" w:rsidRDefault="00B76080" w:rsidP="00B76080">
      <w:pPr>
        <w:keepNext/>
        <w:widowControl/>
        <w:spacing w:line="360" w:lineRule="auto"/>
        <w:rPr>
          <w:b/>
          <w:sz w:val="26"/>
          <w:szCs w:val="26"/>
        </w:rPr>
      </w:pPr>
      <w:r>
        <w:rPr>
          <w:b/>
          <w:sz w:val="26"/>
          <w:szCs w:val="26"/>
        </w:rPr>
        <w:tab/>
      </w:r>
      <w:r>
        <w:rPr>
          <w:b/>
          <w:sz w:val="26"/>
          <w:szCs w:val="26"/>
        </w:rPr>
        <w:tab/>
        <w:t xml:space="preserve">(a) </w:t>
      </w:r>
      <w:r w:rsidRPr="00062E21">
        <w:rPr>
          <w:b/>
          <w:sz w:val="26"/>
          <w:szCs w:val="26"/>
        </w:rPr>
        <w:t>Eligible Property</w:t>
      </w:r>
    </w:p>
    <w:p w:rsidR="00B76080" w:rsidRPr="00062E21" w:rsidRDefault="00B76080" w:rsidP="00B76080">
      <w:pPr>
        <w:keepNext/>
        <w:widowControl/>
        <w:spacing w:line="360" w:lineRule="auto"/>
        <w:jc w:val="center"/>
        <w:rPr>
          <w:sz w:val="26"/>
          <w:szCs w:val="26"/>
        </w:rPr>
      </w:pPr>
    </w:p>
    <w:p w:rsidR="00B76080" w:rsidRPr="00062E21" w:rsidRDefault="0014165C" w:rsidP="00B76080">
      <w:pPr>
        <w:keepNext/>
        <w:widowControl/>
        <w:spacing w:line="360" w:lineRule="auto"/>
        <w:rPr>
          <w:b/>
          <w:sz w:val="26"/>
          <w:szCs w:val="26"/>
        </w:rPr>
      </w:pPr>
      <w:r>
        <w:rPr>
          <w:b/>
          <w:sz w:val="26"/>
          <w:szCs w:val="26"/>
        </w:rPr>
        <w:t>UGI-CPG</w:t>
      </w:r>
      <w:r w:rsidR="005436DC">
        <w:rPr>
          <w:b/>
          <w:sz w:val="26"/>
          <w:szCs w:val="26"/>
        </w:rPr>
        <w:t>’s</w:t>
      </w:r>
      <w:r w:rsidR="00B76080">
        <w:rPr>
          <w:b/>
          <w:sz w:val="26"/>
          <w:szCs w:val="26"/>
        </w:rPr>
        <w:t xml:space="preserve"> Petition</w:t>
      </w:r>
    </w:p>
    <w:p w:rsidR="00B76080" w:rsidRPr="00062E21" w:rsidRDefault="00B76080" w:rsidP="00B76080">
      <w:pPr>
        <w:keepNext/>
        <w:widowControl/>
        <w:spacing w:line="360" w:lineRule="auto"/>
        <w:rPr>
          <w:sz w:val="26"/>
          <w:szCs w:val="26"/>
        </w:rPr>
      </w:pPr>
    </w:p>
    <w:p w:rsidR="00B76080" w:rsidRPr="00062E21" w:rsidRDefault="0014165C" w:rsidP="00B76080">
      <w:pPr>
        <w:widowControl/>
        <w:spacing w:line="360" w:lineRule="auto"/>
        <w:ind w:firstLine="1440"/>
        <w:rPr>
          <w:sz w:val="26"/>
          <w:szCs w:val="26"/>
        </w:rPr>
      </w:pPr>
      <w:r>
        <w:rPr>
          <w:sz w:val="26"/>
          <w:szCs w:val="26"/>
        </w:rPr>
        <w:t>UGI-CPG</w:t>
      </w:r>
      <w:r w:rsidR="00B76080" w:rsidRPr="000E3234">
        <w:rPr>
          <w:sz w:val="26"/>
          <w:szCs w:val="26"/>
        </w:rPr>
        <w:t xml:space="preserve"> designates the same property as DSIC-eligible as it included in its LTIIP, including</w:t>
      </w:r>
      <w:r w:rsidR="00FF2AD0">
        <w:rPr>
          <w:sz w:val="26"/>
          <w:szCs w:val="26"/>
        </w:rPr>
        <w:t xml:space="preserve"> the following:</w:t>
      </w:r>
      <w:r w:rsidR="00B76080" w:rsidRPr="000E3234">
        <w:rPr>
          <w:sz w:val="26"/>
          <w:szCs w:val="26"/>
        </w:rPr>
        <w:t xml:space="preserve"> </w:t>
      </w:r>
      <w:r w:rsidR="00FF2AD0">
        <w:rPr>
          <w:sz w:val="26"/>
          <w:szCs w:val="26"/>
        </w:rPr>
        <w:t xml:space="preserve"> piping; couplings; gas service lines; valves;</w:t>
      </w:r>
      <w:r w:rsidR="00B76080" w:rsidRPr="000E3234">
        <w:rPr>
          <w:sz w:val="26"/>
          <w:szCs w:val="26"/>
        </w:rPr>
        <w:t xml:space="preserve"> </w:t>
      </w:r>
      <w:r w:rsidR="00FF2AD0">
        <w:rPr>
          <w:sz w:val="26"/>
          <w:szCs w:val="26"/>
        </w:rPr>
        <w:t>fittings; risers; meter bars;</w:t>
      </w:r>
      <w:r w:rsidR="00B76080" w:rsidRPr="000E3234">
        <w:rPr>
          <w:sz w:val="26"/>
          <w:szCs w:val="26"/>
        </w:rPr>
        <w:t xml:space="preserve"> meters</w:t>
      </w:r>
      <w:r w:rsidR="00FF2AD0">
        <w:rPr>
          <w:sz w:val="26"/>
          <w:szCs w:val="26"/>
        </w:rPr>
        <w:t>; unreimbursed costs related to highway relocation projects; gathering lines; storage lines; transmission lines; and other related capitalized costs</w:t>
      </w:r>
      <w:r w:rsidR="00B76080">
        <w:rPr>
          <w:sz w:val="26"/>
          <w:szCs w:val="26"/>
        </w:rPr>
        <w:t xml:space="preserve">.  Details of </w:t>
      </w:r>
      <w:r>
        <w:rPr>
          <w:sz w:val="26"/>
          <w:szCs w:val="26"/>
        </w:rPr>
        <w:t>UGI-CPG</w:t>
      </w:r>
      <w:r w:rsidR="00A6515B">
        <w:rPr>
          <w:sz w:val="26"/>
          <w:szCs w:val="26"/>
        </w:rPr>
        <w:t>’s</w:t>
      </w:r>
      <w:r w:rsidR="00B76080">
        <w:rPr>
          <w:sz w:val="26"/>
          <w:szCs w:val="26"/>
        </w:rPr>
        <w:t xml:space="preserve"> DSIC-eligible property are discussed thoroughly in the LTIIP section of this Order.</w:t>
      </w:r>
      <w:r w:rsidR="00B76080" w:rsidRPr="000E3234">
        <w:rPr>
          <w:sz w:val="26"/>
          <w:szCs w:val="26"/>
        </w:rPr>
        <w:t xml:space="preserve">  Eligible property for NGDCs is defined in Section 1352, 66 Pa. C.</w:t>
      </w:r>
      <w:r w:rsidR="00B76080" w:rsidRPr="00062E21">
        <w:rPr>
          <w:sz w:val="26"/>
          <w:szCs w:val="26"/>
        </w:rPr>
        <w:t xml:space="preserve">S. § 1351(2). </w:t>
      </w:r>
    </w:p>
    <w:p w:rsidR="00B76080" w:rsidRPr="00062E21" w:rsidRDefault="00B76080" w:rsidP="00B76080">
      <w:pPr>
        <w:widowControl/>
        <w:spacing w:line="360" w:lineRule="auto"/>
        <w:ind w:firstLine="1440"/>
        <w:rPr>
          <w:sz w:val="26"/>
          <w:szCs w:val="26"/>
        </w:rPr>
      </w:pPr>
    </w:p>
    <w:p w:rsidR="006935F3" w:rsidRPr="005436DC" w:rsidRDefault="0014165C" w:rsidP="005436DC">
      <w:pPr>
        <w:widowControl/>
        <w:spacing w:line="360" w:lineRule="auto"/>
        <w:ind w:firstLine="1440"/>
        <w:rPr>
          <w:i/>
          <w:sz w:val="26"/>
          <w:szCs w:val="26"/>
        </w:rPr>
      </w:pPr>
      <w:r>
        <w:rPr>
          <w:sz w:val="26"/>
          <w:szCs w:val="26"/>
        </w:rPr>
        <w:t>UGI-CPG</w:t>
      </w:r>
      <w:r w:rsidR="00B76080">
        <w:rPr>
          <w:sz w:val="26"/>
          <w:szCs w:val="26"/>
        </w:rPr>
        <w:t xml:space="preserve"> has</w:t>
      </w:r>
      <w:r w:rsidR="001E1A9A">
        <w:rPr>
          <w:sz w:val="26"/>
          <w:szCs w:val="26"/>
        </w:rPr>
        <w:t xml:space="preserve"> proposed including </w:t>
      </w:r>
      <w:r w:rsidR="00B76080">
        <w:rPr>
          <w:sz w:val="26"/>
          <w:szCs w:val="26"/>
        </w:rPr>
        <w:t xml:space="preserve">“other related capitalized costs” as part of its LTIIP that would be eligible for DSIC recovery.  </w:t>
      </w:r>
      <w:r w:rsidR="00B76080" w:rsidRPr="00E76440">
        <w:rPr>
          <w:sz w:val="26"/>
          <w:szCs w:val="26"/>
        </w:rPr>
        <w:t>Those other categories in</w:t>
      </w:r>
      <w:r w:rsidR="001E1A9A">
        <w:rPr>
          <w:sz w:val="26"/>
          <w:szCs w:val="26"/>
        </w:rPr>
        <w:t>clude:  regulator stations and equipment</w:t>
      </w:r>
      <w:r w:rsidR="00B76080" w:rsidRPr="00E76440">
        <w:rPr>
          <w:sz w:val="26"/>
          <w:szCs w:val="26"/>
        </w:rPr>
        <w:t xml:space="preserve">; </w:t>
      </w:r>
      <w:r w:rsidR="001E1A9A">
        <w:rPr>
          <w:sz w:val="26"/>
          <w:szCs w:val="26"/>
        </w:rPr>
        <w:t>electronic systems and software</w:t>
      </w:r>
      <w:r w:rsidR="00B76080" w:rsidRPr="00E76440">
        <w:rPr>
          <w:sz w:val="26"/>
          <w:szCs w:val="26"/>
        </w:rPr>
        <w:t xml:space="preserve">; and vehicles, tools and </w:t>
      </w:r>
      <w:r w:rsidR="001E1A9A">
        <w:rPr>
          <w:sz w:val="26"/>
          <w:szCs w:val="26"/>
        </w:rPr>
        <w:t xml:space="preserve">power </w:t>
      </w:r>
      <w:r w:rsidR="00B76080" w:rsidRPr="00E76440">
        <w:rPr>
          <w:sz w:val="26"/>
          <w:szCs w:val="26"/>
        </w:rPr>
        <w:t>equipment – all of which are discussed in their entirety in the LTIIP section of this Order.</w:t>
      </w:r>
      <w:r w:rsidR="00B76080">
        <w:rPr>
          <w:sz w:val="26"/>
          <w:szCs w:val="26"/>
        </w:rPr>
        <w:t xml:space="preserve"> </w:t>
      </w:r>
      <w:r w:rsidR="00B76080" w:rsidRPr="00062E21">
        <w:rPr>
          <w:sz w:val="26"/>
          <w:szCs w:val="26"/>
        </w:rPr>
        <w:t xml:space="preserve">  </w:t>
      </w:r>
    </w:p>
    <w:p w:rsidR="006935F3" w:rsidRDefault="006935F3" w:rsidP="001F0E61">
      <w:pPr>
        <w:widowControl/>
        <w:autoSpaceDE/>
        <w:autoSpaceDN/>
        <w:adjustRightInd/>
        <w:spacing w:after="200" w:line="276" w:lineRule="auto"/>
        <w:rPr>
          <w:b/>
          <w:sz w:val="26"/>
          <w:szCs w:val="26"/>
        </w:rPr>
      </w:pPr>
    </w:p>
    <w:p w:rsidR="00A42799" w:rsidRDefault="00B76080" w:rsidP="00A42799">
      <w:pPr>
        <w:widowControl/>
        <w:autoSpaceDE/>
        <w:autoSpaceDN/>
        <w:adjustRightInd/>
        <w:spacing w:after="200" w:line="276" w:lineRule="auto"/>
        <w:rPr>
          <w:b/>
          <w:sz w:val="26"/>
          <w:szCs w:val="26"/>
        </w:rPr>
      </w:pPr>
      <w:r w:rsidRPr="00062E21">
        <w:rPr>
          <w:b/>
          <w:sz w:val="26"/>
          <w:szCs w:val="26"/>
        </w:rPr>
        <w:t>Comments</w:t>
      </w:r>
    </w:p>
    <w:p w:rsidR="00A42799" w:rsidRPr="00A42799" w:rsidRDefault="00A42799" w:rsidP="00A42799">
      <w:pPr>
        <w:widowControl/>
        <w:autoSpaceDE/>
        <w:autoSpaceDN/>
        <w:adjustRightInd/>
        <w:spacing w:after="200" w:line="276" w:lineRule="auto"/>
        <w:rPr>
          <w:b/>
          <w:sz w:val="26"/>
          <w:szCs w:val="26"/>
        </w:rPr>
      </w:pPr>
    </w:p>
    <w:p w:rsidR="00B76080" w:rsidRPr="00062E21" w:rsidRDefault="00E76440" w:rsidP="00B76080">
      <w:pPr>
        <w:widowControl/>
        <w:spacing w:line="360" w:lineRule="auto"/>
        <w:ind w:firstLine="1440"/>
        <w:rPr>
          <w:sz w:val="26"/>
          <w:szCs w:val="26"/>
        </w:rPr>
      </w:pPr>
      <w:r>
        <w:rPr>
          <w:sz w:val="26"/>
          <w:szCs w:val="26"/>
        </w:rPr>
        <w:t xml:space="preserve">As to the </w:t>
      </w:r>
      <w:r w:rsidR="00A42799">
        <w:rPr>
          <w:sz w:val="26"/>
          <w:szCs w:val="26"/>
        </w:rPr>
        <w:t>category</w:t>
      </w:r>
      <w:r w:rsidR="00B76080">
        <w:rPr>
          <w:sz w:val="26"/>
          <w:szCs w:val="26"/>
        </w:rPr>
        <w:t xml:space="preserve"> of </w:t>
      </w:r>
      <w:r w:rsidR="00A42799">
        <w:rPr>
          <w:sz w:val="26"/>
          <w:szCs w:val="26"/>
        </w:rPr>
        <w:t>“other related capitalized costs”</w:t>
      </w:r>
      <w:r>
        <w:rPr>
          <w:sz w:val="26"/>
          <w:szCs w:val="26"/>
        </w:rPr>
        <w:t xml:space="preserve">, </w:t>
      </w:r>
      <w:r w:rsidR="00B76080">
        <w:rPr>
          <w:sz w:val="26"/>
          <w:szCs w:val="26"/>
        </w:rPr>
        <w:t>OCA questions whether these assets actually serve to accelerate the replacement of aging infrastructure, hence making them ineligible for recovery through the DSIC mechanism.  OCA asse</w:t>
      </w:r>
      <w:r w:rsidR="00A42799">
        <w:rPr>
          <w:sz w:val="26"/>
          <w:szCs w:val="26"/>
        </w:rPr>
        <w:t>rts that these areas</w:t>
      </w:r>
      <w:r w:rsidR="004B10A0">
        <w:rPr>
          <w:sz w:val="26"/>
          <w:szCs w:val="26"/>
        </w:rPr>
        <w:t xml:space="preserve"> of DS</w:t>
      </w:r>
      <w:r w:rsidR="00B76080">
        <w:rPr>
          <w:sz w:val="26"/>
          <w:szCs w:val="26"/>
        </w:rPr>
        <w:t xml:space="preserve">IC-eligible property should be reviewed by the Commission to determine whether their costs should be properly recovered through base rates as part of </w:t>
      </w:r>
      <w:r w:rsidR="00B76080">
        <w:rPr>
          <w:sz w:val="26"/>
          <w:szCs w:val="26"/>
        </w:rPr>
        <w:lastRenderedPageBreak/>
        <w:t xml:space="preserve">the Company’s normal capital planning process, as opposed to the DSIC surcharge which is intended to accelerate the replacement of aging infrastructure. </w:t>
      </w:r>
    </w:p>
    <w:p w:rsidR="00B76080" w:rsidRPr="00062E21" w:rsidRDefault="00B76080" w:rsidP="00B76080">
      <w:pPr>
        <w:widowControl/>
        <w:spacing w:line="360" w:lineRule="auto"/>
        <w:ind w:firstLine="1440"/>
        <w:rPr>
          <w:sz w:val="26"/>
          <w:szCs w:val="26"/>
        </w:rPr>
      </w:pPr>
    </w:p>
    <w:p w:rsidR="00B76080" w:rsidRPr="00A42799" w:rsidRDefault="00B76080" w:rsidP="00A42799">
      <w:pPr>
        <w:widowControl/>
        <w:spacing w:line="360" w:lineRule="auto"/>
        <w:rPr>
          <w:b/>
          <w:sz w:val="26"/>
          <w:szCs w:val="26"/>
        </w:rPr>
      </w:pPr>
      <w:r w:rsidRPr="00062E21">
        <w:rPr>
          <w:b/>
          <w:sz w:val="26"/>
          <w:szCs w:val="26"/>
        </w:rPr>
        <w:t>Resolu</w:t>
      </w:r>
      <w:r w:rsidR="00A42799">
        <w:rPr>
          <w:b/>
          <w:sz w:val="26"/>
          <w:szCs w:val="26"/>
        </w:rPr>
        <w:t>tion</w:t>
      </w:r>
    </w:p>
    <w:p w:rsidR="00F05C36" w:rsidRDefault="00F05C36" w:rsidP="00B76080">
      <w:pPr>
        <w:widowControl/>
        <w:spacing w:line="360" w:lineRule="auto"/>
        <w:ind w:firstLine="1440"/>
        <w:rPr>
          <w:color w:val="0D0D0D" w:themeColor="text1" w:themeTint="F2"/>
          <w:sz w:val="26"/>
          <w:szCs w:val="26"/>
        </w:rPr>
      </w:pPr>
    </w:p>
    <w:p w:rsidR="00ED718D" w:rsidRDefault="00F05C36" w:rsidP="00F11E2D">
      <w:pPr>
        <w:widowControl/>
        <w:spacing w:line="360" w:lineRule="auto"/>
        <w:ind w:firstLine="1440"/>
        <w:rPr>
          <w:sz w:val="26"/>
          <w:szCs w:val="26"/>
        </w:rPr>
      </w:pPr>
      <w:r>
        <w:rPr>
          <w:color w:val="0D0D0D" w:themeColor="text1" w:themeTint="F2"/>
          <w:sz w:val="26"/>
          <w:szCs w:val="26"/>
        </w:rPr>
        <w:t xml:space="preserve">When it comes to the elements </w:t>
      </w:r>
      <w:r>
        <w:rPr>
          <w:sz w:val="26"/>
          <w:szCs w:val="26"/>
        </w:rPr>
        <w:t xml:space="preserve">of </w:t>
      </w:r>
      <w:r w:rsidR="00A42799">
        <w:rPr>
          <w:sz w:val="26"/>
          <w:szCs w:val="26"/>
        </w:rPr>
        <w:t>“other related capitalized costs”</w:t>
      </w:r>
      <w:r>
        <w:rPr>
          <w:sz w:val="26"/>
          <w:szCs w:val="26"/>
        </w:rPr>
        <w:t xml:space="preserve">, </w:t>
      </w:r>
      <w:r w:rsidR="0014165C">
        <w:rPr>
          <w:sz w:val="26"/>
          <w:szCs w:val="26"/>
        </w:rPr>
        <w:t>UGI-CPG</w:t>
      </w:r>
      <w:r>
        <w:rPr>
          <w:sz w:val="26"/>
          <w:szCs w:val="26"/>
        </w:rPr>
        <w:t xml:space="preserve"> claims that such items </w:t>
      </w:r>
      <w:r w:rsidR="00A42799">
        <w:rPr>
          <w:sz w:val="26"/>
          <w:szCs w:val="26"/>
        </w:rPr>
        <w:t>are necessary for the locating, repairing, and replacing of aging infrastructure on an accelerated basis</w:t>
      </w:r>
      <w:r>
        <w:rPr>
          <w:sz w:val="26"/>
          <w:szCs w:val="26"/>
        </w:rPr>
        <w:t xml:space="preserve">, and as such, qualify as reasonable and prudent costs to be recovered through the DSIC.  </w:t>
      </w:r>
      <w:r w:rsidR="00CB108A">
        <w:rPr>
          <w:sz w:val="26"/>
          <w:szCs w:val="26"/>
        </w:rPr>
        <w:t xml:space="preserve">The Company further states that it cannot undertake its substantial repair and replacement program without appropriate equipment, and that only those capital expenditures used exclusively for work that qualifies for recovery under the DSIC will be included.  </w:t>
      </w:r>
      <w:r w:rsidR="0014165C">
        <w:rPr>
          <w:sz w:val="26"/>
          <w:szCs w:val="26"/>
        </w:rPr>
        <w:t>UGI-CPG</w:t>
      </w:r>
      <w:r w:rsidR="00CB108A">
        <w:rPr>
          <w:sz w:val="26"/>
          <w:szCs w:val="26"/>
        </w:rPr>
        <w:t xml:space="preserve"> will not seek to include equipment that is used in the normal course of business and is unrelated to DSIC-eligible projects.  </w:t>
      </w:r>
    </w:p>
    <w:p w:rsidR="00ED718D" w:rsidRDefault="00ED718D" w:rsidP="00F11E2D">
      <w:pPr>
        <w:widowControl/>
        <w:spacing w:line="360" w:lineRule="auto"/>
        <w:ind w:firstLine="1440"/>
        <w:rPr>
          <w:sz w:val="26"/>
          <w:szCs w:val="26"/>
        </w:rPr>
      </w:pPr>
    </w:p>
    <w:p w:rsidR="00F11E2D" w:rsidRDefault="00F05C36" w:rsidP="00F11E2D">
      <w:pPr>
        <w:widowControl/>
        <w:spacing w:line="360" w:lineRule="auto"/>
        <w:ind w:firstLine="1440"/>
        <w:rPr>
          <w:color w:val="0D0D0D" w:themeColor="text1" w:themeTint="F2"/>
          <w:sz w:val="26"/>
          <w:szCs w:val="26"/>
        </w:rPr>
      </w:pPr>
      <w:r w:rsidRPr="00ED718D">
        <w:rPr>
          <w:sz w:val="26"/>
          <w:szCs w:val="26"/>
        </w:rPr>
        <w:t>The Commission has ruled in the LTIIP secti</w:t>
      </w:r>
      <w:r w:rsidR="00CB108A" w:rsidRPr="00ED718D">
        <w:rPr>
          <w:sz w:val="26"/>
          <w:szCs w:val="26"/>
        </w:rPr>
        <w:t xml:space="preserve">on of this Order as to whether </w:t>
      </w:r>
      <w:r w:rsidR="00E53C40" w:rsidRPr="00ED718D">
        <w:rPr>
          <w:sz w:val="26"/>
          <w:szCs w:val="26"/>
        </w:rPr>
        <w:t>these items</w:t>
      </w:r>
      <w:r w:rsidRPr="00ED718D">
        <w:rPr>
          <w:sz w:val="26"/>
          <w:szCs w:val="26"/>
        </w:rPr>
        <w:t xml:space="preserve"> will be </w:t>
      </w:r>
      <w:r w:rsidR="00E53C40" w:rsidRPr="00ED718D">
        <w:rPr>
          <w:sz w:val="26"/>
          <w:szCs w:val="26"/>
        </w:rPr>
        <w:t>permitted for inclusion</w:t>
      </w:r>
      <w:r w:rsidRPr="00ED718D">
        <w:rPr>
          <w:sz w:val="26"/>
          <w:szCs w:val="26"/>
        </w:rPr>
        <w:t xml:space="preserve"> in </w:t>
      </w:r>
      <w:r w:rsidR="0014165C">
        <w:rPr>
          <w:sz w:val="26"/>
          <w:szCs w:val="26"/>
        </w:rPr>
        <w:t>UGI-CPG</w:t>
      </w:r>
      <w:r w:rsidR="00A42799" w:rsidRPr="00ED718D">
        <w:rPr>
          <w:sz w:val="26"/>
          <w:szCs w:val="26"/>
        </w:rPr>
        <w:t>’s</w:t>
      </w:r>
      <w:r w:rsidRPr="00ED718D">
        <w:rPr>
          <w:sz w:val="26"/>
          <w:szCs w:val="26"/>
        </w:rPr>
        <w:t xml:space="preserve"> LTIIP as eligible-property.</w:t>
      </w:r>
      <w:r w:rsidR="00E53C40" w:rsidRPr="00ED718D">
        <w:rPr>
          <w:sz w:val="26"/>
          <w:szCs w:val="26"/>
        </w:rPr>
        <w:t xml:space="preserve">  We will align our stance on whether these items should be DSIC-recoverable with the determinations made in that LTIIP discussion.  However, noting</w:t>
      </w:r>
      <w:r w:rsidR="00E53C40" w:rsidRPr="00ED718D">
        <w:rPr>
          <w:color w:val="0D0D0D" w:themeColor="text1" w:themeTint="F2"/>
          <w:sz w:val="26"/>
          <w:szCs w:val="26"/>
        </w:rPr>
        <w:t xml:space="preserve"> that OCA has challenged the recovery of these costs in the DSIC, the Commission will refer the issue of whether the costs associated with </w:t>
      </w:r>
      <w:r w:rsidR="00CB108A" w:rsidRPr="00ED718D">
        <w:rPr>
          <w:sz w:val="26"/>
          <w:szCs w:val="26"/>
        </w:rPr>
        <w:t>“other related capitalized costs” – including, but not limited to,</w:t>
      </w:r>
      <w:r w:rsidR="00E53C40" w:rsidRPr="00ED718D">
        <w:rPr>
          <w:color w:val="0D0D0D" w:themeColor="text1" w:themeTint="F2"/>
          <w:sz w:val="26"/>
          <w:szCs w:val="26"/>
        </w:rPr>
        <w:t xml:space="preserve"> </w:t>
      </w:r>
      <w:r w:rsidR="00CB108A" w:rsidRPr="00ED718D">
        <w:rPr>
          <w:sz w:val="26"/>
          <w:szCs w:val="26"/>
        </w:rPr>
        <w:t xml:space="preserve">regulator stations and equipment, electronic systems and software, and vehicles, tools and power equipment – </w:t>
      </w:r>
      <w:r w:rsidR="00E53C40" w:rsidRPr="00ED718D">
        <w:rPr>
          <w:color w:val="0D0D0D" w:themeColor="text1" w:themeTint="F2"/>
          <w:sz w:val="26"/>
          <w:szCs w:val="26"/>
        </w:rPr>
        <w:t>are recoverable through the DSIC mechanism to the OALJ for h</w:t>
      </w:r>
      <w:r w:rsidR="00F11E2D" w:rsidRPr="00ED718D">
        <w:rPr>
          <w:color w:val="0D0D0D" w:themeColor="text1" w:themeTint="F2"/>
          <w:sz w:val="26"/>
          <w:szCs w:val="26"/>
        </w:rPr>
        <w:t>earing and recommended decision.</w:t>
      </w:r>
    </w:p>
    <w:p w:rsidR="003257FD" w:rsidRDefault="003257FD" w:rsidP="00F11E2D">
      <w:pPr>
        <w:widowControl/>
        <w:spacing w:line="360" w:lineRule="auto"/>
        <w:ind w:firstLine="1440"/>
        <w:rPr>
          <w:color w:val="0D0D0D" w:themeColor="text1" w:themeTint="F2"/>
          <w:sz w:val="26"/>
          <w:szCs w:val="26"/>
        </w:rPr>
      </w:pPr>
    </w:p>
    <w:p w:rsidR="003257FD" w:rsidRDefault="003257FD" w:rsidP="00F11E2D">
      <w:pPr>
        <w:widowControl/>
        <w:spacing w:line="360" w:lineRule="auto"/>
        <w:ind w:firstLine="1440"/>
        <w:rPr>
          <w:color w:val="0D0D0D" w:themeColor="text1" w:themeTint="F2"/>
          <w:sz w:val="26"/>
          <w:szCs w:val="26"/>
        </w:rPr>
      </w:pPr>
    </w:p>
    <w:p w:rsidR="003257FD" w:rsidRDefault="003257FD" w:rsidP="00F11E2D">
      <w:pPr>
        <w:widowControl/>
        <w:spacing w:line="360" w:lineRule="auto"/>
        <w:ind w:firstLine="1440"/>
        <w:rPr>
          <w:color w:val="0D0D0D" w:themeColor="text1" w:themeTint="F2"/>
          <w:sz w:val="26"/>
          <w:szCs w:val="26"/>
        </w:rPr>
      </w:pPr>
    </w:p>
    <w:p w:rsidR="003257FD" w:rsidRDefault="003257FD" w:rsidP="00F11E2D">
      <w:pPr>
        <w:widowControl/>
        <w:spacing w:line="360" w:lineRule="auto"/>
        <w:ind w:firstLine="1440"/>
        <w:rPr>
          <w:color w:val="0D0D0D" w:themeColor="text1" w:themeTint="F2"/>
          <w:sz w:val="26"/>
          <w:szCs w:val="26"/>
        </w:rPr>
      </w:pPr>
    </w:p>
    <w:p w:rsidR="003257FD" w:rsidRDefault="003257FD" w:rsidP="00F11E2D">
      <w:pPr>
        <w:widowControl/>
        <w:spacing w:line="360" w:lineRule="auto"/>
        <w:ind w:firstLine="1440"/>
        <w:rPr>
          <w:color w:val="0D0D0D" w:themeColor="text1" w:themeTint="F2"/>
          <w:sz w:val="26"/>
          <w:szCs w:val="26"/>
        </w:rPr>
      </w:pPr>
    </w:p>
    <w:p w:rsidR="00B76080" w:rsidRDefault="00B76080" w:rsidP="00F11E2D">
      <w:pPr>
        <w:widowControl/>
        <w:spacing w:line="360" w:lineRule="auto"/>
        <w:ind w:firstLine="1440"/>
        <w:rPr>
          <w:b/>
          <w:sz w:val="26"/>
          <w:szCs w:val="26"/>
        </w:rPr>
      </w:pPr>
      <w:r>
        <w:rPr>
          <w:b/>
          <w:sz w:val="26"/>
          <w:szCs w:val="26"/>
        </w:rPr>
        <w:lastRenderedPageBreak/>
        <w:t xml:space="preserve">(b) </w:t>
      </w:r>
      <w:r w:rsidRPr="00062E21">
        <w:rPr>
          <w:b/>
          <w:sz w:val="26"/>
          <w:szCs w:val="26"/>
        </w:rPr>
        <w:t>Effective Date</w:t>
      </w:r>
    </w:p>
    <w:p w:rsidR="00F11E2D" w:rsidRPr="00F11E2D" w:rsidRDefault="00F11E2D" w:rsidP="00F11E2D">
      <w:pPr>
        <w:widowControl/>
        <w:spacing w:line="360" w:lineRule="auto"/>
        <w:ind w:firstLine="1440"/>
        <w:rPr>
          <w:sz w:val="26"/>
          <w:szCs w:val="26"/>
        </w:rPr>
      </w:pPr>
    </w:p>
    <w:p w:rsidR="00B76080" w:rsidRPr="00062E21" w:rsidRDefault="0014165C" w:rsidP="00B76080">
      <w:pPr>
        <w:keepNext/>
        <w:widowControl/>
        <w:spacing w:line="360" w:lineRule="auto"/>
        <w:rPr>
          <w:b/>
          <w:sz w:val="26"/>
          <w:szCs w:val="26"/>
        </w:rPr>
      </w:pPr>
      <w:r>
        <w:rPr>
          <w:b/>
          <w:sz w:val="26"/>
          <w:szCs w:val="26"/>
        </w:rPr>
        <w:t>UGI-CPG</w:t>
      </w:r>
      <w:r w:rsidR="00E73123">
        <w:rPr>
          <w:b/>
          <w:sz w:val="26"/>
          <w:szCs w:val="26"/>
        </w:rPr>
        <w:t>’s</w:t>
      </w:r>
      <w:r w:rsidR="00B76080">
        <w:rPr>
          <w:b/>
          <w:sz w:val="26"/>
          <w:szCs w:val="26"/>
        </w:rPr>
        <w:t xml:space="preserve"> Petition</w:t>
      </w:r>
    </w:p>
    <w:p w:rsidR="00B76080" w:rsidRPr="00062E21" w:rsidRDefault="00B76080" w:rsidP="00B76080">
      <w:pPr>
        <w:keepNext/>
        <w:widowControl/>
        <w:spacing w:line="360" w:lineRule="auto"/>
        <w:rPr>
          <w:sz w:val="26"/>
          <w:szCs w:val="26"/>
        </w:rPr>
      </w:pPr>
    </w:p>
    <w:p w:rsidR="00B76080" w:rsidRPr="00062E21" w:rsidRDefault="0014165C" w:rsidP="00B76080">
      <w:pPr>
        <w:widowControl/>
        <w:spacing w:line="360" w:lineRule="auto"/>
        <w:ind w:firstLine="1440"/>
        <w:rPr>
          <w:sz w:val="26"/>
          <w:szCs w:val="26"/>
        </w:rPr>
      </w:pPr>
      <w:r>
        <w:rPr>
          <w:sz w:val="26"/>
          <w:szCs w:val="26"/>
        </w:rPr>
        <w:t>UGI-CPG</w:t>
      </w:r>
      <w:r w:rsidR="00E73123">
        <w:rPr>
          <w:sz w:val="26"/>
          <w:szCs w:val="26"/>
        </w:rPr>
        <w:t>’s</w:t>
      </w:r>
      <w:r w:rsidR="008C6A91">
        <w:rPr>
          <w:sz w:val="26"/>
          <w:szCs w:val="26"/>
        </w:rPr>
        <w:t xml:space="preserve"> Proposed Tariff</w:t>
      </w:r>
      <w:r w:rsidR="00B76080">
        <w:rPr>
          <w:sz w:val="26"/>
          <w:szCs w:val="26"/>
        </w:rPr>
        <w:t xml:space="preserve"> has an effective date of April 1</w:t>
      </w:r>
      <w:r w:rsidR="00246B4B">
        <w:rPr>
          <w:sz w:val="26"/>
          <w:szCs w:val="26"/>
        </w:rPr>
        <w:t>, 2014</w:t>
      </w:r>
      <w:r w:rsidR="00B76080" w:rsidRPr="00062E21">
        <w:rPr>
          <w:sz w:val="26"/>
          <w:szCs w:val="26"/>
        </w:rPr>
        <w:t>.</w:t>
      </w:r>
      <w:r w:rsidR="00B76080">
        <w:rPr>
          <w:sz w:val="26"/>
          <w:szCs w:val="26"/>
        </w:rPr>
        <w:t xml:space="preserve"> </w:t>
      </w:r>
      <w:r w:rsidR="00A95727">
        <w:rPr>
          <w:sz w:val="26"/>
          <w:szCs w:val="26"/>
        </w:rPr>
        <w:t xml:space="preserve"> </w:t>
      </w:r>
      <w:r w:rsidR="00246B4B">
        <w:rPr>
          <w:sz w:val="26"/>
          <w:szCs w:val="26"/>
        </w:rPr>
        <w:t xml:space="preserve">As outlined by </w:t>
      </w:r>
      <w:r w:rsidR="00B76080">
        <w:rPr>
          <w:sz w:val="26"/>
          <w:szCs w:val="26"/>
        </w:rPr>
        <w:t xml:space="preserve">Company witness </w:t>
      </w:r>
      <w:r w:rsidR="00246B4B">
        <w:rPr>
          <w:sz w:val="26"/>
          <w:szCs w:val="26"/>
        </w:rPr>
        <w:t>William J. McAllister, and pursuant to the terms</w:t>
      </w:r>
      <w:r w:rsidR="008C6A91">
        <w:rPr>
          <w:sz w:val="26"/>
          <w:szCs w:val="26"/>
        </w:rPr>
        <w:t xml:space="preserve"> of the UGI Settlement</w:t>
      </w:r>
      <w:r w:rsidR="00246B4B">
        <w:rPr>
          <w:sz w:val="26"/>
          <w:szCs w:val="26"/>
        </w:rPr>
        <w:t xml:space="preserve"> at Docket No. C</w:t>
      </w:r>
      <w:r w:rsidR="00246B4B">
        <w:rPr>
          <w:sz w:val="26"/>
          <w:szCs w:val="26"/>
        </w:rPr>
        <w:noBreakHyphen/>
        <w:t>2012</w:t>
      </w:r>
      <w:r w:rsidR="00246B4B">
        <w:rPr>
          <w:sz w:val="26"/>
          <w:szCs w:val="26"/>
        </w:rPr>
        <w:noBreakHyphen/>
        <w:t xml:space="preserve">2308997, </w:t>
      </w:r>
      <w:r>
        <w:rPr>
          <w:sz w:val="26"/>
          <w:szCs w:val="26"/>
        </w:rPr>
        <w:t>UGI-CPG</w:t>
      </w:r>
      <w:r w:rsidR="00B76080" w:rsidRPr="00062E21">
        <w:rPr>
          <w:sz w:val="26"/>
          <w:szCs w:val="26"/>
        </w:rPr>
        <w:t xml:space="preserve"> </w:t>
      </w:r>
      <w:r w:rsidR="00246B4B">
        <w:rPr>
          <w:sz w:val="26"/>
          <w:szCs w:val="26"/>
        </w:rPr>
        <w:t xml:space="preserve">may not </w:t>
      </w:r>
      <w:r w:rsidR="00927355">
        <w:rPr>
          <w:sz w:val="26"/>
          <w:szCs w:val="26"/>
        </w:rPr>
        <w:t>have a non-zero DSIC rate until April 1, 2015.</w:t>
      </w:r>
    </w:p>
    <w:p w:rsidR="00B76080" w:rsidRPr="00062E21" w:rsidRDefault="00B76080" w:rsidP="00B76080">
      <w:pPr>
        <w:widowControl/>
        <w:spacing w:line="360" w:lineRule="auto"/>
        <w:ind w:firstLine="1440"/>
        <w:rPr>
          <w:sz w:val="26"/>
          <w:szCs w:val="26"/>
        </w:rPr>
      </w:pPr>
    </w:p>
    <w:p w:rsidR="00B76080" w:rsidRPr="00062E21" w:rsidRDefault="00B76080" w:rsidP="00B76080">
      <w:pPr>
        <w:keepNext/>
        <w:widowControl/>
        <w:spacing w:line="360" w:lineRule="auto"/>
        <w:rPr>
          <w:b/>
          <w:sz w:val="26"/>
          <w:szCs w:val="26"/>
        </w:rPr>
      </w:pPr>
      <w:r w:rsidRPr="00062E21">
        <w:rPr>
          <w:b/>
          <w:sz w:val="26"/>
          <w:szCs w:val="26"/>
        </w:rPr>
        <w:t>Comments</w:t>
      </w:r>
    </w:p>
    <w:p w:rsidR="00B76080" w:rsidRPr="00062E21" w:rsidRDefault="00B76080" w:rsidP="00B76080">
      <w:pPr>
        <w:keepNext/>
        <w:widowControl/>
        <w:spacing w:line="360" w:lineRule="auto"/>
        <w:ind w:firstLine="1440"/>
        <w:rPr>
          <w:sz w:val="26"/>
          <w:szCs w:val="26"/>
        </w:rPr>
      </w:pPr>
    </w:p>
    <w:p w:rsidR="00B76080" w:rsidRPr="00062E21" w:rsidRDefault="00B76080" w:rsidP="00B76080">
      <w:pPr>
        <w:widowControl/>
        <w:spacing w:line="360" w:lineRule="auto"/>
        <w:ind w:firstLine="1440"/>
        <w:rPr>
          <w:sz w:val="26"/>
          <w:szCs w:val="26"/>
        </w:rPr>
      </w:pPr>
      <w:r>
        <w:rPr>
          <w:sz w:val="26"/>
          <w:szCs w:val="26"/>
        </w:rPr>
        <w:t xml:space="preserve">OCA submits that </w:t>
      </w:r>
      <w:r w:rsidR="0014165C">
        <w:rPr>
          <w:sz w:val="26"/>
          <w:szCs w:val="26"/>
        </w:rPr>
        <w:t>UGI-CPG</w:t>
      </w:r>
      <w:r>
        <w:rPr>
          <w:sz w:val="26"/>
          <w:szCs w:val="26"/>
        </w:rPr>
        <w:t xml:space="preserve"> should not be permitted to implement its DSIC rate until the issues raised about the recovery of certain costs through the DSIC have been resolved, and it has been determined that the DSIC rate has been calculated in accordance with Act 11 and the Commission’s Final Implementation Order.</w:t>
      </w:r>
    </w:p>
    <w:p w:rsidR="00B76080" w:rsidRPr="00062E21" w:rsidRDefault="00B76080" w:rsidP="00B76080">
      <w:pPr>
        <w:widowControl/>
        <w:spacing w:line="360" w:lineRule="auto"/>
        <w:ind w:firstLine="1440"/>
        <w:rPr>
          <w:sz w:val="26"/>
          <w:szCs w:val="26"/>
        </w:rPr>
      </w:pPr>
    </w:p>
    <w:p w:rsidR="00B76080" w:rsidRDefault="00B76080" w:rsidP="00B76080">
      <w:pPr>
        <w:widowControl/>
        <w:spacing w:line="360" w:lineRule="auto"/>
        <w:rPr>
          <w:b/>
          <w:color w:val="0D0D0D" w:themeColor="text1" w:themeTint="F2"/>
          <w:sz w:val="26"/>
          <w:szCs w:val="26"/>
        </w:rPr>
      </w:pPr>
      <w:r w:rsidRPr="00013204">
        <w:rPr>
          <w:b/>
          <w:color w:val="0D0D0D" w:themeColor="text1" w:themeTint="F2"/>
          <w:sz w:val="26"/>
          <w:szCs w:val="26"/>
        </w:rPr>
        <w:t>Reso</w:t>
      </w:r>
      <w:r w:rsidR="00927355">
        <w:rPr>
          <w:b/>
          <w:color w:val="0D0D0D" w:themeColor="text1" w:themeTint="F2"/>
          <w:sz w:val="26"/>
          <w:szCs w:val="26"/>
        </w:rPr>
        <w:t>lution</w:t>
      </w:r>
    </w:p>
    <w:p w:rsidR="00927355" w:rsidRPr="00927355" w:rsidRDefault="00927355" w:rsidP="00B76080">
      <w:pPr>
        <w:widowControl/>
        <w:spacing w:line="360" w:lineRule="auto"/>
        <w:rPr>
          <w:b/>
          <w:color w:val="0D0D0D" w:themeColor="text1" w:themeTint="F2"/>
          <w:sz w:val="26"/>
          <w:szCs w:val="26"/>
        </w:rPr>
      </w:pPr>
    </w:p>
    <w:p w:rsidR="0036049B" w:rsidRDefault="00B76080" w:rsidP="0036049B">
      <w:pPr>
        <w:widowControl/>
        <w:spacing w:line="360" w:lineRule="auto"/>
        <w:ind w:firstLine="1440"/>
        <w:rPr>
          <w:sz w:val="26"/>
          <w:szCs w:val="26"/>
        </w:rPr>
      </w:pPr>
      <w:r>
        <w:rPr>
          <w:color w:val="0D0D0D" w:themeColor="text1" w:themeTint="F2"/>
          <w:sz w:val="26"/>
          <w:szCs w:val="26"/>
        </w:rPr>
        <w:t>Given that OCA has</w:t>
      </w:r>
      <w:r w:rsidRPr="00013204">
        <w:rPr>
          <w:color w:val="0D0D0D" w:themeColor="text1" w:themeTint="F2"/>
          <w:sz w:val="26"/>
          <w:szCs w:val="26"/>
        </w:rPr>
        <w:t xml:space="preserve"> raised issues and requested hearing</w:t>
      </w:r>
      <w:r w:rsidR="008B526A">
        <w:rPr>
          <w:color w:val="0D0D0D" w:themeColor="text1" w:themeTint="F2"/>
          <w:sz w:val="26"/>
          <w:szCs w:val="26"/>
        </w:rPr>
        <w:t>s</w:t>
      </w:r>
      <w:r w:rsidRPr="00013204">
        <w:rPr>
          <w:color w:val="0D0D0D" w:themeColor="text1" w:themeTint="F2"/>
          <w:sz w:val="26"/>
          <w:szCs w:val="26"/>
        </w:rPr>
        <w:t xml:space="preserve"> regarding certain elements of </w:t>
      </w:r>
      <w:r w:rsidR="0014165C">
        <w:rPr>
          <w:color w:val="0D0D0D" w:themeColor="text1" w:themeTint="F2"/>
          <w:sz w:val="26"/>
          <w:szCs w:val="26"/>
        </w:rPr>
        <w:t>UGI-CPG</w:t>
      </w:r>
      <w:r w:rsidR="00927355">
        <w:rPr>
          <w:color w:val="0D0D0D" w:themeColor="text1" w:themeTint="F2"/>
          <w:sz w:val="26"/>
          <w:szCs w:val="26"/>
        </w:rPr>
        <w:t>’s</w:t>
      </w:r>
      <w:r w:rsidRPr="00013204">
        <w:rPr>
          <w:color w:val="0D0D0D" w:themeColor="text1" w:themeTint="F2"/>
          <w:sz w:val="26"/>
          <w:szCs w:val="26"/>
        </w:rPr>
        <w:t xml:space="preserve"> DSIC petition, we shall refer those issues to OALJ for hearing and recommended decision.  However, consideration of those issues need not delay implementation</w:t>
      </w:r>
      <w:r>
        <w:rPr>
          <w:color w:val="0D0D0D" w:themeColor="text1" w:themeTint="F2"/>
          <w:sz w:val="26"/>
          <w:szCs w:val="26"/>
        </w:rPr>
        <w:t xml:space="preserve"> of</w:t>
      </w:r>
      <w:r w:rsidRPr="00013204">
        <w:rPr>
          <w:color w:val="0D0D0D" w:themeColor="text1" w:themeTint="F2"/>
          <w:sz w:val="26"/>
          <w:szCs w:val="26"/>
        </w:rPr>
        <w:t xml:space="preserve"> the DSIC mechanism itself.  We shall permit </w:t>
      </w:r>
      <w:r w:rsidR="0014165C">
        <w:rPr>
          <w:color w:val="0D0D0D" w:themeColor="text1" w:themeTint="F2"/>
          <w:sz w:val="26"/>
          <w:szCs w:val="26"/>
        </w:rPr>
        <w:t>UGI-CPG</w:t>
      </w:r>
      <w:r w:rsidRPr="00013204">
        <w:rPr>
          <w:color w:val="0D0D0D" w:themeColor="text1" w:themeTint="F2"/>
          <w:sz w:val="26"/>
          <w:szCs w:val="26"/>
        </w:rPr>
        <w:t xml:space="preserve"> to implement a </w:t>
      </w:r>
      <w:r w:rsidRPr="00F40205">
        <w:rPr>
          <w:color w:val="0D0D0D" w:themeColor="text1" w:themeTint="F2"/>
          <w:sz w:val="26"/>
          <w:szCs w:val="26"/>
        </w:rPr>
        <w:t>DSIC mechanism</w:t>
      </w:r>
      <w:r w:rsidRPr="00013204">
        <w:rPr>
          <w:color w:val="0D0D0D" w:themeColor="text1" w:themeTint="F2"/>
          <w:sz w:val="26"/>
          <w:szCs w:val="26"/>
        </w:rPr>
        <w:t>, pursuant to</w:t>
      </w:r>
      <w:r>
        <w:rPr>
          <w:color w:val="0D0D0D" w:themeColor="text1" w:themeTint="F2"/>
          <w:sz w:val="26"/>
          <w:szCs w:val="26"/>
        </w:rPr>
        <w:t xml:space="preserve"> a</w:t>
      </w:r>
      <w:r w:rsidRPr="00013204">
        <w:rPr>
          <w:color w:val="0D0D0D" w:themeColor="text1" w:themeTint="F2"/>
          <w:sz w:val="26"/>
          <w:szCs w:val="26"/>
        </w:rPr>
        <w:t xml:space="preserve"> tariff </w:t>
      </w:r>
      <w:r>
        <w:rPr>
          <w:color w:val="0D0D0D" w:themeColor="text1" w:themeTint="F2"/>
          <w:sz w:val="26"/>
          <w:szCs w:val="26"/>
        </w:rPr>
        <w:t xml:space="preserve">filed </w:t>
      </w:r>
      <w:r w:rsidRPr="00013204">
        <w:rPr>
          <w:color w:val="0D0D0D" w:themeColor="text1" w:themeTint="F2"/>
          <w:sz w:val="26"/>
          <w:szCs w:val="26"/>
        </w:rPr>
        <w:t>on a 10-day notice and in complian</w:t>
      </w:r>
      <w:r w:rsidR="0036049B">
        <w:rPr>
          <w:color w:val="0D0D0D" w:themeColor="text1" w:themeTint="F2"/>
          <w:sz w:val="26"/>
          <w:szCs w:val="26"/>
        </w:rPr>
        <w:t>ce with the directives in this O</w:t>
      </w:r>
      <w:r w:rsidRPr="00013204">
        <w:rPr>
          <w:color w:val="0D0D0D" w:themeColor="text1" w:themeTint="F2"/>
          <w:sz w:val="26"/>
          <w:szCs w:val="26"/>
        </w:rPr>
        <w:t xml:space="preserve">rder, but note that the rates charged pursuant to the DSIC surcharge shall be subject to recoupment and refund after final resolution of the issues brought before the OALJ.  Therefore, based on requirements for DSIC quarterly updates, as more fully described below, the Commission directs </w:t>
      </w:r>
      <w:r w:rsidR="0014165C">
        <w:rPr>
          <w:color w:val="0D0D0D" w:themeColor="text1" w:themeTint="F2"/>
          <w:sz w:val="26"/>
          <w:szCs w:val="26"/>
        </w:rPr>
        <w:t>UGI-CPG</w:t>
      </w:r>
      <w:r w:rsidRPr="00013204">
        <w:rPr>
          <w:color w:val="0D0D0D" w:themeColor="text1" w:themeTint="F2"/>
          <w:sz w:val="26"/>
          <w:szCs w:val="26"/>
        </w:rPr>
        <w:t xml:space="preserve"> to file a tariff no later than </w:t>
      </w:r>
      <w:r w:rsidR="00170353">
        <w:rPr>
          <w:color w:val="0D0D0D" w:themeColor="text1" w:themeTint="F2"/>
          <w:sz w:val="26"/>
          <w:szCs w:val="26"/>
        </w:rPr>
        <w:t>September 20, 2014</w:t>
      </w:r>
      <w:r w:rsidRPr="00095BCB">
        <w:rPr>
          <w:color w:val="0D0D0D" w:themeColor="text1" w:themeTint="F2"/>
          <w:sz w:val="26"/>
          <w:szCs w:val="26"/>
        </w:rPr>
        <w:t xml:space="preserve">, if </w:t>
      </w:r>
      <w:r w:rsidR="0014165C">
        <w:rPr>
          <w:color w:val="0D0D0D" w:themeColor="text1" w:themeTint="F2"/>
          <w:sz w:val="26"/>
          <w:szCs w:val="26"/>
        </w:rPr>
        <w:t>UGI-CPG</w:t>
      </w:r>
      <w:r w:rsidRPr="00095BCB">
        <w:rPr>
          <w:color w:val="0D0D0D" w:themeColor="text1" w:themeTint="F2"/>
          <w:sz w:val="26"/>
          <w:szCs w:val="26"/>
        </w:rPr>
        <w:t xml:space="preserve"> wishes t</w:t>
      </w:r>
      <w:r w:rsidR="00170353">
        <w:rPr>
          <w:color w:val="0D0D0D" w:themeColor="text1" w:themeTint="F2"/>
          <w:sz w:val="26"/>
          <w:szCs w:val="26"/>
        </w:rPr>
        <w:t xml:space="preserve">o have an effective date of October 1, </w:t>
      </w:r>
      <w:r w:rsidR="00170353">
        <w:rPr>
          <w:color w:val="0D0D0D" w:themeColor="text1" w:themeTint="F2"/>
          <w:sz w:val="26"/>
          <w:szCs w:val="26"/>
        </w:rPr>
        <w:lastRenderedPageBreak/>
        <w:t>2014</w:t>
      </w:r>
      <w:r w:rsidRPr="00095BCB">
        <w:rPr>
          <w:color w:val="0D0D0D" w:themeColor="text1" w:themeTint="F2"/>
          <w:sz w:val="26"/>
          <w:szCs w:val="26"/>
        </w:rPr>
        <w:t>.</w:t>
      </w:r>
      <w:r w:rsidRPr="00013204">
        <w:rPr>
          <w:rStyle w:val="FootnoteReference"/>
          <w:color w:val="0D0D0D" w:themeColor="text1" w:themeTint="F2"/>
          <w:sz w:val="26"/>
          <w:szCs w:val="26"/>
        </w:rPr>
        <w:footnoteReference w:id="2"/>
      </w:r>
      <w:r w:rsidRPr="00013204">
        <w:rPr>
          <w:color w:val="0D0D0D" w:themeColor="text1" w:themeTint="F2"/>
          <w:sz w:val="26"/>
          <w:szCs w:val="26"/>
        </w:rPr>
        <w:t xml:space="preserve">  </w:t>
      </w:r>
      <w:r w:rsidR="0014165C">
        <w:rPr>
          <w:color w:val="0D0D0D" w:themeColor="text1" w:themeTint="F2"/>
          <w:sz w:val="26"/>
          <w:szCs w:val="26"/>
        </w:rPr>
        <w:t>UGI-CPG</w:t>
      </w:r>
      <w:r w:rsidR="008C6A91">
        <w:rPr>
          <w:color w:val="0D0D0D" w:themeColor="text1" w:themeTint="F2"/>
          <w:sz w:val="26"/>
          <w:szCs w:val="26"/>
        </w:rPr>
        <w:t>’s</w:t>
      </w:r>
      <w:r w:rsidRPr="00013204">
        <w:rPr>
          <w:color w:val="0D0D0D" w:themeColor="text1" w:themeTint="F2"/>
          <w:sz w:val="26"/>
          <w:szCs w:val="26"/>
        </w:rPr>
        <w:t xml:space="preserve"> tariff </w:t>
      </w:r>
      <w:r>
        <w:rPr>
          <w:color w:val="0D0D0D" w:themeColor="text1" w:themeTint="F2"/>
          <w:sz w:val="26"/>
          <w:szCs w:val="26"/>
        </w:rPr>
        <w:t>must be modified in a tariff</w:t>
      </w:r>
      <w:r w:rsidRPr="00013204">
        <w:rPr>
          <w:color w:val="0D0D0D" w:themeColor="text1" w:themeTint="F2"/>
          <w:sz w:val="26"/>
          <w:szCs w:val="26"/>
        </w:rPr>
        <w:t xml:space="preserve"> filing as directed by the Commission </w:t>
      </w:r>
      <w:r w:rsidR="0036049B">
        <w:rPr>
          <w:sz w:val="26"/>
          <w:szCs w:val="26"/>
        </w:rPr>
        <w:t xml:space="preserve">in this Order.  </w:t>
      </w:r>
    </w:p>
    <w:p w:rsidR="0036049B" w:rsidRDefault="0036049B" w:rsidP="0036049B">
      <w:pPr>
        <w:widowControl/>
        <w:spacing w:line="360" w:lineRule="auto"/>
        <w:ind w:firstLine="1440"/>
        <w:rPr>
          <w:sz w:val="26"/>
          <w:szCs w:val="26"/>
        </w:rPr>
      </w:pPr>
    </w:p>
    <w:p w:rsidR="0036049B" w:rsidRDefault="00B76080" w:rsidP="0036049B">
      <w:pPr>
        <w:widowControl/>
        <w:spacing w:line="360" w:lineRule="auto"/>
        <w:ind w:firstLine="1440"/>
        <w:rPr>
          <w:sz w:val="26"/>
          <w:szCs w:val="26"/>
        </w:rPr>
      </w:pPr>
      <w:r>
        <w:rPr>
          <w:b/>
          <w:sz w:val="26"/>
          <w:szCs w:val="26"/>
        </w:rPr>
        <w:t xml:space="preserve">(c) </w:t>
      </w:r>
      <w:r w:rsidRPr="00062E21">
        <w:rPr>
          <w:b/>
          <w:sz w:val="26"/>
          <w:szCs w:val="26"/>
        </w:rPr>
        <w:t>Computation of the DSIC</w:t>
      </w:r>
    </w:p>
    <w:p w:rsidR="0036049B" w:rsidRDefault="0036049B" w:rsidP="0036049B">
      <w:pPr>
        <w:widowControl/>
        <w:spacing w:line="360" w:lineRule="auto"/>
        <w:ind w:firstLine="1440"/>
        <w:rPr>
          <w:sz w:val="26"/>
          <w:szCs w:val="26"/>
        </w:rPr>
      </w:pPr>
    </w:p>
    <w:p w:rsidR="0036049B" w:rsidRDefault="0014165C" w:rsidP="0036049B">
      <w:pPr>
        <w:widowControl/>
        <w:spacing w:line="360" w:lineRule="auto"/>
        <w:rPr>
          <w:sz w:val="26"/>
          <w:szCs w:val="26"/>
        </w:rPr>
      </w:pPr>
      <w:r>
        <w:rPr>
          <w:b/>
          <w:sz w:val="26"/>
          <w:szCs w:val="26"/>
        </w:rPr>
        <w:t>UGI-CPG</w:t>
      </w:r>
      <w:r w:rsidR="00170353">
        <w:rPr>
          <w:b/>
          <w:sz w:val="26"/>
          <w:szCs w:val="26"/>
        </w:rPr>
        <w:t>’s</w:t>
      </w:r>
      <w:r w:rsidR="00B76080">
        <w:rPr>
          <w:b/>
          <w:sz w:val="26"/>
          <w:szCs w:val="26"/>
        </w:rPr>
        <w:t xml:space="preserve"> Petition</w:t>
      </w:r>
    </w:p>
    <w:p w:rsidR="0036049B" w:rsidRDefault="0036049B" w:rsidP="0036049B">
      <w:pPr>
        <w:widowControl/>
        <w:spacing w:line="360" w:lineRule="auto"/>
        <w:rPr>
          <w:sz w:val="26"/>
          <w:szCs w:val="26"/>
        </w:rPr>
      </w:pPr>
    </w:p>
    <w:p w:rsidR="00B76080" w:rsidRDefault="00B76080" w:rsidP="0036049B">
      <w:pPr>
        <w:widowControl/>
        <w:spacing w:line="360" w:lineRule="auto"/>
        <w:ind w:firstLine="1440"/>
        <w:rPr>
          <w:sz w:val="26"/>
          <w:szCs w:val="26"/>
        </w:rPr>
      </w:pPr>
      <w:r>
        <w:rPr>
          <w:sz w:val="26"/>
          <w:szCs w:val="26"/>
        </w:rPr>
        <w:t xml:space="preserve">With </w:t>
      </w:r>
      <w:r w:rsidR="008C6A91">
        <w:rPr>
          <w:sz w:val="26"/>
          <w:szCs w:val="26"/>
        </w:rPr>
        <w:t>the Proposed Tariff</w:t>
      </w:r>
      <w:r w:rsidRPr="00062E21">
        <w:rPr>
          <w:sz w:val="26"/>
          <w:szCs w:val="26"/>
        </w:rPr>
        <w:t xml:space="preserve">, </w:t>
      </w:r>
      <w:r w:rsidR="0014165C">
        <w:rPr>
          <w:sz w:val="26"/>
          <w:szCs w:val="26"/>
        </w:rPr>
        <w:t>UGI-CPG</w:t>
      </w:r>
      <w:r w:rsidRPr="00062E21">
        <w:rPr>
          <w:sz w:val="26"/>
          <w:szCs w:val="26"/>
        </w:rPr>
        <w:t xml:space="preserve"> propose</w:t>
      </w:r>
      <w:r>
        <w:rPr>
          <w:sz w:val="26"/>
          <w:szCs w:val="26"/>
        </w:rPr>
        <w:t>s</w:t>
      </w:r>
      <w:r w:rsidRPr="00062E21">
        <w:rPr>
          <w:sz w:val="26"/>
          <w:szCs w:val="26"/>
        </w:rPr>
        <w:t xml:space="preserve"> a </w:t>
      </w:r>
      <w:r w:rsidR="001D2D80">
        <w:rPr>
          <w:sz w:val="26"/>
          <w:szCs w:val="26"/>
        </w:rPr>
        <w:t xml:space="preserve">Pro-Forma </w:t>
      </w:r>
      <w:r w:rsidRPr="00062E21">
        <w:rPr>
          <w:sz w:val="26"/>
          <w:szCs w:val="26"/>
        </w:rPr>
        <w:t>DS</w:t>
      </w:r>
      <w:r w:rsidR="0036049B">
        <w:rPr>
          <w:sz w:val="26"/>
          <w:szCs w:val="26"/>
        </w:rPr>
        <w:t>IC</w:t>
      </w:r>
      <w:r w:rsidR="001D2D80">
        <w:rPr>
          <w:sz w:val="26"/>
          <w:szCs w:val="26"/>
        </w:rPr>
        <w:t xml:space="preserve"> rate</w:t>
      </w:r>
      <w:r w:rsidR="003257FD">
        <w:rPr>
          <w:sz w:val="26"/>
          <w:szCs w:val="26"/>
        </w:rPr>
        <w:t xml:space="preserve"> of .33</w:t>
      </w:r>
      <w:r w:rsidRPr="00062E21">
        <w:rPr>
          <w:sz w:val="26"/>
          <w:szCs w:val="26"/>
        </w:rPr>
        <w:t>%, which the Company aver</w:t>
      </w:r>
      <w:r>
        <w:rPr>
          <w:sz w:val="26"/>
          <w:szCs w:val="26"/>
        </w:rPr>
        <w:t>s</w:t>
      </w:r>
      <w:r w:rsidRPr="00062E21">
        <w:rPr>
          <w:sz w:val="26"/>
          <w:szCs w:val="26"/>
        </w:rPr>
        <w:t xml:space="preserve"> was calculated consistent with the Model Tariff</w:t>
      </w:r>
      <w:r>
        <w:rPr>
          <w:sz w:val="26"/>
          <w:szCs w:val="26"/>
        </w:rPr>
        <w:t xml:space="preserve"> in the Final Implementation Order</w:t>
      </w:r>
      <w:r w:rsidRPr="00062E21">
        <w:rPr>
          <w:sz w:val="26"/>
          <w:szCs w:val="26"/>
        </w:rPr>
        <w:t>.  The formula for calculation of the DSIC is as follows:</w:t>
      </w:r>
    </w:p>
    <w:p w:rsidR="00B76080" w:rsidRPr="00062E21" w:rsidRDefault="00B76080" w:rsidP="00B76080">
      <w:pPr>
        <w:widowControl/>
        <w:spacing w:line="360" w:lineRule="auto"/>
        <w:ind w:firstLine="1440"/>
        <w:rPr>
          <w:sz w:val="26"/>
          <w:szCs w:val="26"/>
        </w:rPr>
      </w:pPr>
    </w:p>
    <w:p w:rsidR="00B76080" w:rsidRPr="00062E21" w:rsidRDefault="00B76080" w:rsidP="00B76080">
      <w:pPr>
        <w:widowControl/>
        <w:ind w:left="1440"/>
        <w:rPr>
          <w:sz w:val="26"/>
          <w:szCs w:val="26"/>
          <w:u w:val="single"/>
        </w:rPr>
      </w:pPr>
      <w:r w:rsidRPr="00062E21">
        <w:rPr>
          <w:sz w:val="26"/>
          <w:szCs w:val="26"/>
        </w:rPr>
        <w:t>DSIC</w:t>
      </w:r>
      <w:r w:rsidRPr="00062E21">
        <w:rPr>
          <w:sz w:val="26"/>
          <w:szCs w:val="26"/>
        </w:rPr>
        <w:tab/>
        <w:t xml:space="preserve">       =</w:t>
      </w:r>
      <w:r w:rsidRPr="00062E21">
        <w:rPr>
          <w:sz w:val="26"/>
          <w:szCs w:val="26"/>
        </w:rPr>
        <w:tab/>
        <w:t>(</w:t>
      </w:r>
      <w:r w:rsidRPr="00062E21">
        <w:rPr>
          <w:sz w:val="26"/>
          <w:szCs w:val="26"/>
          <w:u w:val="single"/>
        </w:rPr>
        <w:t>DSI * PTRR)</w:t>
      </w:r>
      <w:r w:rsidR="001D2D80">
        <w:rPr>
          <w:sz w:val="26"/>
          <w:szCs w:val="26"/>
          <w:u w:val="single"/>
        </w:rPr>
        <w:t xml:space="preserve"> </w:t>
      </w:r>
      <w:r w:rsidRPr="00062E21">
        <w:rPr>
          <w:sz w:val="26"/>
          <w:szCs w:val="26"/>
          <w:u w:val="single"/>
        </w:rPr>
        <w:t>+</w:t>
      </w:r>
      <w:r w:rsidR="001D2D80">
        <w:rPr>
          <w:sz w:val="26"/>
          <w:szCs w:val="26"/>
          <w:u w:val="single"/>
        </w:rPr>
        <w:t xml:space="preserve"> </w:t>
      </w:r>
      <w:proofErr w:type="spellStart"/>
      <w:r w:rsidRPr="00062E21">
        <w:rPr>
          <w:sz w:val="26"/>
          <w:szCs w:val="26"/>
          <w:u w:val="single"/>
        </w:rPr>
        <w:t>Dep</w:t>
      </w:r>
      <w:proofErr w:type="spellEnd"/>
      <w:r w:rsidR="001D2D80">
        <w:rPr>
          <w:sz w:val="26"/>
          <w:szCs w:val="26"/>
          <w:u w:val="single"/>
        </w:rPr>
        <w:t xml:space="preserve"> </w:t>
      </w:r>
      <w:r w:rsidRPr="00062E21">
        <w:rPr>
          <w:sz w:val="26"/>
          <w:szCs w:val="26"/>
          <w:u w:val="single"/>
        </w:rPr>
        <w:t>+</w:t>
      </w:r>
      <w:r w:rsidR="001D2D80">
        <w:rPr>
          <w:sz w:val="26"/>
          <w:szCs w:val="26"/>
          <w:u w:val="single"/>
        </w:rPr>
        <w:t xml:space="preserve"> </w:t>
      </w:r>
      <w:r w:rsidRPr="00062E21">
        <w:rPr>
          <w:sz w:val="26"/>
          <w:szCs w:val="26"/>
          <w:u w:val="single"/>
        </w:rPr>
        <w:t>e</w:t>
      </w:r>
    </w:p>
    <w:p w:rsidR="00B76080" w:rsidRPr="00062E21" w:rsidRDefault="00B76080" w:rsidP="00B76080">
      <w:pPr>
        <w:widowControl/>
        <w:ind w:left="2880" w:firstLine="720"/>
        <w:rPr>
          <w:sz w:val="26"/>
          <w:szCs w:val="26"/>
        </w:rPr>
      </w:pPr>
      <w:r w:rsidRPr="00062E21">
        <w:rPr>
          <w:sz w:val="26"/>
          <w:szCs w:val="26"/>
        </w:rPr>
        <w:t xml:space="preserve">    PQR</w:t>
      </w:r>
    </w:p>
    <w:p w:rsidR="00B76080" w:rsidRPr="00062E21" w:rsidRDefault="00B76080" w:rsidP="00B76080">
      <w:pPr>
        <w:widowControl/>
        <w:ind w:left="1440"/>
        <w:rPr>
          <w:sz w:val="26"/>
          <w:szCs w:val="26"/>
        </w:rPr>
      </w:pPr>
    </w:p>
    <w:p w:rsidR="00B76080" w:rsidRPr="00062E21" w:rsidRDefault="00B76080" w:rsidP="00B76080">
      <w:pPr>
        <w:widowControl/>
        <w:ind w:left="1440"/>
        <w:rPr>
          <w:sz w:val="26"/>
          <w:szCs w:val="26"/>
        </w:rPr>
      </w:pPr>
      <w:r w:rsidRPr="00062E21">
        <w:rPr>
          <w:sz w:val="26"/>
          <w:szCs w:val="26"/>
        </w:rPr>
        <w:t>Where:</w:t>
      </w:r>
    </w:p>
    <w:p w:rsidR="00B76080" w:rsidRPr="00062E21" w:rsidRDefault="00B76080" w:rsidP="00B76080">
      <w:pPr>
        <w:widowControl/>
        <w:tabs>
          <w:tab w:val="left" w:pos="-1440"/>
        </w:tabs>
        <w:ind w:left="2880" w:hanging="1440"/>
        <w:rPr>
          <w:sz w:val="26"/>
          <w:szCs w:val="26"/>
        </w:rPr>
      </w:pPr>
    </w:p>
    <w:p w:rsidR="00B76080" w:rsidRPr="00062E21" w:rsidRDefault="00B76080" w:rsidP="00B76080">
      <w:pPr>
        <w:widowControl/>
        <w:tabs>
          <w:tab w:val="left" w:pos="-1440"/>
        </w:tabs>
        <w:ind w:left="2880" w:hanging="1440"/>
        <w:rPr>
          <w:sz w:val="26"/>
          <w:szCs w:val="26"/>
        </w:rPr>
      </w:pPr>
      <w:r w:rsidRPr="00062E21">
        <w:rPr>
          <w:sz w:val="26"/>
          <w:szCs w:val="26"/>
        </w:rPr>
        <w:t>DSI            =</w:t>
      </w:r>
      <w:r w:rsidRPr="00062E21">
        <w:rPr>
          <w:sz w:val="26"/>
          <w:szCs w:val="26"/>
        </w:rPr>
        <w:tab/>
        <w:t>Original cost of eligible distribution system improvement projects net of accrued depreciation.</w:t>
      </w:r>
    </w:p>
    <w:p w:rsidR="00B76080" w:rsidRPr="00062E21" w:rsidRDefault="00B76080" w:rsidP="00B76080">
      <w:pPr>
        <w:widowControl/>
        <w:tabs>
          <w:tab w:val="left" w:pos="-1440"/>
        </w:tabs>
        <w:ind w:left="2880" w:hanging="1440"/>
        <w:rPr>
          <w:sz w:val="26"/>
          <w:szCs w:val="26"/>
        </w:rPr>
      </w:pPr>
      <w:r w:rsidRPr="00062E21">
        <w:rPr>
          <w:sz w:val="26"/>
          <w:szCs w:val="26"/>
        </w:rPr>
        <w:t>PTRR        =</w:t>
      </w:r>
      <w:r w:rsidRPr="00062E21">
        <w:rPr>
          <w:sz w:val="26"/>
          <w:szCs w:val="26"/>
        </w:rPr>
        <w:tab/>
        <w:t>Pre-tax return rate applicable to DSIC-eligible property.</w:t>
      </w:r>
    </w:p>
    <w:p w:rsidR="00B76080" w:rsidRPr="00062E21" w:rsidRDefault="00B76080" w:rsidP="00B76080">
      <w:pPr>
        <w:widowControl/>
        <w:tabs>
          <w:tab w:val="left" w:pos="-1440"/>
        </w:tabs>
        <w:ind w:left="2880" w:hanging="1440"/>
        <w:rPr>
          <w:sz w:val="26"/>
          <w:szCs w:val="26"/>
        </w:rPr>
      </w:pPr>
      <w:proofErr w:type="spellStart"/>
      <w:r w:rsidRPr="00062E21">
        <w:rPr>
          <w:sz w:val="26"/>
          <w:szCs w:val="26"/>
        </w:rPr>
        <w:t>Dep</w:t>
      </w:r>
      <w:proofErr w:type="spellEnd"/>
      <w:r w:rsidRPr="00062E21">
        <w:rPr>
          <w:sz w:val="26"/>
          <w:szCs w:val="26"/>
        </w:rPr>
        <w:t xml:space="preserve">           =</w:t>
      </w:r>
      <w:r w:rsidRPr="00062E21">
        <w:rPr>
          <w:sz w:val="26"/>
          <w:szCs w:val="26"/>
        </w:rPr>
        <w:tab/>
        <w:t>Depreciation expense related to DSIC-eligible property.</w:t>
      </w:r>
    </w:p>
    <w:p w:rsidR="00B76080" w:rsidRPr="00062E21" w:rsidRDefault="00B76080" w:rsidP="00B76080">
      <w:pPr>
        <w:widowControl/>
        <w:tabs>
          <w:tab w:val="left" w:pos="-1440"/>
          <w:tab w:val="left" w:pos="2340"/>
        </w:tabs>
        <w:ind w:left="2880" w:hanging="1440"/>
        <w:rPr>
          <w:sz w:val="26"/>
          <w:szCs w:val="26"/>
        </w:rPr>
      </w:pPr>
      <w:r w:rsidRPr="00062E21">
        <w:rPr>
          <w:sz w:val="26"/>
          <w:szCs w:val="26"/>
        </w:rPr>
        <w:t>e                =</w:t>
      </w:r>
      <w:r w:rsidRPr="00062E21">
        <w:rPr>
          <w:sz w:val="26"/>
          <w:szCs w:val="26"/>
        </w:rPr>
        <w:tab/>
        <w:t>Amount calculated under the annual reconciliation feature or Commission audit.</w:t>
      </w:r>
    </w:p>
    <w:p w:rsidR="00B76080" w:rsidRPr="00062E21" w:rsidRDefault="00B76080" w:rsidP="00B76080">
      <w:pPr>
        <w:widowControl/>
        <w:tabs>
          <w:tab w:val="left" w:pos="-1440"/>
          <w:tab w:val="left" w:pos="2700"/>
        </w:tabs>
        <w:ind w:left="2880" w:hanging="1440"/>
        <w:rPr>
          <w:sz w:val="26"/>
          <w:szCs w:val="26"/>
        </w:rPr>
      </w:pPr>
      <w:r w:rsidRPr="00062E21">
        <w:rPr>
          <w:sz w:val="26"/>
          <w:szCs w:val="26"/>
        </w:rPr>
        <w:t>PQR          =</w:t>
      </w:r>
      <w:r w:rsidRPr="00062E21">
        <w:rPr>
          <w:sz w:val="26"/>
          <w:szCs w:val="26"/>
        </w:rPr>
        <w:tab/>
        <w:t xml:space="preserve">Projected quarterly revenues for distribution service (including all applicable clauses and riders) from existing customers plus revenue from any customers which will be acquired by the beginning of the applicable service period.  </w:t>
      </w:r>
    </w:p>
    <w:p w:rsidR="00B76080" w:rsidRPr="00062E21" w:rsidRDefault="00B76080" w:rsidP="00B76080">
      <w:pPr>
        <w:widowControl/>
        <w:tabs>
          <w:tab w:val="left" w:pos="-1440"/>
          <w:tab w:val="left" w:pos="2700"/>
        </w:tabs>
        <w:spacing w:line="360" w:lineRule="auto"/>
        <w:ind w:left="2880" w:hanging="1440"/>
        <w:rPr>
          <w:sz w:val="26"/>
          <w:szCs w:val="26"/>
        </w:rPr>
      </w:pPr>
    </w:p>
    <w:p w:rsidR="006935F3" w:rsidRDefault="006935F3" w:rsidP="00B76080">
      <w:pPr>
        <w:widowControl/>
        <w:tabs>
          <w:tab w:val="left" w:pos="-1440"/>
          <w:tab w:val="left" w:pos="2700"/>
        </w:tabs>
        <w:spacing w:line="360" w:lineRule="auto"/>
        <w:rPr>
          <w:sz w:val="26"/>
          <w:szCs w:val="26"/>
        </w:rPr>
      </w:pPr>
    </w:p>
    <w:p w:rsidR="00B76080" w:rsidRPr="00062E21" w:rsidRDefault="0014165C" w:rsidP="00B76080">
      <w:pPr>
        <w:widowControl/>
        <w:tabs>
          <w:tab w:val="left" w:pos="-1440"/>
          <w:tab w:val="left" w:pos="2700"/>
        </w:tabs>
        <w:spacing w:line="360" w:lineRule="auto"/>
        <w:rPr>
          <w:sz w:val="26"/>
          <w:szCs w:val="26"/>
        </w:rPr>
      </w:pPr>
      <w:r>
        <w:rPr>
          <w:sz w:val="26"/>
          <w:szCs w:val="26"/>
        </w:rPr>
        <w:t>UGI-CPG</w:t>
      </w:r>
      <w:r w:rsidR="00170353">
        <w:rPr>
          <w:sz w:val="26"/>
          <w:szCs w:val="26"/>
        </w:rPr>
        <w:t>’s</w:t>
      </w:r>
      <w:r w:rsidR="00B76080" w:rsidRPr="00062E21">
        <w:rPr>
          <w:sz w:val="26"/>
          <w:szCs w:val="26"/>
        </w:rPr>
        <w:t xml:space="preserve"> cal</w:t>
      </w:r>
      <w:r w:rsidR="00EB5690">
        <w:rPr>
          <w:sz w:val="26"/>
          <w:szCs w:val="26"/>
        </w:rPr>
        <w:t>culation</w:t>
      </w:r>
      <w:r w:rsidR="00B76080">
        <w:rPr>
          <w:sz w:val="26"/>
          <w:szCs w:val="26"/>
        </w:rPr>
        <w:t xml:space="preserve"> is</w:t>
      </w:r>
      <w:r w:rsidR="00B76080" w:rsidRPr="00062E21">
        <w:rPr>
          <w:sz w:val="26"/>
          <w:szCs w:val="26"/>
        </w:rPr>
        <w:t>:</w:t>
      </w:r>
    </w:p>
    <w:p w:rsidR="00B76080" w:rsidRPr="00062E21" w:rsidRDefault="00B76080" w:rsidP="00B76080">
      <w:pPr>
        <w:widowControl/>
        <w:tabs>
          <w:tab w:val="left" w:pos="-1440"/>
          <w:tab w:val="left" w:pos="2700"/>
        </w:tabs>
        <w:spacing w:line="360" w:lineRule="auto"/>
        <w:ind w:left="2880" w:hanging="1440"/>
        <w:rPr>
          <w:sz w:val="26"/>
          <w:szCs w:val="26"/>
        </w:rPr>
      </w:pPr>
    </w:p>
    <w:p w:rsidR="00B76080" w:rsidRPr="00062E21" w:rsidRDefault="00B76080" w:rsidP="00B76080">
      <w:pPr>
        <w:widowControl/>
        <w:ind w:left="1440"/>
        <w:rPr>
          <w:sz w:val="26"/>
          <w:szCs w:val="26"/>
          <w:u w:val="single"/>
        </w:rPr>
      </w:pPr>
      <w:r w:rsidRPr="00062E21">
        <w:rPr>
          <w:sz w:val="26"/>
          <w:szCs w:val="26"/>
        </w:rPr>
        <w:t>DSIC</w:t>
      </w:r>
      <w:r w:rsidRPr="00062E21">
        <w:rPr>
          <w:sz w:val="26"/>
          <w:szCs w:val="26"/>
        </w:rPr>
        <w:tab/>
        <w:t xml:space="preserve">       =</w:t>
      </w:r>
      <w:r w:rsidRPr="00062E21">
        <w:rPr>
          <w:sz w:val="26"/>
          <w:szCs w:val="26"/>
        </w:rPr>
        <w:tab/>
        <w:t>(</w:t>
      </w:r>
      <w:r w:rsidR="003257FD">
        <w:rPr>
          <w:sz w:val="26"/>
          <w:szCs w:val="26"/>
          <w:u w:val="single"/>
        </w:rPr>
        <w:t>2</w:t>
      </w:r>
      <w:r w:rsidR="00EB5690">
        <w:rPr>
          <w:sz w:val="26"/>
          <w:szCs w:val="26"/>
          <w:u w:val="single"/>
        </w:rPr>
        <w:t>,</w:t>
      </w:r>
      <w:r w:rsidR="003257FD">
        <w:rPr>
          <w:sz w:val="26"/>
          <w:szCs w:val="26"/>
          <w:u w:val="single"/>
        </w:rPr>
        <w:t>059</w:t>
      </w:r>
      <w:r w:rsidR="00EB5690">
        <w:rPr>
          <w:sz w:val="26"/>
          <w:szCs w:val="26"/>
          <w:u w:val="single"/>
        </w:rPr>
        <w:t>,</w:t>
      </w:r>
      <w:r w:rsidR="003257FD">
        <w:rPr>
          <w:sz w:val="26"/>
          <w:szCs w:val="26"/>
          <w:u w:val="single"/>
        </w:rPr>
        <w:t>834</w:t>
      </w:r>
      <w:r w:rsidR="00EB5690">
        <w:rPr>
          <w:sz w:val="26"/>
          <w:szCs w:val="26"/>
          <w:u w:val="single"/>
        </w:rPr>
        <w:t xml:space="preserve"> * 3.00</w:t>
      </w:r>
      <w:r>
        <w:rPr>
          <w:sz w:val="26"/>
          <w:szCs w:val="26"/>
          <w:u w:val="single"/>
        </w:rPr>
        <w:t>%)</w:t>
      </w:r>
      <w:r w:rsidR="00170353">
        <w:rPr>
          <w:sz w:val="26"/>
          <w:szCs w:val="26"/>
          <w:u w:val="single"/>
        </w:rPr>
        <w:t xml:space="preserve"> </w:t>
      </w:r>
      <w:r>
        <w:rPr>
          <w:sz w:val="26"/>
          <w:szCs w:val="26"/>
          <w:u w:val="single"/>
        </w:rPr>
        <w:t>+</w:t>
      </w:r>
      <w:r w:rsidR="00170353">
        <w:rPr>
          <w:sz w:val="26"/>
          <w:szCs w:val="26"/>
          <w:u w:val="single"/>
        </w:rPr>
        <w:t xml:space="preserve"> </w:t>
      </w:r>
      <w:r w:rsidR="003257FD">
        <w:rPr>
          <w:sz w:val="26"/>
          <w:szCs w:val="26"/>
          <w:u w:val="single"/>
        </w:rPr>
        <w:t>11</w:t>
      </w:r>
      <w:r w:rsidR="00EB5690">
        <w:rPr>
          <w:sz w:val="26"/>
          <w:szCs w:val="26"/>
          <w:u w:val="single"/>
        </w:rPr>
        <w:t>,</w:t>
      </w:r>
      <w:r w:rsidR="003257FD">
        <w:rPr>
          <w:sz w:val="26"/>
          <w:szCs w:val="26"/>
          <w:u w:val="single"/>
        </w:rPr>
        <w:t>316</w:t>
      </w:r>
    </w:p>
    <w:p w:rsidR="00B76080" w:rsidRPr="00062E21" w:rsidRDefault="003257FD" w:rsidP="00B76080">
      <w:pPr>
        <w:widowControl/>
        <w:ind w:left="2880" w:firstLine="720"/>
        <w:rPr>
          <w:sz w:val="26"/>
          <w:szCs w:val="26"/>
        </w:rPr>
      </w:pPr>
      <w:r>
        <w:rPr>
          <w:sz w:val="26"/>
          <w:szCs w:val="26"/>
        </w:rPr>
        <w:t xml:space="preserve">  21</w:t>
      </w:r>
      <w:r w:rsidR="00EB5690">
        <w:rPr>
          <w:sz w:val="26"/>
          <w:szCs w:val="26"/>
        </w:rPr>
        <w:t>,</w:t>
      </w:r>
      <w:r>
        <w:rPr>
          <w:sz w:val="26"/>
          <w:szCs w:val="26"/>
        </w:rPr>
        <w:t>850</w:t>
      </w:r>
      <w:r w:rsidR="00EB5690">
        <w:rPr>
          <w:sz w:val="26"/>
          <w:szCs w:val="26"/>
        </w:rPr>
        <w:t>,000</w:t>
      </w:r>
    </w:p>
    <w:p w:rsidR="00B76080" w:rsidRPr="00062E21" w:rsidRDefault="00B76080" w:rsidP="00B76080">
      <w:pPr>
        <w:widowControl/>
        <w:tabs>
          <w:tab w:val="left" w:pos="-1440"/>
          <w:tab w:val="left" w:pos="2700"/>
        </w:tabs>
        <w:spacing w:line="360" w:lineRule="auto"/>
        <w:ind w:left="2880" w:hanging="1440"/>
        <w:rPr>
          <w:sz w:val="26"/>
          <w:szCs w:val="26"/>
        </w:rPr>
      </w:pPr>
    </w:p>
    <w:p w:rsidR="00B76080" w:rsidRPr="00062E21" w:rsidRDefault="0014165C" w:rsidP="00B76080">
      <w:pPr>
        <w:widowControl/>
        <w:spacing w:line="360" w:lineRule="auto"/>
        <w:ind w:firstLine="1440"/>
        <w:rPr>
          <w:sz w:val="26"/>
          <w:szCs w:val="26"/>
        </w:rPr>
      </w:pPr>
      <w:r>
        <w:rPr>
          <w:sz w:val="26"/>
          <w:szCs w:val="26"/>
        </w:rPr>
        <w:lastRenderedPageBreak/>
        <w:t>UGI-CPG</w:t>
      </w:r>
      <w:r w:rsidR="00170353">
        <w:rPr>
          <w:sz w:val="26"/>
          <w:szCs w:val="26"/>
        </w:rPr>
        <w:t>’s</w:t>
      </w:r>
      <w:r w:rsidR="003257FD">
        <w:rPr>
          <w:sz w:val="26"/>
          <w:szCs w:val="26"/>
        </w:rPr>
        <w:t xml:space="preserve"> estimated DSIC rate of .33</w:t>
      </w:r>
      <w:r w:rsidR="00B76080">
        <w:rPr>
          <w:sz w:val="26"/>
          <w:szCs w:val="26"/>
        </w:rPr>
        <w:t xml:space="preserve">% was calculated using projected costs and capital structure that would </w:t>
      </w:r>
      <w:r w:rsidR="00EB5690">
        <w:rPr>
          <w:sz w:val="26"/>
          <w:szCs w:val="26"/>
        </w:rPr>
        <w:t>be suitable for an April 1, 2014</w:t>
      </w:r>
      <w:r w:rsidR="00B76080">
        <w:rPr>
          <w:sz w:val="26"/>
          <w:szCs w:val="26"/>
        </w:rPr>
        <w:t xml:space="preserve"> effective date.  </w:t>
      </w:r>
      <w:r>
        <w:rPr>
          <w:sz w:val="26"/>
          <w:szCs w:val="26"/>
        </w:rPr>
        <w:t>UGI-CPG</w:t>
      </w:r>
      <w:r w:rsidR="00B76080">
        <w:rPr>
          <w:sz w:val="26"/>
          <w:szCs w:val="26"/>
        </w:rPr>
        <w:t xml:space="preserve"> will update this computation ten days before the actual approved effective date of the DSIC rate to reflect the following:  the costs of all DSIC-eligible projects that were placed into service during the three month period ending one month prior to the approved effective date; </w:t>
      </w:r>
      <w:r>
        <w:rPr>
          <w:sz w:val="26"/>
          <w:szCs w:val="26"/>
        </w:rPr>
        <w:t>UGI-CPG</w:t>
      </w:r>
      <w:r w:rsidR="00C237AA">
        <w:rPr>
          <w:sz w:val="26"/>
          <w:szCs w:val="26"/>
        </w:rPr>
        <w:t>’S</w:t>
      </w:r>
      <w:r w:rsidR="00B76080">
        <w:rPr>
          <w:sz w:val="26"/>
          <w:szCs w:val="26"/>
        </w:rPr>
        <w:t xml:space="preserve"> actual capital structure and cost of long term debt as of one month prior to the effective date; and the Commission-allowed rate of return on equity.  </w:t>
      </w:r>
      <w:r w:rsidR="00B76080" w:rsidRPr="00062E21">
        <w:rPr>
          <w:sz w:val="26"/>
          <w:szCs w:val="26"/>
        </w:rPr>
        <w:t>Therefo</w:t>
      </w:r>
      <w:r w:rsidR="00B76080">
        <w:rPr>
          <w:sz w:val="26"/>
          <w:szCs w:val="26"/>
        </w:rPr>
        <w:t xml:space="preserve">re, for a DSIC effective </w:t>
      </w:r>
      <w:r w:rsidR="00EB5690">
        <w:rPr>
          <w:sz w:val="26"/>
          <w:szCs w:val="26"/>
        </w:rPr>
        <w:t>October 1, 2014</w:t>
      </w:r>
      <w:r w:rsidR="00B76080" w:rsidRPr="00062E21">
        <w:rPr>
          <w:sz w:val="26"/>
          <w:szCs w:val="26"/>
        </w:rPr>
        <w:t xml:space="preserve">, </w:t>
      </w:r>
      <w:r w:rsidR="00EB5690">
        <w:rPr>
          <w:sz w:val="26"/>
          <w:szCs w:val="26"/>
        </w:rPr>
        <w:t>a three-month period of June through August</w:t>
      </w:r>
      <w:r w:rsidR="00B76080">
        <w:rPr>
          <w:sz w:val="26"/>
          <w:szCs w:val="26"/>
        </w:rPr>
        <w:t xml:space="preserve"> should be used when calculating the appropriate DSIC rate. </w:t>
      </w:r>
    </w:p>
    <w:p w:rsidR="00B76080" w:rsidRPr="00062E21" w:rsidRDefault="00B76080" w:rsidP="00B76080">
      <w:pPr>
        <w:widowControl/>
        <w:spacing w:line="360" w:lineRule="auto"/>
        <w:ind w:firstLine="1440"/>
        <w:rPr>
          <w:sz w:val="26"/>
          <w:szCs w:val="26"/>
        </w:rPr>
      </w:pPr>
    </w:p>
    <w:p w:rsidR="00B76080" w:rsidRPr="00DE68D8" w:rsidRDefault="0014165C" w:rsidP="00DE68D8">
      <w:pPr>
        <w:widowControl/>
        <w:autoSpaceDE/>
        <w:autoSpaceDN/>
        <w:adjustRightInd/>
        <w:spacing w:line="360" w:lineRule="auto"/>
        <w:ind w:firstLine="1440"/>
        <w:rPr>
          <w:rFonts w:eastAsiaTheme="minorHAnsi"/>
        </w:rPr>
      </w:pPr>
      <w:r>
        <w:rPr>
          <w:sz w:val="26"/>
          <w:szCs w:val="26"/>
        </w:rPr>
        <w:t>UGI-CPG</w:t>
      </w:r>
      <w:r w:rsidR="00DE68D8">
        <w:rPr>
          <w:sz w:val="26"/>
          <w:szCs w:val="26"/>
        </w:rPr>
        <w:t xml:space="preserve"> used a rate o</w:t>
      </w:r>
      <w:r w:rsidR="00A377A5">
        <w:rPr>
          <w:sz w:val="26"/>
          <w:szCs w:val="26"/>
        </w:rPr>
        <w:t>f return on equity (ROE) of 10.1% in calculating its DSIC.</w:t>
      </w:r>
      <w:r w:rsidR="00DE68D8">
        <w:rPr>
          <w:sz w:val="26"/>
          <w:szCs w:val="26"/>
        </w:rPr>
        <w:t xml:space="preserve">  </w:t>
      </w:r>
      <w:r>
        <w:rPr>
          <w:sz w:val="26"/>
          <w:szCs w:val="26"/>
        </w:rPr>
        <w:t>UGI-CPG</w:t>
      </w:r>
      <w:r w:rsidR="00DE68D8">
        <w:rPr>
          <w:sz w:val="26"/>
          <w:szCs w:val="26"/>
        </w:rPr>
        <w:t xml:space="preserve"> states that </w:t>
      </w:r>
      <w:r w:rsidR="002841E3">
        <w:rPr>
          <w:sz w:val="26"/>
          <w:szCs w:val="26"/>
        </w:rPr>
        <w:t>when the Commission publishes a</w:t>
      </w:r>
      <w:r w:rsidR="00DE68D8">
        <w:rPr>
          <w:sz w:val="26"/>
          <w:szCs w:val="26"/>
        </w:rPr>
        <w:t xml:space="preserve"> ROE to be used for DSIC purposes</w:t>
      </w:r>
      <w:r w:rsidR="00DE68D8">
        <w:rPr>
          <w:rStyle w:val="FootnoteReference"/>
          <w:sz w:val="26"/>
          <w:szCs w:val="26"/>
        </w:rPr>
        <w:footnoteReference w:id="3"/>
      </w:r>
      <w:r w:rsidR="00DE68D8">
        <w:rPr>
          <w:sz w:val="26"/>
          <w:szCs w:val="26"/>
        </w:rPr>
        <w:t>, it will revise its tariff filing to reflect the allowed ROE.</w:t>
      </w:r>
      <w:r w:rsidR="00DE68D8">
        <w:rPr>
          <w:rFonts w:eastAsiaTheme="minorHAnsi"/>
        </w:rPr>
        <w:t xml:space="preserve"> </w:t>
      </w:r>
      <w:r w:rsidR="00B76080" w:rsidRPr="00062E21">
        <w:rPr>
          <w:sz w:val="26"/>
          <w:szCs w:val="26"/>
        </w:rPr>
        <w:t xml:space="preserve">  </w:t>
      </w:r>
    </w:p>
    <w:p w:rsidR="00B76080" w:rsidRPr="00062E21" w:rsidRDefault="00B76080" w:rsidP="00B76080">
      <w:pPr>
        <w:widowControl/>
        <w:spacing w:line="360" w:lineRule="auto"/>
        <w:ind w:firstLine="1440"/>
        <w:rPr>
          <w:sz w:val="26"/>
          <w:szCs w:val="26"/>
        </w:rPr>
      </w:pPr>
    </w:p>
    <w:p w:rsidR="00B76080" w:rsidRDefault="0014165C" w:rsidP="00B76080">
      <w:pPr>
        <w:widowControl/>
        <w:spacing w:line="360" w:lineRule="auto"/>
        <w:ind w:firstLine="1440"/>
        <w:rPr>
          <w:sz w:val="26"/>
          <w:szCs w:val="26"/>
        </w:rPr>
      </w:pPr>
      <w:r>
        <w:rPr>
          <w:sz w:val="26"/>
          <w:szCs w:val="26"/>
        </w:rPr>
        <w:t>UGI-CPG</w:t>
      </w:r>
      <w:r w:rsidR="00B76080" w:rsidRPr="00062E21">
        <w:rPr>
          <w:sz w:val="26"/>
          <w:szCs w:val="26"/>
        </w:rPr>
        <w:t xml:space="preserve"> </w:t>
      </w:r>
      <w:r w:rsidR="00B76080">
        <w:rPr>
          <w:sz w:val="26"/>
          <w:szCs w:val="26"/>
        </w:rPr>
        <w:t>proposes</w:t>
      </w:r>
      <w:r w:rsidR="00B76080" w:rsidRPr="00062E21">
        <w:rPr>
          <w:sz w:val="26"/>
          <w:szCs w:val="26"/>
        </w:rPr>
        <w:t xml:space="preserve"> to use one-fourth of its projected annual distribution revenues</w:t>
      </w:r>
      <w:r w:rsidR="00B76080">
        <w:rPr>
          <w:sz w:val="26"/>
          <w:szCs w:val="26"/>
        </w:rPr>
        <w:t xml:space="preserve"> to </w:t>
      </w:r>
      <w:r w:rsidR="00B76080" w:rsidRPr="00062E21">
        <w:rPr>
          <w:sz w:val="26"/>
          <w:szCs w:val="26"/>
        </w:rPr>
        <w:t>calculat</w:t>
      </w:r>
      <w:r w:rsidR="00B76080">
        <w:rPr>
          <w:sz w:val="26"/>
          <w:szCs w:val="26"/>
        </w:rPr>
        <w:t>e</w:t>
      </w:r>
      <w:r w:rsidR="00B76080" w:rsidRPr="00062E21">
        <w:rPr>
          <w:sz w:val="26"/>
          <w:szCs w:val="26"/>
        </w:rPr>
        <w:t xml:space="preserve"> projected quarterly revenues, which, according to the Company, makes the DSIC </w:t>
      </w:r>
      <w:r w:rsidR="00A377A5">
        <w:rPr>
          <w:sz w:val="26"/>
          <w:szCs w:val="26"/>
        </w:rPr>
        <w:t xml:space="preserve">less volatile, </w:t>
      </w:r>
      <w:r w:rsidR="00B76080" w:rsidRPr="00062E21">
        <w:rPr>
          <w:sz w:val="26"/>
          <w:szCs w:val="26"/>
        </w:rPr>
        <w:t>more simple</w:t>
      </w:r>
      <w:r w:rsidR="00A377A5">
        <w:rPr>
          <w:sz w:val="26"/>
          <w:szCs w:val="26"/>
        </w:rPr>
        <w:t>,</w:t>
      </w:r>
      <w:r w:rsidR="00B76080" w:rsidRPr="00062E21">
        <w:rPr>
          <w:sz w:val="26"/>
          <w:szCs w:val="26"/>
        </w:rPr>
        <w:t xml:space="preserve"> and reflective of the fixed nature of </w:t>
      </w:r>
      <w:r>
        <w:rPr>
          <w:sz w:val="26"/>
          <w:szCs w:val="26"/>
        </w:rPr>
        <w:t>UGI-CPG</w:t>
      </w:r>
      <w:r w:rsidR="00A377A5">
        <w:rPr>
          <w:sz w:val="26"/>
          <w:szCs w:val="26"/>
        </w:rPr>
        <w:t>’s</w:t>
      </w:r>
      <w:r w:rsidR="00B76080">
        <w:rPr>
          <w:sz w:val="26"/>
          <w:szCs w:val="26"/>
        </w:rPr>
        <w:t xml:space="preserve"> investments.</w:t>
      </w:r>
      <w:r w:rsidR="00B76080" w:rsidRPr="00062E21">
        <w:rPr>
          <w:sz w:val="26"/>
          <w:szCs w:val="26"/>
        </w:rPr>
        <w:t xml:space="preserve">  </w:t>
      </w:r>
      <w:r>
        <w:rPr>
          <w:sz w:val="26"/>
          <w:szCs w:val="26"/>
        </w:rPr>
        <w:t>UGI-CPG</w:t>
      </w:r>
      <w:r w:rsidR="00A377A5">
        <w:rPr>
          <w:sz w:val="26"/>
          <w:szCs w:val="26"/>
        </w:rPr>
        <w:t xml:space="preserve"> witness McAllister</w:t>
      </w:r>
      <w:r w:rsidR="00B76080">
        <w:rPr>
          <w:sz w:val="26"/>
          <w:szCs w:val="26"/>
        </w:rPr>
        <w:t xml:space="preserve"> adds that this approach will result in a more consistent DSIC rate from quarter to quarter.</w:t>
      </w:r>
      <w:r w:rsidR="00B76080" w:rsidRPr="00062E21">
        <w:rPr>
          <w:sz w:val="26"/>
          <w:szCs w:val="26"/>
        </w:rPr>
        <w:t xml:space="preserve">  </w:t>
      </w:r>
      <w:r w:rsidR="00B76080">
        <w:rPr>
          <w:sz w:val="26"/>
          <w:szCs w:val="26"/>
        </w:rPr>
        <w:t>T</w:t>
      </w:r>
      <w:r w:rsidR="00B76080" w:rsidRPr="00062E21">
        <w:rPr>
          <w:sz w:val="26"/>
          <w:szCs w:val="26"/>
        </w:rPr>
        <w:t>he Company has</w:t>
      </w:r>
      <w:r w:rsidR="00B76080">
        <w:rPr>
          <w:sz w:val="26"/>
          <w:szCs w:val="26"/>
        </w:rPr>
        <w:t xml:space="preserve"> </w:t>
      </w:r>
      <w:r w:rsidR="00B76080" w:rsidRPr="00062E21">
        <w:rPr>
          <w:sz w:val="26"/>
          <w:szCs w:val="26"/>
        </w:rPr>
        <w:t xml:space="preserve">chosen to base its quarterly revenues on one-fourth of its projected annual revenues to </w:t>
      </w:r>
      <w:r w:rsidR="00B76080">
        <w:rPr>
          <w:sz w:val="26"/>
          <w:szCs w:val="26"/>
        </w:rPr>
        <w:t>better align</w:t>
      </w:r>
      <w:r w:rsidR="00B76080" w:rsidRPr="00062E21">
        <w:rPr>
          <w:sz w:val="26"/>
          <w:szCs w:val="26"/>
        </w:rPr>
        <w:t xml:space="preserve"> the fixed nature of the investment that the DSIC will be recovering</w:t>
      </w:r>
      <w:r w:rsidR="00B76080">
        <w:rPr>
          <w:sz w:val="26"/>
          <w:szCs w:val="26"/>
        </w:rPr>
        <w:t xml:space="preserve"> with the DSIC rate itself</w:t>
      </w:r>
      <w:r w:rsidR="00B76080" w:rsidRPr="00062E21">
        <w:rPr>
          <w:sz w:val="26"/>
          <w:szCs w:val="26"/>
        </w:rPr>
        <w:t xml:space="preserve">. </w:t>
      </w:r>
      <w:r w:rsidR="00B76080">
        <w:rPr>
          <w:sz w:val="26"/>
          <w:szCs w:val="26"/>
        </w:rPr>
        <w:t xml:space="preserve"> </w:t>
      </w:r>
    </w:p>
    <w:p w:rsidR="00D05F7D" w:rsidRDefault="00D05F7D" w:rsidP="00B76080">
      <w:pPr>
        <w:keepNext/>
        <w:widowControl/>
        <w:spacing w:line="360" w:lineRule="auto"/>
        <w:rPr>
          <w:b/>
          <w:sz w:val="26"/>
          <w:szCs w:val="26"/>
        </w:rPr>
      </w:pPr>
    </w:p>
    <w:p w:rsidR="00B76080" w:rsidRPr="00062E21" w:rsidRDefault="00B76080" w:rsidP="00B76080">
      <w:pPr>
        <w:keepNext/>
        <w:widowControl/>
        <w:spacing w:line="360" w:lineRule="auto"/>
        <w:rPr>
          <w:b/>
          <w:sz w:val="26"/>
          <w:szCs w:val="26"/>
        </w:rPr>
      </w:pPr>
      <w:r w:rsidRPr="00062E21">
        <w:rPr>
          <w:b/>
          <w:sz w:val="26"/>
          <w:szCs w:val="26"/>
        </w:rPr>
        <w:t>Comments</w:t>
      </w:r>
    </w:p>
    <w:p w:rsidR="00B76080" w:rsidRPr="00062E21" w:rsidRDefault="00B76080" w:rsidP="00B76080">
      <w:pPr>
        <w:keepNext/>
        <w:widowControl/>
        <w:spacing w:line="360" w:lineRule="auto"/>
        <w:ind w:firstLine="1440"/>
        <w:rPr>
          <w:sz w:val="26"/>
          <w:szCs w:val="26"/>
        </w:rPr>
      </w:pPr>
    </w:p>
    <w:p w:rsidR="00B76080" w:rsidRDefault="00B76080" w:rsidP="00B76080">
      <w:pPr>
        <w:widowControl/>
        <w:spacing w:line="360" w:lineRule="auto"/>
        <w:ind w:firstLine="1440"/>
        <w:rPr>
          <w:sz w:val="26"/>
          <w:szCs w:val="26"/>
        </w:rPr>
      </w:pPr>
      <w:r>
        <w:rPr>
          <w:sz w:val="26"/>
          <w:szCs w:val="26"/>
        </w:rPr>
        <w:t xml:space="preserve">The </w:t>
      </w:r>
      <w:r w:rsidRPr="00062E21">
        <w:rPr>
          <w:sz w:val="26"/>
          <w:szCs w:val="26"/>
        </w:rPr>
        <w:t xml:space="preserve">OCA claims that </w:t>
      </w:r>
      <w:r w:rsidR="0014165C">
        <w:rPr>
          <w:sz w:val="26"/>
          <w:szCs w:val="26"/>
        </w:rPr>
        <w:t>UGI-CPG</w:t>
      </w:r>
      <w:r w:rsidR="00C21E29">
        <w:rPr>
          <w:sz w:val="26"/>
          <w:szCs w:val="26"/>
        </w:rPr>
        <w:t>’s</w:t>
      </w:r>
      <w:r w:rsidRPr="00062E21">
        <w:rPr>
          <w:sz w:val="26"/>
          <w:szCs w:val="26"/>
        </w:rPr>
        <w:t xml:space="preserve"> DSIC ca</w:t>
      </w:r>
      <w:r>
        <w:rPr>
          <w:sz w:val="26"/>
          <w:szCs w:val="26"/>
        </w:rPr>
        <w:t>lculation is incorrect because t</w:t>
      </w:r>
      <w:r w:rsidRPr="00062E21">
        <w:rPr>
          <w:sz w:val="26"/>
          <w:szCs w:val="26"/>
        </w:rPr>
        <w:t xml:space="preserve">he DSIC computation does not reflect the impact of accumulated deferred income taxes (ADIT) associated with DSIC investments made by the Company, which in turn permits </w:t>
      </w:r>
      <w:r w:rsidR="0014165C">
        <w:rPr>
          <w:sz w:val="26"/>
          <w:szCs w:val="26"/>
        </w:rPr>
        <w:lastRenderedPageBreak/>
        <w:t>UGI-CPG</w:t>
      </w:r>
      <w:r w:rsidRPr="00062E21">
        <w:rPr>
          <w:sz w:val="26"/>
          <w:szCs w:val="26"/>
        </w:rPr>
        <w:t xml:space="preserve"> to earn a return on an investment balance that exceeds </w:t>
      </w:r>
      <w:r w:rsidR="0014165C">
        <w:rPr>
          <w:sz w:val="26"/>
          <w:szCs w:val="26"/>
        </w:rPr>
        <w:t>UGI-CPG</w:t>
      </w:r>
      <w:r w:rsidR="00C21E29">
        <w:rPr>
          <w:sz w:val="26"/>
          <w:szCs w:val="26"/>
        </w:rPr>
        <w:t>’s</w:t>
      </w:r>
      <w:r w:rsidRPr="00062E21">
        <w:rPr>
          <w:sz w:val="26"/>
          <w:szCs w:val="26"/>
        </w:rPr>
        <w:t xml:space="preserve"> actual investment</w:t>
      </w:r>
      <w:r>
        <w:rPr>
          <w:sz w:val="26"/>
          <w:szCs w:val="26"/>
        </w:rPr>
        <w:t>, and because t</w:t>
      </w:r>
      <w:r w:rsidRPr="00062E21">
        <w:rPr>
          <w:sz w:val="26"/>
          <w:szCs w:val="26"/>
        </w:rPr>
        <w:t>he calculation of the state income tax component of the DSIC revenue requirement determination requires further examination to ascertain whether it is consistent with the act</w:t>
      </w:r>
      <w:r>
        <w:rPr>
          <w:sz w:val="26"/>
          <w:szCs w:val="26"/>
        </w:rPr>
        <w:t>ual taxes paid doctrine.</w:t>
      </w:r>
    </w:p>
    <w:p w:rsidR="00CB56FC" w:rsidRDefault="00CB56FC" w:rsidP="00B76080">
      <w:pPr>
        <w:widowControl/>
        <w:spacing w:line="360" w:lineRule="auto"/>
        <w:ind w:firstLine="1440"/>
        <w:rPr>
          <w:sz w:val="26"/>
          <w:szCs w:val="26"/>
        </w:rPr>
      </w:pPr>
    </w:p>
    <w:p w:rsidR="00CB56FC" w:rsidRDefault="00CB56FC" w:rsidP="00B76080">
      <w:pPr>
        <w:widowControl/>
        <w:spacing w:line="360" w:lineRule="auto"/>
        <w:ind w:firstLine="1440"/>
        <w:rPr>
          <w:sz w:val="26"/>
          <w:szCs w:val="26"/>
        </w:rPr>
      </w:pPr>
      <w:r>
        <w:rPr>
          <w:sz w:val="26"/>
          <w:szCs w:val="26"/>
        </w:rPr>
        <w:t xml:space="preserve">OCA also expressed concern over </w:t>
      </w:r>
      <w:r w:rsidR="0014165C">
        <w:rPr>
          <w:sz w:val="26"/>
          <w:szCs w:val="26"/>
        </w:rPr>
        <w:t>UGI-CPG</w:t>
      </w:r>
      <w:r w:rsidR="00C21E29">
        <w:rPr>
          <w:sz w:val="26"/>
          <w:szCs w:val="26"/>
        </w:rPr>
        <w:t>’s</w:t>
      </w:r>
      <w:r>
        <w:rPr>
          <w:sz w:val="26"/>
          <w:szCs w:val="26"/>
        </w:rPr>
        <w:t xml:space="preserve"> proposal to include expenditur</w:t>
      </w:r>
      <w:r w:rsidR="00E81C75">
        <w:rPr>
          <w:sz w:val="26"/>
          <w:szCs w:val="26"/>
        </w:rPr>
        <w:t>es related to gathering lines and storage lines</w:t>
      </w:r>
      <w:r>
        <w:rPr>
          <w:sz w:val="26"/>
          <w:szCs w:val="26"/>
        </w:rPr>
        <w:t xml:space="preserve"> as DSIC-eligible investment.  </w:t>
      </w:r>
      <w:r w:rsidR="00E81C75">
        <w:rPr>
          <w:sz w:val="26"/>
          <w:szCs w:val="26"/>
        </w:rPr>
        <w:t>OCA questions whether these facilities are actually part of the utility’s distribution system</w:t>
      </w:r>
      <w:r w:rsidR="003A7A40">
        <w:rPr>
          <w:sz w:val="26"/>
          <w:szCs w:val="26"/>
        </w:rPr>
        <w:t xml:space="preserve"> and whether all customers who benefit from the replacement of such lines are required to bear a share of the replacement costs.</w:t>
      </w:r>
    </w:p>
    <w:p w:rsidR="00B76080" w:rsidRDefault="00B76080" w:rsidP="00B76080">
      <w:pPr>
        <w:widowControl/>
        <w:spacing w:line="360" w:lineRule="auto"/>
        <w:ind w:firstLine="1440"/>
        <w:rPr>
          <w:sz w:val="26"/>
          <w:szCs w:val="26"/>
        </w:rPr>
      </w:pPr>
    </w:p>
    <w:p w:rsidR="00B76080" w:rsidRPr="00062E21" w:rsidRDefault="00B76080" w:rsidP="00B76080">
      <w:pPr>
        <w:widowControl/>
        <w:spacing w:line="360" w:lineRule="auto"/>
        <w:ind w:firstLine="1440"/>
        <w:rPr>
          <w:sz w:val="26"/>
          <w:szCs w:val="26"/>
        </w:rPr>
      </w:pPr>
      <w:r>
        <w:rPr>
          <w:sz w:val="26"/>
          <w:szCs w:val="26"/>
        </w:rPr>
        <w:t>OCA states that</w:t>
      </w:r>
      <w:r w:rsidR="009C1DFD">
        <w:rPr>
          <w:sz w:val="26"/>
          <w:szCs w:val="26"/>
        </w:rPr>
        <w:t xml:space="preserve"> the</w:t>
      </w:r>
      <w:r>
        <w:rPr>
          <w:sz w:val="26"/>
          <w:szCs w:val="26"/>
        </w:rPr>
        <w:t xml:space="preserve"> DSIC surcharge proposed by </w:t>
      </w:r>
      <w:r w:rsidR="0014165C">
        <w:rPr>
          <w:sz w:val="26"/>
          <w:szCs w:val="26"/>
        </w:rPr>
        <w:t>UGI-CPG</w:t>
      </w:r>
      <w:r>
        <w:rPr>
          <w:sz w:val="26"/>
          <w:szCs w:val="26"/>
        </w:rPr>
        <w:t xml:space="preserve"> is contrary to the established principles of sound ratemaking and would contribute to bad regulatory policy.  The OCA requests that the Commission reject the proposed surcharge, and that the matter be referred to the O</w:t>
      </w:r>
      <w:r w:rsidR="009C1DFD">
        <w:rPr>
          <w:sz w:val="26"/>
          <w:szCs w:val="26"/>
        </w:rPr>
        <w:t>ALJ</w:t>
      </w:r>
      <w:r>
        <w:rPr>
          <w:sz w:val="26"/>
          <w:szCs w:val="26"/>
        </w:rPr>
        <w:t xml:space="preserve"> for the development of an evidentiary record.</w:t>
      </w:r>
    </w:p>
    <w:p w:rsidR="00B76080" w:rsidRPr="00062E21" w:rsidRDefault="00B76080" w:rsidP="00B76080">
      <w:pPr>
        <w:widowControl/>
        <w:spacing w:line="360" w:lineRule="auto"/>
        <w:ind w:firstLine="1440"/>
        <w:rPr>
          <w:sz w:val="26"/>
          <w:szCs w:val="26"/>
        </w:rPr>
      </w:pPr>
    </w:p>
    <w:p w:rsidR="00B76080" w:rsidRPr="00062E21" w:rsidRDefault="00B76080" w:rsidP="00B76080">
      <w:pPr>
        <w:widowControl/>
        <w:spacing w:line="360" w:lineRule="auto"/>
        <w:rPr>
          <w:b/>
          <w:sz w:val="26"/>
          <w:szCs w:val="26"/>
        </w:rPr>
      </w:pPr>
      <w:r w:rsidRPr="00062E21">
        <w:rPr>
          <w:b/>
          <w:sz w:val="26"/>
          <w:szCs w:val="26"/>
        </w:rPr>
        <w:t>Resolution</w:t>
      </w:r>
    </w:p>
    <w:p w:rsidR="00B76080" w:rsidRPr="00062E21" w:rsidRDefault="00B76080" w:rsidP="00B76080">
      <w:pPr>
        <w:widowControl/>
        <w:spacing w:line="360" w:lineRule="auto"/>
        <w:rPr>
          <w:sz w:val="26"/>
          <w:szCs w:val="26"/>
        </w:rPr>
      </w:pPr>
    </w:p>
    <w:p w:rsidR="00B76080" w:rsidRPr="00062E21" w:rsidRDefault="00B76080" w:rsidP="00B76080">
      <w:pPr>
        <w:widowControl/>
        <w:spacing w:line="360" w:lineRule="auto"/>
        <w:ind w:firstLine="1440"/>
        <w:rPr>
          <w:sz w:val="26"/>
          <w:szCs w:val="26"/>
        </w:rPr>
      </w:pPr>
      <w:r>
        <w:rPr>
          <w:sz w:val="26"/>
          <w:szCs w:val="26"/>
        </w:rPr>
        <w:t xml:space="preserve">The Commission acknowledges </w:t>
      </w:r>
      <w:r w:rsidRPr="00062E21">
        <w:rPr>
          <w:sz w:val="26"/>
          <w:szCs w:val="26"/>
        </w:rPr>
        <w:t xml:space="preserve">that </w:t>
      </w:r>
      <w:r w:rsidR="0014165C">
        <w:rPr>
          <w:sz w:val="26"/>
          <w:szCs w:val="26"/>
        </w:rPr>
        <w:t>UGI-CPG</w:t>
      </w:r>
      <w:r w:rsidR="003A7A40">
        <w:rPr>
          <w:sz w:val="26"/>
          <w:szCs w:val="26"/>
        </w:rPr>
        <w:t>’s</w:t>
      </w:r>
      <w:r>
        <w:rPr>
          <w:sz w:val="26"/>
          <w:szCs w:val="26"/>
        </w:rPr>
        <w:t xml:space="preserve"> calculations are</w:t>
      </w:r>
      <w:r w:rsidRPr="00062E21">
        <w:rPr>
          <w:sz w:val="26"/>
          <w:szCs w:val="26"/>
        </w:rPr>
        <w:t xml:space="preserve"> </w:t>
      </w:r>
      <w:r>
        <w:rPr>
          <w:sz w:val="26"/>
          <w:szCs w:val="26"/>
        </w:rPr>
        <w:t>merely estimates and will not be the exact numbers used in the final DSIC calculation</w:t>
      </w:r>
      <w:r w:rsidR="00147E83">
        <w:rPr>
          <w:sz w:val="26"/>
          <w:szCs w:val="26"/>
        </w:rPr>
        <w:t xml:space="preserve">.  </w:t>
      </w:r>
      <w:r w:rsidRPr="00062E21">
        <w:rPr>
          <w:sz w:val="26"/>
          <w:szCs w:val="26"/>
        </w:rPr>
        <w:t xml:space="preserve">Based on requirements for DSIC quarterly updates, as more fully described below, the Commission directs </w:t>
      </w:r>
      <w:r w:rsidR="0014165C">
        <w:rPr>
          <w:sz w:val="26"/>
          <w:szCs w:val="26"/>
        </w:rPr>
        <w:t>UGI-CPG</w:t>
      </w:r>
      <w:r w:rsidRPr="00062E21">
        <w:rPr>
          <w:sz w:val="26"/>
          <w:szCs w:val="26"/>
        </w:rPr>
        <w:t xml:space="preserve"> to file a DSIC </w:t>
      </w:r>
      <w:r>
        <w:rPr>
          <w:sz w:val="26"/>
          <w:szCs w:val="26"/>
        </w:rPr>
        <w:t xml:space="preserve">tariff </w:t>
      </w:r>
      <w:r w:rsidRPr="00062E21">
        <w:rPr>
          <w:sz w:val="26"/>
          <w:szCs w:val="26"/>
        </w:rPr>
        <w:t xml:space="preserve">using actual data for </w:t>
      </w:r>
      <w:r w:rsidRPr="00062E21">
        <w:rPr>
          <w:rFonts w:eastAsia="Calibri"/>
          <w:sz w:val="26"/>
          <w:szCs w:val="26"/>
        </w:rPr>
        <w:t xml:space="preserve">eligible property placed into service during the </w:t>
      </w:r>
      <w:r>
        <w:rPr>
          <w:sz w:val="26"/>
          <w:szCs w:val="26"/>
        </w:rPr>
        <w:t>three-month period ending one month prior to the approved effective date of the DSIC</w:t>
      </w:r>
      <w:r w:rsidR="00147E83">
        <w:rPr>
          <w:sz w:val="26"/>
          <w:szCs w:val="26"/>
        </w:rPr>
        <w:t xml:space="preserve">.  Furthermore, the Commission recognizes that </w:t>
      </w:r>
      <w:r w:rsidR="0014165C">
        <w:rPr>
          <w:sz w:val="26"/>
          <w:szCs w:val="26"/>
        </w:rPr>
        <w:t>UGI-CPG</w:t>
      </w:r>
      <w:r w:rsidR="00147E83">
        <w:rPr>
          <w:sz w:val="26"/>
          <w:szCs w:val="26"/>
        </w:rPr>
        <w:t>’</w:t>
      </w:r>
      <w:r w:rsidR="00302A96">
        <w:rPr>
          <w:sz w:val="26"/>
          <w:szCs w:val="26"/>
        </w:rPr>
        <w:t>s DSIC</w:t>
      </w:r>
      <w:r w:rsidR="00147E83">
        <w:rPr>
          <w:sz w:val="26"/>
          <w:szCs w:val="26"/>
        </w:rPr>
        <w:t xml:space="preserve"> rate will be set to 0% until, at the </w:t>
      </w:r>
      <w:r w:rsidR="00302A96">
        <w:rPr>
          <w:sz w:val="26"/>
          <w:szCs w:val="26"/>
        </w:rPr>
        <w:t>earliest</w:t>
      </w:r>
      <w:r w:rsidR="00147E83">
        <w:rPr>
          <w:sz w:val="26"/>
          <w:szCs w:val="26"/>
        </w:rPr>
        <w:t>, April 1, 2015, in accordance with</w:t>
      </w:r>
      <w:r w:rsidR="00302A96">
        <w:rPr>
          <w:sz w:val="26"/>
          <w:szCs w:val="26"/>
        </w:rPr>
        <w:t xml:space="preserve"> the UGI</w:t>
      </w:r>
      <w:r w:rsidR="00540AA5">
        <w:rPr>
          <w:sz w:val="26"/>
          <w:szCs w:val="26"/>
        </w:rPr>
        <w:t xml:space="preserve"> Companies’ Settlement</w:t>
      </w:r>
      <w:r w:rsidR="00302A96">
        <w:rPr>
          <w:sz w:val="26"/>
          <w:szCs w:val="26"/>
        </w:rPr>
        <w:t xml:space="preserve"> at Docket C</w:t>
      </w:r>
      <w:r w:rsidR="00302A96">
        <w:rPr>
          <w:sz w:val="26"/>
          <w:szCs w:val="26"/>
        </w:rPr>
        <w:noBreakHyphen/>
        <w:t>2012</w:t>
      </w:r>
      <w:r w:rsidR="00302A96">
        <w:rPr>
          <w:sz w:val="26"/>
          <w:szCs w:val="26"/>
        </w:rPr>
        <w:noBreakHyphen/>
        <w:t>2308997.</w:t>
      </w:r>
    </w:p>
    <w:p w:rsidR="00B76080" w:rsidRPr="00062E21" w:rsidRDefault="00B76080" w:rsidP="00B76080">
      <w:pPr>
        <w:widowControl/>
        <w:spacing w:line="360" w:lineRule="auto"/>
        <w:ind w:firstLine="1440"/>
        <w:rPr>
          <w:sz w:val="26"/>
          <w:szCs w:val="26"/>
        </w:rPr>
      </w:pPr>
    </w:p>
    <w:p w:rsidR="00036D7A" w:rsidRDefault="00D249ED" w:rsidP="00036D7A">
      <w:pPr>
        <w:spacing w:line="360" w:lineRule="auto"/>
        <w:ind w:firstLine="1440"/>
        <w:rPr>
          <w:sz w:val="26"/>
          <w:szCs w:val="26"/>
        </w:rPr>
      </w:pPr>
      <w:r>
        <w:rPr>
          <w:sz w:val="26"/>
          <w:szCs w:val="26"/>
        </w:rPr>
        <w:t xml:space="preserve">In the calculation of its proposed DSIC, </w:t>
      </w:r>
      <w:r w:rsidR="0014165C">
        <w:rPr>
          <w:sz w:val="26"/>
          <w:szCs w:val="26"/>
        </w:rPr>
        <w:t>UGI-CPG</w:t>
      </w:r>
      <w:r>
        <w:rPr>
          <w:sz w:val="26"/>
          <w:szCs w:val="26"/>
        </w:rPr>
        <w:t xml:space="preserve"> used one-fourth of the annual depreciation expense based on the eligible-property placed in service for the </w:t>
      </w:r>
      <w:r>
        <w:rPr>
          <w:sz w:val="26"/>
          <w:szCs w:val="26"/>
        </w:rPr>
        <w:lastRenderedPageBreak/>
        <w:t xml:space="preserve">quarter.  This calculation is consistent with </w:t>
      </w:r>
      <w:r w:rsidR="0014165C">
        <w:rPr>
          <w:sz w:val="26"/>
          <w:szCs w:val="26"/>
        </w:rPr>
        <w:t>UGI-CPG</w:t>
      </w:r>
      <w:r w:rsidR="00212D48">
        <w:rPr>
          <w:sz w:val="26"/>
          <w:szCs w:val="26"/>
        </w:rPr>
        <w:t>’s</w:t>
      </w:r>
      <w:r w:rsidR="00540AA5">
        <w:rPr>
          <w:sz w:val="26"/>
          <w:szCs w:val="26"/>
        </w:rPr>
        <w:t xml:space="preserve"> tariff</w:t>
      </w:r>
      <w:r>
        <w:rPr>
          <w:sz w:val="26"/>
          <w:szCs w:val="26"/>
        </w:rPr>
        <w:t xml:space="preserve"> and the Commission’s Model Tariff.  However, to be consistent with what has been allowed for the water utility DSICs as accepted by the Bureau of Audits and approved by the Commission, </w:t>
      </w:r>
      <w:r w:rsidR="0014165C">
        <w:rPr>
          <w:sz w:val="26"/>
          <w:szCs w:val="26"/>
        </w:rPr>
        <w:t>UGI-CPG</w:t>
      </w:r>
      <w:r>
        <w:rPr>
          <w:sz w:val="26"/>
          <w:szCs w:val="26"/>
        </w:rPr>
        <w:t xml:space="preserve"> </w:t>
      </w:r>
      <w:r w:rsidR="00036D7A">
        <w:rPr>
          <w:sz w:val="26"/>
          <w:szCs w:val="26"/>
        </w:rPr>
        <w:t xml:space="preserve">should </w:t>
      </w:r>
      <w:r>
        <w:rPr>
          <w:sz w:val="26"/>
          <w:szCs w:val="26"/>
        </w:rPr>
        <w:t>use one-fourth of the annual depreciation expense amount as the basis for its initial accumulated depreciation amount.  Each quarter going forward, the calculated depreciation expense for DSIC purposes should be added to the prior quarters calculated depreciation expense to determine the accumulated depreciation amount.</w:t>
      </w:r>
    </w:p>
    <w:p w:rsidR="00036D7A" w:rsidRDefault="00036D7A" w:rsidP="00036D7A">
      <w:pPr>
        <w:spacing w:line="360" w:lineRule="auto"/>
        <w:ind w:firstLine="1440"/>
        <w:rPr>
          <w:sz w:val="26"/>
          <w:szCs w:val="26"/>
        </w:rPr>
      </w:pPr>
    </w:p>
    <w:p w:rsidR="00B76080" w:rsidRPr="00062E21" w:rsidRDefault="00B76080" w:rsidP="00036D7A">
      <w:pPr>
        <w:spacing w:line="360" w:lineRule="auto"/>
        <w:ind w:firstLine="1440"/>
        <w:rPr>
          <w:sz w:val="26"/>
          <w:szCs w:val="26"/>
        </w:rPr>
      </w:pPr>
      <w:r w:rsidRPr="00062E21">
        <w:rPr>
          <w:sz w:val="26"/>
          <w:szCs w:val="26"/>
        </w:rPr>
        <w:t xml:space="preserve">The cost of equity determinations in the </w:t>
      </w:r>
      <w:r>
        <w:rPr>
          <w:sz w:val="26"/>
          <w:szCs w:val="26"/>
        </w:rPr>
        <w:t xml:space="preserve">Commission’s Staff </w:t>
      </w:r>
      <w:r w:rsidRPr="00062E21">
        <w:rPr>
          <w:sz w:val="26"/>
          <w:szCs w:val="26"/>
        </w:rPr>
        <w:t xml:space="preserve">Report on Quarterly Earnings of Jurisdictional Utilities (Quarterly Report) are used for DSIC calculations if more than two years have elapsed since a utility’s last fully litigated base rate case.  66 Pa. C.S. § 1357(b)(3).  If, in any quarter, a utility will earn more than the ROE used for the DSIC calculations (which may be the ROE determined in </w:t>
      </w:r>
      <w:r>
        <w:rPr>
          <w:sz w:val="26"/>
          <w:szCs w:val="26"/>
        </w:rPr>
        <w:t xml:space="preserve">the Staff </w:t>
      </w:r>
      <w:r w:rsidRPr="00062E21">
        <w:rPr>
          <w:sz w:val="26"/>
          <w:szCs w:val="26"/>
        </w:rPr>
        <w:t>Quarterly Report), the DSIC will be reset to zero.  66 Pa. C.S. § 1358(b)(3).  Accordingly, the DSIC must remain at zero until such time that the utility, in a subsequent quarter, earns less than the ROE used for the purpose of DSIC calculation.</w:t>
      </w:r>
    </w:p>
    <w:p w:rsidR="000C7562" w:rsidRDefault="000C7562" w:rsidP="00B76080">
      <w:pPr>
        <w:widowControl/>
        <w:spacing w:line="360" w:lineRule="auto"/>
        <w:ind w:firstLine="1440"/>
        <w:rPr>
          <w:sz w:val="26"/>
          <w:szCs w:val="26"/>
        </w:rPr>
      </w:pPr>
    </w:p>
    <w:p w:rsidR="000C7562" w:rsidRPr="00062E21" w:rsidRDefault="00302A96" w:rsidP="00B76080">
      <w:pPr>
        <w:widowControl/>
        <w:spacing w:line="360" w:lineRule="auto"/>
        <w:ind w:firstLine="1440"/>
        <w:rPr>
          <w:sz w:val="26"/>
          <w:szCs w:val="26"/>
        </w:rPr>
      </w:pPr>
      <w:r>
        <w:rPr>
          <w:sz w:val="26"/>
          <w:szCs w:val="26"/>
        </w:rPr>
        <w:t>T</w:t>
      </w:r>
      <w:r w:rsidR="00D249ED">
        <w:rPr>
          <w:sz w:val="26"/>
          <w:szCs w:val="26"/>
        </w:rPr>
        <w:t xml:space="preserve">he Commission directs that, along with its updated capital structure and cost rates filed one month prior to the approved effective date of the tariff, </w:t>
      </w:r>
      <w:r w:rsidR="0014165C">
        <w:rPr>
          <w:sz w:val="26"/>
          <w:szCs w:val="26"/>
        </w:rPr>
        <w:t>UGI-CPG</w:t>
      </w:r>
      <w:r w:rsidR="00D249ED">
        <w:rPr>
          <w:sz w:val="26"/>
          <w:szCs w:val="26"/>
        </w:rPr>
        <w:t xml:space="preserve"> shall file a comprehensive debt schedule, outlining all outstanding debts and their associated interest rates that were used to calculate the long term debt cost rate figure.</w:t>
      </w:r>
    </w:p>
    <w:p w:rsidR="00B76080" w:rsidRPr="00062E21" w:rsidRDefault="00B76080" w:rsidP="00B76080">
      <w:pPr>
        <w:widowControl/>
        <w:spacing w:line="360" w:lineRule="auto"/>
        <w:ind w:firstLine="1440"/>
        <w:rPr>
          <w:sz w:val="26"/>
          <w:szCs w:val="26"/>
        </w:rPr>
      </w:pPr>
    </w:p>
    <w:p w:rsidR="00B76080" w:rsidRDefault="00B76080" w:rsidP="00B76080">
      <w:pPr>
        <w:widowControl/>
        <w:spacing w:line="360" w:lineRule="auto"/>
        <w:ind w:firstLine="1440"/>
        <w:rPr>
          <w:sz w:val="26"/>
          <w:szCs w:val="26"/>
        </w:rPr>
      </w:pPr>
      <w:r>
        <w:rPr>
          <w:sz w:val="26"/>
          <w:szCs w:val="26"/>
        </w:rPr>
        <w:t>T</w:t>
      </w:r>
      <w:r w:rsidRPr="00062E21">
        <w:rPr>
          <w:sz w:val="26"/>
          <w:szCs w:val="26"/>
        </w:rPr>
        <w:t>he Model Tariff makes available to utilities two options for calculating projected quarterly revenues</w:t>
      </w:r>
      <w:r>
        <w:rPr>
          <w:sz w:val="26"/>
          <w:szCs w:val="26"/>
        </w:rPr>
        <w:t xml:space="preserve">: </w:t>
      </w:r>
      <w:r w:rsidRPr="00062E21">
        <w:rPr>
          <w:sz w:val="26"/>
          <w:szCs w:val="26"/>
        </w:rPr>
        <w:t xml:space="preserve"> </w:t>
      </w:r>
      <w:r>
        <w:rPr>
          <w:sz w:val="26"/>
          <w:szCs w:val="26"/>
        </w:rPr>
        <w:t>1) T</w:t>
      </w:r>
      <w:r w:rsidRPr="00062E21">
        <w:rPr>
          <w:sz w:val="26"/>
          <w:szCs w:val="26"/>
        </w:rPr>
        <w:t>he summation of projected revenues for the applicable three-month period</w:t>
      </w:r>
      <w:r>
        <w:rPr>
          <w:sz w:val="26"/>
          <w:szCs w:val="26"/>
        </w:rPr>
        <w:t>;</w:t>
      </w:r>
      <w:r w:rsidRPr="00062E21">
        <w:rPr>
          <w:sz w:val="26"/>
          <w:szCs w:val="26"/>
        </w:rPr>
        <w:t xml:space="preserve"> or </w:t>
      </w:r>
      <w:r>
        <w:rPr>
          <w:sz w:val="26"/>
          <w:szCs w:val="26"/>
        </w:rPr>
        <w:t>2) O</w:t>
      </w:r>
      <w:r w:rsidRPr="00062E21">
        <w:rPr>
          <w:sz w:val="26"/>
          <w:szCs w:val="26"/>
        </w:rPr>
        <w:t xml:space="preserve">ne-fourth of projected annual revenues.  </w:t>
      </w:r>
      <w:r>
        <w:rPr>
          <w:sz w:val="26"/>
          <w:szCs w:val="26"/>
        </w:rPr>
        <w:t>In order to maintain a more consistent DSIC rate from quarter to quarter</w:t>
      </w:r>
      <w:r w:rsidRPr="00062E21">
        <w:rPr>
          <w:sz w:val="26"/>
          <w:szCs w:val="26"/>
        </w:rPr>
        <w:t xml:space="preserve">, </w:t>
      </w:r>
      <w:r w:rsidR="0014165C">
        <w:rPr>
          <w:sz w:val="26"/>
          <w:szCs w:val="26"/>
        </w:rPr>
        <w:t>UGI-CPG</w:t>
      </w:r>
      <w:r w:rsidRPr="00062E21">
        <w:rPr>
          <w:sz w:val="26"/>
          <w:szCs w:val="26"/>
        </w:rPr>
        <w:t xml:space="preserve"> chose to use one-fourth of its projected annual distribution revenues as its projected quarterly revenues.  The Model Tariff permits the use of one-fourth of annual revenues and the Final Implementation Order recognized the seasonality of revenue issue</w:t>
      </w:r>
      <w:r w:rsidR="009C1DFD">
        <w:rPr>
          <w:sz w:val="26"/>
          <w:szCs w:val="26"/>
        </w:rPr>
        <w:t>s</w:t>
      </w:r>
      <w:r w:rsidRPr="00062E21">
        <w:rPr>
          <w:sz w:val="26"/>
          <w:szCs w:val="26"/>
        </w:rPr>
        <w:t xml:space="preserve">.  Therefore, </w:t>
      </w:r>
      <w:r w:rsidR="0014165C">
        <w:rPr>
          <w:sz w:val="26"/>
          <w:szCs w:val="26"/>
        </w:rPr>
        <w:t>UGI-CPG</w:t>
      </w:r>
      <w:r w:rsidR="00212D48">
        <w:rPr>
          <w:sz w:val="26"/>
          <w:szCs w:val="26"/>
        </w:rPr>
        <w:t>’s</w:t>
      </w:r>
      <w:r w:rsidRPr="00062E21">
        <w:rPr>
          <w:sz w:val="26"/>
          <w:szCs w:val="26"/>
        </w:rPr>
        <w:t xml:space="preserve"> use of one-</w:t>
      </w:r>
      <w:r w:rsidRPr="00062E21">
        <w:rPr>
          <w:sz w:val="26"/>
          <w:szCs w:val="26"/>
        </w:rPr>
        <w:lastRenderedPageBreak/>
        <w:t>fourth of its projected annual distribution revenues as its projected quarterly revenues is appropriate.</w:t>
      </w:r>
    </w:p>
    <w:p w:rsidR="009115E2" w:rsidRDefault="009115E2" w:rsidP="00B76080">
      <w:pPr>
        <w:widowControl/>
        <w:spacing w:line="360" w:lineRule="auto"/>
        <w:ind w:firstLine="1440"/>
        <w:rPr>
          <w:sz w:val="26"/>
          <w:szCs w:val="26"/>
        </w:rPr>
      </w:pPr>
    </w:p>
    <w:p w:rsidR="009115E2" w:rsidRDefault="009115E2" w:rsidP="00B76080">
      <w:pPr>
        <w:widowControl/>
        <w:spacing w:line="360" w:lineRule="auto"/>
        <w:ind w:firstLine="1440"/>
        <w:rPr>
          <w:sz w:val="26"/>
          <w:szCs w:val="26"/>
        </w:rPr>
      </w:pPr>
      <w:r>
        <w:rPr>
          <w:sz w:val="26"/>
          <w:szCs w:val="26"/>
        </w:rPr>
        <w:t xml:space="preserve">OCA expressed concern </w:t>
      </w:r>
      <w:r w:rsidR="00033FA7">
        <w:rPr>
          <w:sz w:val="26"/>
          <w:szCs w:val="26"/>
        </w:rPr>
        <w:t xml:space="preserve">over </w:t>
      </w:r>
      <w:r w:rsidR="0014165C">
        <w:rPr>
          <w:sz w:val="26"/>
          <w:szCs w:val="26"/>
        </w:rPr>
        <w:t>UGI-CPG</w:t>
      </w:r>
      <w:r w:rsidR="00033FA7">
        <w:rPr>
          <w:sz w:val="26"/>
          <w:szCs w:val="26"/>
        </w:rPr>
        <w:t>’s proposal to include gathering lines and storage lines as DSIC-eligible property.</w:t>
      </w:r>
      <w:r w:rsidR="00506D92">
        <w:rPr>
          <w:sz w:val="26"/>
          <w:szCs w:val="26"/>
        </w:rPr>
        <w:t xml:space="preserve">  </w:t>
      </w:r>
      <w:r w:rsidR="0014165C">
        <w:rPr>
          <w:sz w:val="26"/>
          <w:szCs w:val="26"/>
        </w:rPr>
        <w:t>UGI-CPG</w:t>
      </w:r>
      <w:r w:rsidR="00506D92">
        <w:rPr>
          <w:sz w:val="26"/>
          <w:szCs w:val="26"/>
        </w:rPr>
        <w:t xml:space="preserve"> states</w:t>
      </w:r>
      <w:r w:rsidR="00033FA7">
        <w:rPr>
          <w:sz w:val="26"/>
          <w:szCs w:val="26"/>
        </w:rPr>
        <w:t xml:space="preserve"> that the statute is clear </w:t>
      </w:r>
      <w:r w:rsidR="00506D92">
        <w:rPr>
          <w:sz w:val="26"/>
          <w:szCs w:val="26"/>
        </w:rPr>
        <w:t xml:space="preserve">in allowing DSIC recovery for property that is “part of a utility’s distribution system”, and that a distribution system is defined as a “system owned or operated by a utility”, while also declaring “piping” as eligible property.  </w:t>
      </w:r>
      <w:r w:rsidR="0014165C">
        <w:rPr>
          <w:sz w:val="26"/>
          <w:szCs w:val="26"/>
        </w:rPr>
        <w:t>UGI-CPG</w:t>
      </w:r>
      <w:r w:rsidR="00506D92">
        <w:rPr>
          <w:sz w:val="26"/>
          <w:szCs w:val="26"/>
        </w:rPr>
        <w:t xml:space="preserve"> submits that gathering and storage lines are part of the Company’s system, and therefore repairs or improvements to such facilities fit within the definition of eligible property in Section 1351 and should be included for recovery under the DSIC.</w:t>
      </w:r>
    </w:p>
    <w:p w:rsidR="00B76080" w:rsidRDefault="00B76080" w:rsidP="00B76080">
      <w:pPr>
        <w:widowControl/>
        <w:spacing w:line="360" w:lineRule="auto"/>
        <w:ind w:firstLine="1440"/>
        <w:rPr>
          <w:sz w:val="26"/>
          <w:szCs w:val="26"/>
        </w:rPr>
      </w:pPr>
    </w:p>
    <w:p w:rsidR="00B76080" w:rsidRPr="00062E21" w:rsidRDefault="00B76080" w:rsidP="00B76080">
      <w:pPr>
        <w:widowControl/>
        <w:spacing w:line="360" w:lineRule="auto"/>
        <w:ind w:firstLine="1440"/>
        <w:rPr>
          <w:sz w:val="26"/>
          <w:szCs w:val="26"/>
        </w:rPr>
      </w:pPr>
      <w:r w:rsidRPr="00062E21">
        <w:rPr>
          <w:sz w:val="26"/>
          <w:szCs w:val="26"/>
        </w:rPr>
        <w:t xml:space="preserve">OCA opines that </w:t>
      </w:r>
      <w:r w:rsidR="0014165C">
        <w:rPr>
          <w:sz w:val="26"/>
          <w:szCs w:val="26"/>
        </w:rPr>
        <w:t>UGI-CPG</w:t>
      </w:r>
      <w:r w:rsidR="00BD6CB9">
        <w:rPr>
          <w:sz w:val="26"/>
          <w:szCs w:val="26"/>
        </w:rPr>
        <w:t>’s</w:t>
      </w:r>
      <w:r w:rsidRPr="00062E21">
        <w:rPr>
          <w:sz w:val="26"/>
          <w:szCs w:val="26"/>
        </w:rPr>
        <w:t xml:space="preserve"> DSIC calculation should be adjusted to reflect the impact of ADIT associated with DSIC investments made by the Company; otherwise </w:t>
      </w:r>
      <w:r w:rsidR="0014165C">
        <w:rPr>
          <w:sz w:val="26"/>
          <w:szCs w:val="26"/>
        </w:rPr>
        <w:t>UGI-CPG</w:t>
      </w:r>
      <w:r w:rsidRPr="00062E21">
        <w:rPr>
          <w:sz w:val="26"/>
          <w:szCs w:val="26"/>
        </w:rPr>
        <w:t xml:space="preserve"> will earn a return on an investment balance that exceeds </w:t>
      </w:r>
      <w:r w:rsidR="0014165C">
        <w:rPr>
          <w:sz w:val="26"/>
          <w:szCs w:val="26"/>
        </w:rPr>
        <w:t>UGI-CPG</w:t>
      </w:r>
      <w:r w:rsidR="00BD6CB9">
        <w:rPr>
          <w:sz w:val="26"/>
          <w:szCs w:val="26"/>
        </w:rPr>
        <w:t>’s</w:t>
      </w:r>
      <w:r w:rsidRPr="00062E21">
        <w:rPr>
          <w:sz w:val="26"/>
          <w:szCs w:val="26"/>
        </w:rPr>
        <w:t xml:space="preserve"> actual investment.  That is, ADIT can be viewed as a source of zero cost capital.  The Commission</w:t>
      </w:r>
      <w:r w:rsidR="00B55BD0">
        <w:rPr>
          <w:sz w:val="26"/>
          <w:szCs w:val="26"/>
        </w:rPr>
        <w:t>,</w:t>
      </w:r>
      <w:r w:rsidRPr="00062E21">
        <w:rPr>
          <w:sz w:val="26"/>
          <w:szCs w:val="26"/>
        </w:rPr>
        <w:t xml:space="preserve"> in its Implementation Order</w:t>
      </w:r>
      <w:r w:rsidR="00B55BD0">
        <w:rPr>
          <w:sz w:val="26"/>
          <w:szCs w:val="26"/>
        </w:rPr>
        <w:t>,</w:t>
      </w:r>
      <w:r w:rsidRPr="00062E21">
        <w:rPr>
          <w:sz w:val="26"/>
          <w:szCs w:val="26"/>
        </w:rPr>
        <w:t xml:space="preserve"> has determined that </w:t>
      </w:r>
      <w:r>
        <w:rPr>
          <w:sz w:val="26"/>
          <w:szCs w:val="26"/>
        </w:rPr>
        <w:t>t</w:t>
      </w:r>
      <w:r w:rsidRPr="00062E21">
        <w:rPr>
          <w:sz w:val="26"/>
          <w:szCs w:val="26"/>
        </w:rPr>
        <w:t xml:space="preserve">he </w:t>
      </w:r>
      <w:r>
        <w:rPr>
          <w:sz w:val="26"/>
          <w:szCs w:val="26"/>
        </w:rPr>
        <w:t>“</w:t>
      </w:r>
      <w:r w:rsidRPr="00062E21">
        <w:rPr>
          <w:sz w:val="26"/>
          <w:szCs w:val="26"/>
        </w:rPr>
        <w:t>adjustment, which was not previously used in the DSIC by the water industry, would add unnecessary complexities to the DSIC and, accordingly, will not be included in the model tariff.” Final Implementation Order</w:t>
      </w:r>
      <w:r>
        <w:rPr>
          <w:sz w:val="26"/>
          <w:szCs w:val="26"/>
        </w:rPr>
        <w:t>,</w:t>
      </w:r>
      <w:r w:rsidRPr="00062E21">
        <w:rPr>
          <w:sz w:val="26"/>
          <w:szCs w:val="26"/>
        </w:rPr>
        <w:t xml:space="preserve"> p. 39.  </w:t>
      </w:r>
    </w:p>
    <w:p w:rsidR="00B76080" w:rsidRPr="00062E21" w:rsidRDefault="00B76080" w:rsidP="00B76080">
      <w:pPr>
        <w:widowControl/>
        <w:spacing w:line="360" w:lineRule="auto"/>
        <w:ind w:firstLine="1440"/>
        <w:rPr>
          <w:sz w:val="26"/>
          <w:szCs w:val="26"/>
        </w:rPr>
      </w:pPr>
    </w:p>
    <w:p w:rsidR="00B76080" w:rsidRDefault="00B76080" w:rsidP="00B76080">
      <w:pPr>
        <w:widowControl/>
        <w:spacing w:line="360" w:lineRule="auto"/>
        <w:ind w:firstLine="1440"/>
        <w:rPr>
          <w:sz w:val="26"/>
          <w:szCs w:val="26"/>
        </w:rPr>
      </w:pPr>
      <w:r w:rsidRPr="00062E21">
        <w:rPr>
          <w:sz w:val="26"/>
          <w:szCs w:val="26"/>
        </w:rPr>
        <w:t xml:space="preserve">Additionally, OCA is reviewing the calculation of the state income tax component of the DSIC revenue requirement determination to ensure that ratepayers receive the full benefit of the tax deductions consistent with the actual taxes paid doctrine.  </w:t>
      </w:r>
    </w:p>
    <w:p w:rsidR="00B76080" w:rsidRPr="00013204" w:rsidRDefault="00B76080" w:rsidP="00B76080">
      <w:pPr>
        <w:widowControl/>
        <w:spacing w:line="360" w:lineRule="auto"/>
        <w:ind w:firstLine="1440"/>
        <w:rPr>
          <w:color w:val="0D0D0D" w:themeColor="text1" w:themeTint="F2"/>
          <w:sz w:val="26"/>
          <w:szCs w:val="26"/>
        </w:rPr>
      </w:pPr>
    </w:p>
    <w:p w:rsidR="00D26C94" w:rsidRDefault="00D26C94" w:rsidP="006C5932">
      <w:pPr>
        <w:widowControl/>
        <w:spacing w:line="360" w:lineRule="auto"/>
        <w:ind w:firstLine="1440"/>
        <w:rPr>
          <w:sz w:val="26"/>
          <w:szCs w:val="26"/>
        </w:rPr>
      </w:pPr>
      <w:r w:rsidRPr="00AF7419">
        <w:rPr>
          <w:color w:val="0D0D0D" w:themeColor="text1" w:themeTint="F2"/>
          <w:sz w:val="26"/>
          <w:szCs w:val="26"/>
        </w:rPr>
        <w:t xml:space="preserve">The Commission notes that it has previously addressed these very issues in the Columbia Gas DSIC proceeding.  </w:t>
      </w:r>
      <w:r>
        <w:rPr>
          <w:i/>
          <w:color w:val="0D0D0D" w:themeColor="text1" w:themeTint="F2"/>
          <w:sz w:val="26"/>
          <w:szCs w:val="26"/>
        </w:rPr>
        <w:t>See</w:t>
      </w:r>
      <w:r w:rsidRPr="00AF7419">
        <w:rPr>
          <w:i/>
          <w:color w:val="0D0D0D" w:themeColor="text1" w:themeTint="F2"/>
          <w:sz w:val="26"/>
          <w:szCs w:val="26"/>
        </w:rPr>
        <w:t xml:space="preserve"> Petition of Columbia Gas of Pennsylvania, Inc. for Approval of a Distribution System Improvement Charge</w:t>
      </w:r>
      <w:r w:rsidRPr="00AF7419">
        <w:rPr>
          <w:color w:val="0D0D0D" w:themeColor="text1" w:themeTint="F2"/>
          <w:sz w:val="26"/>
          <w:szCs w:val="26"/>
        </w:rPr>
        <w:t xml:space="preserve">, Docket No. P-2012-2338282 </w:t>
      </w:r>
      <w:r w:rsidRPr="00AF7419">
        <w:rPr>
          <w:color w:val="0D0D0D" w:themeColor="text1" w:themeTint="F2"/>
          <w:sz w:val="26"/>
          <w:szCs w:val="26"/>
        </w:rPr>
        <w:lastRenderedPageBreak/>
        <w:t>(Order entered May 22, 2014) (</w:t>
      </w:r>
      <w:r w:rsidRPr="00AF7419">
        <w:rPr>
          <w:i/>
          <w:color w:val="0D0D0D" w:themeColor="text1" w:themeTint="F2"/>
          <w:sz w:val="26"/>
          <w:szCs w:val="26"/>
        </w:rPr>
        <w:t>May 22</w:t>
      </w:r>
      <w:r w:rsidRPr="00AF7419">
        <w:rPr>
          <w:i/>
          <w:color w:val="0D0D0D" w:themeColor="text1" w:themeTint="F2"/>
          <w:sz w:val="26"/>
          <w:szCs w:val="26"/>
          <w:vertAlign w:val="superscript"/>
        </w:rPr>
        <w:t>nd</w:t>
      </w:r>
      <w:r w:rsidRPr="00AF7419">
        <w:rPr>
          <w:i/>
          <w:color w:val="0D0D0D" w:themeColor="text1" w:themeTint="F2"/>
          <w:sz w:val="26"/>
          <w:szCs w:val="26"/>
        </w:rPr>
        <w:t xml:space="preserve"> Order</w:t>
      </w:r>
      <w:r w:rsidRPr="00AF7419">
        <w:rPr>
          <w:color w:val="0D0D0D" w:themeColor="text1" w:themeTint="F2"/>
          <w:sz w:val="26"/>
          <w:szCs w:val="26"/>
        </w:rPr>
        <w:t>).  We further note that OCA has a pending appeal in Commonwealth Court against the May 22</w:t>
      </w:r>
      <w:r w:rsidRPr="00AF7419">
        <w:rPr>
          <w:color w:val="0D0D0D" w:themeColor="text1" w:themeTint="F2"/>
          <w:sz w:val="26"/>
          <w:szCs w:val="26"/>
          <w:vertAlign w:val="superscript"/>
        </w:rPr>
        <w:t>nd</w:t>
      </w:r>
      <w:r w:rsidRPr="00AF7419">
        <w:rPr>
          <w:color w:val="0D0D0D" w:themeColor="text1" w:themeTint="F2"/>
          <w:sz w:val="26"/>
          <w:szCs w:val="26"/>
        </w:rPr>
        <w:t xml:space="preserve"> Order.  Specifically, this appeal involves OCA’s issues related to the impact of ADIT associated with DSIC investments and the calculation of the state income tax component of the DSIC revenue requirement.  Hence</w:t>
      </w:r>
      <w:r w:rsidRPr="00AF7419">
        <w:rPr>
          <w:sz w:val="26"/>
          <w:szCs w:val="26"/>
        </w:rPr>
        <w:t>, we note that OCA has preserved the issue.  Accordingly, the ADIT issue is now a legal issue, pending at the Commonwealth Court in the OCA’s appeal the May 22</w:t>
      </w:r>
      <w:r w:rsidRPr="00AF7419">
        <w:rPr>
          <w:sz w:val="26"/>
          <w:szCs w:val="26"/>
          <w:vertAlign w:val="superscript"/>
        </w:rPr>
        <w:t>nd</w:t>
      </w:r>
      <w:r w:rsidRPr="00AF7419">
        <w:rPr>
          <w:sz w:val="26"/>
          <w:szCs w:val="26"/>
        </w:rPr>
        <w:t xml:space="preserve"> Order.  However, since there are no additional and non-tax fact issues raised in OCA’s current protest against </w:t>
      </w:r>
      <w:r>
        <w:rPr>
          <w:sz w:val="26"/>
          <w:szCs w:val="26"/>
        </w:rPr>
        <w:t>the UGI-CPG</w:t>
      </w:r>
      <w:r w:rsidRPr="00AF7419">
        <w:rPr>
          <w:sz w:val="26"/>
          <w:szCs w:val="26"/>
        </w:rPr>
        <w:t xml:space="preserve"> DSIC filing, we will abide by previous resolution in the May 22</w:t>
      </w:r>
      <w:r w:rsidRPr="00AF7419">
        <w:rPr>
          <w:sz w:val="26"/>
          <w:szCs w:val="26"/>
          <w:vertAlign w:val="superscript"/>
        </w:rPr>
        <w:t>nd</w:t>
      </w:r>
      <w:r w:rsidRPr="00AF7419">
        <w:rPr>
          <w:sz w:val="26"/>
          <w:szCs w:val="26"/>
        </w:rPr>
        <w:t xml:space="preserve"> Order and not refer the ADIT issue or the calculation of the state tax component of the DSIC revenue requirement to the OALJ for disposition.</w:t>
      </w:r>
    </w:p>
    <w:p w:rsidR="00913043" w:rsidRDefault="00B76080" w:rsidP="006C5932">
      <w:pPr>
        <w:widowControl/>
        <w:spacing w:line="360" w:lineRule="auto"/>
        <w:ind w:firstLine="1440"/>
        <w:rPr>
          <w:color w:val="0D0D0D" w:themeColor="text1" w:themeTint="F2"/>
          <w:sz w:val="26"/>
          <w:szCs w:val="26"/>
          <w:highlight w:val="yellow"/>
        </w:rPr>
      </w:pPr>
      <w:r w:rsidRPr="00BD6CB9">
        <w:rPr>
          <w:color w:val="0D0D0D" w:themeColor="text1" w:themeTint="F2"/>
          <w:sz w:val="26"/>
          <w:szCs w:val="26"/>
          <w:highlight w:val="yellow"/>
        </w:rPr>
        <w:t xml:space="preserve">  </w:t>
      </w:r>
    </w:p>
    <w:p w:rsidR="006C5932" w:rsidRDefault="00D26C94" w:rsidP="006C5932">
      <w:pPr>
        <w:widowControl/>
        <w:spacing w:line="360" w:lineRule="auto"/>
        <w:ind w:firstLine="1440"/>
        <w:rPr>
          <w:color w:val="0D0D0D" w:themeColor="text1" w:themeTint="F2"/>
          <w:sz w:val="26"/>
          <w:szCs w:val="26"/>
        </w:rPr>
      </w:pPr>
      <w:r>
        <w:rPr>
          <w:color w:val="0D0D0D" w:themeColor="text1" w:themeTint="F2"/>
          <w:sz w:val="26"/>
          <w:szCs w:val="26"/>
        </w:rPr>
        <w:t>However, w</w:t>
      </w:r>
      <w:r w:rsidR="00913043">
        <w:rPr>
          <w:color w:val="0D0D0D" w:themeColor="text1" w:themeTint="F2"/>
          <w:sz w:val="26"/>
          <w:szCs w:val="26"/>
        </w:rPr>
        <w:t xml:space="preserve">e will refer the OCA’s issue related to the inclusion of gathering lines and storage lines as DSIC-eligible property to the OALJ for further disposition.  </w:t>
      </w:r>
      <w:r w:rsidR="00B76080" w:rsidRPr="00913043">
        <w:rPr>
          <w:color w:val="0D0D0D" w:themeColor="text1" w:themeTint="F2"/>
          <w:sz w:val="26"/>
          <w:szCs w:val="26"/>
        </w:rPr>
        <w:t xml:space="preserve">To the extent that </w:t>
      </w:r>
      <w:r w:rsidR="0014165C">
        <w:rPr>
          <w:color w:val="0D0D0D" w:themeColor="text1" w:themeTint="F2"/>
          <w:sz w:val="26"/>
          <w:szCs w:val="26"/>
        </w:rPr>
        <w:t>UGI-CPG</w:t>
      </w:r>
      <w:r w:rsidR="00B76080" w:rsidRPr="00913043">
        <w:rPr>
          <w:color w:val="0D0D0D" w:themeColor="text1" w:themeTint="F2"/>
          <w:sz w:val="26"/>
          <w:szCs w:val="26"/>
        </w:rPr>
        <w:t xml:space="preserve"> may be permitted to implement a DSIC pending the OALJ proceeding and chooses to do </w:t>
      </w:r>
      <w:r w:rsidR="00B55BD0" w:rsidRPr="00913043">
        <w:rPr>
          <w:color w:val="0D0D0D" w:themeColor="text1" w:themeTint="F2"/>
          <w:sz w:val="26"/>
          <w:szCs w:val="26"/>
        </w:rPr>
        <w:t xml:space="preserve">so </w:t>
      </w:r>
      <w:r w:rsidR="00913043">
        <w:rPr>
          <w:color w:val="0D0D0D" w:themeColor="text1" w:themeTint="F2"/>
          <w:sz w:val="26"/>
          <w:szCs w:val="26"/>
        </w:rPr>
        <w:t>while this matter is</w:t>
      </w:r>
      <w:r w:rsidR="00B76080" w:rsidRPr="00913043">
        <w:rPr>
          <w:color w:val="0D0D0D" w:themeColor="text1" w:themeTint="F2"/>
          <w:sz w:val="26"/>
          <w:szCs w:val="26"/>
        </w:rPr>
        <w:t xml:space="preserve"> pending in the OALJ, the DSIC recovery shall be subject to recoupment and </w:t>
      </w:r>
      <w:r w:rsidR="00B55BD0" w:rsidRPr="00913043">
        <w:rPr>
          <w:color w:val="0D0D0D" w:themeColor="text1" w:themeTint="F2"/>
          <w:sz w:val="26"/>
          <w:szCs w:val="26"/>
        </w:rPr>
        <w:t>refund after final resolution.</w:t>
      </w:r>
      <w:r w:rsidR="00B55BD0">
        <w:rPr>
          <w:color w:val="0D0D0D" w:themeColor="text1" w:themeTint="F2"/>
          <w:sz w:val="26"/>
          <w:szCs w:val="26"/>
        </w:rPr>
        <w:t xml:space="preserve"> </w:t>
      </w:r>
    </w:p>
    <w:p w:rsidR="006C5932" w:rsidRDefault="006C5932" w:rsidP="006C5932">
      <w:pPr>
        <w:widowControl/>
        <w:spacing w:line="360" w:lineRule="auto"/>
        <w:ind w:firstLine="1440"/>
        <w:rPr>
          <w:color w:val="0D0D0D" w:themeColor="text1" w:themeTint="F2"/>
          <w:sz w:val="26"/>
          <w:szCs w:val="26"/>
        </w:rPr>
      </w:pPr>
    </w:p>
    <w:p w:rsidR="006C5932" w:rsidRDefault="00B76080" w:rsidP="006C5932">
      <w:pPr>
        <w:widowControl/>
        <w:spacing w:line="360" w:lineRule="auto"/>
        <w:rPr>
          <w:color w:val="0D0D0D" w:themeColor="text1" w:themeTint="F2"/>
          <w:sz w:val="26"/>
          <w:szCs w:val="26"/>
        </w:rPr>
      </w:pPr>
      <w:r>
        <w:rPr>
          <w:b/>
          <w:sz w:val="26"/>
          <w:szCs w:val="26"/>
        </w:rPr>
        <w:tab/>
      </w:r>
      <w:r>
        <w:rPr>
          <w:b/>
          <w:sz w:val="26"/>
          <w:szCs w:val="26"/>
        </w:rPr>
        <w:tab/>
        <w:t xml:space="preserve">(d) </w:t>
      </w:r>
      <w:r w:rsidRPr="00062E21">
        <w:rPr>
          <w:b/>
          <w:sz w:val="26"/>
          <w:szCs w:val="26"/>
        </w:rPr>
        <w:t>Quarterly Updates</w:t>
      </w:r>
    </w:p>
    <w:p w:rsidR="006C5932" w:rsidRDefault="006C5932" w:rsidP="006C5932">
      <w:pPr>
        <w:widowControl/>
        <w:spacing w:line="360" w:lineRule="auto"/>
        <w:ind w:firstLine="1440"/>
        <w:rPr>
          <w:color w:val="0D0D0D" w:themeColor="text1" w:themeTint="F2"/>
          <w:sz w:val="26"/>
          <w:szCs w:val="26"/>
        </w:rPr>
      </w:pPr>
    </w:p>
    <w:p w:rsidR="003A5547" w:rsidRDefault="0014165C" w:rsidP="006C5932">
      <w:pPr>
        <w:widowControl/>
        <w:spacing w:line="360" w:lineRule="auto"/>
        <w:rPr>
          <w:b/>
          <w:sz w:val="26"/>
          <w:szCs w:val="26"/>
        </w:rPr>
      </w:pPr>
      <w:r>
        <w:rPr>
          <w:b/>
          <w:sz w:val="26"/>
          <w:szCs w:val="26"/>
        </w:rPr>
        <w:t>UGI-CPG</w:t>
      </w:r>
      <w:r w:rsidR="00433597">
        <w:rPr>
          <w:b/>
          <w:sz w:val="26"/>
          <w:szCs w:val="26"/>
        </w:rPr>
        <w:t>’s</w:t>
      </w:r>
      <w:r w:rsidR="00B76080">
        <w:rPr>
          <w:b/>
          <w:sz w:val="26"/>
          <w:szCs w:val="26"/>
        </w:rPr>
        <w:t xml:space="preserve"> Petition</w:t>
      </w:r>
    </w:p>
    <w:p w:rsidR="006C5932" w:rsidRPr="003A5547" w:rsidRDefault="00B76080" w:rsidP="006C5932">
      <w:pPr>
        <w:widowControl/>
        <w:spacing w:line="360" w:lineRule="auto"/>
        <w:rPr>
          <w:b/>
          <w:sz w:val="26"/>
          <w:szCs w:val="26"/>
        </w:rPr>
      </w:pPr>
      <w:r>
        <w:rPr>
          <w:b/>
          <w:sz w:val="26"/>
          <w:szCs w:val="26"/>
        </w:rPr>
        <w:tab/>
      </w:r>
    </w:p>
    <w:p w:rsidR="00B76080" w:rsidRPr="006C5932" w:rsidRDefault="00B76080" w:rsidP="006C5932">
      <w:pPr>
        <w:widowControl/>
        <w:spacing w:line="360" w:lineRule="auto"/>
        <w:ind w:firstLine="1440"/>
        <w:rPr>
          <w:color w:val="0D0D0D" w:themeColor="text1" w:themeTint="F2"/>
          <w:sz w:val="26"/>
          <w:szCs w:val="26"/>
        </w:rPr>
      </w:pPr>
      <w:r w:rsidRPr="00062E21">
        <w:rPr>
          <w:sz w:val="26"/>
          <w:szCs w:val="26"/>
        </w:rPr>
        <w:t>A utility’s DSIC is subject to quarterly updates to reflect eligible plant additions placed in service during the three-month period ending one month prior to the effective date of any DSIC upda</w:t>
      </w:r>
      <w:r w:rsidR="00913043">
        <w:rPr>
          <w:sz w:val="26"/>
          <w:szCs w:val="26"/>
        </w:rPr>
        <w:t>te.  The</w:t>
      </w:r>
      <w:r w:rsidR="00A137F7">
        <w:rPr>
          <w:sz w:val="26"/>
          <w:szCs w:val="26"/>
        </w:rPr>
        <w:t xml:space="preserve"> </w:t>
      </w:r>
      <w:r w:rsidR="008C6A91">
        <w:rPr>
          <w:sz w:val="26"/>
          <w:szCs w:val="26"/>
        </w:rPr>
        <w:t>Proposed Tariff</w:t>
      </w:r>
      <w:r w:rsidRPr="00062E21">
        <w:rPr>
          <w:sz w:val="26"/>
          <w:szCs w:val="26"/>
        </w:rPr>
        <w:t xml:space="preserve"> includes a chart of the effective dates of </w:t>
      </w:r>
      <w:r w:rsidR="0014165C">
        <w:rPr>
          <w:sz w:val="26"/>
          <w:szCs w:val="26"/>
        </w:rPr>
        <w:t>UGI-CPG</w:t>
      </w:r>
      <w:r w:rsidR="00C418A2">
        <w:rPr>
          <w:sz w:val="26"/>
          <w:szCs w:val="26"/>
        </w:rPr>
        <w:t>’s</w:t>
      </w:r>
      <w:r w:rsidRPr="00062E21">
        <w:rPr>
          <w:sz w:val="26"/>
          <w:szCs w:val="26"/>
        </w:rPr>
        <w:t xml:space="preserve"> proposed DSIC updates, and the corresponding period for eligible plant additions that will be reflected in each update.  The Company states that once its DSIC is implemented, customers will receive notice of quarterly changes in the DSIC through bill messages, consistent with Act 11 and the Final Implementation Order.  </w:t>
      </w:r>
    </w:p>
    <w:p w:rsidR="00B76080" w:rsidRPr="00062E21" w:rsidRDefault="00B76080" w:rsidP="00B76080">
      <w:pPr>
        <w:widowControl/>
        <w:spacing w:line="360" w:lineRule="auto"/>
        <w:rPr>
          <w:sz w:val="26"/>
          <w:szCs w:val="26"/>
        </w:rPr>
      </w:pPr>
    </w:p>
    <w:p w:rsidR="00B76080" w:rsidRPr="00062E21" w:rsidRDefault="00B76080" w:rsidP="00B76080">
      <w:pPr>
        <w:widowControl/>
        <w:spacing w:line="360" w:lineRule="auto"/>
        <w:rPr>
          <w:b/>
          <w:sz w:val="26"/>
          <w:szCs w:val="26"/>
        </w:rPr>
      </w:pPr>
      <w:r w:rsidRPr="00062E21">
        <w:rPr>
          <w:b/>
          <w:sz w:val="26"/>
          <w:szCs w:val="26"/>
        </w:rPr>
        <w:lastRenderedPageBreak/>
        <w:t>Comments</w:t>
      </w:r>
    </w:p>
    <w:p w:rsidR="00B76080" w:rsidRPr="00062E21" w:rsidRDefault="00B76080" w:rsidP="00B76080">
      <w:pPr>
        <w:widowControl/>
        <w:spacing w:line="360" w:lineRule="auto"/>
        <w:rPr>
          <w:sz w:val="26"/>
          <w:szCs w:val="26"/>
        </w:rPr>
      </w:pPr>
      <w:r w:rsidRPr="00062E21">
        <w:rPr>
          <w:sz w:val="26"/>
          <w:szCs w:val="26"/>
        </w:rPr>
        <w:t xml:space="preserve"> </w:t>
      </w:r>
    </w:p>
    <w:p w:rsidR="00B76080" w:rsidRDefault="008E3B4C" w:rsidP="00B76080">
      <w:pPr>
        <w:widowControl/>
        <w:spacing w:line="360" w:lineRule="auto"/>
        <w:ind w:firstLine="1440"/>
        <w:rPr>
          <w:sz w:val="26"/>
          <w:szCs w:val="26"/>
        </w:rPr>
      </w:pPr>
      <w:r>
        <w:rPr>
          <w:sz w:val="26"/>
          <w:szCs w:val="26"/>
        </w:rPr>
        <w:t xml:space="preserve">OCA has taken issue with the fact that, in its initial non-zero DSIC rate effective April 1, 2015, </w:t>
      </w:r>
      <w:r w:rsidR="0014165C">
        <w:rPr>
          <w:sz w:val="26"/>
          <w:szCs w:val="26"/>
        </w:rPr>
        <w:t>UGI-CPG</w:t>
      </w:r>
      <w:r>
        <w:rPr>
          <w:sz w:val="26"/>
          <w:szCs w:val="26"/>
        </w:rPr>
        <w:t xml:space="preserve"> has proposed to recover qualifying plant investment placed into service during the period of December 1, 2013 through November 30, 2014, in addition to the customary three month period ending one month prior to the effective date (i.e. December 1, 2014 through February 28, 2015).</w:t>
      </w:r>
      <w:r w:rsidR="00B76080" w:rsidRPr="00062E21">
        <w:rPr>
          <w:sz w:val="26"/>
          <w:szCs w:val="26"/>
        </w:rPr>
        <w:t xml:space="preserve">  </w:t>
      </w:r>
      <w:r>
        <w:rPr>
          <w:sz w:val="26"/>
          <w:szCs w:val="26"/>
        </w:rPr>
        <w:t xml:space="preserve">OCA contends that section 1357(a) of the Public Utility Code only permits recovery of eligible plant </w:t>
      </w:r>
      <w:r w:rsidR="00531869">
        <w:rPr>
          <w:sz w:val="26"/>
          <w:szCs w:val="26"/>
        </w:rPr>
        <w:t>that has been place</w:t>
      </w:r>
      <w:r w:rsidR="0000068E">
        <w:rPr>
          <w:sz w:val="26"/>
          <w:szCs w:val="26"/>
        </w:rPr>
        <w:t xml:space="preserve">d into service during the three </w:t>
      </w:r>
      <w:r w:rsidR="00531869">
        <w:rPr>
          <w:sz w:val="26"/>
          <w:szCs w:val="26"/>
        </w:rPr>
        <w:t>month period ending one month prior to the effective date of the DSIC, and hence, recovering investment from any period prior to December 1, 2014 in an April 1, 2015 effective DSIC rate is not permitted by Section 1357.</w:t>
      </w:r>
    </w:p>
    <w:p w:rsidR="00531869" w:rsidRDefault="00531869" w:rsidP="00B76080">
      <w:pPr>
        <w:widowControl/>
        <w:spacing w:line="360" w:lineRule="auto"/>
        <w:ind w:firstLine="1440"/>
        <w:rPr>
          <w:sz w:val="26"/>
          <w:szCs w:val="26"/>
        </w:rPr>
      </w:pPr>
    </w:p>
    <w:p w:rsidR="00531869" w:rsidRPr="00062E21" w:rsidRDefault="00531869" w:rsidP="00B76080">
      <w:pPr>
        <w:widowControl/>
        <w:spacing w:line="360" w:lineRule="auto"/>
        <w:ind w:firstLine="1440"/>
        <w:rPr>
          <w:sz w:val="26"/>
          <w:szCs w:val="26"/>
        </w:rPr>
      </w:pPr>
      <w:r>
        <w:rPr>
          <w:sz w:val="26"/>
          <w:szCs w:val="26"/>
        </w:rPr>
        <w:t>This issue stems from the U</w:t>
      </w:r>
      <w:r w:rsidR="00913043">
        <w:rPr>
          <w:sz w:val="26"/>
          <w:szCs w:val="26"/>
        </w:rPr>
        <w:t>GI Companies’ Settlement</w:t>
      </w:r>
      <w:r>
        <w:rPr>
          <w:sz w:val="26"/>
          <w:szCs w:val="26"/>
        </w:rPr>
        <w:t xml:space="preserve"> at Docket C</w:t>
      </w:r>
      <w:r>
        <w:rPr>
          <w:sz w:val="26"/>
          <w:szCs w:val="26"/>
        </w:rPr>
        <w:noBreakHyphen/>
        <w:t>2012</w:t>
      </w:r>
      <w:r>
        <w:rPr>
          <w:sz w:val="26"/>
          <w:szCs w:val="26"/>
        </w:rPr>
        <w:noBreakHyphen/>
        <w:t xml:space="preserve">2308997, which prohibits the UGI Companies from seeking recovery for any DSIC-related costs for a period of 24 months following Commission approval of the Settlement (approved February 19, 2013).  OCA submits that </w:t>
      </w:r>
      <w:r w:rsidR="0014165C">
        <w:rPr>
          <w:sz w:val="26"/>
          <w:szCs w:val="26"/>
        </w:rPr>
        <w:t>UGI-CPG</w:t>
      </w:r>
      <w:r>
        <w:rPr>
          <w:sz w:val="26"/>
          <w:szCs w:val="26"/>
        </w:rPr>
        <w:t>’s proposal would void the pur</w:t>
      </w:r>
      <w:r w:rsidR="00913043">
        <w:rPr>
          <w:sz w:val="26"/>
          <w:szCs w:val="26"/>
        </w:rPr>
        <w:t>pose of the Settlement</w:t>
      </w:r>
      <w:r>
        <w:rPr>
          <w:sz w:val="26"/>
          <w:szCs w:val="26"/>
        </w:rPr>
        <w:t xml:space="preserve">, which specifically prohibits the Company from recovering costs that would </w:t>
      </w:r>
      <w:r w:rsidR="0090731F">
        <w:rPr>
          <w:sz w:val="26"/>
          <w:szCs w:val="26"/>
        </w:rPr>
        <w:t>otherwise be eligible for recovery under a DSIC.</w:t>
      </w:r>
    </w:p>
    <w:p w:rsidR="00B76080" w:rsidRPr="00062E21" w:rsidRDefault="00B76080" w:rsidP="00B76080">
      <w:pPr>
        <w:widowControl/>
        <w:spacing w:line="360" w:lineRule="auto"/>
        <w:rPr>
          <w:sz w:val="26"/>
          <w:szCs w:val="26"/>
        </w:rPr>
      </w:pPr>
    </w:p>
    <w:p w:rsidR="00B76080" w:rsidRDefault="00B76080" w:rsidP="00B76080">
      <w:pPr>
        <w:keepNext/>
        <w:widowControl/>
        <w:spacing w:line="360" w:lineRule="auto"/>
        <w:rPr>
          <w:b/>
          <w:sz w:val="26"/>
          <w:szCs w:val="26"/>
        </w:rPr>
      </w:pPr>
      <w:r w:rsidRPr="00062E21">
        <w:rPr>
          <w:b/>
          <w:sz w:val="26"/>
          <w:szCs w:val="26"/>
        </w:rPr>
        <w:t>Resolution</w:t>
      </w:r>
    </w:p>
    <w:p w:rsidR="0090731F" w:rsidRDefault="0090731F" w:rsidP="00B76080">
      <w:pPr>
        <w:keepNext/>
        <w:widowControl/>
        <w:spacing w:line="360" w:lineRule="auto"/>
        <w:rPr>
          <w:b/>
          <w:sz w:val="26"/>
          <w:szCs w:val="26"/>
        </w:rPr>
      </w:pPr>
    </w:p>
    <w:p w:rsidR="0090731F" w:rsidRPr="0090731F" w:rsidRDefault="0090731F" w:rsidP="00B76080">
      <w:pPr>
        <w:keepNext/>
        <w:widowControl/>
        <w:spacing w:line="360" w:lineRule="auto"/>
        <w:rPr>
          <w:sz w:val="26"/>
          <w:szCs w:val="26"/>
        </w:rPr>
      </w:pPr>
      <w:r>
        <w:rPr>
          <w:b/>
          <w:sz w:val="26"/>
          <w:szCs w:val="26"/>
        </w:rPr>
        <w:tab/>
      </w:r>
      <w:r>
        <w:rPr>
          <w:b/>
          <w:sz w:val="26"/>
          <w:szCs w:val="26"/>
        </w:rPr>
        <w:tab/>
      </w:r>
      <w:r>
        <w:rPr>
          <w:sz w:val="26"/>
          <w:szCs w:val="26"/>
        </w:rPr>
        <w:t>OCA has argued</w:t>
      </w:r>
      <w:r w:rsidR="00C6475D">
        <w:rPr>
          <w:sz w:val="26"/>
          <w:szCs w:val="26"/>
        </w:rPr>
        <w:t xml:space="preserve"> that </w:t>
      </w:r>
      <w:r w:rsidR="0014165C">
        <w:rPr>
          <w:sz w:val="26"/>
          <w:szCs w:val="26"/>
        </w:rPr>
        <w:t>UGI-CPG</w:t>
      </w:r>
      <w:r w:rsidR="00C6475D">
        <w:rPr>
          <w:sz w:val="26"/>
          <w:szCs w:val="26"/>
        </w:rPr>
        <w:t>’s proposal to include qualifying plant investment placed into service during the December 1, 2013 to November 30, 2014 timeframe in its April 1, 2015 DSIC rate is inconsistent with Act 11 and the inten</w:t>
      </w:r>
      <w:r w:rsidR="00913043">
        <w:rPr>
          <w:sz w:val="26"/>
          <w:szCs w:val="26"/>
        </w:rPr>
        <w:t>t of the Settlement</w:t>
      </w:r>
      <w:r w:rsidR="001F3BA1">
        <w:rPr>
          <w:sz w:val="26"/>
          <w:szCs w:val="26"/>
        </w:rPr>
        <w:t xml:space="preserve">.  </w:t>
      </w:r>
      <w:r w:rsidR="0014165C">
        <w:rPr>
          <w:sz w:val="26"/>
          <w:szCs w:val="26"/>
        </w:rPr>
        <w:t>UGI-CPG</w:t>
      </w:r>
      <w:r w:rsidR="005555E3">
        <w:rPr>
          <w:sz w:val="26"/>
          <w:szCs w:val="26"/>
        </w:rPr>
        <w:t xml:space="preserve"> disagrees with OCA’s argument</w:t>
      </w:r>
      <w:r w:rsidR="006C43A0">
        <w:rPr>
          <w:sz w:val="26"/>
          <w:szCs w:val="26"/>
        </w:rPr>
        <w:t xml:space="preserve">, stating that the Company’s proposal is consistent with both Act 11 and the Settlement.  </w:t>
      </w:r>
      <w:r w:rsidR="0014165C">
        <w:rPr>
          <w:sz w:val="26"/>
          <w:szCs w:val="26"/>
        </w:rPr>
        <w:t>UGI-CPG</w:t>
      </w:r>
      <w:r w:rsidR="006C43A0">
        <w:rPr>
          <w:sz w:val="26"/>
          <w:szCs w:val="26"/>
        </w:rPr>
        <w:t xml:space="preserve"> states that the Settlement prohibits recovery of costs during the 24-month non-recovery period, but not thereafter, and that the Company’s proposal achieves this by setting the DSIC rate at 0.0% for the entirety of the 24-month period and starting recovery of eligible plant at the </w:t>
      </w:r>
      <w:r w:rsidR="006C43A0">
        <w:rPr>
          <w:sz w:val="26"/>
          <w:szCs w:val="26"/>
        </w:rPr>
        <w:lastRenderedPageBreak/>
        <w:t xml:space="preserve">net depreciated book value as of the expiration of the 24-month non-recovery period, in accordance with Act 11.  The Company </w:t>
      </w:r>
      <w:r w:rsidR="003361FF">
        <w:rPr>
          <w:sz w:val="26"/>
          <w:szCs w:val="26"/>
        </w:rPr>
        <w:t>further</w:t>
      </w:r>
      <w:r w:rsidR="006C43A0">
        <w:rPr>
          <w:sz w:val="26"/>
          <w:szCs w:val="26"/>
        </w:rPr>
        <w:t xml:space="preserve"> avers that </w:t>
      </w:r>
      <w:r w:rsidR="003361FF">
        <w:rPr>
          <w:sz w:val="26"/>
          <w:szCs w:val="26"/>
        </w:rPr>
        <w:t>nowhere</w:t>
      </w:r>
      <w:r w:rsidR="006C43A0">
        <w:rPr>
          <w:sz w:val="26"/>
          <w:szCs w:val="26"/>
        </w:rPr>
        <w:t xml:space="preserve"> in the Settlement does </w:t>
      </w:r>
      <w:r w:rsidR="003361FF">
        <w:rPr>
          <w:sz w:val="26"/>
          <w:szCs w:val="26"/>
        </w:rPr>
        <w:t>it</w:t>
      </w:r>
      <w:r w:rsidR="006C43A0">
        <w:rPr>
          <w:sz w:val="26"/>
          <w:szCs w:val="26"/>
        </w:rPr>
        <w:t xml:space="preserve"> provide that </w:t>
      </w:r>
      <w:r w:rsidR="0014165C">
        <w:rPr>
          <w:sz w:val="26"/>
          <w:szCs w:val="26"/>
        </w:rPr>
        <w:t>UGI-CPG</w:t>
      </w:r>
      <w:r w:rsidR="006C43A0">
        <w:rPr>
          <w:sz w:val="26"/>
          <w:szCs w:val="26"/>
        </w:rPr>
        <w:t xml:space="preserve"> should be permanently and completely barred from ever seeking DSIC recovery from investments made during the 24-month period</w:t>
      </w:r>
      <w:r w:rsidR="003361FF">
        <w:rPr>
          <w:sz w:val="26"/>
          <w:szCs w:val="26"/>
        </w:rPr>
        <w:t xml:space="preserve">, as OCA contends it should.  </w:t>
      </w:r>
      <w:r w:rsidR="0014165C">
        <w:rPr>
          <w:sz w:val="26"/>
          <w:szCs w:val="26"/>
        </w:rPr>
        <w:t>UGI-CPG</w:t>
      </w:r>
      <w:r w:rsidR="003361FF">
        <w:rPr>
          <w:sz w:val="26"/>
          <w:szCs w:val="26"/>
        </w:rPr>
        <w:t xml:space="preserve"> concludes that OCA’s notion that DSIC recovery for eligible plant investments made during the 24-month non-recovery period should be permanently and forever denied is inconsistent with the Settlement, Act 11, and would produce a punitive and unreasonable result.</w:t>
      </w:r>
    </w:p>
    <w:p w:rsidR="00B76080" w:rsidRDefault="00B76080" w:rsidP="00B76080">
      <w:pPr>
        <w:keepNext/>
        <w:widowControl/>
        <w:spacing w:line="360" w:lineRule="auto"/>
        <w:ind w:firstLine="1440"/>
        <w:rPr>
          <w:sz w:val="26"/>
          <w:szCs w:val="26"/>
        </w:rPr>
      </w:pPr>
    </w:p>
    <w:p w:rsidR="00900334" w:rsidRPr="00900334" w:rsidRDefault="004715C8" w:rsidP="00900334">
      <w:pPr>
        <w:keepNext/>
        <w:widowControl/>
        <w:spacing w:line="360" w:lineRule="auto"/>
        <w:rPr>
          <w:sz w:val="26"/>
          <w:szCs w:val="26"/>
        </w:rPr>
      </w:pPr>
      <w:r>
        <w:rPr>
          <w:color w:val="000000"/>
          <w:sz w:val="26"/>
          <w:szCs w:val="26"/>
        </w:rPr>
        <w:tab/>
      </w:r>
      <w:r>
        <w:rPr>
          <w:color w:val="000000"/>
          <w:sz w:val="26"/>
          <w:szCs w:val="26"/>
        </w:rPr>
        <w:tab/>
        <w:t xml:space="preserve">In regards to </w:t>
      </w:r>
      <w:r>
        <w:rPr>
          <w:sz w:val="26"/>
          <w:szCs w:val="26"/>
        </w:rPr>
        <w:t xml:space="preserve">the total months for which UGI-CPG may include eligible plant investment in its initial non-zero DSIC rate filing of April 1, 2015, </w:t>
      </w:r>
      <w:r>
        <w:rPr>
          <w:color w:val="000000"/>
          <w:sz w:val="26"/>
          <w:szCs w:val="26"/>
        </w:rPr>
        <w:t>we will refer the issue to OALJ for hearing.  With that said, current collections under the DSIC should be limited to the investments made during the three month period ending one month prior to any effective date, and nothing more than that, dependent upon the outcome of the issue in the OALJ proceeding.</w:t>
      </w:r>
    </w:p>
    <w:p w:rsidR="009A27C0" w:rsidRPr="00062E21" w:rsidRDefault="009A27C0" w:rsidP="00B76080">
      <w:pPr>
        <w:keepNext/>
        <w:widowControl/>
        <w:spacing w:line="360" w:lineRule="auto"/>
        <w:ind w:firstLine="1440"/>
        <w:rPr>
          <w:sz w:val="26"/>
          <w:szCs w:val="26"/>
        </w:rPr>
      </w:pPr>
    </w:p>
    <w:p w:rsidR="00B76080" w:rsidRPr="00062E21" w:rsidRDefault="00B76080" w:rsidP="00B76080">
      <w:pPr>
        <w:widowControl/>
        <w:spacing w:line="360" w:lineRule="auto"/>
        <w:ind w:firstLine="1440"/>
        <w:rPr>
          <w:sz w:val="26"/>
          <w:szCs w:val="26"/>
        </w:rPr>
      </w:pPr>
      <w:r w:rsidRPr="00062E21">
        <w:rPr>
          <w:sz w:val="26"/>
          <w:szCs w:val="26"/>
        </w:rPr>
        <w:t>In accordance with 66 Pa. C.S. § 1358(e)(2), t</w:t>
      </w:r>
      <w:r w:rsidRPr="00062E21">
        <w:rPr>
          <w:bCs/>
          <w:sz w:val="26"/>
          <w:szCs w:val="26"/>
        </w:rPr>
        <w:t xml:space="preserve">he revenue received under the </w:t>
      </w:r>
      <w:r w:rsidR="009C1DFD">
        <w:rPr>
          <w:bCs/>
          <w:sz w:val="26"/>
          <w:szCs w:val="26"/>
        </w:rPr>
        <w:t>DSIC</w:t>
      </w:r>
      <w:r w:rsidRPr="00062E21">
        <w:rPr>
          <w:bCs/>
          <w:sz w:val="26"/>
          <w:szCs w:val="26"/>
        </w:rPr>
        <w:t xml:space="preserve"> for the reconciliation period shall be compared to the utility's eligible costs for that period. The difference between revenue and costs shall be recouped or refunded, as appropriate, in accordance with section 1307(e), over a one-year period or quarterly period commencing April 1 of each year.</w:t>
      </w:r>
      <w:r w:rsidRPr="00062E21">
        <w:rPr>
          <w:sz w:val="26"/>
          <w:szCs w:val="26"/>
        </w:rPr>
        <w:t xml:space="preserve">  Based on the statute mandating over/under collections be refunded commencing April 1 of each year, th</w:t>
      </w:r>
      <w:r>
        <w:rPr>
          <w:sz w:val="26"/>
          <w:szCs w:val="26"/>
        </w:rPr>
        <w:t>e Commission directs any utility filing for a DSIC</w:t>
      </w:r>
      <w:r w:rsidRPr="00062E21">
        <w:rPr>
          <w:sz w:val="26"/>
          <w:szCs w:val="26"/>
        </w:rPr>
        <w:t xml:space="preserve"> to </w:t>
      </w:r>
      <w:r>
        <w:rPr>
          <w:sz w:val="26"/>
          <w:szCs w:val="26"/>
        </w:rPr>
        <w:t xml:space="preserve">schedule </w:t>
      </w:r>
      <w:r w:rsidRPr="00062E21">
        <w:rPr>
          <w:sz w:val="26"/>
          <w:szCs w:val="26"/>
        </w:rPr>
        <w:t xml:space="preserve">the effective dates of </w:t>
      </w:r>
      <w:r>
        <w:rPr>
          <w:sz w:val="26"/>
          <w:szCs w:val="26"/>
        </w:rPr>
        <w:t xml:space="preserve">their </w:t>
      </w:r>
      <w:r w:rsidRPr="00062E21">
        <w:rPr>
          <w:sz w:val="26"/>
          <w:szCs w:val="26"/>
        </w:rPr>
        <w:t>proposed DSIC updates, and the corresponding period for eligible plant additions that wil</w:t>
      </w:r>
      <w:r>
        <w:rPr>
          <w:sz w:val="26"/>
          <w:szCs w:val="26"/>
        </w:rPr>
        <w:t>l be reflected in each update, to align quarterly with t</w:t>
      </w:r>
      <w:r w:rsidRPr="00062E21">
        <w:rPr>
          <w:sz w:val="26"/>
          <w:szCs w:val="26"/>
        </w:rPr>
        <w:t xml:space="preserve">he </w:t>
      </w:r>
      <w:r>
        <w:rPr>
          <w:sz w:val="26"/>
          <w:szCs w:val="26"/>
        </w:rPr>
        <w:t>months of</w:t>
      </w:r>
      <w:r w:rsidRPr="00062E21">
        <w:rPr>
          <w:sz w:val="26"/>
          <w:szCs w:val="26"/>
        </w:rPr>
        <w:t xml:space="preserve"> April, July, October, and January.</w:t>
      </w:r>
      <w:r>
        <w:rPr>
          <w:sz w:val="26"/>
          <w:szCs w:val="26"/>
        </w:rPr>
        <w:t xml:space="preserve">  </w:t>
      </w:r>
      <w:r w:rsidR="0014165C">
        <w:rPr>
          <w:sz w:val="26"/>
          <w:szCs w:val="26"/>
        </w:rPr>
        <w:t>UGI-CPG</w:t>
      </w:r>
      <w:r>
        <w:rPr>
          <w:sz w:val="26"/>
          <w:szCs w:val="26"/>
        </w:rPr>
        <w:t xml:space="preserve"> has suggested such a schedule in the filing of </w:t>
      </w:r>
      <w:r w:rsidR="00913043">
        <w:rPr>
          <w:sz w:val="26"/>
          <w:szCs w:val="26"/>
        </w:rPr>
        <w:t xml:space="preserve">their </w:t>
      </w:r>
      <w:r w:rsidR="008C6A91">
        <w:rPr>
          <w:sz w:val="26"/>
          <w:szCs w:val="26"/>
        </w:rPr>
        <w:t>Proposed Tariff</w:t>
      </w:r>
      <w:r>
        <w:rPr>
          <w:sz w:val="26"/>
          <w:szCs w:val="26"/>
        </w:rPr>
        <w:t xml:space="preserve">, and hence, the Commission deems </w:t>
      </w:r>
      <w:r w:rsidR="0014165C">
        <w:rPr>
          <w:sz w:val="26"/>
          <w:szCs w:val="26"/>
        </w:rPr>
        <w:t>UGI-CPG</w:t>
      </w:r>
      <w:r w:rsidR="00365664">
        <w:rPr>
          <w:sz w:val="26"/>
          <w:szCs w:val="26"/>
        </w:rPr>
        <w:t>’s</w:t>
      </w:r>
      <w:r>
        <w:rPr>
          <w:sz w:val="26"/>
          <w:szCs w:val="26"/>
        </w:rPr>
        <w:t xml:space="preserve"> tariff to be compliant with Section 1353 as it pertains to the issue of quarterly updates. </w:t>
      </w:r>
      <w:r w:rsidRPr="00062E21">
        <w:rPr>
          <w:sz w:val="26"/>
          <w:szCs w:val="26"/>
        </w:rPr>
        <w:t xml:space="preserve">    </w:t>
      </w:r>
    </w:p>
    <w:p w:rsidR="00B76080" w:rsidRPr="00062E21" w:rsidRDefault="00B76080" w:rsidP="00B76080">
      <w:pPr>
        <w:widowControl/>
        <w:spacing w:line="360" w:lineRule="auto"/>
        <w:jc w:val="center"/>
        <w:rPr>
          <w:b/>
          <w:sz w:val="26"/>
          <w:szCs w:val="26"/>
        </w:rPr>
      </w:pPr>
    </w:p>
    <w:p w:rsidR="00B76080" w:rsidRPr="00062E21" w:rsidRDefault="00B76080" w:rsidP="00B76080">
      <w:pPr>
        <w:widowControl/>
        <w:spacing w:line="360" w:lineRule="auto"/>
        <w:rPr>
          <w:b/>
          <w:sz w:val="26"/>
          <w:szCs w:val="26"/>
        </w:rPr>
      </w:pPr>
      <w:r>
        <w:rPr>
          <w:b/>
          <w:sz w:val="26"/>
          <w:szCs w:val="26"/>
        </w:rPr>
        <w:lastRenderedPageBreak/>
        <w:tab/>
      </w:r>
      <w:r>
        <w:rPr>
          <w:b/>
          <w:sz w:val="26"/>
          <w:szCs w:val="26"/>
        </w:rPr>
        <w:tab/>
        <w:t xml:space="preserve">(e) </w:t>
      </w:r>
      <w:r w:rsidRPr="00062E21">
        <w:rPr>
          <w:b/>
          <w:sz w:val="26"/>
          <w:szCs w:val="26"/>
        </w:rPr>
        <w:t>Consumer Protections</w:t>
      </w:r>
    </w:p>
    <w:p w:rsidR="00B76080" w:rsidRPr="00062E21" w:rsidRDefault="00B76080" w:rsidP="00B76080">
      <w:pPr>
        <w:widowControl/>
        <w:spacing w:line="360" w:lineRule="auto"/>
        <w:rPr>
          <w:sz w:val="26"/>
          <w:szCs w:val="26"/>
        </w:rPr>
      </w:pPr>
    </w:p>
    <w:p w:rsidR="00B76080" w:rsidRPr="00062E21" w:rsidRDefault="0014165C" w:rsidP="00B76080">
      <w:pPr>
        <w:widowControl/>
        <w:spacing w:line="360" w:lineRule="auto"/>
        <w:rPr>
          <w:b/>
          <w:sz w:val="26"/>
          <w:szCs w:val="26"/>
        </w:rPr>
      </w:pPr>
      <w:r>
        <w:rPr>
          <w:b/>
          <w:sz w:val="26"/>
          <w:szCs w:val="26"/>
        </w:rPr>
        <w:t>UGI-CPG</w:t>
      </w:r>
      <w:r w:rsidR="00433597">
        <w:rPr>
          <w:b/>
          <w:sz w:val="26"/>
          <w:szCs w:val="26"/>
        </w:rPr>
        <w:t>’s</w:t>
      </w:r>
      <w:r w:rsidR="00B76080">
        <w:rPr>
          <w:b/>
          <w:sz w:val="26"/>
          <w:szCs w:val="26"/>
        </w:rPr>
        <w:t xml:space="preserve"> Petition</w:t>
      </w:r>
    </w:p>
    <w:p w:rsidR="00B76080" w:rsidRPr="00062E21" w:rsidRDefault="00B76080" w:rsidP="00B76080">
      <w:pPr>
        <w:widowControl/>
        <w:spacing w:line="360" w:lineRule="auto"/>
        <w:rPr>
          <w:sz w:val="26"/>
          <w:szCs w:val="26"/>
        </w:rPr>
      </w:pPr>
    </w:p>
    <w:p w:rsidR="00B76080" w:rsidRDefault="00B76080" w:rsidP="00B76080">
      <w:pPr>
        <w:widowControl/>
        <w:spacing w:line="360" w:lineRule="auto"/>
        <w:ind w:firstLine="1440"/>
        <w:rPr>
          <w:sz w:val="26"/>
          <w:szCs w:val="26"/>
        </w:rPr>
      </w:pPr>
      <w:r w:rsidRPr="00062E21">
        <w:rPr>
          <w:sz w:val="26"/>
          <w:szCs w:val="26"/>
        </w:rPr>
        <w:t xml:space="preserve">In accordance with the Model Tariff and consistent with </w:t>
      </w:r>
      <w:r>
        <w:rPr>
          <w:sz w:val="26"/>
          <w:szCs w:val="26"/>
        </w:rPr>
        <w:t xml:space="preserve">Section </w:t>
      </w:r>
      <w:r w:rsidRPr="00062E21">
        <w:rPr>
          <w:sz w:val="26"/>
          <w:szCs w:val="26"/>
        </w:rPr>
        <w:t xml:space="preserve">1358, </w:t>
      </w:r>
      <w:r w:rsidR="0014165C">
        <w:rPr>
          <w:sz w:val="26"/>
          <w:szCs w:val="26"/>
        </w:rPr>
        <w:t>UGI-CPG</w:t>
      </w:r>
      <w:r w:rsidR="00913043">
        <w:rPr>
          <w:sz w:val="26"/>
          <w:szCs w:val="26"/>
        </w:rPr>
        <w:t>’s</w:t>
      </w:r>
      <w:r>
        <w:rPr>
          <w:sz w:val="26"/>
          <w:szCs w:val="26"/>
        </w:rPr>
        <w:t xml:space="preserve"> </w:t>
      </w:r>
      <w:r w:rsidR="008C6A91">
        <w:rPr>
          <w:sz w:val="26"/>
          <w:szCs w:val="26"/>
        </w:rPr>
        <w:t>Proposed Tariff</w:t>
      </w:r>
      <w:r w:rsidRPr="00062E21">
        <w:rPr>
          <w:sz w:val="26"/>
          <w:szCs w:val="26"/>
        </w:rPr>
        <w:t xml:space="preserve"> also includes the following customer safeguards:</w:t>
      </w:r>
    </w:p>
    <w:p w:rsidR="006C5932" w:rsidRPr="00062E21" w:rsidRDefault="006C5932" w:rsidP="00B76080">
      <w:pPr>
        <w:widowControl/>
        <w:spacing w:line="360" w:lineRule="auto"/>
        <w:ind w:firstLine="1440"/>
        <w:rPr>
          <w:sz w:val="26"/>
          <w:szCs w:val="26"/>
        </w:rPr>
      </w:pP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 xml:space="preserve">A 5.0% cap on the total amount of </w:t>
      </w:r>
      <w:r>
        <w:rPr>
          <w:sz w:val="26"/>
          <w:szCs w:val="26"/>
        </w:rPr>
        <w:t xml:space="preserve">distribution </w:t>
      </w:r>
      <w:r w:rsidRPr="00062E21">
        <w:rPr>
          <w:sz w:val="26"/>
          <w:szCs w:val="26"/>
        </w:rPr>
        <w:t xml:space="preserve">revenue that can be collected </w:t>
      </w:r>
      <w:r>
        <w:rPr>
          <w:sz w:val="26"/>
          <w:szCs w:val="26"/>
        </w:rPr>
        <w:t xml:space="preserve">through the DSIC </w:t>
      </w:r>
      <w:r w:rsidRPr="00062E21">
        <w:rPr>
          <w:sz w:val="26"/>
          <w:szCs w:val="26"/>
        </w:rPr>
        <w:t xml:space="preserve">by </w:t>
      </w:r>
      <w:r w:rsidR="0014165C">
        <w:rPr>
          <w:sz w:val="26"/>
          <w:szCs w:val="26"/>
        </w:rPr>
        <w:t>UGI-CPG</w:t>
      </w:r>
      <w:r>
        <w:rPr>
          <w:sz w:val="26"/>
          <w:szCs w:val="26"/>
        </w:rPr>
        <w:t xml:space="preserve"> </w:t>
      </w:r>
      <w:r w:rsidRPr="00062E21">
        <w:rPr>
          <w:sz w:val="26"/>
          <w:szCs w:val="26"/>
        </w:rPr>
        <w:t>as determined on an annualized basis;</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 xml:space="preserve">Annual reconciliations performed by </w:t>
      </w:r>
      <w:r w:rsidR="0014165C">
        <w:rPr>
          <w:sz w:val="26"/>
          <w:szCs w:val="26"/>
        </w:rPr>
        <w:t>UGI-CPG</w:t>
      </w:r>
      <w:r w:rsidRPr="00062E21">
        <w:rPr>
          <w:sz w:val="26"/>
          <w:szCs w:val="26"/>
        </w:rPr>
        <w:t>;</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Audits conducted by the Commission;</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Customer notice of any changes in the DSIC;</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A reset of the DSIC to zero as of the effective date of new base rates that include the DSIC-eligible plant; and</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 xml:space="preserve">Provisions for the charge to be set at zero if, in any quarter, </w:t>
      </w:r>
      <w:r w:rsidR="0014165C">
        <w:rPr>
          <w:sz w:val="26"/>
          <w:szCs w:val="26"/>
        </w:rPr>
        <w:t>UGI-CPG</w:t>
      </w:r>
      <w:r w:rsidR="00C237AA">
        <w:rPr>
          <w:sz w:val="26"/>
          <w:szCs w:val="26"/>
        </w:rPr>
        <w:t>’S</w:t>
      </w:r>
      <w:r w:rsidRPr="00062E21">
        <w:rPr>
          <w:sz w:val="26"/>
          <w:szCs w:val="26"/>
        </w:rPr>
        <w:t xml:space="preserve"> most recent earnings report shows that </w:t>
      </w:r>
      <w:r w:rsidR="0014165C">
        <w:rPr>
          <w:sz w:val="26"/>
          <w:szCs w:val="26"/>
        </w:rPr>
        <w:t>UGI-CPG</w:t>
      </w:r>
      <w:r w:rsidRPr="00062E21">
        <w:rPr>
          <w:sz w:val="26"/>
          <w:szCs w:val="26"/>
        </w:rPr>
        <w:t xml:space="preserve"> is earning a rate of return that exceeds the allowable rate of return used to calculate its fixed costs under the DSIC. </w:t>
      </w:r>
    </w:p>
    <w:p w:rsidR="00B76080" w:rsidRPr="00062E21" w:rsidRDefault="00B76080" w:rsidP="00B76080">
      <w:pPr>
        <w:widowControl/>
        <w:spacing w:line="360" w:lineRule="auto"/>
        <w:rPr>
          <w:sz w:val="26"/>
          <w:szCs w:val="26"/>
        </w:rPr>
      </w:pPr>
    </w:p>
    <w:p w:rsidR="00B76080" w:rsidRDefault="00B76080" w:rsidP="00B76080">
      <w:pPr>
        <w:widowControl/>
        <w:spacing w:line="360" w:lineRule="auto"/>
        <w:ind w:firstLine="1440"/>
        <w:rPr>
          <w:sz w:val="26"/>
          <w:szCs w:val="26"/>
        </w:rPr>
      </w:pPr>
      <w:r w:rsidRPr="00062E21">
        <w:rPr>
          <w:sz w:val="26"/>
          <w:szCs w:val="26"/>
        </w:rPr>
        <w:t xml:space="preserve">As a customer safeguard, the Model Tariff states that the DSIC shall be applied equally to all customer classes.  </w:t>
      </w:r>
      <w:r w:rsidR="0014165C">
        <w:rPr>
          <w:sz w:val="26"/>
          <w:szCs w:val="26"/>
        </w:rPr>
        <w:t>UGI-CPG</w:t>
      </w:r>
      <w:r w:rsidRPr="00062E21">
        <w:rPr>
          <w:sz w:val="26"/>
          <w:szCs w:val="26"/>
        </w:rPr>
        <w:t xml:space="preserve"> added to this a provision that specifies that the Company ma</w:t>
      </w:r>
      <w:r w:rsidR="00B75316">
        <w:rPr>
          <w:sz w:val="26"/>
          <w:szCs w:val="26"/>
        </w:rPr>
        <w:t xml:space="preserve">y reduce or eliminate the Rider </w:t>
      </w:r>
      <w:r w:rsidRPr="00062E21">
        <w:rPr>
          <w:sz w:val="26"/>
          <w:szCs w:val="26"/>
        </w:rPr>
        <w:t>DSIC to any customer w</w:t>
      </w:r>
      <w:r w:rsidR="0004217D">
        <w:rPr>
          <w:sz w:val="26"/>
          <w:szCs w:val="26"/>
        </w:rPr>
        <w:t>ith competitive alternatives or flexed, discounted, or negotiated rates</w:t>
      </w:r>
      <w:r w:rsidRPr="00062E21">
        <w:rPr>
          <w:sz w:val="26"/>
          <w:szCs w:val="26"/>
        </w:rPr>
        <w:t xml:space="preserve">, which is consistent with the Final Implementation Order.  </w:t>
      </w:r>
      <w:r w:rsidR="0014165C">
        <w:rPr>
          <w:sz w:val="26"/>
          <w:szCs w:val="26"/>
        </w:rPr>
        <w:t>UGI-CPG</w:t>
      </w:r>
      <w:r w:rsidR="0004217D">
        <w:rPr>
          <w:sz w:val="26"/>
          <w:szCs w:val="26"/>
        </w:rPr>
        <w:t xml:space="preserve"> may exclude</w:t>
      </w:r>
      <w:r w:rsidRPr="00062E21">
        <w:rPr>
          <w:sz w:val="26"/>
          <w:szCs w:val="26"/>
        </w:rPr>
        <w:t xml:space="preserve"> the Rider DSIC charge from tariffs for customers with competitive alternatives and negotiated contracts.  Testimony submitted by </w:t>
      </w:r>
      <w:r w:rsidR="0014165C">
        <w:rPr>
          <w:sz w:val="26"/>
          <w:szCs w:val="26"/>
        </w:rPr>
        <w:t>UGI-CPG</w:t>
      </w:r>
      <w:r w:rsidR="0004217D">
        <w:rPr>
          <w:sz w:val="26"/>
          <w:szCs w:val="26"/>
        </w:rPr>
        <w:t>’s McAllister</w:t>
      </w:r>
      <w:r w:rsidRPr="00062E21">
        <w:rPr>
          <w:sz w:val="26"/>
          <w:szCs w:val="26"/>
        </w:rPr>
        <w:t xml:space="preserve"> states</w:t>
      </w:r>
      <w:r>
        <w:rPr>
          <w:sz w:val="26"/>
          <w:szCs w:val="26"/>
        </w:rPr>
        <w:t>,</w:t>
      </w:r>
      <w:r w:rsidRPr="00062E21">
        <w:rPr>
          <w:sz w:val="26"/>
          <w:szCs w:val="26"/>
        </w:rPr>
        <w:t xml:space="preserve"> “</w:t>
      </w:r>
      <w:r w:rsidR="007D0C88">
        <w:rPr>
          <w:sz w:val="26"/>
          <w:szCs w:val="26"/>
        </w:rPr>
        <w:t xml:space="preserve">It is </w:t>
      </w:r>
      <w:r w:rsidR="0004217D">
        <w:rPr>
          <w:sz w:val="26"/>
          <w:szCs w:val="26"/>
        </w:rPr>
        <w:t>the Company’s</w:t>
      </w:r>
      <w:r>
        <w:rPr>
          <w:sz w:val="26"/>
          <w:szCs w:val="26"/>
        </w:rPr>
        <w:t xml:space="preserve"> intention to apply the DS</w:t>
      </w:r>
      <w:r w:rsidR="0004217D">
        <w:rPr>
          <w:sz w:val="26"/>
          <w:szCs w:val="26"/>
        </w:rPr>
        <w:t>IC to all customers</w:t>
      </w:r>
      <w:r>
        <w:rPr>
          <w:sz w:val="26"/>
          <w:szCs w:val="26"/>
        </w:rPr>
        <w:t>.  However, due to con</w:t>
      </w:r>
      <w:r w:rsidR="0004217D">
        <w:rPr>
          <w:sz w:val="26"/>
          <w:szCs w:val="26"/>
        </w:rPr>
        <w:t xml:space="preserve">tractual constraints, the Company </w:t>
      </w:r>
      <w:r w:rsidR="0004217D">
        <w:rPr>
          <w:sz w:val="26"/>
          <w:szCs w:val="26"/>
        </w:rPr>
        <w:lastRenderedPageBreak/>
        <w:t>has</w:t>
      </w:r>
      <w:r>
        <w:rPr>
          <w:sz w:val="26"/>
          <w:szCs w:val="26"/>
        </w:rPr>
        <w:t xml:space="preserve"> competitive accounts that are not currently eligible for the application of a rider such as </w:t>
      </w:r>
      <w:r w:rsidR="0004217D">
        <w:rPr>
          <w:sz w:val="26"/>
          <w:szCs w:val="26"/>
        </w:rPr>
        <w:t xml:space="preserve">the </w:t>
      </w:r>
      <w:r>
        <w:rPr>
          <w:sz w:val="26"/>
          <w:szCs w:val="26"/>
        </w:rPr>
        <w:t>DSIC.”</w:t>
      </w:r>
    </w:p>
    <w:p w:rsidR="00B76080" w:rsidRPr="00062E21" w:rsidRDefault="00B76080" w:rsidP="00B76080">
      <w:pPr>
        <w:widowControl/>
        <w:spacing w:line="360" w:lineRule="auto"/>
        <w:ind w:firstLine="1440"/>
        <w:rPr>
          <w:sz w:val="26"/>
          <w:szCs w:val="26"/>
        </w:rPr>
      </w:pPr>
    </w:p>
    <w:p w:rsidR="00B76080" w:rsidRDefault="00B76080" w:rsidP="00B76080">
      <w:pPr>
        <w:widowControl/>
        <w:spacing w:line="360" w:lineRule="auto"/>
        <w:rPr>
          <w:b/>
          <w:sz w:val="26"/>
          <w:szCs w:val="26"/>
        </w:rPr>
      </w:pPr>
      <w:r w:rsidRPr="00062E21">
        <w:rPr>
          <w:b/>
          <w:sz w:val="26"/>
          <w:szCs w:val="26"/>
        </w:rPr>
        <w:t>Comments</w:t>
      </w:r>
    </w:p>
    <w:p w:rsidR="00984B1B" w:rsidRDefault="00984B1B" w:rsidP="00B76080">
      <w:pPr>
        <w:widowControl/>
        <w:spacing w:line="360" w:lineRule="auto"/>
        <w:rPr>
          <w:b/>
          <w:sz w:val="26"/>
          <w:szCs w:val="26"/>
        </w:rPr>
      </w:pPr>
    </w:p>
    <w:p w:rsidR="00B76080" w:rsidRDefault="00984B1B" w:rsidP="00433597">
      <w:pPr>
        <w:widowControl/>
        <w:spacing w:line="360" w:lineRule="auto"/>
        <w:rPr>
          <w:sz w:val="26"/>
          <w:szCs w:val="26"/>
        </w:rPr>
      </w:pPr>
      <w:r>
        <w:rPr>
          <w:b/>
          <w:sz w:val="26"/>
          <w:szCs w:val="26"/>
        </w:rPr>
        <w:tab/>
      </w:r>
      <w:r>
        <w:rPr>
          <w:b/>
          <w:sz w:val="26"/>
          <w:szCs w:val="26"/>
        </w:rPr>
        <w:tab/>
      </w:r>
      <w:r>
        <w:rPr>
          <w:sz w:val="26"/>
          <w:szCs w:val="26"/>
        </w:rPr>
        <w:t xml:space="preserve">OCA agrees that if a customer already receives a discount or has a negotiated rate, </w:t>
      </w:r>
      <w:r w:rsidR="0014165C">
        <w:rPr>
          <w:sz w:val="26"/>
          <w:szCs w:val="26"/>
        </w:rPr>
        <w:t>UGI-CPG</w:t>
      </w:r>
      <w:r>
        <w:rPr>
          <w:sz w:val="26"/>
          <w:szCs w:val="26"/>
        </w:rPr>
        <w:t xml:space="preserve"> may reduce or eliminate the DSIC if it deems necessary to do so.  However, if a customer does not receive a discount or is not paying a negotiated rate because the customer has not demonstrated that they have qualifying competitive alternatives, then </w:t>
      </w:r>
      <w:r w:rsidR="0014165C">
        <w:rPr>
          <w:sz w:val="26"/>
          <w:szCs w:val="26"/>
        </w:rPr>
        <w:t>UGI-CPG</w:t>
      </w:r>
      <w:r>
        <w:rPr>
          <w:sz w:val="26"/>
          <w:szCs w:val="26"/>
        </w:rPr>
        <w:t xml:space="preserve"> should not waive or reduce the DSIC for that customer.  </w:t>
      </w:r>
      <w:r w:rsidR="00344FF7">
        <w:rPr>
          <w:sz w:val="26"/>
          <w:szCs w:val="26"/>
        </w:rPr>
        <w:t>OCA submits that this limitation on when a customer qualifies for discount or elimination of the DSIC is consistent with the intent of the Commission’s</w:t>
      </w:r>
      <w:r w:rsidR="00433597">
        <w:rPr>
          <w:sz w:val="26"/>
          <w:szCs w:val="26"/>
        </w:rPr>
        <w:t xml:space="preserve"> </w:t>
      </w:r>
      <w:r w:rsidR="00344FF7">
        <w:rPr>
          <w:sz w:val="26"/>
          <w:szCs w:val="26"/>
        </w:rPr>
        <w:t>Final Implementation Order in allowing for a narrow exemption to the requirement</w:t>
      </w:r>
      <w:r w:rsidR="00433597">
        <w:rPr>
          <w:sz w:val="26"/>
          <w:szCs w:val="26"/>
        </w:rPr>
        <w:t>s</w:t>
      </w:r>
      <w:r w:rsidR="00344FF7">
        <w:rPr>
          <w:sz w:val="26"/>
          <w:szCs w:val="26"/>
        </w:rPr>
        <w:t xml:space="preserve"> of Section 1358</w:t>
      </w:r>
      <w:r w:rsidR="00433597">
        <w:rPr>
          <w:sz w:val="26"/>
          <w:szCs w:val="26"/>
        </w:rPr>
        <w:t>.</w:t>
      </w:r>
      <w:r w:rsidR="00B76080">
        <w:rPr>
          <w:sz w:val="26"/>
          <w:szCs w:val="26"/>
        </w:rPr>
        <w:t xml:space="preserve">  </w:t>
      </w:r>
      <w:r w:rsidR="00433597">
        <w:rPr>
          <w:sz w:val="26"/>
          <w:szCs w:val="26"/>
        </w:rPr>
        <w:t>Accordingly, OCA suggests th</w:t>
      </w:r>
      <w:r w:rsidR="00AE1913">
        <w:rPr>
          <w:sz w:val="26"/>
          <w:szCs w:val="26"/>
        </w:rPr>
        <w:t xml:space="preserve">at the language in the </w:t>
      </w:r>
      <w:r w:rsidR="008C6A91">
        <w:rPr>
          <w:sz w:val="26"/>
          <w:szCs w:val="26"/>
        </w:rPr>
        <w:t>Proposed Tariff</w:t>
      </w:r>
      <w:r w:rsidR="00433597">
        <w:rPr>
          <w:sz w:val="26"/>
          <w:szCs w:val="26"/>
        </w:rPr>
        <w:t xml:space="preserve"> should be revised as follows:</w:t>
      </w:r>
    </w:p>
    <w:p w:rsidR="00433597" w:rsidRDefault="00433597" w:rsidP="00433597">
      <w:pPr>
        <w:widowControl/>
        <w:spacing w:line="360" w:lineRule="auto"/>
        <w:rPr>
          <w:sz w:val="26"/>
          <w:szCs w:val="26"/>
        </w:rPr>
      </w:pPr>
    </w:p>
    <w:p w:rsidR="00B76080" w:rsidRPr="00062E21" w:rsidRDefault="00433597" w:rsidP="00AE1913">
      <w:pPr>
        <w:widowControl/>
        <w:spacing w:line="360" w:lineRule="auto"/>
        <w:ind w:left="1440" w:right="720"/>
        <w:rPr>
          <w:sz w:val="26"/>
          <w:szCs w:val="26"/>
        </w:rPr>
      </w:pPr>
      <w:r>
        <w:rPr>
          <w:sz w:val="26"/>
          <w:szCs w:val="26"/>
        </w:rPr>
        <w:t xml:space="preserve">“The DSIC shall be applied equally to all customer classes, except that the Company may reduce or eliminate the Rider DSIC to any customer with competitive alternatives </w:t>
      </w:r>
      <w:r w:rsidRPr="00433597">
        <w:rPr>
          <w:i/>
          <w:sz w:val="26"/>
          <w:szCs w:val="26"/>
        </w:rPr>
        <w:t>who is paying</w:t>
      </w:r>
      <w:r>
        <w:rPr>
          <w:sz w:val="26"/>
          <w:szCs w:val="26"/>
        </w:rPr>
        <w:t xml:space="preserve"> flexed, discounted or negotiated rates, </w:t>
      </w:r>
      <w:r w:rsidRPr="00433597">
        <w:rPr>
          <w:i/>
          <w:sz w:val="26"/>
          <w:szCs w:val="26"/>
        </w:rPr>
        <w:t>if it is reasonably necessary to do so</w:t>
      </w:r>
      <w:r>
        <w:rPr>
          <w:sz w:val="26"/>
          <w:szCs w:val="26"/>
        </w:rPr>
        <w:t>.” (Emphasis added for new language.)</w:t>
      </w:r>
    </w:p>
    <w:p w:rsidR="00F4616F" w:rsidRDefault="00F4616F" w:rsidP="00B76080">
      <w:pPr>
        <w:widowControl/>
        <w:spacing w:line="360" w:lineRule="auto"/>
        <w:rPr>
          <w:b/>
          <w:sz w:val="26"/>
          <w:szCs w:val="26"/>
        </w:rPr>
      </w:pPr>
    </w:p>
    <w:p w:rsidR="00B76080" w:rsidRDefault="00B76080" w:rsidP="00B76080">
      <w:pPr>
        <w:widowControl/>
        <w:spacing w:line="360" w:lineRule="auto"/>
        <w:rPr>
          <w:b/>
          <w:sz w:val="26"/>
          <w:szCs w:val="26"/>
        </w:rPr>
      </w:pPr>
      <w:r w:rsidRPr="00062E21">
        <w:rPr>
          <w:b/>
          <w:sz w:val="26"/>
          <w:szCs w:val="26"/>
        </w:rPr>
        <w:t>Resolution</w:t>
      </w:r>
    </w:p>
    <w:p w:rsidR="00090F75" w:rsidRDefault="00090F75" w:rsidP="00B76080">
      <w:pPr>
        <w:widowControl/>
        <w:spacing w:line="360" w:lineRule="auto"/>
        <w:rPr>
          <w:b/>
          <w:sz w:val="26"/>
          <w:szCs w:val="26"/>
        </w:rPr>
      </w:pPr>
    </w:p>
    <w:p w:rsidR="00090F75" w:rsidRPr="00090F75" w:rsidRDefault="00090F75" w:rsidP="00B76080">
      <w:pPr>
        <w:widowControl/>
        <w:spacing w:line="360" w:lineRule="auto"/>
        <w:rPr>
          <w:sz w:val="26"/>
          <w:szCs w:val="26"/>
        </w:rPr>
      </w:pPr>
      <w:r>
        <w:rPr>
          <w:b/>
          <w:sz w:val="26"/>
          <w:szCs w:val="26"/>
        </w:rPr>
        <w:tab/>
      </w:r>
      <w:r>
        <w:rPr>
          <w:b/>
          <w:sz w:val="26"/>
          <w:szCs w:val="26"/>
        </w:rPr>
        <w:tab/>
      </w:r>
      <w:r w:rsidR="0014165C">
        <w:rPr>
          <w:sz w:val="26"/>
          <w:szCs w:val="26"/>
        </w:rPr>
        <w:t>UGI-CPG</w:t>
      </w:r>
      <w:r w:rsidRPr="00090F75">
        <w:rPr>
          <w:sz w:val="26"/>
          <w:szCs w:val="26"/>
        </w:rPr>
        <w:t xml:space="preserve"> </w:t>
      </w:r>
      <w:r w:rsidR="001D3745" w:rsidRPr="00090F75">
        <w:rPr>
          <w:sz w:val="26"/>
          <w:szCs w:val="26"/>
        </w:rPr>
        <w:t>disagrees</w:t>
      </w:r>
      <w:r w:rsidRPr="00090F75">
        <w:rPr>
          <w:sz w:val="26"/>
          <w:szCs w:val="26"/>
        </w:rPr>
        <w:t xml:space="preserve"> with OCA’s notion</w:t>
      </w:r>
      <w:r>
        <w:rPr>
          <w:sz w:val="26"/>
          <w:szCs w:val="26"/>
        </w:rPr>
        <w:t xml:space="preserve"> that the Company’s </w:t>
      </w:r>
      <w:r w:rsidR="00AE1913">
        <w:rPr>
          <w:sz w:val="26"/>
          <w:szCs w:val="26"/>
        </w:rPr>
        <w:t>P</w:t>
      </w:r>
      <w:r>
        <w:rPr>
          <w:sz w:val="26"/>
          <w:szCs w:val="26"/>
        </w:rPr>
        <w:t xml:space="preserve">roposed </w:t>
      </w:r>
      <w:r w:rsidR="00AE1913">
        <w:rPr>
          <w:sz w:val="26"/>
          <w:szCs w:val="26"/>
        </w:rPr>
        <w:t>T</w:t>
      </w:r>
      <w:r>
        <w:rPr>
          <w:sz w:val="26"/>
          <w:szCs w:val="26"/>
        </w:rPr>
        <w:t xml:space="preserve">ariff language, as it relates to the treatment of customers with competitive alternatives, is inappropriate.  </w:t>
      </w:r>
      <w:r w:rsidR="0014165C">
        <w:rPr>
          <w:sz w:val="26"/>
          <w:szCs w:val="26"/>
        </w:rPr>
        <w:t>UGI-CPG</w:t>
      </w:r>
      <w:r>
        <w:rPr>
          <w:sz w:val="26"/>
          <w:szCs w:val="26"/>
        </w:rPr>
        <w:t xml:space="preserve"> insists that it will attempt to negotiate renewal provisions </w:t>
      </w:r>
      <w:r w:rsidR="001D3745">
        <w:rPr>
          <w:sz w:val="26"/>
          <w:szCs w:val="26"/>
        </w:rPr>
        <w:t xml:space="preserve">in order to make the DSIC apply to competitive customers when possible, but concedes that in some instances that will not be possible due to the highly competitive nature of some </w:t>
      </w:r>
      <w:r w:rsidR="001D3745">
        <w:rPr>
          <w:sz w:val="26"/>
          <w:szCs w:val="26"/>
        </w:rPr>
        <w:lastRenderedPageBreak/>
        <w:t>customer circumstances.</w:t>
      </w:r>
      <w:r w:rsidR="00352D08">
        <w:rPr>
          <w:sz w:val="26"/>
          <w:szCs w:val="26"/>
        </w:rPr>
        <w:t xml:space="preserve"> </w:t>
      </w:r>
      <w:r w:rsidR="00AE1913">
        <w:rPr>
          <w:sz w:val="26"/>
          <w:szCs w:val="26"/>
        </w:rPr>
        <w:t xml:space="preserve"> There is nothing in </w:t>
      </w:r>
      <w:r w:rsidR="0014165C">
        <w:rPr>
          <w:sz w:val="26"/>
          <w:szCs w:val="26"/>
        </w:rPr>
        <w:t>UGI-CPG</w:t>
      </w:r>
      <w:r w:rsidR="00AE1913">
        <w:rPr>
          <w:sz w:val="26"/>
          <w:szCs w:val="26"/>
        </w:rPr>
        <w:t>’s Proposed T</w:t>
      </w:r>
      <w:r w:rsidR="00352D08">
        <w:rPr>
          <w:sz w:val="26"/>
          <w:szCs w:val="26"/>
        </w:rPr>
        <w:t xml:space="preserve">ariff language that would lead OCA to conclude that the DSIC will be applied inappropriately, </w:t>
      </w:r>
      <w:r w:rsidR="0014165C">
        <w:rPr>
          <w:sz w:val="26"/>
          <w:szCs w:val="26"/>
        </w:rPr>
        <w:t>UGI-CPG</w:t>
      </w:r>
      <w:r w:rsidR="00352D08">
        <w:rPr>
          <w:sz w:val="26"/>
          <w:szCs w:val="26"/>
        </w:rPr>
        <w:t xml:space="preserve"> avers.</w:t>
      </w:r>
    </w:p>
    <w:p w:rsidR="00B76080" w:rsidRPr="00062E21" w:rsidRDefault="00B76080" w:rsidP="00B76080">
      <w:pPr>
        <w:widowControl/>
        <w:spacing w:line="360" w:lineRule="auto"/>
        <w:rPr>
          <w:sz w:val="26"/>
          <w:szCs w:val="26"/>
        </w:rPr>
      </w:pPr>
    </w:p>
    <w:p w:rsidR="00D26C94" w:rsidRDefault="00D26C94" w:rsidP="00D26C94">
      <w:pPr>
        <w:widowControl/>
        <w:spacing w:line="360" w:lineRule="auto"/>
        <w:rPr>
          <w:sz w:val="26"/>
          <w:szCs w:val="26"/>
        </w:rPr>
      </w:pPr>
      <w:r>
        <w:rPr>
          <w:sz w:val="26"/>
          <w:szCs w:val="26"/>
        </w:rPr>
        <w:tab/>
      </w:r>
      <w:r>
        <w:rPr>
          <w:sz w:val="26"/>
          <w:szCs w:val="26"/>
        </w:rPr>
        <w:tab/>
      </w:r>
      <w:r w:rsidRPr="000E169A">
        <w:rPr>
          <w:sz w:val="26"/>
          <w:szCs w:val="26"/>
        </w:rPr>
        <w:t>T</w:t>
      </w:r>
      <w:r w:rsidRPr="000E169A">
        <w:rPr>
          <w:color w:val="0D0D0D" w:themeColor="text1" w:themeTint="F2"/>
          <w:sz w:val="26"/>
          <w:szCs w:val="26"/>
        </w:rPr>
        <w:t xml:space="preserve">he Commission notes that it has previously addressed this same issue in its </w:t>
      </w:r>
      <w:r w:rsidRPr="000E169A">
        <w:rPr>
          <w:i/>
          <w:color w:val="0D0D0D" w:themeColor="text1" w:themeTint="F2"/>
          <w:sz w:val="26"/>
          <w:szCs w:val="26"/>
        </w:rPr>
        <w:t>May 22</w:t>
      </w:r>
      <w:r w:rsidRPr="000E169A">
        <w:rPr>
          <w:i/>
          <w:color w:val="0D0D0D" w:themeColor="text1" w:themeTint="F2"/>
          <w:sz w:val="26"/>
          <w:szCs w:val="26"/>
          <w:vertAlign w:val="superscript"/>
        </w:rPr>
        <w:t>nd</w:t>
      </w:r>
      <w:r w:rsidRPr="000E169A">
        <w:rPr>
          <w:i/>
          <w:color w:val="0D0D0D" w:themeColor="text1" w:themeTint="F2"/>
          <w:sz w:val="26"/>
          <w:szCs w:val="26"/>
        </w:rPr>
        <w:t xml:space="preserve"> Order</w:t>
      </w:r>
      <w:r w:rsidRPr="000E169A">
        <w:rPr>
          <w:sz w:val="26"/>
          <w:szCs w:val="26"/>
        </w:rPr>
        <w:t xml:space="preserve">.  Therefore, for consistency’s sake, we make a likewise determination </w:t>
      </w:r>
      <w:r>
        <w:rPr>
          <w:sz w:val="26"/>
          <w:szCs w:val="26"/>
        </w:rPr>
        <w:t>and agree with OCA’s assertion that UGI-CP</w:t>
      </w:r>
      <w:r w:rsidRPr="000E169A">
        <w:rPr>
          <w:sz w:val="26"/>
          <w:szCs w:val="26"/>
        </w:rPr>
        <w:t xml:space="preserve">G’s Proposed Tariff </w:t>
      </w:r>
      <w:r>
        <w:rPr>
          <w:sz w:val="26"/>
          <w:szCs w:val="26"/>
        </w:rPr>
        <w:t>language should be modified.</w:t>
      </w:r>
      <w:r w:rsidRPr="000E169A">
        <w:rPr>
          <w:sz w:val="26"/>
          <w:szCs w:val="26"/>
        </w:rPr>
        <w:t xml:space="preserve">  </w:t>
      </w:r>
      <w:r>
        <w:rPr>
          <w:sz w:val="26"/>
          <w:szCs w:val="26"/>
        </w:rPr>
        <w:t>The language will</w:t>
      </w:r>
      <w:r w:rsidRPr="000E169A">
        <w:rPr>
          <w:sz w:val="26"/>
          <w:szCs w:val="26"/>
        </w:rPr>
        <w:t xml:space="preserve"> </w:t>
      </w:r>
      <w:r>
        <w:rPr>
          <w:sz w:val="26"/>
          <w:szCs w:val="26"/>
        </w:rPr>
        <w:t>allow for the exclusion of</w:t>
      </w:r>
      <w:r w:rsidRPr="000E169A">
        <w:rPr>
          <w:sz w:val="26"/>
          <w:szCs w:val="26"/>
        </w:rPr>
        <w:t xml:space="preserve"> those customers with competitive alternatives </w:t>
      </w:r>
      <w:r>
        <w:rPr>
          <w:sz w:val="26"/>
          <w:szCs w:val="26"/>
        </w:rPr>
        <w:t xml:space="preserve">or negotiated contracts, </w:t>
      </w:r>
      <w:r w:rsidRPr="000E169A">
        <w:rPr>
          <w:sz w:val="26"/>
          <w:szCs w:val="26"/>
        </w:rPr>
        <w:t>consistent with the Final Implementation Order</w:t>
      </w:r>
      <w:r>
        <w:rPr>
          <w:sz w:val="26"/>
          <w:szCs w:val="26"/>
        </w:rPr>
        <w:t xml:space="preserve"> and </w:t>
      </w:r>
      <w:r w:rsidRPr="00E67999">
        <w:rPr>
          <w:sz w:val="26"/>
          <w:szCs w:val="26"/>
        </w:rPr>
        <w:t>the customer safeguards required by 66 Pa. C.S. § 1358</w:t>
      </w:r>
      <w:r w:rsidRPr="000E169A">
        <w:rPr>
          <w:sz w:val="26"/>
          <w:szCs w:val="26"/>
        </w:rPr>
        <w:t xml:space="preserve">.  However, prior to such a change going into effect, the Commission must review any future tariff change that would exclude and/or include any customer class.  </w:t>
      </w:r>
      <w:r>
        <w:rPr>
          <w:sz w:val="26"/>
          <w:szCs w:val="26"/>
        </w:rPr>
        <w:t>To recap, we determine, as previously concluded</w:t>
      </w:r>
      <w:r w:rsidRPr="000E169A">
        <w:rPr>
          <w:sz w:val="26"/>
          <w:szCs w:val="26"/>
        </w:rPr>
        <w:t xml:space="preserve"> in the </w:t>
      </w:r>
      <w:r w:rsidRPr="000E169A">
        <w:rPr>
          <w:i/>
          <w:sz w:val="26"/>
          <w:szCs w:val="26"/>
        </w:rPr>
        <w:t>May 22</w:t>
      </w:r>
      <w:r w:rsidRPr="000E169A">
        <w:rPr>
          <w:i/>
          <w:sz w:val="26"/>
          <w:szCs w:val="26"/>
          <w:vertAlign w:val="superscript"/>
        </w:rPr>
        <w:t>nd</w:t>
      </w:r>
      <w:r w:rsidRPr="000E169A">
        <w:rPr>
          <w:i/>
          <w:sz w:val="26"/>
          <w:szCs w:val="26"/>
        </w:rPr>
        <w:t xml:space="preserve"> Order</w:t>
      </w:r>
      <w:r w:rsidRPr="000E169A">
        <w:rPr>
          <w:sz w:val="26"/>
          <w:szCs w:val="26"/>
        </w:rPr>
        <w:t xml:space="preserve"> on this issue, that </w:t>
      </w:r>
      <w:r>
        <w:rPr>
          <w:sz w:val="26"/>
          <w:szCs w:val="26"/>
        </w:rPr>
        <w:t>UGI-CP</w:t>
      </w:r>
      <w:r w:rsidRPr="000E169A">
        <w:rPr>
          <w:sz w:val="26"/>
          <w:szCs w:val="26"/>
        </w:rPr>
        <w:t xml:space="preserve">G’s </w:t>
      </w:r>
      <w:r>
        <w:rPr>
          <w:sz w:val="26"/>
          <w:szCs w:val="26"/>
        </w:rPr>
        <w:t xml:space="preserve">tariff </w:t>
      </w:r>
      <w:r w:rsidRPr="000E169A">
        <w:rPr>
          <w:sz w:val="26"/>
          <w:szCs w:val="26"/>
        </w:rPr>
        <w:t>lang</w:t>
      </w:r>
      <w:r>
        <w:rPr>
          <w:sz w:val="26"/>
          <w:szCs w:val="26"/>
        </w:rPr>
        <w:t xml:space="preserve">uage as it relates to DSIC application to </w:t>
      </w:r>
      <w:r w:rsidRPr="000E169A">
        <w:rPr>
          <w:sz w:val="26"/>
          <w:szCs w:val="26"/>
        </w:rPr>
        <w:t>customers with competitive alternatives or nego</w:t>
      </w:r>
      <w:r>
        <w:rPr>
          <w:sz w:val="26"/>
          <w:szCs w:val="26"/>
        </w:rPr>
        <w:t>tiated contracts shall provide as follows:</w:t>
      </w:r>
    </w:p>
    <w:p w:rsidR="00D26C94" w:rsidRDefault="00D26C94" w:rsidP="00D26C94">
      <w:pPr>
        <w:widowControl/>
        <w:spacing w:line="360" w:lineRule="auto"/>
        <w:rPr>
          <w:sz w:val="26"/>
          <w:szCs w:val="26"/>
        </w:rPr>
      </w:pPr>
    </w:p>
    <w:p w:rsidR="00B76080" w:rsidRDefault="00D26C94" w:rsidP="00D26C94">
      <w:pPr>
        <w:widowControl/>
        <w:spacing w:line="360" w:lineRule="auto"/>
        <w:ind w:left="1440" w:right="720"/>
        <w:rPr>
          <w:sz w:val="26"/>
          <w:szCs w:val="26"/>
        </w:rPr>
      </w:pPr>
      <w:r w:rsidRPr="00BD630E">
        <w:rPr>
          <w:sz w:val="26"/>
        </w:rPr>
        <w:t xml:space="preserve">The DSIC shall be applied equally to all customer classes, except that the Company may reduce or eliminate the Rider DSIC to any customer with competitive alternatives </w:t>
      </w:r>
      <w:r w:rsidRPr="00613175">
        <w:rPr>
          <w:sz w:val="26"/>
        </w:rPr>
        <w:t>who are paying flexed or discounted rates and customers having negotiated contracts with the Company, if it is reasonably</w:t>
      </w:r>
      <w:r w:rsidRPr="00BD630E">
        <w:rPr>
          <w:sz w:val="26"/>
        </w:rPr>
        <w:t xml:space="preserve"> necessary to do so.</w:t>
      </w:r>
    </w:p>
    <w:p w:rsidR="00B76080" w:rsidRPr="00062E21" w:rsidRDefault="00B76080" w:rsidP="00B76080">
      <w:pPr>
        <w:widowControl/>
        <w:spacing w:line="360" w:lineRule="auto"/>
        <w:rPr>
          <w:sz w:val="26"/>
          <w:szCs w:val="26"/>
        </w:rPr>
      </w:pPr>
    </w:p>
    <w:p w:rsidR="00B76080" w:rsidRPr="00013204" w:rsidRDefault="00B76080" w:rsidP="00B76080">
      <w:pPr>
        <w:keepNext/>
        <w:widowControl/>
        <w:spacing w:line="360" w:lineRule="auto"/>
        <w:rPr>
          <w:b/>
          <w:sz w:val="26"/>
          <w:szCs w:val="26"/>
        </w:rPr>
      </w:pPr>
      <w:r>
        <w:rPr>
          <w:b/>
          <w:sz w:val="26"/>
          <w:szCs w:val="26"/>
        </w:rPr>
        <w:tab/>
      </w:r>
      <w:r w:rsidRPr="00013204">
        <w:rPr>
          <w:b/>
          <w:sz w:val="26"/>
          <w:szCs w:val="26"/>
        </w:rPr>
        <w:t>(2) Public Interest Considerations</w:t>
      </w:r>
    </w:p>
    <w:p w:rsidR="00B76080" w:rsidRDefault="00B76080" w:rsidP="00B76080">
      <w:pPr>
        <w:keepNext/>
        <w:widowControl/>
        <w:spacing w:line="360" w:lineRule="auto"/>
        <w:rPr>
          <w:sz w:val="26"/>
          <w:szCs w:val="26"/>
        </w:rPr>
      </w:pPr>
    </w:p>
    <w:p w:rsidR="00B76080" w:rsidRDefault="0014165C" w:rsidP="00B76080">
      <w:pPr>
        <w:keepNext/>
        <w:widowControl/>
        <w:spacing w:line="360" w:lineRule="auto"/>
        <w:rPr>
          <w:b/>
          <w:sz w:val="26"/>
          <w:szCs w:val="26"/>
        </w:rPr>
      </w:pPr>
      <w:r>
        <w:rPr>
          <w:b/>
          <w:sz w:val="26"/>
          <w:szCs w:val="26"/>
        </w:rPr>
        <w:t>UGI-CPG</w:t>
      </w:r>
      <w:r w:rsidR="00433597">
        <w:rPr>
          <w:b/>
          <w:sz w:val="26"/>
          <w:szCs w:val="26"/>
        </w:rPr>
        <w:t>’s</w:t>
      </w:r>
      <w:r w:rsidR="00B76080">
        <w:rPr>
          <w:b/>
          <w:sz w:val="26"/>
          <w:szCs w:val="26"/>
        </w:rPr>
        <w:t xml:space="preserve"> Petition</w:t>
      </w:r>
    </w:p>
    <w:p w:rsidR="00B76080" w:rsidRPr="00062E21" w:rsidRDefault="00B76080" w:rsidP="00B76080">
      <w:pPr>
        <w:keepNext/>
        <w:widowControl/>
        <w:spacing w:line="360" w:lineRule="auto"/>
        <w:rPr>
          <w:sz w:val="26"/>
          <w:szCs w:val="26"/>
        </w:rPr>
      </w:pPr>
    </w:p>
    <w:p w:rsidR="00D322E1" w:rsidRPr="00062E21" w:rsidRDefault="00B76080" w:rsidP="00B76080">
      <w:pPr>
        <w:widowControl/>
        <w:spacing w:line="360" w:lineRule="auto"/>
        <w:ind w:firstLine="1440"/>
        <w:rPr>
          <w:bCs/>
          <w:sz w:val="26"/>
          <w:szCs w:val="26"/>
        </w:rPr>
      </w:pPr>
      <w:r w:rsidRPr="00062E21">
        <w:rPr>
          <w:sz w:val="26"/>
          <w:szCs w:val="26"/>
        </w:rPr>
        <w:t>According to the Company, implementing t</w:t>
      </w:r>
      <w:r w:rsidR="00AE1913">
        <w:rPr>
          <w:sz w:val="26"/>
          <w:szCs w:val="26"/>
        </w:rPr>
        <w:t xml:space="preserve">he proposed DSIC and allowing the </w:t>
      </w:r>
      <w:r w:rsidR="008C6A91">
        <w:rPr>
          <w:sz w:val="26"/>
          <w:szCs w:val="26"/>
        </w:rPr>
        <w:t>Proposed Tariff</w:t>
      </w:r>
      <w:r w:rsidRPr="00062E21">
        <w:rPr>
          <w:sz w:val="26"/>
          <w:szCs w:val="26"/>
        </w:rPr>
        <w:t xml:space="preserve"> to go into effect is in the public interest because the DSIC will ensure </w:t>
      </w:r>
      <w:r w:rsidRPr="00062E21">
        <w:rPr>
          <w:sz w:val="26"/>
          <w:szCs w:val="26"/>
        </w:rPr>
        <w:lastRenderedPageBreak/>
        <w:t xml:space="preserve">that customers continue to receive safe and reliable service in the future as required by Section 1501, 66 Pa. C.S. </w:t>
      </w:r>
      <w:r w:rsidR="00D322E1">
        <w:rPr>
          <w:bCs/>
          <w:sz w:val="26"/>
          <w:szCs w:val="26"/>
        </w:rPr>
        <w:t>§ 1501.</w:t>
      </w:r>
    </w:p>
    <w:p w:rsidR="00B76080" w:rsidRPr="00062E21" w:rsidRDefault="00B76080" w:rsidP="00B76080">
      <w:pPr>
        <w:widowControl/>
        <w:spacing w:line="360" w:lineRule="auto"/>
        <w:ind w:firstLine="1440"/>
        <w:rPr>
          <w:bCs/>
          <w:sz w:val="26"/>
          <w:szCs w:val="26"/>
        </w:rPr>
      </w:pPr>
    </w:p>
    <w:p w:rsidR="00B76080" w:rsidRPr="008702DA" w:rsidRDefault="00B76080" w:rsidP="00B76080">
      <w:pPr>
        <w:widowControl/>
        <w:spacing w:line="360" w:lineRule="auto"/>
        <w:ind w:firstLine="1440"/>
        <w:rPr>
          <w:bCs/>
          <w:sz w:val="26"/>
          <w:szCs w:val="26"/>
        </w:rPr>
      </w:pPr>
      <w:r w:rsidRPr="008702DA">
        <w:rPr>
          <w:bCs/>
          <w:sz w:val="26"/>
          <w:szCs w:val="26"/>
        </w:rPr>
        <w:t xml:space="preserve">In </w:t>
      </w:r>
      <w:r w:rsidR="008702DA">
        <w:rPr>
          <w:bCs/>
          <w:sz w:val="26"/>
          <w:szCs w:val="26"/>
        </w:rPr>
        <w:t>light of its aging mains</w:t>
      </w:r>
      <w:r w:rsidRPr="008702DA">
        <w:rPr>
          <w:bCs/>
          <w:sz w:val="26"/>
          <w:szCs w:val="26"/>
        </w:rPr>
        <w:t xml:space="preserve">, </w:t>
      </w:r>
      <w:r w:rsidR="0014165C">
        <w:rPr>
          <w:bCs/>
          <w:sz w:val="26"/>
          <w:szCs w:val="26"/>
        </w:rPr>
        <w:t>UGI-CPG</w:t>
      </w:r>
      <w:r w:rsidRPr="008702DA">
        <w:rPr>
          <w:bCs/>
          <w:sz w:val="26"/>
          <w:szCs w:val="26"/>
        </w:rPr>
        <w:t xml:space="preserve"> </w:t>
      </w:r>
      <w:r w:rsidR="008702DA">
        <w:rPr>
          <w:bCs/>
          <w:sz w:val="26"/>
          <w:szCs w:val="26"/>
        </w:rPr>
        <w:t xml:space="preserve">has </w:t>
      </w:r>
      <w:r w:rsidRPr="008702DA">
        <w:rPr>
          <w:bCs/>
          <w:sz w:val="26"/>
          <w:szCs w:val="26"/>
        </w:rPr>
        <w:t xml:space="preserve">implemented </w:t>
      </w:r>
      <w:r w:rsidR="008702DA">
        <w:rPr>
          <w:bCs/>
          <w:sz w:val="26"/>
          <w:szCs w:val="26"/>
        </w:rPr>
        <w:t xml:space="preserve">an accelerated distribution infrastructure replacement program </w:t>
      </w:r>
      <w:r w:rsidRPr="008702DA">
        <w:rPr>
          <w:bCs/>
          <w:sz w:val="26"/>
          <w:szCs w:val="26"/>
        </w:rPr>
        <w:t xml:space="preserve">to target the removal and replacement of </w:t>
      </w:r>
      <w:r w:rsidR="00A270FC" w:rsidRPr="008702DA">
        <w:rPr>
          <w:bCs/>
          <w:sz w:val="26"/>
          <w:szCs w:val="26"/>
        </w:rPr>
        <w:t xml:space="preserve">all cast iron, </w:t>
      </w:r>
      <w:r w:rsidR="00BE7B3A">
        <w:rPr>
          <w:bCs/>
          <w:sz w:val="26"/>
          <w:szCs w:val="26"/>
        </w:rPr>
        <w:t>wrought iron, and b</w:t>
      </w:r>
      <w:r w:rsidRPr="008702DA">
        <w:rPr>
          <w:bCs/>
          <w:sz w:val="26"/>
          <w:szCs w:val="26"/>
        </w:rPr>
        <w:t xml:space="preserve">are steel pipeline, </w:t>
      </w:r>
      <w:r w:rsidR="00BE7B3A">
        <w:rPr>
          <w:bCs/>
          <w:sz w:val="26"/>
          <w:szCs w:val="26"/>
        </w:rPr>
        <w:t>along with</w:t>
      </w:r>
      <w:r w:rsidRPr="008702DA">
        <w:rPr>
          <w:bCs/>
          <w:sz w:val="26"/>
          <w:szCs w:val="26"/>
        </w:rPr>
        <w:t xml:space="preserve"> the </w:t>
      </w:r>
      <w:r w:rsidR="00BE7B3A">
        <w:rPr>
          <w:bCs/>
          <w:sz w:val="26"/>
          <w:szCs w:val="26"/>
        </w:rPr>
        <w:t>gas service lines</w:t>
      </w:r>
      <w:r w:rsidRPr="008702DA">
        <w:rPr>
          <w:bCs/>
          <w:sz w:val="26"/>
          <w:szCs w:val="26"/>
        </w:rPr>
        <w:t xml:space="preserve"> associated wi</w:t>
      </w:r>
      <w:r w:rsidR="00BE7B3A">
        <w:rPr>
          <w:bCs/>
          <w:sz w:val="26"/>
          <w:szCs w:val="26"/>
        </w:rPr>
        <w:t>th these types of pipe.  Over 30</w:t>
      </w:r>
      <w:r w:rsidRPr="008702DA">
        <w:rPr>
          <w:bCs/>
          <w:sz w:val="26"/>
          <w:szCs w:val="26"/>
        </w:rPr>
        <w:t xml:space="preserve">% of </w:t>
      </w:r>
      <w:r w:rsidR="0014165C">
        <w:rPr>
          <w:bCs/>
          <w:sz w:val="26"/>
          <w:szCs w:val="26"/>
        </w:rPr>
        <w:t>UGI-CPG</w:t>
      </w:r>
      <w:r w:rsidR="00BE7B3A">
        <w:rPr>
          <w:bCs/>
          <w:sz w:val="26"/>
          <w:szCs w:val="26"/>
        </w:rPr>
        <w:t>’s</w:t>
      </w:r>
      <w:r w:rsidRPr="008702DA">
        <w:rPr>
          <w:bCs/>
          <w:sz w:val="26"/>
          <w:szCs w:val="26"/>
        </w:rPr>
        <w:t xml:space="preserve"> pipeline syst</w:t>
      </w:r>
      <w:r w:rsidR="00BE7B3A">
        <w:rPr>
          <w:bCs/>
          <w:sz w:val="26"/>
          <w:szCs w:val="26"/>
        </w:rPr>
        <w:t>em was constructed prior to 1960</w:t>
      </w:r>
      <w:r w:rsidR="005055CA" w:rsidRPr="008702DA">
        <w:rPr>
          <w:bCs/>
          <w:sz w:val="26"/>
          <w:szCs w:val="26"/>
        </w:rPr>
        <w:t>,</w:t>
      </w:r>
      <w:r w:rsidRPr="008702DA">
        <w:rPr>
          <w:bCs/>
          <w:sz w:val="26"/>
          <w:szCs w:val="26"/>
        </w:rPr>
        <w:t xml:space="preserve"> and</w:t>
      </w:r>
      <w:r w:rsidR="00BE7B3A">
        <w:rPr>
          <w:bCs/>
          <w:sz w:val="26"/>
          <w:szCs w:val="26"/>
        </w:rPr>
        <w:t xml:space="preserve"> approximately</w:t>
      </w:r>
      <w:r w:rsidR="005055CA" w:rsidRPr="008702DA">
        <w:rPr>
          <w:bCs/>
          <w:sz w:val="26"/>
          <w:szCs w:val="26"/>
        </w:rPr>
        <w:t xml:space="preserve"> </w:t>
      </w:r>
      <w:r w:rsidR="007968F2">
        <w:rPr>
          <w:bCs/>
          <w:sz w:val="26"/>
          <w:szCs w:val="26"/>
        </w:rPr>
        <w:t>17</w:t>
      </w:r>
      <w:r w:rsidR="005055CA" w:rsidRPr="008702DA">
        <w:rPr>
          <w:bCs/>
          <w:sz w:val="26"/>
          <w:szCs w:val="26"/>
        </w:rPr>
        <w:t>% of the distribution</w:t>
      </w:r>
      <w:r w:rsidRPr="008702DA">
        <w:rPr>
          <w:bCs/>
          <w:sz w:val="26"/>
          <w:szCs w:val="26"/>
        </w:rPr>
        <w:t xml:space="preserve"> pipe </w:t>
      </w:r>
      <w:r w:rsidR="00BE7B3A">
        <w:rPr>
          <w:bCs/>
          <w:sz w:val="26"/>
          <w:szCs w:val="26"/>
        </w:rPr>
        <w:t xml:space="preserve">consists of </w:t>
      </w:r>
      <w:r w:rsidRPr="008702DA">
        <w:rPr>
          <w:bCs/>
          <w:sz w:val="26"/>
          <w:szCs w:val="26"/>
        </w:rPr>
        <w:t>bare steel</w:t>
      </w:r>
      <w:r w:rsidR="00BE7B3A">
        <w:rPr>
          <w:bCs/>
          <w:sz w:val="26"/>
          <w:szCs w:val="26"/>
        </w:rPr>
        <w:t xml:space="preserve"> and cast/wrought iron, which is</w:t>
      </w:r>
      <w:r w:rsidRPr="008702DA">
        <w:rPr>
          <w:bCs/>
          <w:sz w:val="26"/>
          <w:szCs w:val="26"/>
        </w:rPr>
        <w:t xml:space="preserve"> subject to </w:t>
      </w:r>
      <w:r w:rsidR="00BE7B3A">
        <w:rPr>
          <w:bCs/>
          <w:sz w:val="26"/>
          <w:szCs w:val="26"/>
        </w:rPr>
        <w:t xml:space="preserve">breakage and corrosion </w:t>
      </w:r>
      <w:r w:rsidRPr="008702DA">
        <w:rPr>
          <w:bCs/>
          <w:sz w:val="26"/>
          <w:szCs w:val="26"/>
        </w:rPr>
        <w:t xml:space="preserve">damage from exposure and age.  </w:t>
      </w:r>
      <w:r w:rsidR="005055CA" w:rsidRPr="008702DA">
        <w:rPr>
          <w:bCs/>
          <w:sz w:val="26"/>
          <w:szCs w:val="26"/>
        </w:rPr>
        <w:t xml:space="preserve">Cast iron pipe is generally recognized as the highest risk pipe within a gas utility’s system, and as such, </w:t>
      </w:r>
      <w:r w:rsidR="0014165C">
        <w:rPr>
          <w:bCs/>
          <w:sz w:val="26"/>
          <w:szCs w:val="26"/>
        </w:rPr>
        <w:t>UGI-CPG</w:t>
      </w:r>
      <w:r w:rsidR="005055CA" w:rsidRPr="008702DA">
        <w:rPr>
          <w:bCs/>
          <w:sz w:val="26"/>
          <w:szCs w:val="26"/>
        </w:rPr>
        <w:t xml:space="preserve"> </w:t>
      </w:r>
      <w:r w:rsidR="00BE7B3A">
        <w:rPr>
          <w:bCs/>
          <w:sz w:val="26"/>
          <w:szCs w:val="26"/>
        </w:rPr>
        <w:t xml:space="preserve">plans to </w:t>
      </w:r>
      <w:r w:rsidR="005055CA" w:rsidRPr="008702DA">
        <w:rPr>
          <w:bCs/>
          <w:sz w:val="26"/>
          <w:szCs w:val="26"/>
        </w:rPr>
        <w:t xml:space="preserve">remove all </w:t>
      </w:r>
      <w:r w:rsidR="00B521CD">
        <w:rPr>
          <w:bCs/>
          <w:sz w:val="26"/>
          <w:szCs w:val="26"/>
        </w:rPr>
        <w:t>of the</w:t>
      </w:r>
      <w:r w:rsidR="007968F2">
        <w:rPr>
          <w:bCs/>
          <w:sz w:val="26"/>
          <w:szCs w:val="26"/>
        </w:rPr>
        <w:t xml:space="preserve"> roughly nine</w:t>
      </w:r>
      <w:r w:rsidR="005055CA" w:rsidRPr="008702DA">
        <w:rPr>
          <w:bCs/>
          <w:sz w:val="26"/>
          <w:szCs w:val="26"/>
        </w:rPr>
        <w:t xml:space="preserve"> miles of cast iron pipeline from its system </w:t>
      </w:r>
      <w:r w:rsidR="00B521CD">
        <w:rPr>
          <w:bCs/>
          <w:sz w:val="26"/>
          <w:szCs w:val="26"/>
        </w:rPr>
        <w:t>over a 13 year period ending February of 2027</w:t>
      </w:r>
      <w:r w:rsidR="005055CA" w:rsidRPr="008702DA">
        <w:rPr>
          <w:bCs/>
          <w:sz w:val="26"/>
          <w:szCs w:val="26"/>
        </w:rPr>
        <w:t xml:space="preserve">.  </w:t>
      </w:r>
      <w:r w:rsidR="002B7474">
        <w:rPr>
          <w:bCs/>
          <w:sz w:val="26"/>
          <w:szCs w:val="26"/>
        </w:rPr>
        <w:t>Moreover</w:t>
      </w:r>
      <w:r w:rsidR="00B521CD">
        <w:rPr>
          <w:bCs/>
          <w:sz w:val="26"/>
          <w:szCs w:val="26"/>
        </w:rPr>
        <w:t xml:space="preserve">, </w:t>
      </w:r>
      <w:r w:rsidR="0014165C">
        <w:rPr>
          <w:bCs/>
          <w:sz w:val="26"/>
          <w:szCs w:val="26"/>
        </w:rPr>
        <w:t>UGI-CPG</w:t>
      </w:r>
      <w:r w:rsidR="00B521CD">
        <w:rPr>
          <w:bCs/>
          <w:sz w:val="26"/>
          <w:szCs w:val="26"/>
        </w:rPr>
        <w:t xml:space="preserve"> plans to replace</w:t>
      </w:r>
      <w:r w:rsidRPr="008702DA">
        <w:rPr>
          <w:bCs/>
          <w:sz w:val="26"/>
          <w:szCs w:val="26"/>
        </w:rPr>
        <w:t xml:space="preserve"> all </w:t>
      </w:r>
      <w:r w:rsidR="007968F2">
        <w:rPr>
          <w:bCs/>
          <w:sz w:val="26"/>
          <w:szCs w:val="26"/>
        </w:rPr>
        <w:t>of its approximately 616</w:t>
      </w:r>
      <w:r w:rsidR="00B521CD">
        <w:rPr>
          <w:bCs/>
          <w:sz w:val="26"/>
          <w:szCs w:val="26"/>
        </w:rPr>
        <w:t xml:space="preserve"> miles of bare steel and wrought iron pipeline</w:t>
      </w:r>
      <w:r w:rsidR="00E56271">
        <w:rPr>
          <w:bCs/>
          <w:sz w:val="26"/>
          <w:szCs w:val="26"/>
        </w:rPr>
        <w:t xml:space="preserve"> by September 2041.</w:t>
      </w:r>
      <w:r w:rsidRPr="008702DA">
        <w:rPr>
          <w:sz w:val="26"/>
          <w:szCs w:val="26"/>
        </w:rPr>
        <w:t xml:space="preserve">  </w:t>
      </w:r>
      <w:r w:rsidR="00E56271">
        <w:rPr>
          <w:sz w:val="26"/>
          <w:szCs w:val="26"/>
        </w:rPr>
        <w:t xml:space="preserve">In addition to its mains, </w:t>
      </w:r>
      <w:r w:rsidR="0014165C">
        <w:rPr>
          <w:sz w:val="26"/>
          <w:szCs w:val="26"/>
        </w:rPr>
        <w:t>UGI-CPG</w:t>
      </w:r>
      <w:r w:rsidR="00E56271">
        <w:rPr>
          <w:sz w:val="26"/>
          <w:szCs w:val="26"/>
        </w:rPr>
        <w:t xml:space="preserve"> will replace gas service lines in conjunction with the replacement of the mains to which they are connected, unless otherwise required by the Commission to accelerate the relocation of meters in accordance with the Commission’s Advance Notice of Final Rulemaking Order at Docket No. L</w:t>
      </w:r>
      <w:r w:rsidR="00E56271">
        <w:rPr>
          <w:sz w:val="26"/>
          <w:szCs w:val="26"/>
        </w:rPr>
        <w:noBreakHyphen/>
        <w:t>2009</w:t>
      </w:r>
      <w:r w:rsidR="00E56271">
        <w:rPr>
          <w:sz w:val="26"/>
          <w:szCs w:val="26"/>
        </w:rPr>
        <w:noBreakHyphen/>
        <w:t xml:space="preserve">2107155, in which case the Company will consider an accelerated service line replacement program as part of the meter relocation program.  </w:t>
      </w:r>
      <w:r w:rsidR="0014165C">
        <w:rPr>
          <w:sz w:val="26"/>
          <w:szCs w:val="26"/>
        </w:rPr>
        <w:t>UGI-CPG</w:t>
      </w:r>
      <w:r w:rsidRPr="008702DA">
        <w:rPr>
          <w:sz w:val="26"/>
          <w:szCs w:val="26"/>
        </w:rPr>
        <w:t xml:space="preserve"> avers that the DSIC is an important element in succ</w:t>
      </w:r>
      <w:r w:rsidR="00E56271">
        <w:rPr>
          <w:sz w:val="26"/>
          <w:szCs w:val="26"/>
        </w:rPr>
        <w:t>essful implementation of this plan</w:t>
      </w:r>
      <w:r w:rsidRPr="008702DA">
        <w:rPr>
          <w:sz w:val="26"/>
          <w:szCs w:val="26"/>
        </w:rPr>
        <w:t xml:space="preserve"> because it will provide the necessary capital to make continued rapid investment possible.</w:t>
      </w:r>
    </w:p>
    <w:p w:rsidR="00B76080" w:rsidRPr="008702DA" w:rsidRDefault="00B76080" w:rsidP="00B76080">
      <w:pPr>
        <w:widowControl/>
        <w:spacing w:line="360" w:lineRule="auto"/>
        <w:ind w:firstLine="1440"/>
        <w:rPr>
          <w:bCs/>
          <w:sz w:val="26"/>
          <w:szCs w:val="26"/>
        </w:rPr>
      </w:pPr>
    </w:p>
    <w:p w:rsidR="00B76080" w:rsidRPr="00B62CE8" w:rsidRDefault="00B76080" w:rsidP="00B76080">
      <w:pPr>
        <w:widowControl/>
        <w:spacing w:line="360" w:lineRule="auto"/>
        <w:ind w:firstLine="1440"/>
        <w:rPr>
          <w:sz w:val="26"/>
          <w:szCs w:val="26"/>
          <w:highlight w:val="yellow"/>
        </w:rPr>
      </w:pPr>
      <w:r w:rsidRPr="008702DA">
        <w:rPr>
          <w:sz w:val="26"/>
          <w:szCs w:val="26"/>
        </w:rPr>
        <w:t xml:space="preserve">Prior to the accelerated program, </w:t>
      </w:r>
      <w:r w:rsidR="0014165C">
        <w:rPr>
          <w:sz w:val="26"/>
          <w:szCs w:val="26"/>
        </w:rPr>
        <w:t>UGI-CPG</w:t>
      </w:r>
      <w:r w:rsidRPr="008702DA">
        <w:rPr>
          <w:sz w:val="26"/>
          <w:szCs w:val="26"/>
        </w:rPr>
        <w:t xml:space="preserve"> cla</w:t>
      </w:r>
      <w:r w:rsidR="00395998">
        <w:rPr>
          <w:sz w:val="26"/>
          <w:szCs w:val="26"/>
        </w:rPr>
        <w:t>ims it replaced approximately 16</w:t>
      </w:r>
      <w:r w:rsidR="00FD10B4" w:rsidRPr="008702DA">
        <w:rPr>
          <w:sz w:val="26"/>
          <w:szCs w:val="26"/>
        </w:rPr>
        <w:t xml:space="preserve"> miles of </w:t>
      </w:r>
      <w:r w:rsidR="00973837" w:rsidRPr="008702DA">
        <w:rPr>
          <w:sz w:val="26"/>
          <w:szCs w:val="26"/>
        </w:rPr>
        <w:t xml:space="preserve">distribution </w:t>
      </w:r>
      <w:r w:rsidRPr="008702DA">
        <w:rPr>
          <w:sz w:val="26"/>
          <w:szCs w:val="26"/>
        </w:rPr>
        <w:t xml:space="preserve">pipeline per year, but with </w:t>
      </w:r>
      <w:r w:rsidR="00A92977">
        <w:rPr>
          <w:sz w:val="26"/>
          <w:szCs w:val="26"/>
        </w:rPr>
        <w:t xml:space="preserve">the introduction of the </w:t>
      </w:r>
      <w:r w:rsidRPr="008702DA">
        <w:rPr>
          <w:sz w:val="26"/>
          <w:szCs w:val="26"/>
        </w:rPr>
        <w:t>L</w:t>
      </w:r>
      <w:r w:rsidR="00973837" w:rsidRPr="008702DA">
        <w:rPr>
          <w:sz w:val="26"/>
          <w:szCs w:val="26"/>
        </w:rPr>
        <w:t xml:space="preserve">TIIP, they estimate replacing </w:t>
      </w:r>
      <w:r w:rsidR="00AE1913">
        <w:rPr>
          <w:sz w:val="26"/>
          <w:szCs w:val="26"/>
        </w:rPr>
        <w:t>more than</w:t>
      </w:r>
      <w:r w:rsidR="00395998">
        <w:rPr>
          <w:sz w:val="26"/>
          <w:szCs w:val="26"/>
        </w:rPr>
        <w:t xml:space="preserve"> 17</w:t>
      </w:r>
      <w:r w:rsidR="00FD10B4" w:rsidRPr="008702DA">
        <w:rPr>
          <w:sz w:val="26"/>
          <w:szCs w:val="26"/>
        </w:rPr>
        <w:t xml:space="preserve"> miles of</w:t>
      </w:r>
      <w:r w:rsidRPr="008702DA">
        <w:rPr>
          <w:sz w:val="26"/>
          <w:szCs w:val="26"/>
        </w:rPr>
        <w:t xml:space="preserve"> </w:t>
      </w:r>
      <w:r w:rsidR="00973837" w:rsidRPr="008702DA">
        <w:rPr>
          <w:sz w:val="26"/>
          <w:szCs w:val="26"/>
        </w:rPr>
        <w:t xml:space="preserve">distribution </w:t>
      </w:r>
      <w:r w:rsidRPr="008702DA">
        <w:rPr>
          <w:sz w:val="26"/>
          <w:szCs w:val="26"/>
        </w:rPr>
        <w:t xml:space="preserve">pipeline </w:t>
      </w:r>
      <w:r w:rsidR="00973837" w:rsidRPr="008702DA">
        <w:rPr>
          <w:sz w:val="26"/>
          <w:szCs w:val="26"/>
        </w:rPr>
        <w:t>per year from</w:t>
      </w:r>
      <w:r w:rsidR="00A92977">
        <w:rPr>
          <w:sz w:val="26"/>
          <w:szCs w:val="26"/>
        </w:rPr>
        <w:t xml:space="preserve"> 2014-2018</w:t>
      </w:r>
      <w:r w:rsidRPr="008702DA">
        <w:rPr>
          <w:sz w:val="26"/>
          <w:szCs w:val="26"/>
        </w:rPr>
        <w:t xml:space="preserve">.  Continuing with that trend, </w:t>
      </w:r>
      <w:r w:rsidR="0014165C">
        <w:rPr>
          <w:sz w:val="26"/>
          <w:szCs w:val="26"/>
        </w:rPr>
        <w:t>UGI-CPG</w:t>
      </w:r>
      <w:r w:rsidRPr="008702DA">
        <w:rPr>
          <w:sz w:val="26"/>
          <w:szCs w:val="26"/>
        </w:rPr>
        <w:t xml:space="preserve"> states that during the fiv</w:t>
      </w:r>
      <w:r w:rsidR="00A92977">
        <w:rPr>
          <w:sz w:val="26"/>
          <w:szCs w:val="26"/>
        </w:rPr>
        <w:t>e-year period of the LTIIP (2014 to 2018</w:t>
      </w:r>
      <w:r w:rsidRPr="008702DA">
        <w:rPr>
          <w:sz w:val="26"/>
          <w:szCs w:val="26"/>
        </w:rPr>
        <w:t>), it will incre</w:t>
      </w:r>
      <w:r w:rsidR="00973837" w:rsidRPr="008702DA">
        <w:rPr>
          <w:sz w:val="26"/>
          <w:szCs w:val="26"/>
        </w:rPr>
        <w:t>a</w:t>
      </w:r>
      <w:r w:rsidR="00A92977">
        <w:rPr>
          <w:sz w:val="26"/>
          <w:szCs w:val="26"/>
        </w:rPr>
        <w:t xml:space="preserve">se its capital investment </w:t>
      </w:r>
      <w:r w:rsidR="0079498B">
        <w:rPr>
          <w:sz w:val="26"/>
          <w:szCs w:val="26"/>
        </w:rPr>
        <w:t xml:space="preserve">in distribution infrastructure </w:t>
      </w:r>
      <w:r w:rsidR="00395998">
        <w:rPr>
          <w:sz w:val="26"/>
          <w:szCs w:val="26"/>
        </w:rPr>
        <w:t>by 42</w:t>
      </w:r>
      <w:r w:rsidR="00A92977">
        <w:rPr>
          <w:sz w:val="26"/>
          <w:szCs w:val="26"/>
        </w:rPr>
        <w:t xml:space="preserve"> percent over the historic three-year </w:t>
      </w:r>
      <w:r w:rsidR="0079498B">
        <w:rPr>
          <w:sz w:val="26"/>
          <w:szCs w:val="26"/>
        </w:rPr>
        <w:t xml:space="preserve">base </w:t>
      </w:r>
      <w:r w:rsidR="00A92977">
        <w:rPr>
          <w:sz w:val="26"/>
          <w:szCs w:val="26"/>
        </w:rPr>
        <w:t>pe</w:t>
      </w:r>
      <w:r w:rsidR="00395998">
        <w:rPr>
          <w:sz w:val="26"/>
          <w:szCs w:val="26"/>
        </w:rPr>
        <w:t>riod of</w:t>
      </w:r>
      <w:r w:rsidR="00A92977">
        <w:rPr>
          <w:sz w:val="26"/>
          <w:szCs w:val="26"/>
        </w:rPr>
        <w:t xml:space="preserve"> 2009</w:t>
      </w:r>
      <w:r w:rsidRPr="008702DA">
        <w:rPr>
          <w:sz w:val="26"/>
          <w:szCs w:val="26"/>
        </w:rPr>
        <w:t xml:space="preserve"> to 2011</w:t>
      </w:r>
      <w:r w:rsidR="0079498B">
        <w:rPr>
          <w:sz w:val="26"/>
          <w:szCs w:val="26"/>
        </w:rPr>
        <w:t xml:space="preserve">, </w:t>
      </w:r>
      <w:r w:rsidR="0079498B">
        <w:rPr>
          <w:sz w:val="26"/>
          <w:szCs w:val="26"/>
        </w:rPr>
        <w:lastRenderedPageBreak/>
        <w:t xml:space="preserve">going from </w:t>
      </w:r>
      <w:r w:rsidR="00395998">
        <w:rPr>
          <w:sz w:val="26"/>
          <w:szCs w:val="26"/>
        </w:rPr>
        <w:t>$10.6 million annually to $15</w:t>
      </w:r>
      <w:r w:rsidR="00A92977">
        <w:rPr>
          <w:sz w:val="26"/>
          <w:szCs w:val="26"/>
        </w:rPr>
        <w:t xml:space="preserve"> million</w:t>
      </w:r>
      <w:r w:rsidR="0079498B">
        <w:rPr>
          <w:sz w:val="26"/>
          <w:szCs w:val="26"/>
        </w:rPr>
        <w:t xml:space="preserve"> per year</w:t>
      </w:r>
      <w:r w:rsidRPr="008702DA">
        <w:rPr>
          <w:sz w:val="26"/>
          <w:szCs w:val="26"/>
        </w:rPr>
        <w:t xml:space="preserve">.  </w:t>
      </w:r>
      <w:r w:rsidR="0014165C">
        <w:rPr>
          <w:sz w:val="26"/>
          <w:szCs w:val="26"/>
        </w:rPr>
        <w:t>UGI-CPG</w:t>
      </w:r>
      <w:r w:rsidRPr="008702DA">
        <w:rPr>
          <w:sz w:val="26"/>
          <w:szCs w:val="26"/>
        </w:rPr>
        <w:t xml:space="preserve"> believes that this increased level of investment in the repair, improvement, and replacement of aging distribution facilities will reduce the number of gas leaks, </w:t>
      </w:r>
      <w:r w:rsidR="00830C07">
        <w:rPr>
          <w:sz w:val="26"/>
          <w:szCs w:val="26"/>
        </w:rPr>
        <w:t>allow it to install additional safety mechanisms</w:t>
      </w:r>
      <w:r w:rsidRPr="008702DA">
        <w:rPr>
          <w:sz w:val="26"/>
          <w:szCs w:val="26"/>
        </w:rPr>
        <w:t xml:space="preserve">, and </w:t>
      </w:r>
      <w:r w:rsidR="00830C07">
        <w:rPr>
          <w:sz w:val="26"/>
          <w:szCs w:val="26"/>
        </w:rPr>
        <w:t>generally improve service to its customers</w:t>
      </w:r>
      <w:r w:rsidRPr="008702DA">
        <w:rPr>
          <w:sz w:val="26"/>
          <w:szCs w:val="26"/>
        </w:rPr>
        <w:t xml:space="preserve">.  All of these measures, </w:t>
      </w:r>
      <w:r w:rsidR="0014165C">
        <w:rPr>
          <w:sz w:val="26"/>
          <w:szCs w:val="26"/>
        </w:rPr>
        <w:t>UGI-CPG</w:t>
      </w:r>
      <w:r w:rsidRPr="008702DA">
        <w:rPr>
          <w:sz w:val="26"/>
          <w:szCs w:val="26"/>
        </w:rPr>
        <w:t xml:space="preserve"> asserts, will help to provide safer and more efficient service</w:t>
      </w:r>
      <w:r w:rsidR="001613EF" w:rsidRPr="008702DA">
        <w:rPr>
          <w:sz w:val="26"/>
          <w:szCs w:val="26"/>
        </w:rPr>
        <w:t xml:space="preserve"> to customers, and hence lend</w:t>
      </w:r>
      <w:r w:rsidRPr="008702DA">
        <w:rPr>
          <w:sz w:val="26"/>
          <w:szCs w:val="26"/>
        </w:rPr>
        <w:t xml:space="preserve"> credence to the fact that the LTIIP and its associated DSIC are in the public interest.</w:t>
      </w:r>
    </w:p>
    <w:p w:rsidR="00B76080" w:rsidRPr="00B62CE8" w:rsidRDefault="00B76080" w:rsidP="00B76080">
      <w:pPr>
        <w:widowControl/>
        <w:spacing w:line="360" w:lineRule="auto"/>
        <w:ind w:firstLine="1440"/>
        <w:rPr>
          <w:sz w:val="26"/>
          <w:szCs w:val="26"/>
          <w:highlight w:val="yellow"/>
        </w:rPr>
      </w:pPr>
    </w:p>
    <w:p w:rsidR="00B76080" w:rsidRDefault="0014165C" w:rsidP="00B76080">
      <w:pPr>
        <w:widowControl/>
        <w:spacing w:line="360" w:lineRule="auto"/>
        <w:ind w:firstLine="1440"/>
        <w:rPr>
          <w:bCs/>
          <w:sz w:val="26"/>
          <w:szCs w:val="26"/>
        </w:rPr>
      </w:pPr>
      <w:r>
        <w:rPr>
          <w:sz w:val="26"/>
          <w:szCs w:val="26"/>
        </w:rPr>
        <w:t>UGI-CPG</w:t>
      </w:r>
      <w:r w:rsidR="00B76080" w:rsidRPr="00830C07">
        <w:rPr>
          <w:sz w:val="26"/>
          <w:szCs w:val="26"/>
        </w:rPr>
        <w:t xml:space="preserve"> declares that the implementation of a DSIC rate is vital in supporting its efforts to replac</w:t>
      </w:r>
      <w:r w:rsidR="006A5A60">
        <w:rPr>
          <w:sz w:val="26"/>
          <w:szCs w:val="26"/>
        </w:rPr>
        <w:t xml:space="preserve">e its aging distribution system and enhance the safety of its system by ensuring replacement of deteriorating facilities with new, longer lasting, and safer materials.  </w:t>
      </w:r>
      <w:r>
        <w:rPr>
          <w:sz w:val="26"/>
          <w:szCs w:val="26"/>
        </w:rPr>
        <w:t>UGI-CPG</w:t>
      </w:r>
      <w:r w:rsidR="006A5A60">
        <w:rPr>
          <w:sz w:val="26"/>
          <w:szCs w:val="26"/>
        </w:rPr>
        <w:t xml:space="preserve"> says the DSIC</w:t>
      </w:r>
      <w:r w:rsidR="00B76080" w:rsidRPr="00830C07">
        <w:rPr>
          <w:sz w:val="26"/>
          <w:szCs w:val="26"/>
        </w:rPr>
        <w:t xml:space="preserve"> </w:t>
      </w:r>
      <w:r w:rsidR="006A5A60">
        <w:rPr>
          <w:sz w:val="26"/>
          <w:szCs w:val="26"/>
        </w:rPr>
        <w:t xml:space="preserve">will </w:t>
      </w:r>
      <w:r w:rsidR="00B76080" w:rsidRPr="00830C07">
        <w:rPr>
          <w:sz w:val="26"/>
          <w:szCs w:val="26"/>
        </w:rPr>
        <w:t>ensur</w:t>
      </w:r>
      <w:r w:rsidR="006A5A60">
        <w:rPr>
          <w:sz w:val="26"/>
          <w:szCs w:val="26"/>
        </w:rPr>
        <w:t>e</w:t>
      </w:r>
      <w:r w:rsidR="00B76080" w:rsidRPr="00830C07">
        <w:rPr>
          <w:sz w:val="26"/>
          <w:szCs w:val="26"/>
        </w:rPr>
        <w:t xml:space="preserve"> the resources the Company</w:t>
      </w:r>
      <w:r w:rsidR="006A5A60">
        <w:rPr>
          <w:sz w:val="26"/>
          <w:szCs w:val="26"/>
        </w:rPr>
        <w:t xml:space="preserve"> needs to carry out its </w:t>
      </w:r>
      <w:r w:rsidR="00B76080" w:rsidRPr="00830C07">
        <w:rPr>
          <w:sz w:val="26"/>
          <w:szCs w:val="26"/>
        </w:rPr>
        <w:t>LTIIP strategies</w:t>
      </w:r>
      <w:r w:rsidR="006A5A60">
        <w:rPr>
          <w:sz w:val="26"/>
          <w:szCs w:val="26"/>
        </w:rPr>
        <w:t>, and that because of its application, the public will receive better service with fewer interruptions.</w:t>
      </w:r>
      <w:r w:rsidR="00B76080">
        <w:rPr>
          <w:sz w:val="26"/>
          <w:szCs w:val="26"/>
        </w:rPr>
        <w:t xml:space="preserve"> </w:t>
      </w:r>
    </w:p>
    <w:p w:rsidR="00BF6E9B" w:rsidRDefault="00B76080" w:rsidP="00BF6E9B">
      <w:pPr>
        <w:widowControl/>
        <w:spacing w:line="360" w:lineRule="auto"/>
        <w:ind w:firstLine="1440"/>
        <w:rPr>
          <w:bCs/>
          <w:sz w:val="26"/>
          <w:szCs w:val="26"/>
        </w:rPr>
      </w:pPr>
      <w:r w:rsidRPr="00062E21">
        <w:rPr>
          <w:bCs/>
          <w:sz w:val="26"/>
          <w:szCs w:val="26"/>
        </w:rPr>
        <w:t xml:space="preserve">  </w:t>
      </w:r>
    </w:p>
    <w:p w:rsidR="00B76080" w:rsidRPr="00BF6E9B" w:rsidRDefault="00B76080" w:rsidP="001F0E61">
      <w:pPr>
        <w:widowControl/>
        <w:spacing w:line="360" w:lineRule="auto"/>
        <w:rPr>
          <w:bCs/>
          <w:sz w:val="26"/>
          <w:szCs w:val="26"/>
        </w:rPr>
      </w:pPr>
      <w:r w:rsidRPr="00062E21">
        <w:rPr>
          <w:b/>
          <w:sz w:val="26"/>
          <w:szCs w:val="26"/>
        </w:rPr>
        <w:t>Comments</w:t>
      </w:r>
    </w:p>
    <w:p w:rsidR="00B76080" w:rsidRPr="00062E21" w:rsidRDefault="00B76080" w:rsidP="00B76080">
      <w:pPr>
        <w:keepNext/>
        <w:widowControl/>
        <w:spacing w:line="360" w:lineRule="auto"/>
        <w:rPr>
          <w:bCs/>
          <w:sz w:val="26"/>
          <w:szCs w:val="26"/>
        </w:rPr>
      </w:pPr>
    </w:p>
    <w:p w:rsidR="00B76080" w:rsidRPr="00062E21" w:rsidRDefault="00B76080" w:rsidP="00B76080">
      <w:pPr>
        <w:widowControl/>
        <w:spacing w:line="360" w:lineRule="auto"/>
        <w:ind w:firstLine="1440"/>
        <w:rPr>
          <w:bCs/>
          <w:sz w:val="26"/>
          <w:szCs w:val="26"/>
        </w:rPr>
      </w:pPr>
      <w:r w:rsidRPr="00062E21">
        <w:rPr>
          <w:bCs/>
          <w:sz w:val="26"/>
          <w:szCs w:val="26"/>
        </w:rPr>
        <w:t xml:space="preserve">No comments were received regarding the supporting evidence that </w:t>
      </w:r>
      <w:r w:rsidR="0014165C">
        <w:rPr>
          <w:bCs/>
          <w:sz w:val="26"/>
          <w:szCs w:val="26"/>
        </w:rPr>
        <w:t>UGI-CPG</w:t>
      </w:r>
      <w:r w:rsidR="00DE19F4">
        <w:rPr>
          <w:bCs/>
          <w:sz w:val="26"/>
          <w:szCs w:val="26"/>
        </w:rPr>
        <w:t>’s</w:t>
      </w:r>
      <w:r w:rsidRPr="00062E21">
        <w:rPr>
          <w:bCs/>
          <w:sz w:val="26"/>
          <w:szCs w:val="26"/>
        </w:rPr>
        <w:t xml:space="preserve"> DSIC is in the public interest.  </w:t>
      </w:r>
    </w:p>
    <w:p w:rsidR="00B76080" w:rsidRDefault="00B76080" w:rsidP="00B76080">
      <w:pPr>
        <w:widowControl/>
        <w:spacing w:line="360" w:lineRule="auto"/>
        <w:ind w:firstLine="1440"/>
        <w:rPr>
          <w:bCs/>
          <w:sz w:val="26"/>
          <w:szCs w:val="26"/>
        </w:rPr>
      </w:pPr>
    </w:p>
    <w:p w:rsidR="00B76080" w:rsidRPr="00062E21" w:rsidRDefault="00B76080" w:rsidP="00B76080">
      <w:pPr>
        <w:keepNext/>
        <w:widowControl/>
        <w:spacing w:line="360" w:lineRule="auto"/>
        <w:rPr>
          <w:b/>
          <w:sz w:val="26"/>
          <w:szCs w:val="26"/>
        </w:rPr>
      </w:pPr>
      <w:r w:rsidRPr="00062E21">
        <w:rPr>
          <w:b/>
          <w:sz w:val="26"/>
          <w:szCs w:val="26"/>
        </w:rPr>
        <w:t>Resolution</w:t>
      </w:r>
    </w:p>
    <w:p w:rsidR="00B76080" w:rsidRPr="00062E21" w:rsidRDefault="00B76080" w:rsidP="00B76080">
      <w:pPr>
        <w:keepNext/>
        <w:widowControl/>
        <w:spacing w:line="360" w:lineRule="auto"/>
        <w:ind w:firstLine="1440"/>
        <w:rPr>
          <w:bCs/>
          <w:sz w:val="26"/>
          <w:szCs w:val="26"/>
        </w:rPr>
      </w:pPr>
    </w:p>
    <w:p w:rsidR="00AE1913" w:rsidRPr="00062E21" w:rsidRDefault="00B76080" w:rsidP="004715C8">
      <w:pPr>
        <w:widowControl/>
        <w:spacing w:line="360" w:lineRule="auto"/>
        <w:ind w:firstLine="1440"/>
        <w:rPr>
          <w:bCs/>
          <w:sz w:val="26"/>
          <w:szCs w:val="26"/>
        </w:rPr>
      </w:pPr>
      <w:r w:rsidRPr="00062E21">
        <w:rPr>
          <w:sz w:val="26"/>
          <w:szCs w:val="26"/>
        </w:rPr>
        <w:t>Section 1353 requires t</w:t>
      </w:r>
      <w:r w:rsidRPr="00062E21">
        <w:rPr>
          <w:bCs/>
          <w:sz w:val="26"/>
          <w:szCs w:val="26"/>
        </w:rPr>
        <w:t xml:space="preserve">estimony, affidavits, exhibits, and other supporting evidence to be submitted demonstrating that the DSIC is in the public interest.  </w:t>
      </w:r>
      <w:r>
        <w:rPr>
          <w:bCs/>
          <w:sz w:val="26"/>
          <w:szCs w:val="26"/>
        </w:rPr>
        <w:t xml:space="preserve">Based on </w:t>
      </w:r>
      <w:r w:rsidR="0014165C">
        <w:rPr>
          <w:sz w:val="26"/>
          <w:szCs w:val="26"/>
        </w:rPr>
        <w:t>UGI-CPG</w:t>
      </w:r>
      <w:r w:rsidR="00B62CE8">
        <w:rPr>
          <w:sz w:val="26"/>
          <w:szCs w:val="26"/>
        </w:rPr>
        <w:t>’s</w:t>
      </w:r>
      <w:r>
        <w:rPr>
          <w:sz w:val="26"/>
          <w:szCs w:val="26"/>
        </w:rPr>
        <w:t xml:space="preserve"> submitted direct testimonies</w:t>
      </w:r>
      <w:r w:rsidRPr="00062E21">
        <w:rPr>
          <w:sz w:val="26"/>
          <w:szCs w:val="26"/>
        </w:rPr>
        <w:t xml:space="preserve"> </w:t>
      </w:r>
      <w:r w:rsidR="00B62CE8">
        <w:rPr>
          <w:sz w:val="26"/>
          <w:szCs w:val="26"/>
        </w:rPr>
        <w:t>by the Company’s Principal Analyst and Vice President of Engineering &amp; Operations Support</w:t>
      </w:r>
      <w:r>
        <w:rPr>
          <w:sz w:val="26"/>
          <w:szCs w:val="26"/>
        </w:rPr>
        <w:t xml:space="preserve">, as well as </w:t>
      </w:r>
      <w:r w:rsidRPr="00062E21">
        <w:rPr>
          <w:sz w:val="26"/>
          <w:szCs w:val="26"/>
        </w:rPr>
        <w:t>exhibits demonstrating how the proposed DSIC supports accelerated infrastructure improvement</w:t>
      </w:r>
      <w:r>
        <w:rPr>
          <w:sz w:val="26"/>
          <w:szCs w:val="26"/>
        </w:rPr>
        <w:t xml:space="preserve">, </w:t>
      </w:r>
      <w:r w:rsidRPr="00062E21">
        <w:rPr>
          <w:bCs/>
          <w:sz w:val="26"/>
          <w:szCs w:val="26"/>
        </w:rPr>
        <w:t>the Commission</w:t>
      </w:r>
      <w:r>
        <w:rPr>
          <w:bCs/>
          <w:sz w:val="26"/>
          <w:szCs w:val="26"/>
        </w:rPr>
        <w:t xml:space="preserve"> </w:t>
      </w:r>
      <w:r w:rsidRPr="00062E21">
        <w:rPr>
          <w:bCs/>
          <w:sz w:val="26"/>
          <w:szCs w:val="26"/>
        </w:rPr>
        <w:t xml:space="preserve">concludes that </w:t>
      </w:r>
      <w:r>
        <w:rPr>
          <w:bCs/>
          <w:sz w:val="26"/>
          <w:szCs w:val="26"/>
        </w:rPr>
        <w:t>the</w:t>
      </w:r>
      <w:r w:rsidRPr="00062E21">
        <w:rPr>
          <w:bCs/>
          <w:sz w:val="26"/>
          <w:szCs w:val="26"/>
        </w:rPr>
        <w:t xml:space="preserve"> DSIC filing is in the public interest </w:t>
      </w:r>
      <w:r>
        <w:rPr>
          <w:bCs/>
          <w:sz w:val="26"/>
          <w:szCs w:val="26"/>
        </w:rPr>
        <w:t xml:space="preserve">and </w:t>
      </w:r>
      <w:r w:rsidRPr="00062E21">
        <w:rPr>
          <w:bCs/>
          <w:sz w:val="26"/>
          <w:szCs w:val="26"/>
        </w:rPr>
        <w:t>that the Company has met its obligation under Section 1353.</w:t>
      </w:r>
    </w:p>
    <w:p w:rsidR="00B76080" w:rsidRPr="00013204" w:rsidRDefault="00B76080" w:rsidP="00B76080">
      <w:pPr>
        <w:widowControl/>
        <w:spacing w:line="360" w:lineRule="auto"/>
        <w:rPr>
          <w:b/>
          <w:bCs/>
          <w:sz w:val="26"/>
          <w:szCs w:val="26"/>
        </w:rPr>
      </w:pPr>
      <w:r>
        <w:rPr>
          <w:b/>
          <w:bCs/>
          <w:sz w:val="26"/>
          <w:szCs w:val="26"/>
        </w:rPr>
        <w:lastRenderedPageBreak/>
        <w:tab/>
      </w:r>
      <w:r w:rsidRPr="00013204">
        <w:rPr>
          <w:b/>
          <w:bCs/>
          <w:sz w:val="26"/>
          <w:szCs w:val="26"/>
        </w:rPr>
        <w:t>(3) Long Term Infrastructure Improvement Plan</w:t>
      </w:r>
    </w:p>
    <w:p w:rsidR="00B76080" w:rsidRPr="00062E21" w:rsidRDefault="00B76080" w:rsidP="00B76080">
      <w:pPr>
        <w:widowControl/>
        <w:spacing w:line="360" w:lineRule="auto"/>
        <w:rPr>
          <w:bCs/>
          <w:sz w:val="26"/>
          <w:szCs w:val="26"/>
        </w:rPr>
      </w:pPr>
    </w:p>
    <w:p w:rsidR="00B76080" w:rsidRPr="00062E21" w:rsidRDefault="00B76080" w:rsidP="00B76080">
      <w:pPr>
        <w:widowControl/>
        <w:spacing w:line="360" w:lineRule="auto"/>
        <w:ind w:firstLine="1440"/>
        <w:rPr>
          <w:bCs/>
          <w:sz w:val="26"/>
          <w:szCs w:val="26"/>
        </w:rPr>
      </w:pPr>
      <w:r w:rsidRPr="00062E21">
        <w:rPr>
          <w:sz w:val="26"/>
          <w:szCs w:val="26"/>
        </w:rPr>
        <w:t>Section 1353 requires that the utility have an approved</w:t>
      </w:r>
      <w:r w:rsidRPr="00062E21">
        <w:rPr>
          <w:bCs/>
          <w:sz w:val="26"/>
          <w:szCs w:val="26"/>
        </w:rPr>
        <w:t xml:space="preserve"> Long Term Infrastructure Improvement Plan (LTIIP).  </w:t>
      </w:r>
      <w:r w:rsidR="0014165C">
        <w:rPr>
          <w:bCs/>
          <w:sz w:val="26"/>
          <w:szCs w:val="26"/>
        </w:rPr>
        <w:t>UGI-CPG</w:t>
      </w:r>
      <w:r w:rsidRPr="00062E21">
        <w:rPr>
          <w:bCs/>
          <w:sz w:val="26"/>
          <w:szCs w:val="26"/>
        </w:rPr>
        <w:t xml:space="preserve"> filed a LTIIP</w:t>
      </w:r>
      <w:r w:rsidR="00F25984">
        <w:rPr>
          <w:bCs/>
          <w:sz w:val="26"/>
          <w:szCs w:val="26"/>
        </w:rPr>
        <w:t xml:space="preserve"> with the Commission on December 12</w:t>
      </w:r>
      <w:r>
        <w:rPr>
          <w:bCs/>
          <w:sz w:val="26"/>
          <w:szCs w:val="26"/>
        </w:rPr>
        <w:t>, 2013</w:t>
      </w:r>
      <w:r w:rsidRPr="00062E21">
        <w:rPr>
          <w:bCs/>
          <w:sz w:val="26"/>
          <w:szCs w:val="26"/>
        </w:rPr>
        <w:t xml:space="preserve">, which is recommended for approval concurrently with the DSIC. </w:t>
      </w:r>
    </w:p>
    <w:p w:rsidR="00B76080" w:rsidRPr="00062E21" w:rsidRDefault="00B76080" w:rsidP="00B76080">
      <w:pPr>
        <w:widowControl/>
        <w:spacing w:line="360" w:lineRule="auto"/>
        <w:rPr>
          <w:bCs/>
          <w:sz w:val="26"/>
          <w:szCs w:val="26"/>
        </w:rPr>
      </w:pPr>
    </w:p>
    <w:p w:rsidR="00B76080" w:rsidRPr="00013204" w:rsidRDefault="00B76080" w:rsidP="00B76080">
      <w:pPr>
        <w:keepNext/>
        <w:widowControl/>
        <w:spacing w:line="360" w:lineRule="auto"/>
        <w:rPr>
          <w:b/>
          <w:bCs/>
          <w:sz w:val="26"/>
          <w:szCs w:val="26"/>
        </w:rPr>
      </w:pPr>
      <w:r>
        <w:rPr>
          <w:b/>
          <w:bCs/>
          <w:sz w:val="26"/>
          <w:szCs w:val="26"/>
        </w:rPr>
        <w:tab/>
      </w:r>
      <w:r w:rsidRPr="00013204">
        <w:rPr>
          <w:b/>
          <w:bCs/>
          <w:sz w:val="26"/>
          <w:szCs w:val="26"/>
        </w:rPr>
        <w:t>(4) Base Rate Case</w:t>
      </w:r>
    </w:p>
    <w:p w:rsidR="00B76080" w:rsidRPr="00062E21" w:rsidRDefault="00B76080" w:rsidP="00B76080">
      <w:pPr>
        <w:keepNext/>
        <w:widowControl/>
        <w:spacing w:line="360" w:lineRule="auto"/>
        <w:rPr>
          <w:bCs/>
          <w:sz w:val="26"/>
          <w:szCs w:val="26"/>
        </w:rPr>
      </w:pPr>
    </w:p>
    <w:p w:rsidR="00B76080" w:rsidRPr="00062E21" w:rsidRDefault="00B76080" w:rsidP="00B76080">
      <w:pPr>
        <w:widowControl/>
        <w:spacing w:line="360" w:lineRule="auto"/>
        <w:ind w:firstLine="1440"/>
        <w:rPr>
          <w:sz w:val="26"/>
          <w:szCs w:val="26"/>
        </w:rPr>
      </w:pPr>
      <w:r w:rsidRPr="00062E21">
        <w:rPr>
          <w:sz w:val="26"/>
          <w:szCs w:val="26"/>
        </w:rPr>
        <w:t xml:space="preserve">Section 1353(b)(4) requires a utility to certify that it has filed a base rate case within the five years prior to the date of its DSIC petition.  </w:t>
      </w:r>
      <w:r w:rsidR="0014165C">
        <w:rPr>
          <w:sz w:val="26"/>
          <w:szCs w:val="26"/>
        </w:rPr>
        <w:t>UGI-CPG</w:t>
      </w:r>
      <w:r w:rsidRPr="00062E21">
        <w:rPr>
          <w:sz w:val="26"/>
          <w:szCs w:val="26"/>
        </w:rPr>
        <w:t xml:space="preserve"> has provided the required certification that its last base rate case, under which </w:t>
      </w:r>
      <w:r w:rsidR="0014165C">
        <w:rPr>
          <w:sz w:val="26"/>
          <w:szCs w:val="26"/>
        </w:rPr>
        <w:t>UGI-CPG</w:t>
      </w:r>
      <w:r w:rsidR="00F25984">
        <w:rPr>
          <w:sz w:val="26"/>
          <w:szCs w:val="26"/>
        </w:rPr>
        <w:t>’s</w:t>
      </w:r>
      <w:r w:rsidRPr="00062E21">
        <w:rPr>
          <w:sz w:val="26"/>
          <w:szCs w:val="26"/>
        </w:rPr>
        <w:t xml:space="preserve"> current base rates were established, was filed on </w:t>
      </w:r>
      <w:r w:rsidR="00F25984">
        <w:rPr>
          <w:sz w:val="26"/>
          <w:szCs w:val="26"/>
        </w:rPr>
        <w:t>January</w:t>
      </w:r>
      <w:r>
        <w:rPr>
          <w:sz w:val="26"/>
          <w:szCs w:val="26"/>
        </w:rPr>
        <w:t xml:space="preserve"> </w:t>
      </w:r>
      <w:r w:rsidR="00395998">
        <w:rPr>
          <w:sz w:val="26"/>
          <w:szCs w:val="26"/>
        </w:rPr>
        <w:t>14</w:t>
      </w:r>
      <w:r>
        <w:rPr>
          <w:sz w:val="26"/>
          <w:szCs w:val="26"/>
        </w:rPr>
        <w:t>, 20</w:t>
      </w:r>
      <w:r w:rsidR="00395998">
        <w:rPr>
          <w:sz w:val="26"/>
          <w:szCs w:val="26"/>
        </w:rPr>
        <w:t>11</w:t>
      </w:r>
      <w:r w:rsidRPr="00062E21">
        <w:rPr>
          <w:sz w:val="26"/>
          <w:szCs w:val="26"/>
        </w:rPr>
        <w:t>.</w:t>
      </w:r>
      <w:r w:rsidRPr="00062E21">
        <w:rPr>
          <w:rStyle w:val="FootnoteReference"/>
          <w:sz w:val="26"/>
          <w:szCs w:val="26"/>
        </w:rPr>
        <w:footnoteReference w:id="4"/>
      </w:r>
      <w:r w:rsidRPr="00062E21">
        <w:rPr>
          <w:sz w:val="26"/>
          <w:szCs w:val="26"/>
        </w:rPr>
        <w:t xml:space="preserve">  </w:t>
      </w:r>
    </w:p>
    <w:p w:rsidR="00B76080" w:rsidRPr="00062E21" w:rsidRDefault="00B76080" w:rsidP="00B76080">
      <w:pPr>
        <w:widowControl/>
        <w:spacing w:line="360" w:lineRule="auto"/>
        <w:rPr>
          <w:bCs/>
          <w:sz w:val="26"/>
          <w:szCs w:val="26"/>
        </w:rPr>
      </w:pPr>
    </w:p>
    <w:p w:rsidR="00B76080" w:rsidRPr="00C908B6" w:rsidRDefault="00B76080" w:rsidP="00B76080">
      <w:pPr>
        <w:keepNext/>
        <w:widowControl/>
        <w:tabs>
          <w:tab w:val="left" w:pos="720"/>
        </w:tabs>
        <w:autoSpaceDE/>
        <w:autoSpaceDN/>
        <w:adjustRightInd/>
        <w:spacing w:line="360" w:lineRule="auto"/>
        <w:contextualSpacing/>
        <w:rPr>
          <w:b/>
          <w:bCs/>
          <w:sz w:val="26"/>
          <w:szCs w:val="26"/>
        </w:rPr>
      </w:pPr>
      <w:r>
        <w:rPr>
          <w:b/>
          <w:bCs/>
          <w:sz w:val="26"/>
          <w:szCs w:val="26"/>
        </w:rPr>
        <w:tab/>
      </w:r>
      <w:r w:rsidRPr="00C908B6">
        <w:rPr>
          <w:b/>
          <w:bCs/>
          <w:sz w:val="26"/>
          <w:szCs w:val="26"/>
        </w:rPr>
        <w:t xml:space="preserve">(5) </w:t>
      </w:r>
      <w:r>
        <w:rPr>
          <w:b/>
          <w:bCs/>
          <w:sz w:val="26"/>
          <w:szCs w:val="26"/>
        </w:rPr>
        <w:t>O</w:t>
      </w:r>
      <w:r w:rsidRPr="00C908B6">
        <w:rPr>
          <w:b/>
          <w:bCs/>
          <w:sz w:val="26"/>
          <w:szCs w:val="26"/>
        </w:rPr>
        <w:t xml:space="preserve">ther </w:t>
      </w:r>
      <w:r>
        <w:rPr>
          <w:b/>
          <w:bCs/>
          <w:sz w:val="26"/>
          <w:szCs w:val="26"/>
        </w:rPr>
        <w:t>I</w:t>
      </w:r>
      <w:r w:rsidRPr="00C908B6">
        <w:rPr>
          <w:b/>
          <w:bCs/>
          <w:sz w:val="26"/>
          <w:szCs w:val="26"/>
        </w:rPr>
        <w:t xml:space="preserve">nformation </w:t>
      </w:r>
      <w:r>
        <w:rPr>
          <w:b/>
          <w:bCs/>
          <w:sz w:val="26"/>
          <w:szCs w:val="26"/>
        </w:rPr>
        <w:t>R</w:t>
      </w:r>
      <w:r w:rsidRPr="00C908B6">
        <w:rPr>
          <w:b/>
          <w:bCs/>
          <w:sz w:val="26"/>
          <w:szCs w:val="26"/>
        </w:rPr>
        <w:t>equired by the Commission</w:t>
      </w:r>
    </w:p>
    <w:p w:rsidR="00B76080" w:rsidRDefault="00B76080" w:rsidP="00B76080">
      <w:pPr>
        <w:keepNext/>
        <w:widowControl/>
        <w:spacing w:line="360" w:lineRule="auto"/>
        <w:rPr>
          <w:b/>
          <w:sz w:val="26"/>
          <w:szCs w:val="26"/>
          <w:u w:val="single"/>
        </w:rPr>
      </w:pPr>
    </w:p>
    <w:p w:rsidR="00B76080" w:rsidRPr="00013204" w:rsidRDefault="00B76080" w:rsidP="00B76080">
      <w:pPr>
        <w:keepNext/>
        <w:widowControl/>
        <w:spacing w:line="360" w:lineRule="auto"/>
        <w:rPr>
          <w:b/>
          <w:sz w:val="26"/>
          <w:szCs w:val="26"/>
        </w:rPr>
      </w:pPr>
      <w:r w:rsidRPr="00013204">
        <w:rPr>
          <w:b/>
          <w:sz w:val="26"/>
          <w:szCs w:val="26"/>
        </w:rPr>
        <w:t>Section 1354 - Customer Notice</w:t>
      </w:r>
    </w:p>
    <w:p w:rsidR="00B76080" w:rsidRPr="00062E21" w:rsidRDefault="00B76080" w:rsidP="00B76080">
      <w:pPr>
        <w:widowControl/>
        <w:spacing w:line="360" w:lineRule="auto"/>
        <w:rPr>
          <w:sz w:val="26"/>
          <w:szCs w:val="26"/>
        </w:rPr>
      </w:pPr>
    </w:p>
    <w:p w:rsidR="00B76080" w:rsidRPr="00062E21" w:rsidRDefault="00B76080" w:rsidP="00B76080">
      <w:pPr>
        <w:widowControl/>
        <w:spacing w:line="360" w:lineRule="auto"/>
        <w:ind w:firstLine="1440"/>
        <w:rPr>
          <w:sz w:val="26"/>
          <w:szCs w:val="26"/>
        </w:rPr>
      </w:pPr>
      <w:r w:rsidRPr="00062E21">
        <w:rPr>
          <w:sz w:val="26"/>
          <w:szCs w:val="26"/>
        </w:rPr>
        <w:t xml:space="preserve">Pursuant to </w:t>
      </w:r>
      <w:r>
        <w:rPr>
          <w:sz w:val="26"/>
          <w:szCs w:val="26"/>
        </w:rPr>
        <w:t>Section 1354,</w:t>
      </w:r>
      <w:r w:rsidRPr="00062E21">
        <w:rPr>
          <w:sz w:val="26"/>
          <w:szCs w:val="26"/>
        </w:rPr>
        <w:t xml:space="preserve"> a utility is required to provide customer notice of</w:t>
      </w:r>
      <w:r>
        <w:rPr>
          <w:sz w:val="26"/>
          <w:szCs w:val="26"/>
        </w:rPr>
        <w:t>:</w:t>
      </w:r>
      <w:r w:rsidRPr="00062E21">
        <w:rPr>
          <w:sz w:val="26"/>
          <w:szCs w:val="26"/>
        </w:rPr>
        <w:t xml:space="preserve">  1) </w:t>
      </w:r>
      <w:r>
        <w:rPr>
          <w:sz w:val="26"/>
          <w:szCs w:val="26"/>
        </w:rPr>
        <w:t>S</w:t>
      </w:r>
      <w:r w:rsidRPr="00062E21">
        <w:rPr>
          <w:sz w:val="26"/>
          <w:szCs w:val="26"/>
        </w:rPr>
        <w:t>ubmission of the DSIC petition</w:t>
      </w:r>
      <w:r>
        <w:rPr>
          <w:sz w:val="26"/>
          <w:szCs w:val="26"/>
        </w:rPr>
        <w:t>;</w:t>
      </w:r>
      <w:r w:rsidRPr="00062E21">
        <w:rPr>
          <w:sz w:val="26"/>
          <w:szCs w:val="26"/>
        </w:rPr>
        <w:t xml:space="preserve"> 2) Commission’s disposition of the DSIC petition</w:t>
      </w:r>
      <w:r>
        <w:rPr>
          <w:sz w:val="26"/>
          <w:szCs w:val="26"/>
        </w:rPr>
        <w:t>;</w:t>
      </w:r>
      <w:r w:rsidRPr="00062E21">
        <w:rPr>
          <w:sz w:val="26"/>
          <w:szCs w:val="26"/>
        </w:rPr>
        <w:t xml:space="preserve"> 3) </w:t>
      </w:r>
      <w:r>
        <w:rPr>
          <w:sz w:val="26"/>
          <w:szCs w:val="26"/>
        </w:rPr>
        <w:t>A</w:t>
      </w:r>
      <w:r w:rsidRPr="00062E21">
        <w:rPr>
          <w:sz w:val="26"/>
          <w:szCs w:val="26"/>
        </w:rPr>
        <w:t>ny quarterly changes to the DSIC rate</w:t>
      </w:r>
      <w:r>
        <w:rPr>
          <w:sz w:val="26"/>
          <w:szCs w:val="26"/>
        </w:rPr>
        <w:t>;</w:t>
      </w:r>
      <w:r w:rsidRPr="00062E21">
        <w:rPr>
          <w:sz w:val="26"/>
          <w:szCs w:val="26"/>
        </w:rPr>
        <w:t xml:space="preserve"> and 4) </w:t>
      </w:r>
      <w:r>
        <w:rPr>
          <w:sz w:val="26"/>
          <w:szCs w:val="26"/>
        </w:rPr>
        <w:t>A</w:t>
      </w:r>
      <w:r w:rsidRPr="00062E21">
        <w:rPr>
          <w:sz w:val="26"/>
          <w:szCs w:val="26"/>
        </w:rPr>
        <w:t xml:space="preserve">ny other information required by the Commission.  </w:t>
      </w:r>
      <w:r w:rsidR="0014165C">
        <w:rPr>
          <w:sz w:val="26"/>
          <w:szCs w:val="26"/>
        </w:rPr>
        <w:t>UGI-CPG</w:t>
      </w:r>
      <w:r w:rsidRPr="00062E21">
        <w:rPr>
          <w:sz w:val="26"/>
          <w:szCs w:val="26"/>
        </w:rPr>
        <w:t xml:space="preserve"> has verified that it will provide customer notice of the proposed DSIC</w:t>
      </w:r>
      <w:r>
        <w:rPr>
          <w:sz w:val="26"/>
          <w:szCs w:val="26"/>
        </w:rPr>
        <w:t xml:space="preserve">, Commission action thereon, </w:t>
      </w:r>
      <w:r w:rsidRPr="00062E21">
        <w:rPr>
          <w:sz w:val="26"/>
          <w:szCs w:val="26"/>
        </w:rPr>
        <w:t xml:space="preserve">and quarterly updates through bill inserts, consistent with Act 11 and the Final Implementation Order.   </w:t>
      </w:r>
    </w:p>
    <w:p w:rsidR="00B76080" w:rsidRPr="00062E21" w:rsidRDefault="00B76080" w:rsidP="00B76080">
      <w:pPr>
        <w:widowControl/>
        <w:spacing w:line="360" w:lineRule="auto"/>
        <w:ind w:firstLine="1440"/>
        <w:rPr>
          <w:sz w:val="26"/>
          <w:szCs w:val="26"/>
        </w:rPr>
      </w:pPr>
    </w:p>
    <w:p w:rsidR="00F4616F" w:rsidRPr="00062E21" w:rsidRDefault="0014165C" w:rsidP="00B76080">
      <w:pPr>
        <w:widowControl/>
        <w:spacing w:line="360" w:lineRule="auto"/>
        <w:ind w:firstLine="1440"/>
        <w:rPr>
          <w:sz w:val="26"/>
          <w:szCs w:val="26"/>
        </w:rPr>
      </w:pPr>
      <w:r>
        <w:rPr>
          <w:sz w:val="26"/>
          <w:szCs w:val="26"/>
        </w:rPr>
        <w:t>UGI-CPG</w:t>
      </w:r>
      <w:r w:rsidR="00B76080" w:rsidRPr="00062E21">
        <w:rPr>
          <w:sz w:val="26"/>
          <w:szCs w:val="26"/>
        </w:rPr>
        <w:t xml:space="preserve"> </w:t>
      </w:r>
      <w:r w:rsidR="00B76080">
        <w:rPr>
          <w:sz w:val="26"/>
          <w:szCs w:val="26"/>
        </w:rPr>
        <w:t xml:space="preserve">will provide </w:t>
      </w:r>
      <w:r w:rsidR="00B76080" w:rsidRPr="00062E21">
        <w:rPr>
          <w:sz w:val="26"/>
          <w:szCs w:val="26"/>
        </w:rPr>
        <w:t>a bill insert to all customers informing them of the filing, the estimated impact of a DSIC on their bills</w:t>
      </w:r>
      <w:r w:rsidR="00B76080">
        <w:rPr>
          <w:sz w:val="26"/>
          <w:szCs w:val="26"/>
        </w:rPr>
        <w:t>,</w:t>
      </w:r>
      <w:r w:rsidR="00B76080" w:rsidRPr="00062E21">
        <w:rPr>
          <w:sz w:val="26"/>
          <w:szCs w:val="26"/>
        </w:rPr>
        <w:t xml:space="preserve"> and their rights to intervene in the proceeding.  The language on the </w:t>
      </w:r>
      <w:r w:rsidR="00B76080">
        <w:rPr>
          <w:sz w:val="26"/>
          <w:szCs w:val="26"/>
        </w:rPr>
        <w:t xml:space="preserve">bill </w:t>
      </w:r>
      <w:r w:rsidR="00B76080" w:rsidRPr="00062E21">
        <w:rPr>
          <w:sz w:val="26"/>
          <w:szCs w:val="26"/>
        </w:rPr>
        <w:t xml:space="preserve">insert was </w:t>
      </w:r>
      <w:r w:rsidR="00B76080">
        <w:rPr>
          <w:sz w:val="26"/>
          <w:szCs w:val="26"/>
        </w:rPr>
        <w:t xml:space="preserve">developed through feedback from the Commission and other interested parties.  </w:t>
      </w:r>
      <w:r w:rsidR="00B76080" w:rsidRPr="00062E21">
        <w:rPr>
          <w:sz w:val="26"/>
          <w:szCs w:val="26"/>
        </w:rPr>
        <w:t xml:space="preserve">  </w:t>
      </w:r>
    </w:p>
    <w:p w:rsidR="00B76080" w:rsidRPr="00062E21" w:rsidRDefault="00B76080" w:rsidP="00B76080">
      <w:pPr>
        <w:widowControl/>
        <w:spacing w:line="360" w:lineRule="auto"/>
        <w:ind w:firstLine="1440"/>
        <w:rPr>
          <w:sz w:val="26"/>
          <w:szCs w:val="26"/>
        </w:rPr>
      </w:pPr>
      <w:r w:rsidRPr="00062E21">
        <w:rPr>
          <w:sz w:val="26"/>
          <w:szCs w:val="26"/>
        </w:rPr>
        <w:lastRenderedPageBreak/>
        <w:t>The Commission agrees that this is consistent with the notice requirements set forth in the Model Tariff, Act 11</w:t>
      </w:r>
      <w:r>
        <w:rPr>
          <w:sz w:val="26"/>
          <w:szCs w:val="26"/>
        </w:rPr>
        <w:t>,</w:t>
      </w:r>
      <w:r w:rsidRPr="00062E21">
        <w:rPr>
          <w:sz w:val="26"/>
          <w:szCs w:val="26"/>
        </w:rPr>
        <w:t xml:space="preserve"> and the Final Implementation Order.</w:t>
      </w:r>
    </w:p>
    <w:p w:rsidR="00F25984" w:rsidRDefault="00F25984" w:rsidP="00B76080">
      <w:pPr>
        <w:widowControl/>
        <w:spacing w:line="360" w:lineRule="auto"/>
        <w:rPr>
          <w:b/>
          <w:sz w:val="26"/>
          <w:szCs w:val="26"/>
        </w:rPr>
      </w:pPr>
    </w:p>
    <w:p w:rsidR="00B76080" w:rsidRPr="00013204" w:rsidRDefault="00B76080" w:rsidP="00B76080">
      <w:pPr>
        <w:widowControl/>
        <w:spacing w:line="360" w:lineRule="auto"/>
        <w:rPr>
          <w:b/>
          <w:sz w:val="26"/>
          <w:szCs w:val="26"/>
        </w:rPr>
      </w:pPr>
      <w:r w:rsidRPr="00013204">
        <w:rPr>
          <w:b/>
          <w:sz w:val="26"/>
          <w:szCs w:val="26"/>
        </w:rPr>
        <w:t>Bills Rendered or Service Rendered</w:t>
      </w:r>
    </w:p>
    <w:p w:rsidR="00B76080" w:rsidRPr="00062E21" w:rsidRDefault="00B76080" w:rsidP="00B76080">
      <w:pPr>
        <w:widowControl/>
        <w:spacing w:line="360" w:lineRule="auto"/>
        <w:rPr>
          <w:sz w:val="26"/>
          <w:szCs w:val="26"/>
        </w:rPr>
      </w:pPr>
    </w:p>
    <w:p w:rsidR="00B76080" w:rsidRPr="00062E21" w:rsidRDefault="00B76080" w:rsidP="00B76080">
      <w:pPr>
        <w:widowControl/>
        <w:spacing w:line="360" w:lineRule="auto"/>
        <w:ind w:firstLine="1440"/>
        <w:rPr>
          <w:sz w:val="26"/>
          <w:szCs w:val="26"/>
        </w:rPr>
      </w:pPr>
      <w:r w:rsidRPr="00062E21">
        <w:rPr>
          <w:sz w:val="26"/>
          <w:szCs w:val="26"/>
        </w:rPr>
        <w:t>The Final Implementation Order directed utilities to bill customers for the DSIC on a bills rendered basis versus a service rendered basis</w:t>
      </w:r>
      <w:r w:rsidRPr="00062E21">
        <w:rPr>
          <w:rStyle w:val="FootnoteReference"/>
          <w:sz w:val="26"/>
          <w:szCs w:val="26"/>
        </w:rPr>
        <w:footnoteReference w:id="5"/>
      </w:r>
      <w:r w:rsidRPr="00062E21">
        <w:rPr>
          <w:sz w:val="26"/>
          <w:szCs w:val="26"/>
        </w:rPr>
        <w:t>, based on current practice and procedure for water companies</w:t>
      </w:r>
      <w:r>
        <w:rPr>
          <w:sz w:val="26"/>
          <w:szCs w:val="26"/>
        </w:rPr>
        <w:t xml:space="preserve">. </w:t>
      </w:r>
      <w:r w:rsidRPr="00062E21">
        <w:rPr>
          <w:sz w:val="26"/>
          <w:szCs w:val="26"/>
        </w:rPr>
        <w:t xml:space="preserve"> (</w:t>
      </w:r>
      <w:r w:rsidRPr="00062E21">
        <w:rPr>
          <w:i/>
          <w:sz w:val="26"/>
          <w:szCs w:val="26"/>
        </w:rPr>
        <w:t>See</w:t>
      </w:r>
      <w:r w:rsidRPr="00062E21">
        <w:rPr>
          <w:sz w:val="26"/>
          <w:szCs w:val="26"/>
        </w:rPr>
        <w:t xml:space="preserve"> 66 Pa. C. S. § 1358).  </w:t>
      </w:r>
      <w:r w:rsidR="0014165C">
        <w:rPr>
          <w:sz w:val="26"/>
          <w:szCs w:val="26"/>
        </w:rPr>
        <w:t>UGI-CPG</w:t>
      </w:r>
      <w:r w:rsidR="003535E5">
        <w:rPr>
          <w:sz w:val="26"/>
          <w:szCs w:val="26"/>
        </w:rPr>
        <w:t>’s</w:t>
      </w:r>
      <w:r w:rsidRPr="00062E21">
        <w:rPr>
          <w:sz w:val="26"/>
          <w:szCs w:val="26"/>
        </w:rPr>
        <w:t xml:space="preserve"> proposed tariff did not specify whether billing for the DSIC would be on a bills rendered or a service rendered basis.  Therefore, in accordance with the Final Implementation Order, we </w:t>
      </w:r>
      <w:r>
        <w:rPr>
          <w:sz w:val="26"/>
          <w:szCs w:val="26"/>
        </w:rPr>
        <w:t xml:space="preserve">direct </w:t>
      </w:r>
      <w:r w:rsidR="0014165C">
        <w:rPr>
          <w:sz w:val="26"/>
          <w:szCs w:val="26"/>
        </w:rPr>
        <w:t>UGI-CPG</w:t>
      </w:r>
      <w:r w:rsidRPr="00062E21">
        <w:rPr>
          <w:sz w:val="26"/>
          <w:szCs w:val="26"/>
        </w:rPr>
        <w:t xml:space="preserve"> to modify the language in the proposed tariff to specify that customers would be billed for the DSIC on a bills rendered basis.</w:t>
      </w:r>
    </w:p>
    <w:p w:rsidR="00B76080" w:rsidRPr="00062E21" w:rsidRDefault="00B76080" w:rsidP="00B76080">
      <w:pPr>
        <w:widowControl/>
        <w:spacing w:line="360" w:lineRule="auto"/>
        <w:rPr>
          <w:bCs/>
          <w:sz w:val="26"/>
          <w:szCs w:val="26"/>
        </w:rPr>
      </w:pPr>
    </w:p>
    <w:p w:rsidR="00B76080" w:rsidRPr="00013204" w:rsidRDefault="00B76080" w:rsidP="00B76080">
      <w:pPr>
        <w:widowControl/>
        <w:spacing w:line="360" w:lineRule="auto"/>
        <w:rPr>
          <w:b/>
          <w:bCs/>
          <w:sz w:val="26"/>
          <w:szCs w:val="26"/>
        </w:rPr>
      </w:pPr>
      <w:r w:rsidRPr="00013204">
        <w:rPr>
          <w:b/>
          <w:bCs/>
          <w:sz w:val="26"/>
          <w:szCs w:val="26"/>
        </w:rPr>
        <w:t>Section 1355 – Commission Review</w:t>
      </w:r>
    </w:p>
    <w:p w:rsidR="00B76080" w:rsidRPr="00062E21" w:rsidRDefault="00B76080" w:rsidP="00B76080">
      <w:pPr>
        <w:widowControl/>
        <w:spacing w:line="360" w:lineRule="auto"/>
        <w:rPr>
          <w:b/>
          <w:bCs/>
          <w:sz w:val="26"/>
          <w:szCs w:val="26"/>
          <w:u w:val="single"/>
        </w:rPr>
      </w:pPr>
    </w:p>
    <w:p w:rsidR="00B76080" w:rsidRPr="00062E21" w:rsidRDefault="00B76080" w:rsidP="00B76080">
      <w:pPr>
        <w:widowControl/>
        <w:spacing w:line="360" w:lineRule="auto"/>
        <w:ind w:firstLine="1440"/>
        <w:rPr>
          <w:sz w:val="26"/>
          <w:szCs w:val="26"/>
        </w:rPr>
      </w:pPr>
      <w:r w:rsidRPr="00062E21">
        <w:rPr>
          <w:sz w:val="26"/>
          <w:szCs w:val="26"/>
        </w:rPr>
        <w:t>Section 1355</w:t>
      </w:r>
      <w:r>
        <w:rPr>
          <w:sz w:val="26"/>
          <w:szCs w:val="26"/>
        </w:rPr>
        <w:t xml:space="preserve"> provides that </w:t>
      </w:r>
      <w:r w:rsidRPr="00062E21">
        <w:rPr>
          <w:sz w:val="26"/>
          <w:szCs w:val="26"/>
        </w:rPr>
        <w:t xml:space="preserve">the Commission shall, after notice and opportunity to be heard, approve, modify or reject a utility’s proposed DSIC and initial tariff.  The Bureau of Technical Utility Services has reviewed </w:t>
      </w:r>
      <w:r w:rsidR="0014165C">
        <w:rPr>
          <w:sz w:val="26"/>
          <w:szCs w:val="26"/>
        </w:rPr>
        <w:t>UGI-CPG</w:t>
      </w:r>
      <w:r w:rsidR="003535E5">
        <w:rPr>
          <w:sz w:val="26"/>
          <w:szCs w:val="26"/>
        </w:rPr>
        <w:t>’s</w:t>
      </w:r>
      <w:r w:rsidR="00AE1913">
        <w:rPr>
          <w:sz w:val="26"/>
          <w:szCs w:val="26"/>
        </w:rPr>
        <w:t xml:space="preserve"> proposed DSIC and </w:t>
      </w:r>
      <w:r w:rsidR="008C6A91">
        <w:rPr>
          <w:sz w:val="26"/>
          <w:szCs w:val="26"/>
        </w:rPr>
        <w:t>Proposed Tariff</w:t>
      </w:r>
      <w:r w:rsidRPr="00062E21">
        <w:rPr>
          <w:sz w:val="26"/>
          <w:szCs w:val="26"/>
        </w:rPr>
        <w:t xml:space="preserve"> and has determined that the filing contains all necessary items identified in Section 1353. </w:t>
      </w:r>
    </w:p>
    <w:p w:rsidR="00B76080" w:rsidRDefault="00B76080" w:rsidP="00B76080">
      <w:pPr>
        <w:widowControl/>
        <w:spacing w:line="360" w:lineRule="auto"/>
        <w:ind w:firstLine="1440"/>
        <w:rPr>
          <w:sz w:val="26"/>
          <w:szCs w:val="26"/>
        </w:rPr>
      </w:pPr>
    </w:p>
    <w:p w:rsidR="00B76080" w:rsidRPr="00062E21" w:rsidRDefault="00B76080" w:rsidP="00B76080">
      <w:pPr>
        <w:pStyle w:val="p2"/>
        <w:keepNext/>
        <w:widowControl/>
        <w:tabs>
          <w:tab w:val="left" w:pos="720"/>
        </w:tabs>
        <w:spacing w:line="360" w:lineRule="auto"/>
        <w:ind w:firstLine="0"/>
        <w:jc w:val="center"/>
        <w:rPr>
          <w:b/>
          <w:sz w:val="26"/>
          <w:szCs w:val="26"/>
        </w:rPr>
      </w:pPr>
      <w:r>
        <w:rPr>
          <w:b/>
          <w:sz w:val="26"/>
          <w:szCs w:val="26"/>
        </w:rPr>
        <w:t>DSIC SUMMARY</w:t>
      </w:r>
    </w:p>
    <w:p w:rsidR="00B76080" w:rsidRPr="00062E21" w:rsidRDefault="00B76080" w:rsidP="00B76080">
      <w:pPr>
        <w:keepNext/>
        <w:widowControl/>
        <w:spacing w:line="360" w:lineRule="auto"/>
        <w:ind w:firstLine="1440"/>
        <w:rPr>
          <w:sz w:val="26"/>
          <w:szCs w:val="26"/>
        </w:rPr>
      </w:pPr>
    </w:p>
    <w:p w:rsidR="00B76080" w:rsidRDefault="00B76080" w:rsidP="00B76080">
      <w:pPr>
        <w:widowControl/>
        <w:spacing w:line="360" w:lineRule="auto"/>
        <w:ind w:firstLine="1440"/>
        <w:rPr>
          <w:sz w:val="26"/>
          <w:szCs w:val="26"/>
        </w:rPr>
      </w:pPr>
      <w:r w:rsidRPr="004C2F54">
        <w:rPr>
          <w:color w:val="0D0D0D" w:themeColor="text1" w:themeTint="F2"/>
          <w:sz w:val="26"/>
          <w:szCs w:val="26"/>
        </w:rPr>
        <w:t xml:space="preserve">We will approve the proposed DSIC calculation and </w:t>
      </w:r>
      <w:r w:rsidR="00AE1913">
        <w:rPr>
          <w:color w:val="0D0D0D" w:themeColor="text1" w:themeTint="F2"/>
          <w:sz w:val="26"/>
          <w:szCs w:val="26"/>
        </w:rPr>
        <w:t>Proposed T</w:t>
      </w:r>
      <w:r w:rsidRPr="004C2F54">
        <w:rPr>
          <w:color w:val="0D0D0D" w:themeColor="text1" w:themeTint="F2"/>
          <w:sz w:val="26"/>
          <w:szCs w:val="26"/>
        </w:rPr>
        <w:t xml:space="preserve">ariff subject </w:t>
      </w:r>
      <w:r w:rsidRPr="00062E21">
        <w:rPr>
          <w:sz w:val="26"/>
          <w:szCs w:val="26"/>
        </w:rPr>
        <w:t>to the modifications consistent with this Order, including the following:</w:t>
      </w:r>
      <w:r>
        <w:rPr>
          <w:sz w:val="26"/>
          <w:szCs w:val="26"/>
        </w:rPr>
        <w:t xml:space="preserve">  </w:t>
      </w:r>
    </w:p>
    <w:p w:rsidR="00B76080" w:rsidRPr="00062E21" w:rsidRDefault="00B76080" w:rsidP="00B76080">
      <w:pPr>
        <w:widowControl/>
        <w:spacing w:line="360" w:lineRule="auto"/>
        <w:ind w:firstLine="1440"/>
        <w:rPr>
          <w:sz w:val="26"/>
          <w:szCs w:val="26"/>
        </w:rPr>
      </w:pPr>
    </w:p>
    <w:p w:rsidR="00B76080" w:rsidRPr="00380A79" w:rsidRDefault="00B76080" w:rsidP="00B76080">
      <w:pPr>
        <w:pStyle w:val="ListParagraph"/>
        <w:widowControl/>
        <w:numPr>
          <w:ilvl w:val="0"/>
          <w:numId w:val="28"/>
        </w:numPr>
        <w:spacing w:line="360" w:lineRule="auto"/>
        <w:rPr>
          <w:sz w:val="26"/>
          <w:szCs w:val="26"/>
        </w:rPr>
      </w:pPr>
      <w:r w:rsidRPr="00380A79">
        <w:rPr>
          <w:sz w:val="26"/>
          <w:szCs w:val="26"/>
        </w:rPr>
        <w:lastRenderedPageBreak/>
        <w:t>A tariff filed on ten days’ notice with an eff</w:t>
      </w:r>
      <w:r w:rsidR="00380A79" w:rsidRPr="00380A79">
        <w:rPr>
          <w:sz w:val="26"/>
          <w:szCs w:val="26"/>
        </w:rPr>
        <w:t>ective date no earlier than October 1, 2014</w:t>
      </w:r>
      <w:r w:rsidRPr="00380A79">
        <w:rPr>
          <w:sz w:val="26"/>
          <w:szCs w:val="26"/>
        </w:rPr>
        <w:t>;</w:t>
      </w:r>
    </w:p>
    <w:p w:rsidR="00B76080" w:rsidRPr="00380A79" w:rsidRDefault="00380A79" w:rsidP="00B76080">
      <w:pPr>
        <w:pStyle w:val="ListParagraph"/>
        <w:widowControl/>
        <w:numPr>
          <w:ilvl w:val="0"/>
          <w:numId w:val="28"/>
        </w:numPr>
        <w:spacing w:line="360" w:lineRule="auto"/>
        <w:rPr>
          <w:sz w:val="26"/>
          <w:szCs w:val="26"/>
        </w:rPr>
      </w:pPr>
      <w:r w:rsidRPr="00380A79">
        <w:rPr>
          <w:sz w:val="26"/>
          <w:szCs w:val="26"/>
        </w:rPr>
        <w:t>A three-month period of June</w:t>
      </w:r>
      <w:r w:rsidR="00B76080" w:rsidRPr="00380A79">
        <w:rPr>
          <w:sz w:val="26"/>
          <w:szCs w:val="26"/>
        </w:rPr>
        <w:t xml:space="preserve"> through </w:t>
      </w:r>
      <w:r w:rsidRPr="00380A79">
        <w:rPr>
          <w:sz w:val="26"/>
          <w:szCs w:val="26"/>
        </w:rPr>
        <w:t>August</w:t>
      </w:r>
      <w:r w:rsidR="00B76080" w:rsidRPr="00380A79">
        <w:rPr>
          <w:sz w:val="26"/>
          <w:szCs w:val="26"/>
        </w:rPr>
        <w:t xml:space="preserve"> for eligible plant additions; </w:t>
      </w:r>
    </w:p>
    <w:p w:rsidR="00B76080" w:rsidRPr="00380A79" w:rsidRDefault="00930D7C" w:rsidP="00B76080">
      <w:pPr>
        <w:pStyle w:val="ListParagraph"/>
        <w:widowControl/>
        <w:numPr>
          <w:ilvl w:val="0"/>
          <w:numId w:val="28"/>
        </w:numPr>
        <w:spacing w:line="360" w:lineRule="auto"/>
        <w:rPr>
          <w:sz w:val="26"/>
          <w:szCs w:val="26"/>
        </w:rPr>
      </w:pPr>
      <w:r w:rsidRPr="00380A79">
        <w:rPr>
          <w:sz w:val="26"/>
          <w:szCs w:val="26"/>
        </w:rPr>
        <w:t>An initial quarterly depreciation expense being equal to the initial accumulated depreciation</w:t>
      </w:r>
      <w:r w:rsidR="00B76080" w:rsidRPr="00380A79">
        <w:rPr>
          <w:sz w:val="26"/>
          <w:szCs w:val="26"/>
        </w:rPr>
        <w:t>;</w:t>
      </w:r>
      <w:r w:rsidR="009163AC" w:rsidRPr="00380A79">
        <w:rPr>
          <w:sz w:val="26"/>
          <w:szCs w:val="26"/>
        </w:rPr>
        <w:t xml:space="preserve"> and,</w:t>
      </w:r>
    </w:p>
    <w:p w:rsidR="00B76080" w:rsidRPr="00062E21" w:rsidRDefault="009163AC" w:rsidP="00B76080">
      <w:pPr>
        <w:pStyle w:val="ListParagraph"/>
        <w:widowControl/>
        <w:numPr>
          <w:ilvl w:val="0"/>
          <w:numId w:val="28"/>
        </w:numPr>
        <w:spacing w:line="360" w:lineRule="auto"/>
        <w:rPr>
          <w:sz w:val="26"/>
          <w:szCs w:val="26"/>
        </w:rPr>
      </w:pPr>
      <w:r w:rsidRPr="005D55D8">
        <w:rPr>
          <w:sz w:val="26"/>
          <w:szCs w:val="26"/>
        </w:rPr>
        <w:t xml:space="preserve">An appropriate return on equity as displayed in the Commission’s Quarterly Report for </w:t>
      </w:r>
      <w:r w:rsidR="005D55D8">
        <w:rPr>
          <w:sz w:val="26"/>
          <w:szCs w:val="26"/>
        </w:rPr>
        <w:t>the period ending March 31, 2014</w:t>
      </w:r>
      <w:r w:rsidRPr="005D55D8">
        <w:rPr>
          <w:sz w:val="26"/>
          <w:szCs w:val="26"/>
        </w:rPr>
        <w:t>.</w:t>
      </w:r>
      <w:r w:rsidR="00B76080" w:rsidRPr="00062E21">
        <w:rPr>
          <w:sz w:val="26"/>
          <w:szCs w:val="26"/>
        </w:rPr>
        <w:t xml:space="preserve">   </w:t>
      </w:r>
    </w:p>
    <w:p w:rsidR="00B76080" w:rsidRPr="00062E21" w:rsidRDefault="00B76080" w:rsidP="00B76080">
      <w:pPr>
        <w:widowControl/>
        <w:spacing w:line="360" w:lineRule="auto"/>
        <w:ind w:firstLine="1440"/>
        <w:rPr>
          <w:sz w:val="26"/>
          <w:szCs w:val="26"/>
        </w:rPr>
      </w:pPr>
    </w:p>
    <w:p w:rsidR="00B76080" w:rsidRDefault="00B76080" w:rsidP="00B76080">
      <w:pPr>
        <w:widowControl/>
        <w:spacing w:line="360" w:lineRule="auto"/>
        <w:ind w:firstLine="1440"/>
        <w:rPr>
          <w:sz w:val="26"/>
          <w:szCs w:val="26"/>
        </w:rPr>
      </w:pPr>
      <w:r w:rsidRPr="00062E21">
        <w:rPr>
          <w:sz w:val="26"/>
          <w:szCs w:val="26"/>
        </w:rPr>
        <w:t xml:space="preserve">Section 1355 also states that the Commission shall hold evidentiary and public input hearings as necessary to review the </w:t>
      </w:r>
      <w:r>
        <w:rPr>
          <w:sz w:val="26"/>
          <w:szCs w:val="26"/>
        </w:rPr>
        <w:t xml:space="preserve">petition.  As noted above, </w:t>
      </w:r>
      <w:r w:rsidR="003535E5">
        <w:rPr>
          <w:sz w:val="26"/>
          <w:szCs w:val="26"/>
        </w:rPr>
        <w:t xml:space="preserve">OCA and </w:t>
      </w:r>
      <w:r w:rsidRPr="009163AC">
        <w:rPr>
          <w:sz w:val="26"/>
          <w:szCs w:val="26"/>
        </w:rPr>
        <w:t>OSBA</w:t>
      </w:r>
      <w:r w:rsidRPr="00062E21">
        <w:rPr>
          <w:sz w:val="26"/>
          <w:szCs w:val="26"/>
        </w:rPr>
        <w:t xml:space="preserve"> have petitioned to intervene in </w:t>
      </w:r>
      <w:r w:rsidR="0014165C">
        <w:rPr>
          <w:sz w:val="26"/>
          <w:szCs w:val="26"/>
        </w:rPr>
        <w:t>UGI-CPG</w:t>
      </w:r>
      <w:r w:rsidR="003535E5">
        <w:rPr>
          <w:sz w:val="26"/>
          <w:szCs w:val="26"/>
        </w:rPr>
        <w:t>’s</w:t>
      </w:r>
      <w:r w:rsidRPr="00062E21">
        <w:rPr>
          <w:sz w:val="26"/>
          <w:szCs w:val="26"/>
        </w:rPr>
        <w:t xml:space="preserve"> DSIC proceeding</w:t>
      </w:r>
      <w:r>
        <w:rPr>
          <w:sz w:val="26"/>
          <w:szCs w:val="26"/>
        </w:rPr>
        <w:t>, and there were requests to hold evidentiary hearing</w:t>
      </w:r>
      <w:r w:rsidR="003535E5">
        <w:rPr>
          <w:sz w:val="26"/>
          <w:szCs w:val="26"/>
        </w:rPr>
        <w:t>s</w:t>
      </w:r>
      <w:r>
        <w:rPr>
          <w:sz w:val="26"/>
          <w:szCs w:val="26"/>
        </w:rPr>
        <w:t xml:space="preserve"> on several aspects of the DSIC.  </w:t>
      </w:r>
    </w:p>
    <w:p w:rsidR="00B76080" w:rsidRDefault="00B76080" w:rsidP="00B76080">
      <w:pPr>
        <w:widowControl/>
        <w:spacing w:line="360" w:lineRule="auto"/>
        <w:ind w:firstLine="1440"/>
        <w:rPr>
          <w:sz w:val="26"/>
          <w:szCs w:val="26"/>
        </w:rPr>
      </w:pPr>
    </w:p>
    <w:p w:rsidR="00B76080" w:rsidRPr="00013204" w:rsidRDefault="009163AC" w:rsidP="00B76080">
      <w:pPr>
        <w:widowControl/>
        <w:spacing w:line="360" w:lineRule="auto"/>
        <w:ind w:firstLine="1440"/>
        <w:rPr>
          <w:sz w:val="26"/>
          <w:szCs w:val="26"/>
        </w:rPr>
      </w:pPr>
      <w:r w:rsidRPr="002807C0">
        <w:rPr>
          <w:sz w:val="26"/>
          <w:szCs w:val="26"/>
        </w:rPr>
        <w:t>Accordingly, we will refer</w:t>
      </w:r>
      <w:r w:rsidR="00B76080" w:rsidRPr="002807C0">
        <w:rPr>
          <w:sz w:val="26"/>
          <w:szCs w:val="26"/>
        </w:rPr>
        <w:t xml:space="preserve"> the matter</w:t>
      </w:r>
      <w:r w:rsidR="00C60A78">
        <w:rPr>
          <w:sz w:val="26"/>
          <w:szCs w:val="26"/>
        </w:rPr>
        <w:t xml:space="preserve">s of DSIC recovery of expenditures related to the </w:t>
      </w:r>
      <w:r w:rsidR="00C60A78">
        <w:rPr>
          <w:color w:val="0D0D0D" w:themeColor="text1" w:themeTint="F2"/>
          <w:sz w:val="26"/>
          <w:szCs w:val="26"/>
        </w:rPr>
        <w:t>inclusion of gathering lines and storage lines as DSIC-eligible property, as well as</w:t>
      </w:r>
      <w:r w:rsidR="00C60A78" w:rsidRPr="002807C0">
        <w:rPr>
          <w:sz w:val="26"/>
          <w:szCs w:val="26"/>
        </w:rPr>
        <w:t xml:space="preserve"> </w:t>
      </w:r>
      <w:r w:rsidR="00B76080" w:rsidRPr="002807C0">
        <w:rPr>
          <w:sz w:val="26"/>
          <w:szCs w:val="26"/>
        </w:rPr>
        <w:t xml:space="preserve">costs associated with </w:t>
      </w:r>
      <w:r w:rsidR="002807C0" w:rsidRPr="002807C0">
        <w:rPr>
          <w:sz w:val="26"/>
          <w:szCs w:val="26"/>
        </w:rPr>
        <w:t>“other related capitalized costs” – including, but not limited to,</w:t>
      </w:r>
      <w:r w:rsidR="002807C0" w:rsidRPr="002807C0">
        <w:rPr>
          <w:color w:val="0D0D0D" w:themeColor="text1" w:themeTint="F2"/>
          <w:sz w:val="26"/>
          <w:szCs w:val="26"/>
        </w:rPr>
        <w:t xml:space="preserve"> </w:t>
      </w:r>
      <w:r w:rsidR="002807C0" w:rsidRPr="002807C0">
        <w:rPr>
          <w:sz w:val="26"/>
          <w:szCs w:val="26"/>
        </w:rPr>
        <w:t>regulator stations and equipment, electronic systems and software, and vehicles, tools and power equipment</w:t>
      </w:r>
      <w:r w:rsidR="002807C0">
        <w:rPr>
          <w:sz w:val="26"/>
          <w:szCs w:val="26"/>
        </w:rPr>
        <w:t xml:space="preserve"> </w:t>
      </w:r>
      <w:r w:rsidR="002807C0" w:rsidRPr="002807C0">
        <w:rPr>
          <w:sz w:val="26"/>
          <w:szCs w:val="26"/>
        </w:rPr>
        <w:t>–</w:t>
      </w:r>
      <w:r w:rsidR="002807C0">
        <w:rPr>
          <w:sz w:val="26"/>
          <w:szCs w:val="26"/>
        </w:rPr>
        <w:t xml:space="preserve"> </w:t>
      </w:r>
      <w:r w:rsidRPr="002807C0">
        <w:rPr>
          <w:color w:val="0D0D0D" w:themeColor="text1" w:themeTint="F2"/>
          <w:sz w:val="26"/>
          <w:szCs w:val="26"/>
        </w:rPr>
        <w:t xml:space="preserve">to the OALJ for hearing and recommended decision. </w:t>
      </w:r>
      <w:r w:rsidR="00B76080" w:rsidRPr="002807C0">
        <w:rPr>
          <w:sz w:val="26"/>
          <w:szCs w:val="26"/>
        </w:rPr>
        <w:t xml:space="preserve"> </w:t>
      </w:r>
      <w:r w:rsidRPr="002807C0">
        <w:rPr>
          <w:sz w:val="26"/>
          <w:szCs w:val="26"/>
        </w:rPr>
        <w:t>W</w:t>
      </w:r>
      <w:r w:rsidR="00B76080" w:rsidRPr="002807C0">
        <w:rPr>
          <w:sz w:val="26"/>
          <w:szCs w:val="26"/>
        </w:rPr>
        <w:t xml:space="preserve">e shall also refer </w:t>
      </w:r>
      <w:r w:rsidR="00315C5B">
        <w:rPr>
          <w:sz w:val="26"/>
          <w:szCs w:val="26"/>
        </w:rPr>
        <w:t xml:space="preserve">the issue </w:t>
      </w:r>
      <w:r w:rsidR="00C60A78">
        <w:rPr>
          <w:sz w:val="26"/>
          <w:szCs w:val="26"/>
        </w:rPr>
        <w:t xml:space="preserve">of </w:t>
      </w:r>
      <w:r w:rsidR="0014165C">
        <w:rPr>
          <w:sz w:val="26"/>
          <w:szCs w:val="26"/>
        </w:rPr>
        <w:t>UGI-CPG</w:t>
      </w:r>
      <w:r w:rsidR="00C60A78">
        <w:rPr>
          <w:sz w:val="26"/>
          <w:szCs w:val="26"/>
        </w:rPr>
        <w:t>’s proposal to include qualifying plant investment placed into service during the December 1, 2013 to November 30, 2014 timeframe in its April 1, 2015 DSIC rate to</w:t>
      </w:r>
      <w:r w:rsidR="00C60A78" w:rsidRPr="002807C0">
        <w:rPr>
          <w:sz w:val="26"/>
          <w:szCs w:val="26"/>
        </w:rPr>
        <w:t xml:space="preserve"> </w:t>
      </w:r>
      <w:r w:rsidRPr="002807C0">
        <w:rPr>
          <w:sz w:val="26"/>
          <w:szCs w:val="26"/>
        </w:rPr>
        <w:t xml:space="preserve">the </w:t>
      </w:r>
      <w:r w:rsidR="00B76080" w:rsidRPr="002807C0">
        <w:rPr>
          <w:sz w:val="26"/>
          <w:szCs w:val="26"/>
        </w:rPr>
        <w:t xml:space="preserve">OALJ for evidentiary hearings and preparation of a recommended decision.  To the extent that </w:t>
      </w:r>
      <w:r w:rsidR="0014165C">
        <w:rPr>
          <w:sz w:val="26"/>
          <w:szCs w:val="26"/>
        </w:rPr>
        <w:t>UGI-CPG</w:t>
      </w:r>
      <w:r w:rsidR="00B76080" w:rsidRPr="002807C0">
        <w:rPr>
          <w:sz w:val="26"/>
          <w:szCs w:val="26"/>
        </w:rPr>
        <w:t xml:space="preserve"> elects to implement a DSIC mechanism prior to resolution of these matters, any recovery will be subject to refund or recoupment consistent with final determinations on these matters referred to OALJ.</w:t>
      </w:r>
    </w:p>
    <w:p w:rsidR="00B76080" w:rsidRPr="00013204" w:rsidRDefault="00B76080" w:rsidP="00B76080">
      <w:pPr>
        <w:widowControl/>
        <w:spacing w:line="360" w:lineRule="auto"/>
        <w:ind w:firstLine="1440"/>
        <w:rPr>
          <w:sz w:val="26"/>
          <w:szCs w:val="26"/>
        </w:rPr>
      </w:pPr>
    </w:p>
    <w:p w:rsidR="00B76080" w:rsidRPr="00C82201" w:rsidRDefault="003535E5" w:rsidP="00B76080">
      <w:pPr>
        <w:widowControl/>
        <w:spacing w:line="360" w:lineRule="auto"/>
        <w:ind w:firstLine="1440"/>
        <w:rPr>
          <w:color w:val="0D0D0D" w:themeColor="text1" w:themeTint="F2"/>
          <w:sz w:val="26"/>
          <w:szCs w:val="26"/>
        </w:rPr>
      </w:pPr>
      <w:r>
        <w:rPr>
          <w:sz w:val="26"/>
          <w:szCs w:val="26"/>
        </w:rPr>
        <w:t>We note the filing</w:t>
      </w:r>
      <w:r w:rsidR="00170FDC">
        <w:rPr>
          <w:sz w:val="26"/>
          <w:szCs w:val="26"/>
        </w:rPr>
        <w:t xml:space="preserve"> </w:t>
      </w:r>
      <w:r w:rsidR="00B76080" w:rsidRPr="00013204">
        <w:rPr>
          <w:sz w:val="26"/>
          <w:szCs w:val="26"/>
        </w:rPr>
        <w:t xml:space="preserve">of </w:t>
      </w:r>
      <w:r w:rsidR="00170FDC">
        <w:rPr>
          <w:sz w:val="26"/>
          <w:szCs w:val="26"/>
        </w:rPr>
        <w:t>OSBA</w:t>
      </w:r>
      <w:r>
        <w:rPr>
          <w:sz w:val="26"/>
          <w:szCs w:val="26"/>
        </w:rPr>
        <w:t>, and</w:t>
      </w:r>
      <w:r w:rsidR="00B76080" w:rsidRPr="00013204">
        <w:rPr>
          <w:sz w:val="26"/>
          <w:szCs w:val="26"/>
        </w:rPr>
        <w:t xml:space="preserve"> conclude that they have not articulated a basis for denying </w:t>
      </w:r>
      <w:r w:rsidR="0014165C">
        <w:rPr>
          <w:sz w:val="26"/>
          <w:szCs w:val="26"/>
        </w:rPr>
        <w:t>UGI-CPG</w:t>
      </w:r>
      <w:r w:rsidR="00B76080" w:rsidRPr="00013204">
        <w:rPr>
          <w:sz w:val="26"/>
          <w:szCs w:val="26"/>
        </w:rPr>
        <w:t xml:space="preserve"> the opportunity to implement a DSIC mechanism, consistent with our discussion above.</w:t>
      </w:r>
    </w:p>
    <w:p w:rsidR="00B76080" w:rsidRPr="00752F18" w:rsidRDefault="00B76080" w:rsidP="00B76080">
      <w:pPr>
        <w:keepNext/>
        <w:widowControl/>
        <w:spacing w:line="360" w:lineRule="auto"/>
        <w:jc w:val="center"/>
        <w:rPr>
          <w:b/>
          <w:sz w:val="26"/>
          <w:szCs w:val="26"/>
        </w:rPr>
      </w:pPr>
      <w:r w:rsidRPr="00752F18">
        <w:rPr>
          <w:b/>
          <w:sz w:val="26"/>
          <w:szCs w:val="26"/>
        </w:rPr>
        <w:lastRenderedPageBreak/>
        <w:t>CONCLUSION</w:t>
      </w:r>
    </w:p>
    <w:p w:rsidR="00B76080" w:rsidRDefault="00B76080" w:rsidP="00B76080">
      <w:pPr>
        <w:keepNext/>
        <w:widowControl/>
        <w:spacing w:line="360" w:lineRule="auto"/>
        <w:ind w:firstLine="1440"/>
        <w:rPr>
          <w:sz w:val="26"/>
          <w:szCs w:val="26"/>
        </w:rPr>
      </w:pPr>
    </w:p>
    <w:p w:rsidR="00B76080" w:rsidRDefault="00B76080" w:rsidP="00B76080">
      <w:pPr>
        <w:pStyle w:val="p4"/>
        <w:widowControl/>
        <w:tabs>
          <w:tab w:val="clear" w:pos="204"/>
          <w:tab w:val="left" w:pos="0"/>
        </w:tabs>
        <w:spacing w:line="360" w:lineRule="auto"/>
        <w:ind w:firstLine="1440"/>
        <w:outlineLvl w:val="0"/>
        <w:rPr>
          <w:sz w:val="26"/>
          <w:szCs w:val="26"/>
        </w:rPr>
      </w:pPr>
      <w:r>
        <w:rPr>
          <w:sz w:val="26"/>
          <w:szCs w:val="26"/>
        </w:rPr>
        <w:t xml:space="preserve">Upon review, </w:t>
      </w:r>
      <w:r w:rsidR="003535E5" w:rsidRPr="00062E21">
        <w:rPr>
          <w:sz w:val="26"/>
          <w:szCs w:val="26"/>
        </w:rPr>
        <w:t xml:space="preserve">the Commission finds that the </w:t>
      </w:r>
      <w:r w:rsidR="0014165C">
        <w:rPr>
          <w:sz w:val="26"/>
          <w:szCs w:val="26"/>
        </w:rPr>
        <w:t>UGI-CPG</w:t>
      </w:r>
      <w:r w:rsidR="003535E5" w:rsidRPr="00062E21">
        <w:rPr>
          <w:sz w:val="26"/>
          <w:szCs w:val="26"/>
        </w:rPr>
        <w:t xml:space="preserve"> Long-Term Infrastructure Improvement Plan and manner in which it was filed conforms to the requirements of Act 11</w:t>
      </w:r>
      <w:r w:rsidR="003535E5">
        <w:rPr>
          <w:sz w:val="26"/>
          <w:szCs w:val="26"/>
        </w:rPr>
        <w:t xml:space="preserve"> and our </w:t>
      </w:r>
      <w:r w:rsidR="003535E5" w:rsidRPr="00062E21">
        <w:rPr>
          <w:sz w:val="26"/>
          <w:szCs w:val="26"/>
        </w:rPr>
        <w:t>Final Implementation Order</w:t>
      </w:r>
      <w:r w:rsidR="003535E5">
        <w:rPr>
          <w:sz w:val="26"/>
          <w:szCs w:val="26"/>
        </w:rPr>
        <w:t>.</w:t>
      </w:r>
    </w:p>
    <w:p w:rsidR="00B76080" w:rsidRDefault="00B76080" w:rsidP="00B76080">
      <w:pPr>
        <w:pStyle w:val="p4"/>
        <w:widowControl/>
        <w:tabs>
          <w:tab w:val="clear" w:pos="204"/>
          <w:tab w:val="left" w:pos="0"/>
        </w:tabs>
        <w:spacing w:line="360" w:lineRule="auto"/>
        <w:ind w:firstLine="1440"/>
        <w:outlineLvl w:val="0"/>
        <w:rPr>
          <w:sz w:val="26"/>
          <w:szCs w:val="26"/>
        </w:rPr>
      </w:pPr>
    </w:p>
    <w:p w:rsidR="00B76080" w:rsidRDefault="003535E5" w:rsidP="00B76080">
      <w:pPr>
        <w:pStyle w:val="p4"/>
        <w:widowControl/>
        <w:tabs>
          <w:tab w:val="clear" w:pos="204"/>
          <w:tab w:val="left" w:pos="0"/>
        </w:tabs>
        <w:spacing w:line="360" w:lineRule="auto"/>
        <w:ind w:firstLine="1440"/>
        <w:outlineLvl w:val="0"/>
        <w:rPr>
          <w:b/>
          <w:sz w:val="26"/>
          <w:szCs w:val="26"/>
        </w:rPr>
      </w:pPr>
      <w:r>
        <w:rPr>
          <w:sz w:val="26"/>
          <w:szCs w:val="26"/>
        </w:rPr>
        <w:t>Additionally</w:t>
      </w:r>
      <w:r w:rsidR="00B76080" w:rsidRPr="00062E21">
        <w:rPr>
          <w:sz w:val="26"/>
          <w:szCs w:val="26"/>
        </w:rPr>
        <w:t xml:space="preserve">, the Commission finds that the Petition of </w:t>
      </w:r>
      <w:r w:rsidR="0014165C">
        <w:rPr>
          <w:sz w:val="26"/>
          <w:szCs w:val="26"/>
        </w:rPr>
        <w:t>UGI-CPG</w:t>
      </w:r>
      <w:r w:rsidR="00B76080" w:rsidRPr="00062E21">
        <w:rPr>
          <w:sz w:val="26"/>
          <w:szCs w:val="26"/>
        </w:rPr>
        <w:t xml:space="preserve"> for a Distribution System Improvement Charge complies with the requirements of Act 11</w:t>
      </w:r>
      <w:r w:rsidR="00B76080">
        <w:rPr>
          <w:sz w:val="26"/>
          <w:szCs w:val="26"/>
        </w:rPr>
        <w:t xml:space="preserve"> and our </w:t>
      </w:r>
      <w:r w:rsidR="00B76080" w:rsidRPr="00062E21">
        <w:rPr>
          <w:sz w:val="26"/>
          <w:szCs w:val="26"/>
        </w:rPr>
        <w:t>Final Implementation Order</w:t>
      </w:r>
      <w:r w:rsidR="00B76080">
        <w:rPr>
          <w:sz w:val="26"/>
          <w:szCs w:val="26"/>
        </w:rPr>
        <w:t xml:space="preserve">. </w:t>
      </w:r>
      <w:r w:rsidR="00B76080" w:rsidRPr="00062E21">
        <w:rPr>
          <w:sz w:val="26"/>
          <w:szCs w:val="26"/>
        </w:rPr>
        <w:t xml:space="preserve"> Moreover, the Commission has reviewed the filing and does not find it to be inconsistent with the applicable law or Commission policy</w:t>
      </w:r>
      <w:r w:rsidR="00B76080">
        <w:rPr>
          <w:sz w:val="26"/>
          <w:szCs w:val="26"/>
        </w:rPr>
        <w:t xml:space="preserve">.  Subject to recoupment and/or refund pending final resolution of the matters referred herein to the OALJ, </w:t>
      </w:r>
      <w:r w:rsidR="0014165C">
        <w:rPr>
          <w:sz w:val="26"/>
          <w:szCs w:val="26"/>
        </w:rPr>
        <w:t>UGI-CPG</w:t>
      </w:r>
      <w:r w:rsidR="00B76080">
        <w:rPr>
          <w:sz w:val="26"/>
          <w:szCs w:val="26"/>
        </w:rPr>
        <w:t xml:space="preserve"> may elect to implement a DSIC mechanism consistent with this order on ten days’ notice</w:t>
      </w:r>
      <w:r w:rsidR="00B76080" w:rsidRPr="00062E21">
        <w:rPr>
          <w:sz w:val="26"/>
          <w:szCs w:val="26"/>
        </w:rPr>
        <w:t xml:space="preserve">; </w:t>
      </w:r>
      <w:r w:rsidR="00B76080" w:rsidRPr="00062E21">
        <w:rPr>
          <w:b/>
          <w:sz w:val="26"/>
          <w:szCs w:val="26"/>
        </w:rPr>
        <w:t>THEREFORE,</w:t>
      </w:r>
    </w:p>
    <w:p w:rsidR="00B76080" w:rsidRDefault="00B76080" w:rsidP="00B76080">
      <w:pPr>
        <w:pStyle w:val="p2"/>
        <w:widowControl/>
        <w:spacing w:line="360" w:lineRule="auto"/>
        <w:ind w:firstLine="720"/>
        <w:rPr>
          <w:b/>
          <w:sz w:val="26"/>
          <w:szCs w:val="26"/>
        </w:rPr>
      </w:pPr>
    </w:p>
    <w:p w:rsidR="00B76080" w:rsidRPr="00062E21" w:rsidRDefault="00B76080" w:rsidP="00B76080">
      <w:pPr>
        <w:pStyle w:val="p2"/>
        <w:widowControl/>
        <w:spacing w:line="360" w:lineRule="auto"/>
        <w:ind w:firstLine="720"/>
        <w:rPr>
          <w:b/>
          <w:sz w:val="26"/>
          <w:szCs w:val="26"/>
        </w:rPr>
      </w:pPr>
      <w:r w:rsidRPr="00062E21">
        <w:rPr>
          <w:b/>
          <w:sz w:val="26"/>
          <w:szCs w:val="26"/>
        </w:rPr>
        <w:t>IT IS ORDERED:</w:t>
      </w:r>
    </w:p>
    <w:p w:rsidR="00170FDC" w:rsidRDefault="00170FDC" w:rsidP="00170FDC">
      <w:pPr>
        <w:pStyle w:val="p4"/>
        <w:widowControl/>
        <w:tabs>
          <w:tab w:val="clear" w:pos="204"/>
          <w:tab w:val="left" w:pos="0"/>
        </w:tabs>
        <w:spacing w:line="360" w:lineRule="auto"/>
        <w:ind w:left="720"/>
        <w:outlineLvl w:val="0"/>
        <w:rPr>
          <w:sz w:val="26"/>
          <w:szCs w:val="26"/>
        </w:rPr>
      </w:pPr>
    </w:p>
    <w:p w:rsidR="00B76080" w:rsidRPr="00062E21" w:rsidRDefault="00B76080" w:rsidP="00B76080">
      <w:pPr>
        <w:pStyle w:val="p4"/>
        <w:widowControl/>
        <w:numPr>
          <w:ilvl w:val="0"/>
          <w:numId w:val="18"/>
        </w:numPr>
        <w:tabs>
          <w:tab w:val="clear" w:pos="204"/>
          <w:tab w:val="left" w:pos="0"/>
        </w:tabs>
        <w:spacing w:line="360" w:lineRule="auto"/>
        <w:ind w:left="90" w:firstLine="630"/>
        <w:outlineLvl w:val="0"/>
        <w:rPr>
          <w:sz w:val="26"/>
          <w:szCs w:val="26"/>
        </w:rPr>
      </w:pPr>
      <w:r w:rsidRPr="00062E21">
        <w:rPr>
          <w:sz w:val="26"/>
          <w:szCs w:val="26"/>
        </w:rPr>
        <w:t xml:space="preserve">That the Petition for approval of a Long-Term Infrastructure Improvement Plan </w:t>
      </w:r>
      <w:r>
        <w:rPr>
          <w:sz w:val="26"/>
          <w:szCs w:val="26"/>
        </w:rPr>
        <w:t xml:space="preserve">(LTIIP) </w:t>
      </w:r>
      <w:r w:rsidRPr="00062E21">
        <w:rPr>
          <w:sz w:val="26"/>
          <w:szCs w:val="26"/>
        </w:rPr>
        <w:t xml:space="preserve">filed by </w:t>
      </w:r>
      <w:r w:rsidR="005D55D8">
        <w:rPr>
          <w:color w:val="0D0D0D" w:themeColor="text1" w:themeTint="F2"/>
          <w:sz w:val="26"/>
          <w:szCs w:val="26"/>
        </w:rPr>
        <w:t>UGI Central Penn Gas, Inc.</w:t>
      </w:r>
      <w:r w:rsidRPr="00062E21">
        <w:rPr>
          <w:sz w:val="26"/>
          <w:szCs w:val="26"/>
        </w:rPr>
        <w:t xml:space="preserve"> is </w:t>
      </w:r>
      <w:r>
        <w:rPr>
          <w:sz w:val="26"/>
          <w:szCs w:val="26"/>
        </w:rPr>
        <w:t>approved, consistent with this Order</w:t>
      </w:r>
      <w:r w:rsidRPr="00062E21">
        <w:rPr>
          <w:sz w:val="26"/>
          <w:szCs w:val="26"/>
        </w:rPr>
        <w:t>.</w:t>
      </w:r>
    </w:p>
    <w:p w:rsidR="00B76080" w:rsidRPr="00062E21" w:rsidRDefault="00B76080" w:rsidP="00B76080">
      <w:pPr>
        <w:pStyle w:val="p4"/>
        <w:widowControl/>
        <w:tabs>
          <w:tab w:val="clear" w:pos="204"/>
          <w:tab w:val="left" w:pos="0"/>
        </w:tabs>
        <w:spacing w:line="360" w:lineRule="auto"/>
        <w:ind w:left="90"/>
        <w:outlineLvl w:val="0"/>
        <w:rPr>
          <w:sz w:val="26"/>
          <w:szCs w:val="26"/>
        </w:rPr>
      </w:pPr>
    </w:p>
    <w:p w:rsidR="00B76080" w:rsidRPr="00062E21" w:rsidRDefault="00F65C4F" w:rsidP="00B76080">
      <w:pPr>
        <w:pStyle w:val="p4"/>
        <w:widowControl/>
        <w:tabs>
          <w:tab w:val="clear" w:pos="204"/>
          <w:tab w:val="left" w:pos="0"/>
        </w:tabs>
        <w:spacing w:line="360" w:lineRule="auto"/>
        <w:ind w:firstLine="720"/>
        <w:outlineLvl w:val="0"/>
        <w:rPr>
          <w:sz w:val="26"/>
          <w:szCs w:val="26"/>
        </w:rPr>
      </w:pPr>
      <w:r>
        <w:rPr>
          <w:sz w:val="26"/>
          <w:szCs w:val="26"/>
        </w:rPr>
        <w:t>2</w:t>
      </w:r>
      <w:r w:rsidR="00B76080" w:rsidRPr="00062E21">
        <w:rPr>
          <w:sz w:val="26"/>
          <w:szCs w:val="26"/>
        </w:rPr>
        <w:t>.</w:t>
      </w:r>
      <w:r w:rsidR="00B76080" w:rsidRPr="00062E21">
        <w:rPr>
          <w:sz w:val="26"/>
          <w:szCs w:val="26"/>
        </w:rPr>
        <w:tab/>
        <w:t xml:space="preserve">That the Petition for approval of a Distribution System Improvement Charge </w:t>
      </w:r>
      <w:r w:rsidR="00B76080">
        <w:rPr>
          <w:sz w:val="26"/>
          <w:szCs w:val="26"/>
        </w:rPr>
        <w:t xml:space="preserve">(DSIC) </w:t>
      </w:r>
      <w:r w:rsidR="00B76080" w:rsidRPr="00062E21">
        <w:rPr>
          <w:sz w:val="26"/>
          <w:szCs w:val="26"/>
        </w:rPr>
        <w:t xml:space="preserve">filed by </w:t>
      </w:r>
      <w:r w:rsidR="005D55D8">
        <w:rPr>
          <w:color w:val="0D0D0D" w:themeColor="text1" w:themeTint="F2"/>
          <w:sz w:val="26"/>
          <w:szCs w:val="26"/>
        </w:rPr>
        <w:t>UGI Central Penn Gas, Inc.</w:t>
      </w:r>
      <w:r w:rsidR="00B76080" w:rsidRPr="00062E21">
        <w:rPr>
          <w:sz w:val="26"/>
          <w:szCs w:val="26"/>
        </w:rPr>
        <w:t xml:space="preserve"> is </w:t>
      </w:r>
      <w:r w:rsidR="00B76080">
        <w:rPr>
          <w:sz w:val="26"/>
          <w:szCs w:val="26"/>
        </w:rPr>
        <w:t xml:space="preserve">approved, consistent with this Order. </w:t>
      </w:r>
    </w:p>
    <w:p w:rsidR="00B76080" w:rsidRPr="00062E21" w:rsidRDefault="00B76080" w:rsidP="00B76080">
      <w:pPr>
        <w:pStyle w:val="p4"/>
        <w:widowControl/>
        <w:tabs>
          <w:tab w:val="clear" w:pos="204"/>
          <w:tab w:val="left" w:pos="0"/>
        </w:tabs>
        <w:spacing w:line="360" w:lineRule="auto"/>
        <w:outlineLvl w:val="0"/>
        <w:rPr>
          <w:sz w:val="26"/>
          <w:szCs w:val="26"/>
        </w:rPr>
      </w:pPr>
    </w:p>
    <w:p w:rsidR="00B76080" w:rsidRPr="00062E21" w:rsidRDefault="00F65C4F" w:rsidP="00B76080">
      <w:pPr>
        <w:widowControl/>
        <w:spacing w:line="360" w:lineRule="auto"/>
        <w:ind w:firstLine="720"/>
        <w:rPr>
          <w:sz w:val="26"/>
          <w:szCs w:val="26"/>
        </w:rPr>
      </w:pPr>
      <w:r>
        <w:rPr>
          <w:sz w:val="26"/>
          <w:szCs w:val="26"/>
        </w:rPr>
        <w:t>3</w:t>
      </w:r>
      <w:r w:rsidR="00B76080" w:rsidRPr="00062E21">
        <w:rPr>
          <w:sz w:val="26"/>
          <w:szCs w:val="26"/>
        </w:rPr>
        <w:t xml:space="preserve">. </w:t>
      </w:r>
      <w:r w:rsidR="00B76080" w:rsidRPr="00062E21">
        <w:rPr>
          <w:sz w:val="26"/>
          <w:szCs w:val="26"/>
        </w:rPr>
        <w:tab/>
        <w:t xml:space="preserve">That </w:t>
      </w:r>
      <w:r w:rsidR="005D55D8">
        <w:rPr>
          <w:color w:val="0D0D0D" w:themeColor="text1" w:themeTint="F2"/>
          <w:sz w:val="26"/>
          <w:szCs w:val="26"/>
        </w:rPr>
        <w:t>UGI Central Penn Gas, Inc.</w:t>
      </w:r>
      <w:r w:rsidR="00B76080" w:rsidRPr="00062E21">
        <w:rPr>
          <w:sz w:val="26"/>
          <w:szCs w:val="26"/>
        </w:rPr>
        <w:t xml:space="preserve"> shall file a tariff, consistent with this Order, on ten da</w:t>
      </w:r>
      <w:r w:rsidR="00B76080">
        <w:rPr>
          <w:sz w:val="26"/>
          <w:szCs w:val="26"/>
        </w:rPr>
        <w:t>ys’ notice</w:t>
      </w:r>
      <w:r>
        <w:rPr>
          <w:sz w:val="26"/>
          <w:szCs w:val="26"/>
        </w:rPr>
        <w:t xml:space="preserve"> to be effective October 1, 2014</w:t>
      </w:r>
      <w:r w:rsidR="00B76080" w:rsidRPr="00062E21">
        <w:rPr>
          <w:sz w:val="26"/>
          <w:szCs w:val="26"/>
        </w:rPr>
        <w:t>.</w:t>
      </w:r>
      <w:r w:rsidR="00B76080" w:rsidRPr="00C16538">
        <w:rPr>
          <w:sz w:val="26"/>
          <w:szCs w:val="26"/>
        </w:rPr>
        <w:t xml:space="preserve"> </w:t>
      </w:r>
      <w:r w:rsidR="00B76080">
        <w:rPr>
          <w:sz w:val="26"/>
          <w:szCs w:val="26"/>
        </w:rPr>
        <w:t xml:space="preserve"> Revenues collected pursuant to said tariff will be subject to refund and recoupment based on the Commission’s final resolution of the matters referred herein to the Office of Administrative Law Judge for hearing and recommended decision.</w:t>
      </w:r>
    </w:p>
    <w:p w:rsidR="00B76080" w:rsidRPr="00062E21" w:rsidRDefault="00B76080" w:rsidP="00B76080">
      <w:pPr>
        <w:pStyle w:val="p4"/>
        <w:widowControl/>
        <w:tabs>
          <w:tab w:val="clear" w:pos="204"/>
          <w:tab w:val="left" w:pos="0"/>
        </w:tabs>
        <w:spacing w:line="360" w:lineRule="auto"/>
        <w:ind w:firstLine="720"/>
        <w:outlineLvl w:val="0"/>
        <w:rPr>
          <w:sz w:val="26"/>
          <w:szCs w:val="26"/>
        </w:rPr>
      </w:pPr>
    </w:p>
    <w:p w:rsidR="00B76080" w:rsidRDefault="00F65C4F" w:rsidP="00B76080">
      <w:pPr>
        <w:pStyle w:val="p4"/>
        <w:widowControl/>
        <w:tabs>
          <w:tab w:val="clear" w:pos="204"/>
          <w:tab w:val="left" w:pos="0"/>
        </w:tabs>
        <w:spacing w:line="360" w:lineRule="auto"/>
        <w:ind w:firstLine="720"/>
        <w:outlineLvl w:val="0"/>
        <w:rPr>
          <w:sz w:val="26"/>
          <w:szCs w:val="26"/>
        </w:rPr>
      </w:pPr>
      <w:r>
        <w:rPr>
          <w:sz w:val="26"/>
          <w:szCs w:val="26"/>
        </w:rPr>
        <w:t>4</w:t>
      </w:r>
      <w:r w:rsidR="00B76080" w:rsidRPr="00062E21">
        <w:rPr>
          <w:sz w:val="26"/>
          <w:szCs w:val="26"/>
        </w:rPr>
        <w:t xml:space="preserve">. </w:t>
      </w:r>
      <w:r w:rsidR="00B76080" w:rsidRPr="00062E21">
        <w:rPr>
          <w:sz w:val="26"/>
          <w:szCs w:val="26"/>
        </w:rPr>
        <w:tab/>
        <w:t xml:space="preserve">That </w:t>
      </w:r>
      <w:r w:rsidR="00B76080">
        <w:rPr>
          <w:sz w:val="26"/>
          <w:szCs w:val="26"/>
        </w:rPr>
        <w:t xml:space="preserve">the following issues be assigned to the Office of Administrative Law Judge for hearing and preparation of a recommended decision:  </w:t>
      </w:r>
    </w:p>
    <w:p w:rsidR="00B76080" w:rsidRDefault="00B76080" w:rsidP="00B76080">
      <w:pPr>
        <w:pStyle w:val="p4"/>
        <w:widowControl/>
        <w:tabs>
          <w:tab w:val="clear" w:pos="204"/>
          <w:tab w:val="left" w:pos="0"/>
        </w:tabs>
        <w:spacing w:line="360" w:lineRule="auto"/>
        <w:ind w:firstLine="720"/>
        <w:outlineLvl w:val="0"/>
        <w:rPr>
          <w:sz w:val="26"/>
          <w:szCs w:val="26"/>
        </w:rPr>
      </w:pPr>
    </w:p>
    <w:p w:rsidR="00B76080" w:rsidRDefault="00B76080" w:rsidP="00B76080">
      <w:pPr>
        <w:pStyle w:val="p4"/>
        <w:widowControl/>
        <w:numPr>
          <w:ilvl w:val="1"/>
          <w:numId w:val="29"/>
        </w:numPr>
        <w:tabs>
          <w:tab w:val="clear" w:pos="204"/>
          <w:tab w:val="left" w:pos="0"/>
        </w:tabs>
        <w:spacing w:line="360" w:lineRule="auto"/>
        <w:outlineLvl w:val="0"/>
        <w:rPr>
          <w:sz w:val="26"/>
          <w:szCs w:val="26"/>
        </w:rPr>
      </w:pPr>
      <w:r>
        <w:rPr>
          <w:sz w:val="26"/>
          <w:szCs w:val="26"/>
        </w:rPr>
        <w:t xml:space="preserve">DSIC-recovery of costs related to </w:t>
      </w:r>
      <w:r w:rsidR="00315C5B" w:rsidRPr="002807C0">
        <w:rPr>
          <w:sz w:val="26"/>
          <w:szCs w:val="26"/>
        </w:rPr>
        <w:t xml:space="preserve">“other </w:t>
      </w:r>
      <w:r w:rsidR="00315C5B">
        <w:rPr>
          <w:sz w:val="26"/>
          <w:szCs w:val="26"/>
        </w:rPr>
        <w:t>related capitalized costs”, including</w:t>
      </w:r>
      <w:r w:rsidR="00315C5B" w:rsidRPr="002807C0">
        <w:rPr>
          <w:sz w:val="26"/>
          <w:szCs w:val="26"/>
        </w:rPr>
        <w:t xml:space="preserve"> but not limited to,</w:t>
      </w:r>
      <w:r w:rsidR="00315C5B" w:rsidRPr="002807C0">
        <w:rPr>
          <w:color w:val="0D0D0D" w:themeColor="text1" w:themeTint="F2"/>
          <w:sz w:val="26"/>
          <w:szCs w:val="26"/>
        </w:rPr>
        <w:t xml:space="preserve"> </w:t>
      </w:r>
      <w:r w:rsidR="00315C5B" w:rsidRPr="002807C0">
        <w:rPr>
          <w:sz w:val="26"/>
          <w:szCs w:val="26"/>
        </w:rPr>
        <w:t>regulator stations and equipment, electronic systems and software, and vehicles, tools and power equipment</w:t>
      </w:r>
      <w:r>
        <w:rPr>
          <w:sz w:val="26"/>
          <w:szCs w:val="26"/>
        </w:rPr>
        <w:t>;</w:t>
      </w:r>
    </w:p>
    <w:p w:rsidR="00B76080" w:rsidRDefault="00315C5B" w:rsidP="00B76080">
      <w:pPr>
        <w:pStyle w:val="p4"/>
        <w:widowControl/>
        <w:numPr>
          <w:ilvl w:val="1"/>
          <w:numId w:val="29"/>
        </w:numPr>
        <w:tabs>
          <w:tab w:val="clear" w:pos="204"/>
          <w:tab w:val="left" w:pos="0"/>
        </w:tabs>
        <w:spacing w:line="360" w:lineRule="auto"/>
        <w:outlineLvl w:val="0"/>
        <w:rPr>
          <w:sz w:val="26"/>
          <w:szCs w:val="26"/>
        </w:rPr>
      </w:pPr>
      <w:r>
        <w:rPr>
          <w:color w:val="0D0D0D" w:themeColor="text1" w:themeTint="F2"/>
          <w:sz w:val="26"/>
          <w:szCs w:val="26"/>
        </w:rPr>
        <w:t>DSIC-recovery of expenditures related to the inclusion of gathering lines and storage lines as DSIC-eligible property</w:t>
      </w:r>
      <w:r w:rsidR="00B76080">
        <w:rPr>
          <w:sz w:val="26"/>
          <w:szCs w:val="26"/>
        </w:rPr>
        <w:t>;</w:t>
      </w:r>
      <w:r w:rsidR="00651DA2">
        <w:rPr>
          <w:sz w:val="26"/>
          <w:szCs w:val="26"/>
        </w:rPr>
        <w:t xml:space="preserve"> and</w:t>
      </w:r>
    </w:p>
    <w:p w:rsidR="00493DCE" w:rsidRPr="00F65C4F" w:rsidRDefault="00C60A78" w:rsidP="00F65C4F">
      <w:pPr>
        <w:pStyle w:val="p4"/>
        <w:widowControl/>
        <w:numPr>
          <w:ilvl w:val="1"/>
          <w:numId w:val="29"/>
        </w:numPr>
        <w:tabs>
          <w:tab w:val="clear" w:pos="204"/>
          <w:tab w:val="left" w:pos="0"/>
        </w:tabs>
        <w:spacing w:line="360" w:lineRule="auto"/>
        <w:outlineLvl w:val="0"/>
        <w:rPr>
          <w:sz w:val="26"/>
          <w:szCs w:val="26"/>
        </w:rPr>
      </w:pPr>
      <w:r>
        <w:rPr>
          <w:sz w:val="26"/>
          <w:szCs w:val="26"/>
        </w:rPr>
        <w:t xml:space="preserve">Proposal of </w:t>
      </w:r>
      <w:r w:rsidR="005D55D8">
        <w:rPr>
          <w:color w:val="0D0D0D" w:themeColor="text1" w:themeTint="F2"/>
          <w:sz w:val="26"/>
          <w:szCs w:val="26"/>
        </w:rPr>
        <w:t>UGI Central Penn Gas, Inc.</w:t>
      </w:r>
      <w:r>
        <w:rPr>
          <w:sz w:val="26"/>
          <w:szCs w:val="26"/>
        </w:rPr>
        <w:t xml:space="preserve"> to include qualifying plant investment placed into service during the December 1, 2013 to November 30, 2014 timeframe in its April 1, 2015 DSIC rate</w:t>
      </w:r>
      <w:r w:rsidR="00D67E38">
        <w:rPr>
          <w:sz w:val="26"/>
          <w:szCs w:val="26"/>
        </w:rPr>
        <w:t>.</w:t>
      </w:r>
    </w:p>
    <w:p w:rsidR="00493DCE" w:rsidRDefault="00493DCE" w:rsidP="009E6B2C">
      <w:pPr>
        <w:pStyle w:val="p4"/>
        <w:keepNext/>
        <w:widowControl/>
        <w:tabs>
          <w:tab w:val="clear" w:pos="204"/>
          <w:tab w:val="left" w:pos="0"/>
        </w:tabs>
        <w:spacing w:line="360" w:lineRule="auto"/>
        <w:ind w:left="1800"/>
        <w:outlineLvl w:val="0"/>
        <w:rPr>
          <w:sz w:val="26"/>
          <w:szCs w:val="26"/>
        </w:rPr>
      </w:pPr>
    </w:p>
    <w:p w:rsidR="009E6B2C" w:rsidRDefault="00F65C4F" w:rsidP="002807C0">
      <w:pPr>
        <w:pStyle w:val="p4"/>
        <w:keepNext/>
        <w:widowControl/>
        <w:tabs>
          <w:tab w:val="clear" w:pos="204"/>
          <w:tab w:val="left" w:pos="0"/>
        </w:tabs>
        <w:spacing w:line="360" w:lineRule="auto"/>
        <w:ind w:firstLine="720"/>
        <w:outlineLvl w:val="0"/>
        <w:rPr>
          <w:sz w:val="26"/>
          <w:szCs w:val="26"/>
        </w:rPr>
      </w:pPr>
      <w:r>
        <w:rPr>
          <w:sz w:val="26"/>
          <w:szCs w:val="26"/>
        </w:rPr>
        <w:t>5.</w:t>
      </w:r>
      <w:r>
        <w:rPr>
          <w:sz w:val="26"/>
          <w:szCs w:val="26"/>
        </w:rPr>
        <w:tab/>
      </w:r>
      <w:r w:rsidR="009E6B2C">
        <w:rPr>
          <w:sz w:val="26"/>
          <w:szCs w:val="26"/>
        </w:rPr>
        <w:t xml:space="preserve">That </w:t>
      </w:r>
      <w:r w:rsidR="005D55D8">
        <w:rPr>
          <w:color w:val="0D0D0D" w:themeColor="text1" w:themeTint="F2"/>
          <w:sz w:val="26"/>
          <w:szCs w:val="26"/>
        </w:rPr>
        <w:t>UGI Central Penn Gas, Inc.</w:t>
      </w:r>
      <w:r w:rsidR="009E6B2C">
        <w:rPr>
          <w:sz w:val="26"/>
          <w:szCs w:val="26"/>
        </w:rPr>
        <w:t xml:space="preserve"> </w:t>
      </w:r>
      <w:r w:rsidR="00930D7C">
        <w:rPr>
          <w:sz w:val="26"/>
          <w:szCs w:val="26"/>
        </w:rPr>
        <w:t>provides</w:t>
      </w:r>
      <w:r w:rsidR="009E6B2C">
        <w:rPr>
          <w:sz w:val="26"/>
          <w:szCs w:val="26"/>
        </w:rPr>
        <w:t xml:space="preserve"> the estimated number of anticipated new jobs to be created for specific replacement projects with its revised DSIC tariff and to track such employment in order to have actual numbers of jobs created when the DSIC fund information is submitted for annual audit and reconciliation.</w:t>
      </w:r>
    </w:p>
    <w:p w:rsidR="00B76080" w:rsidRPr="00062E21" w:rsidRDefault="00B76080" w:rsidP="00B76080">
      <w:pPr>
        <w:keepNext/>
        <w:widowControl/>
        <w:tabs>
          <w:tab w:val="left" w:pos="1491"/>
        </w:tabs>
        <w:spacing w:line="360" w:lineRule="auto"/>
        <w:rPr>
          <w:b/>
          <w:sz w:val="26"/>
          <w:szCs w:val="26"/>
          <w:highlight w:val="yellow"/>
        </w:rPr>
      </w:pPr>
    </w:p>
    <w:p w:rsidR="00B76080" w:rsidRPr="00062E21" w:rsidRDefault="003C5BB4" w:rsidP="00B76080">
      <w:pPr>
        <w:pStyle w:val="p3"/>
        <w:keepNext/>
        <w:widowControl/>
        <w:spacing w:line="360" w:lineRule="auto"/>
        <w:ind w:left="5119"/>
        <w:rPr>
          <w:b/>
          <w:bCs/>
          <w:sz w:val="26"/>
          <w:szCs w:val="26"/>
        </w:rPr>
      </w:pPr>
      <w:r>
        <w:rPr>
          <w:noProof/>
        </w:rPr>
        <w:drawing>
          <wp:anchor distT="0" distB="0" distL="114300" distR="114300" simplePos="0" relativeHeight="251658240" behindDoc="1" locked="0" layoutInCell="1" allowOverlap="1" wp14:anchorId="02FA3330" wp14:editId="538A5DFA">
            <wp:simplePos x="0" y="0"/>
            <wp:positionH relativeFrom="column">
              <wp:posOffset>3327400</wp:posOffset>
            </wp:positionH>
            <wp:positionV relativeFrom="paragraph">
              <wp:posOffset>-635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76080" w:rsidRPr="00062E21">
        <w:rPr>
          <w:b/>
          <w:bCs/>
          <w:sz w:val="26"/>
          <w:szCs w:val="26"/>
        </w:rPr>
        <w:t>BY THE COMMISSION,</w:t>
      </w:r>
    </w:p>
    <w:p w:rsidR="00B76080" w:rsidRPr="00062E21" w:rsidRDefault="00B76080" w:rsidP="00B76080">
      <w:pPr>
        <w:widowControl/>
        <w:tabs>
          <w:tab w:val="left" w:pos="5119"/>
        </w:tabs>
        <w:spacing w:line="360" w:lineRule="auto"/>
        <w:rPr>
          <w:bCs/>
          <w:sz w:val="26"/>
          <w:szCs w:val="26"/>
        </w:rPr>
      </w:pPr>
    </w:p>
    <w:p w:rsidR="00B76080" w:rsidRPr="00062E21" w:rsidRDefault="00B76080" w:rsidP="00B76080">
      <w:pPr>
        <w:widowControl/>
        <w:tabs>
          <w:tab w:val="left" w:pos="5119"/>
        </w:tabs>
        <w:spacing w:line="360" w:lineRule="auto"/>
        <w:rPr>
          <w:bCs/>
          <w:sz w:val="26"/>
          <w:szCs w:val="26"/>
        </w:rPr>
      </w:pPr>
    </w:p>
    <w:p w:rsidR="00B76080" w:rsidRPr="00062E21" w:rsidRDefault="00B76080" w:rsidP="00B76080">
      <w:pPr>
        <w:pStyle w:val="p4"/>
        <w:widowControl/>
        <w:ind w:left="5130"/>
        <w:rPr>
          <w:sz w:val="26"/>
          <w:szCs w:val="26"/>
        </w:rPr>
      </w:pPr>
      <w:r w:rsidRPr="00062E21">
        <w:rPr>
          <w:sz w:val="26"/>
          <w:szCs w:val="26"/>
        </w:rPr>
        <w:tab/>
        <w:t>Rosemary Chiavetta</w:t>
      </w:r>
    </w:p>
    <w:p w:rsidR="00B76080" w:rsidRPr="00062E21" w:rsidRDefault="00B76080" w:rsidP="00B76080">
      <w:pPr>
        <w:pStyle w:val="p4"/>
        <w:widowControl/>
        <w:ind w:left="5130"/>
        <w:rPr>
          <w:sz w:val="26"/>
          <w:szCs w:val="26"/>
        </w:rPr>
      </w:pPr>
      <w:r w:rsidRPr="00062E21">
        <w:rPr>
          <w:sz w:val="26"/>
          <w:szCs w:val="26"/>
        </w:rPr>
        <w:tab/>
        <w:t>Secretary</w:t>
      </w:r>
    </w:p>
    <w:p w:rsidR="00B76080" w:rsidRPr="00062E21" w:rsidRDefault="00B76080" w:rsidP="00B76080">
      <w:pPr>
        <w:pStyle w:val="p4"/>
        <w:widowControl/>
        <w:ind w:left="5126"/>
        <w:outlineLvl w:val="0"/>
        <w:rPr>
          <w:sz w:val="26"/>
          <w:szCs w:val="26"/>
        </w:rPr>
      </w:pPr>
    </w:p>
    <w:p w:rsidR="00B76080" w:rsidRDefault="00B76080" w:rsidP="00B76080">
      <w:pPr>
        <w:pStyle w:val="p1"/>
        <w:widowControl/>
        <w:spacing w:line="360" w:lineRule="auto"/>
        <w:ind w:hanging="1054"/>
        <w:rPr>
          <w:sz w:val="26"/>
          <w:szCs w:val="26"/>
        </w:rPr>
      </w:pPr>
      <w:r w:rsidRPr="00062E21">
        <w:rPr>
          <w:sz w:val="26"/>
          <w:szCs w:val="26"/>
        </w:rPr>
        <w:t>(SEAL)</w:t>
      </w:r>
    </w:p>
    <w:p w:rsidR="00B76080" w:rsidRPr="00062E21" w:rsidRDefault="00B76080" w:rsidP="00B76080">
      <w:pPr>
        <w:pStyle w:val="p1"/>
        <w:widowControl/>
        <w:spacing w:line="360" w:lineRule="auto"/>
        <w:ind w:hanging="1054"/>
        <w:rPr>
          <w:sz w:val="26"/>
          <w:szCs w:val="26"/>
        </w:rPr>
      </w:pPr>
    </w:p>
    <w:p w:rsidR="00B76080" w:rsidRPr="00062E21" w:rsidRDefault="002807C0" w:rsidP="00B76080">
      <w:pPr>
        <w:pStyle w:val="p1"/>
        <w:widowControl/>
        <w:spacing w:line="360" w:lineRule="auto"/>
        <w:ind w:hanging="1054"/>
        <w:outlineLvl w:val="0"/>
        <w:rPr>
          <w:sz w:val="26"/>
          <w:szCs w:val="26"/>
        </w:rPr>
      </w:pPr>
      <w:r>
        <w:rPr>
          <w:sz w:val="26"/>
          <w:szCs w:val="26"/>
        </w:rPr>
        <w:t>ORDER ADOPTED: September</w:t>
      </w:r>
      <w:r w:rsidR="00D67E38">
        <w:rPr>
          <w:sz w:val="26"/>
          <w:szCs w:val="26"/>
        </w:rPr>
        <w:t xml:space="preserve"> </w:t>
      </w:r>
      <w:r>
        <w:rPr>
          <w:sz w:val="26"/>
          <w:szCs w:val="26"/>
        </w:rPr>
        <w:t>11, 2014</w:t>
      </w:r>
    </w:p>
    <w:p w:rsidR="00B76080" w:rsidRDefault="00B76080" w:rsidP="00B76080">
      <w:pPr>
        <w:pStyle w:val="p1"/>
        <w:widowControl/>
        <w:tabs>
          <w:tab w:val="clear" w:pos="691"/>
          <w:tab w:val="clear" w:pos="1054"/>
          <w:tab w:val="left" w:pos="1440"/>
        </w:tabs>
        <w:spacing w:line="360" w:lineRule="auto"/>
        <w:ind w:hanging="1054"/>
        <w:outlineLvl w:val="0"/>
        <w:rPr>
          <w:sz w:val="26"/>
          <w:szCs w:val="26"/>
        </w:rPr>
      </w:pPr>
    </w:p>
    <w:p w:rsidR="0093638B" w:rsidRPr="00C400AA" w:rsidRDefault="00B76080" w:rsidP="00C400AA">
      <w:pPr>
        <w:pStyle w:val="p1"/>
        <w:widowControl/>
        <w:tabs>
          <w:tab w:val="clear" w:pos="691"/>
          <w:tab w:val="clear" w:pos="1054"/>
          <w:tab w:val="left" w:pos="1440"/>
        </w:tabs>
        <w:spacing w:line="360" w:lineRule="auto"/>
        <w:ind w:hanging="1054"/>
        <w:outlineLvl w:val="0"/>
        <w:rPr>
          <w:sz w:val="26"/>
          <w:szCs w:val="26"/>
        </w:rPr>
      </w:pPr>
      <w:r w:rsidRPr="0090017F">
        <w:rPr>
          <w:sz w:val="26"/>
          <w:szCs w:val="26"/>
        </w:rPr>
        <w:t>ORDER ENTERED:</w:t>
      </w:r>
      <w:r>
        <w:rPr>
          <w:sz w:val="26"/>
          <w:szCs w:val="26"/>
        </w:rPr>
        <w:t xml:space="preserve">  </w:t>
      </w:r>
      <w:r w:rsidR="003C5BB4">
        <w:rPr>
          <w:sz w:val="26"/>
          <w:szCs w:val="26"/>
        </w:rPr>
        <w:t>September 11, 2014</w:t>
      </w:r>
      <w:bookmarkStart w:id="0" w:name="_GoBack"/>
      <w:bookmarkEnd w:id="0"/>
    </w:p>
    <w:p w:rsidR="0093638B" w:rsidRDefault="0093638B" w:rsidP="0093638B">
      <w:pPr>
        <w:spacing w:line="360" w:lineRule="auto"/>
        <w:jc w:val="center"/>
        <w:rPr>
          <w:b/>
          <w:sz w:val="72"/>
          <w:szCs w:val="72"/>
        </w:rPr>
      </w:pPr>
    </w:p>
    <w:p w:rsidR="0093638B" w:rsidRDefault="0093638B" w:rsidP="0093638B">
      <w:pPr>
        <w:spacing w:line="360" w:lineRule="auto"/>
        <w:jc w:val="center"/>
        <w:rPr>
          <w:b/>
          <w:sz w:val="72"/>
          <w:szCs w:val="72"/>
        </w:rPr>
      </w:pPr>
    </w:p>
    <w:p w:rsidR="0093638B" w:rsidRDefault="0093638B" w:rsidP="0093638B">
      <w:pPr>
        <w:spacing w:line="360" w:lineRule="auto"/>
        <w:jc w:val="center"/>
        <w:rPr>
          <w:b/>
          <w:sz w:val="72"/>
          <w:szCs w:val="72"/>
        </w:rPr>
      </w:pPr>
    </w:p>
    <w:p w:rsidR="0093638B" w:rsidRDefault="0093638B" w:rsidP="0093638B">
      <w:pPr>
        <w:spacing w:line="360" w:lineRule="auto"/>
        <w:jc w:val="center"/>
        <w:rPr>
          <w:b/>
          <w:sz w:val="72"/>
          <w:szCs w:val="72"/>
        </w:rPr>
      </w:pPr>
    </w:p>
    <w:p w:rsidR="0093638B" w:rsidRDefault="0093638B" w:rsidP="0093638B">
      <w:pPr>
        <w:spacing w:line="360" w:lineRule="auto"/>
        <w:jc w:val="center"/>
        <w:rPr>
          <w:b/>
          <w:sz w:val="72"/>
          <w:szCs w:val="72"/>
        </w:rPr>
      </w:pPr>
    </w:p>
    <w:p w:rsidR="0093638B" w:rsidRPr="0093638B" w:rsidRDefault="0093638B" w:rsidP="0093638B">
      <w:pPr>
        <w:spacing w:line="360" w:lineRule="auto"/>
        <w:jc w:val="center"/>
        <w:rPr>
          <w:b/>
          <w:sz w:val="72"/>
          <w:szCs w:val="72"/>
        </w:rPr>
      </w:pPr>
      <w:r w:rsidRPr="0093638B">
        <w:rPr>
          <w:b/>
          <w:sz w:val="72"/>
          <w:szCs w:val="72"/>
        </w:rPr>
        <w:t>Appendix A</w:t>
      </w:r>
    </w:p>
    <w:p w:rsidR="0093638B" w:rsidRDefault="0093638B" w:rsidP="0093638B">
      <w:pPr>
        <w:spacing w:line="360" w:lineRule="auto"/>
        <w:jc w:val="center"/>
      </w:pPr>
    </w:p>
    <w:p w:rsidR="0093638B" w:rsidRDefault="0093638B" w:rsidP="0093638B">
      <w:pPr>
        <w:spacing w:line="360" w:lineRule="auto"/>
        <w:jc w:val="center"/>
      </w:pPr>
    </w:p>
    <w:p w:rsidR="0093638B" w:rsidRDefault="0093638B" w:rsidP="0093638B">
      <w:pPr>
        <w:spacing w:line="360" w:lineRule="auto"/>
        <w:jc w:val="center"/>
      </w:pPr>
    </w:p>
    <w:p w:rsidR="00C400AA" w:rsidRDefault="00C400AA" w:rsidP="0093638B">
      <w:pPr>
        <w:spacing w:line="360" w:lineRule="auto"/>
        <w:jc w:val="center"/>
      </w:pPr>
    </w:p>
    <w:p w:rsidR="00C400AA" w:rsidRDefault="00C400AA" w:rsidP="0093638B">
      <w:pPr>
        <w:spacing w:line="360" w:lineRule="auto"/>
        <w:jc w:val="center"/>
      </w:pPr>
    </w:p>
    <w:p w:rsidR="00B422AC" w:rsidRDefault="00B422AC" w:rsidP="00C400AA">
      <w:pPr>
        <w:spacing w:line="360" w:lineRule="auto"/>
        <w:rPr>
          <w:b/>
        </w:rPr>
      </w:pPr>
    </w:p>
    <w:p w:rsidR="00B422AC" w:rsidRDefault="00B422AC" w:rsidP="00C400AA">
      <w:pPr>
        <w:spacing w:line="360" w:lineRule="auto"/>
        <w:rPr>
          <w:b/>
        </w:rPr>
      </w:pPr>
    </w:p>
    <w:p w:rsidR="00B422AC" w:rsidRDefault="00B422AC" w:rsidP="00C400AA">
      <w:pPr>
        <w:spacing w:line="360" w:lineRule="auto"/>
        <w:rPr>
          <w:b/>
        </w:rPr>
      </w:pPr>
    </w:p>
    <w:p w:rsidR="00B422AC" w:rsidRDefault="00B422AC" w:rsidP="00C400AA">
      <w:pPr>
        <w:spacing w:line="360" w:lineRule="auto"/>
        <w:rPr>
          <w:b/>
        </w:rPr>
      </w:pPr>
    </w:p>
    <w:p w:rsidR="00B422AC" w:rsidRDefault="00B422AC" w:rsidP="00C400AA">
      <w:pPr>
        <w:spacing w:line="360" w:lineRule="auto"/>
        <w:rPr>
          <w:b/>
        </w:rPr>
      </w:pPr>
    </w:p>
    <w:p w:rsidR="00B422AC" w:rsidRDefault="00B422AC" w:rsidP="00C400AA">
      <w:pPr>
        <w:spacing w:line="360" w:lineRule="auto"/>
        <w:rPr>
          <w:b/>
        </w:rPr>
      </w:pPr>
    </w:p>
    <w:p w:rsidR="00B422AC" w:rsidRDefault="00B422AC" w:rsidP="00C400AA">
      <w:pPr>
        <w:spacing w:line="360" w:lineRule="auto"/>
        <w:rPr>
          <w:b/>
        </w:rPr>
      </w:pPr>
    </w:p>
    <w:p w:rsidR="00B422AC" w:rsidRDefault="00B422AC" w:rsidP="00C400AA">
      <w:pPr>
        <w:spacing w:line="360" w:lineRule="auto"/>
        <w:rPr>
          <w:b/>
        </w:rPr>
      </w:pPr>
    </w:p>
    <w:p w:rsidR="00C400AA" w:rsidRDefault="00C400AA" w:rsidP="00C400AA">
      <w:pPr>
        <w:spacing w:line="360" w:lineRule="auto"/>
        <w:rPr>
          <w:b/>
        </w:rPr>
      </w:pPr>
      <w:r w:rsidRPr="00C400AA">
        <w:rPr>
          <w:b/>
        </w:rPr>
        <w:lastRenderedPageBreak/>
        <w:t>Tariff Sufficiency Modifications</w:t>
      </w:r>
    </w:p>
    <w:p w:rsidR="00C400AA" w:rsidRDefault="00C400AA" w:rsidP="00C400AA">
      <w:pPr>
        <w:spacing w:line="360" w:lineRule="auto"/>
      </w:pPr>
    </w:p>
    <w:p w:rsidR="00C400AA" w:rsidRDefault="007C4612" w:rsidP="006E640B">
      <w:pPr>
        <w:pStyle w:val="ListParagraph"/>
        <w:numPr>
          <w:ilvl w:val="0"/>
          <w:numId w:val="35"/>
        </w:numPr>
      </w:pPr>
      <w:r>
        <w:t>On page 43(c</w:t>
      </w:r>
      <w:r w:rsidR="00C57FE5">
        <w:t>)</w:t>
      </w:r>
      <w:r w:rsidR="00FB6D4A">
        <w:t>,</w:t>
      </w:r>
      <w:r w:rsidR="00C400AA">
        <w:t xml:space="preserve"> </w:t>
      </w:r>
      <w:r w:rsidR="00C57FE5">
        <w:t>under “14.C.4 Co</w:t>
      </w:r>
      <w:r>
        <w:t>mputation of the DSIC”, the first word of</w:t>
      </w:r>
      <w:r w:rsidR="00C57FE5">
        <w:t xml:space="preserve"> the </w:t>
      </w:r>
      <w:r>
        <w:t>l</w:t>
      </w:r>
      <w:r w:rsidR="00C57FE5">
        <w:t xml:space="preserve">ast </w:t>
      </w:r>
      <w:r>
        <w:t>sentence</w:t>
      </w:r>
      <w:r w:rsidR="00C57FE5">
        <w:t xml:space="preserve"> “This”, should be changed to “Thus”.</w:t>
      </w:r>
    </w:p>
    <w:p w:rsidR="009134F1" w:rsidRDefault="009134F1" w:rsidP="009134F1">
      <w:pPr>
        <w:pStyle w:val="ListParagraph"/>
      </w:pPr>
    </w:p>
    <w:p w:rsidR="009134F1" w:rsidRDefault="007C4612" w:rsidP="006E640B">
      <w:pPr>
        <w:pStyle w:val="ListParagraph"/>
        <w:numPr>
          <w:ilvl w:val="0"/>
          <w:numId w:val="35"/>
        </w:numPr>
      </w:pPr>
      <w:r>
        <w:t>On page 43</w:t>
      </w:r>
      <w:r w:rsidR="00C57FE5">
        <w:t>(d)</w:t>
      </w:r>
      <w:r w:rsidR="0079648D">
        <w:t xml:space="preserve">, under “2. Audit/Reconciliation” of the Customer Safeguards section, </w:t>
      </w:r>
      <w:r w:rsidR="005C7623">
        <w:t xml:space="preserve">on </w:t>
      </w:r>
      <w:r w:rsidR="0079648D">
        <w:t xml:space="preserve">the </w:t>
      </w:r>
      <w:r w:rsidR="005C7623">
        <w:t>ninth</w:t>
      </w:r>
      <w:r w:rsidR="0079648D">
        <w:t xml:space="preserve"> line</w:t>
      </w:r>
      <w:r w:rsidR="005C7623">
        <w:t>,</w:t>
      </w:r>
      <w:r w:rsidR="0079648D">
        <w:t xml:space="preserve"> “</w:t>
      </w:r>
      <w:r w:rsidR="005C7623">
        <w:t>March 1</w:t>
      </w:r>
      <w:r w:rsidR="0079648D">
        <w:t>” should be changed to “</w:t>
      </w:r>
      <w:r w:rsidR="005C7623">
        <w:t>April 1</w:t>
      </w:r>
      <w:r w:rsidR="0079648D">
        <w:t>”</w:t>
      </w:r>
      <w:r w:rsidR="005C7623">
        <w:t>.</w:t>
      </w:r>
    </w:p>
    <w:p w:rsidR="0079648D" w:rsidRDefault="0079648D" w:rsidP="0079648D">
      <w:pPr>
        <w:pStyle w:val="ListParagraph"/>
      </w:pPr>
    </w:p>
    <w:p w:rsidR="0079648D" w:rsidRDefault="007C4612" w:rsidP="006E640B">
      <w:pPr>
        <w:pStyle w:val="ListParagraph"/>
        <w:numPr>
          <w:ilvl w:val="0"/>
          <w:numId w:val="35"/>
        </w:numPr>
      </w:pPr>
      <w:r>
        <w:t>On page 43</w:t>
      </w:r>
      <w:r w:rsidR="005C7623">
        <w:t xml:space="preserve">(d), under “2. Audit/Reconciliation” of the Customer Safeguards section, on the second-to-last line, “et </w:t>
      </w:r>
      <w:proofErr w:type="spellStart"/>
      <w:r w:rsidR="005C7623">
        <w:t>seg</w:t>
      </w:r>
      <w:proofErr w:type="spellEnd"/>
      <w:r w:rsidR="005C7623">
        <w:t xml:space="preserve">” should be changed to “et </w:t>
      </w:r>
      <w:proofErr w:type="spellStart"/>
      <w:r w:rsidR="005C7623">
        <w:t>seq</w:t>
      </w:r>
      <w:proofErr w:type="spellEnd"/>
      <w:r w:rsidR="005C7623">
        <w:t>”.</w:t>
      </w:r>
    </w:p>
    <w:p w:rsidR="0079648D" w:rsidRDefault="0079648D" w:rsidP="0079648D">
      <w:pPr>
        <w:pStyle w:val="ListParagraph"/>
      </w:pPr>
    </w:p>
    <w:p w:rsidR="0079648D" w:rsidRDefault="007C4612" w:rsidP="006E640B">
      <w:pPr>
        <w:pStyle w:val="ListParagraph"/>
        <w:numPr>
          <w:ilvl w:val="0"/>
          <w:numId w:val="35"/>
        </w:numPr>
      </w:pPr>
      <w:r>
        <w:t>On page 43</w:t>
      </w:r>
      <w:r w:rsidR="00E43419">
        <w:t>(d), under “3. New Base Rates” of the Customer Safeguards section, on the third line, the phrase “have not previously been” should be changed to “had previously been”.</w:t>
      </w:r>
    </w:p>
    <w:p w:rsidR="00FE0DF9" w:rsidRDefault="00FE0DF9" w:rsidP="00FE0DF9">
      <w:pPr>
        <w:pStyle w:val="ListParagraph"/>
      </w:pPr>
    </w:p>
    <w:p w:rsidR="00FE0DF9" w:rsidRPr="00C400AA" w:rsidRDefault="007C4612" w:rsidP="006E640B">
      <w:pPr>
        <w:pStyle w:val="ListParagraph"/>
        <w:numPr>
          <w:ilvl w:val="0"/>
          <w:numId w:val="35"/>
        </w:numPr>
      </w:pPr>
      <w:r>
        <w:t>On page 43</w:t>
      </w:r>
      <w:r w:rsidR="00FE0DF9">
        <w:t xml:space="preserve">(d), under “3. New Base Rates” of the Customer Safeguards section, in the last sentence, the phrase “…..will be </w:t>
      </w:r>
      <w:r w:rsidR="00FE0DF9" w:rsidRPr="00FE0DF9">
        <w:rPr>
          <w:i/>
        </w:rPr>
        <w:t>reflecting</w:t>
      </w:r>
      <w:r w:rsidR="00FE0DF9">
        <w:t xml:space="preserve"> in the quarterly </w:t>
      </w:r>
      <w:r w:rsidR="00FE0DF9" w:rsidRPr="00FE0DF9">
        <w:rPr>
          <w:i/>
        </w:rPr>
        <w:t>updated</w:t>
      </w:r>
      <w:r w:rsidR="00FE0DF9">
        <w:t xml:space="preserve"> of the DSIC.” should be changed to “…...will be </w:t>
      </w:r>
      <w:r w:rsidR="00FE0DF9" w:rsidRPr="00FE0DF9">
        <w:rPr>
          <w:i/>
        </w:rPr>
        <w:t>reflected</w:t>
      </w:r>
      <w:r w:rsidR="00FE0DF9">
        <w:t xml:space="preserve"> in the quarterly </w:t>
      </w:r>
      <w:r w:rsidR="00FE0DF9" w:rsidRPr="00FE0DF9">
        <w:rPr>
          <w:i/>
        </w:rPr>
        <w:t>updates</w:t>
      </w:r>
      <w:r w:rsidR="00FE0DF9">
        <w:t xml:space="preserve"> of the DSIC.”</w:t>
      </w:r>
    </w:p>
    <w:sectPr w:rsidR="00FE0DF9" w:rsidRPr="00C400AA" w:rsidSect="003A62E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E3" w:rsidRDefault="00D603E3" w:rsidP="00994C51">
      <w:r>
        <w:separator/>
      </w:r>
    </w:p>
  </w:endnote>
  <w:endnote w:type="continuationSeparator" w:id="0">
    <w:p w:rsidR="00D603E3" w:rsidRDefault="00D603E3" w:rsidP="0099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798560"/>
      <w:docPartObj>
        <w:docPartGallery w:val="Page Numbers (Bottom of Page)"/>
        <w:docPartUnique/>
      </w:docPartObj>
    </w:sdtPr>
    <w:sdtEndPr>
      <w:rPr>
        <w:noProof/>
      </w:rPr>
    </w:sdtEndPr>
    <w:sdtContent>
      <w:p w:rsidR="00C25594" w:rsidRDefault="00C25594">
        <w:pPr>
          <w:pStyle w:val="Footer"/>
          <w:jc w:val="center"/>
        </w:pPr>
        <w:r>
          <w:fldChar w:fldCharType="begin"/>
        </w:r>
        <w:r>
          <w:instrText xml:space="preserve"> PAGE   \* MERGEFORMAT </w:instrText>
        </w:r>
        <w:r>
          <w:fldChar w:fldCharType="separate"/>
        </w:r>
        <w:r w:rsidR="003C5BB4">
          <w:rPr>
            <w:noProof/>
          </w:rPr>
          <w:t>48</w:t>
        </w:r>
        <w:r>
          <w:rPr>
            <w:noProof/>
          </w:rPr>
          <w:fldChar w:fldCharType="end"/>
        </w:r>
      </w:p>
    </w:sdtContent>
  </w:sdt>
  <w:p w:rsidR="00C25594" w:rsidRDefault="00C25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E3" w:rsidRDefault="00D603E3" w:rsidP="00994C51">
      <w:r>
        <w:separator/>
      </w:r>
    </w:p>
  </w:footnote>
  <w:footnote w:type="continuationSeparator" w:id="0">
    <w:p w:rsidR="00D603E3" w:rsidRDefault="00D603E3" w:rsidP="00994C51">
      <w:r>
        <w:continuationSeparator/>
      </w:r>
    </w:p>
  </w:footnote>
  <w:footnote w:id="1">
    <w:p w:rsidR="00C25594" w:rsidRPr="00FF188F" w:rsidRDefault="00C25594" w:rsidP="00994C51">
      <w:pPr>
        <w:pStyle w:val="FootnoteText"/>
        <w:spacing w:after="120"/>
        <w:rPr>
          <w:sz w:val="22"/>
          <w:szCs w:val="22"/>
        </w:rPr>
      </w:pPr>
      <w:r w:rsidRPr="00FF188F">
        <w:rPr>
          <w:rStyle w:val="FootnoteReference"/>
          <w:sz w:val="22"/>
          <w:szCs w:val="22"/>
        </w:rPr>
        <w:footnoteRef/>
      </w:r>
      <w:r w:rsidRPr="00FF188F">
        <w:rPr>
          <w:sz w:val="22"/>
          <w:szCs w:val="22"/>
        </w:rPr>
        <w:t xml:space="preserve">  </w:t>
      </w:r>
      <w:hyperlink r:id="rId1" w:history="1">
        <w:r w:rsidRPr="00FF188F">
          <w:rPr>
            <w:rStyle w:val="Hyperlink"/>
            <w:sz w:val="22"/>
            <w:szCs w:val="22"/>
          </w:rPr>
          <w:t>http://www.legis.state.pa.us/WU01/LI/LI/US/HTM/2012/0/0011..HTM</w:t>
        </w:r>
      </w:hyperlink>
      <w:r w:rsidRPr="00FF188F">
        <w:rPr>
          <w:sz w:val="22"/>
          <w:szCs w:val="22"/>
        </w:rPr>
        <w:t>.</w:t>
      </w:r>
    </w:p>
  </w:footnote>
  <w:footnote w:id="2">
    <w:p w:rsidR="00C25594" w:rsidRPr="00F31A46" w:rsidRDefault="00C25594" w:rsidP="00B76080">
      <w:pPr>
        <w:pStyle w:val="FootnoteText"/>
        <w:rPr>
          <w:sz w:val="22"/>
          <w:szCs w:val="22"/>
        </w:rPr>
      </w:pPr>
      <w:r w:rsidRPr="00F31A46">
        <w:rPr>
          <w:rStyle w:val="FootnoteReference"/>
          <w:sz w:val="22"/>
          <w:szCs w:val="22"/>
        </w:rPr>
        <w:footnoteRef/>
      </w:r>
      <w:r w:rsidRPr="00F31A46">
        <w:rPr>
          <w:sz w:val="22"/>
          <w:szCs w:val="22"/>
        </w:rPr>
        <w:t xml:space="preserve">  The quarters are fixed by statute.  If </w:t>
      </w:r>
      <w:r>
        <w:rPr>
          <w:sz w:val="22"/>
          <w:szCs w:val="22"/>
        </w:rPr>
        <w:t>UGI-CPG</w:t>
      </w:r>
      <w:r w:rsidRPr="00F31A46">
        <w:rPr>
          <w:sz w:val="22"/>
          <w:szCs w:val="22"/>
        </w:rPr>
        <w:t xml:space="preserve"> does not</w:t>
      </w:r>
      <w:r>
        <w:rPr>
          <w:sz w:val="22"/>
          <w:szCs w:val="22"/>
        </w:rPr>
        <w:t xml:space="preserve"> have an effective date of October 1, 2014</w:t>
      </w:r>
      <w:r w:rsidRPr="00F31A46">
        <w:rPr>
          <w:sz w:val="22"/>
          <w:szCs w:val="22"/>
        </w:rPr>
        <w:t>, the next earli</w:t>
      </w:r>
      <w:r>
        <w:rPr>
          <w:sz w:val="22"/>
          <w:szCs w:val="22"/>
        </w:rPr>
        <w:t>est effective date would be January 1, 2015</w:t>
      </w:r>
      <w:r w:rsidRPr="00F31A46">
        <w:rPr>
          <w:sz w:val="22"/>
          <w:szCs w:val="22"/>
        </w:rPr>
        <w:t>.</w:t>
      </w:r>
    </w:p>
  </w:footnote>
  <w:footnote w:id="3">
    <w:p w:rsidR="00C25594" w:rsidRDefault="00C25594" w:rsidP="00DE68D8">
      <w:pPr>
        <w:pStyle w:val="FootnoteText"/>
      </w:pPr>
      <w:r>
        <w:rPr>
          <w:rStyle w:val="FootnoteReference"/>
        </w:rPr>
        <w:footnoteRef/>
      </w:r>
      <w:r>
        <w:t xml:space="preserve"> The ROE to be used in the DSIC calculation will be that which is calculated by the Commission in its most recent Quarterly Report on the Earnings of Jurisdictional Utilities. </w:t>
      </w:r>
    </w:p>
  </w:footnote>
  <w:footnote w:id="4">
    <w:p w:rsidR="00C25594" w:rsidRPr="00FF188F" w:rsidRDefault="00C25594" w:rsidP="00B76080">
      <w:pPr>
        <w:pStyle w:val="FootnoteText"/>
        <w:rPr>
          <w:sz w:val="22"/>
          <w:szCs w:val="22"/>
        </w:rPr>
      </w:pPr>
      <w:r w:rsidRPr="00FF188F">
        <w:rPr>
          <w:rStyle w:val="FootnoteReference"/>
          <w:sz w:val="22"/>
          <w:szCs w:val="22"/>
        </w:rPr>
        <w:footnoteRef/>
      </w:r>
      <w:r w:rsidR="00395998">
        <w:rPr>
          <w:sz w:val="22"/>
          <w:szCs w:val="22"/>
        </w:rPr>
        <w:t>Docket No. R-2010</w:t>
      </w:r>
      <w:r>
        <w:rPr>
          <w:sz w:val="22"/>
          <w:szCs w:val="22"/>
        </w:rPr>
        <w:t>-</w:t>
      </w:r>
      <w:r w:rsidR="005D55D8">
        <w:rPr>
          <w:sz w:val="22"/>
          <w:szCs w:val="22"/>
        </w:rPr>
        <w:t>2214415</w:t>
      </w:r>
      <w:r>
        <w:rPr>
          <w:sz w:val="22"/>
          <w:szCs w:val="22"/>
        </w:rPr>
        <w:t xml:space="preserve">, </w:t>
      </w:r>
      <w:r w:rsidR="005D55D8">
        <w:rPr>
          <w:sz w:val="22"/>
          <w:szCs w:val="22"/>
        </w:rPr>
        <w:t>Final Order entered on August 19</w:t>
      </w:r>
      <w:r>
        <w:rPr>
          <w:sz w:val="22"/>
          <w:szCs w:val="22"/>
        </w:rPr>
        <w:t>, 20</w:t>
      </w:r>
      <w:r w:rsidR="005D55D8">
        <w:rPr>
          <w:sz w:val="22"/>
          <w:szCs w:val="22"/>
        </w:rPr>
        <w:t>11</w:t>
      </w:r>
      <w:r w:rsidRPr="00FF188F">
        <w:rPr>
          <w:sz w:val="22"/>
          <w:szCs w:val="22"/>
        </w:rPr>
        <w:t xml:space="preserve">.  </w:t>
      </w:r>
    </w:p>
  </w:footnote>
  <w:footnote w:id="5">
    <w:p w:rsidR="00C25594" w:rsidRPr="00FF188F" w:rsidRDefault="00C25594" w:rsidP="00B76080">
      <w:pPr>
        <w:pStyle w:val="FootnoteText"/>
        <w:rPr>
          <w:sz w:val="22"/>
          <w:szCs w:val="22"/>
        </w:rPr>
      </w:pPr>
      <w:r w:rsidRPr="00FF188F">
        <w:rPr>
          <w:rStyle w:val="FootnoteReference"/>
          <w:sz w:val="22"/>
          <w:szCs w:val="22"/>
        </w:rPr>
        <w:footnoteRef/>
      </w:r>
      <w:r w:rsidRPr="00FF188F">
        <w:rPr>
          <w:sz w:val="22"/>
          <w:szCs w:val="22"/>
        </w:rPr>
        <w:t xml:space="preserve"> </w:t>
      </w:r>
      <w:r>
        <w:rPr>
          <w:sz w:val="22"/>
          <w:szCs w:val="22"/>
        </w:rPr>
        <w:t xml:space="preserve"> </w:t>
      </w:r>
      <w:r w:rsidRPr="00FF188F">
        <w:rPr>
          <w:sz w:val="22"/>
          <w:szCs w:val="22"/>
        </w:rPr>
        <w:t>“</w:t>
      </w:r>
      <w:r>
        <w:rPr>
          <w:sz w:val="22"/>
          <w:szCs w:val="22"/>
        </w:rPr>
        <w:t>B</w:t>
      </w:r>
      <w:r w:rsidRPr="00FF188F">
        <w:rPr>
          <w:sz w:val="22"/>
          <w:szCs w:val="22"/>
        </w:rPr>
        <w:t xml:space="preserve">ills rendered” </w:t>
      </w:r>
      <w:r>
        <w:rPr>
          <w:sz w:val="22"/>
          <w:szCs w:val="22"/>
        </w:rPr>
        <w:t xml:space="preserve">bills </w:t>
      </w:r>
      <w:r w:rsidRPr="00FF188F">
        <w:rPr>
          <w:sz w:val="22"/>
          <w:szCs w:val="22"/>
        </w:rPr>
        <w:t xml:space="preserve">are computed based on the effective </w:t>
      </w:r>
      <w:r>
        <w:rPr>
          <w:sz w:val="22"/>
          <w:szCs w:val="22"/>
        </w:rPr>
        <w:t xml:space="preserve">tariff </w:t>
      </w:r>
      <w:r w:rsidRPr="00FF188F">
        <w:rPr>
          <w:sz w:val="22"/>
          <w:szCs w:val="22"/>
        </w:rPr>
        <w:t>rate at the time of the bill.  “</w:t>
      </w:r>
      <w:r>
        <w:rPr>
          <w:sz w:val="22"/>
          <w:szCs w:val="22"/>
        </w:rPr>
        <w:t>S</w:t>
      </w:r>
      <w:r w:rsidRPr="00FF188F">
        <w:rPr>
          <w:sz w:val="22"/>
          <w:szCs w:val="22"/>
        </w:rPr>
        <w:t>ervice-rendered” b</w:t>
      </w:r>
      <w:r>
        <w:rPr>
          <w:sz w:val="22"/>
          <w:szCs w:val="22"/>
        </w:rPr>
        <w:t xml:space="preserve">ills </w:t>
      </w:r>
      <w:r w:rsidRPr="00FF188F">
        <w:rPr>
          <w:sz w:val="22"/>
          <w:szCs w:val="22"/>
        </w:rPr>
        <w:t>are prorated based on service rendered before and after a tariff rate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83F"/>
    <w:multiLevelType w:val="hybridMultilevel"/>
    <w:tmpl w:val="E4B0B878"/>
    <w:lvl w:ilvl="0" w:tplc="72848D80">
      <w:start w:val="1"/>
      <w:numFmt w:val="decimal"/>
      <w:lvlText w:val="%1."/>
      <w:lvlJc w:val="left"/>
      <w:pPr>
        <w:ind w:left="81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nsid w:val="0A023171"/>
    <w:multiLevelType w:val="hybridMultilevel"/>
    <w:tmpl w:val="CEE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4">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5">
    <w:nsid w:val="0F847CBC"/>
    <w:multiLevelType w:val="hybridMultilevel"/>
    <w:tmpl w:val="CEE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3B7AE5"/>
    <w:multiLevelType w:val="hybridMultilevel"/>
    <w:tmpl w:val="CEE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515318"/>
    <w:multiLevelType w:val="hybridMultilevel"/>
    <w:tmpl w:val="63F4F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2">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3">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4">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BE59F5"/>
    <w:multiLevelType w:val="hybridMultilevel"/>
    <w:tmpl w:val="97E4A674"/>
    <w:lvl w:ilvl="0" w:tplc="2AB84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2">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3">
    <w:nsid w:val="50A45AF1"/>
    <w:multiLevelType w:val="hybridMultilevel"/>
    <w:tmpl w:val="D324A876"/>
    <w:lvl w:ilvl="0" w:tplc="3974633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5">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6">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7">
    <w:nsid w:val="60D6395C"/>
    <w:multiLevelType w:val="hybridMultilevel"/>
    <w:tmpl w:val="B6E88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A95257"/>
    <w:multiLevelType w:val="hybridMultilevel"/>
    <w:tmpl w:val="CEE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6F6B73"/>
    <w:multiLevelType w:val="hybridMultilevel"/>
    <w:tmpl w:val="E8D85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1">
    <w:nsid w:val="73B94155"/>
    <w:multiLevelType w:val="hybridMultilevel"/>
    <w:tmpl w:val="1DF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num w:numId="1">
    <w:abstractNumId w:val="22"/>
  </w:num>
  <w:num w:numId="2">
    <w:abstractNumId w:val="32"/>
  </w:num>
  <w:num w:numId="3">
    <w:abstractNumId w:val="4"/>
  </w:num>
  <w:num w:numId="4">
    <w:abstractNumId w:val="14"/>
  </w:num>
  <w:num w:numId="5">
    <w:abstractNumId w:val="11"/>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
  </w:num>
  <w:num w:numId="10">
    <w:abstractNumId w:val="8"/>
  </w:num>
  <w:num w:numId="11">
    <w:abstractNumId w:val="26"/>
  </w:num>
  <w:num w:numId="12">
    <w:abstractNumId w:val="21"/>
  </w:num>
  <w:num w:numId="13">
    <w:abstractNumId w:val="13"/>
  </w:num>
  <w:num w:numId="14">
    <w:abstractNumId w:val="25"/>
  </w:num>
  <w:num w:numId="15">
    <w:abstractNumId w:val="24"/>
  </w:num>
  <w:num w:numId="16">
    <w:abstractNumId w:val="10"/>
  </w:num>
  <w:num w:numId="17">
    <w:abstractNumId w:val="16"/>
  </w:num>
  <w:num w:numId="18">
    <w:abstractNumId w:val="20"/>
  </w:num>
  <w:num w:numId="19">
    <w:abstractNumId w:val="30"/>
  </w:num>
  <w:num w:numId="20">
    <w:abstractNumId w:val="23"/>
  </w:num>
  <w:num w:numId="21">
    <w:abstractNumId w:val="7"/>
  </w:num>
  <w:num w:numId="22">
    <w:abstractNumId w:val="2"/>
  </w:num>
  <w:num w:numId="23">
    <w:abstractNumId w:val="5"/>
  </w:num>
  <w:num w:numId="24">
    <w:abstractNumId w:val="28"/>
  </w:num>
  <w:num w:numId="25">
    <w:abstractNumId w:val="19"/>
  </w:num>
  <w:num w:numId="26">
    <w:abstractNumId w:val="15"/>
  </w:num>
  <w:num w:numId="27">
    <w:abstractNumId w:val="17"/>
  </w:num>
  <w:num w:numId="28">
    <w:abstractNumId w:val="6"/>
  </w:num>
  <w:num w:numId="29">
    <w:abstractNumId w:val="1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7"/>
  </w:num>
  <w:num w:numId="34">
    <w:abstractNumId w:val="0"/>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51"/>
    <w:rsid w:val="0000068E"/>
    <w:rsid w:val="00002B2C"/>
    <w:rsid w:val="00003EE7"/>
    <w:rsid w:val="00004EC7"/>
    <w:rsid w:val="00022F7C"/>
    <w:rsid w:val="00026DAA"/>
    <w:rsid w:val="00033FA7"/>
    <w:rsid w:val="00036D7A"/>
    <w:rsid w:val="000377A6"/>
    <w:rsid w:val="0004217D"/>
    <w:rsid w:val="00046AD0"/>
    <w:rsid w:val="00047873"/>
    <w:rsid w:val="00064F4B"/>
    <w:rsid w:val="000660C5"/>
    <w:rsid w:val="000721E9"/>
    <w:rsid w:val="00075831"/>
    <w:rsid w:val="000830E8"/>
    <w:rsid w:val="00090F75"/>
    <w:rsid w:val="00095BCB"/>
    <w:rsid w:val="000B5497"/>
    <w:rsid w:val="000C4288"/>
    <w:rsid w:val="000C7562"/>
    <w:rsid w:val="000D321B"/>
    <w:rsid w:val="000D6911"/>
    <w:rsid w:val="00100456"/>
    <w:rsid w:val="001059B4"/>
    <w:rsid w:val="001069CB"/>
    <w:rsid w:val="00122D1B"/>
    <w:rsid w:val="001309D8"/>
    <w:rsid w:val="00131558"/>
    <w:rsid w:val="0014165C"/>
    <w:rsid w:val="00147E83"/>
    <w:rsid w:val="001613EF"/>
    <w:rsid w:val="001639C9"/>
    <w:rsid w:val="00170353"/>
    <w:rsid w:val="00170FDC"/>
    <w:rsid w:val="001A7CCB"/>
    <w:rsid w:val="001B477D"/>
    <w:rsid w:val="001B4F93"/>
    <w:rsid w:val="001D25CD"/>
    <w:rsid w:val="001D2D80"/>
    <w:rsid w:val="001D3745"/>
    <w:rsid w:val="001D470A"/>
    <w:rsid w:val="001D72C2"/>
    <w:rsid w:val="001E1A9A"/>
    <w:rsid w:val="001E5FF3"/>
    <w:rsid w:val="001F05E8"/>
    <w:rsid w:val="001F0E61"/>
    <w:rsid w:val="001F1888"/>
    <w:rsid w:val="001F3BA1"/>
    <w:rsid w:val="0020059C"/>
    <w:rsid w:val="0021216C"/>
    <w:rsid w:val="00212D48"/>
    <w:rsid w:val="00213DBE"/>
    <w:rsid w:val="002260D6"/>
    <w:rsid w:val="00237CEE"/>
    <w:rsid w:val="00237E14"/>
    <w:rsid w:val="00246B4B"/>
    <w:rsid w:val="002473D7"/>
    <w:rsid w:val="002515D6"/>
    <w:rsid w:val="002576BB"/>
    <w:rsid w:val="00261F1B"/>
    <w:rsid w:val="00277380"/>
    <w:rsid w:val="002807C0"/>
    <w:rsid w:val="002841E3"/>
    <w:rsid w:val="00284D6B"/>
    <w:rsid w:val="002B4BB6"/>
    <w:rsid w:val="002B7474"/>
    <w:rsid w:val="002C05AE"/>
    <w:rsid w:val="002C13AD"/>
    <w:rsid w:val="002C7E11"/>
    <w:rsid w:val="002D6C53"/>
    <w:rsid w:val="002E1175"/>
    <w:rsid w:val="002F08E1"/>
    <w:rsid w:val="002F6153"/>
    <w:rsid w:val="00302A96"/>
    <w:rsid w:val="003109CA"/>
    <w:rsid w:val="003131A6"/>
    <w:rsid w:val="00315C5B"/>
    <w:rsid w:val="003257FD"/>
    <w:rsid w:val="00325D62"/>
    <w:rsid w:val="0033243F"/>
    <w:rsid w:val="003361FF"/>
    <w:rsid w:val="00337C35"/>
    <w:rsid w:val="00343E93"/>
    <w:rsid w:val="00344FF7"/>
    <w:rsid w:val="00345B51"/>
    <w:rsid w:val="00352D08"/>
    <w:rsid w:val="00352E9C"/>
    <w:rsid w:val="003535E5"/>
    <w:rsid w:val="00355230"/>
    <w:rsid w:val="003566CE"/>
    <w:rsid w:val="0036049B"/>
    <w:rsid w:val="00363527"/>
    <w:rsid w:val="003648C6"/>
    <w:rsid w:val="00365664"/>
    <w:rsid w:val="00367E96"/>
    <w:rsid w:val="00380A79"/>
    <w:rsid w:val="00395998"/>
    <w:rsid w:val="003A5547"/>
    <w:rsid w:val="003A62ED"/>
    <w:rsid w:val="003A7A40"/>
    <w:rsid w:val="003B35C7"/>
    <w:rsid w:val="003C5BB4"/>
    <w:rsid w:val="003D1DC0"/>
    <w:rsid w:val="003D70A1"/>
    <w:rsid w:val="003F6360"/>
    <w:rsid w:val="0040158E"/>
    <w:rsid w:val="004202C0"/>
    <w:rsid w:val="0043122B"/>
    <w:rsid w:val="00433597"/>
    <w:rsid w:val="00434508"/>
    <w:rsid w:val="00443179"/>
    <w:rsid w:val="00450C90"/>
    <w:rsid w:val="004715C8"/>
    <w:rsid w:val="00474D77"/>
    <w:rsid w:val="00481D25"/>
    <w:rsid w:val="004914E9"/>
    <w:rsid w:val="00491AA5"/>
    <w:rsid w:val="00493DCE"/>
    <w:rsid w:val="004A38F7"/>
    <w:rsid w:val="004B10A0"/>
    <w:rsid w:val="004B655C"/>
    <w:rsid w:val="004C166D"/>
    <w:rsid w:val="004C4BB2"/>
    <w:rsid w:val="004C5531"/>
    <w:rsid w:val="004E1232"/>
    <w:rsid w:val="004F300B"/>
    <w:rsid w:val="005055CA"/>
    <w:rsid w:val="005063C2"/>
    <w:rsid w:val="00506D92"/>
    <w:rsid w:val="00510C4F"/>
    <w:rsid w:val="00515A16"/>
    <w:rsid w:val="00531869"/>
    <w:rsid w:val="00540AA5"/>
    <w:rsid w:val="005436DC"/>
    <w:rsid w:val="005555E3"/>
    <w:rsid w:val="00570C0F"/>
    <w:rsid w:val="00582E22"/>
    <w:rsid w:val="00593CD7"/>
    <w:rsid w:val="00595DD6"/>
    <w:rsid w:val="005A1B7F"/>
    <w:rsid w:val="005C7623"/>
    <w:rsid w:val="005D0736"/>
    <w:rsid w:val="005D55D8"/>
    <w:rsid w:val="005D7AA0"/>
    <w:rsid w:val="005E33A1"/>
    <w:rsid w:val="005F0257"/>
    <w:rsid w:val="005F3565"/>
    <w:rsid w:val="00601E15"/>
    <w:rsid w:val="0062094C"/>
    <w:rsid w:val="0062280B"/>
    <w:rsid w:val="00634624"/>
    <w:rsid w:val="006472F5"/>
    <w:rsid w:val="00651DA2"/>
    <w:rsid w:val="00652094"/>
    <w:rsid w:val="00654CA2"/>
    <w:rsid w:val="0065505D"/>
    <w:rsid w:val="00663210"/>
    <w:rsid w:val="00663D19"/>
    <w:rsid w:val="00664255"/>
    <w:rsid w:val="00671F2B"/>
    <w:rsid w:val="00686858"/>
    <w:rsid w:val="0069214E"/>
    <w:rsid w:val="006935F3"/>
    <w:rsid w:val="00695B46"/>
    <w:rsid w:val="00697C5B"/>
    <w:rsid w:val="006A5A60"/>
    <w:rsid w:val="006B7E12"/>
    <w:rsid w:val="006C3C01"/>
    <w:rsid w:val="006C43A0"/>
    <w:rsid w:val="006C5932"/>
    <w:rsid w:val="006C5AFD"/>
    <w:rsid w:val="006C7221"/>
    <w:rsid w:val="006E640B"/>
    <w:rsid w:val="006F1A41"/>
    <w:rsid w:val="0073737A"/>
    <w:rsid w:val="007412C2"/>
    <w:rsid w:val="007416C7"/>
    <w:rsid w:val="00767EF5"/>
    <w:rsid w:val="0077563C"/>
    <w:rsid w:val="00775674"/>
    <w:rsid w:val="00786837"/>
    <w:rsid w:val="007911E0"/>
    <w:rsid w:val="0079498B"/>
    <w:rsid w:val="0079648D"/>
    <w:rsid w:val="007968F2"/>
    <w:rsid w:val="00797C91"/>
    <w:rsid w:val="007A21D6"/>
    <w:rsid w:val="007A4967"/>
    <w:rsid w:val="007A4FEF"/>
    <w:rsid w:val="007C4612"/>
    <w:rsid w:val="007C5D6D"/>
    <w:rsid w:val="007D0C88"/>
    <w:rsid w:val="007E141A"/>
    <w:rsid w:val="00801CB1"/>
    <w:rsid w:val="00806A17"/>
    <w:rsid w:val="0082239F"/>
    <w:rsid w:val="00830C07"/>
    <w:rsid w:val="008331A7"/>
    <w:rsid w:val="008505B2"/>
    <w:rsid w:val="00856215"/>
    <w:rsid w:val="0086495A"/>
    <w:rsid w:val="008702DA"/>
    <w:rsid w:val="00871E56"/>
    <w:rsid w:val="00882412"/>
    <w:rsid w:val="008835C3"/>
    <w:rsid w:val="008A16EE"/>
    <w:rsid w:val="008A3602"/>
    <w:rsid w:val="008A61A4"/>
    <w:rsid w:val="008A6B03"/>
    <w:rsid w:val="008A7315"/>
    <w:rsid w:val="008B526A"/>
    <w:rsid w:val="008C6A91"/>
    <w:rsid w:val="008E28B6"/>
    <w:rsid w:val="008E3B4C"/>
    <w:rsid w:val="00900334"/>
    <w:rsid w:val="009006F5"/>
    <w:rsid w:val="0090731F"/>
    <w:rsid w:val="009115E2"/>
    <w:rsid w:val="00913043"/>
    <w:rsid w:val="009134F1"/>
    <w:rsid w:val="009163AC"/>
    <w:rsid w:val="009263CD"/>
    <w:rsid w:val="00927355"/>
    <w:rsid w:val="00930D7C"/>
    <w:rsid w:val="0093638B"/>
    <w:rsid w:val="00937A34"/>
    <w:rsid w:val="009660F6"/>
    <w:rsid w:val="009737CB"/>
    <w:rsid w:val="00973837"/>
    <w:rsid w:val="0098381A"/>
    <w:rsid w:val="00984B1B"/>
    <w:rsid w:val="0099269A"/>
    <w:rsid w:val="00994C51"/>
    <w:rsid w:val="00995848"/>
    <w:rsid w:val="00995CC1"/>
    <w:rsid w:val="009A03AC"/>
    <w:rsid w:val="009A27C0"/>
    <w:rsid w:val="009A6F0F"/>
    <w:rsid w:val="009B250F"/>
    <w:rsid w:val="009B4176"/>
    <w:rsid w:val="009B64CA"/>
    <w:rsid w:val="009C1DFD"/>
    <w:rsid w:val="009C4487"/>
    <w:rsid w:val="009D1CFC"/>
    <w:rsid w:val="009E2005"/>
    <w:rsid w:val="009E4B1B"/>
    <w:rsid w:val="009E6B2C"/>
    <w:rsid w:val="009F0BC1"/>
    <w:rsid w:val="00A118DF"/>
    <w:rsid w:val="00A137F7"/>
    <w:rsid w:val="00A270FC"/>
    <w:rsid w:val="00A33272"/>
    <w:rsid w:val="00A3440D"/>
    <w:rsid w:val="00A377A5"/>
    <w:rsid w:val="00A42799"/>
    <w:rsid w:val="00A479E4"/>
    <w:rsid w:val="00A623A5"/>
    <w:rsid w:val="00A6515B"/>
    <w:rsid w:val="00A73345"/>
    <w:rsid w:val="00A828A2"/>
    <w:rsid w:val="00A92977"/>
    <w:rsid w:val="00A95727"/>
    <w:rsid w:val="00A97773"/>
    <w:rsid w:val="00AA4FED"/>
    <w:rsid w:val="00AB06F1"/>
    <w:rsid w:val="00AC3D3C"/>
    <w:rsid w:val="00AD6448"/>
    <w:rsid w:val="00AE1913"/>
    <w:rsid w:val="00AE30FA"/>
    <w:rsid w:val="00AF14F1"/>
    <w:rsid w:val="00B16C90"/>
    <w:rsid w:val="00B22702"/>
    <w:rsid w:val="00B25AB1"/>
    <w:rsid w:val="00B32FD3"/>
    <w:rsid w:val="00B33909"/>
    <w:rsid w:val="00B3760B"/>
    <w:rsid w:val="00B422AC"/>
    <w:rsid w:val="00B50EE4"/>
    <w:rsid w:val="00B521CD"/>
    <w:rsid w:val="00B55BD0"/>
    <w:rsid w:val="00B6201F"/>
    <w:rsid w:val="00B62CE8"/>
    <w:rsid w:val="00B71E4C"/>
    <w:rsid w:val="00B75316"/>
    <w:rsid w:val="00B76080"/>
    <w:rsid w:val="00B77AAC"/>
    <w:rsid w:val="00B82678"/>
    <w:rsid w:val="00B84878"/>
    <w:rsid w:val="00B92916"/>
    <w:rsid w:val="00BA6E37"/>
    <w:rsid w:val="00BB2D17"/>
    <w:rsid w:val="00BB3FDC"/>
    <w:rsid w:val="00BC06D5"/>
    <w:rsid w:val="00BD06E4"/>
    <w:rsid w:val="00BD4216"/>
    <w:rsid w:val="00BD4558"/>
    <w:rsid w:val="00BD6CB9"/>
    <w:rsid w:val="00BE1A75"/>
    <w:rsid w:val="00BE7B3A"/>
    <w:rsid w:val="00BF6E9B"/>
    <w:rsid w:val="00C01419"/>
    <w:rsid w:val="00C03E93"/>
    <w:rsid w:val="00C07ECB"/>
    <w:rsid w:val="00C2154F"/>
    <w:rsid w:val="00C21DDE"/>
    <w:rsid w:val="00C21E29"/>
    <w:rsid w:val="00C237AA"/>
    <w:rsid w:val="00C25594"/>
    <w:rsid w:val="00C36F6D"/>
    <w:rsid w:val="00C400AA"/>
    <w:rsid w:val="00C418A2"/>
    <w:rsid w:val="00C446CB"/>
    <w:rsid w:val="00C5077F"/>
    <w:rsid w:val="00C57FE5"/>
    <w:rsid w:val="00C60A78"/>
    <w:rsid w:val="00C6475D"/>
    <w:rsid w:val="00C70068"/>
    <w:rsid w:val="00C706EF"/>
    <w:rsid w:val="00C70A09"/>
    <w:rsid w:val="00C718CA"/>
    <w:rsid w:val="00C812E1"/>
    <w:rsid w:val="00C82201"/>
    <w:rsid w:val="00C82B0F"/>
    <w:rsid w:val="00CA275A"/>
    <w:rsid w:val="00CA3250"/>
    <w:rsid w:val="00CB108A"/>
    <w:rsid w:val="00CB3D9E"/>
    <w:rsid w:val="00CB56FC"/>
    <w:rsid w:val="00CC6830"/>
    <w:rsid w:val="00CF23F4"/>
    <w:rsid w:val="00CF5176"/>
    <w:rsid w:val="00CF5A3A"/>
    <w:rsid w:val="00CF7DD1"/>
    <w:rsid w:val="00D04548"/>
    <w:rsid w:val="00D05F7D"/>
    <w:rsid w:val="00D1301F"/>
    <w:rsid w:val="00D24228"/>
    <w:rsid w:val="00D249ED"/>
    <w:rsid w:val="00D26C94"/>
    <w:rsid w:val="00D322E1"/>
    <w:rsid w:val="00D43F82"/>
    <w:rsid w:val="00D4423E"/>
    <w:rsid w:val="00D535C8"/>
    <w:rsid w:val="00D562FA"/>
    <w:rsid w:val="00D603E3"/>
    <w:rsid w:val="00D67E38"/>
    <w:rsid w:val="00D72CFB"/>
    <w:rsid w:val="00D75BE8"/>
    <w:rsid w:val="00D91D13"/>
    <w:rsid w:val="00D91F15"/>
    <w:rsid w:val="00DA0AE3"/>
    <w:rsid w:val="00DA5C60"/>
    <w:rsid w:val="00DB492D"/>
    <w:rsid w:val="00DD7E1F"/>
    <w:rsid w:val="00DE19F4"/>
    <w:rsid w:val="00DE5C95"/>
    <w:rsid w:val="00DE68D8"/>
    <w:rsid w:val="00E121CA"/>
    <w:rsid w:val="00E3055A"/>
    <w:rsid w:val="00E308A0"/>
    <w:rsid w:val="00E32B1D"/>
    <w:rsid w:val="00E37D64"/>
    <w:rsid w:val="00E43419"/>
    <w:rsid w:val="00E43B9E"/>
    <w:rsid w:val="00E53C40"/>
    <w:rsid w:val="00E54AEF"/>
    <w:rsid w:val="00E56271"/>
    <w:rsid w:val="00E56D3B"/>
    <w:rsid w:val="00E73123"/>
    <w:rsid w:val="00E76440"/>
    <w:rsid w:val="00E77BE2"/>
    <w:rsid w:val="00E81C75"/>
    <w:rsid w:val="00EA336A"/>
    <w:rsid w:val="00EA6D98"/>
    <w:rsid w:val="00EB0845"/>
    <w:rsid w:val="00EB3AE7"/>
    <w:rsid w:val="00EB5690"/>
    <w:rsid w:val="00EB6889"/>
    <w:rsid w:val="00ED1A85"/>
    <w:rsid w:val="00ED718D"/>
    <w:rsid w:val="00EE1E3C"/>
    <w:rsid w:val="00EE6947"/>
    <w:rsid w:val="00EF11F2"/>
    <w:rsid w:val="00F05C36"/>
    <w:rsid w:val="00F064FB"/>
    <w:rsid w:val="00F11E2D"/>
    <w:rsid w:val="00F12225"/>
    <w:rsid w:val="00F124FA"/>
    <w:rsid w:val="00F14287"/>
    <w:rsid w:val="00F1655D"/>
    <w:rsid w:val="00F20ECC"/>
    <w:rsid w:val="00F238D4"/>
    <w:rsid w:val="00F25984"/>
    <w:rsid w:val="00F33351"/>
    <w:rsid w:val="00F455A4"/>
    <w:rsid w:val="00F4616F"/>
    <w:rsid w:val="00F56E8B"/>
    <w:rsid w:val="00F60DBC"/>
    <w:rsid w:val="00F65C4F"/>
    <w:rsid w:val="00F67B30"/>
    <w:rsid w:val="00F726CE"/>
    <w:rsid w:val="00FB4087"/>
    <w:rsid w:val="00FB6D4A"/>
    <w:rsid w:val="00FC21E6"/>
    <w:rsid w:val="00FD10B4"/>
    <w:rsid w:val="00FD1562"/>
    <w:rsid w:val="00FD4110"/>
    <w:rsid w:val="00FD6E0D"/>
    <w:rsid w:val="00FE0D3B"/>
    <w:rsid w:val="00FE0DF9"/>
    <w:rsid w:val="00FE7087"/>
    <w:rsid w:val="00FF2AD0"/>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994C51"/>
    <w:pPr>
      <w:jc w:val="center"/>
    </w:pPr>
  </w:style>
  <w:style w:type="paragraph" w:customStyle="1" w:styleId="p3">
    <w:name w:val="p3"/>
    <w:basedOn w:val="Normal"/>
    <w:rsid w:val="00994C51"/>
    <w:pPr>
      <w:tabs>
        <w:tab w:val="left" w:pos="4960"/>
      </w:tabs>
      <w:ind w:left="3520"/>
    </w:pPr>
  </w:style>
  <w:style w:type="paragraph" w:customStyle="1" w:styleId="p4">
    <w:name w:val="p4"/>
    <w:basedOn w:val="Normal"/>
    <w:rsid w:val="00994C51"/>
    <w:pPr>
      <w:tabs>
        <w:tab w:val="left" w:pos="204"/>
      </w:tabs>
    </w:pPr>
  </w:style>
  <w:style w:type="paragraph" w:customStyle="1" w:styleId="p5">
    <w:name w:val="p5"/>
    <w:basedOn w:val="Normal"/>
    <w:uiPriority w:val="99"/>
    <w:rsid w:val="00994C51"/>
    <w:pPr>
      <w:tabs>
        <w:tab w:val="left" w:pos="391"/>
      </w:tabs>
      <w:ind w:left="1049"/>
    </w:pPr>
  </w:style>
  <w:style w:type="paragraph" w:customStyle="1" w:styleId="p7">
    <w:name w:val="p7"/>
    <w:basedOn w:val="Normal"/>
    <w:rsid w:val="00994C51"/>
    <w:pPr>
      <w:tabs>
        <w:tab w:val="left" w:pos="782"/>
        <w:tab w:val="left" w:pos="1133"/>
      </w:tabs>
      <w:ind w:left="1133" w:hanging="351"/>
    </w:pPr>
  </w:style>
  <w:style w:type="paragraph" w:customStyle="1" w:styleId="p2">
    <w:name w:val="p2"/>
    <w:basedOn w:val="Normal"/>
    <w:rsid w:val="00994C51"/>
    <w:pPr>
      <w:tabs>
        <w:tab w:val="left" w:pos="1445"/>
      </w:tabs>
      <w:ind w:firstLine="1445"/>
    </w:pPr>
  </w:style>
  <w:style w:type="paragraph" w:styleId="FootnoteText">
    <w:name w:val="footnote text"/>
    <w:basedOn w:val="Normal"/>
    <w:link w:val="FootnoteTextChar"/>
    <w:uiPriority w:val="99"/>
    <w:rsid w:val="00994C51"/>
    <w:rPr>
      <w:sz w:val="20"/>
      <w:szCs w:val="20"/>
    </w:rPr>
  </w:style>
  <w:style w:type="character" w:customStyle="1" w:styleId="FootnoteTextChar">
    <w:name w:val="Footnote Text Char"/>
    <w:basedOn w:val="DefaultParagraphFont"/>
    <w:link w:val="FootnoteText"/>
    <w:uiPriority w:val="99"/>
    <w:rsid w:val="00994C51"/>
    <w:rPr>
      <w:rFonts w:ascii="Times New Roman" w:eastAsia="Times New Roman" w:hAnsi="Times New Roman" w:cs="Times New Roman"/>
      <w:sz w:val="20"/>
      <w:szCs w:val="20"/>
    </w:rPr>
  </w:style>
  <w:style w:type="character" w:styleId="FootnoteReference">
    <w:name w:val="footnote reference"/>
    <w:uiPriority w:val="99"/>
    <w:rsid w:val="00994C51"/>
    <w:rPr>
      <w:vertAlign w:val="superscript"/>
    </w:rPr>
  </w:style>
  <w:style w:type="paragraph" w:styleId="ListParagraph">
    <w:name w:val="List Paragraph"/>
    <w:basedOn w:val="Normal"/>
    <w:uiPriority w:val="99"/>
    <w:qFormat/>
    <w:rsid w:val="00994C51"/>
    <w:pPr>
      <w:ind w:left="720"/>
    </w:pPr>
  </w:style>
  <w:style w:type="character" w:styleId="Hyperlink">
    <w:name w:val="Hyperlink"/>
    <w:uiPriority w:val="99"/>
    <w:unhideWhenUsed/>
    <w:rsid w:val="00994C51"/>
    <w:rPr>
      <w:rFonts w:ascii="Times New Roman" w:hAnsi="Times New Roman" w:cs="Times New Roman" w:hint="default"/>
      <w:color w:val="000000"/>
      <w:u w:val="single"/>
    </w:rPr>
  </w:style>
  <w:style w:type="paragraph" w:customStyle="1" w:styleId="t1">
    <w:name w:val="t1"/>
    <w:basedOn w:val="Normal"/>
    <w:rsid w:val="00CF23F4"/>
  </w:style>
  <w:style w:type="paragraph" w:customStyle="1" w:styleId="p6">
    <w:name w:val="p6"/>
    <w:basedOn w:val="Normal"/>
    <w:rsid w:val="00CF23F4"/>
    <w:pPr>
      <w:tabs>
        <w:tab w:val="left" w:pos="1479"/>
      </w:tabs>
      <w:ind w:firstLine="1479"/>
    </w:pPr>
  </w:style>
  <w:style w:type="paragraph" w:customStyle="1" w:styleId="p1">
    <w:name w:val="p1"/>
    <w:basedOn w:val="Normal"/>
    <w:rsid w:val="00CF23F4"/>
    <w:pPr>
      <w:tabs>
        <w:tab w:val="left" w:pos="691"/>
        <w:tab w:val="left" w:pos="1054"/>
      </w:tabs>
      <w:ind w:left="1054" w:hanging="363"/>
    </w:pPr>
  </w:style>
  <w:style w:type="paragraph" w:customStyle="1" w:styleId="c3">
    <w:name w:val="c3"/>
    <w:basedOn w:val="Normal"/>
    <w:rsid w:val="00CF23F4"/>
    <w:pPr>
      <w:jc w:val="center"/>
    </w:pPr>
  </w:style>
  <w:style w:type="paragraph" w:customStyle="1" w:styleId="p9">
    <w:name w:val="p9"/>
    <w:basedOn w:val="Normal"/>
    <w:rsid w:val="00CF23F4"/>
    <w:pPr>
      <w:tabs>
        <w:tab w:val="left" w:pos="2449"/>
        <w:tab w:val="left" w:pos="3276"/>
        <w:tab w:val="left" w:pos="3968"/>
      </w:tabs>
      <w:ind w:left="2449" w:firstLine="827"/>
    </w:pPr>
  </w:style>
  <w:style w:type="paragraph" w:customStyle="1" w:styleId="c1">
    <w:name w:val="c1"/>
    <w:basedOn w:val="Normal"/>
    <w:rsid w:val="00CF23F4"/>
    <w:pPr>
      <w:jc w:val="center"/>
    </w:pPr>
  </w:style>
  <w:style w:type="paragraph" w:styleId="Footer">
    <w:name w:val="footer"/>
    <w:basedOn w:val="Normal"/>
    <w:link w:val="FooterChar"/>
    <w:uiPriority w:val="99"/>
    <w:rsid w:val="00CF23F4"/>
    <w:pPr>
      <w:tabs>
        <w:tab w:val="center" w:pos="4320"/>
        <w:tab w:val="right" w:pos="8640"/>
      </w:tabs>
    </w:pPr>
  </w:style>
  <w:style w:type="character" w:customStyle="1" w:styleId="FooterChar">
    <w:name w:val="Footer Char"/>
    <w:basedOn w:val="DefaultParagraphFont"/>
    <w:link w:val="Footer"/>
    <w:uiPriority w:val="99"/>
    <w:rsid w:val="00CF23F4"/>
    <w:rPr>
      <w:rFonts w:ascii="Times New Roman" w:eastAsia="Times New Roman" w:hAnsi="Times New Roman" w:cs="Times New Roman"/>
      <w:sz w:val="24"/>
      <w:szCs w:val="24"/>
    </w:rPr>
  </w:style>
  <w:style w:type="character" w:styleId="PageNumber">
    <w:name w:val="page number"/>
    <w:rsid w:val="00CF23F4"/>
    <w:rPr>
      <w:rFonts w:cs="Times New Roman"/>
    </w:rPr>
  </w:style>
  <w:style w:type="paragraph" w:customStyle="1" w:styleId="p8">
    <w:name w:val="p8"/>
    <w:basedOn w:val="Normal"/>
    <w:rsid w:val="00CF23F4"/>
    <w:pPr>
      <w:tabs>
        <w:tab w:val="left" w:pos="1434"/>
        <w:tab w:val="left" w:pos="2125"/>
      </w:tabs>
      <w:ind w:left="2125" w:hanging="691"/>
      <w:jc w:val="both"/>
    </w:pPr>
  </w:style>
  <w:style w:type="paragraph" w:customStyle="1" w:styleId="t9">
    <w:name w:val="t9"/>
    <w:basedOn w:val="Normal"/>
    <w:rsid w:val="00CF23F4"/>
  </w:style>
  <w:style w:type="paragraph" w:customStyle="1" w:styleId="t10">
    <w:name w:val="t10"/>
    <w:basedOn w:val="Normal"/>
    <w:rsid w:val="00CF23F4"/>
  </w:style>
  <w:style w:type="paragraph" w:customStyle="1" w:styleId="p11">
    <w:name w:val="p11"/>
    <w:basedOn w:val="Normal"/>
    <w:rsid w:val="00CF23F4"/>
    <w:pPr>
      <w:tabs>
        <w:tab w:val="left" w:pos="805"/>
        <w:tab w:val="left" w:pos="1564"/>
      </w:tabs>
      <w:ind w:firstLine="805"/>
    </w:pPr>
  </w:style>
  <w:style w:type="paragraph" w:customStyle="1" w:styleId="p12">
    <w:name w:val="p12"/>
    <w:basedOn w:val="Normal"/>
    <w:rsid w:val="00CF23F4"/>
    <w:pPr>
      <w:tabs>
        <w:tab w:val="left" w:pos="805"/>
        <w:tab w:val="left" w:pos="1508"/>
      </w:tabs>
      <w:ind w:firstLine="805"/>
    </w:pPr>
  </w:style>
  <w:style w:type="paragraph" w:customStyle="1" w:styleId="p13">
    <w:name w:val="p13"/>
    <w:basedOn w:val="Normal"/>
    <w:rsid w:val="00CF23F4"/>
    <w:pPr>
      <w:tabs>
        <w:tab w:val="left" w:pos="204"/>
      </w:tabs>
    </w:pPr>
  </w:style>
  <w:style w:type="paragraph" w:customStyle="1" w:styleId="c14">
    <w:name w:val="c14"/>
    <w:basedOn w:val="Normal"/>
    <w:rsid w:val="00CF23F4"/>
    <w:pPr>
      <w:jc w:val="center"/>
    </w:pPr>
  </w:style>
  <w:style w:type="paragraph" w:customStyle="1" w:styleId="p15">
    <w:name w:val="p15"/>
    <w:basedOn w:val="Normal"/>
    <w:rsid w:val="00CF23F4"/>
    <w:pPr>
      <w:tabs>
        <w:tab w:val="left" w:pos="204"/>
      </w:tabs>
    </w:pPr>
  </w:style>
  <w:style w:type="paragraph" w:customStyle="1" w:styleId="p16">
    <w:name w:val="p16"/>
    <w:basedOn w:val="Normal"/>
    <w:rsid w:val="00CF23F4"/>
    <w:pPr>
      <w:tabs>
        <w:tab w:val="left" w:pos="873"/>
        <w:tab w:val="left" w:pos="1564"/>
      </w:tabs>
      <w:ind w:firstLine="873"/>
    </w:pPr>
  </w:style>
  <w:style w:type="paragraph" w:customStyle="1" w:styleId="p17">
    <w:name w:val="p17"/>
    <w:basedOn w:val="Normal"/>
    <w:rsid w:val="00CF23F4"/>
    <w:pPr>
      <w:tabs>
        <w:tab w:val="left" w:pos="805"/>
      </w:tabs>
      <w:ind w:left="635"/>
    </w:pPr>
  </w:style>
  <w:style w:type="paragraph" w:customStyle="1" w:styleId="p18">
    <w:name w:val="p18"/>
    <w:basedOn w:val="Normal"/>
    <w:rsid w:val="00CF23F4"/>
    <w:pPr>
      <w:tabs>
        <w:tab w:val="left" w:pos="1111"/>
      </w:tabs>
      <w:ind w:left="329"/>
    </w:pPr>
  </w:style>
  <w:style w:type="paragraph" w:customStyle="1" w:styleId="p19">
    <w:name w:val="p19"/>
    <w:basedOn w:val="Normal"/>
    <w:rsid w:val="00CF23F4"/>
    <w:pPr>
      <w:tabs>
        <w:tab w:val="left" w:pos="805"/>
      </w:tabs>
      <w:ind w:firstLine="805"/>
    </w:pPr>
  </w:style>
  <w:style w:type="paragraph" w:customStyle="1" w:styleId="p20">
    <w:name w:val="p20"/>
    <w:basedOn w:val="Normal"/>
    <w:rsid w:val="00CF23F4"/>
    <w:pPr>
      <w:tabs>
        <w:tab w:val="left" w:pos="204"/>
      </w:tabs>
    </w:pPr>
  </w:style>
  <w:style w:type="paragraph" w:customStyle="1" w:styleId="p23">
    <w:name w:val="p23"/>
    <w:basedOn w:val="Normal"/>
    <w:rsid w:val="00CF23F4"/>
    <w:pPr>
      <w:tabs>
        <w:tab w:val="left" w:pos="793"/>
        <w:tab w:val="left" w:pos="1513"/>
      </w:tabs>
      <w:ind w:firstLine="793"/>
    </w:pPr>
  </w:style>
  <w:style w:type="paragraph" w:customStyle="1" w:styleId="p32">
    <w:name w:val="p32"/>
    <w:basedOn w:val="Normal"/>
    <w:rsid w:val="00CF23F4"/>
    <w:pPr>
      <w:tabs>
        <w:tab w:val="left" w:pos="861"/>
      </w:tabs>
      <w:ind w:firstLine="861"/>
    </w:pPr>
  </w:style>
  <w:style w:type="paragraph" w:customStyle="1" w:styleId="p33">
    <w:name w:val="p33"/>
    <w:basedOn w:val="Normal"/>
    <w:rsid w:val="00CF23F4"/>
    <w:pPr>
      <w:tabs>
        <w:tab w:val="left" w:pos="861"/>
        <w:tab w:val="left" w:pos="1513"/>
      </w:tabs>
      <w:ind w:firstLine="861"/>
    </w:pPr>
  </w:style>
  <w:style w:type="paragraph" w:customStyle="1" w:styleId="c34">
    <w:name w:val="c34"/>
    <w:basedOn w:val="Normal"/>
    <w:rsid w:val="00CF23F4"/>
    <w:pPr>
      <w:jc w:val="center"/>
    </w:pPr>
  </w:style>
  <w:style w:type="paragraph" w:customStyle="1" w:styleId="p37">
    <w:name w:val="p37"/>
    <w:basedOn w:val="Normal"/>
    <w:rsid w:val="00CF23F4"/>
    <w:pPr>
      <w:tabs>
        <w:tab w:val="left" w:pos="833"/>
        <w:tab w:val="left" w:pos="1542"/>
      </w:tabs>
      <w:ind w:firstLine="833"/>
    </w:pPr>
  </w:style>
  <w:style w:type="paragraph" w:customStyle="1" w:styleId="p38">
    <w:name w:val="p38"/>
    <w:basedOn w:val="Normal"/>
    <w:rsid w:val="00CF23F4"/>
    <w:pPr>
      <w:tabs>
        <w:tab w:val="left" w:pos="1542"/>
      </w:tabs>
      <w:ind w:left="102"/>
    </w:pPr>
  </w:style>
  <w:style w:type="paragraph" w:customStyle="1" w:styleId="p39">
    <w:name w:val="p39"/>
    <w:basedOn w:val="Normal"/>
    <w:rsid w:val="00CF23F4"/>
    <w:pPr>
      <w:tabs>
        <w:tab w:val="left" w:pos="204"/>
      </w:tabs>
    </w:pPr>
  </w:style>
  <w:style w:type="paragraph" w:customStyle="1" w:styleId="p41">
    <w:name w:val="p41"/>
    <w:basedOn w:val="Normal"/>
    <w:rsid w:val="00CF23F4"/>
    <w:pPr>
      <w:tabs>
        <w:tab w:val="left" w:pos="1485"/>
      </w:tabs>
      <w:ind w:firstLine="1485"/>
    </w:pPr>
  </w:style>
  <w:style w:type="paragraph" w:customStyle="1" w:styleId="t44">
    <w:name w:val="t44"/>
    <w:basedOn w:val="Normal"/>
    <w:rsid w:val="00CF23F4"/>
  </w:style>
  <w:style w:type="paragraph" w:customStyle="1" w:styleId="p45">
    <w:name w:val="p45"/>
    <w:basedOn w:val="Normal"/>
    <w:rsid w:val="00CF23F4"/>
    <w:pPr>
      <w:tabs>
        <w:tab w:val="left" w:pos="1542"/>
      </w:tabs>
      <w:ind w:firstLine="1542"/>
    </w:pPr>
  </w:style>
  <w:style w:type="paragraph" w:customStyle="1" w:styleId="p46">
    <w:name w:val="p46"/>
    <w:basedOn w:val="Normal"/>
    <w:rsid w:val="00CF23F4"/>
    <w:pPr>
      <w:tabs>
        <w:tab w:val="left" w:pos="1048"/>
        <w:tab w:val="left" w:pos="1542"/>
      </w:tabs>
      <w:ind w:left="1542" w:hanging="494"/>
    </w:pPr>
  </w:style>
  <w:style w:type="paragraph" w:customStyle="1" w:styleId="c47">
    <w:name w:val="c47"/>
    <w:basedOn w:val="Normal"/>
    <w:rsid w:val="00CF23F4"/>
    <w:pPr>
      <w:jc w:val="center"/>
    </w:pPr>
  </w:style>
  <w:style w:type="paragraph" w:customStyle="1" w:styleId="p48">
    <w:name w:val="p48"/>
    <w:basedOn w:val="Normal"/>
    <w:rsid w:val="00CF23F4"/>
    <w:pPr>
      <w:tabs>
        <w:tab w:val="left" w:pos="1485"/>
      </w:tabs>
      <w:ind w:left="45"/>
    </w:pPr>
  </w:style>
  <w:style w:type="paragraph" w:customStyle="1" w:styleId="p43">
    <w:name w:val="p43"/>
    <w:basedOn w:val="Normal"/>
    <w:rsid w:val="00CF23F4"/>
    <w:pPr>
      <w:tabs>
        <w:tab w:val="left" w:pos="816"/>
        <w:tab w:val="left" w:pos="1519"/>
      </w:tabs>
      <w:ind w:firstLine="816"/>
    </w:pPr>
  </w:style>
  <w:style w:type="paragraph" w:customStyle="1" w:styleId="p52">
    <w:name w:val="p52"/>
    <w:basedOn w:val="Normal"/>
    <w:rsid w:val="00CF23F4"/>
    <w:pPr>
      <w:tabs>
        <w:tab w:val="left" w:pos="776"/>
        <w:tab w:val="left" w:pos="1508"/>
      </w:tabs>
      <w:ind w:firstLine="776"/>
    </w:pPr>
  </w:style>
  <w:style w:type="paragraph" w:customStyle="1" w:styleId="p54">
    <w:name w:val="p54"/>
    <w:basedOn w:val="Normal"/>
    <w:rsid w:val="00CF23F4"/>
    <w:pPr>
      <w:tabs>
        <w:tab w:val="left" w:pos="204"/>
      </w:tabs>
    </w:pPr>
  </w:style>
  <w:style w:type="paragraph" w:styleId="DocumentMap">
    <w:name w:val="Document Map"/>
    <w:basedOn w:val="Normal"/>
    <w:link w:val="DocumentMapChar"/>
    <w:rsid w:val="00CF23F4"/>
    <w:rPr>
      <w:rFonts w:ascii="Tahoma" w:hAnsi="Tahoma" w:cs="Tahoma"/>
      <w:sz w:val="16"/>
      <w:szCs w:val="16"/>
    </w:rPr>
  </w:style>
  <w:style w:type="character" w:customStyle="1" w:styleId="DocumentMapChar">
    <w:name w:val="Document Map Char"/>
    <w:basedOn w:val="DefaultParagraphFont"/>
    <w:link w:val="DocumentMap"/>
    <w:rsid w:val="00CF23F4"/>
    <w:rPr>
      <w:rFonts w:ascii="Tahoma" w:eastAsia="Times New Roman" w:hAnsi="Tahoma" w:cs="Tahoma"/>
      <w:sz w:val="16"/>
      <w:szCs w:val="16"/>
    </w:rPr>
  </w:style>
  <w:style w:type="paragraph" w:customStyle="1" w:styleId="Style">
    <w:name w:val="Style"/>
    <w:rsid w:val="00CF23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F23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23F4"/>
    <w:rPr>
      <w:rFonts w:ascii="Tahoma" w:hAnsi="Tahoma" w:cs="Tahoma"/>
      <w:sz w:val="16"/>
      <w:szCs w:val="16"/>
    </w:rPr>
  </w:style>
  <w:style w:type="character" w:customStyle="1" w:styleId="BalloonTextChar">
    <w:name w:val="Balloon Text Char"/>
    <w:basedOn w:val="DefaultParagraphFont"/>
    <w:link w:val="BalloonText"/>
    <w:rsid w:val="00CF23F4"/>
    <w:rPr>
      <w:rFonts w:ascii="Tahoma" w:eastAsia="Times New Roman" w:hAnsi="Tahoma" w:cs="Tahoma"/>
      <w:sz w:val="16"/>
      <w:szCs w:val="16"/>
    </w:rPr>
  </w:style>
  <w:style w:type="paragraph" w:styleId="PlainText">
    <w:name w:val="Plain Text"/>
    <w:basedOn w:val="Normal"/>
    <w:link w:val="PlainTextChar"/>
    <w:uiPriority w:val="99"/>
    <w:unhideWhenUsed/>
    <w:rsid w:val="00D75BE8"/>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75BE8"/>
    <w:rPr>
      <w:rFonts w:ascii="Calibri" w:hAnsi="Calibri"/>
      <w:szCs w:val="21"/>
    </w:rPr>
  </w:style>
  <w:style w:type="paragraph" w:styleId="Header">
    <w:name w:val="header"/>
    <w:basedOn w:val="Normal"/>
    <w:link w:val="HeaderChar"/>
    <w:uiPriority w:val="99"/>
    <w:unhideWhenUsed/>
    <w:rsid w:val="00FC21E6"/>
    <w:pPr>
      <w:tabs>
        <w:tab w:val="center" w:pos="4680"/>
        <w:tab w:val="right" w:pos="9360"/>
      </w:tabs>
    </w:pPr>
  </w:style>
  <w:style w:type="character" w:customStyle="1" w:styleId="HeaderChar">
    <w:name w:val="Header Char"/>
    <w:basedOn w:val="DefaultParagraphFont"/>
    <w:link w:val="Header"/>
    <w:uiPriority w:val="99"/>
    <w:rsid w:val="00FC21E6"/>
    <w:rPr>
      <w:rFonts w:ascii="Times New Roman" w:eastAsia="Times New Roman" w:hAnsi="Times New Roman" w:cs="Times New Roman"/>
      <w:sz w:val="24"/>
      <w:szCs w:val="24"/>
    </w:rPr>
  </w:style>
  <w:style w:type="table" w:styleId="Table3Deffects3">
    <w:name w:val="Table 3D effects 3"/>
    <w:basedOn w:val="TableNormal"/>
    <w:rsid w:val="001309D8"/>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994C51"/>
    <w:pPr>
      <w:jc w:val="center"/>
    </w:pPr>
  </w:style>
  <w:style w:type="paragraph" w:customStyle="1" w:styleId="p3">
    <w:name w:val="p3"/>
    <w:basedOn w:val="Normal"/>
    <w:rsid w:val="00994C51"/>
    <w:pPr>
      <w:tabs>
        <w:tab w:val="left" w:pos="4960"/>
      </w:tabs>
      <w:ind w:left="3520"/>
    </w:pPr>
  </w:style>
  <w:style w:type="paragraph" w:customStyle="1" w:styleId="p4">
    <w:name w:val="p4"/>
    <w:basedOn w:val="Normal"/>
    <w:rsid w:val="00994C51"/>
    <w:pPr>
      <w:tabs>
        <w:tab w:val="left" w:pos="204"/>
      </w:tabs>
    </w:pPr>
  </w:style>
  <w:style w:type="paragraph" w:customStyle="1" w:styleId="p5">
    <w:name w:val="p5"/>
    <w:basedOn w:val="Normal"/>
    <w:uiPriority w:val="99"/>
    <w:rsid w:val="00994C51"/>
    <w:pPr>
      <w:tabs>
        <w:tab w:val="left" w:pos="391"/>
      </w:tabs>
      <w:ind w:left="1049"/>
    </w:pPr>
  </w:style>
  <w:style w:type="paragraph" w:customStyle="1" w:styleId="p7">
    <w:name w:val="p7"/>
    <w:basedOn w:val="Normal"/>
    <w:rsid w:val="00994C51"/>
    <w:pPr>
      <w:tabs>
        <w:tab w:val="left" w:pos="782"/>
        <w:tab w:val="left" w:pos="1133"/>
      </w:tabs>
      <w:ind w:left="1133" w:hanging="351"/>
    </w:pPr>
  </w:style>
  <w:style w:type="paragraph" w:customStyle="1" w:styleId="p2">
    <w:name w:val="p2"/>
    <w:basedOn w:val="Normal"/>
    <w:rsid w:val="00994C51"/>
    <w:pPr>
      <w:tabs>
        <w:tab w:val="left" w:pos="1445"/>
      </w:tabs>
      <w:ind w:firstLine="1445"/>
    </w:pPr>
  </w:style>
  <w:style w:type="paragraph" w:styleId="FootnoteText">
    <w:name w:val="footnote text"/>
    <w:basedOn w:val="Normal"/>
    <w:link w:val="FootnoteTextChar"/>
    <w:uiPriority w:val="99"/>
    <w:rsid w:val="00994C51"/>
    <w:rPr>
      <w:sz w:val="20"/>
      <w:szCs w:val="20"/>
    </w:rPr>
  </w:style>
  <w:style w:type="character" w:customStyle="1" w:styleId="FootnoteTextChar">
    <w:name w:val="Footnote Text Char"/>
    <w:basedOn w:val="DefaultParagraphFont"/>
    <w:link w:val="FootnoteText"/>
    <w:uiPriority w:val="99"/>
    <w:rsid w:val="00994C51"/>
    <w:rPr>
      <w:rFonts w:ascii="Times New Roman" w:eastAsia="Times New Roman" w:hAnsi="Times New Roman" w:cs="Times New Roman"/>
      <w:sz w:val="20"/>
      <w:szCs w:val="20"/>
    </w:rPr>
  </w:style>
  <w:style w:type="character" w:styleId="FootnoteReference">
    <w:name w:val="footnote reference"/>
    <w:uiPriority w:val="99"/>
    <w:rsid w:val="00994C51"/>
    <w:rPr>
      <w:vertAlign w:val="superscript"/>
    </w:rPr>
  </w:style>
  <w:style w:type="paragraph" w:styleId="ListParagraph">
    <w:name w:val="List Paragraph"/>
    <w:basedOn w:val="Normal"/>
    <w:uiPriority w:val="99"/>
    <w:qFormat/>
    <w:rsid w:val="00994C51"/>
    <w:pPr>
      <w:ind w:left="720"/>
    </w:pPr>
  </w:style>
  <w:style w:type="character" w:styleId="Hyperlink">
    <w:name w:val="Hyperlink"/>
    <w:uiPriority w:val="99"/>
    <w:unhideWhenUsed/>
    <w:rsid w:val="00994C51"/>
    <w:rPr>
      <w:rFonts w:ascii="Times New Roman" w:hAnsi="Times New Roman" w:cs="Times New Roman" w:hint="default"/>
      <w:color w:val="000000"/>
      <w:u w:val="single"/>
    </w:rPr>
  </w:style>
  <w:style w:type="paragraph" w:customStyle="1" w:styleId="t1">
    <w:name w:val="t1"/>
    <w:basedOn w:val="Normal"/>
    <w:rsid w:val="00CF23F4"/>
  </w:style>
  <w:style w:type="paragraph" w:customStyle="1" w:styleId="p6">
    <w:name w:val="p6"/>
    <w:basedOn w:val="Normal"/>
    <w:rsid w:val="00CF23F4"/>
    <w:pPr>
      <w:tabs>
        <w:tab w:val="left" w:pos="1479"/>
      </w:tabs>
      <w:ind w:firstLine="1479"/>
    </w:pPr>
  </w:style>
  <w:style w:type="paragraph" w:customStyle="1" w:styleId="p1">
    <w:name w:val="p1"/>
    <w:basedOn w:val="Normal"/>
    <w:rsid w:val="00CF23F4"/>
    <w:pPr>
      <w:tabs>
        <w:tab w:val="left" w:pos="691"/>
        <w:tab w:val="left" w:pos="1054"/>
      </w:tabs>
      <w:ind w:left="1054" w:hanging="363"/>
    </w:pPr>
  </w:style>
  <w:style w:type="paragraph" w:customStyle="1" w:styleId="c3">
    <w:name w:val="c3"/>
    <w:basedOn w:val="Normal"/>
    <w:rsid w:val="00CF23F4"/>
    <w:pPr>
      <w:jc w:val="center"/>
    </w:pPr>
  </w:style>
  <w:style w:type="paragraph" w:customStyle="1" w:styleId="p9">
    <w:name w:val="p9"/>
    <w:basedOn w:val="Normal"/>
    <w:rsid w:val="00CF23F4"/>
    <w:pPr>
      <w:tabs>
        <w:tab w:val="left" w:pos="2449"/>
        <w:tab w:val="left" w:pos="3276"/>
        <w:tab w:val="left" w:pos="3968"/>
      </w:tabs>
      <w:ind w:left="2449" w:firstLine="827"/>
    </w:pPr>
  </w:style>
  <w:style w:type="paragraph" w:customStyle="1" w:styleId="c1">
    <w:name w:val="c1"/>
    <w:basedOn w:val="Normal"/>
    <w:rsid w:val="00CF23F4"/>
    <w:pPr>
      <w:jc w:val="center"/>
    </w:pPr>
  </w:style>
  <w:style w:type="paragraph" w:styleId="Footer">
    <w:name w:val="footer"/>
    <w:basedOn w:val="Normal"/>
    <w:link w:val="FooterChar"/>
    <w:uiPriority w:val="99"/>
    <w:rsid w:val="00CF23F4"/>
    <w:pPr>
      <w:tabs>
        <w:tab w:val="center" w:pos="4320"/>
        <w:tab w:val="right" w:pos="8640"/>
      </w:tabs>
    </w:pPr>
  </w:style>
  <w:style w:type="character" w:customStyle="1" w:styleId="FooterChar">
    <w:name w:val="Footer Char"/>
    <w:basedOn w:val="DefaultParagraphFont"/>
    <w:link w:val="Footer"/>
    <w:uiPriority w:val="99"/>
    <w:rsid w:val="00CF23F4"/>
    <w:rPr>
      <w:rFonts w:ascii="Times New Roman" w:eastAsia="Times New Roman" w:hAnsi="Times New Roman" w:cs="Times New Roman"/>
      <w:sz w:val="24"/>
      <w:szCs w:val="24"/>
    </w:rPr>
  </w:style>
  <w:style w:type="character" w:styleId="PageNumber">
    <w:name w:val="page number"/>
    <w:rsid w:val="00CF23F4"/>
    <w:rPr>
      <w:rFonts w:cs="Times New Roman"/>
    </w:rPr>
  </w:style>
  <w:style w:type="paragraph" w:customStyle="1" w:styleId="p8">
    <w:name w:val="p8"/>
    <w:basedOn w:val="Normal"/>
    <w:rsid w:val="00CF23F4"/>
    <w:pPr>
      <w:tabs>
        <w:tab w:val="left" w:pos="1434"/>
        <w:tab w:val="left" w:pos="2125"/>
      </w:tabs>
      <w:ind w:left="2125" w:hanging="691"/>
      <w:jc w:val="both"/>
    </w:pPr>
  </w:style>
  <w:style w:type="paragraph" w:customStyle="1" w:styleId="t9">
    <w:name w:val="t9"/>
    <w:basedOn w:val="Normal"/>
    <w:rsid w:val="00CF23F4"/>
  </w:style>
  <w:style w:type="paragraph" w:customStyle="1" w:styleId="t10">
    <w:name w:val="t10"/>
    <w:basedOn w:val="Normal"/>
    <w:rsid w:val="00CF23F4"/>
  </w:style>
  <w:style w:type="paragraph" w:customStyle="1" w:styleId="p11">
    <w:name w:val="p11"/>
    <w:basedOn w:val="Normal"/>
    <w:rsid w:val="00CF23F4"/>
    <w:pPr>
      <w:tabs>
        <w:tab w:val="left" w:pos="805"/>
        <w:tab w:val="left" w:pos="1564"/>
      </w:tabs>
      <w:ind w:firstLine="805"/>
    </w:pPr>
  </w:style>
  <w:style w:type="paragraph" w:customStyle="1" w:styleId="p12">
    <w:name w:val="p12"/>
    <w:basedOn w:val="Normal"/>
    <w:rsid w:val="00CF23F4"/>
    <w:pPr>
      <w:tabs>
        <w:tab w:val="left" w:pos="805"/>
        <w:tab w:val="left" w:pos="1508"/>
      </w:tabs>
      <w:ind w:firstLine="805"/>
    </w:pPr>
  </w:style>
  <w:style w:type="paragraph" w:customStyle="1" w:styleId="p13">
    <w:name w:val="p13"/>
    <w:basedOn w:val="Normal"/>
    <w:rsid w:val="00CF23F4"/>
    <w:pPr>
      <w:tabs>
        <w:tab w:val="left" w:pos="204"/>
      </w:tabs>
    </w:pPr>
  </w:style>
  <w:style w:type="paragraph" w:customStyle="1" w:styleId="c14">
    <w:name w:val="c14"/>
    <w:basedOn w:val="Normal"/>
    <w:rsid w:val="00CF23F4"/>
    <w:pPr>
      <w:jc w:val="center"/>
    </w:pPr>
  </w:style>
  <w:style w:type="paragraph" w:customStyle="1" w:styleId="p15">
    <w:name w:val="p15"/>
    <w:basedOn w:val="Normal"/>
    <w:rsid w:val="00CF23F4"/>
    <w:pPr>
      <w:tabs>
        <w:tab w:val="left" w:pos="204"/>
      </w:tabs>
    </w:pPr>
  </w:style>
  <w:style w:type="paragraph" w:customStyle="1" w:styleId="p16">
    <w:name w:val="p16"/>
    <w:basedOn w:val="Normal"/>
    <w:rsid w:val="00CF23F4"/>
    <w:pPr>
      <w:tabs>
        <w:tab w:val="left" w:pos="873"/>
        <w:tab w:val="left" w:pos="1564"/>
      </w:tabs>
      <w:ind w:firstLine="873"/>
    </w:pPr>
  </w:style>
  <w:style w:type="paragraph" w:customStyle="1" w:styleId="p17">
    <w:name w:val="p17"/>
    <w:basedOn w:val="Normal"/>
    <w:rsid w:val="00CF23F4"/>
    <w:pPr>
      <w:tabs>
        <w:tab w:val="left" w:pos="805"/>
      </w:tabs>
      <w:ind w:left="635"/>
    </w:pPr>
  </w:style>
  <w:style w:type="paragraph" w:customStyle="1" w:styleId="p18">
    <w:name w:val="p18"/>
    <w:basedOn w:val="Normal"/>
    <w:rsid w:val="00CF23F4"/>
    <w:pPr>
      <w:tabs>
        <w:tab w:val="left" w:pos="1111"/>
      </w:tabs>
      <w:ind w:left="329"/>
    </w:pPr>
  </w:style>
  <w:style w:type="paragraph" w:customStyle="1" w:styleId="p19">
    <w:name w:val="p19"/>
    <w:basedOn w:val="Normal"/>
    <w:rsid w:val="00CF23F4"/>
    <w:pPr>
      <w:tabs>
        <w:tab w:val="left" w:pos="805"/>
      </w:tabs>
      <w:ind w:firstLine="805"/>
    </w:pPr>
  </w:style>
  <w:style w:type="paragraph" w:customStyle="1" w:styleId="p20">
    <w:name w:val="p20"/>
    <w:basedOn w:val="Normal"/>
    <w:rsid w:val="00CF23F4"/>
    <w:pPr>
      <w:tabs>
        <w:tab w:val="left" w:pos="204"/>
      </w:tabs>
    </w:pPr>
  </w:style>
  <w:style w:type="paragraph" w:customStyle="1" w:styleId="p23">
    <w:name w:val="p23"/>
    <w:basedOn w:val="Normal"/>
    <w:rsid w:val="00CF23F4"/>
    <w:pPr>
      <w:tabs>
        <w:tab w:val="left" w:pos="793"/>
        <w:tab w:val="left" w:pos="1513"/>
      </w:tabs>
      <w:ind w:firstLine="793"/>
    </w:pPr>
  </w:style>
  <w:style w:type="paragraph" w:customStyle="1" w:styleId="p32">
    <w:name w:val="p32"/>
    <w:basedOn w:val="Normal"/>
    <w:rsid w:val="00CF23F4"/>
    <w:pPr>
      <w:tabs>
        <w:tab w:val="left" w:pos="861"/>
      </w:tabs>
      <w:ind w:firstLine="861"/>
    </w:pPr>
  </w:style>
  <w:style w:type="paragraph" w:customStyle="1" w:styleId="p33">
    <w:name w:val="p33"/>
    <w:basedOn w:val="Normal"/>
    <w:rsid w:val="00CF23F4"/>
    <w:pPr>
      <w:tabs>
        <w:tab w:val="left" w:pos="861"/>
        <w:tab w:val="left" w:pos="1513"/>
      </w:tabs>
      <w:ind w:firstLine="861"/>
    </w:pPr>
  </w:style>
  <w:style w:type="paragraph" w:customStyle="1" w:styleId="c34">
    <w:name w:val="c34"/>
    <w:basedOn w:val="Normal"/>
    <w:rsid w:val="00CF23F4"/>
    <w:pPr>
      <w:jc w:val="center"/>
    </w:pPr>
  </w:style>
  <w:style w:type="paragraph" w:customStyle="1" w:styleId="p37">
    <w:name w:val="p37"/>
    <w:basedOn w:val="Normal"/>
    <w:rsid w:val="00CF23F4"/>
    <w:pPr>
      <w:tabs>
        <w:tab w:val="left" w:pos="833"/>
        <w:tab w:val="left" w:pos="1542"/>
      </w:tabs>
      <w:ind w:firstLine="833"/>
    </w:pPr>
  </w:style>
  <w:style w:type="paragraph" w:customStyle="1" w:styleId="p38">
    <w:name w:val="p38"/>
    <w:basedOn w:val="Normal"/>
    <w:rsid w:val="00CF23F4"/>
    <w:pPr>
      <w:tabs>
        <w:tab w:val="left" w:pos="1542"/>
      </w:tabs>
      <w:ind w:left="102"/>
    </w:pPr>
  </w:style>
  <w:style w:type="paragraph" w:customStyle="1" w:styleId="p39">
    <w:name w:val="p39"/>
    <w:basedOn w:val="Normal"/>
    <w:rsid w:val="00CF23F4"/>
    <w:pPr>
      <w:tabs>
        <w:tab w:val="left" w:pos="204"/>
      </w:tabs>
    </w:pPr>
  </w:style>
  <w:style w:type="paragraph" w:customStyle="1" w:styleId="p41">
    <w:name w:val="p41"/>
    <w:basedOn w:val="Normal"/>
    <w:rsid w:val="00CF23F4"/>
    <w:pPr>
      <w:tabs>
        <w:tab w:val="left" w:pos="1485"/>
      </w:tabs>
      <w:ind w:firstLine="1485"/>
    </w:pPr>
  </w:style>
  <w:style w:type="paragraph" w:customStyle="1" w:styleId="t44">
    <w:name w:val="t44"/>
    <w:basedOn w:val="Normal"/>
    <w:rsid w:val="00CF23F4"/>
  </w:style>
  <w:style w:type="paragraph" w:customStyle="1" w:styleId="p45">
    <w:name w:val="p45"/>
    <w:basedOn w:val="Normal"/>
    <w:rsid w:val="00CF23F4"/>
    <w:pPr>
      <w:tabs>
        <w:tab w:val="left" w:pos="1542"/>
      </w:tabs>
      <w:ind w:firstLine="1542"/>
    </w:pPr>
  </w:style>
  <w:style w:type="paragraph" w:customStyle="1" w:styleId="p46">
    <w:name w:val="p46"/>
    <w:basedOn w:val="Normal"/>
    <w:rsid w:val="00CF23F4"/>
    <w:pPr>
      <w:tabs>
        <w:tab w:val="left" w:pos="1048"/>
        <w:tab w:val="left" w:pos="1542"/>
      </w:tabs>
      <w:ind w:left="1542" w:hanging="494"/>
    </w:pPr>
  </w:style>
  <w:style w:type="paragraph" w:customStyle="1" w:styleId="c47">
    <w:name w:val="c47"/>
    <w:basedOn w:val="Normal"/>
    <w:rsid w:val="00CF23F4"/>
    <w:pPr>
      <w:jc w:val="center"/>
    </w:pPr>
  </w:style>
  <w:style w:type="paragraph" w:customStyle="1" w:styleId="p48">
    <w:name w:val="p48"/>
    <w:basedOn w:val="Normal"/>
    <w:rsid w:val="00CF23F4"/>
    <w:pPr>
      <w:tabs>
        <w:tab w:val="left" w:pos="1485"/>
      </w:tabs>
      <w:ind w:left="45"/>
    </w:pPr>
  </w:style>
  <w:style w:type="paragraph" w:customStyle="1" w:styleId="p43">
    <w:name w:val="p43"/>
    <w:basedOn w:val="Normal"/>
    <w:rsid w:val="00CF23F4"/>
    <w:pPr>
      <w:tabs>
        <w:tab w:val="left" w:pos="816"/>
        <w:tab w:val="left" w:pos="1519"/>
      </w:tabs>
      <w:ind w:firstLine="816"/>
    </w:pPr>
  </w:style>
  <w:style w:type="paragraph" w:customStyle="1" w:styleId="p52">
    <w:name w:val="p52"/>
    <w:basedOn w:val="Normal"/>
    <w:rsid w:val="00CF23F4"/>
    <w:pPr>
      <w:tabs>
        <w:tab w:val="left" w:pos="776"/>
        <w:tab w:val="left" w:pos="1508"/>
      </w:tabs>
      <w:ind w:firstLine="776"/>
    </w:pPr>
  </w:style>
  <w:style w:type="paragraph" w:customStyle="1" w:styleId="p54">
    <w:name w:val="p54"/>
    <w:basedOn w:val="Normal"/>
    <w:rsid w:val="00CF23F4"/>
    <w:pPr>
      <w:tabs>
        <w:tab w:val="left" w:pos="204"/>
      </w:tabs>
    </w:pPr>
  </w:style>
  <w:style w:type="paragraph" w:styleId="DocumentMap">
    <w:name w:val="Document Map"/>
    <w:basedOn w:val="Normal"/>
    <w:link w:val="DocumentMapChar"/>
    <w:rsid w:val="00CF23F4"/>
    <w:rPr>
      <w:rFonts w:ascii="Tahoma" w:hAnsi="Tahoma" w:cs="Tahoma"/>
      <w:sz w:val="16"/>
      <w:szCs w:val="16"/>
    </w:rPr>
  </w:style>
  <w:style w:type="character" w:customStyle="1" w:styleId="DocumentMapChar">
    <w:name w:val="Document Map Char"/>
    <w:basedOn w:val="DefaultParagraphFont"/>
    <w:link w:val="DocumentMap"/>
    <w:rsid w:val="00CF23F4"/>
    <w:rPr>
      <w:rFonts w:ascii="Tahoma" w:eastAsia="Times New Roman" w:hAnsi="Tahoma" w:cs="Tahoma"/>
      <w:sz w:val="16"/>
      <w:szCs w:val="16"/>
    </w:rPr>
  </w:style>
  <w:style w:type="paragraph" w:customStyle="1" w:styleId="Style">
    <w:name w:val="Style"/>
    <w:rsid w:val="00CF23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F23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23F4"/>
    <w:rPr>
      <w:rFonts w:ascii="Tahoma" w:hAnsi="Tahoma" w:cs="Tahoma"/>
      <w:sz w:val="16"/>
      <w:szCs w:val="16"/>
    </w:rPr>
  </w:style>
  <w:style w:type="character" w:customStyle="1" w:styleId="BalloonTextChar">
    <w:name w:val="Balloon Text Char"/>
    <w:basedOn w:val="DefaultParagraphFont"/>
    <w:link w:val="BalloonText"/>
    <w:rsid w:val="00CF23F4"/>
    <w:rPr>
      <w:rFonts w:ascii="Tahoma" w:eastAsia="Times New Roman" w:hAnsi="Tahoma" w:cs="Tahoma"/>
      <w:sz w:val="16"/>
      <w:szCs w:val="16"/>
    </w:rPr>
  </w:style>
  <w:style w:type="paragraph" w:styleId="PlainText">
    <w:name w:val="Plain Text"/>
    <w:basedOn w:val="Normal"/>
    <w:link w:val="PlainTextChar"/>
    <w:uiPriority w:val="99"/>
    <w:unhideWhenUsed/>
    <w:rsid w:val="00D75BE8"/>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75BE8"/>
    <w:rPr>
      <w:rFonts w:ascii="Calibri" w:hAnsi="Calibri"/>
      <w:szCs w:val="21"/>
    </w:rPr>
  </w:style>
  <w:style w:type="paragraph" w:styleId="Header">
    <w:name w:val="header"/>
    <w:basedOn w:val="Normal"/>
    <w:link w:val="HeaderChar"/>
    <w:uiPriority w:val="99"/>
    <w:unhideWhenUsed/>
    <w:rsid w:val="00FC21E6"/>
    <w:pPr>
      <w:tabs>
        <w:tab w:val="center" w:pos="4680"/>
        <w:tab w:val="right" w:pos="9360"/>
      </w:tabs>
    </w:pPr>
  </w:style>
  <w:style w:type="character" w:customStyle="1" w:styleId="HeaderChar">
    <w:name w:val="Header Char"/>
    <w:basedOn w:val="DefaultParagraphFont"/>
    <w:link w:val="Header"/>
    <w:uiPriority w:val="99"/>
    <w:rsid w:val="00FC21E6"/>
    <w:rPr>
      <w:rFonts w:ascii="Times New Roman" w:eastAsia="Times New Roman" w:hAnsi="Times New Roman" w:cs="Times New Roman"/>
      <w:sz w:val="24"/>
      <w:szCs w:val="24"/>
    </w:rPr>
  </w:style>
  <w:style w:type="table" w:styleId="Table3Deffects3">
    <w:name w:val="Table 3D effects 3"/>
    <w:basedOn w:val="TableNormal"/>
    <w:rsid w:val="001309D8"/>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26469">
      <w:bodyDiv w:val="1"/>
      <w:marLeft w:val="0"/>
      <w:marRight w:val="0"/>
      <w:marTop w:val="0"/>
      <w:marBottom w:val="0"/>
      <w:divBdr>
        <w:top w:val="none" w:sz="0" w:space="0" w:color="auto"/>
        <w:left w:val="none" w:sz="0" w:space="0" w:color="auto"/>
        <w:bottom w:val="none" w:sz="0" w:space="0" w:color="auto"/>
        <w:right w:val="none" w:sz="0" w:space="0" w:color="auto"/>
      </w:divBdr>
    </w:div>
    <w:div w:id="16988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A2FF-C717-4405-A4E4-D487B049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48</Pages>
  <Words>11539</Words>
  <Characters>65778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Layton, Richard</dc:creator>
  <cp:lastModifiedBy>Hinds, Margaret</cp:lastModifiedBy>
  <cp:revision>20</cp:revision>
  <cp:lastPrinted>2014-09-11T12:10:00Z</cp:lastPrinted>
  <dcterms:created xsi:type="dcterms:W3CDTF">2014-08-25T16:09:00Z</dcterms:created>
  <dcterms:modified xsi:type="dcterms:W3CDTF">2014-09-11T12:10:00Z</dcterms:modified>
</cp:coreProperties>
</file>