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C0" w:rsidRPr="00343E60" w:rsidRDefault="002F72C0" w:rsidP="00343E6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43E60">
        <w:rPr>
          <w:b/>
        </w:rPr>
        <w:t>BEFORE THE</w:t>
      </w:r>
    </w:p>
    <w:p w:rsidR="002F72C0" w:rsidRPr="00343E60" w:rsidRDefault="002F72C0" w:rsidP="00343E60">
      <w:pPr>
        <w:spacing w:after="0" w:line="240" w:lineRule="auto"/>
        <w:jc w:val="center"/>
        <w:rPr>
          <w:b/>
        </w:rPr>
      </w:pPr>
      <w:r w:rsidRPr="00343E60">
        <w:rPr>
          <w:b/>
        </w:rPr>
        <w:t>PENNSYLVANIA PUBLIC UTILITY COMMISSION</w:t>
      </w:r>
    </w:p>
    <w:p w:rsidR="002F72C0" w:rsidRPr="00343E60" w:rsidRDefault="002F72C0" w:rsidP="00343E60">
      <w:pPr>
        <w:spacing w:after="0" w:line="240" w:lineRule="auto"/>
        <w:jc w:val="center"/>
        <w:rPr>
          <w:b/>
        </w:rPr>
      </w:pPr>
    </w:p>
    <w:p w:rsidR="002F72C0" w:rsidRPr="00B62BE4" w:rsidRDefault="002F72C0" w:rsidP="002F72C0">
      <w:pPr>
        <w:spacing w:after="0" w:line="240" w:lineRule="auto"/>
      </w:pPr>
    </w:p>
    <w:p w:rsidR="002F72C0" w:rsidRPr="00B62BE4" w:rsidRDefault="002F72C0" w:rsidP="002F72C0">
      <w:pPr>
        <w:spacing w:after="0" w:line="240" w:lineRule="auto"/>
      </w:pPr>
    </w:p>
    <w:p w:rsidR="002F72C0" w:rsidRPr="00B62BE4" w:rsidRDefault="002F72C0" w:rsidP="002F72C0">
      <w:pPr>
        <w:spacing w:after="0" w:line="240" w:lineRule="auto"/>
      </w:pPr>
      <w:r w:rsidRPr="00B62BE4">
        <w:t>Pennsylvania Public Utility Commission,</w:t>
      </w:r>
      <w:r w:rsidRPr="00B62BE4">
        <w:tab/>
      </w:r>
      <w:r w:rsidRPr="00B62BE4">
        <w:tab/>
        <w:t>:</w:t>
      </w:r>
    </w:p>
    <w:p w:rsidR="002F72C0" w:rsidRPr="00B62BE4" w:rsidRDefault="002F72C0" w:rsidP="002F72C0">
      <w:pPr>
        <w:spacing w:after="0" w:line="240" w:lineRule="auto"/>
      </w:pPr>
      <w:r w:rsidRPr="00B62BE4">
        <w:t xml:space="preserve">Bureau of </w:t>
      </w:r>
      <w:r>
        <w:t>Investigation and Enforcement</w:t>
      </w:r>
      <w:r w:rsidRPr="00B62BE4">
        <w:tab/>
      </w:r>
      <w:r w:rsidRPr="00B62BE4">
        <w:tab/>
        <w:t>:</w:t>
      </w:r>
    </w:p>
    <w:p w:rsidR="002F72C0" w:rsidRPr="00B62BE4" w:rsidRDefault="002F72C0" w:rsidP="002F72C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BE4">
        <w:t>:</w:t>
      </w:r>
    </w:p>
    <w:p w:rsidR="002F72C0" w:rsidRPr="00B62BE4" w:rsidRDefault="002F72C0" w:rsidP="000C2AEB">
      <w:pPr>
        <w:tabs>
          <w:tab w:val="clear" w:pos="1440"/>
          <w:tab w:val="left" w:pos="720"/>
        </w:tabs>
        <w:spacing w:after="0" w:line="240" w:lineRule="auto"/>
      </w:pPr>
      <w:r w:rsidRPr="00B62BE4">
        <w:tab/>
        <w:t>v.</w:t>
      </w:r>
      <w:r w:rsidRPr="00B62BE4">
        <w:tab/>
      </w:r>
      <w:r w:rsidRPr="00B62BE4">
        <w:tab/>
      </w:r>
      <w:r w:rsidRPr="00B62BE4">
        <w:tab/>
      </w:r>
      <w:r w:rsidRPr="00B62BE4">
        <w:tab/>
      </w:r>
      <w:r>
        <w:tab/>
      </w:r>
      <w:r w:rsidR="000C2AEB">
        <w:tab/>
      </w:r>
      <w:r w:rsidRPr="00B62BE4">
        <w:t>:</w:t>
      </w:r>
      <w:r w:rsidRPr="00B62BE4">
        <w:tab/>
      </w:r>
      <w:r w:rsidRPr="00B62BE4">
        <w:tab/>
        <w:t>C-</w:t>
      </w:r>
      <w:r>
        <w:t>2014-2422713</w:t>
      </w:r>
    </w:p>
    <w:p w:rsidR="002F72C0" w:rsidRPr="00B62BE4" w:rsidRDefault="002F72C0" w:rsidP="002F72C0">
      <w:pPr>
        <w:spacing w:after="0" w:line="240" w:lineRule="auto"/>
      </w:pP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  <w:t>:</w:t>
      </w:r>
    </w:p>
    <w:p w:rsidR="002F72C0" w:rsidRDefault="002F72C0" w:rsidP="002F72C0">
      <w:pPr>
        <w:spacing w:after="0" w:line="240" w:lineRule="auto"/>
      </w:pPr>
      <w:r>
        <w:t>Lyft, Inc.</w:t>
      </w:r>
      <w:r>
        <w:tab/>
      </w:r>
      <w:r>
        <w:tab/>
      </w:r>
      <w:r>
        <w:tab/>
      </w:r>
      <w:r w:rsidRPr="00B62BE4">
        <w:tab/>
      </w:r>
      <w:r w:rsidRPr="00B62BE4">
        <w:tab/>
      </w:r>
      <w:r w:rsidRPr="00B62BE4">
        <w:tab/>
        <w:t>:</w:t>
      </w:r>
    </w:p>
    <w:p w:rsidR="000C2AEB" w:rsidRPr="00B62BE4" w:rsidRDefault="000C2AEB" w:rsidP="002F72C0">
      <w:pPr>
        <w:spacing w:after="0" w:line="240" w:lineRule="auto"/>
      </w:pPr>
    </w:p>
    <w:p w:rsidR="002F72C0" w:rsidRPr="00B62BE4" w:rsidRDefault="002F72C0" w:rsidP="002F72C0">
      <w:pPr>
        <w:spacing w:after="0" w:line="240" w:lineRule="auto"/>
      </w:pPr>
    </w:p>
    <w:p w:rsidR="002F72C0" w:rsidRPr="002F72C0" w:rsidRDefault="002F72C0" w:rsidP="002F72C0">
      <w:pPr>
        <w:spacing w:after="0" w:line="240" w:lineRule="auto"/>
        <w:jc w:val="center"/>
        <w:rPr>
          <w:b/>
        </w:rPr>
      </w:pPr>
    </w:p>
    <w:p w:rsidR="002F72C0" w:rsidRPr="002F72C0" w:rsidRDefault="002F72C0" w:rsidP="00B5471B">
      <w:pPr>
        <w:spacing w:after="0" w:line="240" w:lineRule="auto"/>
        <w:jc w:val="center"/>
        <w:rPr>
          <w:b/>
        </w:rPr>
      </w:pPr>
      <w:r w:rsidRPr="002F72C0">
        <w:rPr>
          <w:b/>
        </w:rPr>
        <w:t>INTERIM ORDER</w:t>
      </w:r>
    </w:p>
    <w:p w:rsidR="002F72C0" w:rsidRPr="002F72C0" w:rsidRDefault="002F72C0" w:rsidP="00B5471B">
      <w:pPr>
        <w:spacing w:after="0" w:line="240" w:lineRule="auto"/>
        <w:jc w:val="center"/>
        <w:rPr>
          <w:b/>
          <w:u w:val="single"/>
        </w:rPr>
      </w:pPr>
      <w:r w:rsidRPr="002F72C0">
        <w:rPr>
          <w:b/>
          <w:u w:val="single"/>
        </w:rPr>
        <w:t xml:space="preserve">ON </w:t>
      </w:r>
      <w:r w:rsidR="00B1679E">
        <w:rPr>
          <w:b/>
          <w:u w:val="single"/>
        </w:rPr>
        <w:t>SETTLEMENT PROCEDURE</w:t>
      </w:r>
    </w:p>
    <w:p w:rsidR="00B1679E" w:rsidRDefault="00B1679E" w:rsidP="00B5471B">
      <w:pPr>
        <w:spacing w:after="0"/>
      </w:pPr>
      <w:r>
        <w:tab/>
      </w:r>
    </w:p>
    <w:p w:rsidR="00B1679E" w:rsidRDefault="0049238E" w:rsidP="00B5471B">
      <w:pPr>
        <w:spacing w:after="0"/>
      </w:pPr>
      <w:r>
        <w:tab/>
      </w:r>
      <w:r w:rsidR="00B1679E">
        <w:t xml:space="preserve">On June 6, 2014, the Commission’s Bureau of Investigation and Enforcement (BIE), filed a complaint against Lyft, Inc. (Lyft).  The complaint alleges, among other things, that Lyft is acting as a broker of transportation without a certificate of public convenience and that its actions constitute a violation of the Public Utility Code.  The complaint seeks civil penalties in the amount of $130,000 and an additional $1,000 per day for each day that Lyft continues to operate after the date of filing. </w:t>
      </w:r>
      <w:r w:rsidR="0021220F">
        <w:t xml:space="preserve"> </w:t>
      </w:r>
      <w:r w:rsidR="00B1679E">
        <w:t xml:space="preserve">Lyft filed an answer to the complaint on June 26, 2014.  </w:t>
      </w:r>
    </w:p>
    <w:p w:rsidR="00B5471B" w:rsidRDefault="00B5471B" w:rsidP="00B5471B">
      <w:pPr>
        <w:spacing w:after="0"/>
      </w:pPr>
    </w:p>
    <w:p w:rsidR="00B1679E" w:rsidRDefault="00B1679E" w:rsidP="00B5471B">
      <w:pPr>
        <w:spacing w:after="0"/>
      </w:pPr>
      <w:r>
        <w:tab/>
        <w:t>BIE filed an amended complaint on October 8, 2014, in order to update and quantify the alleged violations by including a “per ride” violation component and to recalculate civil penalty as the relief requested.  On October 28, 2014, Lyft filed an answer as well as preliminary objections to the amended complaint.</w:t>
      </w:r>
      <w:r>
        <w:rPr>
          <w:rStyle w:val="FootnoteReference"/>
        </w:rPr>
        <w:footnoteReference w:id="1"/>
      </w:r>
      <w:r>
        <w:t xml:space="preserve">   </w:t>
      </w:r>
    </w:p>
    <w:p w:rsidR="00B5471B" w:rsidRDefault="00B5471B" w:rsidP="00B5471B">
      <w:pPr>
        <w:spacing w:after="0"/>
      </w:pPr>
    </w:p>
    <w:p w:rsidR="00B1679E" w:rsidRDefault="00B1679E" w:rsidP="00B5471B">
      <w:pPr>
        <w:spacing w:after="0"/>
      </w:pPr>
      <w:r>
        <w:tab/>
        <w:t>Thereafter, the parties met and engaged in settlement discussion</w:t>
      </w:r>
      <w:r w:rsidR="0049238E">
        <w:t>s</w:t>
      </w:r>
      <w:r>
        <w:t>.  By email dated March 23, 2015, the parties informed us that their discussions were productive and they were able to reach a settlement in principle.</w:t>
      </w:r>
    </w:p>
    <w:p w:rsidR="00B5471B" w:rsidRDefault="00B5471B" w:rsidP="00B5471B">
      <w:pPr>
        <w:spacing w:after="0"/>
      </w:pPr>
    </w:p>
    <w:p w:rsidR="00B5471B" w:rsidRDefault="00B5471B" w:rsidP="00B5471B">
      <w:pPr>
        <w:spacing w:after="0"/>
      </w:pPr>
    </w:p>
    <w:p w:rsidR="00B1679E" w:rsidRDefault="00B1679E" w:rsidP="00B5471B">
      <w:pPr>
        <w:spacing w:after="0"/>
      </w:pPr>
      <w:r>
        <w:lastRenderedPageBreak/>
        <w:tab/>
        <w:t>THEREFORE,</w:t>
      </w:r>
    </w:p>
    <w:p w:rsidR="00B5471B" w:rsidRDefault="00B5471B" w:rsidP="00B5471B">
      <w:pPr>
        <w:spacing w:after="0"/>
      </w:pPr>
    </w:p>
    <w:p w:rsidR="000E725C" w:rsidRDefault="000E725C" w:rsidP="00B5471B">
      <w:pPr>
        <w:spacing w:after="0"/>
      </w:pPr>
      <w:r>
        <w:tab/>
        <w:t>IT IS ORDERED:</w:t>
      </w:r>
    </w:p>
    <w:p w:rsidR="00B5471B" w:rsidRDefault="00B5471B" w:rsidP="00B5471B">
      <w:pPr>
        <w:spacing w:after="0"/>
      </w:pPr>
    </w:p>
    <w:p w:rsidR="009F1969" w:rsidRDefault="000E725C" w:rsidP="00B5471B">
      <w:pPr>
        <w:spacing w:after="0"/>
      </w:pPr>
      <w:r>
        <w:tab/>
        <w:t>1.</w:t>
      </w:r>
      <w:r>
        <w:tab/>
      </w:r>
      <w:r w:rsidR="00B1679E">
        <w:t>That the evidentiary hearing scheduled in the above-captioned matter for March 30, 2015 at 9:00 a.m. is cancelled.</w:t>
      </w:r>
    </w:p>
    <w:p w:rsidR="00B5471B" w:rsidRDefault="00B5471B" w:rsidP="00B5471B">
      <w:pPr>
        <w:spacing w:after="0"/>
      </w:pPr>
    </w:p>
    <w:p w:rsidR="00B1679E" w:rsidRDefault="00B1679E" w:rsidP="00B5471B">
      <w:pPr>
        <w:spacing w:after="0"/>
      </w:pPr>
      <w:r>
        <w:tab/>
        <w:t>2.</w:t>
      </w:r>
      <w:r>
        <w:tab/>
        <w:t xml:space="preserve">That the parties shall </w:t>
      </w:r>
      <w:r w:rsidR="001F393D">
        <w:t xml:space="preserve">file </w:t>
      </w:r>
      <w:r>
        <w:t xml:space="preserve">a joint petition for settlement along with statements in support on or before </w:t>
      </w:r>
      <w:r w:rsidRPr="00B1679E">
        <w:rPr>
          <w:b/>
        </w:rPr>
        <w:t>April 30, 2015</w:t>
      </w:r>
      <w:r>
        <w:t>.</w:t>
      </w:r>
      <w:r w:rsidR="001F393D">
        <w:t xml:space="preserve">  The parties shall provide a copy of their filing to the presiding officers in Word version.</w:t>
      </w:r>
    </w:p>
    <w:p w:rsidR="00B5471B" w:rsidRDefault="00B5471B" w:rsidP="00B5471B">
      <w:pPr>
        <w:spacing w:after="0"/>
      </w:pPr>
    </w:p>
    <w:p w:rsidR="00353A59" w:rsidRDefault="00353A59" w:rsidP="0017390A">
      <w:pPr>
        <w:spacing w:after="0" w:line="240" w:lineRule="auto"/>
      </w:pPr>
      <w:r>
        <w:tab/>
        <w:t>3.</w:t>
      </w:r>
      <w:r>
        <w:tab/>
        <w:t>That the settlement and/or statements in support shall include the following:</w:t>
      </w:r>
    </w:p>
    <w:p w:rsidR="00B5471B" w:rsidRDefault="00B5471B" w:rsidP="0017390A">
      <w:pPr>
        <w:spacing w:after="0" w:line="240" w:lineRule="auto"/>
      </w:pPr>
    </w:p>
    <w:p w:rsidR="0017390A" w:rsidRDefault="00353A59" w:rsidP="0017390A">
      <w:pPr>
        <w:spacing w:after="0" w:line="240" w:lineRule="auto"/>
      </w:pPr>
      <w:r>
        <w:tab/>
      </w:r>
      <w:r>
        <w:tab/>
        <w:t>a.</w:t>
      </w:r>
      <w:r>
        <w:tab/>
        <w:t>Stipulation of facts</w:t>
      </w:r>
      <w:r w:rsidR="00E3147B">
        <w:t>;</w:t>
      </w:r>
    </w:p>
    <w:p w:rsidR="0017390A" w:rsidRDefault="0017390A" w:rsidP="0017390A">
      <w:pPr>
        <w:spacing w:after="0" w:line="240" w:lineRule="auto"/>
      </w:pPr>
    </w:p>
    <w:p w:rsidR="00353A59" w:rsidRDefault="00353A59" w:rsidP="0017390A">
      <w:pPr>
        <w:spacing w:after="0" w:line="240" w:lineRule="auto"/>
      </w:pPr>
      <w:r>
        <w:tab/>
      </w:r>
      <w:r>
        <w:tab/>
        <w:t>b.</w:t>
      </w:r>
      <w:r>
        <w:tab/>
        <w:t>Proposed conclusions of law</w:t>
      </w:r>
      <w:r w:rsidR="00E3147B">
        <w:t>;</w:t>
      </w:r>
    </w:p>
    <w:p w:rsidR="0017390A" w:rsidRDefault="0017390A" w:rsidP="0017390A">
      <w:pPr>
        <w:spacing w:after="0" w:line="240" w:lineRule="auto"/>
      </w:pPr>
    </w:p>
    <w:p w:rsidR="00353A59" w:rsidRDefault="00353A59" w:rsidP="0017390A">
      <w:pPr>
        <w:spacing w:after="0" w:line="240" w:lineRule="auto"/>
      </w:pPr>
      <w:r>
        <w:tab/>
      </w:r>
      <w:r>
        <w:tab/>
        <w:t>c.</w:t>
      </w:r>
      <w:r>
        <w:tab/>
        <w:t>Proposed ordering paragraphs</w:t>
      </w:r>
      <w:r w:rsidR="00E3147B">
        <w:t>;</w:t>
      </w:r>
    </w:p>
    <w:p w:rsidR="0017390A" w:rsidRDefault="0017390A" w:rsidP="0017390A">
      <w:pPr>
        <w:spacing w:after="0" w:line="240" w:lineRule="auto"/>
      </w:pPr>
    </w:p>
    <w:p w:rsidR="00353A59" w:rsidRPr="00E3147B" w:rsidRDefault="00353A59" w:rsidP="00B5471B">
      <w:pPr>
        <w:spacing w:after="0"/>
      </w:pPr>
      <w:r>
        <w:tab/>
      </w:r>
      <w:r>
        <w:tab/>
        <w:t>d.</w:t>
      </w:r>
      <w:r>
        <w:tab/>
      </w:r>
      <w:r w:rsidRPr="00E3147B">
        <w:t xml:space="preserve">An analysis of the appropriate </w:t>
      </w:r>
      <w:r w:rsidR="00E3147B" w:rsidRPr="00E3147B">
        <w:t>elements of the Commission’s policy “Factors and standards for evaluating litigated and settled proceedings involving violations of the Public Utility Code and Commission regulations</w:t>
      </w:r>
      <w:r w:rsidRPr="00E3147B">
        <w:t xml:space="preserve">  for any penalty agreed upon</w:t>
      </w:r>
      <w:r w:rsidR="00E3147B" w:rsidRPr="00E3147B">
        <w:t>” at 52 Pa.Code § 69.1201; and</w:t>
      </w:r>
    </w:p>
    <w:p w:rsidR="00353A59" w:rsidRDefault="00353A59" w:rsidP="00B5471B">
      <w:pPr>
        <w:spacing w:after="0"/>
      </w:pPr>
      <w:r>
        <w:tab/>
      </w:r>
      <w:r>
        <w:tab/>
        <w:t>e.</w:t>
      </w:r>
      <w:r>
        <w:tab/>
        <w:t xml:space="preserve">Address the issues raised by the Commissioners in the July Secretarial Letter.  </w:t>
      </w:r>
    </w:p>
    <w:p w:rsidR="00153B16" w:rsidRDefault="00153B16" w:rsidP="00B5471B">
      <w:pPr>
        <w:spacing w:after="0"/>
        <w:ind w:firstLine="1440"/>
      </w:pPr>
    </w:p>
    <w:p w:rsidR="00B5471B" w:rsidRDefault="00B5471B" w:rsidP="00B5471B">
      <w:pPr>
        <w:tabs>
          <w:tab w:val="clear" w:pos="1440"/>
        </w:tabs>
        <w:spacing w:after="0" w:line="240" w:lineRule="auto"/>
        <w:rPr>
          <w:rFonts w:eastAsia="SimSun"/>
        </w:rPr>
      </w:pPr>
    </w:p>
    <w:p w:rsidR="00153B16" w:rsidRDefault="00153B16" w:rsidP="00B5471B">
      <w:pPr>
        <w:tabs>
          <w:tab w:val="clear" w:pos="1440"/>
        </w:tabs>
        <w:spacing w:after="0" w:line="240" w:lineRule="auto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="00B5471B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  <w:t>______________________________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  <w:t>Mary D. Long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0C6065">
        <w:rPr>
          <w:rFonts w:eastAsia="SimSun"/>
        </w:rPr>
        <w:t>Administrative Law Judge</w:t>
      </w:r>
    </w:p>
    <w:p w:rsidR="00B5471B" w:rsidRDefault="00B5471B" w:rsidP="00B5471B">
      <w:pPr>
        <w:tabs>
          <w:tab w:val="clear" w:pos="1440"/>
        </w:tabs>
        <w:spacing w:after="0" w:line="240" w:lineRule="auto"/>
        <w:rPr>
          <w:rFonts w:eastAsia="SimSun"/>
        </w:rPr>
      </w:pPr>
    </w:p>
    <w:p w:rsidR="003B56AE" w:rsidRDefault="003B56AE" w:rsidP="00B5471B">
      <w:pPr>
        <w:tabs>
          <w:tab w:val="clear" w:pos="1440"/>
        </w:tabs>
        <w:spacing w:after="0" w:line="240" w:lineRule="auto"/>
        <w:rPr>
          <w:rFonts w:eastAsia="SimSun"/>
        </w:rPr>
      </w:pPr>
    </w:p>
    <w:p w:rsidR="00153B16" w:rsidRDefault="00153B16" w:rsidP="00B5471B">
      <w:pPr>
        <w:tabs>
          <w:tab w:val="clear" w:pos="1440"/>
        </w:tabs>
        <w:spacing w:after="0" w:line="240" w:lineRule="auto"/>
        <w:rPr>
          <w:rFonts w:eastAsia="SimSun"/>
        </w:rPr>
      </w:pPr>
    </w:p>
    <w:p w:rsidR="009151FE" w:rsidRDefault="00153B16" w:rsidP="00B5471B">
      <w:pPr>
        <w:tabs>
          <w:tab w:val="clear" w:pos="1440"/>
        </w:tabs>
        <w:spacing w:after="0" w:line="240" w:lineRule="auto"/>
      </w:pPr>
      <w:r w:rsidRPr="000C6065">
        <w:rPr>
          <w:rFonts w:eastAsia="SimSun"/>
        </w:rPr>
        <w:t>Date</w:t>
      </w:r>
      <w:r w:rsidR="00B5471B">
        <w:rPr>
          <w:rFonts w:eastAsia="SimSun"/>
        </w:rPr>
        <w:t xml:space="preserve">:  </w:t>
      </w:r>
      <w:r w:rsidR="00B5471B">
        <w:rPr>
          <w:rFonts w:eastAsia="SimSun"/>
          <w:u w:val="single"/>
        </w:rPr>
        <w:t>March 25, 2015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  <w:t>______________________________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>
        <w:rPr>
          <w:rFonts w:eastAsia="SimSun"/>
        </w:rPr>
        <w:t>Jeffrey A. Watson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0C6065">
        <w:rPr>
          <w:rFonts w:eastAsia="SimSun"/>
        </w:rPr>
        <w:t>Administrative Law Judge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C-2014-2422713 - </w:t>
      </w:r>
      <w:r w:rsidRPr="0017390A">
        <w:rPr>
          <w:rFonts w:ascii="Microsoft Sans Serif" w:hAnsi="Calibri"/>
          <w:b/>
          <w:szCs w:val="24"/>
          <w:u w:val="single"/>
        </w:rPr>
        <w:t xml:space="preserve">PENNSYLVANIA PUBLIC UTILITY COMMISSION, BUREAU OF INVESTIGATION AND ENFORCEMENT </w:t>
      </w:r>
      <w:r w:rsidRPr="0017390A">
        <w:rPr>
          <w:rFonts w:ascii="Microsoft Sans Serif" w:eastAsiaTheme="minorEastAsia" w:hAnsiTheme="minorHAnsi" w:cstheme="minorBidi"/>
          <w:b/>
          <w:szCs w:val="22"/>
          <w:u w:val="single"/>
        </w:rPr>
        <w:t>v. LYFT, INC.</w:t>
      </w:r>
      <w:r w:rsidRPr="0017390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17390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17390A">
        <w:rPr>
          <w:rFonts w:ascii="Microsoft Sans Serif" w:eastAsiaTheme="minorEastAsia" w:hAnsiTheme="minorHAnsi" w:cstheme="minorBidi"/>
          <w:i/>
          <w:szCs w:val="22"/>
        </w:rPr>
        <w:t>Revised 1/5/2014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STEPHANIE M WIMER ESQUIRE</w:t>
      </w:r>
      <w:r w:rsidRPr="0017390A">
        <w:rPr>
          <w:rFonts w:ascii="Microsoft Sans Serif" w:eastAsiaTheme="minorEastAsia" w:hAnsiTheme="minorHAnsi" w:cstheme="minorBidi"/>
          <w:szCs w:val="22"/>
        </w:rPr>
        <w:cr/>
        <w:t>MICHAEL L SWINDLER ESQUIRE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 xml:space="preserve">PA PUC BUREAU OF INVESTIGATION AND ENFORCEMENT 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17390A">
        <w:rPr>
          <w:rFonts w:ascii="Microsoft Sans Serif" w:eastAsiaTheme="minorEastAsia" w:hAnsiTheme="minorHAnsi" w:cstheme="minorBidi"/>
          <w:szCs w:val="22"/>
        </w:rPr>
        <w:t>PO BOX 3265</w:t>
      </w:r>
      <w:r w:rsidRPr="0017390A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17390A">
        <w:rPr>
          <w:rFonts w:ascii="Microsoft Sans Serif" w:eastAsiaTheme="minorEastAsia" w:hAnsiTheme="minorHAnsi" w:cstheme="minorBidi"/>
          <w:szCs w:val="22"/>
        </w:rPr>
        <w:cr/>
      </w:r>
      <w:r w:rsidRPr="0017390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eService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RICHARD P SOBIECKI ESQUIRE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ANDREW T GEORGE ESQUIRE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BAKER BOTTS LLP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1299 PENNSYLVANIA AVENUE NW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WASHINGTON DC  20004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szCs w:val="22"/>
        </w:rPr>
      </w:pPr>
      <w:r w:rsidRPr="0017390A">
        <w:rPr>
          <w:rFonts w:ascii="Microsoft Sans Serif" w:eastAsiaTheme="minorEastAsia" w:hAnsiTheme="minorHAnsi" w:cstheme="minorBidi"/>
          <w:b/>
          <w:szCs w:val="22"/>
        </w:rPr>
        <w:t>202-639-7700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szCs w:val="22"/>
        </w:rPr>
      </w:pP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MICHAEL W GANG ESQUIRE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DEVIN T RYAN ESQUIRE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POST &amp; SCHELL PC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17 NORTH SECOND STREET 12</w:t>
      </w:r>
      <w:r w:rsidRPr="0017390A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r w:rsidRPr="0017390A">
        <w:rPr>
          <w:rFonts w:ascii="Microsoft Sans Serif" w:eastAsiaTheme="minorEastAsia" w:hAnsiTheme="minorHAnsi" w:cstheme="minorBidi"/>
          <w:szCs w:val="22"/>
        </w:rPr>
        <w:t xml:space="preserve"> FLOOR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17390A">
        <w:rPr>
          <w:rFonts w:ascii="Microsoft Sans Serif" w:eastAsiaTheme="minorEastAsia" w:hAnsiTheme="minorHAnsi" w:cstheme="minorBidi"/>
          <w:szCs w:val="22"/>
        </w:rPr>
        <w:t>HARRISBURG PA 17101-1601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szCs w:val="22"/>
        </w:rPr>
      </w:pPr>
      <w:r w:rsidRPr="0017390A">
        <w:rPr>
          <w:rFonts w:ascii="Microsoft Sans Serif" w:eastAsiaTheme="minorEastAsia" w:hAnsiTheme="minorHAnsi" w:cstheme="minorBidi"/>
          <w:b/>
          <w:szCs w:val="22"/>
        </w:rPr>
        <w:t>717-731-1970</w:t>
      </w:r>
    </w:p>
    <w:p w:rsidR="0017390A" w:rsidRPr="0017390A" w:rsidRDefault="0017390A" w:rsidP="0017390A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17390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eService</w:t>
      </w:r>
    </w:p>
    <w:p w:rsidR="00153B16" w:rsidRPr="009F1969" w:rsidRDefault="00153B16" w:rsidP="00B5471B">
      <w:pPr>
        <w:spacing w:after="0"/>
      </w:pPr>
    </w:p>
    <w:sectPr w:rsidR="00153B16" w:rsidRPr="009F1969" w:rsidSect="000C2AE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03" w:rsidRDefault="00710703" w:rsidP="002F72C0">
      <w:pPr>
        <w:spacing w:after="0" w:line="240" w:lineRule="auto"/>
      </w:pPr>
      <w:r>
        <w:separator/>
      </w:r>
    </w:p>
  </w:endnote>
  <w:endnote w:type="continuationSeparator" w:id="0">
    <w:p w:rsidR="00710703" w:rsidRDefault="00710703" w:rsidP="002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07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714" w:rsidRDefault="00757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714" w:rsidRDefault="0075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03" w:rsidRDefault="00710703" w:rsidP="002F72C0">
      <w:pPr>
        <w:spacing w:after="0" w:line="240" w:lineRule="auto"/>
      </w:pPr>
      <w:r>
        <w:separator/>
      </w:r>
    </w:p>
  </w:footnote>
  <w:footnote w:type="continuationSeparator" w:id="0">
    <w:p w:rsidR="00710703" w:rsidRDefault="00710703" w:rsidP="002F72C0">
      <w:pPr>
        <w:spacing w:after="0" w:line="240" w:lineRule="auto"/>
      </w:pPr>
      <w:r>
        <w:continuationSeparator/>
      </w:r>
    </w:p>
  </w:footnote>
  <w:footnote w:id="1">
    <w:p w:rsidR="00B1679E" w:rsidRDefault="00B1679E" w:rsidP="00B5471B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 </w:t>
      </w:r>
      <w:r>
        <w:tab/>
        <w:t>The preliminary objections were dismissed by interim order dated November 25,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240B2"/>
    <w:multiLevelType w:val="hybridMultilevel"/>
    <w:tmpl w:val="DB700314"/>
    <w:lvl w:ilvl="0" w:tplc="990AB5C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C0"/>
    <w:rsid w:val="00004C37"/>
    <w:rsid w:val="00030270"/>
    <w:rsid w:val="0006272F"/>
    <w:rsid w:val="000654A4"/>
    <w:rsid w:val="000C2AEB"/>
    <w:rsid w:val="000E725C"/>
    <w:rsid w:val="00153B16"/>
    <w:rsid w:val="0017390A"/>
    <w:rsid w:val="0019650C"/>
    <w:rsid w:val="001B1CBA"/>
    <w:rsid w:val="001C5B55"/>
    <w:rsid w:val="001F393D"/>
    <w:rsid w:val="001F7B49"/>
    <w:rsid w:val="0021220F"/>
    <w:rsid w:val="00213167"/>
    <w:rsid w:val="002512F9"/>
    <w:rsid w:val="0025726C"/>
    <w:rsid w:val="002C1F5A"/>
    <w:rsid w:val="002F72C0"/>
    <w:rsid w:val="00343E60"/>
    <w:rsid w:val="00353A59"/>
    <w:rsid w:val="0035541C"/>
    <w:rsid w:val="003570C1"/>
    <w:rsid w:val="00361661"/>
    <w:rsid w:val="00384144"/>
    <w:rsid w:val="00393C92"/>
    <w:rsid w:val="003B56AE"/>
    <w:rsid w:val="003F7960"/>
    <w:rsid w:val="00436582"/>
    <w:rsid w:val="004655A1"/>
    <w:rsid w:val="00472FAE"/>
    <w:rsid w:val="0049238E"/>
    <w:rsid w:val="004C263D"/>
    <w:rsid w:val="004C28C0"/>
    <w:rsid w:val="004D523C"/>
    <w:rsid w:val="005065D8"/>
    <w:rsid w:val="005A2ABA"/>
    <w:rsid w:val="0061775F"/>
    <w:rsid w:val="00652516"/>
    <w:rsid w:val="0065350B"/>
    <w:rsid w:val="00655C27"/>
    <w:rsid w:val="006A6E32"/>
    <w:rsid w:val="006F0329"/>
    <w:rsid w:val="006F262D"/>
    <w:rsid w:val="00710703"/>
    <w:rsid w:val="00712E58"/>
    <w:rsid w:val="007234C0"/>
    <w:rsid w:val="00742BD3"/>
    <w:rsid w:val="00757714"/>
    <w:rsid w:val="00792796"/>
    <w:rsid w:val="007E6779"/>
    <w:rsid w:val="00832B75"/>
    <w:rsid w:val="00835D2B"/>
    <w:rsid w:val="008529D2"/>
    <w:rsid w:val="00863DEA"/>
    <w:rsid w:val="008A510B"/>
    <w:rsid w:val="008A634F"/>
    <w:rsid w:val="009151FE"/>
    <w:rsid w:val="009334AA"/>
    <w:rsid w:val="009910D3"/>
    <w:rsid w:val="009A311A"/>
    <w:rsid w:val="009E7136"/>
    <w:rsid w:val="009F1969"/>
    <w:rsid w:val="00A22325"/>
    <w:rsid w:val="00A4410A"/>
    <w:rsid w:val="00A60A2D"/>
    <w:rsid w:val="00A8013F"/>
    <w:rsid w:val="00AA2EC5"/>
    <w:rsid w:val="00AA3267"/>
    <w:rsid w:val="00AB4C73"/>
    <w:rsid w:val="00AB72C2"/>
    <w:rsid w:val="00AE6F47"/>
    <w:rsid w:val="00AF45EE"/>
    <w:rsid w:val="00AF6A44"/>
    <w:rsid w:val="00B1679E"/>
    <w:rsid w:val="00B27688"/>
    <w:rsid w:val="00B32883"/>
    <w:rsid w:val="00B53727"/>
    <w:rsid w:val="00B5471B"/>
    <w:rsid w:val="00BC6B21"/>
    <w:rsid w:val="00C3216F"/>
    <w:rsid w:val="00CC5C75"/>
    <w:rsid w:val="00D24100"/>
    <w:rsid w:val="00D56266"/>
    <w:rsid w:val="00D82A63"/>
    <w:rsid w:val="00DD5C37"/>
    <w:rsid w:val="00E017F4"/>
    <w:rsid w:val="00E3147B"/>
    <w:rsid w:val="00EC1CBA"/>
    <w:rsid w:val="00EE59FF"/>
    <w:rsid w:val="00F16554"/>
    <w:rsid w:val="00F544E1"/>
    <w:rsid w:val="00F61E25"/>
    <w:rsid w:val="00F96ABA"/>
    <w:rsid w:val="00FD5C10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8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D5C10"/>
    <w:pPr>
      <w:numPr>
        <w:numId w:val="10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8013F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8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D5C10"/>
    <w:pPr>
      <w:numPr>
        <w:numId w:val="10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8013F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Blanton, Leah</cp:lastModifiedBy>
  <cp:revision>2</cp:revision>
  <cp:lastPrinted>2015-03-25T18:09:00Z</cp:lastPrinted>
  <dcterms:created xsi:type="dcterms:W3CDTF">2015-03-25T18:34:00Z</dcterms:created>
  <dcterms:modified xsi:type="dcterms:W3CDTF">2015-03-25T18:34:00Z</dcterms:modified>
</cp:coreProperties>
</file>