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702" w:type="dxa"/>
        <w:tblLayout w:type="fixed"/>
        <w:tblLook w:val="04A0" w:firstRow="1" w:lastRow="0" w:firstColumn="1" w:lastColumn="0" w:noHBand="0" w:noVBand="1"/>
      </w:tblPr>
      <w:tblGrid>
        <w:gridCol w:w="1320"/>
        <w:gridCol w:w="7819"/>
        <w:gridCol w:w="1406"/>
      </w:tblGrid>
      <w:tr w:rsidR="003F7D18" w:rsidTr="003F7D18">
        <w:trPr>
          <w:trHeight w:val="1071"/>
        </w:trPr>
        <w:tc>
          <w:tcPr>
            <w:tcW w:w="1320" w:type="dxa"/>
            <w:hideMark/>
          </w:tcPr>
          <w:p w:rsidR="003F7D18" w:rsidRDefault="003F7D18">
            <w:pPr>
              <w:rPr>
                <w:rFonts w:ascii="Arial" w:hAnsi="Arial" w:cs="Arial"/>
                <w:sz w:val="24"/>
                <w:szCs w:val="24"/>
              </w:rPr>
            </w:pPr>
            <w:r>
              <w:rPr>
                <w:rFonts w:ascii="Arial" w:hAnsi="Arial" w:cs="Arial"/>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819" w:type="dxa"/>
          </w:tcPr>
          <w:p w:rsidR="003F7D18" w:rsidRDefault="003F7D18">
            <w:pPr>
              <w:suppressAutoHyphens/>
              <w:spacing w:line="204" w:lineRule="auto"/>
              <w:jc w:val="center"/>
              <w:rPr>
                <w:rFonts w:ascii="Arial" w:hAnsi="Arial" w:cs="Arial"/>
                <w:color w:val="000080"/>
                <w:spacing w:val="-3"/>
                <w:sz w:val="24"/>
                <w:szCs w:val="24"/>
              </w:rPr>
            </w:pPr>
          </w:p>
          <w:p w:rsidR="003F7D18" w:rsidRDefault="003F7D18">
            <w:pPr>
              <w:suppressAutoHyphens/>
              <w:spacing w:line="204" w:lineRule="auto"/>
              <w:jc w:val="center"/>
              <w:rPr>
                <w:rFonts w:ascii="Arial" w:hAnsi="Arial" w:cs="Arial"/>
                <w:color w:val="000080"/>
                <w:spacing w:val="-3"/>
                <w:sz w:val="24"/>
                <w:szCs w:val="24"/>
              </w:rPr>
            </w:pPr>
            <w:r>
              <w:rPr>
                <w:rFonts w:ascii="Arial" w:hAnsi="Arial" w:cs="Arial"/>
                <w:color w:val="000080"/>
                <w:spacing w:val="-3"/>
                <w:sz w:val="24"/>
                <w:szCs w:val="24"/>
              </w:rPr>
              <w:t>COMMONWEALTH OF PENNSYLVANIA</w:t>
            </w:r>
          </w:p>
          <w:p w:rsidR="003F7D18" w:rsidRDefault="003F7D18">
            <w:pPr>
              <w:suppressAutoHyphens/>
              <w:spacing w:line="204" w:lineRule="auto"/>
              <w:jc w:val="center"/>
              <w:rPr>
                <w:rFonts w:ascii="Arial" w:hAnsi="Arial" w:cs="Arial"/>
                <w:color w:val="000080"/>
                <w:spacing w:val="-3"/>
                <w:sz w:val="24"/>
                <w:szCs w:val="24"/>
              </w:rPr>
            </w:pPr>
            <w:r>
              <w:rPr>
                <w:rFonts w:ascii="Arial" w:hAnsi="Arial" w:cs="Arial"/>
                <w:color w:val="000080"/>
                <w:spacing w:val="-3"/>
                <w:sz w:val="24"/>
                <w:szCs w:val="24"/>
              </w:rPr>
              <w:t>PENNSYLVANIA PUBLIC UTILITY COMMISSION</w:t>
            </w:r>
          </w:p>
          <w:p w:rsidR="003F7D18" w:rsidRDefault="003F7D18">
            <w:pPr>
              <w:jc w:val="center"/>
              <w:rPr>
                <w:rFonts w:ascii="Arial" w:hAnsi="Arial" w:cs="Arial"/>
                <w:sz w:val="24"/>
                <w:szCs w:val="24"/>
              </w:rPr>
            </w:pPr>
            <w:r>
              <w:rPr>
                <w:rFonts w:ascii="Arial" w:hAnsi="Arial" w:cs="Arial"/>
                <w:color w:val="000080"/>
                <w:spacing w:val="-3"/>
                <w:sz w:val="24"/>
                <w:szCs w:val="24"/>
              </w:rPr>
              <w:t>P.O. BOX 3265, HARRISBURG, PA 17105-3265</w:t>
            </w:r>
          </w:p>
        </w:tc>
        <w:tc>
          <w:tcPr>
            <w:tcW w:w="1406" w:type="dxa"/>
          </w:tcPr>
          <w:p w:rsidR="003F7D18" w:rsidRDefault="003F7D18">
            <w:pPr>
              <w:jc w:val="right"/>
              <w:rPr>
                <w:rFonts w:ascii="Arial" w:hAnsi="Arial" w:cs="Arial"/>
                <w:b/>
                <w:spacing w:val="-1"/>
                <w:sz w:val="12"/>
                <w:szCs w:val="12"/>
              </w:rPr>
            </w:pPr>
          </w:p>
          <w:p w:rsidR="003F7D18" w:rsidRDefault="003F7D18">
            <w:pPr>
              <w:jc w:val="right"/>
              <w:rPr>
                <w:rFonts w:ascii="Arial" w:hAnsi="Arial" w:cs="Arial"/>
                <w:b/>
                <w:spacing w:val="-1"/>
                <w:sz w:val="12"/>
                <w:szCs w:val="12"/>
              </w:rPr>
            </w:pPr>
          </w:p>
          <w:p w:rsidR="003F7D18" w:rsidRDefault="003F7D18">
            <w:pPr>
              <w:jc w:val="right"/>
              <w:rPr>
                <w:rFonts w:ascii="Arial" w:hAnsi="Arial" w:cs="Arial"/>
                <w:b/>
                <w:spacing w:val="-1"/>
                <w:sz w:val="12"/>
                <w:szCs w:val="12"/>
              </w:rPr>
            </w:pPr>
          </w:p>
          <w:p w:rsidR="003F7D18" w:rsidRDefault="003F7D18">
            <w:pPr>
              <w:jc w:val="right"/>
              <w:rPr>
                <w:rFonts w:ascii="Arial" w:hAnsi="Arial" w:cs="Arial"/>
                <w:b/>
                <w:spacing w:val="-1"/>
                <w:sz w:val="12"/>
                <w:szCs w:val="12"/>
              </w:rPr>
            </w:pPr>
          </w:p>
          <w:p w:rsidR="003F7D18" w:rsidRDefault="003F7D18">
            <w:pPr>
              <w:jc w:val="right"/>
              <w:rPr>
                <w:rFonts w:ascii="Arial" w:hAnsi="Arial" w:cs="Arial"/>
                <w:b/>
                <w:spacing w:val="-1"/>
                <w:sz w:val="12"/>
                <w:szCs w:val="12"/>
              </w:rPr>
            </w:pPr>
          </w:p>
          <w:p w:rsidR="003F7D18" w:rsidRDefault="003F7D18">
            <w:pPr>
              <w:jc w:val="right"/>
              <w:rPr>
                <w:rFonts w:ascii="Arial" w:hAnsi="Arial" w:cs="Arial"/>
                <w:b/>
                <w:spacing w:val="-1"/>
                <w:sz w:val="12"/>
                <w:szCs w:val="12"/>
              </w:rPr>
            </w:pPr>
          </w:p>
          <w:p w:rsidR="003F7D18" w:rsidRDefault="003F7D18">
            <w:pPr>
              <w:jc w:val="right"/>
              <w:rPr>
                <w:rFonts w:ascii="Arial" w:hAnsi="Arial" w:cs="Arial"/>
                <w:sz w:val="12"/>
                <w:szCs w:val="12"/>
              </w:rPr>
            </w:pPr>
            <w:r>
              <w:rPr>
                <w:rFonts w:ascii="Arial" w:hAnsi="Arial" w:cs="Arial"/>
                <w:b/>
                <w:spacing w:val="-1"/>
                <w:sz w:val="12"/>
                <w:szCs w:val="12"/>
              </w:rPr>
              <w:t>iN REPLY PLEASE REFER TO OUR FILE</w:t>
            </w:r>
          </w:p>
        </w:tc>
      </w:tr>
    </w:tbl>
    <w:p w:rsidR="003F7D18" w:rsidRDefault="003F7D18" w:rsidP="003F7D18">
      <w:pPr>
        <w:jc w:val="center"/>
        <w:rPr>
          <w:rFonts w:ascii="Arial" w:hAnsi="Arial" w:cs="Arial"/>
          <w:sz w:val="22"/>
          <w:szCs w:val="22"/>
        </w:rPr>
      </w:pPr>
    </w:p>
    <w:p w:rsidR="006A59CA" w:rsidRPr="002F663E" w:rsidRDefault="006A59CA" w:rsidP="006A59CA">
      <w:pPr>
        <w:jc w:val="center"/>
        <w:rPr>
          <w:rFonts w:ascii="Arial" w:hAnsi="Arial" w:cs="Arial"/>
          <w:sz w:val="22"/>
          <w:szCs w:val="22"/>
        </w:rPr>
      </w:pPr>
      <w:r w:rsidRPr="002F663E">
        <w:rPr>
          <w:rFonts w:ascii="Arial" w:hAnsi="Arial" w:cs="Arial"/>
          <w:sz w:val="22"/>
          <w:szCs w:val="22"/>
        </w:rPr>
        <w:t>April 22, 2015</w:t>
      </w:r>
    </w:p>
    <w:p w:rsidR="006A59CA" w:rsidRPr="002F663E" w:rsidRDefault="006A59CA" w:rsidP="002F663E">
      <w:pPr>
        <w:ind w:left="7200" w:right="-684" w:firstLine="720"/>
        <w:jc w:val="center"/>
        <w:rPr>
          <w:rFonts w:ascii="Arial" w:hAnsi="Arial" w:cs="Arial"/>
          <w:sz w:val="22"/>
          <w:szCs w:val="22"/>
        </w:rPr>
      </w:pPr>
      <w:r w:rsidRPr="002F663E">
        <w:rPr>
          <w:rFonts w:ascii="Arial" w:hAnsi="Arial" w:cs="Arial"/>
          <w:sz w:val="22"/>
          <w:szCs w:val="22"/>
        </w:rPr>
        <w:t>P-2014-2446303</w:t>
      </w:r>
    </w:p>
    <w:p w:rsidR="006A59CA" w:rsidRPr="002F663E" w:rsidRDefault="006A59CA" w:rsidP="002F663E">
      <w:pPr>
        <w:ind w:left="7200" w:right="-684" w:firstLine="720"/>
        <w:jc w:val="center"/>
        <w:rPr>
          <w:rFonts w:ascii="Arial" w:hAnsi="Arial" w:cs="Arial"/>
          <w:sz w:val="22"/>
          <w:szCs w:val="22"/>
        </w:rPr>
      </w:pPr>
      <w:r w:rsidRPr="002F663E">
        <w:rPr>
          <w:rFonts w:ascii="Arial" w:hAnsi="Arial" w:cs="Arial"/>
          <w:sz w:val="22"/>
          <w:szCs w:val="22"/>
        </w:rPr>
        <w:t>P-2014-2446304</w:t>
      </w:r>
    </w:p>
    <w:p w:rsidR="006A59CA" w:rsidRPr="002F663E" w:rsidRDefault="006A59CA" w:rsidP="006A59CA">
      <w:pPr>
        <w:rPr>
          <w:rFonts w:ascii="Arial" w:hAnsi="Arial" w:cs="Arial"/>
          <w:sz w:val="22"/>
          <w:szCs w:val="22"/>
        </w:rPr>
      </w:pPr>
    </w:p>
    <w:p w:rsidR="002F663E" w:rsidRPr="002F663E" w:rsidRDefault="002F663E" w:rsidP="006A59CA">
      <w:pPr>
        <w:rPr>
          <w:rFonts w:ascii="Arial" w:hAnsi="Arial" w:cs="Arial"/>
          <w:sz w:val="22"/>
          <w:szCs w:val="22"/>
        </w:rPr>
      </w:pPr>
    </w:p>
    <w:p w:rsidR="006A59CA" w:rsidRPr="002F663E" w:rsidRDefault="006A59CA" w:rsidP="006A59CA">
      <w:pPr>
        <w:rPr>
          <w:rFonts w:ascii="Arial" w:hAnsi="Arial" w:cs="Arial"/>
          <w:sz w:val="22"/>
          <w:szCs w:val="22"/>
        </w:rPr>
      </w:pPr>
    </w:p>
    <w:p w:rsidR="002F663E" w:rsidRPr="002F663E" w:rsidRDefault="002F663E" w:rsidP="002F663E">
      <w:pPr>
        <w:rPr>
          <w:rFonts w:ascii="Arial" w:hAnsi="Arial" w:cs="Arial"/>
          <w:sz w:val="22"/>
          <w:szCs w:val="22"/>
        </w:rPr>
      </w:pPr>
      <w:r w:rsidRPr="002F663E">
        <w:rPr>
          <w:rFonts w:ascii="Arial" w:hAnsi="Arial" w:cs="Arial"/>
          <w:sz w:val="22"/>
          <w:szCs w:val="22"/>
        </w:rPr>
        <w:t>Suzan D. Paiva, Esq.</w:t>
      </w:r>
    </w:p>
    <w:p w:rsidR="006A59CA" w:rsidRPr="002F663E" w:rsidRDefault="006A59CA" w:rsidP="006A59CA">
      <w:pPr>
        <w:rPr>
          <w:rFonts w:ascii="Arial" w:hAnsi="Arial" w:cs="Arial"/>
          <w:sz w:val="22"/>
          <w:szCs w:val="22"/>
        </w:rPr>
      </w:pPr>
      <w:r w:rsidRPr="002F663E">
        <w:rPr>
          <w:rFonts w:ascii="Arial" w:hAnsi="Arial" w:cs="Arial"/>
          <w:sz w:val="22"/>
          <w:szCs w:val="22"/>
        </w:rPr>
        <w:t>Assistant General Counsel</w:t>
      </w:r>
    </w:p>
    <w:p w:rsidR="006A59CA" w:rsidRPr="002F663E" w:rsidRDefault="006A59CA" w:rsidP="006A59CA">
      <w:pPr>
        <w:rPr>
          <w:rFonts w:ascii="Arial" w:hAnsi="Arial" w:cs="Arial"/>
          <w:sz w:val="22"/>
          <w:szCs w:val="22"/>
        </w:rPr>
      </w:pPr>
      <w:r w:rsidRPr="002F663E">
        <w:rPr>
          <w:rFonts w:ascii="Arial" w:hAnsi="Arial" w:cs="Arial"/>
          <w:sz w:val="22"/>
          <w:szCs w:val="22"/>
        </w:rPr>
        <w:t>Verizon Pennsylvania LLC</w:t>
      </w:r>
    </w:p>
    <w:p w:rsidR="006A59CA" w:rsidRPr="002F663E" w:rsidRDefault="006A59CA" w:rsidP="006A59CA">
      <w:pPr>
        <w:rPr>
          <w:rFonts w:ascii="Arial" w:hAnsi="Arial" w:cs="Arial"/>
          <w:sz w:val="22"/>
          <w:szCs w:val="22"/>
        </w:rPr>
      </w:pPr>
      <w:r w:rsidRPr="002F663E">
        <w:rPr>
          <w:rFonts w:ascii="Arial" w:hAnsi="Arial" w:cs="Arial"/>
          <w:sz w:val="22"/>
          <w:szCs w:val="22"/>
        </w:rPr>
        <w:t>1717 Arch Street</w:t>
      </w:r>
    </w:p>
    <w:p w:rsidR="006A59CA" w:rsidRPr="002F663E" w:rsidRDefault="006A59CA" w:rsidP="006A59CA">
      <w:pPr>
        <w:rPr>
          <w:rFonts w:ascii="Arial" w:hAnsi="Arial" w:cs="Arial"/>
          <w:sz w:val="22"/>
          <w:szCs w:val="22"/>
        </w:rPr>
      </w:pPr>
      <w:r w:rsidRPr="002F663E">
        <w:rPr>
          <w:rFonts w:ascii="Arial" w:hAnsi="Arial" w:cs="Arial"/>
          <w:sz w:val="22"/>
          <w:szCs w:val="22"/>
        </w:rPr>
        <w:t>Philadelphia, PA  19103</w:t>
      </w:r>
    </w:p>
    <w:p w:rsidR="002F663E" w:rsidRPr="002F663E" w:rsidRDefault="002F663E" w:rsidP="006A59CA">
      <w:pPr>
        <w:rPr>
          <w:rFonts w:ascii="Arial" w:hAnsi="Arial" w:cs="Arial"/>
          <w:sz w:val="22"/>
          <w:szCs w:val="22"/>
        </w:rPr>
      </w:pPr>
    </w:p>
    <w:p w:rsidR="006A59CA" w:rsidRPr="002F663E" w:rsidRDefault="006A59CA" w:rsidP="006A59CA">
      <w:pPr>
        <w:ind w:firstLine="1440"/>
        <w:rPr>
          <w:rFonts w:ascii="Arial" w:hAnsi="Arial" w:cs="Arial"/>
          <w:sz w:val="22"/>
          <w:szCs w:val="22"/>
        </w:rPr>
      </w:pPr>
    </w:p>
    <w:p w:rsidR="006A59CA" w:rsidRPr="002F663E" w:rsidRDefault="006A59CA" w:rsidP="006A59CA">
      <w:pPr>
        <w:ind w:firstLine="1440"/>
        <w:rPr>
          <w:rFonts w:ascii="Arial" w:hAnsi="Arial" w:cs="Arial"/>
          <w:sz w:val="22"/>
          <w:szCs w:val="22"/>
        </w:rPr>
      </w:pPr>
    </w:p>
    <w:p w:rsidR="002F663E" w:rsidRPr="002F663E" w:rsidRDefault="006A59CA" w:rsidP="002F663E">
      <w:pPr>
        <w:ind w:right="-594" w:firstLine="720"/>
        <w:rPr>
          <w:rFonts w:ascii="Arial" w:hAnsi="Arial" w:cs="Arial"/>
          <w:sz w:val="22"/>
          <w:szCs w:val="22"/>
        </w:rPr>
      </w:pPr>
      <w:r w:rsidRPr="002F663E">
        <w:rPr>
          <w:rFonts w:ascii="Arial" w:hAnsi="Arial" w:cs="Arial"/>
          <w:sz w:val="22"/>
          <w:szCs w:val="22"/>
        </w:rPr>
        <w:t>RE:</w:t>
      </w:r>
      <w:r w:rsidRPr="002F663E">
        <w:rPr>
          <w:rFonts w:ascii="Arial" w:hAnsi="Arial" w:cs="Arial"/>
          <w:sz w:val="22"/>
          <w:szCs w:val="22"/>
        </w:rPr>
        <w:tab/>
        <w:t>Joint Petition of Verizon Pennsylvania LLC and</w:t>
      </w:r>
      <w:r w:rsidR="002F663E" w:rsidRPr="002F663E">
        <w:rPr>
          <w:rFonts w:ascii="Arial" w:hAnsi="Arial" w:cs="Arial"/>
          <w:sz w:val="22"/>
          <w:szCs w:val="22"/>
        </w:rPr>
        <w:t xml:space="preserve"> </w:t>
      </w:r>
      <w:r w:rsidRPr="002F663E">
        <w:rPr>
          <w:rFonts w:ascii="Arial" w:hAnsi="Arial" w:cs="Arial"/>
          <w:sz w:val="22"/>
          <w:szCs w:val="22"/>
        </w:rPr>
        <w:t>Verizon North LLC</w:t>
      </w:r>
    </w:p>
    <w:p w:rsidR="002F663E" w:rsidRPr="002F663E" w:rsidRDefault="002F663E" w:rsidP="002F663E">
      <w:pPr>
        <w:ind w:left="720" w:right="-594" w:firstLine="720"/>
        <w:rPr>
          <w:rFonts w:ascii="Arial" w:hAnsi="Arial" w:cs="Arial"/>
          <w:sz w:val="22"/>
          <w:szCs w:val="22"/>
        </w:rPr>
      </w:pPr>
      <w:r w:rsidRPr="002F663E">
        <w:rPr>
          <w:rFonts w:ascii="Arial" w:hAnsi="Arial" w:cs="Arial"/>
          <w:sz w:val="22"/>
          <w:szCs w:val="22"/>
        </w:rPr>
        <w:t>f</w:t>
      </w:r>
      <w:r w:rsidR="006A59CA" w:rsidRPr="002F663E">
        <w:rPr>
          <w:rFonts w:ascii="Arial" w:hAnsi="Arial" w:cs="Arial"/>
          <w:sz w:val="22"/>
          <w:szCs w:val="22"/>
        </w:rPr>
        <w:t>or</w:t>
      </w:r>
      <w:r w:rsidRPr="002F663E">
        <w:rPr>
          <w:rFonts w:ascii="Arial" w:hAnsi="Arial" w:cs="Arial"/>
          <w:sz w:val="22"/>
          <w:szCs w:val="22"/>
        </w:rPr>
        <w:t xml:space="preserve"> Competitive Classification of </w:t>
      </w:r>
      <w:r w:rsidR="006A59CA" w:rsidRPr="002F663E">
        <w:rPr>
          <w:rFonts w:ascii="Arial" w:hAnsi="Arial" w:cs="Arial"/>
          <w:sz w:val="22"/>
          <w:szCs w:val="22"/>
        </w:rPr>
        <w:t xml:space="preserve">all Retail Services in Certain </w:t>
      </w:r>
    </w:p>
    <w:p w:rsidR="002F663E" w:rsidRPr="002F663E" w:rsidRDefault="006A59CA" w:rsidP="002F663E">
      <w:pPr>
        <w:ind w:left="720" w:right="-594" w:firstLine="720"/>
        <w:rPr>
          <w:rFonts w:ascii="Arial" w:hAnsi="Arial" w:cs="Arial"/>
          <w:sz w:val="22"/>
          <w:szCs w:val="22"/>
        </w:rPr>
      </w:pPr>
      <w:r w:rsidRPr="002F663E">
        <w:rPr>
          <w:rFonts w:ascii="Arial" w:hAnsi="Arial" w:cs="Arial"/>
          <w:sz w:val="22"/>
          <w:szCs w:val="22"/>
        </w:rPr>
        <w:t xml:space="preserve">Geographic Areas and for a Waiver of Regulations for Competitive </w:t>
      </w:r>
    </w:p>
    <w:p w:rsidR="002F663E" w:rsidRPr="002F663E" w:rsidRDefault="006A59CA" w:rsidP="002F663E">
      <w:pPr>
        <w:ind w:left="720" w:right="-594" w:firstLine="720"/>
        <w:rPr>
          <w:rFonts w:ascii="Arial" w:hAnsi="Arial" w:cs="Arial"/>
          <w:sz w:val="22"/>
          <w:szCs w:val="22"/>
        </w:rPr>
      </w:pPr>
      <w:r w:rsidRPr="002F663E">
        <w:rPr>
          <w:rFonts w:ascii="Arial" w:hAnsi="Arial" w:cs="Arial"/>
          <w:sz w:val="22"/>
          <w:szCs w:val="22"/>
        </w:rPr>
        <w:t>Services;</w:t>
      </w:r>
      <w:r w:rsidR="002F663E" w:rsidRPr="002F663E">
        <w:rPr>
          <w:rFonts w:ascii="Arial" w:hAnsi="Arial" w:cs="Arial"/>
          <w:sz w:val="22"/>
          <w:szCs w:val="22"/>
        </w:rPr>
        <w:t xml:space="preserve"> </w:t>
      </w:r>
      <w:r w:rsidRPr="002F663E">
        <w:rPr>
          <w:rFonts w:ascii="Arial" w:hAnsi="Arial" w:cs="Arial"/>
          <w:sz w:val="22"/>
          <w:szCs w:val="22"/>
        </w:rPr>
        <w:t xml:space="preserve">Commission’s Opinion and Order entered March 4, 2015 </w:t>
      </w:r>
    </w:p>
    <w:p w:rsidR="006A59CA" w:rsidRPr="002F663E" w:rsidRDefault="006A59CA" w:rsidP="002F663E">
      <w:pPr>
        <w:ind w:left="720" w:right="-594" w:firstLine="720"/>
        <w:rPr>
          <w:rFonts w:ascii="Arial" w:hAnsi="Arial" w:cs="Arial"/>
          <w:sz w:val="22"/>
          <w:szCs w:val="22"/>
        </w:rPr>
      </w:pPr>
      <w:r w:rsidRPr="002F663E">
        <w:rPr>
          <w:rFonts w:ascii="Arial" w:hAnsi="Arial" w:cs="Arial"/>
          <w:sz w:val="22"/>
          <w:szCs w:val="22"/>
        </w:rPr>
        <w:t>at P-2014-2446303 and P-2014-2446304</w:t>
      </w:r>
    </w:p>
    <w:p w:rsidR="006A59CA" w:rsidRPr="002F663E" w:rsidRDefault="006A59CA" w:rsidP="006A59CA">
      <w:pPr>
        <w:ind w:left="2160" w:right="-1134"/>
        <w:rPr>
          <w:rFonts w:ascii="Arial" w:hAnsi="Arial" w:cs="Arial"/>
          <w:sz w:val="22"/>
          <w:szCs w:val="22"/>
        </w:rPr>
      </w:pPr>
    </w:p>
    <w:p w:rsidR="002F663E" w:rsidRPr="002F663E" w:rsidRDefault="002F663E" w:rsidP="006A59CA">
      <w:pPr>
        <w:ind w:left="2160" w:right="-1134"/>
        <w:rPr>
          <w:rFonts w:ascii="Arial" w:hAnsi="Arial" w:cs="Arial"/>
          <w:sz w:val="22"/>
          <w:szCs w:val="22"/>
        </w:rPr>
      </w:pPr>
    </w:p>
    <w:p w:rsidR="006A59CA" w:rsidRPr="002F663E" w:rsidRDefault="006A59CA" w:rsidP="006A59CA">
      <w:pPr>
        <w:rPr>
          <w:rFonts w:ascii="Arial" w:hAnsi="Arial" w:cs="Arial"/>
          <w:sz w:val="22"/>
          <w:szCs w:val="22"/>
        </w:rPr>
      </w:pPr>
    </w:p>
    <w:p w:rsidR="006A59CA" w:rsidRPr="002F663E" w:rsidRDefault="006A59CA" w:rsidP="006A59CA">
      <w:pPr>
        <w:rPr>
          <w:rFonts w:ascii="Arial" w:hAnsi="Arial" w:cs="Arial"/>
          <w:sz w:val="22"/>
          <w:szCs w:val="22"/>
        </w:rPr>
      </w:pPr>
      <w:r w:rsidRPr="002F663E">
        <w:rPr>
          <w:rFonts w:ascii="Arial" w:hAnsi="Arial" w:cs="Arial"/>
          <w:sz w:val="22"/>
          <w:szCs w:val="22"/>
        </w:rPr>
        <w:t>Dear Attorney Paiva:</w:t>
      </w:r>
    </w:p>
    <w:p w:rsidR="006A59CA" w:rsidRPr="002F663E" w:rsidRDefault="006A59CA" w:rsidP="006A59CA">
      <w:pPr>
        <w:ind w:right="576"/>
        <w:rPr>
          <w:rFonts w:ascii="Arial" w:hAnsi="Arial" w:cs="Arial"/>
          <w:sz w:val="22"/>
          <w:szCs w:val="22"/>
        </w:rPr>
      </w:pPr>
    </w:p>
    <w:p w:rsidR="006A59CA" w:rsidRPr="002F663E" w:rsidRDefault="006A59CA" w:rsidP="006A59CA">
      <w:pPr>
        <w:ind w:right="576"/>
        <w:rPr>
          <w:rFonts w:ascii="Arial" w:hAnsi="Arial" w:cs="Arial"/>
          <w:sz w:val="22"/>
          <w:szCs w:val="22"/>
        </w:rPr>
      </w:pPr>
      <w:r w:rsidRPr="002F663E">
        <w:rPr>
          <w:rFonts w:ascii="Arial" w:hAnsi="Arial" w:cs="Arial"/>
          <w:sz w:val="22"/>
          <w:szCs w:val="22"/>
        </w:rPr>
        <w:tab/>
        <w:t>Ordering Paragraph 8 of the Commission’s Opinion and Order (March 4</w:t>
      </w:r>
      <w:r w:rsidRPr="002F663E">
        <w:rPr>
          <w:rFonts w:ascii="Arial" w:hAnsi="Arial" w:cs="Arial"/>
          <w:sz w:val="22"/>
          <w:szCs w:val="22"/>
          <w:vertAlign w:val="superscript"/>
        </w:rPr>
        <w:t>th</w:t>
      </w:r>
      <w:r w:rsidRPr="002F663E">
        <w:rPr>
          <w:rFonts w:ascii="Arial" w:hAnsi="Arial" w:cs="Arial"/>
          <w:sz w:val="22"/>
          <w:szCs w:val="22"/>
        </w:rPr>
        <w:t xml:space="preserve"> Order)  in the above captioned case states: “That Verizon Pennsylvania LLC and Verizon North LLC shall notify its customers in writing of this change from tariff to contract status within thirty days of the entry of this Opinion and Order.”  On April 15, 2015, the Secretarial Letter issued by the Commission directed Verizon to republish a corrected notice in all newspapers located in the geographic areas affected by the March 4</w:t>
      </w:r>
      <w:r w:rsidRPr="002F663E">
        <w:rPr>
          <w:rFonts w:ascii="Arial" w:hAnsi="Arial" w:cs="Arial"/>
          <w:sz w:val="22"/>
          <w:szCs w:val="22"/>
          <w:vertAlign w:val="superscript"/>
        </w:rPr>
        <w:t>th</w:t>
      </w:r>
      <w:r w:rsidRPr="002F663E">
        <w:rPr>
          <w:rFonts w:ascii="Arial" w:hAnsi="Arial" w:cs="Arial"/>
          <w:sz w:val="22"/>
          <w:szCs w:val="22"/>
        </w:rPr>
        <w:t xml:space="preserve"> Order. Customer bill messaging is scheduled to begin with the May 1, 2015 billing cycle.</w:t>
      </w:r>
    </w:p>
    <w:p w:rsidR="006A59CA" w:rsidRPr="002F663E" w:rsidRDefault="006A59CA" w:rsidP="006A59CA">
      <w:pPr>
        <w:ind w:right="576"/>
        <w:rPr>
          <w:rFonts w:ascii="Arial" w:hAnsi="Arial" w:cs="Arial"/>
          <w:sz w:val="22"/>
          <w:szCs w:val="22"/>
        </w:rPr>
      </w:pPr>
    </w:p>
    <w:p w:rsidR="006A59CA" w:rsidRPr="002F663E" w:rsidRDefault="006A59CA" w:rsidP="006A59CA">
      <w:pPr>
        <w:ind w:right="576" w:firstLine="720"/>
        <w:rPr>
          <w:rFonts w:ascii="Arial" w:hAnsi="Arial" w:cs="Arial"/>
          <w:sz w:val="22"/>
          <w:szCs w:val="22"/>
        </w:rPr>
      </w:pPr>
      <w:r w:rsidRPr="002F663E">
        <w:rPr>
          <w:rFonts w:ascii="Arial" w:hAnsi="Arial" w:cs="Arial"/>
          <w:sz w:val="22"/>
          <w:szCs w:val="22"/>
        </w:rPr>
        <w:t xml:space="preserve">Pursuant to its authority under the Public Utility Code, the Commission directs Verizon to demonstrate compliance: (1) by filing a copy, by May 1, 2015, of the customers’ billing message contained in the prescribed billing cycle beginning May 1, and through May 30, 2015; and (2) by filing proof that customer bill messaging was completed for all affected customers by the close of business on June 3, 2015.  </w:t>
      </w:r>
    </w:p>
    <w:p w:rsidR="006A59CA" w:rsidRPr="002F663E" w:rsidRDefault="006A59CA" w:rsidP="006A59CA">
      <w:pPr>
        <w:ind w:right="576" w:firstLine="720"/>
        <w:rPr>
          <w:rFonts w:ascii="Arial" w:hAnsi="Arial" w:cs="Arial"/>
          <w:sz w:val="22"/>
          <w:szCs w:val="22"/>
        </w:rPr>
      </w:pPr>
    </w:p>
    <w:p w:rsidR="006A59CA" w:rsidRPr="002F663E" w:rsidRDefault="006A59CA" w:rsidP="006A59CA">
      <w:pPr>
        <w:ind w:right="576" w:firstLine="720"/>
        <w:rPr>
          <w:rFonts w:ascii="Arial" w:hAnsi="Arial" w:cs="Arial"/>
          <w:sz w:val="22"/>
          <w:szCs w:val="22"/>
        </w:rPr>
      </w:pPr>
      <w:r w:rsidRPr="002F663E">
        <w:rPr>
          <w:rFonts w:ascii="Arial" w:hAnsi="Arial" w:cs="Arial"/>
          <w:sz w:val="22"/>
          <w:szCs w:val="22"/>
        </w:rPr>
        <w:t>In addition, Ordering Paragraph 12 of the March 4</w:t>
      </w:r>
      <w:r w:rsidRPr="002F663E">
        <w:rPr>
          <w:rFonts w:ascii="Arial" w:hAnsi="Arial" w:cs="Arial"/>
          <w:sz w:val="22"/>
          <w:szCs w:val="22"/>
          <w:vertAlign w:val="superscript"/>
        </w:rPr>
        <w:t>th</w:t>
      </w:r>
      <w:r w:rsidRPr="002F663E">
        <w:rPr>
          <w:rFonts w:ascii="Arial" w:hAnsi="Arial" w:cs="Arial"/>
          <w:sz w:val="22"/>
          <w:szCs w:val="22"/>
        </w:rPr>
        <w:t xml:space="preserve"> Orde</w:t>
      </w:r>
      <w:r w:rsidR="00BA383A">
        <w:rPr>
          <w:rFonts w:ascii="Arial" w:hAnsi="Arial" w:cs="Arial"/>
          <w:sz w:val="22"/>
          <w:szCs w:val="22"/>
        </w:rPr>
        <w:t xml:space="preserve">r states “That, in the event of </w:t>
      </w:r>
      <w:bookmarkStart w:id="0" w:name="_GoBack"/>
      <w:bookmarkEnd w:id="0"/>
      <w:r w:rsidRPr="002F663E">
        <w:rPr>
          <w:rFonts w:ascii="Arial" w:hAnsi="Arial" w:cs="Arial"/>
          <w:sz w:val="22"/>
          <w:szCs w:val="22"/>
        </w:rPr>
        <w:t xml:space="preserve">any retail price changes in the wire centers determined to be competitive in this Opinion and Order, Verizon Pennsylvania LLC and Verizon North LLC shall provide thirty days’ advance notice to retail customers receiving such service consistent with current practices.  This same thirty days’ advance notice shall be provided to competitive local exchange carriers purchasing discounted local service in these wire centers.”  </w:t>
      </w:r>
    </w:p>
    <w:p w:rsidR="002F663E" w:rsidRPr="002F663E" w:rsidRDefault="002F663E" w:rsidP="006A59CA">
      <w:pPr>
        <w:ind w:right="576" w:firstLine="720"/>
        <w:rPr>
          <w:rFonts w:ascii="Arial" w:hAnsi="Arial" w:cs="Arial"/>
          <w:sz w:val="22"/>
          <w:szCs w:val="22"/>
        </w:rPr>
      </w:pPr>
    </w:p>
    <w:p w:rsidR="00BA383A" w:rsidRDefault="006A59CA" w:rsidP="00BA383A">
      <w:pPr>
        <w:ind w:right="576" w:firstLine="720"/>
        <w:rPr>
          <w:rFonts w:ascii="Arial" w:hAnsi="Arial" w:cs="Arial"/>
          <w:sz w:val="22"/>
          <w:szCs w:val="22"/>
        </w:rPr>
      </w:pPr>
      <w:r w:rsidRPr="002F663E">
        <w:rPr>
          <w:rFonts w:ascii="Arial" w:hAnsi="Arial" w:cs="Arial"/>
          <w:sz w:val="22"/>
          <w:szCs w:val="22"/>
        </w:rPr>
        <w:t>Therefore, to demonstrate compliance with the March 4</w:t>
      </w:r>
      <w:r w:rsidRPr="002F663E">
        <w:rPr>
          <w:rFonts w:ascii="Arial" w:hAnsi="Arial" w:cs="Arial"/>
          <w:sz w:val="22"/>
          <w:szCs w:val="22"/>
          <w:vertAlign w:val="superscript"/>
        </w:rPr>
        <w:t>th</w:t>
      </w:r>
      <w:r w:rsidRPr="002F663E">
        <w:rPr>
          <w:rFonts w:ascii="Arial" w:hAnsi="Arial" w:cs="Arial"/>
          <w:sz w:val="22"/>
          <w:szCs w:val="22"/>
        </w:rPr>
        <w:t xml:space="preserve"> Order regarding any future price changes, under similar authority as above, the Commission directs Verizon to file a copy </w:t>
      </w:r>
      <w:r w:rsidR="00BA383A">
        <w:rPr>
          <w:rFonts w:ascii="Arial" w:hAnsi="Arial" w:cs="Arial"/>
          <w:sz w:val="22"/>
          <w:szCs w:val="22"/>
        </w:rPr>
        <w:t>o</w:t>
      </w:r>
      <w:r w:rsidRPr="002F663E">
        <w:rPr>
          <w:rFonts w:ascii="Arial" w:hAnsi="Arial" w:cs="Arial"/>
          <w:sz w:val="22"/>
          <w:szCs w:val="22"/>
        </w:rPr>
        <w:t xml:space="preserve">f the thirty days’ advanced customer notice with the Secretary of the Commission no </w:t>
      </w:r>
      <w:r w:rsidR="00BA383A">
        <w:rPr>
          <w:rFonts w:ascii="Arial" w:hAnsi="Arial" w:cs="Arial"/>
          <w:sz w:val="22"/>
          <w:szCs w:val="22"/>
        </w:rPr>
        <w:t xml:space="preserve">later </w:t>
      </w:r>
    </w:p>
    <w:p w:rsidR="00BA383A" w:rsidRDefault="00BA383A" w:rsidP="00BA383A">
      <w:pPr>
        <w:ind w:right="576" w:firstLine="720"/>
        <w:rPr>
          <w:rFonts w:ascii="Arial" w:hAnsi="Arial" w:cs="Arial"/>
          <w:sz w:val="22"/>
          <w:szCs w:val="22"/>
        </w:rPr>
      </w:pPr>
    </w:p>
    <w:p w:rsidR="00BA383A" w:rsidRDefault="00BA383A" w:rsidP="00BA383A">
      <w:pPr>
        <w:ind w:right="576" w:firstLine="720"/>
        <w:rPr>
          <w:rFonts w:ascii="Arial" w:hAnsi="Arial" w:cs="Arial"/>
          <w:sz w:val="22"/>
          <w:szCs w:val="22"/>
        </w:rPr>
      </w:pPr>
    </w:p>
    <w:p w:rsidR="00BA383A" w:rsidRDefault="00BA383A" w:rsidP="00BA383A">
      <w:pPr>
        <w:ind w:right="576" w:firstLine="720"/>
        <w:rPr>
          <w:rFonts w:ascii="Arial" w:hAnsi="Arial" w:cs="Arial"/>
          <w:sz w:val="22"/>
          <w:szCs w:val="22"/>
        </w:rPr>
      </w:pPr>
    </w:p>
    <w:p w:rsidR="00BA383A" w:rsidRDefault="00BA383A" w:rsidP="00BA383A">
      <w:pPr>
        <w:ind w:right="576" w:firstLine="720"/>
        <w:rPr>
          <w:rFonts w:ascii="Arial" w:hAnsi="Arial" w:cs="Arial"/>
          <w:sz w:val="22"/>
          <w:szCs w:val="22"/>
        </w:rPr>
      </w:pPr>
    </w:p>
    <w:p w:rsidR="00BA383A" w:rsidRDefault="00BA383A" w:rsidP="00BA383A">
      <w:pPr>
        <w:ind w:right="576" w:firstLine="720"/>
        <w:rPr>
          <w:rFonts w:ascii="Arial" w:hAnsi="Arial" w:cs="Arial"/>
          <w:sz w:val="22"/>
          <w:szCs w:val="22"/>
        </w:rPr>
      </w:pPr>
    </w:p>
    <w:p w:rsidR="00BA383A" w:rsidRDefault="00BA383A" w:rsidP="00BA383A">
      <w:pPr>
        <w:ind w:right="576" w:firstLine="720"/>
        <w:rPr>
          <w:rFonts w:ascii="Arial" w:hAnsi="Arial" w:cs="Arial"/>
          <w:sz w:val="22"/>
          <w:szCs w:val="22"/>
        </w:rPr>
      </w:pPr>
    </w:p>
    <w:p w:rsidR="00BA383A" w:rsidRPr="002F663E" w:rsidRDefault="00BA383A" w:rsidP="00BA383A">
      <w:pPr>
        <w:rPr>
          <w:rFonts w:ascii="Arial" w:hAnsi="Arial" w:cs="Arial"/>
          <w:sz w:val="22"/>
          <w:szCs w:val="22"/>
        </w:rPr>
      </w:pPr>
      <w:r w:rsidRPr="002F663E">
        <w:rPr>
          <w:rFonts w:ascii="Arial" w:hAnsi="Arial" w:cs="Arial"/>
          <w:sz w:val="22"/>
          <w:szCs w:val="22"/>
        </w:rPr>
        <w:t xml:space="preserve">Suzan D. </w:t>
      </w:r>
      <w:proofErr w:type="spellStart"/>
      <w:r w:rsidRPr="002F663E">
        <w:rPr>
          <w:rFonts w:ascii="Arial" w:hAnsi="Arial" w:cs="Arial"/>
          <w:sz w:val="22"/>
          <w:szCs w:val="22"/>
        </w:rPr>
        <w:t>Paiva</w:t>
      </w:r>
      <w:proofErr w:type="spellEnd"/>
      <w:r w:rsidRPr="002F663E">
        <w:rPr>
          <w:rFonts w:ascii="Arial" w:hAnsi="Arial" w:cs="Arial"/>
          <w:sz w:val="22"/>
          <w:szCs w:val="22"/>
        </w:rPr>
        <w:t>, Esq.</w:t>
      </w:r>
    </w:p>
    <w:p w:rsidR="00BA383A" w:rsidRPr="002F663E" w:rsidRDefault="00BA383A" w:rsidP="00BA383A">
      <w:pPr>
        <w:ind w:right="576"/>
        <w:rPr>
          <w:rFonts w:ascii="Arial" w:hAnsi="Arial" w:cs="Arial"/>
          <w:sz w:val="22"/>
          <w:szCs w:val="22"/>
        </w:rPr>
      </w:pPr>
      <w:r w:rsidRPr="002F663E">
        <w:rPr>
          <w:rFonts w:ascii="Arial" w:hAnsi="Arial" w:cs="Arial"/>
          <w:sz w:val="22"/>
          <w:szCs w:val="22"/>
        </w:rPr>
        <w:t>April 22, 2015</w:t>
      </w:r>
    </w:p>
    <w:p w:rsidR="00BA383A" w:rsidRPr="002F663E" w:rsidRDefault="00BA383A" w:rsidP="00BA383A">
      <w:pPr>
        <w:ind w:right="576"/>
        <w:rPr>
          <w:rFonts w:ascii="Arial" w:hAnsi="Arial" w:cs="Arial"/>
          <w:sz w:val="22"/>
          <w:szCs w:val="22"/>
        </w:rPr>
      </w:pPr>
      <w:r w:rsidRPr="002F663E">
        <w:rPr>
          <w:rFonts w:ascii="Arial" w:hAnsi="Arial" w:cs="Arial"/>
          <w:sz w:val="22"/>
          <w:szCs w:val="22"/>
        </w:rPr>
        <w:t>Page 2</w:t>
      </w:r>
      <w:r w:rsidRPr="002F663E">
        <w:rPr>
          <w:rFonts w:ascii="Arial" w:hAnsi="Arial" w:cs="Arial"/>
          <w:sz w:val="22"/>
          <w:szCs w:val="22"/>
        </w:rPr>
        <w:br/>
      </w:r>
    </w:p>
    <w:p w:rsidR="00BA383A" w:rsidRDefault="00BA383A" w:rsidP="00BA383A">
      <w:pPr>
        <w:rPr>
          <w:rFonts w:ascii="Arial" w:hAnsi="Arial" w:cs="Arial"/>
          <w:sz w:val="22"/>
          <w:szCs w:val="22"/>
        </w:rPr>
      </w:pPr>
    </w:p>
    <w:p w:rsidR="00BA383A" w:rsidRDefault="00BA383A" w:rsidP="00BA383A">
      <w:pPr>
        <w:rPr>
          <w:rFonts w:ascii="Arial" w:hAnsi="Arial" w:cs="Arial"/>
          <w:sz w:val="22"/>
          <w:szCs w:val="22"/>
        </w:rPr>
      </w:pPr>
    </w:p>
    <w:p w:rsidR="00BA383A" w:rsidRDefault="00BA383A" w:rsidP="00BA383A">
      <w:pPr>
        <w:rPr>
          <w:rFonts w:ascii="Arial" w:hAnsi="Arial" w:cs="Arial"/>
          <w:sz w:val="22"/>
          <w:szCs w:val="22"/>
        </w:rPr>
      </w:pPr>
    </w:p>
    <w:p w:rsidR="006A59CA" w:rsidRPr="002F663E" w:rsidRDefault="00BA383A" w:rsidP="002F663E">
      <w:pPr>
        <w:rPr>
          <w:rFonts w:ascii="Arial" w:hAnsi="Arial" w:cs="Arial"/>
          <w:sz w:val="22"/>
          <w:szCs w:val="22"/>
        </w:rPr>
      </w:pPr>
      <w:proofErr w:type="gramStart"/>
      <w:r>
        <w:rPr>
          <w:rFonts w:ascii="Arial" w:hAnsi="Arial" w:cs="Arial"/>
          <w:sz w:val="22"/>
          <w:szCs w:val="22"/>
        </w:rPr>
        <w:t>t</w:t>
      </w:r>
      <w:r w:rsidR="006A59CA" w:rsidRPr="002F663E">
        <w:rPr>
          <w:rFonts w:ascii="Arial" w:hAnsi="Arial" w:cs="Arial"/>
          <w:sz w:val="22"/>
          <w:szCs w:val="22"/>
        </w:rPr>
        <w:t>han</w:t>
      </w:r>
      <w:proofErr w:type="gramEnd"/>
      <w:r w:rsidR="006A59CA" w:rsidRPr="002F663E">
        <w:rPr>
          <w:rFonts w:ascii="Arial" w:hAnsi="Arial" w:cs="Arial"/>
          <w:sz w:val="22"/>
          <w:szCs w:val="22"/>
        </w:rPr>
        <w:t xml:space="preserve"> three business days prior to the first day of the billing cycle in which Verizon will </w:t>
      </w:r>
      <w:r w:rsidR="002F663E">
        <w:rPr>
          <w:rFonts w:ascii="Arial" w:hAnsi="Arial" w:cs="Arial"/>
          <w:sz w:val="22"/>
          <w:szCs w:val="22"/>
        </w:rPr>
        <w:t xml:space="preserve">include </w:t>
      </w:r>
      <w:r w:rsidR="006A59CA" w:rsidRPr="002F663E">
        <w:rPr>
          <w:rFonts w:ascii="Arial" w:hAnsi="Arial" w:cs="Arial"/>
          <w:sz w:val="22"/>
          <w:szCs w:val="22"/>
        </w:rPr>
        <w:t xml:space="preserve">the notice.  Verizon shall also provide a copy of its notice to both the Commission’s Bureau of Consumer Services and Bureau of Technical Utility Services.  </w:t>
      </w:r>
    </w:p>
    <w:p w:rsidR="002F663E" w:rsidRPr="002F663E" w:rsidRDefault="002F663E" w:rsidP="00BA383A">
      <w:pPr>
        <w:ind w:right="576"/>
        <w:rPr>
          <w:rFonts w:ascii="Arial" w:hAnsi="Arial" w:cs="Arial"/>
          <w:sz w:val="22"/>
          <w:szCs w:val="22"/>
        </w:rPr>
      </w:pPr>
    </w:p>
    <w:p w:rsidR="006A59CA" w:rsidRPr="002F663E" w:rsidRDefault="006A59CA" w:rsidP="006A59CA">
      <w:pPr>
        <w:ind w:right="576" w:firstLine="720"/>
        <w:rPr>
          <w:rFonts w:ascii="Arial" w:hAnsi="Arial" w:cs="Arial"/>
          <w:sz w:val="22"/>
          <w:szCs w:val="22"/>
        </w:rPr>
      </w:pPr>
      <w:r w:rsidRPr="002F663E">
        <w:rPr>
          <w:rFonts w:ascii="Arial" w:hAnsi="Arial" w:cs="Arial"/>
          <w:sz w:val="22"/>
          <w:szCs w:val="22"/>
        </w:rPr>
        <w:t xml:space="preserve">You may contact me directly at 717-787-8009 if you have any further questions.  </w:t>
      </w:r>
    </w:p>
    <w:p w:rsidR="006A59CA" w:rsidRPr="002F663E" w:rsidRDefault="006A59CA" w:rsidP="006A59CA">
      <w:pPr>
        <w:ind w:right="576"/>
        <w:rPr>
          <w:rFonts w:ascii="Arial" w:hAnsi="Arial" w:cs="Arial"/>
          <w:sz w:val="22"/>
          <w:szCs w:val="22"/>
        </w:rPr>
      </w:pP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p>
    <w:p w:rsidR="006A59CA" w:rsidRPr="002F663E" w:rsidRDefault="002F663E" w:rsidP="002F663E">
      <w:pPr>
        <w:ind w:left="3600" w:firstLine="720"/>
        <w:rPr>
          <w:rFonts w:ascii="Arial" w:hAnsi="Arial" w:cs="Arial"/>
          <w:sz w:val="22"/>
          <w:szCs w:val="22"/>
        </w:rPr>
      </w:pPr>
      <w:r>
        <w:rPr>
          <w:noProof/>
        </w:rPr>
        <w:drawing>
          <wp:anchor distT="0" distB="0" distL="114300" distR="114300" simplePos="0" relativeHeight="251659264" behindDoc="1" locked="0" layoutInCell="1" allowOverlap="1" wp14:anchorId="245775E5" wp14:editId="4A52A5E3">
            <wp:simplePos x="0" y="0"/>
            <wp:positionH relativeFrom="column">
              <wp:posOffset>2447925</wp:posOffset>
            </wp:positionH>
            <wp:positionV relativeFrom="paragraph">
              <wp:posOffset>147320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A59CA" w:rsidRPr="002F663E">
        <w:rPr>
          <w:rFonts w:ascii="Arial" w:hAnsi="Arial" w:cs="Arial"/>
          <w:sz w:val="22"/>
          <w:szCs w:val="22"/>
        </w:rPr>
        <w:t>Sincerely,</w:t>
      </w:r>
    </w:p>
    <w:p w:rsidR="006A59CA" w:rsidRPr="002F663E" w:rsidRDefault="006A59CA" w:rsidP="006A59CA">
      <w:pPr>
        <w:rPr>
          <w:rFonts w:ascii="Arial" w:hAnsi="Arial" w:cs="Arial"/>
          <w:sz w:val="22"/>
          <w:szCs w:val="22"/>
        </w:rPr>
      </w:pPr>
    </w:p>
    <w:p w:rsidR="006A59CA" w:rsidRPr="002F663E" w:rsidRDefault="006A59CA" w:rsidP="006A59CA">
      <w:pPr>
        <w:rPr>
          <w:rFonts w:ascii="Arial" w:hAnsi="Arial" w:cs="Arial"/>
          <w:sz w:val="22"/>
          <w:szCs w:val="22"/>
        </w:rPr>
      </w:pPr>
    </w:p>
    <w:p w:rsidR="006A59CA" w:rsidRPr="002F663E" w:rsidRDefault="006A59CA" w:rsidP="006A59CA">
      <w:pPr>
        <w:rPr>
          <w:rFonts w:ascii="Arial" w:hAnsi="Arial" w:cs="Arial"/>
          <w:sz w:val="22"/>
          <w:szCs w:val="22"/>
        </w:rPr>
      </w:pPr>
    </w:p>
    <w:p w:rsidR="002F663E" w:rsidRDefault="002F663E"/>
    <w:p w:rsidR="006A59CA" w:rsidRPr="002F663E" w:rsidRDefault="006A59CA" w:rsidP="006A59CA">
      <w:pPr>
        <w:rPr>
          <w:rFonts w:ascii="Arial" w:hAnsi="Arial" w:cs="Arial"/>
          <w:sz w:val="22"/>
          <w:szCs w:val="22"/>
        </w:rPr>
      </w:pPr>
    </w:p>
    <w:p w:rsidR="006A59CA" w:rsidRPr="002F663E" w:rsidRDefault="006A59CA" w:rsidP="006A59CA">
      <w:pPr>
        <w:rPr>
          <w:rFonts w:ascii="Arial" w:hAnsi="Arial" w:cs="Arial"/>
          <w:sz w:val="22"/>
          <w:szCs w:val="22"/>
        </w:rPr>
      </w:pP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002F663E" w:rsidRPr="002F663E">
        <w:rPr>
          <w:rFonts w:ascii="Arial" w:hAnsi="Arial" w:cs="Arial"/>
          <w:sz w:val="22"/>
          <w:szCs w:val="22"/>
        </w:rPr>
        <w:tab/>
      </w:r>
      <w:r w:rsidRPr="002F663E">
        <w:rPr>
          <w:rFonts w:ascii="Arial" w:hAnsi="Arial" w:cs="Arial"/>
          <w:sz w:val="22"/>
          <w:szCs w:val="22"/>
        </w:rPr>
        <w:t>Rosemary Chiavetta</w:t>
      </w:r>
    </w:p>
    <w:p w:rsidR="006A59CA" w:rsidRPr="002F663E" w:rsidRDefault="006A59CA" w:rsidP="006A59CA">
      <w:pPr>
        <w:rPr>
          <w:rFonts w:ascii="Arial" w:hAnsi="Arial" w:cs="Arial"/>
          <w:sz w:val="22"/>
          <w:szCs w:val="22"/>
        </w:rPr>
      </w:pP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Pr="002F663E">
        <w:rPr>
          <w:rFonts w:ascii="Arial" w:hAnsi="Arial" w:cs="Arial"/>
          <w:sz w:val="22"/>
          <w:szCs w:val="22"/>
        </w:rPr>
        <w:tab/>
      </w:r>
      <w:r w:rsidR="002F663E" w:rsidRPr="002F663E">
        <w:rPr>
          <w:rFonts w:ascii="Arial" w:hAnsi="Arial" w:cs="Arial"/>
          <w:sz w:val="22"/>
          <w:szCs w:val="22"/>
        </w:rPr>
        <w:tab/>
      </w:r>
      <w:r w:rsidRPr="002F663E">
        <w:rPr>
          <w:rFonts w:ascii="Arial" w:hAnsi="Arial" w:cs="Arial"/>
          <w:sz w:val="22"/>
          <w:szCs w:val="22"/>
        </w:rPr>
        <w:t>Secretary</w:t>
      </w:r>
    </w:p>
    <w:p w:rsidR="006A59CA" w:rsidRPr="002F663E" w:rsidRDefault="006A59CA" w:rsidP="006A59CA">
      <w:pPr>
        <w:rPr>
          <w:rFonts w:ascii="Arial" w:hAnsi="Arial" w:cs="Arial"/>
          <w:sz w:val="22"/>
          <w:szCs w:val="22"/>
        </w:rPr>
      </w:pPr>
    </w:p>
    <w:p w:rsidR="006A59CA" w:rsidRPr="002F663E" w:rsidRDefault="006A59CA" w:rsidP="006A59CA">
      <w:pPr>
        <w:rPr>
          <w:rFonts w:ascii="Arial" w:hAnsi="Arial" w:cs="Arial"/>
          <w:sz w:val="22"/>
          <w:szCs w:val="22"/>
        </w:rPr>
      </w:pPr>
    </w:p>
    <w:p w:rsidR="006A59CA" w:rsidRPr="002F663E" w:rsidRDefault="006A59CA" w:rsidP="006A59CA">
      <w:pPr>
        <w:rPr>
          <w:rFonts w:ascii="Arial" w:hAnsi="Arial" w:cs="Arial"/>
          <w:sz w:val="22"/>
          <w:szCs w:val="22"/>
        </w:rPr>
      </w:pPr>
    </w:p>
    <w:p w:rsidR="006A59CA" w:rsidRPr="002F663E" w:rsidRDefault="006A59CA" w:rsidP="006A59CA">
      <w:pPr>
        <w:rPr>
          <w:rFonts w:ascii="Arial" w:hAnsi="Arial" w:cs="Arial"/>
          <w:sz w:val="22"/>
          <w:szCs w:val="22"/>
        </w:rPr>
      </w:pPr>
      <w:r w:rsidRPr="002F663E">
        <w:rPr>
          <w:rFonts w:ascii="Arial" w:hAnsi="Arial" w:cs="Arial"/>
          <w:sz w:val="22"/>
          <w:szCs w:val="22"/>
        </w:rPr>
        <w:t>cc:</w:t>
      </w:r>
      <w:r w:rsidRPr="002F663E">
        <w:rPr>
          <w:rFonts w:ascii="Arial" w:hAnsi="Arial" w:cs="Arial"/>
          <w:sz w:val="22"/>
          <w:szCs w:val="22"/>
        </w:rPr>
        <w:tab/>
        <w:t>ALL PARTIES OF RECORD</w:t>
      </w:r>
    </w:p>
    <w:p w:rsidR="00764CAC" w:rsidRDefault="00764CAC"/>
    <w:sectPr w:rsidR="00764CAC" w:rsidSect="00BA383A">
      <w:pgSz w:w="12240" w:h="15840"/>
      <w:pgMar w:top="432"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CA"/>
    <w:rsid w:val="002F663E"/>
    <w:rsid w:val="003F7D18"/>
    <w:rsid w:val="006A59CA"/>
    <w:rsid w:val="00764CAC"/>
    <w:rsid w:val="00BA383A"/>
    <w:rsid w:val="00C3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D18"/>
    <w:rPr>
      <w:rFonts w:ascii="Tahoma" w:hAnsi="Tahoma" w:cs="Tahoma"/>
      <w:sz w:val="16"/>
      <w:szCs w:val="16"/>
    </w:rPr>
  </w:style>
  <w:style w:type="character" w:customStyle="1" w:styleId="BalloonTextChar">
    <w:name w:val="Balloon Text Char"/>
    <w:basedOn w:val="DefaultParagraphFont"/>
    <w:link w:val="BalloonText"/>
    <w:uiPriority w:val="99"/>
    <w:semiHidden/>
    <w:rsid w:val="003F7D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D18"/>
    <w:rPr>
      <w:rFonts w:ascii="Tahoma" w:hAnsi="Tahoma" w:cs="Tahoma"/>
      <w:sz w:val="16"/>
      <w:szCs w:val="16"/>
    </w:rPr>
  </w:style>
  <w:style w:type="character" w:customStyle="1" w:styleId="BalloonTextChar">
    <w:name w:val="Balloon Text Char"/>
    <w:basedOn w:val="DefaultParagraphFont"/>
    <w:link w:val="BalloonText"/>
    <w:uiPriority w:val="99"/>
    <w:semiHidden/>
    <w:rsid w:val="003F7D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77654">
      <w:bodyDiv w:val="1"/>
      <w:marLeft w:val="0"/>
      <w:marRight w:val="0"/>
      <w:marTop w:val="0"/>
      <w:marBottom w:val="0"/>
      <w:divBdr>
        <w:top w:val="none" w:sz="0" w:space="0" w:color="auto"/>
        <w:left w:val="none" w:sz="0" w:space="0" w:color="auto"/>
        <w:bottom w:val="none" w:sz="0" w:space="0" w:color="auto"/>
        <w:right w:val="none" w:sz="0" w:space="0" w:color="auto"/>
      </w:divBdr>
    </w:div>
    <w:div w:id="15975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rchiavetta</dc:creator>
  <cp:lastModifiedBy>Reynolds, Doris</cp:lastModifiedBy>
  <cp:revision>2</cp:revision>
  <cp:lastPrinted>2015-04-22T17:50:00Z</cp:lastPrinted>
  <dcterms:created xsi:type="dcterms:W3CDTF">2015-04-22T17:55:00Z</dcterms:created>
  <dcterms:modified xsi:type="dcterms:W3CDTF">2015-04-22T17:55:00Z</dcterms:modified>
</cp:coreProperties>
</file>