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F60B58">
        <w:tc>
          <w:tcPr>
            <w:tcW w:w="2448" w:type="dxa"/>
          </w:tcPr>
          <w:p w:rsidR="007354DA" w:rsidRPr="00C0451E" w:rsidRDefault="007354DA" w:rsidP="00F60B58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F60B58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F60B58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F60B58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F60B58"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3E5318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3E5318">
              <w:rPr>
                <w:sz w:val="26"/>
                <w:szCs w:val="26"/>
              </w:rPr>
              <w:t>July 8</w:t>
            </w:r>
            <w:r>
              <w:rPr>
                <w:sz w:val="26"/>
                <w:szCs w:val="26"/>
              </w:rPr>
              <w:t>, 201</w:t>
            </w:r>
            <w:r w:rsidR="00BF0BE6">
              <w:rPr>
                <w:sz w:val="26"/>
                <w:szCs w:val="26"/>
              </w:rPr>
              <w:t>5</w:t>
            </w:r>
          </w:p>
        </w:tc>
      </w:tr>
      <w:tr w:rsidR="007354DA" w:rsidRPr="00C0451E" w:rsidTr="00F60B58"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2898"/>
        <w:gridCol w:w="522"/>
        <w:gridCol w:w="918"/>
      </w:tblGrid>
      <w:tr w:rsidR="007354DA" w:rsidRPr="00C0451E" w:rsidTr="00F60B58">
        <w:tc>
          <w:tcPr>
            <w:tcW w:w="9378" w:type="dxa"/>
            <w:gridSpan w:val="3"/>
          </w:tcPr>
          <w:p w:rsidR="007354DA" w:rsidRPr="00C0451E" w:rsidRDefault="00BF0BE6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</w:tc>
        <w:tc>
          <w:tcPr>
            <w:tcW w:w="91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c>
          <w:tcPr>
            <w:tcW w:w="9378" w:type="dxa"/>
            <w:gridSpan w:val="3"/>
          </w:tcPr>
          <w:p w:rsidR="007354DA" w:rsidRPr="00C0451E" w:rsidRDefault="007354DA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Jr.,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c>
          <w:tcPr>
            <w:tcW w:w="9378" w:type="dxa"/>
            <w:gridSpan w:val="3"/>
          </w:tcPr>
          <w:p w:rsidR="007354DA" w:rsidRPr="00C0451E" w:rsidRDefault="007354DA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James H. Cawley</w:t>
            </w:r>
          </w:p>
        </w:tc>
        <w:tc>
          <w:tcPr>
            <w:tcW w:w="91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c>
          <w:tcPr>
            <w:tcW w:w="9378" w:type="dxa"/>
            <w:gridSpan w:val="3"/>
          </w:tcPr>
          <w:p w:rsidR="007354DA" w:rsidRPr="00C0451E" w:rsidRDefault="007354DA" w:rsidP="00F60B58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Pamela A. Witmer</w:t>
            </w:r>
          </w:p>
        </w:tc>
        <w:tc>
          <w:tcPr>
            <w:tcW w:w="91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rPr>
          <w:gridAfter w:val="2"/>
          <w:wAfter w:w="1440" w:type="dxa"/>
        </w:trPr>
        <w:tc>
          <w:tcPr>
            <w:tcW w:w="5958" w:type="dxa"/>
          </w:tcPr>
          <w:p w:rsidR="00BF0BE6" w:rsidRDefault="00BF0BE6" w:rsidP="00BF0BE6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F. Powelson</w:t>
            </w:r>
          </w:p>
          <w:p w:rsidR="007354DA" w:rsidRPr="00C0451E" w:rsidRDefault="007354DA" w:rsidP="00F60B58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289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rPr>
          <w:gridAfter w:val="2"/>
          <w:wAfter w:w="1440" w:type="dxa"/>
        </w:trPr>
        <w:tc>
          <w:tcPr>
            <w:tcW w:w="595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  <w:tc>
          <w:tcPr>
            <w:tcW w:w="2898" w:type="dxa"/>
          </w:tcPr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  <w:tr w:rsidR="007354DA" w:rsidRPr="00C0451E" w:rsidTr="00F60B58">
        <w:trPr>
          <w:gridAfter w:val="2"/>
          <w:wAfter w:w="1440" w:type="dxa"/>
        </w:trPr>
        <w:tc>
          <w:tcPr>
            <w:tcW w:w="5958" w:type="dxa"/>
          </w:tcPr>
          <w:p w:rsidR="007354DA" w:rsidRDefault="009558AC" w:rsidP="0073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</w:t>
            </w:r>
            <w:r w:rsidR="00BF0BE6">
              <w:rPr>
                <w:sz w:val="26"/>
                <w:szCs w:val="26"/>
              </w:rPr>
              <w:t xml:space="preserve"> Cancellations </w:t>
            </w:r>
            <w:r>
              <w:rPr>
                <w:sz w:val="26"/>
                <w:szCs w:val="26"/>
              </w:rPr>
              <w:t>of</w:t>
            </w:r>
            <w:r w:rsidR="00BF0B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 w:rsidR="00FB1E2E">
              <w:rPr>
                <w:sz w:val="26"/>
                <w:szCs w:val="26"/>
              </w:rPr>
              <w:t>ompan</w:t>
            </w:r>
            <w:r w:rsidR="003E6873">
              <w:rPr>
                <w:sz w:val="26"/>
                <w:szCs w:val="26"/>
              </w:rPr>
              <w:t>ies</w:t>
            </w:r>
            <w:r w:rsidR="00BF0BE6">
              <w:rPr>
                <w:sz w:val="26"/>
                <w:szCs w:val="26"/>
              </w:rPr>
              <w:t xml:space="preserve"> with </w:t>
            </w:r>
            <w:r>
              <w:rPr>
                <w:sz w:val="26"/>
                <w:szCs w:val="26"/>
              </w:rPr>
              <w:t xml:space="preserve">an </w:t>
            </w:r>
            <w:r w:rsidR="00BF0BE6">
              <w:rPr>
                <w:sz w:val="26"/>
                <w:szCs w:val="26"/>
              </w:rPr>
              <w:t>Expired Financial Security</w:t>
            </w:r>
          </w:p>
          <w:p w:rsidR="007354DA" w:rsidRPr="00C0451E" w:rsidRDefault="007354DA" w:rsidP="009A33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898" w:type="dxa"/>
          </w:tcPr>
          <w:p w:rsidR="007354DA" w:rsidRDefault="003E6873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7354DA" w:rsidRDefault="007354DA" w:rsidP="00F60B58">
            <w:pPr>
              <w:rPr>
                <w:sz w:val="26"/>
                <w:szCs w:val="26"/>
              </w:rPr>
            </w:pPr>
          </w:p>
          <w:p w:rsidR="007354DA" w:rsidRDefault="007354DA" w:rsidP="00F60B58">
            <w:pPr>
              <w:rPr>
                <w:sz w:val="26"/>
                <w:szCs w:val="26"/>
              </w:rPr>
            </w:pPr>
          </w:p>
          <w:p w:rsidR="007354DA" w:rsidRPr="00C0451E" w:rsidRDefault="007354DA" w:rsidP="00F60B58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7354DA" w:rsidRDefault="007354DA" w:rsidP="007354DA">
      <w:pPr>
        <w:spacing w:line="360" w:lineRule="auto"/>
        <w:rPr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0A0061" w:rsidRDefault="007354DA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 w:rsidR="00D844AA" w:rsidRPr="00D844AA">
        <w:rPr>
          <w:sz w:val="26"/>
          <w:szCs w:val="26"/>
        </w:rPr>
        <w:t xml:space="preserve">52 Pa. </w:t>
      </w:r>
    </w:p>
    <w:p w:rsidR="007354DA" w:rsidRDefault="00D844AA" w:rsidP="007354DA">
      <w:pPr>
        <w:spacing w:line="360" w:lineRule="auto"/>
        <w:rPr>
          <w:sz w:val="26"/>
          <w:szCs w:val="26"/>
        </w:rPr>
      </w:pPr>
      <w:r w:rsidRPr="00D844AA">
        <w:rPr>
          <w:sz w:val="26"/>
          <w:szCs w:val="26"/>
        </w:rPr>
        <w:t xml:space="preserve">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Default="007354DA" w:rsidP="007354DA">
      <w:pPr>
        <w:spacing w:line="360" w:lineRule="auto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ab/>
      </w:r>
      <w:r w:rsidR="00D844AA" w:rsidRPr="00D844AA">
        <w:rPr>
          <w:snapToGrid w:val="0"/>
          <w:sz w:val="26"/>
          <w:szCs w:val="26"/>
        </w:rPr>
        <w:t xml:space="preserve">Failure to file the requested documentation </w:t>
      </w:r>
      <w:r w:rsidR="00D844AA">
        <w:rPr>
          <w:snapToGrid w:val="0"/>
          <w:sz w:val="26"/>
          <w:szCs w:val="26"/>
        </w:rPr>
        <w:t>may</w:t>
      </w:r>
      <w:r w:rsidR="00D844AA" w:rsidRPr="00D844AA">
        <w:rPr>
          <w:snapToGrid w:val="0"/>
          <w:sz w:val="26"/>
          <w:szCs w:val="26"/>
        </w:rPr>
        <w:t xml:space="preserve"> cause Commission staff to initiate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="00D844AA"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="00D844AA"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="00D844AA"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="00D844AA"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D844AA" w:rsidRPr="00CB25B4" w:rsidRDefault="00CB25B4" w:rsidP="00D844AA">
      <w:pPr>
        <w:spacing w:line="360" w:lineRule="auto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As of June 29, 2015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below </w:t>
      </w:r>
      <w:r w:rsidR="00D844AA" w:rsidRPr="006E7F26">
        <w:rPr>
          <w:sz w:val="26"/>
          <w:szCs w:val="26"/>
        </w:rPr>
        <w:t>ha</w:t>
      </w:r>
      <w:r w:rsidR="00D85078">
        <w:rPr>
          <w:sz w:val="26"/>
          <w:szCs w:val="26"/>
        </w:rPr>
        <w:t>s</w:t>
      </w:r>
      <w:r w:rsidR="00D844AA" w:rsidRPr="006E7F26">
        <w:rPr>
          <w:sz w:val="26"/>
          <w:szCs w:val="26"/>
        </w:rPr>
        <w:t xml:space="preserve"> not submitted the required </w:t>
      </w:r>
      <w:r>
        <w:rPr>
          <w:sz w:val="26"/>
          <w:szCs w:val="26"/>
        </w:rPr>
        <w:t>bond or other approved security to the Commission</w:t>
      </w:r>
      <w:r w:rsidR="00D844AA" w:rsidRPr="00CB25B4">
        <w:rPr>
          <w:b/>
          <w:sz w:val="26"/>
          <w:szCs w:val="26"/>
        </w:rPr>
        <w:t>.</w:t>
      </w:r>
    </w:p>
    <w:p w:rsidR="00B4318B" w:rsidRDefault="00B4318B" w:rsidP="00D844AA">
      <w:pPr>
        <w:spacing w:line="360" w:lineRule="auto"/>
        <w:ind w:firstLine="720"/>
        <w:rPr>
          <w:sz w:val="26"/>
          <w:szCs w:val="26"/>
        </w:rPr>
      </w:pPr>
    </w:p>
    <w:p w:rsidR="00CB25B4" w:rsidRDefault="00EC7C7E" w:rsidP="00CB25B4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CB25B4">
        <w:rPr>
          <w:sz w:val="26"/>
          <w:szCs w:val="26"/>
        </w:rPr>
        <w:t>electric generation suppliers</w:t>
      </w:r>
      <w:r w:rsidR="008645D7">
        <w:rPr>
          <w:sz w:val="26"/>
          <w:szCs w:val="26"/>
        </w:rPr>
        <w:t xml:space="preserve"> that have not submitted </w:t>
      </w:r>
    </w:p>
    <w:p w:rsidR="00B4318B" w:rsidRDefault="00CB25B4" w:rsidP="00CB25B4">
      <w:pPr>
        <w:spacing w:line="36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45D7">
        <w:rPr>
          <w:sz w:val="26"/>
          <w:szCs w:val="26"/>
        </w:rPr>
        <w:t xml:space="preserve">the required </w:t>
      </w:r>
      <w:r>
        <w:rPr>
          <w:sz w:val="26"/>
          <w:szCs w:val="26"/>
        </w:rPr>
        <w:t>security</w:t>
      </w:r>
    </w:p>
    <w:p w:rsidR="00BF58AD" w:rsidRDefault="00BF58AD" w:rsidP="00D844AA">
      <w:pPr>
        <w:spacing w:line="360" w:lineRule="auto"/>
        <w:ind w:firstLine="720"/>
        <w:rPr>
          <w:sz w:val="26"/>
          <w:szCs w:val="26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070"/>
        <w:gridCol w:w="4500"/>
      </w:tblGrid>
      <w:tr w:rsidR="00B4318B" w:rsidTr="00651017">
        <w:trPr>
          <w:trHeight w:val="287"/>
        </w:trPr>
        <w:tc>
          <w:tcPr>
            <w:tcW w:w="2070" w:type="dxa"/>
          </w:tcPr>
          <w:p w:rsidR="00B4318B" w:rsidRDefault="00BF58A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A-2013-2351254</w:t>
            </w:r>
          </w:p>
        </w:tc>
        <w:tc>
          <w:tcPr>
            <w:tcW w:w="4500" w:type="dxa"/>
          </w:tcPr>
          <w:p w:rsidR="00B4318B" w:rsidRDefault="00BF58A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Batchelor Energy</w:t>
            </w:r>
            <w:r w:rsidR="00651017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BF58A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A-2012-2321229</w:t>
            </w:r>
          </w:p>
        </w:tc>
        <w:tc>
          <w:tcPr>
            <w:tcW w:w="4500" w:type="dxa"/>
          </w:tcPr>
          <w:p w:rsidR="00B4318B" w:rsidRDefault="00BF58A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Best Energy</w:t>
            </w:r>
            <w:r w:rsidR="00651017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BF58A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A-2010-2159567</w:t>
            </w:r>
          </w:p>
        </w:tc>
        <w:tc>
          <w:tcPr>
            <w:tcW w:w="4500" w:type="dxa"/>
          </w:tcPr>
          <w:p w:rsidR="00B4318B" w:rsidRDefault="00BF58A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BTU Energy</w:t>
            </w:r>
            <w:r w:rsidR="00651017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BF58A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A-2012-2311410</w:t>
            </w:r>
          </w:p>
        </w:tc>
        <w:tc>
          <w:tcPr>
            <w:tcW w:w="4500" w:type="dxa"/>
          </w:tcPr>
          <w:p w:rsidR="00B4318B" w:rsidRDefault="00BF58A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Commercial and Industrial Energy Solutions</w:t>
            </w:r>
            <w:r w:rsidR="00651017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BF58A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A-2010-2201567</w:t>
            </w:r>
          </w:p>
        </w:tc>
        <w:tc>
          <w:tcPr>
            <w:tcW w:w="4500" w:type="dxa"/>
          </w:tcPr>
          <w:p w:rsidR="00B4318B" w:rsidRDefault="00BF58AD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Dash Energy</w:t>
            </w:r>
            <w:r w:rsidR="00872CB2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A-2012-2295320</w:t>
            </w:r>
          </w:p>
        </w:tc>
        <w:tc>
          <w:tcPr>
            <w:tcW w:w="450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Energy Brokers</w:t>
            </w:r>
            <w:r w:rsidR="00872CB2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A-110161</w:t>
            </w:r>
          </w:p>
        </w:tc>
        <w:tc>
          <w:tcPr>
            <w:tcW w:w="450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Energy Window</w:t>
            </w:r>
            <w:r w:rsidR="00872CB2">
              <w:rPr>
                <w:sz w:val="26"/>
                <w:szCs w:val="26"/>
              </w:rPr>
              <w:t>, Inc.</w:t>
            </w:r>
          </w:p>
        </w:tc>
      </w:tr>
      <w:tr w:rsidR="00B4318B" w:rsidTr="00651017">
        <w:tc>
          <w:tcPr>
            <w:tcW w:w="207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A-2013-2391728</w:t>
            </w:r>
          </w:p>
        </w:tc>
        <w:tc>
          <w:tcPr>
            <w:tcW w:w="450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Facility Solutions Group</w:t>
            </w:r>
            <w:r w:rsidR="00872CB2">
              <w:rPr>
                <w:sz w:val="26"/>
                <w:szCs w:val="26"/>
              </w:rPr>
              <w:t>, Inc.</w:t>
            </w:r>
          </w:p>
        </w:tc>
      </w:tr>
      <w:tr w:rsidR="00B4318B" w:rsidTr="00651017">
        <w:tc>
          <w:tcPr>
            <w:tcW w:w="207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A-2011-2227268</w:t>
            </w:r>
          </w:p>
        </w:tc>
        <w:tc>
          <w:tcPr>
            <w:tcW w:w="450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Geary Energy</w:t>
            </w:r>
            <w:r w:rsidR="00872CB2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A-2010-2159584</w:t>
            </w:r>
          </w:p>
        </w:tc>
        <w:tc>
          <w:tcPr>
            <w:tcW w:w="450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Great Lakes Energy</w:t>
            </w:r>
            <w:r w:rsidR="00872CB2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A-2010-2159620</w:t>
            </w:r>
          </w:p>
        </w:tc>
        <w:tc>
          <w:tcPr>
            <w:tcW w:w="450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GSE Consulting</w:t>
            </w:r>
            <w:r w:rsidR="00872CB2">
              <w:rPr>
                <w:sz w:val="26"/>
                <w:szCs w:val="26"/>
              </w:rPr>
              <w:t xml:space="preserve"> LP</w:t>
            </w:r>
          </w:p>
        </w:tc>
      </w:tr>
      <w:tr w:rsidR="00B4318B" w:rsidTr="00651017">
        <w:tc>
          <w:tcPr>
            <w:tcW w:w="207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A-2011-2225785</w:t>
            </w:r>
          </w:p>
        </w:tc>
        <w:tc>
          <w:tcPr>
            <w:tcW w:w="450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Hawk Energy Corporation</w:t>
            </w:r>
          </w:p>
        </w:tc>
      </w:tr>
      <w:tr w:rsidR="00B4318B" w:rsidTr="00651017">
        <w:tc>
          <w:tcPr>
            <w:tcW w:w="207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A-2011-2278059</w:t>
            </w:r>
          </w:p>
        </w:tc>
        <w:tc>
          <w:tcPr>
            <w:tcW w:w="450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Moxi Energy Advisors</w:t>
            </w:r>
            <w:r w:rsidR="00872CB2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79390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A-2011-22766</w:t>
            </w:r>
            <w:r w:rsidR="00862106">
              <w:rPr>
                <w:sz w:val="26"/>
                <w:szCs w:val="26"/>
              </w:rPr>
              <w:t>75</w:t>
            </w:r>
          </w:p>
        </w:tc>
        <w:tc>
          <w:tcPr>
            <w:tcW w:w="450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National1 Energy</w:t>
            </w:r>
            <w:r w:rsidR="00793907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A-2013-2398398</w:t>
            </w:r>
          </w:p>
        </w:tc>
        <w:tc>
          <w:tcPr>
            <w:tcW w:w="450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Power Source</w:t>
            </w:r>
            <w:r w:rsidR="00793907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A-2012-2305802</w:t>
            </w:r>
          </w:p>
        </w:tc>
        <w:tc>
          <w:tcPr>
            <w:tcW w:w="450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Pennell &amp; Wiltberger</w:t>
            </w:r>
            <w:r w:rsidR="00793907">
              <w:rPr>
                <w:sz w:val="26"/>
                <w:szCs w:val="26"/>
              </w:rPr>
              <w:t>, Inc.</w:t>
            </w:r>
          </w:p>
        </w:tc>
      </w:tr>
      <w:tr w:rsidR="00B4318B" w:rsidTr="00651017">
        <w:tc>
          <w:tcPr>
            <w:tcW w:w="207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A-2010-2151569</w:t>
            </w:r>
          </w:p>
        </w:tc>
        <w:tc>
          <w:tcPr>
            <w:tcW w:w="450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Platinum Advertising II</w:t>
            </w:r>
            <w:r w:rsidR="00793907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A-2010-2205525</w:t>
            </w:r>
          </w:p>
        </w:tc>
        <w:tc>
          <w:tcPr>
            <w:tcW w:w="4500" w:type="dxa"/>
          </w:tcPr>
          <w:p w:rsidR="00B4318B" w:rsidRDefault="00862106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Reliable Power</w:t>
            </w:r>
            <w:r w:rsidR="000A6173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A-2012-2339001</w:t>
            </w:r>
          </w:p>
        </w:tc>
        <w:tc>
          <w:tcPr>
            <w:tcW w:w="4500" w:type="dxa"/>
          </w:tcPr>
          <w:p w:rsidR="00B4318B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Shimshek Energy</w:t>
            </w:r>
            <w:r w:rsidR="004822AB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A-2012-2292048</w:t>
            </w:r>
          </w:p>
        </w:tc>
        <w:tc>
          <w:tcPr>
            <w:tcW w:w="4500" w:type="dxa"/>
          </w:tcPr>
          <w:p w:rsidR="00B4318B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Sprague Operating Resources</w:t>
            </w:r>
            <w:r w:rsidR="004822AB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A-2011-2248651</w:t>
            </w:r>
          </w:p>
        </w:tc>
        <w:tc>
          <w:tcPr>
            <w:tcW w:w="4500" w:type="dxa"/>
          </w:tcPr>
          <w:p w:rsidR="00B4318B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Energy Link</w:t>
            </w:r>
            <w:r w:rsidR="004822AB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A-2011-2241822</w:t>
            </w:r>
          </w:p>
        </w:tc>
        <w:tc>
          <w:tcPr>
            <w:tcW w:w="4500" w:type="dxa"/>
          </w:tcPr>
          <w:p w:rsidR="00B4318B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Topco Associates</w:t>
            </w:r>
            <w:r w:rsidR="004822AB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A-2011-2255323</w:t>
            </w:r>
          </w:p>
        </w:tc>
        <w:tc>
          <w:tcPr>
            <w:tcW w:w="4500" w:type="dxa"/>
          </w:tcPr>
          <w:p w:rsidR="00B4318B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Ultimate Energy Advisors</w:t>
            </w:r>
            <w:r w:rsidR="004822AB">
              <w:rPr>
                <w:sz w:val="26"/>
                <w:szCs w:val="26"/>
              </w:rPr>
              <w:t xml:space="preserve"> LLC</w:t>
            </w:r>
          </w:p>
        </w:tc>
      </w:tr>
      <w:tr w:rsidR="00B4318B" w:rsidTr="00651017">
        <w:tc>
          <w:tcPr>
            <w:tcW w:w="2070" w:type="dxa"/>
          </w:tcPr>
          <w:p w:rsidR="00B4318B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A-2014-2415133</w:t>
            </w:r>
          </w:p>
        </w:tc>
        <w:tc>
          <w:tcPr>
            <w:tcW w:w="4500" w:type="dxa"/>
          </w:tcPr>
          <w:p w:rsidR="00B4318B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Power Consultants</w:t>
            </w:r>
            <w:r w:rsidR="004822AB">
              <w:rPr>
                <w:sz w:val="26"/>
                <w:szCs w:val="26"/>
              </w:rPr>
              <w:t>, Inc.</w:t>
            </w:r>
          </w:p>
        </w:tc>
      </w:tr>
      <w:tr w:rsidR="00BF58AD" w:rsidTr="00651017">
        <w:tc>
          <w:tcPr>
            <w:tcW w:w="2070" w:type="dxa"/>
          </w:tcPr>
          <w:p w:rsidR="00BF58AD" w:rsidRDefault="00651017" w:rsidP="00B22C7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</w:t>
            </w:r>
            <w:r w:rsidR="00B22C77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-2158382</w:t>
            </w:r>
          </w:p>
        </w:tc>
        <w:tc>
          <w:tcPr>
            <w:tcW w:w="4500" w:type="dxa"/>
          </w:tcPr>
          <w:p w:rsidR="00BF58AD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 Sun Energy</w:t>
            </w:r>
            <w:r w:rsidR="004822AB">
              <w:rPr>
                <w:sz w:val="26"/>
                <w:szCs w:val="26"/>
              </w:rPr>
              <w:t>, Inc.</w:t>
            </w:r>
          </w:p>
        </w:tc>
      </w:tr>
      <w:tr w:rsidR="00BF58AD" w:rsidTr="00651017">
        <w:tc>
          <w:tcPr>
            <w:tcW w:w="2070" w:type="dxa"/>
          </w:tcPr>
          <w:p w:rsidR="00BF58AD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A-2011-2260766</w:t>
            </w:r>
          </w:p>
        </w:tc>
        <w:tc>
          <w:tcPr>
            <w:tcW w:w="4500" w:type="dxa"/>
          </w:tcPr>
          <w:p w:rsidR="00BF58AD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Utility Savings Solutions</w:t>
            </w:r>
            <w:r w:rsidR="004822AB">
              <w:rPr>
                <w:sz w:val="26"/>
                <w:szCs w:val="26"/>
              </w:rPr>
              <w:t xml:space="preserve"> LLC</w:t>
            </w:r>
          </w:p>
        </w:tc>
      </w:tr>
      <w:tr w:rsidR="00BF58AD" w:rsidTr="00651017">
        <w:tc>
          <w:tcPr>
            <w:tcW w:w="2070" w:type="dxa"/>
          </w:tcPr>
          <w:p w:rsidR="00BF58AD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A-2011-2270793</w:t>
            </w:r>
          </w:p>
        </w:tc>
        <w:tc>
          <w:tcPr>
            <w:tcW w:w="4500" w:type="dxa"/>
          </w:tcPr>
          <w:p w:rsidR="00BF58AD" w:rsidRDefault="00651017" w:rsidP="00BF58A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Whitefence</w:t>
            </w:r>
            <w:r w:rsidR="004822AB">
              <w:rPr>
                <w:sz w:val="26"/>
                <w:szCs w:val="26"/>
              </w:rPr>
              <w:t>, Inc.</w:t>
            </w:r>
          </w:p>
        </w:tc>
      </w:tr>
    </w:tbl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Technical Utility Services (TUS)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60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Subsequently, after </w:t>
      </w:r>
      <w:r w:rsidR="00366BAE">
        <w:rPr>
          <w:sz w:val="26"/>
          <w:szCs w:val="26"/>
        </w:rPr>
        <w:t xml:space="preserve">the expiration date of </w:t>
      </w:r>
      <w:r>
        <w:rPr>
          <w:sz w:val="26"/>
          <w:szCs w:val="26"/>
        </w:rPr>
        <w:t>each entity’s approved financial security,</w:t>
      </w:r>
      <w:r w:rsidRPr="006E7F26">
        <w:rPr>
          <w:sz w:val="26"/>
          <w:szCs w:val="26"/>
        </w:rPr>
        <w:t xml:space="preserve"> TUS sent a Certified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Warning Letter</w:t>
      </w:r>
      <w:r>
        <w:rPr>
          <w:sz w:val="26"/>
          <w:szCs w:val="26"/>
        </w:rPr>
        <w:t xml:space="preserve"> which sought </w:t>
      </w:r>
      <w:r w:rsidR="00366BAE">
        <w:rPr>
          <w:sz w:val="26"/>
          <w:szCs w:val="26"/>
        </w:rPr>
        <w:t xml:space="preserve">security </w:t>
      </w:r>
      <w:r w:rsidRPr="006E7F26">
        <w:rPr>
          <w:sz w:val="26"/>
          <w:szCs w:val="26"/>
        </w:rPr>
        <w:t>renewal documentation within 10 days.</w:t>
      </w:r>
      <w:r w:rsidR="00366BAE">
        <w:rPr>
          <w:sz w:val="26"/>
          <w:szCs w:val="26"/>
        </w:rPr>
        <w:t xml:space="preserve">  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E8575D">
      <w:pPr>
        <w:spacing w:line="360" w:lineRule="auto"/>
        <w:ind w:firstLine="72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366BAE">
        <w:rPr>
          <w:sz w:val="26"/>
          <w:szCs w:val="26"/>
        </w:rPr>
        <w:t>cancel</w:t>
      </w:r>
      <w:r w:rsidRPr="003C261B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the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7354DA" w:rsidP="007354DA">
      <w:pPr>
        <w:spacing w:line="360" w:lineRule="auto"/>
        <w:rPr>
          <w:sz w:val="26"/>
          <w:szCs w:val="26"/>
        </w:rPr>
      </w:pPr>
      <w:r w:rsidRPr="00D844AA">
        <w:rPr>
          <w:sz w:val="26"/>
          <w:szCs w:val="26"/>
        </w:rPr>
        <w:tab/>
        <w:t>1.</w:t>
      </w:r>
      <w:r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Pr="00D844AA">
        <w:rPr>
          <w:sz w:val="26"/>
          <w:szCs w:val="26"/>
        </w:rPr>
        <w:t xml:space="preserve"> hereby tentatively approved as being in the public interest.</w:t>
      </w:r>
    </w:p>
    <w:p w:rsidR="007354DA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7354DA">
      <w:pPr>
        <w:spacing w:line="360" w:lineRule="auto"/>
        <w:ind w:firstLine="720"/>
        <w:rPr>
          <w:sz w:val="26"/>
          <w:szCs w:val="26"/>
        </w:rPr>
      </w:pPr>
      <w:r w:rsidRPr="00BE6220">
        <w:rPr>
          <w:sz w:val="26"/>
          <w:szCs w:val="26"/>
        </w:rPr>
        <w:lastRenderedPageBreak/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7354DA" w:rsidP="007354DA">
      <w:pPr>
        <w:spacing w:line="360" w:lineRule="auto"/>
        <w:rPr>
          <w:sz w:val="26"/>
          <w:szCs w:val="26"/>
        </w:rPr>
      </w:pPr>
      <w:r w:rsidRPr="00D51C87">
        <w:rPr>
          <w:sz w:val="26"/>
          <w:szCs w:val="26"/>
        </w:rPr>
        <w:tab/>
        <w:t>3.</w:t>
      </w:r>
      <w:r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Pr="00D51C87">
        <w:rPr>
          <w:sz w:val="26"/>
          <w:szCs w:val="26"/>
        </w:rPr>
        <w:t xml:space="preserve"> within 30 days after publication in the </w:t>
      </w:r>
      <w:r w:rsidRPr="00D51C87">
        <w:rPr>
          <w:i/>
          <w:sz w:val="26"/>
          <w:szCs w:val="26"/>
        </w:rPr>
        <w:t>Pennsylvania Bulletin</w:t>
      </w:r>
      <w:r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 xml:space="preserve">Final Order for entry by the Secretary and shall advise the affected Bureaus within the Commission in writing that the </w:t>
      </w:r>
      <w:r w:rsidR="00251A99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251A99">
        <w:rPr>
          <w:sz w:val="26"/>
          <w:szCs w:val="26"/>
        </w:rPr>
        <w:t>Licenses</w:t>
      </w:r>
      <w:r w:rsidR="00D85078">
        <w:rPr>
          <w:sz w:val="26"/>
          <w:szCs w:val="26"/>
        </w:rPr>
        <w:t xml:space="preserve"> held by</w:t>
      </w:r>
      <w:r w:rsidR="00251A99">
        <w:rPr>
          <w:sz w:val="26"/>
          <w:szCs w:val="26"/>
        </w:rPr>
        <w:t xml:space="preserve"> </w:t>
      </w:r>
      <w:r w:rsidR="00FB1E2E">
        <w:rPr>
          <w:sz w:val="26"/>
          <w:szCs w:val="26"/>
        </w:rPr>
        <w:t>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Table, are</w:t>
      </w:r>
      <w:r w:rsidR="009A262E" w:rsidRPr="00D51C87">
        <w:rPr>
          <w:sz w:val="26"/>
          <w:szCs w:val="26"/>
        </w:rPr>
        <w:t xml:space="preserve"> cancelled and the case</w:t>
      </w:r>
      <w:r w:rsidR="00D422A9">
        <w:rPr>
          <w:sz w:val="26"/>
          <w:szCs w:val="26"/>
        </w:rPr>
        <w:t>s</w:t>
      </w:r>
      <w:r w:rsidR="009A262E" w:rsidRPr="00D51C87">
        <w:rPr>
          <w:sz w:val="26"/>
          <w:szCs w:val="26"/>
        </w:rPr>
        <w:t xml:space="preserve"> may be closed.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7354DA" w:rsidRPr="00BF0BE6" w:rsidRDefault="007354DA" w:rsidP="00503929">
      <w:pPr>
        <w:overflowPunct/>
        <w:autoSpaceDE/>
        <w:autoSpaceDN/>
        <w:adjustRightInd/>
        <w:spacing w:line="360" w:lineRule="auto"/>
        <w:ind w:firstLine="72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described in ordering Paragraph 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F969CC" w:rsidP="007354DA">
      <w:pPr>
        <w:pStyle w:val="p17"/>
        <w:ind w:left="5057"/>
        <w:rPr>
          <w:b/>
          <w:bCs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639ADC" wp14:editId="6738CC3A">
            <wp:simplePos x="0" y="0"/>
            <wp:positionH relativeFrom="column">
              <wp:posOffset>2832735</wp:posOffset>
            </wp:positionH>
            <wp:positionV relativeFrom="paragraph">
              <wp:posOffset>80645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54DA" w:rsidRPr="00BF0BE6">
        <w:rPr>
          <w:b/>
          <w:bCs/>
          <w:sz w:val="26"/>
          <w:szCs w:val="26"/>
        </w:rPr>
        <w:t>BY THE COMMISSION</w:t>
      </w:r>
    </w:p>
    <w:p w:rsidR="007354DA" w:rsidRPr="00BF0BE6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B43A27" w:rsidRPr="00BF0BE6" w:rsidRDefault="00B43A27" w:rsidP="007354DA">
      <w:pPr>
        <w:tabs>
          <w:tab w:val="left" w:pos="5057"/>
        </w:tabs>
        <w:rPr>
          <w:bCs/>
          <w:sz w:val="26"/>
          <w:szCs w:val="26"/>
        </w:rPr>
      </w:pPr>
    </w:p>
    <w:p w:rsidR="007354DA" w:rsidRPr="00BF0BE6" w:rsidRDefault="007354DA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tabs>
          <w:tab w:val="left" w:pos="5062"/>
        </w:tabs>
        <w:rPr>
          <w:sz w:val="26"/>
          <w:szCs w:val="26"/>
        </w:rPr>
      </w:pPr>
    </w:p>
    <w:p w:rsidR="007354DA" w:rsidRPr="00BF0BE6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7354DA" w:rsidRPr="00BF0BE6" w:rsidRDefault="007354DA" w:rsidP="007354DA">
      <w:pPr>
        <w:tabs>
          <w:tab w:val="left" w:pos="204"/>
        </w:tabs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3E5318">
        <w:rPr>
          <w:sz w:val="26"/>
          <w:szCs w:val="26"/>
        </w:rPr>
        <w:t>July 8</w:t>
      </w:r>
      <w:r w:rsidR="00BF0BE6" w:rsidRPr="00BF0BE6">
        <w:rPr>
          <w:sz w:val="26"/>
          <w:szCs w:val="26"/>
        </w:rPr>
        <w:t>, 2015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D51DD5" w:rsidRPr="00BF0BE6">
        <w:rPr>
          <w:sz w:val="26"/>
          <w:szCs w:val="26"/>
        </w:rPr>
        <w:t xml:space="preserve"> </w:t>
      </w:r>
      <w:r w:rsidR="00F969CC">
        <w:rPr>
          <w:sz w:val="26"/>
          <w:szCs w:val="26"/>
        </w:rPr>
        <w:t>July 8, 2015</w:t>
      </w:r>
    </w:p>
    <w:sectPr w:rsidR="00C76C63" w:rsidRPr="007C6AE3" w:rsidSect="00B43A2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38" w:rsidRDefault="00814F38">
      <w:r>
        <w:separator/>
      </w:r>
    </w:p>
  </w:endnote>
  <w:endnote w:type="continuationSeparator" w:id="0">
    <w:p w:rsidR="00814F38" w:rsidRDefault="008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FA" w:rsidRDefault="002D3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EFA" w:rsidRDefault="00814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FA" w:rsidRDefault="002D3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9CC">
      <w:rPr>
        <w:rStyle w:val="PageNumber"/>
        <w:noProof/>
      </w:rPr>
      <w:t>4</w:t>
    </w:r>
    <w:r>
      <w:rPr>
        <w:rStyle w:val="PageNumber"/>
      </w:rPr>
      <w:fldChar w:fldCharType="end"/>
    </w:r>
  </w:p>
  <w:p w:rsidR="00094EFA" w:rsidRDefault="00814F38" w:rsidP="00FA5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38" w:rsidRDefault="00814F38">
      <w:r>
        <w:separator/>
      </w:r>
    </w:p>
  </w:footnote>
  <w:footnote w:type="continuationSeparator" w:id="0">
    <w:p w:rsidR="00814F38" w:rsidRDefault="0081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54007"/>
    <w:rsid w:val="000A0061"/>
    <w:rsid w:val="000A6173"/>
    <w:rsid w:val="000E45FE"/>
    <w:rsid w:val="000E6451"/>
    <w:rsid w:val="001A1FE0"/>
    <w:rsid w:val="001E5A45"/>
    <w:rsid w:val="00251A99"/>
    <w:rsid w:val="002D3AC4"/>
    <w:rsid w:val="003075CA"/>
    <w:rsid w:val="00366BAE"/>
    <w:rsid w:val="003C261B"/>
    <w:rsid w:val="003E2CA9"/>
    <w:rsid w:val="003E5318"/>
    <w:rsid w:val="003E6873"/>
    <w:rsid w:val="004822AB"/>
    <w:rsid w:val="004E7908"/>
    <w:rsid w:val="00500326"/>
    <w:rsid w:val="00503929"/>
    <w:rsid w:val="005E6EA3"/>
    <w:rsid w:val="0061741E"/>
    <w:rsid w:val="0062582B"/>
    <w:rsid w:val="00651017"/>
    <w:rsid w:val="006748D1"/>
    <w:rsid w:val="006E7F26"/>
    <w:rsid w:val="00700595"/>
    <w:rsid w:val="00706B1F"/>
    <w:rsid w:val="007354DA"/>
    <w:rsid w:val="00793907"/>
    <w:rsid w:val="007C6AE3"/>
    <w:rsid w:val="007C7614"/>
    <w:rsid w:val="00814F38"/>
    <w:rsid w:val="00827541"/>
    <w:rsid w:val="00862106"/>
    <w:rsid w:val="008645D7"/>
    <w:rsid w:val="00872CB2"/>
    <w:rsid w:val="008F5C64"/>
    <w:rsid w:val="00913847"/>
    <w:rsid w:val="009274D6"/>
    <w:rsid w:val="009558AC"/>
    <w:rsid w:val="009A262E"/>
    <w:rsid w:val="009A33CC"/>
    <w:rsid w:val="009A5E4A"/>
    <w:rsid w:val="00A942FE"/>
    <w:rsid w:val="00A96F04"/>
    <w:rsid w:val="00AB07D4"/>
    <w:rsid w:val="00B22C77"/>
    <w:rsid w:val="00B4318B"/>
    <w:rsid w:val="00B43A27"/>
    <w:rsid w:val="00B7032F"/>
    <w:rsid w:val="00BB5941"/>
    <w:rsid w:val="00BE4FE6"/>
    <w:rsid w:val="00BE5BF7"/>
    <w:rsid w:val="00BE6220"/>
    <w:rsid w:val="00BF0BE6"/>
    <w:rsid w:val="00BF58AD"/>
    <w:rsid w:val="00C76C63"/>
    <w:rsid w:val="00CB25B4"/>
    <w:rsid w:val="00D422A9"/>
    <w:rsid w:val="00D51C87"/>
    <w:rsid w:val="00D51DD5"/>
    <w:rsid w:val="00D55D4F"/>
    <w:rsid w:val="00D844AA"/>
    <w:rsid w:val="00D85078"/>
    <w:rsid w:val="00DA62D7"/>
    <w:rsid w:val="00E0040C"/>
    <w:rsid w:val="00E474D5"/>
    <w:rsid w:val="00E8575D"/>
    <w:rsid w:val="00EC7C7E"/>
    <w:rsid w:val="00F773F1"/>
    <w:rsid w:val="00F969CC"/>
    <w:rsid w:val="00FB1E2E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086E-3FF8-4A5A-9020-928379BF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Farner, Joyce</cp:lastModifiedBy>
  <cp:revision>43</cp:revision>
  <cp:lastPrinted>2015-07-06T14:33:00Z</cp:lastPrinted>
  <dcterms:created xsi:type="dcterms:W3CDTF">2013-11-25T16:08:00Z</dcterms:created>
  <dcterms:modified xsi:type="dcterms:W3CDTF">2015-07-06T15:24:00Z</dcterms:modified>
</cp:coreProperties>
</file>