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Default="001D6F17" w:rsidP="001D6F17">
      <w:pPr>
        <w:suppressAutoHyphens/>
        <w:jc w:val="center"/>
        <w:rPr>
          <w:rFonts w:ascii="Times New Roman" w:hAnsi="Times New Roman"/>
          <w:spacing w:val="-3"/>
          <w:sz w:val="26"/>
          <w:szCs w:val="26"/>
        </w:rPr>
      </w:pPr>
      <w:r>
        <w:rPr>
          <w:rFonts w:ascii="Times New Roman" w:hAnsi="Times New Roman"/>
          <w:spacing w:val="-3"/>
          <w:sz w:val="26"/>
          <w:szCs w:val="26"/>
        </w:rPr>
        <w:t xml:space="preserve">PENNSYLVANIA </w:t>
      </w:r>
      <w:r>
        <w:rPr>
          <w:rFonts w:ascii="Times New Roman" w:hAnsi="Times New Roman"/>
          <w:spacing w:val="-3"/>
          <w:sz w:val="26"/>
          <w:szCs w:val="26"/>
        </w:rPr>
        <w:fldChar w:fldCharType="begin"/>
      </w:r>
      <w:r>
        <w:rPr>
          <w:rFonts w:ascii="Times New Roman" w:hAnsi="Times New Roman"/>
          <w:spacing w:val="-3"/>
          <w:sz w:val="26"/>
          <w:szCs w:val="26"/>
        </w:rPr>
        <w:instrText xml:space="preserve">PRIVATE </w:instrText>
      </w:r>
      <w:r>
        <w:rPr>
          <w:rFonts w:ascii="Times New Roman" w:hAnsi="Times New Roman"/>
          <w:spacing w:val="-3"/>
          <w:sz w:val="26"/>
          <w:szCs w:val="26"/>
        </w:rPr>
        <w:fldChar w:fldCharType="end"/>
      </w:r>
    </w:p>
    <w:p w:rsidR="001D6F17" w:rsidRDefault="001D6F17" w:rsidP="001D6F17">
      <w:pPr>
        <w:suppressAutoHyphens/>
        <w:jc w:val="center"/>
        <w:rPr>
          <w:rFonts w:ascii="Times New Roman" w:hAnsi="Times New Roman"/>
          <w:spacing w:val="-3"/>
          <w:sz w:val="26"/>
          <w:szCs w:val="26"/>
        </w:rPr>
      </w:pPr>
      <w:r>
        <w:rPr>
          <w:rFonts w:ascii="Times New Roman" w:hAnsi="Times New Roman"/>
          <w:spacing w:val="-3"/>
          <w:sz w:val="26"/>
          <w:szCs w:val="26"/>
        </w:rPr>
        <w:t>PUBLIC UTILITY COMMISSION</w:t>
      </w:r>
    </w:p>
    <w:p w:rsidR="001D6F17" w:rsidRDefault="001D6F17" w:rsidP="001D6F17">
      <w:pPr>
        <w:tabs>
          <w:tab w:val="center" w:pos="4680"/>
        </w:tabs>
        <w:suppressAutoHyphens/>
        <w:jc w:val="center"/>
        <w:rPr>
          <w:rFonts w:ascii="Times New Roman" w:hAnsi="Times New Roman"/>
          <w:spacing w:val="-3"/>
          <w:sz w:val="26"/>
          <w:szCs w:val="26"/>
        </w:rPr>
      </w:pPr>
      <w:r>
        <w:rPr>
          <w:rFonts w:ascii="Times New Roman" w:hAnsi="Times New Roman"/>
          <w:spacing w:val="-3"/>
          <w:sz w:val="26"/>
          <w:szCs w:val="26"/>
        </w:rPr>
        <w:t>Harrisburg, PA  17105-3265</w:t>
      </w: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6B3219" w:rsidRDefault="006B3219" w:rsidP="001D6F17">
      <w:pPr>
        <w:tabs>
          <w:tab w:val="left" w:pos="-720"/>
        </w:tabs>
        <w:suppressAutoHyphens/>
        <w:jc w:val="both"/>
        <w:rPr>
          <w:rFonts w:ascii="Times New Roman" w:hAnsi="Times New Roman"/>
          <w:spacing w:val="-3"/>
          <w:sz w:val="26"/>
          <w:szCs w:val="26"/>
        </w:rPr>
      </w:pPr>
    </w:p>
    <w:tbl>
      <w:tblPr>
        <w:tblW w:w="0" w:type="auto"/>
        <w:tblLayout w:type="fixed"/>
        <w:tblLook w:val="04A0" w:firstRow="1" w:lastRow="0" w:firstColumn="1" w:lastColumn="0" w:noHBand="0" w:noVBand="1"/>
      </w:tblPr>
      <w:tblGrid>
        <w:gridCol w:w="6048"/>
        <w:gridCol w:w="336"/>
        <w:gridCol w:w="3192"/>
      </w:tblGrid>
      <w:tr w:rsidR="001D6F17" w:rsidTr="008B687B">
        <w:trPr>
          <w:trHeight w:val="760"/>
        </w:trPr>
        <w:tc>
          <w:tcPr>
            <w:tcW w:w="6048" w:type="dxa"/>
          </w:tcPr>
          <w:p w:rsidR="001D6F17" w:rsidRPr="00664641" w:rsidRDefault="001D6F17" w:rsidP="008B687B">
            <w:pPr>
              <w:tabs>
                <w:tab w:val="left" w:pos="-720"/>
              </w:tabs>
              <w:suppressAutoHyphens/>
              <w:jc w:val="both"/>
              <w:rPr>
                <w:rFonts w:ascii="Times New Roman" w:hAnsi="Times New Roman"/>
                <w:spacing w:val="-3"/>
                <w:szCs w:val="26"/>
              </w:rPr>
            </w:pPr>
          </w:p>
          <w:p w:rsidR="001D6F17" w:rsidRDefault="00374BD4" w:rsidP="008B687B">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Electric Generation Supplier License Cancellations of</w:t>
            </w:r>
          </w:p>
          <w:p w:rsidR="00374BD4" w:rsidRDefault="00374BD4" w:rsidP="008B687B">
            <w:pPr>
              <w:tabs>
                <w:tab w:val="left" w:pos="-720"/>
              </w:tabs>
              <w:suppressAutoHyphens/>
              <w:jc w:val="both"/>
              <w:rPr>
                <w:rFonts w:ascii="Times New Roman" w:hAnsi="Times New Roman"/>
                <w:spacing w:val="-3"/>
                <w:szCs w:val="26"/>
              </w:rPr>
            </w:pPr>
            <w:r>
              <w:rPr>
                <w:rFonts w:ascii="Times New Roman" w:hAnsi="Times New Roman"/>
                <w:spacing w:val="-3"/>
                <w:sz w:val="26"/>
                <w:szCs w:val="26"/>
              </w:rPr>
              <w:t>Companies with an Expired Financial Security</w:t>
            </w:r>
          </w:p>
          <w:p w:rsidR="001D6F17" w:rsidRDefault="001D6F17" w:rsidP="008B687B">
            <w:pPr>
              <w:tabs>
                <w:tab w:val="left" w:pos="-720"/>
                <w:tab w:val="left" w:pos="-343"/>
                <w:tab w:val="left" w:pos="-90"/>
                <w:tab w:val="left" w:pos="0"/>
              </w:tabs>
              <w:suppressAutoHyphens/>
              <w:ind w:right="1322"/>
              <w:jc w:val="center"/>
              <w:rPr>
                <w:rFonts w:ascii="Times New Roman" w:hAnsi="Times New Roman"/>
                <w:spacing w:val="-3"/>
                <w:szCs w:val="26"/>
              </w:rPr>
            </w:pPr>
            <w:r>
              <w:rPr>
                <w:rFonts w:ascii="Times New Roman" w:hAnsi="Times New Roman"/>
                <w:spacing w:val="-3"/>
                <w:sz w:val="26"/>
                <w:szCs w:val="26"/>
              </w:rPr>
              <w:t xml:space="preserve">   </w:t>
            </w:r>
          </w:p>
        </w:tc>
        <w:tc>
          <w:tcPr>
            <w:tcW w:w="336" w:type="dxa"/>
          </w:tcPr>
          <w:p w:rsidR="001D6F17" w:rsidRDefault="001D6F17" w:rsidP="008B687B">
            <w:pPr>
              <w:tabs>
                <w:tab w:val="left" w:pos="-720"/>
              </w:tabs>
              <w:suppressAutoHyphens/>
              <w:jc w:val="both"/>
              <w:rPr>
                <w:rFonts w:ascii="Times New Roman" w:hAnsi="Times New Roman"/>
                <w:spacing w:val="-3"/>
                <w:szCs w:val="26"/>
              </w:rPr>
            </w:pPr>
          </w:p>
        </w:tc>
        <w:tc>
          <w:tcPr>
            <w:tcW w:w="3192" w:type="dxa"/>
            <w:vAlign w:val="center"/>
            <w:hideMark/>
          </w:tcPr>
          <w:p w:rsidR="001D6F17" w:rsidRDefault="001D6F17" w:rsidP="008B687B">
            <w:pPr>
              <w:tabs>
                <w:tab w:val="left" w:pos="-720"/>
              </w:tabs>
              <w:suppressAutoHyphens/>
              <w:rPr>
                <w:rFonts w:ascii="Times New Roman" w:hAnsi="Times New Roman"/>
                <w:spacing w:val="-3"/>
                <w:szCs w:val="26"/>
              </w:rPr>
            </w:pPr>
          </w:p>
          <w:p w:rsidR="001D6F17" w:rsidRDefault="00374BD4" w:rsidP="008B687B">
            <w:pPr>
              <w:tabs>
                <w:tab w:val="left" w:pos="-720"/>
              </w:tabs>
              <w:suppressAutoHyphens/>
              <w:rPr>
                <w:rFonts w:ascii="Times New Roman" w:hAnsi="Times New Roman"/>
                <w:spacing w:val="-3"/>
                <w:sz w:val="26"/>
                <w:szCs w:val="26"/>
              </w:rPr>
            </w:pPr>
            <w:r>
              <w:rPr>
                <w:rFonts w:ascii="Times New Roman" w:hAnsi="Times New Roman"/>
                <w:spacing w:val="-3"/>
                <w:sz w:val="26"/>
                <w:szCs w:val="26"/>
              </w:rPr>
              <w:t>M-2015-2490383</w:t>
            </w:r>
          </w:p>
          <w:p w:rsidR="001D6F17" w:rsidRDefault="001D6F17" w:rsidP="008B687B">
            <w:pPr>
              <w:tabs>
                <w:tab w:val="left" w:pos="-720"/>
              </w:tabs>
              <w:suppressAutoHyphens/>
              <w:rPr>
                <w:rFonts w:ascii="Times New Roman" w:hAnsi="Times New Roman"/>
                <w:spacing w:val="-3"/>
                <w:szCs w:val="26"/>
              </w:rPr>
            </w:pPr>
          </w:p>
        </w:tc>
      </w:tr>
    </w:tbl>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center" w:pos="4680"/>
        </w:tabs>
        <w:suppressAutoHyphens/>
        <w:jc w:val="both"/>
        <w:rPr>
          <w:rFonts w:ascii="Times New Roman" w:hAnsi="Times New Roman"/>
          <w:b/>
          <w:spacing w:val="-3"/>
          <w:sz w:val="26"/>
          <w:szCs w:val="26"/>
        </w:rPr>
      </w:pPr>
      <w:r>
        <w:rPr>
          <w:rFonts w:ascii="Times New Roman" w:hAnsi="Times New Roman"/>
          <w:spacing w:val="-3"/>
          <w:sz w:val="26"/>
          <w:szCs w:val="26"/>
        </w:rPr>
        <w:tab/>
      </w:r>
      <w:r>
        <w:rPr>
          <w:rFonts w:ascii="Times New Roman" w:hAnsi="Times New Roman"/>
          <w:b/>
          <w:spacing w:val="-3"/>
          <w:sz w:val="26"/>
          <w:szCs w:val="26"/>
        </w:rPr>
        <w:t>F I N A L    O R D E R</w:t>
      </w: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6B3219" w:rsidRDefault="006B3219"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t xml:space="preserve">On </w:t>
      </w:r>
      <w:r w:rsidR="008B687B">
        <w:rPr>
          <w:rFonts w:ascii="Times New Roman" w:hAnsi="Times New Roman"/>
          <w:spacing w:val="-3"/>
          <w:sz w:val="26"/>
          <w:szCs w:val="26"/>
        </w:rPr>
        <w:t>October 22</w:t>
      </w:r>
      <w:r w:rsidR="00374BD4">
        <w:rPr>
          <w:rFonts w:ascii="Times New Roman" w:hAnsi="Times New Roman"/>
          <w:spacing w:val="-3"/>
          <w:sz w:val="26"/>
          <w:szCs w:val="26"/>
        </w:rPr>
        <w:t>, 2015</w:t>
      </w:r>
      <w:r>
        <w:rPr>
          <w:rFonts w:ascii="Times New Roman" w:hAnsi="Times New Roman"/>
          <w:spacing w:val="-3"/>
          <w:sz w:val="26"/>
          <w:szCs w:val="26"/>
        </w:rPr>
        <w:t>, a Tentative Order was entered in the above captioned proceeding.</w:t>
      </w:r>
    </w:p>
    <w:p w:rsidR="001D6F17" w:rsidRDefault="001D6F17" w:rsidP="001D6F17">
      <w:pPr>
        <w:tabs>
          <w:tab w:val="left" w:pos="-720"/>
        </w:tabs>
        <w:suppressAutoHyphens/>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p>
    <w:p w:rsidR="006B3219" w:rsidRDefault="001D6F17"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sidR="005C3DEB">
        <w:rPr>
          <w:rFonts w:ascii="Times New Roman" w:hAnsi="Times New Roman"/>
          <w:spacing w:val="-3"/>
          <w:sz w:val="26"/>
          <w:szCs w:val="26"/>
        </w:rPr>
        <w:t>The Electric Generation Suppliers</w:t>
      </w:r>
      <w:r w:rsidR="00553BF8">
        <w:rPr>
          <w:rFonts w:ascii="Times New Roman" w:hAnsi="Times New Roman"/>
          <w:spacing w:val="-3"/>
          <w:sz w:val="26"/>
          <w:szCs w:val="26"/>
        </w:rPr>
        <w:t xml:space="preserve"> (EGS)</w:t>
      </w:r>
      <w:r w:rsidR="005C3DEB">
        <w:rPr>
          <w:rFonts w:ascii="Times New Roman" w:hAnsi="Times New Roman"/>
          <w:spacing w:val="-3"/>
          <w:sz w:val="26"/>
          <w:szCs w:val="26"/>
        </w:rPr>
        <w:t xml:space="preserve"> listed in the </w:t>
      </w:r>
      <w:r w:rsidR="00CB6146">
        <w:rPr>
          <w:rFonts w:ascii="Times New Roman" w:hAnsi="Times New Roman"/>
          <w:spacing w:val="-3"/>
          <w:sz w:val="26"/>
          <w:szCs w:val="26"/>
        </w:rPr>
        <w:t>Table 1 -</w:t>
      </w:r>
      <w:r w:rsidR="00E30ED1">
        <w:rPr>
          <w:rFonts w:ascii="Times New Roman" w:hAnsi="Times New Roman"/>
          <w:spacing w:val="-3"/>
          <w:sz w:val="26"/>
          <w:szCs w:val="26"/>
        </w:rPr>
        <w:t xml:space="preserve">Suppliers with </w:t>
      </w:r>
      <w:r w:rsidR="005C3DEB">
        <w:rPr>
          <w:rFonts w:ascii="Times New Roman" w:hAnsi="Times New Roman"/>
          <w:spacing w:val="-3"/>
          <w:sz w:val="26"/>
          <w:szCs w:val="26"/>
        </w:rPr>
        <w:t xml:space="preserve">Approved Security filed approved securities within 30 days after publication in the </w:t>
      </w:r>
      <w:r w:rsidR="005C3DEB" w:rsidRPr="005C3DEB">
        <w:rPr>
          <w:rFonts w:ascii="Times New Roman" w:hAnsi="Times New Roman"/>
          <w:i/>
          <w:spacing w:val="-3"/>
          <w:sz w:val="26"/>
          <w:szCs w:val="26"/>
        </w:rPr>
        <w:t>Pennsylvania Bulletin</w:t>
      </w:r>
      <w:r w:rsidR="005C3DEB">
        <w:rPr>
          <w:rFonts w:ascii="Times New Roman" w:hAnsi="Times New Roman"/>
          <w:spacing w:val="-3"/>
          <w:sz w:val="26"/>
          <w:szCs w:val="26"/>
        </w:rPr>
        <w:t xml:space="preserve">.  </w:t>
      </w:r>
    </w:p>
    <w:p w:rsidR="002D05A6" w:rsidRDefault="002D05A6" w:rsidP="001D6F17">
      <w:pPr>
        <w:tabs>
          <w:tab w:val="left" w:pos="-720"/>
        </w:tabs>
        <w:suppressAutoHyphens/>
        <w:spacing w:line="360" w:lineRule="auto"/>
        <w:rPr>
          <w:rFonts w:ascii="Times New Roman" w:hAnsi="Times New Roman"/>
          <w:spacing w:val="-3"/>
          <w:sz w:val="26"/>
          <w:szCs w:val="26"/>
        </w:rPr>
      </w:pPr>
    </w:p>
    <w:p w:rsidR="006B3219" w:rsidRPr="006B3219" w:rsidRDefault="006B3219" w:rsidP="006B3219">
      <w:pPr>
        <w:rPr>
          <w:rFonts w:ascii="Times New Roman" w:hAnsi="Times New Roman"/>
          <w:b/>
          <w:sz w:val="26"/>
          <w:szCs w:val="26"/>
        </w:rPr>
      </w:pPr>
      <w:r w:rsidRPr="006B3219">
        <w:rPr>
          <w:rFonts w:ascii="Times New Roman" w:hAnsi="Times New Roman"/>
          <w:b/>
          <w:sz w:val="26"/>
          <w:szCs w:val="26"/>
        </w:rPr>
        <w:t>Table 1 - Suppliers with Approved Security</w:t>
      </w:r>
    </w:p>
    <w:p w:rsidR="006B3219" w:rsidRDefault="006B3219" w:rsidP="006B3219">
      <w:pPr>
        <w:rPr>
          <w:rFonts w:ascii="Times New Roman" w:hAnsi="Times New Roman"/>
          <w:sz w:val="26"/>
          <w:szCs w:val="26"/>
        </w:rPr>
      </w:pPr>
    </w:p>
    <w:p w:rsidR="006B3219" w:rsidRDefault="006B3219" w:rsidP="006B3219">
      <w:pPr>
        <w:rPr>
          <w:rFonts w:ascii="Times New Roman" w:hAnsi="Times New Roman"/>
          <w:sz w:val="26"/>
          <w:szCs w:val="26"/>
        </w:rPr>
      </w:pPr>
      <w:r>
        <w:rPr>
          <w:rFonts w:ascii="Times New Roman" w:hAnsi="Times New Roman"/>
          <w:sz w:val="26"/>
          <w:szCs w:val="26"/>
        </w:rPr>
        <w:t>List of EGS companies that have submitted the required security</w:t>
      </w:r>
    </w:p>
    <w:p w:rsidR="002D05A6" w:rsidRDefault="002D05A6" w:rsidP="006B3219">
      <w:pPr>
        <w:rPr>
          <w:rFonts w:ascii="Times New Roman" w:hAnsi="Times New Roman"/>
          <w:sz w:val="26"/>
          <w:szCs w:val="26"/>
        </w:rPr>
      </w:pPr>
    </w:p>
    <w:tbl>
      <w:tblPr>
        <w:tblStyle w:val="TableGrid"/>
        <w:tblW w:w="0" w:type="auto"/>
        <w:tblInd w:w="198" w:type="dxa"/>
        <w:tblLook w:val="04A0" w:firstRow="1" w:lastRow="0" w:firstColumn="1" w:lastColumn="0" w:noHBand="0" w:noVBand="1"/>
      </w:tblPr>
      <w:tblGrid>
        <w:gridCol w:w="2790"/>
        <w:gridCol w:w="6120"/>
      </w:tblGrid>
      <w:tr w:rsidR="006B3219" w:rsidRPr="00374BD4" w:rsidTr="00AB7175">
        <w:trPr>
          <w:trHeight w:val="287"/>
        </w:trPr>
        <w:tc>
          <w:tcPr>
            <w:tcW w:w="2790" w:type="dxa"/>
          </w:tcPr>
          <w:p w:rsidR="006B3219" w:rsidRPr="00EB5742" w:rsidRDefault="006B3219" w:rsidP="008B687B">
            <w:pPr>
              <w:spacing w:line="360" w:lineRule="auto"/>
              <w:jc w:val="center"/>
              <w:rPr>
                <w:rFonts w:ascii="Times New Roman" w:hAnsi="Times New Roman"/>
                <w:sz w:val="26"/>
                <w:szCs w:val="26"/>
              </w:rPr>
            </w:pPr>
            <w:r>
              <w:rPr>
                <w:rFonts w:ascii="Times New Roman" w:hAnsi="Times New Roman"/>
                <w:sz w:val="26"/>
                <w:szCs w:val="26"/>
              </w:rPr>
              <w:t>A-</w:t>
            </w:r>
            <w:r w:rsidR="008B687B">
              <w:rPr>
                <w:rFonts w:ascii="Times New Roman" w:hAnsi="Times New Roman"/>
                <w:sz w:val="26"/>
                <w:szCs w:val="26"/>
              </w:rPr>
              <w:t>2012-2320287</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Black Diamond Energy Consultants, Inc.</w:t>
            </w:r>
          </w:p>
        </w:tc>
      </w:tr>
      <w:tr w:rsidR="006B3219" w:rsidRPr="00374BD4" w:rsidTr="00AB7175">
        <w:tc>
          <w:tcPr>
            <w:tcW w:w="2790" w:type="dxa"/>
          </w:tcPr>
          <w:p w:rsidR="006B3219" w:rsidRPr="00EB5742" w:rsidRDefault="006B3219" w:rsidP="008B687B">
            <w:pPr>
              <w:spacing w:line="360" w:lineRule="auto"/>
              <w:jc w:val="center"/>
              <w:rPr>
                <w:rFonts w:ascii="Times New Roman" w:hAnsi="Times New Roman"/>
                <w:sz w:val="26"/>
                <w:szCs w:val="26"/>
              </w:rPr>
            </w:pPr>
            <w:r>
              <w:rPr>
                <w:rFonts w:ascii="Times New Roman" w:hAnsi="Times New Roman"/>
                <w:sz w:val="26"/>
                <w:szCs w:val="26"/>
              </w:rPr>
              <w:t>A-</w:t>
            </w:r>
            <w:r w:rsidR="008B687B">
              <w:rPr>
                <w:rFonts w:ascii="Times New Roman" w:hAnsi="Times New Roman"/>
                <w:sz w:val="26"/>
                <w:szCs w:val="26"/>
              </w:rPr>
              <w:t>2012-2304910</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HP Technologies, Inc.</w:t>
            </w:r>
          </w:p>
        </w:tc>
      </w:tr>
      <w:tr w:rsidR="006B3219" w:rsidRPr="00374BD4" w:rsidTr="00AB7175">
        <w:tc>
          <w:tcPr>
            <w:tcW w:w="2790" w:type="dxa"/>
          </w:tcPr>
          <w:p w:rsidR="006B3219" w:rsidRPr="00EB5742" w:rsidRDefault="00962EAA" w:rsidP="008B687B">
            <w:pPr>
              <w:spacing w:line="360" w:lineRule="auto"/>
              <w:jc w:val="center"/>
              <w:rPr>
                <w:rFonts w:ascii="Times New Roman" w:hAnsi="Times New Roman"/>
                <w:sz w:val="26"/>
                <w:szCs w:val="26"/>
              </w:rPr>
            </w:pPr>
            <w:r>
              <w:rPr>
                <w:rFonts w:ascii="Times New Roman" w:hAnsi="Times New Roman"/>
                <w:sz w:val="26"/>
                <w:szCs w:val="26"/>
              </w:rPr>
              <w:t>*</w:t>
            </w:r>
            <w:r w:rsidR="006B3219">
              <w:rPr>
                <w:rFonts w:ascii="Times New Roman" w:hAnsi="Times New Roman"/>
                <w:sz w:val="26"/>
                <w:szCs w:val="26"/>
              </w:rPr>
              <w:t>A-</w:t>
            </w:r>
            <w:r w:rsidR="008B687B">
              <w:rPr>
                <w:rFonts w:ascii="Times New Roman" w:hAnsi="Times New Roman"/>
                <w:sz w:val="26"/>
                <w:szCs w:val="26"/>
              </w:rPr>
              <w:t>2011-2250633</w:t>
            </w:r>
          </w:p>
        </w:tc>
        <w:tc>
          <w:tcPr>
            <w:tcW w:w="6120" w:type="dxa"/>
          </w:tcPr>
          <w:p w:rsidR="006B3219" w:rsidRPr="00EB5742" w:rsidRDefault="008B687B" w:rsidP="008B687B">
            <w:pPr>
              <w:spacing w:line="360" w:lineRule="auto"/>
              <w:jc w:val="center"/>
              <w:rPr>
                <w:rFonts w:ascii="Times New Roman" w:hAnsi="Times New Roman"/>
                <w:sz w:val="26"/>
                <w:szCs w:val="26"/>
              </w:rPr>
            </w:pPr>
            <w:proofErr w:type="spellStart"/>
            <w:r>
              <w:rPr>
                <w:rFonts w:ascii="Times New Roman" w:hAnsi="Times New Roman"/>
                <w:sz w:val="26"/>
                <w:szCs w:val="26"/>
              </w:rPr>
              <w:t>Sperian</w:t>
            </w:r>
            <w:proofErr w:type="spellEnd"/>
            <w:r>
              <w:rPr>
                <w:rFonts w:ascii="Times New Roman" w:hAnsi="Times New Roman"/>
                <w:sz w:val="26"/>
                <w:szCs w:val="26"/>
              </w:rPr>
              <w:t xml:space="preserve"> Energy Corporation</w:t>
            </w:r>
          </w:p>
        </w:tc>
      </w:tr>
    </w:tbl>
    <w:p w:rsidR="006B3219" w:rsidRDefault="00E808A9"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 w:val="26"/>
          <w:szCs w:val="26"/>
        </w:rPr>
        <w:tab/>
      </w:r>
      <w:r w:rsidRPr="00E808A9">
        <w:rPr>
          <w:rFonts w:ascii="Times New Roman" w:hAnsi="Times New Roman"/>
          <w:spacing w:val="-3"/>
          <w:szCs w:val="26"/>
        </w:rPr>
        <w:t>*Taking title to electricity</w:t>
      </w:r>
    </w:p>
    <w:p w:rsidR="00E808A9" w:rsidRDefault="00E808A9" w:rsidP="001D6F17">
      <w:pPr>
        <w:tabs>
          <w:tab w:val="left" w:pos="-720"/>
        </w:tabs>
        <w:suppressAutoHyphens/>
        <w:spacing w:line="360" w:lineRule="auto"/>
        <w:rPr>
          <w:rFonts w:ascii="Times New Roman" w:hAnsi="Times New Roman"/>
          <w:spacing w:val="-3"/>
          <w:sz w:val="26"/>
          <w:szCs w:val="26"/>
        </w:rPr>
      </w:pPr>
    </w:p>
    <w:p w:rsidR="006B3219" w:rsidRDefault="006B3219"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sidR="00553BF8">
        <w:rPr>
          <w:rFonts w:ascii="Times New Roman" w:hAnsi="Times New Roman"/>
          <w:spacing w:val="-3"/>
          <w:sz w:val="26"/>
          <w:szCs w:val="26"/>
        </w:rPr>
        <w:t>The EGSs listed in Table 2 – Supplier Cancellation did not file any</w:t>
      </w:r>
      <w:r w:rsidR="001D6F17">
        <w:rPr>
          <w:rFonts w:ascii="Times New Roman" w:hAnsi="Times New Roman"/>
          <w:spacing w:val="-3"/>
          <w:sz w:val="26"/>
          <w:szCs w:val="26"/>
        </w:rPr>
        <w:t xml:space="preserve"> </w:t>
      </w:r>
      <w:r w:rsidR="005C3DEB">
        <w:rPr>
          <w:rFonts w:ascii="Times New Roman" w:hAnsi="Times New Roman"/>
          <w:spacing w:val="-3"/>
          <w:sz w:val="26"/>
          <w:szCs w:val="26"/>
        </w:rPr>
        <w:t xml:space="preserve">adverse public </w:t>
      </w:r>
      <w:r w:rsidR="001D6F17">
        <w:rPr>
          <w:rFonts w:ascii="Times New Roman" w:hAnsi="Times New Roman"/>
          <w:spacing w:val="-3"/>
          <w:sz w:val="26"/>
          <w:szCs w:val="26"/>
        </w:rPr>
        <w:t xml:space="preserve">comments or </w:t>
      </w:r>
      <w:r w:rsidR="00CB6146">
        <w:rPr>
          <w:rFonts w:ascii="Times New Roman" w:hAnsi="Times New Roman"/>
          <w:spacing w:val="-3"/>
          <w:sz w:val="26"/>
          <w:szCs w:val="26"/>
        </w:rPr>
        <w:t>approved security</w:t>
      </w:r>
      <w:r w:rsidR="00553BF8">
        <w:rPr>
          <w:rFonts w:ascii="Times New Roman" w:hAnsi="Times New Roman"/>
          <w:spacing w:val="-3"/>
          <w:sz w:val="26"/>
          <w:szCs w:val="26"/>
        </w:rPr>
        <w:t xml:space="preserve"> within 30 days after publication in the </w:t>
      </w:r>
      <w:r w:rsidR="00553BF8" w:rsidRPr="00553BF8">
        <w:rPr>
          <w:rFonts w:ascii="Times New Roman" w:hAnsi="Times New Roman"/>
          <w:i/>
          <w:spacing w:val="-3"/>
          <w:sz w:val="26"/>
          <w:szCs w:val="26"/>
        </w:rPr>
        <w:t>Pennsylvania Bulletin</w:t>
      </w:r>
      <w:r w:rsidR="00553BF8">
        <w:rPr>
          <w:rFonts w:ascii="Times New Roman" w:hAnsi="Times New Roman"/>
          <w:i/>
          <w:spacing w:val="-3"/>
          <w:sz w:val="26"/>
          <w:szCs w:val="26"/>
        </w:rPr>
        <w:t xml:space="preserve">. </w:t>
      </w:r>
      <w:r w:rsidR="001D6F17">
        <w:rPr>
          <w:rFonts w:ascii="Times New Roman" w:hAnsi="Times New Roman"/>
          <w:spacing w:val="-3"/>
          <w:sz w:val="26"/>
          <w:szCs w:val="26"/>
        </w:rPr>
        <w:t xml:space="preserve"> </w:t>
      </w:r>
    </w:p>
    <w:p w:rsidR="0081623B" w:rsidRDefault="0081623B" w:rsidP="001D6F17">
      <w:pPr>
        <w:tabs>
          <w:tab w:val="left" w:pos="-720"/>
        </w:tabs>
        <w:suppressAutoHyphens/>
        <w:spacing w:line="360" w:lineRule="auto"/>
        <w:rPr>
          <w:rFonts w:ascii="Times New Roman" w:hAnsi="Times New Roman"/>
          <w:spacing w:val="-3"/>
          <w:sz w:val="26"/>
          <w:szCs w:val="26"/>
        </w:rPr>
      </w:pPr>
    </w:p>
    <w:p w:rsidR="006B3219" w:rsidRPr="006B3219" w:rsidRDefault="006B3219" w:rsidP="006B3219">
      <w:pPr>
        <w:rPr>
          <w:rFonts w:ascii="Times New Roman" w:hAnsi="Times New Roman"/>
          <w:b/>
          <w:sz w:val="26"/>
          <w:szCs w:val="26"/>
        </w:rPr>
      </w:pPr>
      <w:r w:rsidRPr="006B3219">
        <w:rPr>
          <w:rFonts w:ascii="Times New Roman" w:hAnsi="Times New Roman"/>
          <w:b/>
          <w:sz w:val="26"/>
          <w:szCs w:val="26"/>
        </w:rPr>
        <w:lastRenderedPageBreak/>
        <w:t xml:space="preserve">Table 2 - Supplier Cancellation </w:t>
      </w:r>
    </w:p>
    <w:p w:rsidR="006B3219" w:rsidRDefault="006B3219" w:rsidP="006B3219">
      <w:pPr>
        <w:rPr>
          <w:rFonts w:ascii="Times New Roman" w:hAnsi="Times New Roman"/>
          <w:sz w:val="26"/>
          <w:szCs w:val="26"/>
        </w:rPr>
      </w:pPr>
    </w:p>
    <w:p w:rsidR="006B3219" w:rsidRDefault="006B3219" w:rsidP="006B3219">
      <w:pPr>
        <w:rPr>
          <w:rFonts w:ascii="Times New Roman" w:hAnsi="Times New Roman"/>
          <w:sz w:val="26"/>
          <w:szCs w:val="26"/>
        </w:rPr>
      </w:pPr>
      <w:r>
        <w:rPr>
          <w:rFonts w:ascii="Times New Roman" w:hAnsi="Times New Roman"/>
          <w:sz w:val="26"/>
          <w:szCs w:val="26"/>
        </w:rPr>
        <w:t>List of EGS companies that have not submitted the required security</w:t>
      </w:r>
    </w:p>
    <w:p w:rsidR="006B3219" w:rsidRDefault="006B3219" w:rsidP="006B3219">
      <w:pPr>
        <w:rPr>
          <w:rFonts w:ascii="Times New Roman" w:hAnsi="Times New Roman"/>
          <w:sz w:val="26"/>
          <w:szCs w:val="26"/>
        </w:rPr>
      </w:pPr>
    </w:p>
    <w:tbl>
      <w:tblPr>
        <w:tblStyle w:val="TableGrid"/>
        <w:tblW w:w="0" w:type="auto"/>
        <w:tblInd w:w="198" w:type="dxa"/>
        <w:tblLook w:val="04A0" w:firstRow="1" w:lastRow="0" w:firstColumn="1" w:lastColumn="0" w:noHBand="0" w:noVBand="1"/>
      </w:tblPr>
      <w:tblGrid>
        <w:gridCol w:w="2790"/>
        <w:gridCol w:w="6120"/>
      </w:tblGrid>
      <w:tr w:rsidR="006B3219" w:rsidRPr="00374BD4" w:rsidTr="008B687B">
        <w:trPr>
          <w:trHeight w:val="287"/>
        </w:trPr>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2010-2217557</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Branded Retail Energy Co LLC</w:t>
            </w:r>
          </w:p>
        </w:tc>
      </w:tr>
      <w:tr w:rsidR="006B3219" w:rsidRPr="00374BD4" w:rsidTr="008B687B">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2010-2176721</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Early Bird Power LLC</w:t>
            </w:r>
          </w:p>
        </w:tc>
      </w:tr>
      <w:tr w:rsidR="006B3219" w:rsidRPr="00374BD4" w:rsidTr="008B687B">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2010-2211398</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The Galt Company</w:t>
            </w:r>
          </w:p>
        </w:tc>
      </w:tr>
      <w:tr w:rsidR="006B3219" w:rsidRPr="00374BD4" w:rsidTr="008B687B">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2012-2322715</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Global Energy Concepts LLC</w:t>
            </w:r>
          </w:p>
        </w:tc>
      </w:tr>
      <w:tr w:rsidR="006B3219" w:rsidRPr="00374BD4" w:rsidTr="008B687B">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2010-2182907</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Kenneth E. Ryan</w:t>
            </w:r>
            <w:r w:rsidR="00672341">
              <w:rPr>
                <w:rFonts w:ascii="Times New Roman" w:hAnsi="Times New Roman"/>
                <w:sz w:val="26"/>
                <w:szCs w:val="26"/>
              </w:rPr>
              <w:t xml:space="preserve"> d/b/a Switch Energy</w:t>
            </w:r>
          </w:p>
        </w:tc>
      </w:tr>
      <w:tr w:rsidR="006B3219" w:rsidRPr="00374BD4" w:rsidTr="008B687B">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2010-2206145</w:t>
            </w:r>
          </w:p>
        </w:tc>
        <w:tc>
          <w:tcPr>
            <w:tcW w:w="6120" w:type="dxa"/>
          </w:tcPr>
          <w:p w:rsidR="006B3219" w:rsidRPr="00EB5742" w:rsidRDefault="008B687B" w:rsidP="008B687B">
            <w:pPr>
              <w:spacing w:line="360" w:lineRule="auto"/>
              <w:jc w:val="center"/>
              <w:rPr>
                <w:rFonts w:ascii="Times New Roman" w:hAnsi="Times New Roman"/>
                <w:sz w:val="26"/>
                <w:szCs w:val="26"/>
              </w:rPr>
            </w:pPr>
            <w:r>
              <w:rPr>
                <w:rFonts w:ascii="Times New Roman" w:hAnsi="Times New Roman"/>
                <w:sz w:val="26"/>
                <w:szCs w:val="26"/>
              </w:rPr>
              <w:t>LD Energy LLC</w:t>
            </w:r>
            <w:r w:rsidR="00672341">
              <w:rPr>
                <w:rFonts w:ascii="Times New Roman" w:hAnsi="Times New Roman"/>
                <w:sz w:val="26"/>
                <w:szCs w:val="26"/>
              </w:rPr>
              <w:t xml:space="preserve"> d/b/a LD Energy</w:t>
            </w:r>
          </w:p>
        </w:tc>
      </w:tr>
      <w:tr w:rsidR="006B3219" w:rsidRPr="00374BD4" w:rsidTr="008B687B">
        <w:tc>
          <w:tcPr>
            <w:tcW w:w="2790" w:type="dxa"/>
          </w:tcPr>
          <w:p w:rsidR="006B3219" w:rsidRPr="00EB5742" w:rsidRDefault="006B3219" w:rsidP="008B687B">
            <w:pPr>
              <w:spacing w:line="360" w:lineRule="auto"/>
              <w:jc w:val="center"/>
              <w:rPr>
                <w:rFonts w:ascii="Times New Roman" w:hAnsi="Times New Roman"/>
                <w:sz w:val="26"/>
                <w:szCs w:val="26"/>
              </w:rPr>
            </w:pPr>
            <w:r w:rsidRPr="00EB5742">
              <w:rPr>
                <w:rFonts w:ascii="Times New Roman" w:hAnsi="Times New Roman"/>
                <w:sz w:val="26"/>
                <w:szCs w:val="26"/>
              </w:rPr>
              <w:t>A-</w:t>
            </w:r>
            <w:r w:rsidR="008B687B">
              <w:rPr>
                <w:rFonts w:ascii="Times New Roman" w:hAnsi="Times New Roman"/>
                <w:sz w:val="26"/>
                <w:szCs w:val="26"/>
              </w:rPr>
              <w:t>2013-2380065</w:t>
            </w:r>
          </w:p>
        </w:tc>
        <w:tc>
          <w:tcPr>
            <w:tcW w:w="6120" w:type="dxa"/>
          </w:tcPr>
          <w:p w:rsidR="006B3219" w:rsidRPr="00EB5742" w:rsidRDefault="00057874" w:rsidP="008B687B">
            <w:pPr>
              <w:spacing w:line="360" w:lineRule="auto"/>
              <w:jc w:val="center"/>
              <w:rPr>
                <w:rFonts w:ascii="Times New Roman" w:hAnsi="Times New Roman"/>
                <w:sz w:val="26"/>
                <w:szCs w:val="26"/>
              </w:rPr>
            </w:pPr>
            <w:r>
              <w:rPr>
                <w:rFonts w:ascii="Times New Roman" w:hAnsi="Times New Roman"/>
                <w:sz w:val="26"/>
                <w:szCs w:val="26"/>
              </w:rPr>
              <w:t>Mark Group, Inc.</w:t>
            </w:r>
          </w:p>
        </w:tc>
      </w:tr>
      <w:tr w:rsidR="006B3219" w:rsidRPr="00374BD4" w:rsidTr="008B687B">
        <w:tc>
          <w:tcPr>
            <w:tcW w:w="2790" w:type="dxa"/>
          </w:tcPr>
          <w:p w:rsidR="006B3219" w:rsidRPr="00EB5742" w:rsidRDefault="006B3219" w:rsidP="00057874">
            <w:pPr>
              <w:spacing w:line="360" w:lineRule="auto"/>
              <w:jc w:val="center"/>
              <w:rPr>
                <w:rFonts w:ascii="Times New Roman" w:hAnsi="Times New Roman"/>
                <w:sz w:val="26"/>
                <w:szCs w:val="26"/>
              </w:rPr>
            </w:pPr>
            <w:r w:rsidRPr="00EB5742">
              <w:rPr>
                <w:rFonts w:ascii="Times New Roman" w:hAnsi="Times New Roman"/>
                <w:sz w:val="26"/>
                <w:szCs w:val="26"/>
              </w:rPr>
              <w:t>A-</w:t>
            </w:r>
            <w:r w:rsidR="00057874">
              <w:rPr>
                <w:rFonts w:ascii="Times New Roman" w:hAnsi="Times New Roman"/>
                <w:sz w:val="26"/>
                <w:szCs w:val="26"/>
              </w:rPr>
              <w:t>2010-2210589</w:t>
            </w:r>
          </w:p>
        </w:tc>
        <w:tc>
          <w:tcPr>
            <w:tcW w:w="6120" w:type="dxa"/>
          </w:tcPr>
          <w:p w:rsidR="006B3219" w:rsidRPr="00EB5742" w:rsidRDefault="00057874" w:rsidP="008B687B">
            <w:pPr>
              <w:spacing w:line="360" w:lineRule="auto"/>
              <w:jc w:val="center"/>
              <w:rPr>
                <w:rFonts w:ascii="Times New Roman" w:hAnsi="Times New Roman"/>
                <w:sz w:val="26"/>
                <w:szCs w:val="26"/>
              </w:rPr>
            </w:pPr>
            <w:proofErr w:type="spellStart"/>
            <w:r>
              <w:rPr>
                <w:rFonts w:ascii="Times New Roman" w:hAnsi="Times New Roman"/>
                <w:sz w:val="26"/>
                <w:szCs w:val="26"/>
              </w:rPr>
              <w:t>Suncom</w:t>
            </w:r>
            <w:proofErr w:type="spellEnd"/>
            <w:r w:rsidR="00A17FF6">
              <w:rPr>
                <w:rFonts w:ascii="Times New Roman" w:hAnsi="Times New Roman"/>
                <w:sz w:val="26"/>
                <w:szCs w:val="26"/>
              </w:rPr>
              <w:t xml:space="preserve"> Energy</w:t>
            </w:r>
            <w:r>
              <w:rPr>
                <w:rFonts w:ascii="Times New Roman" w:hAnsi="Times New Roman"/>
                <w:sz w:val="26"/>
                <w:szCs w:val="26"/>
              </w:rPr>
              <w:t>, Inc.</w:t>
            </w:r>
          </w:p>
        </w:tc>
      </w:tr>
      <w:tr w:rsidR="006B3219" w:rsidRPr="00374BD4" w:rsidTr="008B687B">
        <w:tc>
          <w:tcPr>
            <w:tcW w:w="2790" w:type="dxa"/>
          </w:tcPr>
          <w:p w:rsidR="006B3219" w:rsidRPr="00EB5742" w:rsidRDefault="006B3219" w:rsidP="00057874">
            <w:pPr>
              <w:spacing w:line="360" w:lineRule="auto"/>
              <w:jc w:val="center"/>
              <w:rPr>
                <w:rFonts w:ascii="Times New Roman" w:hAnsi="Times New Roman"/>
                <w:sz w:val="26"/>
                <w:szCs w:val="26"/>
              </w:rPr>
            </w:pPr>
            <w:r w:rsidRPr="00EB5742">
              <w:rPr>
                <w:rFonts w:ascii="Times New Roman" w:hAnsi="Times New Roman"/>
                <w:sz w:val="26"/>
                <w:szCs w:val="26"/>
              </w:rPr>
              <w:t>A-</w:t>
            </w:r>
            <w:r w:rsidR="00057874">
              <w:rPr>
                <w:rFonts w:ascii="Times New Roman" w:hAnsi="Times New Roman"/>
                <w:sz w:val="26"/>
                <w:szCs w:val="26"/>
              </w:rPr>
              <w:t>2013-2380072</w:t>
            </w:r>
          </w:p>
        </w:tc>
        <w:tc>
          <w:tcPr>
            <w:tcW w:w="6120" w:type="dxa"/>
          </w:tcPr>
          <w:p w:rsidR="006B3219" w:rsidRPr="00EB5742" w:rsidRDefault="00057874" w:rsidP="008B687B">
            <w:pPr>
              <w:spacing w:line="360" w:lineRule="auto"/>
              <w:jc w:val="center"/>
              <w:rPr>
                <w:rFonts w:ascii="Times New Roman" w:hAnsi="Times New Roman"/>
                <w:sz w:val="26"/>
                <w:szCs w:val="26"/>
              </w:rPr>
            </w:pPr>
            <w:r>
              <w:rPr>
                <w:rFonts w:ascii="Times New Roman" w:hAnsi="Times New Roman"/>
                <w:sz w:val="26"/>
                <w:szCs w:val="26"/>
              </w:rPr>
              <w:t>Transparent Electric, Inc.</w:t>
            </w:r>
          </w:p>
        </w:tc>
      </w:tr>
      <w:tr w:rsidR="006B3219" w:rsidRPr="00374BD4" w:rsidTr="008B687B">
        <w:tc>
          <w:tcPr>
            <w:tcW w:w="2790" w:type="dxa"/>
          </w:tcPr>
          <w:p w:rsidR="006B3219" w:rsidRPr="00EB5742" w:rsidRDefault="006B3219" w:rsidP="00057874">
            <w:pPr>
              <w:spacing w:line="360" w:lineRule="auto"/>
              <w:jc w:val="center"/>
              <w:rPr>
                <w:rFonts w:ascii="Times New Roman" w:hAnsi="Times New Roman"/>
                <w:sz w:val="26"/>
                <w:szCs w:val="26"/>
              </w:rPr>
            </w:pPr>
            <w:r w:rsidRPr="00EB5742">
              <w:rPr>
                <w:rFonts w:ascii="Times New Roman" w:hAnsi="Times New Roman"/>
                <w:sz w:val="26"/>
                <w:szCs w:val="26"/>
              </w:rPr>
              <w:t>A-</w:t>
            </w:r>
            <w:r w:rsidR="00057874">
              <w:rPr>
                <w:rFonts w:ascii="Times New Roman" w:hAnsi="Times New Roman"/>
                <w:sz w:val="26"/>
                <w:szCs w:val="26"/>
              </w:rPr>
              <w:t>2011-2242007</w:t>
            </w:r>
          </w:p>
        </w:tc>
        <w:tc>
          <w:tcPr>
            <w:tcW w:w="6120" w:type="dxa"/>
          </w:tcPr>
          <w:p w:rsidR="006B3219" w:rsidRPr="00EB5742" w:rsidRDefault="00057874" w:rsidP="008B687B">
            <w:pPr>
              <w:spacing w:line="360" w:lineRule="auto"/>
              <w:jc w:val="center"/>
              <w:rPr>
                <w:rFonts w:ascii="Times New Roman" w:hAnsi="Times New Roman"/>
                <w:sz w:val="26"/>
                <w:szCs w:val="26"/>
              </w:rPr>
            </w:pPr>
            <w:r>
              <w:rPr>
                <w:rFonts w:ascii="Times New Roman" w:hAnsi="Times New Roman"/>
                <w:sz w:val="26"/>
                <w:szCs w:val="26"/>
              </w:rPr>
              <w:t>Utilities Analyses, Inc.</w:t>
            </w:r>
          </w:p>
        </w:tc>
      </w:tr>
    </w:tbl>
    <w:p w:rsidR="006B3219" w:rsidRPr="007C6AE3" w:rsidRDefault="006B3219" w:rsidP="006B3219">
      <w:pPr>
        <w:rPr>
          <w:rFonts w:ascii="Times New Roman" w:hAnsi="Times New Roman"/>
          <w:sz w:val="26"/>
          <w:szCs w:val="26"/>
        </w:rPr>
      </w:pPr>
    </w:p>
    <w:p w:rsidR="00374BD4" w:rsidRDefault="006B3219"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sidR="00240A5A">
        <w:rPr>
          <w:rFonts w:ascii="Times New Roman" w:hAnsi="Times New Roman"/>
          <w:spacing w:val="-3"/>
          <w:sz w:val="26"/>
          <w:szCs w:val="26"/>
        </w:rPr>
        <w:t>The Tentative</w:t>
      </w:r>
      <w:r w:rsidR="001D6F17">
        <w:rPr>
          <w:rFonts w:ascii="Times New Roman" w:hAnsi="Times New Roman"/>
          <w:spacing w:val="-3"/>
          <w:sz w:val="26"/>
          <w:szCs w:val="26"/>
        </w:rPr>
        <w:t xml:space="preserve"> Order has become FINAL by operation of law.  </w:t>
      </w:r>
      <w:r w:rsidR="00374BD4">
        <w:rPr>
          <w:rFonts w:ascii="Times New Roman" w:hAnsi="Times New Roman"/>
          <w:spacing w:val="-3"/>
          <w:sz w:val="26"/>
          <w:szCs w:val="26"/>
        </w:rPr>
        <w:t>The Electric Generation Service Licenses</w:t>
      </w:r>
      <w:r w:rsidR="001D6F17">
        <w:rPr>
          <w:rFonts w:ascii="Times New Roman" w:hAnsi="Times New Roman"/>
          <w:spacing w:val="-3"/>
          <w:sz w:val="26"/>
          <w:szCs w:val="26"/>
        </w:rPr>
        <w:t xml:space="preserve"> held by </w:t>
      </w:r>
      <w:r w:rsidR="00374BD4">
        <w:rPr>
          <w:rFonts w:ascii="Times New Roman" w:hAnsi="Times New Roman"/>
          <w:spacing w:val="-3"/>
          <w:sz w:val="26"/>
          <w:szCs w:val="26"/>
        </w:rPr>
        <w:t xml:space="preserve">each company listed in the </w:t>
      </w:r>
      <w:r w:rsidR="00553BF8">
        <w:rPr>
          <w:rFonts w:ascii="Times New Roman" w:hAnsi="Times New Roman"/>
          <w:spacing w:val="-3"/>
          <w:sz w:val="26"/>
          <w:szCs w:val="26"/>
        </w:rPr>
        <w:t xml:space="preserve">Table 2 - </w:t>
      </w:r>
      <w:r w:rsidR="001462CE">
        <w:rPr>
          <w:rFonts w:ascii="Times New Roman" w:hAnsi="Times New Roman"/>
          <w:spacing w:val="-3"/>
          <w:sz w:val="26"/>
          <w:szCs w:val="26"/>
        </w:rPr>
        <w:t xml:space="preserve">Supplier </w:t>
      </w:r>
      <w:r w:rsidR="00E30ED1">
        <w:rPr>
          <w:rFonts w:ascii="Times New Roman" w:hAnsi="Times New Roman"/>
          <w:spacing w:val="-3"/>
          <w:sz w:val="26"/>
          <w:szCs w:val="26"/>
        </w:rPr>
        <w:t xml:space="preserve">Cancellation </w:t>
      </w:r>
      <w:r w:rsidR="00062EEB">
        <w:rPr>
          <w:rFonts w:ascii="Times New Roman" w:hAnsi="Times New Roman"/>
          <w:spacing w:val="-3"/>
          <w:sz w:val="26"/>
          <w:szCs w:val="26"/>
        </w:rPr>
        <w:t>are</w:t>
      </w:r>
      <w:r w:rsidR="00374BD4">
        <w:rPr>
          <w:rFonts w:ascii="Times New Roman" w:hAnsi="Times New Roman"/>
          <w:spacing w:val="-3"/>
          <w:sz w:val="26"/>
          <w:szCs w:val="26"/>
        </w:rPr>
        <w:t xml:space="preserve"> cancelled</w:t>
      </w:r>
      <w:r w:rsidR="001D6F17">
        <w:rPr>
          <w:rFonts w:ascii="Times New Roman" w:hAnsi="Times New Roman"/>
          <w:spacing w:val="-3"/>
          <w:sz w:val="26"/>
          <w:szCs w:val="26"/>
        </w:rPr>
        <w:t xml:space="preserve">, and </w:t>
      </w:r>
      <w:r w:rsidR="00374BD4">
        <w:rPr>
          <w:rFonts w:ascii="Times New Roman" w:hAnsi="Times New Roman"/>
          <w:spacing w:val="-3"/>
          <w:sz w:val="26"/>
          <w:szCs w:val="26"/>
        </w:rPr>
        <w:t xml:space="preserve">be </w:t>
      </w:r>
      <w:r w:rsidR="005D1243">
        <w:rPr>
          <w:rFonts w:ascii="Times New Roman" w:hAnsi="Times New Roman"/>
          <w:spacing w:val="-3"/>
          <w:sz w:val="26"/>
          <w:szCs w:val="26"/>
        </w:rPr>
        <w:t xml:space="preserve">shall </w:t>
      </w:r>
      <w:r w:rsidR="00374BD4">
        <w:rPr>
          <w:rFonts w:ascii="Times New Roman" w:hAnsi="Times New Roman"/>
          <w:spacing w:val="-3"/>
          <w:sz w:val="26"/>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Pr>
          <w:rFonts w:ascii="Times New Roman" w:hAnsi="Times New Roman"/>
          <w:spacing w:val="-3"/>
          <w:sz w:val="26"/>
          <w:szCs w:val="26"/>
        </w:rPr>
        <w:t xml:space="preserve">.          </w:t>
      </w:r>
    </w:p>
    <w:p w:rsidR="00553BF8" w:rsidRDefault="00553BF8" w:rsidP="001D6F17">
      <w:pPr>
        <w:tabs>
          <w:tab w:val="left" w:pos="-720"/>
        </w:tabs>
        <w:suppressAutoHyphens/>
        <w:spacing w:line="360" w:lineRule="auto"/>
        <w:rPr>
          <w:rFonts w:ascii="Times New Roman" w:hAnsi="Times New Roman"/>
          <w:spacing w:val="-3"/>
          <w:sz w:val="26"/>
          <w:szCs w:val="26"/>
        </w:rPr>
      </w:pPr>
    </w:p>
    <w:p w:rsidR="001D6F17" w:rsidRDefault="00324AA6" w:rsidP="005C3DEB">
      <w:pPr>
        <w:tabs>
          <w:tab w:val="left" w:pos="-720"/>
        </w:tabs>
        <w:suppressAutoHyphens/>
        <w:spacing w:line="360" w:lineRule="auto"/>
        <w:rPr>
          <w:rFonts w:ascii="Times New Roman" w:hAnsi="Times New Roman"/>
          <w:spacing w:val="-3"/>
          <w:sz w:val="26"/>
          <w:szCs w:val="26"/>
        </w:rPr>
      </w:pPr>
      <w:r>
        <w:rPr>
          <w:noProof/>
        </w:rPr>
        <w:drawing>
          <wp:anchor distT="0" distB="0" distL="114300" distR="114300" simplePos="0" relativeHeight="251659264" behindDoc="1" locked="0" layoutInCell="1" allowOverlap="1" wp14:anchorId="135CA80D" wp14:editId="64A7BB16">
            <wp:simplePos x="0" y="0"/>
            <wp:positionH relativeFrom="column">
              <wp:posOffset>3181350</wp:posOffset>
            </wp:positionH>
            <wp:positionV relativeFrom="paragraph">
              <wp:posOffset>36830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Pr>
          <w:rFonts w:ascii="Times New Roman" w:hAnsi="Times New Roman"/>
          <w:spacing w:val="-3"/>
          <w:sz w:val="26"/>
          <w:szCs w:val="26"/>
        </w:rPr>
        <w:t xml:space="preserve">     </w:t>
      </w:r>
      <w:r w:rsidR="001D6F17">
        <w:rPr>
          <w:rFonts w:ascii="Times New Roman" w:hAnsi="Times New Roman"/>
          <w:spacing w:val="-3"/>
          <w:sz w:val="26"/>
          <w:szCs w:val="26"/>
        </w:rPr>
        <w:tab/>
      </w:r>
      <w:r w:rsidR="001D6F17">
        <w:rPr>
          <w:rFonts w:ascii="Times New Roman" w:hAnsi="Times New Roman"/>
          <w:spacing w:val="-3"/>
          <w:sz w:val="26"/>
          <w:szCs w:val="26"/>
        </w:rPr>
        <w:tab/>
      </w:r>
      <w:r w:rsidR="001D6F17">
        <w:rPr>
          <w:rFonts w:ascii="Times New Roman" w:hAnsi="Times New Roman"/>
          <w:spacing w:val="-3"/>
          <w:sz w:val="26"/>
          <w:szCs w:val="26"/>
        </w:rPr>
        <w:tab/>
      </w:r>
      <w:r w:rsidR="001D6F17">
        <w:rPr>
          <w:rFonts w:ascii="Times New Roman" w:hAnsi="Times New Roman"/>
          <w:spacing w:val="-3"/>
          <w:sz w:val="26"/>
          <w:szCs w:val="26"/>
        </w:rPr>
        <w:tab/>
      </w:r>
      <w:r w:rsidR="001D6F17">
        <w:rPr>
          <w:rFonts w:ascii="Times New Roman" w:hAnsi="Times New Roman"/>
          <w:spacing w:val="-3"/>
          <w:sz w:val="26"/>
          <w:szCs w:val="26"/>
        </w:rPr>
        <w:tab/>
      </w:r>
      <w:bookmarkStart w:id="0" w:name="_GoBack"/>
      <w:bookmarkEnd w:id="0"/>
      <w:r w:rsidR="001D6F17">
        <w:rPr>
          <w:rFonts w:ascii="Times New Roman" w:hAnsi="Times New Roman"/>
          <w:spacing w:val="-3"/>
          <w:sz w:val="26"/>
          <w:szCs w:val="26"/>
        </w:rPr>
        <w:tab/>
      </w:r>
      <w:r w:rsidR="001D6F17">
        <w:rPr>
          <w:rFonts w:ascii="Times New Roman" w:hAnsi="Times New Roman"/>
          <w:spacing w:val="-3"/>
          <w:sz w:val="26"/>
          <w:szCs w:val="26"/>
        </w:rPr>
        <w:tab/>
        <w:t>BY THE COMMISSION,</w:t>
      </w: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t>Rosemary Chiavetta</w:t>
      </w:r>
    </w:p>
    <w:p w:rsidR="001D6F17" w:rsidRDefault="001D6F17" w:rsidP="001D6F17">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t>Secretary</w:t>
      </w:r>
    </w:p>
    <w:p w:rsidR="00553BF8" w:rsidRDefault="00553BF8" w:rsidP="001D6F17">
      <w:pPr>
        <w:tabs>
          <w:tab w:val="left" w:pos="-720"/>
        </w:tabs>
        <w:suppressAutoHyphens/>
        <w:jc w:val="both"/>
        <w:rPr>
          <w:rFonts w:ascii="Times New Roman" w:hAnsi="Times New Roman"/>
          <w:spacing w:val="-3"/>
          <w:sz w:val="26"/>
          <w:szCs w:val="26"/>
        </w:rPr>
      </w:pPr>
    </w:p>
    <w:p w:rsidR="00553BF8" w:rsidRDefault="00553BF8" w:rsidP="001D6F17">
      <w:pPr>
        <w:tabs>
          <w:tab w:val="left" w:pos="-720"/>
        </w:tabs>
        <w:suppressAutoHyphens/>
        <w:jc w:val="both"/>
        <w:rPr>
          <w:rFonts w:ascii="Times New Roman" w:hAnsi="Times New Roman"/>
          <w:spacing w:val="-3"/>
          <w:sz w:val="26"/>
          <w:szCs w:val="26"/>
        </w:rPr>
      </w:pPr>
    </w:p>
    <w:p w:rsidR="001D6F17" w:rsidRPr="00794F4A" w:rsidRDefault="001D6F17" w:rsidP="001D6F17">
      <w:pPr>
        <w:tabs>
          <w:tab w:val="left" w:pos="-720"/>
        </w:tabs>
        <w:suppressAutoHyphens/>
        <w:jc w:val="both"/>
        <w:rPr>
          <w:rFonts w:ascii="Times New Roman" w:hAnsi="Times New Roman"/>
          <w:b/>
          <w:spacing w:val="-3"/>
          <w:sz w:val="26"/>
          <w:szCs w:val="26"/>
          <w:u w:val="single"/>
        </w:rPr>
      </w:pPr>
      <w:r>
        <w:rPr>
          <w:rFonts w:ascii="Times New Roman" w:hAnsi="Times New Roman"/>
          <w:spacing w:val="-3"/>
          <w:sz w:val="26"/>
          <w:szCs w:val="26"/>
        </w:rPr>
        <w:t xml:space="preserve">ORDER ENTERED: </w:t>
      </w:r>
      <w:r w:rsidR="00324AA6">
        <w:rPr>
          <w:rFonts w:ascii="Times New Roman" w:hAnsi="Times New Roman"/>
          <w:spacing w:val="-3"/>
          <w:sz w:val="26"/>
          <w:szCs w:val="26"/>
        </w:rPr>
        <w:t>December 22, 2015</w:t>
      </w:r>
    </w:p>
    <w:p w:rsidR="00553BF8" w:rsidRDefault="00553BF8" w:rsidP="001462CE">
      <w:pPr>
        <w:rPr>
          <w:rFonts w:ascii="Times New Roman" w:hAnsi="Times New Roman"/>
          <w:sz w:val="26"/>
          <w:szCs w:val="26"/>
        </w:rPr>
      </w:pPr>
    </w:p>
    <w:p w:rsidR="00CB6146" w:rsidRDefault="00CB6146" w:rsidP="001462CE">
      <w:pPr>
        <w:rPr>
          <w:rFonts w:ascii="Times New Roman" w:hAnsi="Times New Roman"/>
          <w:sz w:val="26"/>
          <w:szCs w:val="26"/>
        </w:rPr>
      </w:pPr>
    </w:p>
    <w:sectPr w:rsidR="00CB6146"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306FE"/>
    <w:rsid w:val="00057874"/>
    <w:rsid w:val="00062EEB"/>
    <w:rsid w:val="001462CE"/>
    <w:rsid w:val="001D6F17"/>
    <w:rsid w:val="00240A5A"/>
    <w:rsid w:val="002D05A6"/>
    <w:rsid w:val="00324AA6"/>
    <w:rsid w:val="00336313"/>
    <w:rsid w:val="003556A5"/>
    <w:rsid w:val="00374BD4"/>
    <w:rsid w:val="00464AC0"/>
    <w:rsid w:val="00530DB9"/>
    <w:rsid w:val="00541C82"/>
    <w:rsid w:val="00553BF8"/>
    <w:rsid w:val="005C3DEB"/>
    <w:rsid w:val="005D1243"/>
    <w:rsid w:val="005E1FB8"/>
    <w:rsid w:val="00672341"/>
    <w:rsid w:val="006748D1"/>
    <w:rsid w:val="006B3219"/>
    <w:rsid w:val="006C6EA6"/>
    <w:rsid w:val="006E1877"/>
    <w:rsid w:val="00741FD8"/>
    <w:rsid w:val="007C6AE3"/>
    <w:rsid w:val="0081623B"/>
    <w:rsid w:val="008B687B"/>
    <w:rsid w:val="00962EAA"/>
    <w:rsid w:val="009A78BC"/>
    <w:rsid w:val="00A17FF6"/>
    <w:rsid w:val="00A25BCD"/>
    <w:rsid w:val="00A4333A"/>
    <w:rsid w:val="00AB7175"/>
    <w:rsid w:val="00BC33EE"/>
    <w:rsid w:val="00C76C63"/>
    <w:rsid w:val="00CB6146"/>
    <w:rsid w:val="00DA62D7"/>
    <w:rsid w:val="00DB064C"/>
    <w:rsid w:val="00DC72DA"/>
    <w:rsid w:val="00DE6176"/>
    <w:rsid w:val="00E30ED1"/>
    <w:rsid w:val="00E606F6"/>
    <w:rsid w:val="00E808A9"/>
    <w:rsid w:val="00E97DAB"/>
    <w:rsid w:val="00EB5650"/>
    <w:rsid w:val="00EB5742"/>
    <w:rsid w:val="00EE5C03"/>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11</cp:revision>
  <cp:lastPrinted>2015-12-22T18:39:00Z</cp:lastPrinted>
  <dcterms:created xsi:type="dcterms:W3CDTF">2015-12-03T15:32:00Z</dcterms:created>
  <dcterms:modified xsi:type="dcterms:W3CDTF">2015-12-22T18:56:00Z</dcterms:modified>
</cp:coreProperties>
</file>