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8466E2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8466E2">
              <w:rPr>
                <w:sz w:val="26"/>
                <w:szCs w:val="26"/>
              </w:rPr>
              <w:t>March 17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Pamela A. Witmer</w:t>
            </w:r>
          </w:p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390527">
        <w:rPr>
          <w:snapToGrid w:val="0"/>
          <w:color w:val="000000" w:themeColor="text1"/>
          <w:sz w:val="26"/>
          <w:szCs w:val="26"/>
        </w:rPr>
        <w:t xml:space="preserve">, PA 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on the original financial instrument must match exactly with the name that appears on the EGS’s license issued by the Commission.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8466E2">
        <w:rPr>
          <w:sz w:val="26"/>
          <w:szCs w:val="26"/>
        </w:rPr>
        <w:t>March 8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0660C9" w:rsidRDefault="000660C9" w:rsidP="00390527">
      <w:pPr>
        <w:spacing w:line="360" w:lineRule="auto"/>
        <w:ind w:firstLine="1440"/>
        <w:rPr>
          <w:sz w:val="26"/>
          <w:szCs w:val="26"/>
        </w:rPr>
      </w:pP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2610"/>
        <w:gridCol w:w="5580"/>
        <w:gridCol w:w="1170"/>
      </w:tblGrid>
      <w:tr w:rsidR="00217AD0" w:rsidTr="00C50266">
        <w:trPr>
          <w:trHeight w:val="287"/>
          <w:jc w:val="center"/>
        </w:trPr>
        <w:tc>
          <w:tcPr>
            <w:tcW w:w="261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5580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170" w:type="dxa"/>
          </w:tcPr>
          <w:p w:rsidR="00217AD0" w:rsidRPr="00C3486E" w:rsidRDefault="00217AD0" w:rsidP="00BF58A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 Date</w:t>
            </w:r>
          </w:p>
        </w:tc>
      </w:tr>
      <w:tr w:rsidR="00B36859" w:rsidTr="00C50266">
        <w:trPr>
          <w:jc w:val="center"/>
        </w:trPr>
        <w:tc>
          <w:tcPr>
            <w:tcW w:w="2610" w:type="dxa"/>
          </w:tcPr>
          <w:p w:rsidR="00B36859" w:rsidRPr="007278ED" w:rsidRDefault="007278ED" w:rsidP="007278E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78ED">
              <w:rPr>
                <w:sz w:val="26"/>
                <w:szCs w:val="26"/>
              </w:rPr>
              <w:t>A-2012-2311652</w:t>
            </w:r>
          </w:p>
        </w:tc>
        <w:tc>
          <w:tcPr>
            <w:tcW w:w="5580" w:type="dxa"/>
          </w:tcPr>
          <w:p w:rsidR="00B36859" w:rsidRPr="007278ED" w:rsidRDefault="007278ED" w:rsidP="007278E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78ED">
              <w:rPr>
                <w:sz w:val="26"/>
                <w:szCs w:val="26"/>
              </w:rPr>
              <w:t>Alternative ESCO LLC</w:t>
            </w:r>
          </w:p>
        </w:tc>
        <w:tc>
          <w:tcPr>
            <w:tcW w:w="1170" w:type="dxa"/>
          </w:tcPr>
          <w:p w:rsidR="00B36859" w:rsidRPr="007278ED" w:rsidRDefault="007278ED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278ED">
              <w:rPr>
                <w:color w:val="000000" w:themeColor="text1"/>
                <w:sz w:val="26"/>
                <w:szCs w:val="26"/>
              </w:rPr>
              <w:t>2/15</w:t>
            </w:r>
            <w:r w:rsidR="00253D6D" w:rsidRPr="007278ED">
              <w:rPr>
                <w:color w:val="000000" w:themeColor="text1"/>
                <w:sz w:val="26"/>
                <w:szCs w:val="26"/>
              </w:rPr>
              <w:t>/16</w:t>
            </w:r>
          </w:p>
        </w:tc>
      </w:tr>
      <w:tr w:rsidR="00B63AF9" w:rsidTr="00C50266">
        <w:trPr>
          <w:jc w:val="center"/>
        </w:trPr>
        <w:tc>
          <w:tcPr>
            <w:tcW w:w="2610" w:type="dxa"/>
          </w:tcPr>
          <w:p w:rsidR="00B63AF9" w:rsidRPr="00DA49CF" w:rsidRDefault="00B63AF9" w:rsidP="00DA49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49CF">
              <w:rPr>
                <w:sz w:val="26"/>
                <w:szCs w:val="26"/>
              </w:rPr>
              <w:t>A-</w:t>
            </w:r>
            <w:r w:rsidR="00DA49CF" w:rsidRPr="00DA49CF">
              <w:rPr>
                <w:sz w:val="26"/>
                <w:szCs w:val="26"/>
              </w:rPr>
              <w:t>2012-2303684</w:t>
            </w:r>
          </w:p>
        </w:tc>
        <w:tc>
          <w:tcPr>
            <w:tcW w:w="5580" w:type="dxa"/>
          </w:tcPr>
          <w:p w:rsidR="00B63AF9" w:rsidRPr="00DA49CF" w:rsidRDefault="00DA49C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49CF">
              <w:rPr>
                <w:sz w:val="26"/>
                <w:szCs w:val="26"/>
              </w:rPr>
              <w:t>Concord Engineering Group, Inc.</w:t>
            </w:r>
          </w:p>
        </w:tc>
        <w:tc>
          <w:tcPr>
            <w:tcW w:w="1170" w:type="dxa"/>
          </w:tcPr>
          <w:p w:rsidR="00B63AF9" w:rsidRPr="00DA49CF" w:rsidRDefault="00DA49C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49CF">
              <w:rPr>
                <w:sz w:val="26"/>
                <w:szCs w:val="26"/>
              </w:rPr>
              <w:t>2/16/16</w:t>
            </w:r>
          </w:p>
        </w:tc>
      </w:tr>
      <w:tr w:rsidR="00B7159E" w:rsidTr="00C50266">
        <w:trPr>
          <w:jc w:val="center"/>
        </w:trPr>
        <w:tc>
          <w:tcPr>
            <w:tcW w:w="2610" w:type="dxa"/>
          </w:tcPr>
          <w:p w:rsidR="00B7159E" w:rsidRPr="00DA49CF" w:rsidRDefault="00B7159E" w:rsidP="00DA49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49CF">
              <w:rPr>
                <w:sz w:val="26"/>
                <w:szCs w:val="26"/>
              </w:rPr>
              <w:t>A-</w:t>
            </w:r>
            <w:r w:rsidR="00DA49CF" w:rsidRPr="00DA49CF">
              <w:rPr>
                <w:sz w:val="26"/>
                <w:szCs w:val="26"/>
              </w:rPr>
              <w:t>2009-2121492</w:t>
            </w:r>
          </w:p>
        </w:tc>
        <w:tc>
          <w:tcPr>
            <w:tcW w:w="5580" w:type="dxa"/>
          </w:tcPr>
          <w:p w:rsidR="00B7159E" w:rsidRPr="00DA49CF" w:rsidRDefault="00DA49C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49CF">
              <w:rPr>
                <w:sz w:val="26"/>
                <w:szCs w:val="26"/>
              </w:rPr>
              <w:t>Employers’ Energy Alliance of Pennsylvania, Inc.</w:t>
            </w:r>
          </w:p>
        </w:tc>
        <w:tc>
          <w:tcPr>
            <w:tcW w:w="1170" w:type="dxa"/>
          </w:tcPr>
          <w:p w:rsidR="00B7159E" w:rsidRPr="00DA49CF" w:rsidRDefault="00DA49C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49CF">
              <w:rPr>
                <w:sz w:val="26"/>
                <w:szCs w:val="26"/>
              </w:rPr>
              <w:t>2/24/16</w:t>
            </w:r>
          </w:p>
        </w:tc>
      </w:tr>
      <w:tr w:rsidR="00B63AF9" w:rsidTr="00C50266">
        <w:trPr>
          <w:jc w:val="center"/>
        </w:trPr>
        <w:tc>
          <w:tcPr>
            <w:tcW w:w="2610" w:type="dxa"/>
          </w:tcPr>
          <w:p w:rsidR="00B63AF9" w:rsidRPr="00DA49CF" w:rsidRDefault="004E69C8" w:rsidP="00DA49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49CF">
              <w:rPr>
                <w:sz w:val="26"/>
                <w:szCs w:val="26"/>
              </w:rPr>
              <w:t>A-</w:t>
            </w:r>
            <w:r w:rsidR="00DA49CF" w:rsidRPr="00DA49CF">
              <w:rPr>
                <w:sz w:val="26"/>
                <w:szCs w:val="26"/>
              </w:rPr>
              <w:t>2015-2475323</w:t>
            </w:r>
            <w:r w:rsidR="000A70B6">
              <w:rPr>
                <w:sz w:val="26"/>
                <w:szCs w:val="26"/>
              </w:rPr>
              <w:t>*</w:t>
            </w:r>
          </w:p>
        </w:tc>
        <w:tc>
          <w:tcPr>
            <w:tcW w:w="5580" w:type="dxa"/>
          </w:tcPr>
          <w:p w:rsidR="00B63AF9" w:rsidRPr="00DA49CF" w:rsidRDefault="00DA49C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49CF">
              <w:rPr>
                <w:sz w:val="26"/>
                <w:szCs w:val="26"/>
              </w:rPr>
              <w:t>Ioway Energy LLC</w:t>
            </w:r>
          </w:p>
        </w:tc>
        <w:tc>
          <w:tcPr>
            <w:tcW w:w="1170" w:type="dxa"/>
          </w:tcPr>
          <w:p w:rsidR="00B63AF9" w:rsidRPr="00DA49CF" w:rsidRDefault="00DA49C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A49CF">
              <w:rPr>
                <w:sz w:val="26"/>
                <w:szCs w:val="26"/>
              </w:rPr>
              <w:t>2/25/16</w:t>
            </w:r>
          </w:p>
        </w:tc>
      </w:tr>
      <w:tr w:rsidR="00B63AF9" w:rsidTr="00C50266">
        <w:trPr>
          <w:jc w:val="center"/>
        </w:trPr>
        <w:tc>
          <w:tcPr>
            <w:tcW w:w="2610" w:type="dxa"/>
          </w:tcPr>
          <w:p w:rsidR="00B63AF9" w:rsidRPr="00885EAA" w:rsidRDefault="004E69C8" w:rsidP="00885EA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85EAA">
              <w:rPr>
                <w:sz w:val="26"/>
                <w:szCs w:val="26"/>
              </w:rPr>
              <w:t>A-</w:t>
            </w:r>
            <w:r w:rsidR="00885EAA" w:rsidRPr="00885EAA">
              <w:rPr>
                <w:sz w:val="26"/>
                <w:szCs w:val="26"/>
              </w:rPr>
              <w:t>2013-2353775</w:t>
            </w:r>
            <w:r w:rsidR="000A70B6">
              <w:rPr>
                <w:sz w:val="26"/>
                <w:szCs w:val="26"/>
              </w:rPr>
              <w:t>*</w:t>
            </w:r>
          </w:p>
        </w:tc>
        <w:tc>
          <w:tcPr>
            <w:tcW w:w="5580" w:type="dxa"/>
          </w:tcPr>
          <w:p w:rsidR="00B63AF9" w:rsidRPr="00885EAA" w:rsidRDefault="00885EAA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85EAA">
              <w:rPr>
                <w:sz w:val="26"/>
                <w:szCs w:val="26"/>
              </w:rPr>
              <w:t>Land O’Lakes, Inc.</w:t>
            </w:r>
          </w:p>
        </w:tc>
        <w:tc>
          <w:tcPr>
            <w:tcW w:w="1170" w:type="dxa"/>
          </w:tcPr>
          <w:p w:rsidR="00B63AF9" w:rsidRPr="00885EAA" w:rsidRDefault="00885EAA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85EAA">
              <w:rPr>
                <w:sz w:val="26"/>
                <w:szCs w:val="26"/>
              </w:rPr>
              <w:t>3/8/16</w:t>
            </w:r>
          </w:p>
        </w:tc>
      </w:tr>
      <w:tr w:rsidR="00B7159E" w:rsidTr="00C50266">
        <w:trPr>
          <w:jc w:val="center"/>
        </w:trPr>
        <w:tc>
          <w:tcPr>
            <w:tcW w:w="2610" w:type="dxa"/>
          </w:tcPr>
          <w:p w:rsidR="00B7159E" w:rsidRPr="000A70B6" w:rsidRDefault="00B7159E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70B6">
              <w:rPr>
                <w:sz w:val="26"/>
                <w:szCs w:val="26"/>
              </w:rPr>
              <w:t>A-</w:t>
            </w:r>
            <w:r w:rsidR="000A70B6" w:rsidRPr="000A70B6">
              <w:rPr>
                <w:sz w:val="26"/>
                <w:szCs w:val="26"/>
              </w:rPr>
              <w:t>2015-2478649</w:t>
            </w:r>
          </w:p>
        </w:tc>
        <w:tc>
          <w:tcPr>
            <w:tcW w:w="5580" w:type="dxa"/>
          </w:tcPr>
          <w:p w:rsidR="00B7159E" w:rsidRPr="000A70B6" w:rsidRDefault="00CE79F2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70B6">
              <w:rPr>
                <w:sz w:val="26"/>
                <w:szCs w:val="26"/>
              </w:rPr>
              <w:t>Open Market Energy</w:t>
            </w:r>
            <w:r w:rsidR="000A70B6" w:rsidRPr="000A70B6"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170" w:type="dxa"/>
          </w:tcPr>
          <w:p w:rsidR="00B7159E" w:rsidRPr="000A70B6" w:rsidRDefault="000A70B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70B6">
              <w:rPr>
                <w:sz w:val="26"/>
                <w:szCs w:val="26"/>
              </w:rPr>
              <w:t>2/22/16</w:t>
            </w:r>
          </w:p>
        </w:tc>
      </w:tr>
      <w:tr w:rsidR="00D93E73" w:rsidTr="00C50266">
        <w:trPr>
          <w:jc w:val="center"/>
        </w:trPr>
        <w:tc>
          <w:tcPr>
            <w:tcW w:w="2610" w:type="dxa"/>
          </w:tcPr>
          <w:p w:rsidR="00D93E73" w:rsidRPr="000A70B6" w:rsidRDefault="00321C2E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70B6">
              <w:rPr>
                <w:sz w:val="26"/>
                <w:szCs w:val="26"/>
              </w:rPr>
              <w:t>A-</w:t>
            </w:r>
            <w:r w:rsidR="000A70B6" w:rsidRPr="000A70B6">
              <w:rPr>
                <w:sz w:val="26"/>
                <w:szCs w:val="26"/>
              </w:rPr>
              <w:t>2011-2264916</w:t>
            </w:r>
            <w:r w:rsidR="000A70B6">
              <w:rPr>
                <w:sz w:val="26"/>
                <w:szCs w:val="26"/>
              </w:rPr>
              <w:t>*</w:t>
            </w:r>
          </w:p>
        </w:tc>
        <w:tc>
          <w:tcPr>
            <w:tcW w:w="5580" w:type="dxa"/>
          </w:tcPr>
          <w:p w:rsidR="00D93E73" w:rsidRPr="000A70B6" w:rsidRDefault="000A70B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70B6">
              <w:rPr>
                <w:sz w:val="26"/>
                <w:szCs w:val="26"/>
              </w:rPr>
              <w:t>Plymouth Rock Energy LLC</w:t>
            </w:r>
          </w:p>
        </w:tc>
        <w:tc>
          <w:tcPr>
            <w:tcW w:w="1170" w:type="dxa"/>
          </w:tcPr>
          <w:p w:rsidR="00D93E73" w:rsidRPr="000A70B6" w:rsidRDefault="000A70B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70B6">
              <w:rPr>
                <w:sz w:val="26"/>
                <w:szCs w:val="26"/>
              </w:rPr>
              <w:t>2/23/16</w:t>
            </w:r>
          </w:p>
        </w:tc>
      </w:tr>
      <w:tr w:rsidR="000A70B6" w:rsidTr="00C50266">
        <w:trPr>
          <w:jc w:val="center"/>
        </w:trPr>
        <w:tc>
          <w:tcPr>
            <w:tcW w:w="2610" w:type="dxa"/>
          </w:tcPr>
          <w:p w:rsidR="000A70B6" w:rsidRDefault="000A70B6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A-2014-2412493</w:t>
            </w:r>
          </w:p>
        </w:tc>
        <w:tc>
          <w:tcPr>
            <w:tcW w:w="5580" w:type="dxa"/>
          </w:tcPr>
          <w:p w:rsidR="000A70B6" w:rsidRDefault="000A70B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Unique Energy, Inc.</w:t>
            </w:r>
          </w:p>
        </w:tc>
        <w:tc>
          <w:tcPr>
            <w:tcW w:w="1170" w:type="dxa"/>
          </w:tcPr>
          <w:p w:rsidR="000A70B6" w:rsidRDefault="000A70B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2/21/16</w:t>
            </w:r>
          </w:p>
        </w:tc>
      </w:tr>
    </w:tbl>
    <w:p w:rsidR="009F66EC" w:rsidRDefault="003F3971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* Taking title to electricity</w:t>
      </w:r>
    </w:p>
    <w:p w:rsidR="000660C9" w:rsidRDefault="000660C9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60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7354DA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</w:t>
      </w:r>
      <w:r w:rsidR="009A262E" w:rsidRPr="00D51C87">
        <w:rPr>
          <w:sz w:val="26"/>
          <w:szCs w:val="26"/>
        </w:rPr>
        <w:lastRenderedPageBreak/>
        <w:t xml:space="preserve">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EB06E2" w:rsidRDefault="00EB06E2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DF1AA4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830DC6" wp14:editId="52B436D3">
            <wp:simplePos x="0" y="0"/>
            <wp:positionH relativeFrom="column">
              <wp:posOffset>3206750</wp:posOffset>
            </wp:positionH>
            <wp:positionV relativeFrom="paragraph">
              <wp:posOffset>153035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Pr="00BF0BE6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B43A27" w:rsidRPr="00BF0BE6" w:rsidRDefault="00B43A27" w:rsidP="007354DA">
      <w:pPr>
        <w:tabs>
          <w:tab w:val="left" w:pos="5057"/>
        </w:tabs>
        <w:rPr>
          <w:bCs/>
          <w:sz w:val="26"/>
          <w:szCs w:val="26"/>
        </w:rPr>
      </w:pPr>
    </w:p>
    <w:p w:rsidR="007354DA" w:rsidRDefault="007354DA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390527" w:rsidRPr="00BF0BE6" w:rsidRDefault="00390527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tabs>
          <w:tab w:val="left" w:pos="5062"/>
        </w:tabs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8466E2">
        <w:rPr>
          <w:sz w:val="26"/>
          <w:szCs w:val="26"/>
        </w:rPr>
        <w:t>March 17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1B240D">
        <w:rPr>
          <w:sz w:val="26"/>
          <w:szCs w:val="26"/>
        </w:rPr>
        <w:t>March 17, 2016</w:t>
      </w:r>
      <w:bookmarkStart w:id="0" w:name="_GoBack"/>
      <w:bookmarkEnd w:id="0"/>
      <w:r w:rsidR="00D51DD5" w:rsidRPr="00BF0BE6">
        <w:rPr>
          <w:sz w:val="26"/>
          <w:szCs w:val="26"/>
        </w:rPr>
        <w:t xml:space="preserve"> 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53" w:rsidRDefault="00065E53">
      <w:r>
        <w:separator/>
      </w:r>
    </w:p>
  </w:endnote>
  <w:endnote w:type="continuationSeparator" w:id="0">
    <w:p w:rsidR="00065E53" w:rsidRDefault="0006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C" w:rsidRDefault="000E22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29C" w:rsidRDefault="000E2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C" w:rsidRDefault="000E22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40D">
      <w:rPr>
        <w:rStyle w:val="PageNumber"/>
        <w:noProof/>
      </w:rPr>
      <w:t>4</w:t>
    </w:r>
    <w:r>
      <w:rPr>
        <w:rStyle w:val="PageNumber"/>
      </w:rPr>
      <w:fldChar w:fldCharType="end"/>
    </w:r>
  </w:p>
  <w:p w:rsidR="000E229C" w:rsidRDefault="000E229C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53" w:rsidRDefault="00065E53">
      <w:r>
        <w:separator/>
      </w:r>
    </w:p>
  </w:footnote>
  <w:footnote w:type="continuationSeparator" w:id="0">
    <w:p w:rsidR="00065E53" w:rsidRDefault="0006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2606A"/>
    <w:rsid w:val="00054007"/>
    <w:rsid w:val="00065E53"/>
    <w:rsid w:val="000660C9"/>
    <w:rsid w:val="00077526"/>
    <w:rsid w:val="000A0061"/>
    <w:rsid w:val="000A6173"/>
    <w:rsid w:val="000A70B6"/>
    <w:rsid w:val="000B41F3"/>
    <w:rsid w:val="000B4C45"/>
    <w:rsid w:val="000E229C"/>
    <w:rsid w:val="000E45FE"/>
    <w:rsid w:val="000E54C7"/>
    <w:rsid w:val="000E6451"/>
    <w:rsid w:val="00102A17"/>
    <w:rsid w:val="00105036"/>
    <w:rsid w:val="00112F1A"/>
    <w:rsid w:val="00194CB2"/>
    <w:rsid w:val="001965DB"/>
    <w:rsid w:val="001A1FE0"/>
    <w:rsid w:val="001B240D"/>
    <w:rsid w:val="001D292B"/>
    <w:rsid w:val="001D60CA"/>
    <w:rsid w:val="001E5A45"/>
    <w:rsid w:val="001F22B7"/>
    <w:rsid w:val="00217AD0"/>
    <w:rsid w:val="002211D3"/>
    <w:rsid w:val="00237B26"/>
    <w:rsid w:val="00241889"/>
    <w:rsid w:val="00251A99"/>
    <w:rsid w:val="00253D6D"/>
    <w:rsid w:val="00257BE0"/>
    <w:rsid w:val="00280B05"/>
    <w:rsid w:val="00281D26"/>
    <w:rsid w:val="002870D0"/>
    <w:rsid w:val="00287C65"/>
    <w:rsid w:val="002A1171"/>
    <w:rsid w:val="002A4881"/>
    <w:rsid w:val="002B7ED4"/>
    <w:rsid w:val="002C244A"/>
    <w:rsid w:val="002D337D"/>
    <w:rsid w:val="002D3AC4"/>
    <w:rsid w:val="002D7EBB"/>
    <w:rsid w:val="002F6BFB"/>
    <w:rsid w:val="003075CA"/>
    <w:rsid w:val="00321C2E"/>
    <w:rsid w:val="00323FF3"/>
    <w:rsid w:val="00325748"/>
    <w:rsid w:val="00345274"/>
    <w:rsid w:val="00354FF3"/>
    <w:rsid w:val="00366BAE"/>
    <w:rsid w:val="003678F8"/>
    <w:rsid w:val="00390527"/>
    <w:rsid w:val="00397DB5"/>
    <w:rsid w:val="003C261B"/>
    <w:rsid w:val="003C7D81"/>
    <w:rsid w:val="003D3737"/>
    <w:rsid w:val="003E2CA9"/>
    <w:rsid w:val="003E378F"/>
    <w:rsid w:val="003E5318"/>
    <w:rsid w:val="003E6873"/>
    <w:rsid w:val="003F3971"/>
    <w:rsid w:val="004058DF"/>
    <w:rsid w:val="00411EA6"/>
    <w:rsid w:val="004309BE"/>
    <w:rsid w:val="004462AB"/>
    <w:rsid w:val="004822AB"/>
    <w:rsid w:val="00485F78"/>
    <w:rsid w:val="00492573"/>
    <w:rsid w:val="00492FE8"/>
    <w:rsid w:val="00494261"/>
    <w:rsid w:val="004C23F0"/>
    <w:rsid w:val="004C2BAA"/>
    <w:rsid w:val="004D08A6"/>
    <w:rsid w:val="004E221E"/>
    <w:rsid w:val="004E69C8"/>
    <w:rsid w:val="004E7908"/>
    <w:rsid w:val="00500326"/>
    <w:rsid w:val="00503929"/>
    <w:rsid w:val="00510B28"/>
    <w:rsid w:val="00522424"/>
    <w:rsid w:val="00545A60"/>
    <w:rsid w:val="005466FF"/>
    <w:rsid w:val="0058092C"/>
    <w:rsid w:val="0059383B"/>
    <w:rsid w:val="005C420E"/>
    <w:rsid w:val="005D0674"/>
    <w:rsid w:val="005D1CEA"/>
    <w:rsid w:val="005D21A8"/>
    <w:rsid w:val="005E6EA3"/>
    <w:rsid w:val="006114A4"/>
    <w:rsid w:val="0061741E"/>
    <w:rsid w:val="0062582B"/>
    <w:rsid w:val="0063597D"/>
    <w:rsid w:val="00651017"/>
    <w:rsid w:val="0066072E"/>
    <w:rsid w:val="006663DA"/>
    <w:rsid w:val="006665D0"/>
    <w:rsid w:val="00667C38"/>
    <w:rsid w:val="00667DE8"/>
    <w:rsid w:val="006748D1"/>
    <w:rsid w:val="0068069C"/>
    <w:rsid w:val="0069259A"/>
    <w:rsid w:val="006A1A3D"/>
    <w:rsid w:val="006E7F26"/>
    <w:rsid w:val="006E7F56"/>
    <w:rsid w:val="00700595"/>
    <w:rsid w:val="00701E67"/>
    <w:rsid w:val="00706B1F"/>
    <w:rsid w:val="007135CB"/>
    <w:rsid w:val="007278ED"/>
    <w:rsid w:val="007354DA"/>
    <w:rsid w:val="00742366"/>
    <w:rsid w:val="00742FD1"/>
    <w:rsid w:val="007547BA"/>
    <w:rsid w:val="00766FB5"/>
    <w:rsid w:val="00792F76"/>
    <w:rsid w:val="00793907"/>
    <w:rsid w:val="007A06DD"/>
    <w:rsid w:val="007B17E0"/>
    <w:rsid w:val="007C4176"/>
    <w:rsid w:val="007C6AE3"/>
    <w:rsid w:val="007C7614"/>
    <w:rsid w:val="007D6CB0"/>
    <w:rsid w:val="007E4C1E"/>
    <w:rsid w:val="00814F38"/>
    <w:rsid w:val="00826A2A"/>
    <w:rsid w:val="00827541"/>
    <w:rsid w:val="008368FE"/>
    <w:rsid w:val="00836BE5"/>
    <w:rsid w:val="008466E2"/>
    <w:rsid w:val="00862106"/>
    <w:rsid w:val="0086287D"/>
    <w:rsid w:val="008645D7"/>
    <w:rsid w:val="00867962"/>
    <w:rsid w:val="008717AE"/>
    <w:rsid w:val="00872CB2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6EF4"/>
    <w:rsid w:val="008E3694"/>
    <w:rsid w:val="008F5C64"/>
    <w:rsid w:val="00911635"/>
    <w:rsid w:val="00913847"/>
    <w:rsid w:val="009154AD"/>
    <w:rsid w:val="00926EBB"/>
    <w:rsid w:val="009274D6"/>
    <w:rsid w:val="00947576"/>
    <w:rsid w:val="00954297"/>
    <w:rsid w:val="009558AC"/>
    <w:rsid w:val="009701B8"/>
    <w:rsid w:val="009731AC"/>
    <w:rsid w:val="00976B25"/>
    <w:rsid w:val="009807CA"/>
    <w:rsid w:val="009A262E"/>
    <w:rsid w:val="009A33CC"/>
    <w:rsid w:val="009A5E4A"/>
    <w:rsid w:val="009B2072"/>
    <w:rsid w:val="009B6D3F"/>
    <w:rsid w:val="009C2BCA"/>
    <w:rsid w:val="009D3670"/>
    <w:rsid w:val="009E45A3"/>
    <w:rsid w:val="009F66EC"/>
    <w:rsid w:val="00A06874"/>
    <w:rsid w:val="00A15B39"/>
    <w:rsid w:val="00A24865"/>
    <w:rsid w:val="00A24DC6"/>
    <w:rsid w:val="00A61269"/>
    <w:rsid w:val="00A622FF"/>
    <w:rsid w:val="00A74958"/>
    <w:rsid w:val="00A942FE"/>
    <w:rsid w:val="00A96F04"/>
    <w:rsid w:val="00AB07D4"/>
    <w:rsid w:val="00AC61F5"/>
    <w:rsid w:val="00AC62BC"/>
    <w:rsid w:val="00AE625C"/>
    <w:rsid w:val="00AF124E"/>
    <w:rsid w:val="00AF1FA7"/>
    <w:rsid w:val="00AF3B4A"/>
    <w:rsid w:val="00AF4373"/>
    <w:rsid w:val="00AF7130"/>
    <w:rsid w:val="00B150B1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64E4"/>
    <w:rsid w:val="00BA4818"/>
    <w:rsid w:val="00BA5BD7"/>
    <w:rsid w:val="00BA6AC7"/>
    <w:rsid w:val="00BB0406"/>
    <w:rsid w:val="00BB5941"/>
    <w:rsid w:val="00BB64AA"/>
    <w:rsid w:val="00BD32E7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7D5E"/>
    <w:rsid w:val="00C50266"/>
    <w:rsid w:val="00C57B21"/>
    <w:rsid w:val="00C62889"/>
    <w:rsid w:val="00C76887"/>
    <w:rsid w:val="00C76C63"/>
    <w:rsid w:val="00C770B9"/>
    <w:rsid w:val="00C778AF"/>
    <w:rsid w:val="00C915FF"/>
    <w:rsid w:val="00CB0FB2"/>
    <w:rsid w:val="00CB25B4"/>
    <w:rsid w:val="00CC3C32"/>
    <w:rsid w:val="00CC4FD2"/>
    <w:rsid w:val="00CE2C68"/>
    <w:rsid w:val="00CE79F2"/>
    <w:rsid w:val="00CF057E"/>
    <w:rsid w:val="00CF29EE"/>
    <w:rsid w:val="00D14790"/>
    <w:rsid w:val="00D422A9"/>
    <w:rsid w:val="00D51C87"/>
    <w:rsid w:val="00D51DD5"/>
    <w:rsid w:val="00D554AE"/>
    <w:rsid w:val="00D55D4F"/>
    <w:rsid w:val="00D62668"/>
    <w:rsid w:val="00D76334"/>
    <w:rsid w:val="00D844AA"/>
    <w:rsid w:val="00D85078"/>
    <w:rsid w:val="00D85917"/>
    <w:rsid w:val="00D93E73"/>
    <w:rsid w:val="00DA1DA9"/>
    <w:rsid w:val="00DA49CF"/>
    <w:rsid w:val="00DA62D7"/>
    <w:rsid w:val="00DC51D2"/>
    <w:rsid w:val="00DE3FFE"/>
    <w:rsid w:val="00DF1AA4"/>
    <w:rsid w:val="00DF6E1E"/>
    <w:rsid w:val="00E0040C"/>
    <w:rsid w:val="00E215B7"/>
    <w:rsid w:val="00E33E82"/>
    <w:rsid w:val="00E37259"/>
    <w:rsid w:val="00E41620"/>
    <w:rsid w:val="00E43A45"/>
    <w:rsid w:val="00E474D5"/>
    <w:rsid w:val="00E50BF0"/>
    <w:rsid w:val="00E5621D"/>
    <w:rsid w:val="00E8104C"/>
    <w:rsid w:val="00E8575D"/>
    <w:rsid w:val="00EB06E2"/>
    <w:rsid w:val="00EC1E64"/>
    <w:rsid w:val="00EC512C"/>
    <w:rsid w:val="00EC7C7E"/>
    <w:rsid w:val="00EE0818"/>
    <w:rsid w:val="00EF0F82"/>
    <w:rsid w:val="00F02470"/>
    <w:rsid w:val="00F10D9E"/>
    <w:rsid w:val="00F263AE"/>
    <w:rsid w:val="00F334AC"/>
    <w:rsid w:val="00F3487A"/>
    <w:rsid w:val="00F43F47"/>
    <w:rsid w:val="00F44066"/>
    <w:rsid w:val="00F45A60"/>
    <w:rsid w:val="00F51A25"/>
    <w:rsid w:val="00F54ED4"/>
    <w:rsid w:val="00F612BE"/>
    <w:rsid w:val="00F64173"/>
    <w:rsid w:val="00F773F1"/>
    <w:rsid w:val="00F77C28"/>
    <w:rsid w:val="00F969CC"/>
    <w:rsid w:val="00F96F62"/>
    <w:rsid w:val="00F97C94"/>
    <w:rsid w:val="00FA7B55"/>
    <w:rsid w:val="00FB1E2E"/>
    <w:rsid w:val="00FC023F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16E4-A107-4461-97AF-AC5FBD67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18</cp:revision>
  <cp:lastPrinted>2016-03-17T11:32:00Z</cp:lastPrinted>
  <dcterms:created xsi:type="dcterms:W3CDTF">2016-02-23T19:11:00Z</dcterms:created>
  <dcterms:modified xsi:type="dcterms:W3CDTF">2016-03-17T11:33:00Z</dcterms:modified>
</cp:coreProperties>
</file>