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D2" w:rsidRPr="00F514FB" w:rsidRDefault="00776AD2" w:rsidP="00776AD2">
      <w:pPr>
        <w:tabs>
          <w:tab w:val="center" w:pos="4680"/>
        </w:tabs>
        <w:suppressAutoHyphens/>
        <w:jc w:val="center"/>
        <w:rPr>
          <w:b/>
          <w:sz w:val="26"/>
          <w:szCs w:val="26"/>
        </w:rPr>
      </w:pPr>
      <w:r w:rsidRPr="00F514FB">
        <w:rPr>
          <w:b/>
          <w:sz w:val="26"/>
          <w:szCs w:val="26"/>
        </w:rPr>
        <w:t>PENNSYLVANIA</w:t>
      </w:r>
    </w:p>
    <w:p w:rsidR="00776AD2" w:rsidRPr="00F514FB" w:rsidRDefault="00776AD2" w:rsidP="00776AD2">
      <w:pPr>
        <w:tabs>
          <w:tab w:val="center" w:pos="4680"/>
        </w:tabs>
        <w:suppressAutoHyphens/>
        <w:jc w:val="center"/>
        <w:rPr>
          <w:sz w:val="26"/>
          <w:szCs w:val="26"/>
        </w:rPr>
      </w:pPr>
      <w:r w:rsidRPr="00F514FB">
        <w:rPr>
          <w:b/>
          <w:sz w:val="26"/>
          <w:szCs w:val="26"/>
        </w:rPr>
        <w:t>PUBLIC UTILITY COMMISSION</w:t>
      </w:r>
    </w:p>
    <w:p w:rsidR="00776AD2" w:rsidRPr="00F514FB" w:rsidRDefault="00776AD2" w:rsidP="00776AD2">
      <w:pPr>
        <w:tabs>
          <w:tab w:val="center" w:pos="4680"/>
        </w:tabs>
        <w:suppressAutoHyphens/>
        <w:jc w:val="center"/>
        <w:rPr>
          <w:sz w:val="26"/>
          <w:szCs w:val="26"/>
        </w:rPr>
      </w:pPr>
      <w:r w:rsidRPr="00F514FB">
        <w:rPr>
          <w:b/>
          <w:sz w:val="26"/>
          <w:szCs w:val="26"/>
        </w:rPr>
        <w:t>Harrisburg, PA 17105-3265</w:t>
      </w:r>
    </w:p>
    <w:p w:rsidR="00776AD2" w:rsidRPr="00F514FB" w:rsidRDefault="00776AD2" w:rsidP="00776AD2">
      <w:pPr>
        <w:tabs>
          <w:tab w:val="left" w:pos="-720"/>
        </w:tabs>
        <w:suppressAutoHyphens/>
        <w:rPr>
          <w:sz w:val="26"/>
          <w:szCs w:val="26"/>
        </w:rPr>
      </w:pPr>
    </w:p>
    <w:p w:rsidR="00776AD2" w:rsidRPr="00F514FB" w:rsidRDefault="00776AD2" w:rsidP="00776AD2">
      <w:pPr>
        <w:rPr>
          <w:sz w:val="26"/>
          <w:szCs w:val="26"/>
        </w:rPr>
      </w:pPr>
    </w:p>
    <w:tbl>
      <w:tblPr>
        <w:tblW w:w="0" w:type="auto"/>
        <w:tblLook w:val="04A0" w:firstRow="1" w:lastRow="0" w:firstColumn="1" w:lastColumn="0" w:noHBand="0" w:noVBand="1"/>
      </w:tblPr>
      <w:tblGrid>
        <w:gridCol w:w="4968"/>
        <w:gridCol w:w="4518"/>
      </w:tblGrid>
      <w:tr w:rsidR="00776AD2" w:rsidRPr="00F514FB" w:rsidTr="00A85834">
        <w:tc>
          <w:tcPr>
            <w:tcW w:w="4968" w:type="dxa"/>
            <w:shd w:val="clear" w:color="auto" w:fill="auto"/>
          </w:tcPr>
          <w:p w:rsidR="00776AD2" w:rsidRPr="00F04BBF" w:rsidRDefault="00776AD2" w:rsidP="00F04BBF">
            <w:pPr>
              <w:rPr>
                <w:sz w:val="26"/>
                <w:szCs w:val="26"/>
              </w:rPr>
            </w:pPr>
          </w:p>
        </w:tc>
        <w:tc>
          <w:tcPr>
            <w:tcW w:w="4518" w:type="dxa"/>
            <w:shd w:val="clear" w:color="auto" w:fill="auto"/>
          </w:tcPr>
          <w:p w:rsidR="00776AD2" w:rsidRDefault="00A85834" w:rsidP="00A85834">
            <w:pPr>
              <w:jc w:val="right"/>
              <w:rPr>
                <w:sz w:val="26"/>
                <w:szCs w:val="26"/>
              </w:rPr>
            </w:pPr>
            <w:r>
              <w:rPr>
                <w:sz w:val="26"/>
                <w:szCs w:val="26"/>
              </w:rPr>
              <w:t xml:space="preserve">Public Meeting held </w:t>
            </w:r>
            <w:r w:rsidR="003533FA">
              <w:rPr>
                <w:sz w:val="26"/>
                <w:szCs w:val="26"/>
              </w:rPr>
              <w:t xml:space="preserve">April </w:t>
            </w:r>
            <w:r w:rsidR="007E6A59">
              <w:rPr>
                <w:sz w:val="26"/>
                <w:szCs w:val="26"/>
              </w:rPr>
              <w:t>7</w:t>
            </w:r>
            <w:r w:rsidR="00A61E45">
              <w:rPr>
                <w:sz w:val="26"/>
                <w:szCs w:val="26"/>
              </w:rPr>
              <w:t>, 2016</w:t>
            </w:r>
          </w:p>
          <w:p w:rsidR="00A85834" w:rsidRPr="00F04BBF" w:rsidRDefault="00A85834" w:rsidP="00A85834">
            <w:pPr>
              <w:jc w:val="right"/>
              <w:rPr>
                <w:sz w:val="26"/>
                <w:szCs w:val="26"/>
              </w:rPr>
            </w:pPr>
          </w:p>
        </w:tc>
      </w:tr>
      <w:tr w:rsidR="00776AD2" w:rsidRPr="00F514FB" w:rsidTr="00A85834">
        <w:tc>
          <w:tcPr>
            <w:tcW w:w="4968" w:type="dxa"/>
            <w:shd w:val="clear" w:color="auto" w:fill="auto"/>
          </w:tcPr>
          <w:p w:rsidR="00776AD2" w:rsidRPr="00F04BBF" w:rsidRDefault="00776AD2" w:rsidP="00F04BBF">
            <w:pPr>
              <w:rPr>
                <w:sz w:val="26"/>
                <w:szCs w:val="26"/>
              </w:rPr>
            </w:pPr>
            <w:r w:rsidRPr="00F04BBF">
              <w:rPr>
                <w:sz w:val="26"/>
                <w:szCs w:val="26"/>
              </w:rPr>
              <w:t>Commissioners Present:</w:t>
            </w:r>
          </w:p>
          <w:p w:rsidR="00776AD2" w:rsidRPr="00F04BBF" w:rsidRDefault="00776AD2" w:rsidP="00F04BBF">
            <w:pPr>
              <w:rPr>
                <w:sz w:val="26"/>
                <w:szCs w:val="26"/>
              </w:rPr>
            </w:pPr>
          </w:p>
          <w:p w:rsidR="00776AD2" w:rsidRPr="00F04BBF" w:rsidRDefault="008A49C5" w:rsidP="00F04BBF">
            <w:pPr>
              <w:tabs>
                <w:tab w:val="left" w:pos="705"/>
              </w:tabs>
              <w:ind w:firstLine="720"/>
              <w:rPr>
                <w:sz w:val="26"/>
                <w:szCs w:val="26"/>
              </w:rPr>
            </w:pPr>
            <w:r>
              <w:rPr>
                <w:sz w:val="26"/>
                <w:szCs w:val="26"/>
              </w:rPr>
              <w:t>Gladys M. Brown</w:t>
            </w:r>
            <w:r w:rsidR="00776AD2" w:rsidRPr="00F04BBF">
              <w:rPr>
                <w:sz w:val="26"/>
                <w:szCs w:val="26"/>
              </w:rPr>
              <w:t>, Chairman</w:t>
            </w:r>
          </w:p>
          <w:p w:rsidR="00776AD2" w:rsidRPr="00F04BBF" w:rsidRDefault="00A61E45" w:rsidP="00F04BBF">
            <w:pPr>
              <w:tabs>
                <w:tab w:val="left" w:pos="705"/>
              </w:tabs>
              <w:ind w:firstLine="720"/>
              <w:rPr>
                <w:sz w:val="26"/>
                <w:szCs w:val="26"/>
              </w:rPr>
            </w:pPr>
            <w:r>
              <w:rPr>
                <w:sz w:val="26"/>
                <w:szCs w:val="26"/>
              </w:rPr>
              <w:t>Andrew G. Place</w:t>
            </w:r>
            <w:r w:rsidR="00776AD2" w:rsidRPr="00F04BBF">
              <w:rPr>
                <w:sz w:val="26"/>
                <w:szCs w:val="26"/>
              </w:rPr>
              <w:t>, Vice Chairman</w:t>
            </w:r>
          </w:p>
          <w:p w:rsidR="00776AD2" w:rsidRDefault="00776AD2" w:rsidP="00F04BBF">
            <w:pPr>
              <w:tabs>
                <w:tab w:val="left" w:pos="705"/>
              </w:tabs>
              <w:ind w:firstLine="720"/>
              <w:rPr>
                <w:sz w:val="26"/>
                <w:szCs w:val="26"/>
              </w:rPr>
            </w:pPr>
            <w:r w:rsidRPr="00F04BBF">
              <w:rPr>
                <w:sz w:val="26"/>
                <w:szCs w:val="26"/>
              </w:rPr>
              <w:t>Pamela A. Witmer</w:t>
            </w:r>
          </w:p>
          <w:p w:rsidR="00A61E45" w:rsidRDefault="00A61E45" w:rsidP="00F04BBF">
            <w:pPr>
              <w:tabs>
                <w:tab w:val="left" w:pos="705"/>
              </w:tabs>
              <w:ind w:firstLine="720"/>
              <w:rPr>
                <w:sz w:val="26"/>
                <w:szCs w:val="26"/>
              </w:rPr>
            </w:pPr>
            <w:r>
              <w:rPr>
                <w:sz w:val="26"/>
                <w:szCs w:val="26"/>
              </w:rPr>
              <w:t>John F. Coleman, Jr.</w:t>
            </w:r>
          </w:p>
          <w:p w:rsidR="009272E6" w:rsidRPr="00F04BBF" w:rsidRDefault="000B1732" w:rsidP="00F04BBF">
            <w:pPr>
              <w:tabs>
                <w:tab w:val="left" w:pos="705"/>
              </w:tabs>
              <w:ind w:firstLine="720"/>
              <w:rPr>
                <w:sz w:val="26"/>
                <w:szCs w:val="26"/>
              </w:rPr>
            </w:pPr>
            <w:r>
              <w:rPr>
                <w:sz w:val="26"/>
                <w:szCs w:val="26"/>
              </w:rPr>
              <w:t>Robert F</w:t>
            </w:r>
            <w:r w:rsidR="008A49C5">
              <w:rPr>
                <w:sz w:val="26"/>
                <w:szCs w:val="26"/>
              </w:rPr>
              <w:t>. Powelson</w:t>
            </w:r>
          </w:p>
          <w:p w:rsidR="00776AD2" w:rsidRPr="00F04BBF" w:rsidRDefault="00776AD2" w:rsidP="00F04BBF">
            <w:pPr>
              <w:rPr>
                <w:sz w:val="26"/>
                <w:szCs w:val="26"/>
              </w:rPr>
            </w:pPr>
          </w:p>
          <w:p w:rsidR="00776AD2" w:rsidRPr="00F04BBF" w:rsidRDefault="00776AD2" w:rsidP="00F04BBF">
            <w:pPr>
              <w:rPr>
                <w:sz w:val="26"/>
                <w:szCs w:val="26"/>
              </w:rPr>
            </w:pPr>
          </w:p>
        </w:tc>
        <w:tc>
          <w:tcPr>
            <w:tcW w:w="4518" w:type="dxa"/>
            <w:shd w:val="clear" w:color="auto" w:fill="auto"/>
          </w:tcPr>
          <w:p w:rsidR="00776AD2" w:rsidRPr="00F04BBF" w:rsidRDefault="00776AD2" w:rsidP="00F04BBF">
            <w:pPr>
              <w:jc w:val="right"/>
              <w:rPr>
                <w:sz w:val="26"/>
                <w:szCs w:val="26"/>
              </w:rPr>
            </w:pPr>
          </w:p>
          <w:p w:rsidR="00776AD2" w:rsidRPr="00F04BBF" w:rsidRDefault="00776AD2" w:rsidP="00F04BBF">
            <w:pPr>
              <w:jc w:val="right"/>
              <w:rPr>
                <w:sz w:val="26"/>
                <w:szCs w:val="26"/>
              </w:rPr>
            </w:pPr>
          </w:p>
        </w:tc>
      </w:tr>
      <w:tr w:rsidR="00776AD2" w:rsidRPr="00F514FB" w:rsidTr="00A85834">
        <w:tc>
          <w:tcPr>
            <w:tcW w:w="4968" w:type="dxa"/>
            <w:shd w:val="clear" w:color="auto" w:fill="auto"/>
          </w:tcPr>
          <w:p w:rsidR="00776AD2" w:rsidRDefault="00AC2CDE" w:rsidP="00255863">
            <w:pPr>
              <w:rPr>
                <w:sz w:val="26"/>
                <w:szCs w:val="26"/>
              </w:rPr>
            </w:pPr>
            <w:r>
              <w:rPr>
                <w:sz w:val="26"/>
                <w:szCs w:val="26"/>
              </w:rPr>
              <w:t xml:space="preserve">Electric Generation Supplier License Cancellations of Companies with </w:t>
            </w:r>
            <w:r w:rsidR="0098347E">
              <w:rPr>
                <w:sz w:val="26"/>
                <w:szCs w:val="26"/>
              </w:rPr>
              <w:t xml:space="preserve">an </w:t>
            </w:r>
            <w:r>
              <w:rPr>
                <w:sz w:val="26"/>
                <w:szCs w:val="26"/>
              </w:rPr>
              <w:t>Expired Financial Security</w:t>
            </w:r>
          </w:p>
          <w:p w:rsidR="00AC2CDE" w:rsidRDefault="00AC2CDE" w:rsidP="00255863">
            <w:pPr>
              <w:rPr>
                <w:sz w:val="26"/>
                <w:szCs w:val="26"/>
              </w:rPr>
            </w:pPr>
          </w:p>
          <w:p w:rsidR="002B39BB" w:rsidRDefault="00EB42B9" w:rsidP="00255863">
            <w:pPr>
              <w:rPr>
                <w:sz w:val="26"/>
                <w:szCs w:val="26"/>
              </w:rPr>
            </w:pPr>
            <w:r>
              <w:rPr>
                <w:sz w:val="26"/>
                <w:szCs w:val="26"/>
              </w:rPr>
              <w:t>Application</w:t>
            </w:r>
            <w:r w:rsidR="00884C8D">
              <w:rPr>
                <w:sz w:val="26"/>
                <w:szCs w:val="26"/>
              </w:rPr>
              <w:t xml:space="preserve"> of Sprague Operating </w:t>
            </w:r>
          </w:p>
          <w:p w:rsidR="00B669B6" w:rsidRDefault="00884C8D" w:rsidP="00255863">
            <w:pPr>
              <w:rPr>
                <w:sz w:val="26"/>
                <w:szCs w:val="26"/>
              </w:rPr>
            </w:pPr>
            <w:r>
              <w:rPr>
                <w:sz w:val="26"/>
                <w:szCs w:val="26"/>
              </w:rPr>
              <w:t xml:space="preserve">Resources LLC to Abandon </w:t>
            </w:r>
            <w:r w:rsidR="00686AF5">
              <w:rPr>
                <w:sz w:val="26"/>
                <w:szCs w:val="26"/>
              </w:rPr>
              <w:t xml:space="preserve">its </w:t>
            </w:r>
            <w:r>
              <w:rPr>
                <w:sz w:val="26"/>
                <w:szCs w:val="26"/>
              </w:rPr>
              <w:t xml:space="preserve">Electric Generation Supplier License  </w:t>
            </w:r>
          </w:p>
          <w:p w:rsidR="00B669B6" w:rsidRDefault="00B669B6" w:rsidP="00255863">
            <w:pPr>
              <w:rPr>
                <w:sz w:val="26"/>
                <w:szCs w:val="26"/>
              </w:rPr>
            </w:pPr>
          </w:p>
          <w:p w:rsidR="00AC2CDE" w:rsidRPr="00F04BBF" w:rsidRDefault="0098347E" w:rsidP="00255863">
            <w:pPr>
              <w:rPr>
                <w:sz w:val="26"/>
                <w:szCs w:val="26"/>
              </w:rPr>
            </w:pPr>
            <w:r w:rsidRPr="00267FA7">
              <w:rPr>
                <w:sz w:val="26"/>
                <w:szCs w:val="26"/>
              </w:rPr>
              <w:t xml:space="preserve">License Application of </w:t>
            </w:r>
            <w:r>
              <w:rPr>
                <w:sz w:val="26"/>
                <w:szCs w:val="26"/>
              </w:rPr>
              <w:t>Sprague Operating Resources LLC</w:t>
            </w:r>
            <w:r w:rsidRPr="00267FA7">
              <w:rPr>
                <w:sz w:val="26"/>
                <w:szCs w:val="26"/>
              </w:rPr>
              <w:t xml:space="preserve"> for Approval to Offer, Render, Furnish or Supply Electricity or Electric Generation Services as a </w:t>
            </w:r>
            <w:r w:rsidRPr="009E39A1">
              <w:rPr>
                <w:sz w:val="26"/>
                <w:szCs w:val="26"/>
              </w:rPr>
              <w:t>Broker/Marketer</w:t>
            </w:r>
          </w:p>
        </w:tc>
        <w:tc>
          <w:tcPr>
            <w:tcW w:w="4518" w:type="dxa"/>
            <w:shd w:val="clear" w:color="auto" w:fill="auto"/>
          </w:tcPr>
          <w:p w:rsidR="00833A71" w:rsidRDefault="00AC2CDE" w:rsidP="00255863">
            <w:pPr>
              <w:jc w:val="right"/>
              <w:rPr>
                <w:sz w:val="26"/>
                <w:szCs w:val="26"/>
              </w:rPr>
            </w:pPr>
            <w:r>
              <w:rPr>
                <w:sz w:val="26"/>
                <w:szCs w:val="26"/>
              </w:rPr>
              <w:t>M-2015-2490383</w:t>
            </w:r>
          </w:p>
          <w:p w:rsidR="00AC2CDE" w:rsidRDefault="00AC2CDE" w:rsidP="00255863">
            <w:pPr>
              <w:jc w:val="right"/>
              <w:rPr>
                <w:sz w:val="26"/>
                <w:szCs w:val="26"/>
              </w:rPr>
            </w:pPr>
          </w:p>
          <w:p w:rsidR="00AC2CDE" w:rsidRDefault="00AC2CDE" w:rsidP="00255863">
            <w:pPr>
              <w:jc w:val="right"/>
              <w:rPr>
                <w:sz w:val="26"/>
                <w:szCs w:val="26"/>
              </w:rPr>
            </w:pPr>
          </w:p>
          <w:p w:rsidR="00AC2CDE" w:rsidRDefault="00AC2CDE" w:rsidP="00255863">
            <w:pPr>
              <w:jc w:val="right"/>
              <w:rPr>
                <w:sz w:val="26"/>
                <w:szCs w:val="26"/>
              </w:rPr>
            </w:pPr>
          </w:p>
          <w:p w:rsidR="00B669B6" w:rsidRDefault="00884C8D" w:rsidP="00255863">
            <w:pPr>
              <w:jc w:val="right"/>
              <w:rPr>
                <w:sz w:val="26"/>
                <w:szCs w:val="26"/>
              </w:rPr>
            </w:pPr>
            <w:r>
              <w:rPr>
                <w:sz w:val="26"/>
                <w:szCs w:val="26"/>
              </w:rPr>
              <w:t>A-2015-2494779</w:t>
            </w:r>
          </w:p>
          <w:p w:rsidR="00B669B6" w:rsidRDefault="00B669B6" w:rsidP="00255863">
            <w:pPr>
              <w:jc w:val="right"/>
              <w:rPr>
                <w:sz w:val="26"/>
                <w:szCs w:val="26"/>
              </w:rPr>
            </w:pPr>
          </w:p>
          <w:p w:rsidR="00884C8D" w:rsidRDefault="00884C8D" w:rsidP="00255863">
            <w:pPr>
              <w:jc w:val="right"/>
              <w:rPr>
                <w:sz w:val="26"/>
                <w:szCs w:val="26"/>
              </w:rPr>
            </w:pPr>
          </w:p>
          <w:p w:rsidR="00884C8D" w:rsidRDefault="00884C8D" w:rsidP="00255863">
            <w:pPr>
              <w:jc w:val="right"/>
              <w:rPr>
                <w:sz w:val="26"/>
                <w:szCs w:val="26"/>
              </w:rPr>
            </w:pPr>
          </w:p>
          <w:p w:rsidR="00AC2CDE" w:rsidRPr="00F04BBF" w:rsidRDefault="00AC2CDE" w:rsidP="00255863">
            <w:pPr>
              <w:jc w:val="right"/>
              <w:rPr>
                <w:sz w:val="26"/>
                <w:szCs w:val="26"/>
              </w:rPr>
            </w:pPr>
            <w:r>
              <w:rPr>
                <w:sz w:val="26"/>
                <w:szCs w:val="26"/>
              </w:rPr>
              <w:t>A-2012-2292048</w:t>
            </w:r>
          </w:p>
        </w:tc>
      </w:tr>
    </w:tbl>
    <w:p w:rsidR="00776AD2" w:rsidRPr="00F514FB" w:rsidRDefault="00776AD2" w:rsidP="00776AD2">
      <w:pPr>
        <w:rPr>
          <w:sz w:val="26"/>
          <w:szCs w:val="26"/>
        </w:rPr>
      </w:pPr>
    </w:p>
    <w:p w:rsidR="00776AD2" w:rsidRPr="00F514FB" w:rsidRDefault="00776AD2" w:rsidP="00776AD2">
      <w:pPr>
        <w:rPr>
          <w:sz w:val="26"/>
          <w:szCs w:val="26"/>
        </w:rPr>
      </w:pPr>
    </w:p>
    <w:p w:rsidR="00776AD2" w:rsidRPr="00F514FB" w:rsidRDefault="00776AD2" w:rsidP="00776AD2">
      <w:pPr>
        <w:jc w:val="center"/>
        <w:rPr>
          <w:b/>
          <w:sz w:val="26"/>
          <w:szCs w:val="26"/>
        </w:rPr>
      </w:pPr>
      <w:r w:rsidRPr="00F514FB">
        <w:rPr>
          <w:b/>
          <w:sz w:val="26"/>
          <w:szCs w:val="26"/>
        </w:rPr>
        <w:t>OPINION AND ORDER</w:t>
      </w:r>
    </w:p>
    <w:p w:rsidR="00776AD2" w:rsidRPr="00F514FB" w:rsidRDefault="00776AD2" w:rsidP="00776AD2">
      <w:pPr>
        <w:jc w:val="center"/>
        <w:rPr>
          <w:b/>
          <w:sz w:val="26"/>
          <w:szCs w:val="26"/>
        </w:rPr>
      </w:pPr>
    </w:p>
    <w:p w:rsidR="00776AD2" w:rsidRPr="00F514FB" w:rsidRDefault="00776AD2" w:rsidP="00776AD2">
      <w:pPr>
        <w:jc w:val="center"/>
        <w:rPr>
          <w:b/>
          <w:sz w:val="26"/>
          <w:szCs w:val="26"/>
        </w:rPr>
      </w:pPr>
    </w:p>
    <w:p w:rsidR="00776AD2" w:rsidRPr="00F514FB" w:rsidRDefault="00776AD2" w:rsidP="00776AD2">
      <w:pPr>
        <w:rPr>
          <w:b/>
          <w:sz w:val="26"/>
          <w:szCs w:val="26"/>
        </w:rPr>
      </w:pPr>
      <w:r w:rsidRPr="00F514FB">
        <w:rPr>
          <w:b/>
          <w:sz w:val="26"/>
          <w:szCs w:val="26"/>
        </w:rPr>
        <w:t>BY THE COMMISSION:</w:t>
      </w:r>
    </w:p>
    <w:p w:rsidR="00776AD2" w:rsidRPr="00F514FB" w:rsidRDefault="00776AD2" w:rsidP="00776AD2">
      <w:pPr>
        <w:rPr>
          <w:sz w:val="26"/>
          <w:szCs w:val="26"/>
        </w:rPr>
      </w:pPr>
    </w:p>
    <w:p w:rsidR="00776AD2" w:rsidRPr="00F514FB" w:rsidRDefault="00776AD2" w:rsidP="00776AD2">
      <w:pPr>
        <w:rPr>
          <w:sz w:val="26"/>
          <w:szCs w:val="26"/>
        </w:rPr>
      </w:pPr>
    </w:p>
    <w:p w:rsidR="000F1318" w:rsidRDefault="000F1318" w:rsidP="003E22CB">
      <w:pPr>
        <w:widowControl/>
        <w:tabs>
          <w:tab w:val="left" w:pos="-720"/>
        </w:tabs>
        <w:suppressAutoHyphens/>
        <w:spacing w:line="360" w:lineRule="auto"/>
        <w:ind w:firstLine="1440"/>
        <w:rPr>
          <w:sz w:val="26"/>
        </w:rPr>
      </w:pPr>
      <w:r w:rsidRPr="00027664">
        <w:rPr>
          <w:sz w:val="26"/>
        </w:rPr>
        <w:t xml:space="preserve">Before the </w:t>
      </w:r>
      <w:r w:rsidR="005C7928">
        <w:rPr>
          <w:sz w:val="26"/>
        </w:rPr>
        <w:t xml:space="preserve">Pennsylvania Public Utility </w:t>
      </w:r>
      <w:r w:rsidRPr="00027664">
        <w:rPr>
          <w:sz w:val="26"/>
        </w:rPr>
        <w:t xml:space="preserve">Commission </w:t>
      </w:r>
      <w:r w:rsidR="005C7928">
        <w:rPr>
          <w:sz w:val="26"/>
        </w:rPr>
        <w:t xml:space="preserve">(Commission) </w:t>
      </w:r>
      <w:r w:rsidRPr="00027664">
        <w:rPr>
          <w:sz w:val="26"/>
        </w:rPr>
        <w:t>for co</w:t>
      </w:r>
      <w:r w:rsidR="00893951">
        <w:rPr>
          <w:sz w:val="26"/>
        </w:rPr>
        <w:t>nsideration and disposition is the</w:t>
      </w:r>
      <w:r w:rsidRPr="00027664">
        <w:rPr>
          <w:sz w:val="26"/>
        </w:rPr>
        <w:t xml:space="preserve"> Petition </w:t>
      </w:r>
      <w:r w:rsidR="00255863">
        <w:rPr>
          <w:sz w:val="26"/>
        </w:rPr>
        <w:t>for</w:t>
      </w:r>
      <w:r w:rsidR="009272E6">
        <w:rPr>
          <w:sz w:val="26"/>
        </w:rPr>
        <w:t xml:space="preserve"> </w:t>
      </w:r>
      <w:r w:rsidRPr="00027664">
        <w:rPr>
          <w:sz w:val="26"/>
        </w:rPr>
        <w:t xml:space="preserve">Reconsideration </w:t>
      </w:r>
      <w:r w:rsidR="00EB42B9">
        <w:rPr>
          <w:sz w:val="26"/>
        </w:rPr>
        <w:t xml:space="preserve">(Petition) </w:t>
      </w:r>
      <w:r w:rsidRPr="00027664">
        <w:rPr>
          <w:sz w:val="26"/>
        </w:rPr>
        <w:t xml:space="preserve">filed </w:t>
      </w:r>
      <w:r w:rsidR="008E322B">
        <w:rPr>
          <w:sz w:val="26"/>
        </w:rPr>
        <w:t xml:space="preserve">by </w:t>
      </w:r>
      <w:r w:rsidR="0098347E">
        <w:rPr>
          <w:sz w:val="26"/>
        </w:rPr>
        <w:lastRenderedPageBreak/>
        <w:t>Sprague Operating Resources LLC (Sprague</w:t>
      </w:r>
      <w:r w:rsidR="00255863">
        <w:rPr>
          <w:sz w:val="26"/>
        </w:rPr>
        <w:t>)</w:t>
      </w:r>
      <w:r w:rsidRPr="00027664">
        <w:rPr>
          <w:sz w:val="26"/>
        </w:rPr>
        <w:t xml:space="preserve"> on</w:t>
      </w:r>
      <w:r w:rsidR="003E22CB">
        <w:rPr>
          <w:sz w:val="26"/>
        </w:rPr>
        <w:t xml:space="preserve"> </w:t>
      </w:r>
      <w:r w:rsidR="009272E6">
        <w:rPr>
          <w:sz w:val="26"/>
        </w:rPr>
        <w:t>September </w:t>
      </w:r>
      <w:r w:rsidR="00AF6486">
        <w:rPr>
          <w:sz w:val="26"/>
        </w:rPr>
        <w:t>10</w:t>
      </w:r>
      <w:r w:rsidR="009272E6">
        <w:rPr>
          <w:sz w:val="26"/>
        </w:rPr>
        <w:t>, 201</w:t>
      </w:r>
      <w:r w:rsidR="006B49E0">
        <w:rPr>
          <w:sz w:val="26"/>
        </w:rPr>
        <w:t>5</w:t>
      </w:r>
      <w:r w:rsidR="00AA548E">
        <w:rPr>
          <w:sz w:val="26"/>
        </w:rPr>
        <w:t>,</w:t>
      </w:r>
      <w:r w:rsidR="00255863">
        <w:rPr>
          <w:rStyle w:val="FootnoteReference"/>
          <w:sz w:val="26"/>
        </w:rPr>
        <w:footnoteReference w:id="1"/>
      </w:r>
      <w:r w:rsidR="00AA548E">
        <w:rPr>
          <w:sz w:val="26"/>
        </w:rPr>
        <w:t xml:space="preserve"> seeking reconsideration of</w:t>
      </w:r>
      <w:r w:rsidR="000505E5">
        <w:rPr>
          <w:sz w:val="26"/>
        </w:rPr>
        <w:t xml:space="preserve"> the </w:t>
      </w:r>
      <w:r w:rsidRPr="00027664">
        <w:rPr>
          <w:sz w:val="26"/>
        </w:rPr>
        <w:t xml:space="preserve">Order entered </w:t>
      </w:r>
      <w:r w:rsidR="009272E6">
        <w:rPr>
          <w:sz w:val="26"/>
        </w:rPr>
        <w:t>August 2</w:t>
      </w:r>
      <w:r w:rsidR="00AF6486">
        <w:rPr>
          <w:sz w:val="26"/>
        </w:rPr>
        <w:t>8</w:t>
      </w:r>
      <w:r w:rsidR="009272E6">
        <w:rPr>
          <w:sz w:val="26"/>
        </w:rPr>
        <w:t>, 201</w:t>
      </w:r>
      <w:r w:rsidR="00255863">
        <w:rPr>
          <w:sz w:val="26"/>
        </w:rPr>
        <w:t>5</w:t>
      </w:r>
      <w:r w:rsidR="00FA6766">
        <w:rPr>
          <w:sz w:val="26"/>
        </w:rPr>
        <w:t xml:space="preserve">, in </w:t>
      </w:r>
      <w:r w:rsidR="00FA6766">
        <w:rPr>
          <w:i/>
          <w:sz w:val="26"/>
        </w:rPr>
        <w:t>Electric Generation Supplier License Cancellations of Companies with an Expired Financial Security</w:t>
      </w:r>
      <w:r w:rsidR="00FA6766">
        <w:rPr>
          <w:sz w:val="26"/>
        </w:rPr>
        <w:t>, Docket No. M</w:t>
      </w:r>
      <w:r w:rsidR="006E044E">
        <w:rPr>
          <w:sz w:val="26"/>
        </w:rPr>
        <w:noBreakHyphen/>
      </w:r>
      <w:r w:rsidR="00FA6766">
        <w:rPr>
          <w:sz w:val="26"/>
        </w:rPr>
        <w:t>2015-2490383 (Final Order entered August 28, 2015) (</w:t>
      </w:r>
      <w:r w:rsidR="00FA6766">
        <w:rPr>
          <w:i/>
          <w:sz w:val="26"/>
        </w:rPr>
        <w:t>Final Order</w:t>
      </w:r>
      <w:r w:rsidR="00FA6766">
        <w:rPr>
          <w:sz w:val="26"/>
        </w:rPr>
        <w:t>)</w:t>
      </w:r>
      <w:r w:rsidRPr="00027664">
        <w:rPr>
          <w:sz w:val="26"/>
        </w:rPr>
        <w:t>.</w:t>
      </w:r>
      <w:r w:rsidR="005801B4">
        <w:rPr>
          <w:sz w:val="26"/>
        </w:rPr>
        <w:t xml:space="preserve">  No Answers to the Petition have been filed.  </w:t>
      </w:r>
      <w:r w:rsidR="00F17B3B">
        <w:rPr>
          <w:sz w:val="26"/>
        </w:rPr>
        <w:t xml:space="preserve">Also before the Commission is </w:t>
      </w:r>
      <w:r w:rsidR="00EB42B9">
        <w:rPr>
          <w:sz w:val="26"/>
        </w:rPr>
        <w:t>the Application to</w:t>
      </w:r>
      <w:r w:rsidR="004C56B3">
        <w:rPr>
          <w:sz w:val="26"/>
        </w:rPr>
        <w:t xml:space="preserve"> </w:t>
      </w:r>
      <w:r w:rsidR="00F17B3B">
        <w:rPr>
          <w:sz w:val="26"/>
        </w:rPr>
        <w:t xml:space="preserve">Abandon </w:t>
      </w:r>
      <w:r w:rsidR="004C56B3">
        <w:rPr>
          <w:sz w:val="26"/>
        </w:rPr>
        <w:t xml:space="preserve">Electric Generation Supplier License </w:t>
      </w:r>
      <w:r w:rsidR="00F17B3B">
        <w:rPr>
          <w:sz w:val="26"/>
        </w:rPr>
        <w:t>(</w:t>
      </w:r>
      <w:r w:rsidR="00EB42B9">
        <w:rPr>
          <w:sz w:val="26"/>
        </w:rPr>
        <w:t>Application</w:t>
      </w:r>
      <w:r w:rsidR="00F17B3B">
        <w:rPr>
          <w:sz w:val="26"/>
        </w:rPr>
        <w:t xml:space="preserve">), filed by Sprague on </w:t>
      </w:r>
      <w:r w:rsidR="00EB42B9">
        <w:rPr>
          <w:sz w:val="26"/>
        </w:rPr>
        <w:t>July 17,</w:t>
      </w:r>
      <w:r w:rsidR="00F17B3B">
        <w:rPr>
          <w:sz w:val="26"/>
        </w:rPr>
        <w:t xml:space="preserve"> </w:t>
      </w:r>
      <w:r w:rsidR="004C56B3">
        <w:rPr>
          <w:sz w:val="26"/>
        </w:rPr>
        <w:t>201</w:t>
      </w:r>
      <w:r w:rsidR="00EB42B9">
        <w:rPr>
          <w:sz w:val="26"/>
        </w:rPr>
        <w:t>5</w:t>
      </w:r>
      <w:r w:rsidR="004C56B3">
        <w:rPr>
          <w:sz w:val="26"/>
        </w:rPr>
        <w:t xml:space="preserve">, </w:t>
      </w:r>
      <w:r w:rsidR="00F17B3B">
        <w:rPr>
          <w:sz w:val="26"/>
        </w:rPr>
        <w:t xml:space="preserve">at Docket No. A-2015-2494779.  </w:t>
      </w:r>
      <w:r w:rsidR="005801B4">
        <w:rPr>
          <w:sz w:val="26"/>
        </w:rPr>
        <w:t xml:space="preserve">For the reasons set forth herein, we shall </w:t>
      </w:r>
      <w:r w:rsidR="009A78E2">
        <w:rPr>
          <w:sz w:val="26"/>
        </w:rPr>
        <w:t>grant</w:t>
      </w:r>
      <w:r w:rsidR="005801B4">
        <w:rPr>
          <w:sz w:val="26"/>
        </w:rPr>
        <w:t xml:space="preserve"> the Petition</w:t>
      </w:r>
      <w:r w:rsidR="00686AF5">
        <w:rPr>
          <w:sz w:val="26"/>
        </w:rPr>
        <w:t xml:space="preserve">, </w:t>
      </w:r>
      <w:r w:rsidR="003412D4">
        <w:rPr>
          <w:sz w:val="26"/>
        </w:rPr>
        <w:t xml:space="preserve">in part, </w:t>
      </w:r>
      <w:r w:rsidR="00686AF5">
        <w:rPr>
          <w:sz w:val="26"/>
        </w:rPr>
        <w:t xml:space="preserve">modify the </w:t>
      </w:r>
      <w:r w:rsidR="00686AF5">
        <w:rPr>
          <w:i/>
          <w:sz w:val="26"/>
        </w:rPr>
        <w:t>Final Order</w:t>
      </w:r>
      <w:r w:rsidR="00686AF5">
        <w:rPr>
          <w:sz w:val="26"/>
        </w:rPr>
        <w:t>,</w:t>
      </w:r>
      <w:r w:rsidR="004C56B3">
        <w:rPr>
          <w:sz w:val="26"/>
        </w:rPr>
        <w:t xml:space="preserve"> </w:t>
      </w:r>
      <w:r w:rsidR="00EB42B9">
        <w:rPr>
          <w:sz w:val="26"/>
        </w:rPr>
        <w:t>and refer the Application to the Commission’s Bureau of Technical Utility Services (TUS) for such furthe</w:t>
      </w:r>
      <w:r w:rsidR="00A81F57">
        <w:rPr>
          <w:sz w:val="26"/>
        </w:rPr>
        <w:t>r action as may be warranted.</w:t>
      </w:r>
    </w:p>
    <w:p w:rsidR="00E1259B" w:rsidRDefault="00E1259B" w:rsidP="003E22CB">
      <w:pPr>
        <w:widowControl/>
        <w:tabs>
          <w:tab w:val="left" w:pos="-720"/>
        </w:tabs>
        <w:suppressAutoHyphens/>
        <w:spacing w:line="360" w:lineRule="auto"/>
        <w:ind w:firstLine="1440"/>
        <w:rPr>
          <w:sz w:val="26"/>
        </w:rPr>
      </w:pPr>
    </w:p>
    <w:p w:rsidR="00E1259B" w:rsidRPr="00E1259B" w:rsidRDefault="00E1259B" w:rsidP="00E1259B">
      <w:pPr>
        <w:widowControl/>
        <w:tabs>
          <w:tab w:val="left" w:pos="-720"/>
        </w:tabs>
        <w:suppressAutoHyphens/>
        <w:spacing w:line="360" w:lineRule="auto"/>
        <w:jc w:val="center"/>
        <w:rPr>
          <w:b/>
          <w:sz w:val="26"/>
        </w:rPr>
      </w:pPr>
      <w:r>
        <w:rPr>
          <w:b/>
          <w:sz w:val="26"/>
        </w:rPr>
        <w:t>History of the Proceeding</w:t>
      </w:r>
    </w:p>
    <w:p w:rsidR="000F1318" w:rsidRDefault="000F1318" w:rsidP="000F1318">
      <w:pPr>
        <w:spacing w:line="360" w:lineRule="auto"/>
        <w:ind w:firstLine="1440"/>
        <w:rPr>
          <w:sz w:val="26"/>
          <w:szCs w:val="26"/>
        </w:rPr>
      </w:pPr>
    </w:p>
    <w:p w:rsidR="009C5865" w:rsidRDefault="004F31A6" w:rsidP="000F1318">
      <w:pPr>
        <w:spacing w:line="360" w:lineRule="auto"/>
        <w:ind w:firstLine="1440"/>
        <w:rPr>
          <w:sz w:val="26"/>
          <w:szCs w:val="26"/>
        </w:rPr>
      </w:pPr>
      <w:r>
        <w:rPr>
          <w:sz w:val="26"/>
          <w:szCs w:val="26"/>
        </w:rPr>
        <w:t xml:space="preserve">Sprague </w:t>
      </w:r>
      <w:r w:rsidR="00762A50">
        <w:rPr>
          <w:sz w:val="26"/>
          <w:szCs w:val="26"/>
        </w:rPr>
        <w:t xml:space="preserve">received its </w:t>
      </w:r>
      <w:r w:rsidR="00770395">
        <w:rPr>
          <w:sz w:val="26"/>
          <w:szCs w:val="26"/>
        </w:rPr>
        <w:t xml:space="preserve">license from the Commission to provide </w:t>
      </w:r>
      <w:r w:rsidR="00762A50">
        <w:rPr>
          <w:sz w:val="26"/>
          <w:szCs w:val="26"/>
        </w:rPr>
        <w:t xml:space="preserve">electric generation supplier (EGS) </w:t>
      </w:r>
      <w:r w:rsidR="00770395">
        <w:rPr>
          <w:sz w:val="26"/>
          <w:szCs w:val="26"/>
        </w:rPr>
        <w:t xml:space="preserve">services as a broker/marketer in Pennsylvania </w:t>
      </w:r>
      <w:r w:rsidR="00762A50">
        <w:rPr>
          <w:sz w:val="26"/>
          <w:szCs w:val="26"/>
        </w:rPr>
        <w:t xml:space="preserve">on June </w:t>
      </w:r>
      <w:r w:rsidR="00BD6DD9">
        <w:rPr>
          <w:sz w:val="26"/>
          <w:szCs w:val="26"/>
        </w:rPr>
        <w:t>7</w:t>
      </w:r>
      <w:r w:rsidR="00762A50">
        <w:rPr>
          <w:sz w:val="26"/>
          <w:szCs w:val="26"/>
        </w:rPr>
        <w:t>, 2012, at Docket No. A-2012-2292048.</w:t>
      </w:r>
      <w:r w:rsidR="009A78E2">
        <w:rPr>
          <w:sz w:val="26"/>
          <w:szCs w:val="26"/>
        </w:rPr>
        <w:t xml:space="preserve">  As a licensed </w:t>
      </w:r>
      <w:r w:rsidR="009D224D">
        <w:rPr>
          <w:sz w:val="26"/>
          <w:szCs w:val="26"/>
        </w:rPr>
        <w:t>broker/marketer</w:t>
      </w:r>
      <w:r w:rsidR="009A78E2">
        <w:rPr>
          <w:sz w:val="26"/>
          <w:szCs w:val="26"/>
        </w:rPr>
        <w:t>, Sprague was required to have a bond in the amount of $10,000 to satisfy its security requirement.</w:t>
      </w:r>
      <w:r w:rsidR="00332607">
        <w:rPr>
          <w:sz w:val="26"/>
          <w:szCs w:val="26"/>
        </w:rPr>
        <w:t xml:space="preserve">  </w:t>
      </w:r>
      <w:r w:rsidR="00332607" w:rsidRPr="00332607">
        <w:rPr>
          <w:i/>
          <w:sz w:val="26"/>
          <w:szCs w:val="26"/>
        </w:rPr>
        <w:t>See</w:t>
      </w:r>
      <w:r w:rsidR="00332607">
        <w:rPr>
          <w:sz w:val="26"/>
          <w:szCs w:val="26"/>
        </w:rPr>
        <w:t xml:space="preserve">, </w:t>
      </w:r>
      <w:r w:rsidR="00332607" w:rsidRPr="00332607">
        <w:rPr>
          <w:i/>
          <w:sz w:val="26"/>
          <w:szCs w:val="26"/>
        </w:rPr>
        <w:t>License Application of Sprague Operating Resources LLC</w:t>
      </w:r>
      <w:r w:rsidR="00332607">
        <w:rPr>
          <w:sz w:val="26"/>
          <w:szCs w:val="26"/>
        </w:rPr>
        <w:t>, Docket No. A-2012-2292048</w:t>
      </w:r>
      <w:r w:rsidR="006E044E">
        <w:rPr>
          <w:sz w:val="26"/>
          <w:szCs w:val="26"/>
        </w:rPr>
        <w:t xml:space="preserve"> (Order entered June 7, 2012). </w:t>
      </w:r>
    </w:p>
    <w:p w:rsidR="009C5865" w:rsidRDefault="009C5865" w:rsidP="000F1318">
      <w:pPr>
        <w:spacing w:line="360" w:lineRule="auto"/>
        <w:ind w:firstLine="1440"/>
        <w:rPr>
          <w:sz w:val="26"/>
          <w:szCs w:val="26"/>
        </w:rPr>
      </w:pPr>
    </w:p>
    <w:p w:rsidR="006556AF" w:rsidRDefault="006556AF" w:rsidP="000F1318">
      <w:pPr>
        <w:spacing w:line="360" w:lineRule="auto"/>
        <w:ind w:firstLine="1440"/>
        <w:rPr>
          <w:sz w:val="26"/>
          <w:szCs w:val="26"/>
        </w:rPr>
      </w:pPr>
      <w:r>
        <w:rPr>
          <w:sz w:val="26"/>
          <w:szCs w:val="26"/>
        </w:rPr>
        <w:t xml:space="preserve">On November 4, </w:t>
      </w:r>
      <w:r w:rsidR="007D674E">
        <w:rPr>
          <w:sz w:val="26"/>
          <w:szCs w:val="26"/>
        </w:rPr>
        <w:t xml:space="preserve">2013, the Commission sent a Secretarial Letter to Sprague informing Sprague that the expiration of its bond or other approved security would occur on January 10, 2014.  The Commission advised Sprague </w:t>
      </w:r>
      <w:r w:rsidR="002B39BB">
        <w:rPr>
          <w:sz w:val="26"/>
          <w:szCs w:val="26"/>
        </w:rPr>
        <w:t>that i</w:t>
      </w:r>
      <w:r w:rsidR="007877AD">
        <w:rPr>
          <w:sz w:val="26"/>
          <w:szCs w:val="26"/>
        </w:rPr>
        <w:t>t</w:t>
      </w:r>
      <w:r w:rsidR="002B39BB">
        <w:rPr>
          <w:sz w:val="26"/>
          <w:szCs w:val="26"/>
        </w:rPr>
        <w:t xml:space="preserve"> must </w:t>
      </w:r>
      <w:r w:rsidR="007D674E">
        <w:rPr>
          <w:sz w:val="26"/>
          <w:szCs w:val="26"/>
        </w:rPr>
        <w:t xml:space="preserve">file a proper financial security with the Commission in order to maintain its EGS license and that failure </w:t>
      </w:r>
      <w:r w:rsidR="002B39BB">
        <w:rPr>
          <w:sz w:val="26"/>
          <w:szCs w:val="26"/>
        </w:rPr>
        <w:t xml:space="preserve">to </w:t>
      </w:r>
      <w:r w:rsidR="00EA3016">
        <w:rPr>
          <w:sz w:val="26"/>
          <w:szCs w:val="26"/>
        </w:rPr>
        <w:t>do so</w:t>
      </w:r>
      <w:r w:rsidR="007D674E">
        <w:rPr>
          <w:sz w:val="26"/>
          <w:szCs w:val="26"/>
        </w:rPr>
        <w:t xml:space="preserve"> may result in the cancellation of its license.  </w:t>
      </w:r>
      <w:r w:rsidR="007D674E" w:rsidRPr="002B39BB">
        <w:rPr>
          <w:i/>
          <w:sz w:val="26"/>
          <w:szCs w:val="26"/>
        </w:rPr>
        <w:t>See</w:t>
      </w:r>
      <w:r w:rsidR="007D674E">
        <w:rPr>
          <w:sz w:val="26"/>
          <w:szCs w:val="26"/>
        </w:rPr>
        <w:t xml:space="preserve"> Docket No. A-2012-2292048 (Secretarial Letter issued November 4, 2013)</w:t>
      </w:r>
      <w:r w:rsidR="00EA3016">
        <w:rPr>
          <w:sz w:val="26"/>
          <w:szCs w:val="26"/>
        </w:rPr>
        <w:t xml:space="preserve"> (</w:t>
      </w:r>
      <w:r w:rsidR="00EA3016" w:rsidRPr="00EA3016">
        <w:rPr>
          <w:i/>
          <w:sz w:val="26"/>
          <w:szCs w:val="26"/>
        </w:rPr>
        <w:t>November 2013 Secretarial Letter</w:t>
      </w:r>
      <w:r w:rsidR="00EA3016">
        <w:rPr>
          <w:sz w:val="26"/>
          <w:szCs w:val="26"/>
        </w:rPr>
        <w:t>)</w:t>
      </w:r>
      <w:r w:rsidR="007D674E">
        <w:rPr>
          <w:sz w:val="26"/>
          <w:szCs w:val="26"/>
        </w:rPr>
        <w:t>.</w:t>
      </w:r>
    </w:p>
    <w:p w:rsidR="006556AF" w:rsidRDefault="006556AF" w:rsidP="000F1318">
      <w:pPr>
        <w:spacing w:line="360" w:lineRule="auto"/>
        <w:ind w:firstLine="1440"/>
        <w:rPr>
          <w:sz w:val="26"/>
          <w:szCs w:val="26"/>
        </w:rPr>
      </w:pPr>
    </w:p>
    <w:p w:rsidR="006556AF" w:rsidRDefault="006556AF" w:rsidP="000F1318">
      <w:pPr>
        <w:spacing w:line="360" w:lineRule="auto"/>
        <w:ind w:firstLine="1440"/>
        <w:rPr>
          <w:sz w:val="26"/>
          <w:szCs w:val="26"/>
        </w:rPr>
      </w:pPr>
      <w:r>
        <w:rPr>
          <w:sz w:val="26"/>
          <w:szCs w:val="26"/>
        </w:rPr>
        <w:lastRenderedPageBreak/>
        <w:t xml:space="preserve">On March 3, 2015, the Commission </w:t>
      </w:r>
      <w:r w:rsidR="00F62094">
        <w:rPr>
          <w:sz w:val="26"/>
          <w:szCs w:val="26"/>
        </w:rPr>
        <w:t xml:space="preserve">further notified Sprague by an additional </w:t>
      </w:r>
      <w:r>
        <w:rPr>
          <w:sz w:val="26"/>
          <w:szCs w:val="26"/>
        </w:rPr>
        <w:t xml:space="preserve">Secretarial Letter that it was required to file an original financial security with the Commission within ten days and that failure to respond may result in cancellation of its EGS license.  </w:t>
      </w:r>
      <w:r w:rsidR="00F62094" w:rsidRPr="00F62094">
        <w:rPr>
          <w:i/>
          <w:sz w:val="26"/>
          <w:szCs w:val="26"/>
        </w:rPr>
        <w:t>See i</w:t>
      </w:r>
      <w:r w:rsidR="007D674E" w:rsidRPr="007D674E">
        <w:rPr>
          <w:i/>
          <w:sz w:val="26"/>
          <w:szCs w:val="26"/>
        </w:rPr>
        <w:t>d</w:t>
      </w:r>
      <w:r w:rsidR="007D674E">
        <w:rPr>
          <w:sz w:val="26"/>
          <w:szCs w:val="26"/>
        </w:rPr>
        <w:t>.</w:t>
      </w:r>
      <w:r>
        <w:rPr>
          <w:sz w:val="26"/>
          <w:szCs w:val="26"/>
        </w:rPr>
        <w:t xml:space="preserve"> (Secretarial Letter issued March 3, 2015)</w:t>
      </w:r>
      <w:r w:rsidR="00EA3016">
        <w:rPr>
          <w:sz w:val="26"/>
          <w:szCs w:val="26"/>
        </w:rPr>
        <w:t xml:space="preserve"> (</w:t>
      </w:r>
      <w:r w:rsidR="00EA3016" w:rsidRPr="00EA3016">
        <w:rPr>
          <w:i/>
          <w:sz w:val="26"/>
          <w:szCs w:val="26"/>
        </w:rPr>
        <w:t>March 2015 Secretarial Letter</w:t>
      </w:r>
      <w:r w:rsidR="00EA3016">
        <w:rPr>
          <w:sz w:val="26"/>
          <w:szCs w:val="26"/>
        </w:rPr>
        <w:t>)</w:t>
      </w:r>
      <w:r>
        <w:rPr>
          <w:sz w:val="26"/>
          <w:szCs w:val="26"/>
        </w:rPr>
        <w:t xml:space="preserve">.  The Secretarial Letter was </w:t>
      </w:r>
      <w:r w:rsidR="00D670E4">
        <w:rPr>
          <w:sz w:val="26"/>
          <w:szCs w:val="26"/>
        </w:rPr>
        <w:t xml:space="preserve">sent to Sprague </w:t>
      </w:r>
      <w:r w:rsidR="00F62094">
        <w:rPr>
          <w:sz w:val="26"/>
          <w:szCs w:val="26"/>
        </w:rPr>
        <w:t xml:space="preserve">by Certified Mail </w:t>
      </w:r>
      <w:r w:rsidR="00D670E4">
        <w:rPr>
          <w:sz w:val="26"/>
          <w:szCs w:val="26"/>
        </w:rPr>
        <w:t>at</w:t>
      </w:r>
      <w:r w:rsidR="003B6F4F">
        <w:rPr>
          <w:sz w:val="26"/>
          <w:szCs w:val="26"/>
        </w:rPr>
        <w:t xml:space="preserve"> its address on file with the Commission,</w:t>
      </w:r>
      <w:r w:rsidR="00D670E4">
        <w:rPr>
          <w:sz w:val="26"/>
          <w:szCs w:val="26"/>
        </w:rPr>
        <w:t xml:space="preserve"> Two International Drive, Suite 200, Portsmouth, New Hampshire, 03801, and was </w:t>
      </w:r>
      <w:r>
        <w:rPr>
          <w:sz w:val="26"/>
          <w:szCs w:val="26"/>
        </w:rPr>
        <w:t xml:space="preserve">returned to the Commission </w:t>
      </w:r>
      <w:r w:rsidR="001C3A98">
        <w:rPr>
          <w:sz w:val="26"/>
          <w:szCs w:val="26"/>
        </w:rPr>
        <w:t xml:space="preserve">by the United States Postal Service </w:t>
      </w:r>
      <w:r>
        <w:rPr>
          <w:sz w:val="26"/>
          <w:szCs w:val="26"/>
        </w:rPr>
        <w:t xml:space="preserve">as undeliverable on March 24, 2015.  </w:t>
      </w:r>
    </w:p>
    <w:p w:rsidR="006556AF" w:rsidRDefault="006556AF" w:rsidP="000F1318">
      <w:pPr>
        <w:spacing w:line="360" w:lineRule="auto"/>
        <w:ind w:firstLine="1440"/>
        <w:rPr>
          <w:sz w:val="26"/>
          <w:szCs w:val="26"/>
        </w:rPr>
      </w:pPr>
    </w:p>
    <w:p w:rsidR="001556A8" w:rsidRDefault="000F63E9" w:rsidP="000F1318">
      <w:pPr>
        <w:spacing w:line="360" w:lineRule="auto"/>
        <w:ind w:firstLine="1440"/>
        <w:rPr>
          <w:sz w:val="26"/>
          <w:szCs w:val="26"/>
        </w:rPr>
      </w:pPr>
      <w:r>
        <w:rPr>
          <w:sz w:val="26"/>
          <w:szCs w:val="26"/>
        </w:rPr>
        <w:t xml:space="preserve">By Tentative Order entered July 8, 2015, </w:t>
      </w:r>
      <w:r w:rsidR="009C5865">
        <w:rPr>
          <w:sz w:val="26"/>
          <w:szCs w:val="26"/>
        </w:rPr>
        <w:t xml:space="preserve">the Commission </w:t>
      </w:r>
      <w:r>
        <w:rPr>
          <w:sz w:val="26"/>
          <w:szCs w:val="26"/>
        </w:rPr>
        <w:t>notified various EGSs, including Sprague,</w:t>
      </w:r>
      <w:r w:rsidR="007A1080">
        <w:rPr>
          <w:rStyle w:val="FootnoteReference"/>
          <w:sz w:val="26"/>
          <w:szCs w:val="26"/>
        </w:rPr>
        <w:footnoteReference w:id="2"/>
      </w:r>
      <w:r>
        <w:rPr>
          <w:sz w:val="26"/>
          <w:szCs w:val="26"/>
        </w:rPr>
        <w:t xml:space="preserve"> that they had not submitted a bond or other approved security to the Commission, as required by </w:t>
      </w:r>
      <w:r w:rsidR="00820C68">
        <w:rPr>
          <w:sz w:val="26"/>
          <w:szCs w:val="26"/>
        </w:rPr>
        <w:t xml:space="preserve">Sections 54.40(a) and (d) of </w:t>
      </w:r>
      <w:r w:rsidR="009C5865">
        <w:rPr>
          <w:sz w:val="26"/>
          <w:szCs w:val="26"/>
        </w:rPr>
        <w:t>the Commission’s</w:t>
      </w:r>
      <w:r w:rsidR="00B324EC">
        <w:rPr>
          <w:sz w:val="26"/>
          <w:szCs w:val="26"/>
        </w:rPr>
        <w:t xml:space="preserve"> Regulations</w:t>
      </w:r>
      <w:r w:rsidR="00820C68">
        <w:rPr>
          <w:sz w:val="26"/>
          <w:szCs w:val="26"/>
        </w:rPr>
        <w:t>,</w:t>
      </w:r>
      <w:r w:rsidR="00B324EC">
        <w:rPr>
          <w:sz w:val="26"/>
          <w:szCs w:val="26"/>
        </w:rPr>
        <w:t xml:space="preserve"> </w:t>
      </w:r>
      <w:r>
        <w:rPr>
          <w:sz w:val="26"/>
          <w:szCs w:val="26"/>
        </w:rPr>
        <w:t>52 Pa. Code §§ 54.40(a) and (d).</w:t>
      </w:r>
      <w:r w:rsidR="00B324EC">
        <w:rPr>
          <w:rStyle w:val="FootnoteReference"/>
          <w:sz w:val="26"/>
          <w:szCs w:val="26"/>
        </w:rPr>
        <w:footnoteReference w:id="3"/>
      </w:r>
      <w:r w:rsidR="00231F99">
        <w:rPr>
          <w:sz w:val="26"/>
          <w:szCs w:val="26"/>
        </w:rPr>
        <w:t xml:space="preserve">  </w:t>
      </w:r>
      <w:r w:rsidR="00EA3016">
        <w:rPr>
          <w:i/>
          <w:sz w:val="26"/>
          <w:szCs w:val="26"/>
        </w:rPr>
        <w:t>Electric Generation Supplier License Cancellations of Companies with an Expired Financial Security</w:t>
      </w:r>
      <w:r w:rsidR="00EA3016">
        <w:rPr>
          <w:sz w:val="26"/>
          <w:szCs w:val="26"/>
        </w:rPr>
        <w:t>, Docket No. M-2015-2490383 (Tentative Order entered July 8, 2015) (</w:t>
      </w:r>
      <w:r w:rsidR="00EA3016">
        <w:rPr>
          <w:i/>
          <w:sz w:val="26"/>
          <w:szCs w:val="26"/>
        </w:rPr>
        <w:t>Tentative Order</w:t>
      </w:r>
      <w:r w:rsidR="00EA3016">
        <w:rPr>
          <w:sz w:val="26"/>
          <w:szCs w:val="26"/>
        </w:rPr>
        <w:t>)</w:t>
      </w:r>
      <w:r w:rsidR="007A1080">
        <w:rPr>
          <w:sz w:val="26"/>
          <w:szCs w:val="26"/>
        </w:rPr>
        <w:t xml:space="preserve">.  </w:t>
      </w:r>
      <w:r w:rsidR="00231F99">
        <w:rPr>
          <w:sz w:val="26"/>
          <w:szCs w:val="26"/>
        </w:rPr>
        <w:t xml:space="preserve">The Commission indicated that </w:t>
      </w:r>
      <w:r w:rsidR="00D670E4">
        <w:rPr>
          <w:sz w:val="26"/>
          <w:szCs w:val="26"/>
        </w:rPr>
        <w:t>failure to file a proper bond or other security may result in cancellation of an EGS license</w:t>
      </w:r>
      <w:r w:rsidR="00231F99">
        <w:rPr>
          <w:sz w:val="26"/>
          <w:szCs w:val="26"/>
        </w:rPr>
        <w:t xml:space="preserve">.  </w:t>
      </w:r>
      <w:r w:rsidR="00D670E4" w:rsidRPr="00D670E4">
        <w:rPr>
          <w:i/>
          <w:sz w:val="26"/>
          <w:szCs w:val="26"/>
        </w:rPr>
        <w:t>Id</w:t>
      </w:r>
      <w:r w:rsidR="00D670E4">
        <w:rPr>
          <w:sz w:val="26"/>
          <w:szCs w:val="26"/>
        </w:rPr>
        <w:t xml:space="preserve">. at 1.  </w:t>
      </w:r>
      <w:r w:rsidR="00231F99">
        <w:rPr>
          <w:sz w:val="26"/>
          <w:szCs w:val="26"/>
        </w:rPr>
        <w:t>Accordingly, the Commission tentatively concluded that it was appropriate to cancel Sprague’s EGS license without the necessity of a formal complaint, consistent with the public interest.</w:t>
      </w:r>
      <w:r w:rsidR="007A1080">
        <w:rPr>
          <w:sz w:val="26"/>
          <w:szCs w:val="26"/>
        </w:rPr>
        <w:t xml:space="preserve">  </w:t>
      </w:r>
      <w:r w:rsidR="007A1080" w:rsidRPr="007A1080">
        <w:rPr>
          <w:i/>
          <w:sz w:val="26"/>
          <w:szCs w:val="26"/>
        </w:rPr>
        <w:t>Id</w:t>
      </w:r>
      <w:r w:rsidR="007A1080">
        <w:rPr>
          <w:sz w:val="26"/>
          <w:szCs w:val="26"/>
        </w:rPr>
        <w:t>. at 3.</w:t>
      </w:r>
    </w:p>
    <w:p w:rsidR="001556A8" w:rsidRDefault="001556A8" w:rsidP="000F1318">
      <w:pPr>
        <w:spacing w:line="360" w:lineRule="auto"/>
        <w:ind w:firstLine="1440"/>
        <w:rPr>
          <w:sz w:val="26"/>
          <w:szCs w:val="26"/>
        </w:rPr>
      </w:pPr>
    </w:p>
    <w:p w:rsidR="00634A81" w:rsidRDefault="0081740B" w:rsidP="00593B2D">
      <w:pPr>
        <w:widowControl/>
        <w:spacing w:line="360" w:lineRule="auto"/>
        <w:ind w:firstLine="1440"/>
        <w:rPr>
          <w:sz w:val="26"/>
          <w:szCs w:val="26"/>
        </w:rPr>
      </w:pPr>
      <w:r>
        <w:rPr>
          <w:sz w:val="26"/>
          <w:szCs w:val="26"/>
        </w:rPr>
        <w:t>On July 8, 2015, t</w:t>
      </w:r>
      <w:r w:rsidR="0095470B">
        <w:rPr>
          <w:sz w:val="26"/>
          <w:szCs w:val="26"/>
        </w:rPr>
        <w:t xml:space="preserve">he </w:t>
      </w:r>
      <w:r w:rsidR="0095470B" w:rsidRPr="007B343B">
        <w:rPr>
          <w:i/>
          <w:sz w:val="26"/>
          <w:szCs w:val="26"/>
        </w:rPr>
        <w:t>Tentative Order</w:t>
      </w:r>
      <w:r w:rsidR="0095470B">
        <w:rPr>
          <w:sz w:val="26"/>
          <w:szCs w:val="26"/>
        </w:rPr>
        <w:t xml:space="preserve"> was served on Sprague </w:t>
      </w:r>
      <w:r w:rsidR="00A47E6D">
        <w:rPr>
          <w:sz w:val="26"/>
          <w:szCs w:val="26"/>
        </w:rPr>
        <w:t>at Two International Drive, Suite 200, Portsmouth, New Hampshire, 03801</w:t>
      </w:r>
      <w:r w:rsidR="00144FFF">
        <w:rPr>
          <w:sz w:val="26"/>
          <w:szCs w:val="26"/>
        </w:rPr>
        <w:t xml:space="preserve">, </w:t>
      </w:r>
      <w:r w:rsidR="00A47E6D">
        <w:rPr>
          <w:sz w:val="26"/>
          <w:szCs w:val="26"/>
        </w:rPr>
        <w:t>and was returned as undeliverable</w:t>
      </w:r>
      <w:r w:rsidR="00E16179">
        <w:rPr>
          <w:sz w:val="26"/>
          <w:szCs w:val="26"/>
        </w:rPr>
        <w:t xml:space="preserve"> on July 24, 2015</w:t>
      </w:r>
      <w:r w:rsidR="00A47E6D">
        <w:rPr>
          <w:sz w:val="26"/>
          <w:szCs w:val="26"/>
        </w:rPr>
        <w:t>.</w:t>
      </w:r>
      <w:r w:rsidR="001A7165">
        <w:rPr>
          <w:sz w:val="26"/>
          <w:szCs w:val="26"/>
        </w:rPr>
        <w:t xml:space="preserve">  </w:t>
      </w:r>
      <w:r w:rsidR="00D037C2">
        <w:rPr>
          <w:sz w:val="26"/>
          <w:szCs w:val="26"/>
        </w:rPr>
        <w:t xml:space="preserve">The </w:t>
      </w:r>
      <w:r w:rsidR="00D037C2" w:rsidRPr="007478A3">
        <w:rPr>
          <w:i/>
          <w:sz w:val="26"/>
          <w:szCs w:val="26"/>
        </w:rPr>
        <w:t>Tentative Order</w:t>
      </w:r>
      <w:r w:rsidR="00D037C2">
        <w:rPr>
          <w:sz w:val="26"/>
          <w:szCs w:val="26"/>
        </w:rPr>
        <w:t xml:space="preserve"> was published in the </w:t>
      </w:r>
      <w:r w:rsidR="00D037C2" w:rsidRPr="001773F8">
        <w:rPr>
          <w:i/>
          <w:sz w:val="26"/>
          <w:szCs w:val="26"/>
        </w:rPr>
        <w:t>Pennsylvania Bulletin</w:t>
      </w:r>
      <w:r w:rsidR="00D037C2">
        <w:rPr>
          <w:sz w:val="26"/>
          <w:szCs w:val="26"/>
        </w:rPr>
        <w:t xml:space="preserve"> on July 18, 2015, at 45 </w:t>
      </w:r>
      <w:r w:rsidR="00D037C2" w:rsidRPr="00992B61">
        <w:rPr>
          <w:i/>
          <w:sz w:val="26"/>
          <w:szCs w:val="26"/>
        </w:rPr>
        <w:t>Pa</w:t>
      </w:r>
      <w:r w:rsidR="00D037C2">
        <w:rPr>
          <w:sz w:val="26"/>
          <w:szCs w:val="26"/>
        </w:rPr>
        <w:t xml:space="preserve">. </w:t>
      </w:r>
      <w:r w:rsidR="00D037C2" w:rsidRPr="00992B61">
        <w:rPr>
          <w:i/>
          <w:sz w:val="26"/>
          <w:szCs w:val="26"/>
        </w:rPr>
        <w:t>B</w:t>
      </w:r>
      <w:r w:rsidR="00D037C2">
        <w:rPr>
          <w:sz w:val="26"/>
          <w:szCs w:val="26"/>
        </w:rPr>
        <w:t xml:space="preserve">. 3955, with a thirty-day comment period.  </w:t>
      </w:r>
      <w:r w:rsidR="00D037C2">
        <w:rPr>
          <w:sz w:val="26"/>
          <w:szCs w:val="26"/>
        </w:rPr>
        <w:lastRenderedPageBreak/>
        <w:t>Additionally, o</w:t>
      </w:r>
      <w:r w:rsidR="007B343B">
        <w:rPr>
          <w:sz w:val="26"/>
          <w:szCs w:val="26"/>
        </w:rPr>
        <w:t xml:space="preserve">n July 31, 2015, the </w:t>
      </w:r>
      <w:r w:rsidR="007B343B" w:rsidRPr="007B343B">
        <w:rPr>
          <w:i/>
          <w:sz w:val="26"/>
          <w:szCs w:val="26"/>
        </w:rPr>
        <w:t>Tentative Order</w:t>
      </w:r>
      <w:r w:rsidR="007B343B">
        <w:rPr>
          <w:sz w:val="26"/>
          <w:szCs w:val="26"/>
        </w:rPr>
        <w:t xml:space="preserve"> was resent to Sprague at </w:t>
      </w:r>
      <w:r w:rsidR="007478A3">
        <w:rPr>
          <w:sz w:val="26"/>
        </w:rPr>
        <w:t>185 International Drive, Portsmouth, New Hampshire, 03801</w:t>
      </w:r>
      <w:r w:rsidR="00670047">
        <w:rPr>
          <w:sz w:val="26"/>
        </w:rPr>
        <w:t>, and was not returned to the Commission</w:t>
      </w:r>
      <w:r w:rsidR="007478A3">
        <w:rPr>
          <w:sz w:val="26"/>
        </w:rPr>
        <w:t xml:space="preserve">.  </w:t>
      </w:r>
      <w:r w:rsidR="001773F8">
        <w:rPr>
          <w:sz w:val="26"/>
          <w:szCs w:val="26"/>
        </w:rPr>
        <w:t xml:space="preserve">The </w:t>
      </w:r>
      <w:r w:rsidR="001773F8" w:rsidRPr="007478A3">
        <w:rPr>
          <w:i/>
          <w:sz w:val="26"/>
          <w:szCs w:val="26"/>
        </w:rPr>
        <w:t>Tentative Order</w:t>
      </w:r>
      <w:r w:rsidR="001773F8">
        <w:rPr>
          <w:sz w:val="26"/>
          <w:szCs w:val="26"/>
        </w:rPr>
        <w:t xml:space="preserve"> provided that, absent the filing of adverse public comment or an approved security within thirty days after publication in the </w:t>
      </w:r>
      <w:r w:rsidR="001773F8" w:rsidRPr="001773F8">
        <w:rPr>
          <w:i/>
          <w:sz w:val="26"/>
          <w:szCs w:val="26"/>
        </w:rPr>
        <w:t>Pennsylvania Bulletin</w:t>
      </w:r>
      <w:r w:rsidR="001773F8">
        <w:rPr>
          <w:sz w:val="26"/>
          <w:szCs w:val="26"/>
        </w:rPr>
        <w:t xml:space="preserve">, the licenses held by each EGS would be cancelled.  </w:t>
      </w:r>
      <w:r w:rsidR="001773F8" w:rsidRPr="00D037C2">
        <w:rPr>
          <w:i/>
          <w:sz w:val="26"/>
          <w:szCs w:val="26"/>
        </w:rPr>
        <w:t>Tentative Order</w:t>
      </w:r>
      <w:r w:rsidR="001773F8">
        <w:rPr>
          <w:sz w:val="26"/>
          <w:szCs w:val="26"/>
        </w:rPr>
        <w:t xml:space="preserve"> at 4.</w:t>
      </w:r>
    </w:p>
    <w:p w:rsidR="0081740B" w:rsidRDefault="0081740B" w:rsidP="000F1318">
      <w:pPr>
        <w:spacing w:line="360" w:lineRule="auto"/>
        <w:ind w:firstLine="1440"/>
        <w:rPr>
          <w:sz w:val="26"/>
          <w:szCs w:val="26"/>
        </w:rPr>
      </w:pPr>
    </w:p>
    <w:p w:rsidR="008035B5" w:rsidRDefault="0081740B" w:rsidP="000F1318">
      <w:pPr>
        <w:spacing w:line="360" w:lineRule="auto"/>
        <w:ind w:firstLine="1440"/>
        <w:rPr>
          <w:sz w:val="26"/>
          <w:szCs w:val="26"/>
        </w:rPr>
      </w:pPr>
      <w:r>
        <w:rPr>
          <w:sz w:val="26"/>
          <w:szCs w:val="26"/>
        </w:rPr>
        <w:t xml:space="preserve">On July 17, 2015, </w:t>
      </w:r>
      <w:r w:rsidR="00332607">
        <w:rPr>
          <w:sz w:val="26"/>
          <w:szCs w:val="26"/>
        </w:rPr>
        <w:t xml:space="preserve">the day before the </w:t>
      </w:r>
      <w:r w:rsidR="00332607" w:rsidRPr="00332607">
        <w:rPr>
          <w:i/>
          <w:sz w:val="26"/>
          <w:szCs w:val="26"/>
        </w:rPr>
        <w:t>Tentative Order</w:t>
      </w:r>
      <w:r w:rsidR="00332607">
        <w:rPr>
          <w:sz w:val="26"/>
          <w:szCs w:val="26"/>
        </w:rPr>
        <w:t xml:space="preserve"> was published in the </w:t>
      </w:r>
      <w:r w:rsidR="00332607" w:rsidRPr="00332607">
        <w:rPr>
          <w:i/>
          <w:sz w:val="26"/>
          <w:szCs w:val="26"/>
        </w:rPr>
        <w:t>Pennsylvania Bulletin</w:t>
      </w:r>
      <w:r w:rsidR="00332607">
        <w:rPr>
          <w:sz w:val="26"/>
          <w:szCs w:val="26"/>
        </w:rPr>
        <w:t xml:space="preserve">, </w:t>
      </w:r>
      <w:r>
        <w:rPr>
          <w:sz w:val="26"/>
          <w:szCs w:val="26"/>
        </w:rPr>
        <w:t xml:space="preserve">Sprague filed </w:t>
      </w:r>
      <w:r w:rsidR="00D60DD4">
        <w:rPr>
          <w:sz w:val="26"/>
          <w:szCs w:val="26"/>
        </w:rPr>
        <w:t>its Application.</w:t>
      </w:r>
      <w:r>
        <w:rPr>
          <w:sz w:val="26"/>
          <w:szCs w:val="26"/>
        </w:rPr>
        <w:t xml:space="preserve">  The </w:t>
      </w:r>
      <w:r w:rsidR="00625AAD">
        <w:rPr>
          <w:sz w:val="26"/>
          <w:szCs w:val="26"/>
        </w:rPr>
        <w:t>A</w:t>
      </w:r>
      <w:r w:rsidR="00D60DD4">
        <w:rPr>
          <w:sz w:val="26"/>
          <w:szCs w:val="26"/>
        </w:rPr>
        <w:t>pplication</w:t>
      </w:r>
      <w:r>
        <w:rPr>
          <w:sz w:val="26"/>
          <w:szCs w:val="26"/>
        </w:rPr>
        <w:t xml:space="preserve"> provided the following:  “Please let this letter serve as notice to the [Commission] of [Sprague’s] intent to withdraw/abandon its license as an Electric Broker/</w:t>
      </w:r>
      <w:r w:rsidR="00C771BF">
        <w:rPr>
          <w:sz w:val="26"/>
          <w:szCs w:val="26"/>
        </w:rPr>
        <w:t>Marketer in the state.”  A</w:t>
      </w:r>
      <w:r w:rsidR="00D60DD4">
        <w:rPr>
          <w:sz w:val="26"/>
          <w:szCs w:val="26"/>
        </w:rPr>
        <w:t>pplication</w:t>
      </w:r>
      <w:r w:rsidR="00C771BF">
        <w:rPr>
          <w:sz w:val="26"/>
          <w:szCs w:val="26"/>
        </w:rPr>
        <w:t xml:space="preserve"> at 1.  Sprague also stated that after the abandonment, it would have a business presence in Pennsylvania as a natural gas supplier only.  </w:t>
      </w:r>
      <w:r w:rsidR="00C771BF" w:rsidRPr="00C771BF">
        <w:rPr>
          <w:i/>
          <w:sz w:val="26"/>
          <w:szCs w:val="26"/>
        </w:rPr>
        <w:t>Id</w:t>
      </w:r>
      <w:r w:rsidR="00C771BF">
        <w:rPr>
          <w:sz w:val="26"/>
          <w:szCs w:val="26"/>
        </w:rPr>
        <w:t>.</w:t>
      </w:r>
      <w:r w:rsidR="00B3490B">
        <w:rPr>
          <w:sz w:val="26"/>
          <w:szCs w:val="26"/>
        </w:rPr>
        <w:t xml:space="preserve">  There is no record of any contact by the Commission with Sprague relating to the A</w:t>
      </w:r>
      <w:r w:rsidR="00D60DD4">
        <w:rPr>
          <w:sz w:val="26"/>
          <w:szCs w:val="26"/>
        </w:rPr>
        <w:t>pplication</w:t>
      </w:r>
      <w:r w:rsidR="00C068EA">
        <w:rPr>
          <w:sz w:val="26"/>
          <w:szCs w:val="26"/>
        </w:rPr>
        <w:t xml:space="preserve">. </w:t>
      </w:r>
    </w:p>
    <w:p w:rsidR="00B3490B" w:rsidRDefault="00B3490B" w:rsidP="000F1318">
      <w:pPr>
        <w:spacing w:line="360" w:lineRule="auto"/>
        <w:ind w:firstLine="1440"/>
        <w:rPr>
          <w:sz w:val="26"/>
          <w:szCs w:val="26"/>
        </w:rPr>
      </w:pPr>
    </w:p>
    <w:p w:rsidR="001C0E5D" w:rsidRDefault="008035B5" w:rsidP="000F1318">
      <w:pPr>
        <w:spacing w:line="360" w:lineRule="auto"/>
        <w:ind w:firstLine="1440"/>
        <w:rPr>
          <w:sz w:val="26"/>
          <w:szCs w:val="26"/>
        </w:rPr>
      </w:pPr>
      <w:r>
        <w:rPr>
          <w:sz w:val="26"/>
          <w:szCs w:val="26"/>
        </w:rPr>
        <w:t xml:space="preserve">In </w:t>
      </w:r>
      <w:r w:rsidR="002F62B6">
        <w:rPr>
          <w:sz w:val="26"/>
          <w:szCs w:val="26"/>
        </w:rPr>
        <w:t>the</w:t>
      </w:r>
      <w:r>
        <w:rPr>
          <w:sz w:val="26"/>
          <w:szCs w:val="26"/>
        </w:rPr>
        <w:t xml:space="preserve"> </w:t>
      </w:r>
      <w:r w:rsidRPr="002F62B6">
        <w:rPr>
          <w:i/>
          <w:sz w:val="26"/>
          <w:szCs w:val="26"/>
        </w:rPr>
        <w:t>Final Order</w:t>
      </w:r>
      <w:r>
        <w:rPr>
          <w:sz w:val="26"/>
          <w:szCs w:val="26"/>
        </w:rPr>
        <w:t xml:space="preserve">, the Commission stated that the </w:t>
      </w:r>
      <w:r w:rsidRPr="002F62B6">
        <w:rPr>
          <w:i/>
          <w:sz w:val="26"/>
          <w:szCs w:val="26"/>
        </w:rPr>
        <w:t>Tentative Order</w:t>
      </w:r>
      <w:r>
        <w:rPr>
          <w:sz w:val="26"/>
          <w:szCs w:val="26"/>
        </w:rPr>
        <w:t xml:space="preserve"> had become final by operation of law and the EGS license held by Sprague was cancelled</w:t>
      </w:r>
      <w:r w:rsidR="00F77D2D">
        <w:rPr>
          <w:sz w:val="26"/>
          <w:szCs w:val="26"/>
        </w:rPr>
        <w:t xml:space="preserve">, as Sprague did not file an adverse comment or approved security within thirty days after publication of the </w:t>
      </w:r>
      <w:r w:rsidR="00F77D2D" w:rsidRPr="00F77D2D">
        <w:rPr>
          <w:i/>
          <w:sz w:val="26"/>
          <w:szCs w:val="26"/>
        </w:rPr>
        <w:t>Tentative Order</w:t>
      </w:r>
      <w:r w:rsidR="00F77D2D">
        <w:rPr>
          <w:sz w:val="26"/>
          <w:szCs w:val="26"/>
        </w:rPr>
        <w:t xml:space="preserve"> in the </w:t>
      </w:r>
      <w:r w:rsidR="00F77D2D" w:rsidRPr="00F77D2D">
        <w:rPr>
          <w:i/>
          <w:sz w:val="26"/>
          <w:szCs w:val="26"/>
        </w:rPr>
        <w:t>Pennsylvania Bulletin</w:t>
      </w:r>
      <w:r>
        <w:rPr>
          <w:sz w:val="26"/>
          <w:szCs w:val="26"/>
        </w:rPr>
        <w:t>.</w:t>
      </w:r>
      <w:r w:rsidR="007A1357">
        <w:rPr>
          <w:sz w:val="26"/>
          <w:szCs w:val="26"/>
        </w:rPr>
        <w:t xml:space="preserve">  The </w:t>
      </w:r>
      <w:r w:rsidR="007A1357" w:rsidRPr="007A1357">
        <w:rPr>
          <w:i/>
          <w:sz w:val="26"/>
          <w:szCs w:val="26"/>
        </w:rPr>
        <w:t>Final Order</w:t>
      </w:r>
      <w:r w:rsidR="007A1357">
        <w:rPr>
          <w:sz w:val="26"/>
          <w:szCs w:val="26"/>
        </w:rPr>
        <w:t xml:space="preserve"> did not address Sprague’s A</w:t>
      </w:r>
      <w:r w:rsidR="00D60DD4">
        <w:rPr>
          <w:sz w:val="26"/>
          <w:szCs w:val="26"/>
        </w:rPr>
        <w:t>pplication</w:t>
      </w:r>
      <w:r w:rsidR="00C068EA">
        <w:rPr>
          <w:sz w:val="26"/>
          <w:szCs w:val="26"/>
        </w:rPr>
        <w:t>.</w:t>
      </w:r>
    </w:p>
    <w:p w:rsidR="001C0E5D" w:rsidRDefault="001C0E5D" w:rsidP="000F1318">
      <w:pPr>
        <w:spacing w:line="360" w:lineRule="auto"/>
        <w:ind w:firstLine="1440"/>
        <w:rPr>
          <w:sz w:val="26"/>
          <w:szCs w:val="26"/>
        </w:rPr>
      </w:pPr>
    </w:p>
    <w:p w:rsidR="00C75067" w:rsidRDefault="001C0E5D" w:rsidP="000F1318">
      <w:pPr>
        <w:spacing w:line="360" w:lineRule="auto"/>
        <w:ind w:firstLine="1440"/>
        <w:rPr>
          <w:sz w:val="26"/>
          <w:szCs w:val="26"/>
        </w:rPr>
      </w:pPr>
      <w:r>
        <w:rPr>
          <w:sz w:val="26"/>
          <w:szCs w:val="26"/>
        </w:rPr>
        <w:t xml:space="preserve">Sprague filed its Petition </w:t>
      </w:r>
      <w:r w:rsidR="00625AAD">
        <w:rPr>
          <w:sz w:val="26"/>
          <w:szCs w:val="26"/>
        </w:rPr>
        <w:t xml:space="preserve">for Reconsideration </w:t>
      </w:r>
      <w:r>
        <w:rPr>
          <w:sz w:val="26"/>
          <w:szCs w:val="26"/>
        </w:rPr>
        <w:t xml:space="preserve">on September 10, 2015, seeking reconsideration of the </w:t>
      </w:r>
      <w:r w:rsidRPr="00982DF1">
        <w:rPr>
          <w:i/>
          <w:sz w:val="26"/>
          <w:szCs w:val="26"/>
        </w:rPr>
        <w:t>Final Order</w:t>
      </w:r>
      <w:r>
        <w:rPr>
          <w:sz w:val="26"/>
          <w:szCs w:val="26"/>
        </w:rPr>
        <w:t>.</w:t>
      </w:r>
      <w:r w:rsidR="007A1357">
        <w:rPr>
          <w:sz w:val="26"/>
          <w:szCs w:val="26"/>
        </w:rPr>
        <w:t xml:space="preserve">  Sprague attached to the Petition copies of a bond in the amount of $250,000, which exceeded the $10,000 bond required for </w:t>
      </w:r>
      <w:r w:rsidR="00005177">
        <w:rPr>
          <w:sz w:val="26"/>
          <w:szCs w:val="26"/>
        </w:rPr>
        <w:t xml:space="preserve">Sprague as a </w:t>
      </w:r>
      <w:r w:rsidR="007A1357">
        <w:rPr>
          <w:sz w:val="26"/>
          <w:szCs w:val="26"/>
        </w:rPr>
        <w:t>broker/marketer.</w:t>
      </w:r>
      <w:r w:rsidR="004B100B">
        <w:rPr>
          <w:rStyle w:val="FootnoteReference"/>
          <w:sz w:val="26"/>
          <w:szCs w:val="26"/>
        </w:rPr>
        <w:footnoteReference w:id="4"/>
      </w:r>
      <w:r w:rsidR="007A1357">
        <w:rPr>
          <w:sz w:val="26"/>
          <w:szCs w:val="26"/>
        </w:rPr>
        <w:t xml:space="preserve">  The bond covered the entire period during which Sprague was a licensed broker/marketer and expired i</w:t>
      </w:r>
      <w:r w:rsidR="00C068EA">
        <w:rPr>
          <w:sz w:val="26"/>
          <w:szCs w:val="26"/>
        </w:rPr>
        <w:t>n January 2016.</w:t>
      </w:r>
    </w:p>
    <w:p w:rsidR="00C75067" w:rsidRDefault="00C75067" w:rsidP="000F1318">
      <w:pPr>
        <w:spacing w:line="360" w:lineRule="auto"/>
        <w:ind w:firstLine="1440"/>
        <w:rPr>
          <w:sz w:val="26"/>
          <w:szCs w:val="26"/>
        </w:rPr>
      </w:pPr>
    </w:p>
    <w:p w:rsidR="00D60DD4" w:rsidRDefault="00C75067" w:rsidP="000F1318">
      <w:pPr>
        <w:spacing w:line="360" w:lineRule="auto"/>
        <w:ind w:firstLine="1440"/>
        <w:rPr>
          <w:sz w:val="26"/>
          <w:szCs w:val="26"/>
        </w:rPr>
      </w:pPr>
      <w:r>
        <w:rPr>
          <w:sz w:val="26"/>
          <w:szCs w:val="26"/>
        </w:rPr>
        <w:lastRenderedPageBreak/>
        <w:t xml:space="preserve">By Opinion and Order, entered </w:t>
      </w:r>
      <w:r w:rsidR="009C5865">
        <w:rPr>
          <w:sz w:val="26"/>
          <w:szCs w:val="26"/>
        </w:rPr>
        <w:t>September 17, 2015, the Commission granted Sprague’s Petition, pending further review of and consideration on the merits.</w:t>
      </w:r>
    </w:p>
    <w:p w:rsidR="003D57DC" w:rsidRDefault="003D57DC" w:rsidP="000F1318">
      <w:pPr>
        <w:spacing w:line="360" w:lineRule="auto"/>
        <w:ind w:firstLine="1440"/>
        <w:rPr>
          <w:sz w:val="26"/>
          <w:szCs w:val="26"/>
        </w:rPr>
      </w:pPr>
    </w:p>
    <w:p w:rsidR="00B54FBB" w:rsidRDefault="003D57DC" w:rsidP="000F1318">
      <w:pPr>
        <w:spacing w:line="360" w:lineRule="auto"/>
        <w:ind w:firstLine="1440"/>
        <w:rPr>
          <w:sz w:val="26"/>
          <w:szCs w:val="26"/>
        </w:rPr>
      </w:pPr>
      <w:r>
        <w:rPr>
          <w:sz w:val="26"/>
          <w:szCs w:val="26"/>
        </w:rPr>
        <w:t>On January 21, 2016, Sprague filed a</w:t>
      </w:r>
      <w:r w:rsidR="002F62B6">
        <w:rPr>
          <w:sz w:val="26"/>
          <w:szCs w:val="26"/>
        </w:rPr>
        <w:t>n</w:t>
      </w:r>
      <w:r>
        <w:rPr>
          <w:sz w:val="26"/>
          <w:szCs w:val="26"/>
        </w:rPr>
        <w:t xml:space="preserve"> </w:t>
      </w:r>
      <w:r w:rsidR="00C04603">
        <w:rPr>
          <w:sz w:val="26"/>
          <w:szCs w:val="26"/>
        </w:rPr>
        <w:t>original bond c</w:t>
      </w:r>
      <w:r>
        <w:rPr>
          <w:sz w:val="26"/>
          <w:szCs w:val="26"/>
        </w:rPr>
        <w:t xml:space="preserve">ontinuation </w:t>
      </w:r>
      <w:r w:rsidR="00C04603">
        <w:rPr>
          <w:sz w:val="26"/>
          <w:szCs w:val="26"/>
        </w:rPr>
        <w:t>c</w:t>
      </w:r>
      <w:r>
        <w:rPr>
          <w:sz w:val="26"/>
          <w:szCs w:val="26"/>
        </w:rPr>
        <w:t>ertificate</w:t>
      </w:r>
      <w:r w:rsidR="007A1357">
        <w:rPr>
          <w:sz w:val="26"/>
          <w:szCs w:val="26"/>
        </w:rPr>
        <w:t xml:space="preserve"> for its bond</w:t>
      </w:r>
      <w:r w:rsidR="002F62B6">
        <w:rPr>
          <w:sz w:val="26"/>
          <w:szCs w:val="26"/>
        </w:rPr>
        <w:t xml:space="preserve"> which </w:t>
      </w:r>
      <w:r w:rsidR="00625AAD">
        <w:rPr>
          <w:sz w:val="26"/>
          <w:szCs w:val="26"/>
        </w:rPr>
        <w:t>covers the time period through January 10, 2017</w:t>
      </w:r>
      <w:r>
        <w:rPr>
          <w:sz w:val="26"/>
          <w:szCs w:val="26"/>
        </w:rPr>
        <w:t xml:space="preserve">.  In the letter accompanying the </w:t>
      </w:r>
      <w:r w:rsidR="00C04603">
        <w:rPr>
          <w:sz w:val="26"/>
          <w:szCs w:val="26"/>
        </w:rPr>
        <w:t>c</w:t>
      </w:r>
      <w:r>
        <w:rPr>
          <w:sz w:val="26"/>
          <w:szCs w:val="26"/>
        </w:rPr>
        <w:t xml:space="preserve">ontinuation </w:t>
      </w:r>
      <w:r w:rsidR="00C04603">
        <w:rPr>
          <w:sz w:val="26"/>
          <w:szCs w:val="26"/>
        </w:rPr>
        <w:t>c</w:t>
      </w:r>
      <w:r>
        <w:rPr>
          <w:sz w:val="26"/>
          <w:szCs w:val="26"/>
        </w:rPr>
        <w:t xml:space="preserve">ertificate, Sprague requested that the Commission accept the </w:t>
      </w:r>
      <w:r w:rsidR="00C04603">
        <w:rPr>
          <w:sz w:val="26"/>
          <w:szCs w:val="26"/>
        </w:rPr>
        <w:t>c</w:t>
      </w:r>
      <w:r>
        <w:rPr>
          <w:sz w:val="26"/>
          <w:szCs w:val="26"/>
        </w:rPr>
        <w:t>ertificate until the Commission acted on the instant Petition.</w:t>
      </w:r>
    </w:p>
    <w:p w:rsidR="00B54FBB" w:rsidRDefault="00B54FBB" w:rsidP="000F1318">
      <w:pPr>
        <w:spacing w:line="360" w:lineRule="auto"/>
        <w:ind w:firstLine="1440"/>
        <w:rPr>
          <w:sz w:val="26"/>
          <w:szCs w:val="26"/>
        </w:rPr>
      </w:pPr>
    </w:p>
    <w:p w:rsidR="00C70287" w:rsidRDefault="00B54FBB" w:rsidP="000F1318">
      <w:pPr>
        <w:spacing w:line="360" w:lineRule="auto"/>
        <w:ind w:firstLine="1440"/>
        <w:rPr>
          <w:sz w:val="26"/>
          <w:szCs w:val="26"/>
        </w:rPr>
      </w:pPr>
      <w:r>
        <w:rPr>
          <w:sz w:val="26"/>
          <w:szCs w:val="26"/>
        </w:rPr>
        <w:t>On April 5, 2016, Sprague filed a “Supplement” to its Petition for Reconsideration</w:t>
      </w:r>
      <w:r w:rsidR="00FB5B38">
        <w:rPr>
          <w:sz w:val="26"/>
          <w:szCs w:val="26"/>
        </w:rPr>
        <w:t xml:space="preserve"> (Supplement)</w:t>
      </w:r>
      <w:r>
        <w:rPr>
          <w:sz w:val="26"/>
          <w:szCs w:val="26"/>
        </w:rPr>
        <w:t>.</w:t>
      </w:r>
      <w:r w:rsidR="00FB5B38">
        <w:rPr>
          <w:rStyle w:val="FootnoteReference"/>
          <w:sz w:val="26"/>
          <w:szCs w:val="26"/>
        </w:rPr>
        <w:footnoteReference w:id="5"/>
      </w:r>
      <w:r w:rsidR="00FB5B38">
        <w:rPr>
          <w:sz w:val="26"/>
          <w:szCs w:val="26"/>
        </w:rPr>
        <w:t xml:space="preserve">  </w:t>
      </w:r>
    </w:p>
    <w:p w:rsidR="00C70287" w:rsidRDefault="00C70287" w:rsidP="000F1318">
      <w:pPr>
        <w:spacing w:line="360" w:lineRule="auto"/>
        <w:ind w:firstLine="1440"/>
        <w:rPr>
          <w:sz w:val="26"/>
          <w:szCs w:val="26"/>
        </w:rPr>
      </w:pPr>
    </w:p>
    <w:p w:rsidR="00E1259B" w:rsidRPr="000F63E9" w:rsidRDefault="00C70287" w:rsidP="000F1318">
      <w:pPr>
        <w:spacing w:line="360" w:lineRule="auto"/>
        <w:ind w:firstLine="1440"/>
        <w:rPr>
          <w:sz w:val="26"/>
          <w:szCs w:val="26"/>
        </w:rPr>
      </w:pPr>
      <w:r>
        <w:rPr>
          <w:sz w:val="26"/>
          <w:szCs w:val="26"/>
        </w:rPr>
        <w:t xml:space="preserve">On April 8, 2016, Sprague filed </w:t>
      </w:r>
      <w:r w:rsidR="00D60DD4">
        <w:rPr>
          <w:sz w:val="26"/>
          <w:szCs w:val="26"/>
        </w:rPr>
        <w:t>a</w:t>
      </w:r>
      <w:r>
        <w:rPr>
          <w:sz w:val="26"/>
          <w:szCs w:val="26"/>
        </w:rPr>
        <w:t xml:space="preserve"> Petition to Abandon</w:t>
      </w:r>
      <w:r w:rsidR="00D60DD4">
        <w:rPr>
          <w:sz w:val="26"/>
          <w:szCs w:val="26"/>
        </w:rPr>
        <w:t xml:space="preserve"> </w:t>
      </w:r>
      <w:r w:rsidR="001D0A9A">
        <w:rPr>
          <w:sz w:val="26"/>
        </w:rPr>
        <w:t>Electric Generation Supplier License, in</w:t>
      </w:r>
      <w:r w:rsidR="00686AF5">
        <w:rPr>
          <w:sz w:val="26"/>
        </w:rPr>
        <w:t xml:space="preserve"> which it represented</w:t>
      </w:r>
      <w:r w:rsidR="001D0A9A">
        <w:rPr>
          <w:sz w:val="26"/>
        </w:rPr>
        <w:t xml:space="preserve"> that it </w:t>
      </w:r>
      <w:r w:rsidR="002A63F8">
        <w:rPr>
          <w:sz w:val="26"/>
          <w:szCs w:val="26"/>
        </w:rPr>
        <w:t xml:space="preserve">is seeking Commission authority to abandon its license, rather than providing a notice of its intent to abandon as it did in </w:t>
      </w:r>
      <w:r w:rsidR="001D0A9A">
        <w:rPr>
          <w:sz w:val="26"/>
          <w:szCs w:val="26"/>
        </w:rPr>
        <w:t>the Application</w:t>
      </w:r>
      <w:r w:rsidR="00C068EA">
        <w:rPr>
          <w:sz w:val="26"/>
          <w:szCs w:val="26"/>
        </w:rPr>
        <w:t>.</w:t>
      </w:r>
    </w:p>
    <w:p w:rsidR="00F272E7" w:rsidRDefault="00F272E7" w:rsidP="0097518A">
      <w:pPr>
        <w:widowControl/>
        <w:spacing w:line="360" w:lineRule="auto"/>
        <w:jc w:val="center"/>
        <w:rPr>
          <w:b/>
          <w:sz w:val="26"/>
        </w:rPr>
      </w:pPr>
    </w:p>
    <w:p w:rsidR="00976D4D" w:rsidRDefault="00976D4D" w:rsidP="003343F9">
      <w:pPr>
        <w:widowControl/>
        <w:spacing w:line="360" w:lineRule="auto"/>
        <w:jc w:val="center"/>
        <w:rPr>
          <w:b/>
          <w:sz w:val="26"/>
          <w:szCs w:val="26"/>
        </w:rPr>
      </w:pPr>
      <w:r>
        <w:rPr>
          <w:b/>
          <w:sz w:val="26"/>
          <w:szCs w:val="26"/>
        </w:rPr>
        <w:t>Di</w:t>
      </w:r>
      <w:r w:rsidRPr="00CA43A5">
        <w:rPr>
          <w:b/>
          <w:sz w:val="26"/>
          <w:szCs w:val="26"/>
        </w:rPr>
        <w:t>scussion</w:t>
      </w:r>
    </w:p>
    <w:p w:rsidR="00976D4D" w:rsidRDefault="00976D4D" w:rsidP="00976D4D">
      <w:pPr>
        <w:keepNext/>
        <w:spacing w:line="360" w:lineRule="auto"/>
        <w:rPr>
          <w:sz w:val="26"/>
          <w:szCs w:val="26"/>
        </w:rPr>
      </w:pPr>
    </w:p>
    <w:p w:rsidR="00976D4D" w:rsidRPr="00C33484" w:rsidRDefault="00976D4D" w:rsidP="00976D4D">
      <w:pPr>
        <w:widowControl/>
        <w:spacing w:line="360" w:lineRule="auto"/>
        <w:ind w:firstLine="1440"/>
        <w:rPr>
          <w:color w:val="000000"/>
          <w:sz w:val="26"/>
          <w:szCs w:val="26"/>
        </w:rPr>
      </w:pPr>
      <w:r w:rsidRPr="00C33484">
        <w:rPr>
          <w:sz w:val="26"/>
          <w:szCs w:val="26"/>
        </w:rPr>
        <w:t xml:space="preserve">We note that any issue or argument that we do not specifically address herein has been duly considered and will be denied without further discussion.  It is well settled that we are not required to consider expressly or at length each contention or argument raised by the parties.  </w:t>
      </w:r>
      <w:hyperlink r:id="rId9" w:history="1">
        <w:r w:rsidRPr="00C33484">
          <w:rPr>
            <w:i/>
            <w:iCs/>
            <w:color w:val="000000"/>
            <w:sz w:val="26"/>
            <w:szCs w:val="26"/>
          </w:rPr>
          <w:t xml:space="preserve">Consolidated Rail Corporation v. Pa. PUC, </w:t>
        </w:r>
        <w:r w:rsidRPr="00C33484">
          <w:rPr>
            <w:color w:val="000000"/>
            <w:sz w:val="26"/>
            <w:szCs w:val="26"/>
          </w:rPr>
          <w:t>625 A.2d 741 (Pa. Cmwlth. 1993);</w:t>
        </w:r>
      </w:hyperlink>
      <w:r w:rsidRPr="00C33484">
        <w:rPr>
          <w:color w:val="000000"/>
          <w:sz w:val="26"/>
          <w:szCs w:val="26"/>
        </w:rPr>
        <w:t xml:space="preserve"> </w:t>
      </w:r>
      <w:r w:rsidRPr="00C33484">
        <w:rPr>
          <w:i/>
          <w:color w:val="000000"/>
          <w:sz w:val="26"/>
          <w:szCs w:val="26"/>
        </w:rPr>
        <w:t xml:space="preserve">also </w:t>
      </w:r>
      <w:r w:rsidRPr="00C33484">
        <w:rPr>
          <w:i/>
          <w:iCs/>
          <w:color w:val="000000"/>
          <w:sz w:val="26"/>
          <w:szCs w:val="26"/>
        </w:rPr>
        <w:t xml:space="preserve">see, generally, </w:t>
      </w:r>
      <w:hyperlink r:id="rId10" w:history="1">
        <w:r w:rsidRPr="00C33484">
          <w:rPr>
            <w:i/>
            <w:iCs/>
            <w:color w:val="000000"/>
            <w:sz w:val="26"/>
            <w:szCs w:val="26"/>
          </w:rPr>
          <w:t>University of Pennsyl</w:t>
        </w:r>
        <w:r w:rsidRPr="00C33484">
          <w:rPr>
            <w:i/>
            <w:iCs/>
            <w:color w:val="000000"/>
            <w:sz w:val="26"/>
            <w:szCs w:val="26"/>
          </w:rPr>
          <w:softHyphen/>
          <w:t>vania v. Pa. PUC</w:t>
        </w:r>
        <w:r w:rsidRPr="00C33484">
          <w:rPr>
            <w:color w:val="000000"/>
            <w:sz w:val="26"/>
            <w:szCs w:val="26"/>
          </w:rPr>
          <w:t>, 485 A.2d 1217 (Pa. Cmwlth. 1984).</w:t>
        </w:r>
      </w:hyperlink>
    </w:p>
    <w:p w:rsidR="00976D4D" w:rsidRPr="00C33484" w:rsidRDefault="00976D4D" w:rsidP="00976D4D">
      <w:pPr>
        <w:widowControl/>
        <w:spacing w:line="360" w:lineRule="auto"/>
        <w:ind w:firstLine="1440"/>
        <w:rPr>
          <w:sz w:val="26"/>
          <w:szCs w:val="26"/>
        </w:rPr>
      </w:pPr>
    </w:p>
    <w:p w:rsidR="00976D4D" w:rsidRPr="00C33484" w:rsidRDefault="00976D4D" w:rsidP="00976D4D">
      <w:pPr>
        <w:widowControl/>
        <w:spacing w:line="360" w:lineRule="auto"/>
        <w:ind w:firstLine="1440"/>
        <w:rPr>
          <w:sz w:val="26"/>
          <w:szCs w:val="26"/>
        </w:rPr>
      </w:pPr>
      <w:r w:rsidRPr="00C33484">
        <w:rPr>
          <w:sz w:val="26"/>
          <w:szCs w:val="26"/>
        </w:rPr>
        <w:lastRenderedPageBreak/>
        <w:t xml:space="preserve">The Public Utility Code (Code) establishes a party’s right to seek relief following the issuance of our final decisions pursuant to Subsections 703(f) and (g), 66 Pa. C.S. §§ 703(f) and 703(g), relating to rehearings, as well as the rescission and amendment of orders.  Such requests for relief must be consistent with Section 5.572 of our Regulations, 52 Pa. Code § 5.572, relating to petitions for relief following the issuance of a final decision.  The standards for granting a Petition for Reconsideration were set forth in </w:t>
      </w:r>
      <w:r w:rsidRPr="00C33484">
        <w:rPr>
          <w:i/>
          <w:sz w:val="26"/>
          <w:szCs w:val="26"/>
        </w:rPr>
        <w:t>Duick v. Pennsylvania Gas and Water Company</w:t>
      </w:r>
      <w:r w:rsidRPr="00C33484">
        <w:rPr>
          <w:sz w:val="26"/>
          <w:szCs w:val="26"/>
        </w:rPr>
        <w:t xml:space="preserve">, 1982 Pa. PUC Lexis 4, *12-13:  </w:t>
      </w:r>
    </w:p>
    <w:p w:rsidR="00976D4D" w:rsidRPr="00C33484" w:rsidRDefault="00976D4D" w:rsidP="00976D4D">
      <w:pPr>
        <w:widowControl/>
        <w:ind w:left="1440" w:right="1440"/>
        <w:rPr>
          <w:sz w:val="26"/>
          <w:szCs w:val="26"/>
        </w:rPr>
      </w:pPr>
    </w:p>
    <w:p w:rsidR="00976D4D" w:rsidRPr="00C33484" w:rsidRDefault="00976D4D" w:rsidP="00976D4D">
      <w:pPr>
        <w:widowControl/>
        <w:ind w:left="1440" w:right="1440"/>
        <w:rPr>
          <w:sz w:val="26"/>
          <w:szCs w:val="26"/>
        </w:rPr>
      </w:pPr>
      <w:r w:rsidRPr="00C33484">
        <w:rPr>
          <w:sz w:val="26"/>
          <w:szCs w:val="26"/>
        </w:rPr>
        <w:t xml:space="preserve">A Petition for Reconsideration, under the provisions of </w:t>
      </w:r>
    </w:p>
    <w:p w:rsidR="00976D4D" w:rsidRPr="00C33484" w:rsidRDefault="00976D4D" w:rsidP="00976D4D">
      <w:pPr>
        <w:widowControl/>
        <w:ind w:left="1440" w:right="1440"/>
        <w:rPr>
          <w:sz w:val="26"/>
          <w:szCs w:val="26"/>
        </w:rPr>
      </w:pPr>
      <w:r w:rsidRPr="00C33484">
        <w:rPr>
          <w:sz w:val="26"/>
          <w:szCs w:val="26"/>
        </w:rPr>
        <w:t xml:space="preserve">66 Pa. C.S. § 703(g), may properly raise any matters designed to convince the Commission that it should exercise its discretion under this code section to rescind or amend a prior order in whole or in part.  </w:t>
      </w:r>
    </w:p>
    <w:p w:rsidR="00976D4D" w:rsidRPr="00C33484" w:rsidRDefault="00976D4D" w:rsidP="00976D4D">
      <w:pPr>
        <w:widowControl/>
        <w:ind w:left="1440" w:right="1440"/>
        <w:rPr>
          <w:sz w:val="26"/>
          <w:szCs w:val="26"/>
        </w:rPr>
      </w:pPr>
    </w:p>
    <w:p w:rsidR="00976D4D" w:rsidRPr="00C33484" w:rsidRDefault="00976D4D" w:rsidP="00976D4D">
      <w:pPr>
        <w:widowControl/>
        <w:ind w:left="1440" w:right="1440" w:firstLine="720"/>
        <w:rPr>
          <w:sz w:val="26"/>
          <w:szCs w:val="26"/>
        </w:rPr>
      </w:pPr>
      <w:r w:rsidRPr="00C33484">
        <w:rPr>
          <w:sz w:val="26"/>
          <w:szCs w:val="26"/>
        </w:rPr>
        <w:t>In this regard we agree with the court in the Pennsyl</w:t>
      </w:r>
      <w:r w:rsidRPr="00C33484">
        <w:rPr>
          <w:sz w:val="26"/>
          <w:szCs w:val="26"/>
        </w:rPr>
        <w:softHyphen/>
        <w:t xml:space="preserve">vania Railroad Company case, wherein it was stated that:  </w:t>
      </w:r>
    </w:p>
    <w:p w:rsidR="00976D4D" w:rsidRPr="00C33484" w:rsidRDefault="00976D4D" w:rsidP="00976D4D">
      <w:pPr>
        <w:widowControl/>
        <w:tabs>
          <w:tab w:val="left" w:pos="-720"/>
        </w:tabs>
        <w:ind w:left="2160" w:right="2160"/>
        <w:rPr>
          <w:sz w:val="26"/>
          <w:szCs w:val="26"/>
        </w:rPr>
      </w:pPr>
    </w:p>
    <w:p w:rsidR="00976D4D" w:rsidRPr="00C33484" w:rsidRDefault="00976D4D" w:rsidP="00976D4D">
      <w:pPr>
        <w:widowControl/>
        <w:tabs>
          <w:tab w:val="left" w:pos="-720"/>
        </w:tabs>
        <w:ind w:left="2160" w:right="2160"/>
        <w:rPr>
          <w:sz w:val="26"/>
          <w:szCs w:val="26"/>
        </w:rPr>
      </w:pPr>
      <w:r w:rsidRPr="00C33484">
        <w:rPr>
          <w:sz w:val="26"/>
          <w:szCs w:val="26"/>
        </w:rPr>
        <w:tab/>
        <w:t>Parties . . . cannot be permitted by a second motion to review and reconsider, to raise the same questions which were specifically considered and decided against them . . . what we expect to see raised in such petitions are new and novel arguments, not previously heard, or considera</w:t>
      </w:r>
      <w:r w:rsidRPr="00C33484">
        <w:rPr>
          <w:sz w:val="26"/>
          <w:szCs w:val="26"/>
        </w:rPr>
        <w:softHyphen/>
        <w:t xml:space="preserve">tions which appear to have been overlooked by the Commission.  </w:t>
      </w:r>
    </w:p>
    <w:p w:rsidR="00976D4D" w:rsidRPr="00C33484" w:rsidRDefault="00976D4D" w:rsidP="00976D4D">
      <w:pPr>
        <w:widowControl/>
        <w:tabs>
          <w:tab w:val="left" w:pos="-720"/>
        </w:tabs>
        <w:ind w:left="2160" w:right="2160"/>
        <w:rPr>
          <w:sz w:val="26"/>
          <w:szCs w:val="26"/>
        </w:rPr>
      </w:pPr>
    </w:p>
    <w:p w:rsidR="00976D4D" w:rsidRDefault="00976D4D" w:rsidP="00976D4D">
      <w:pPr>
        <w:widowControl/>
        <w:suppressAutoHyphens/>
        <w:spacing w:line="360" w:lineRule="auto"/>
        <w:rPr>
          <w:color w:val="000000"/>
          <w:spacing w:val="-3"/>
          <w:sz w:val="26"/>
          <w:szCs w:val="26"/>
          <w:u w:color="000000"/>
        </w:rPr>
      </w:pPr>
      <w:r w:rsidRPr="00C33484">
        <w:rPr>
          <w:color w:val="000000"/>
          <w:spacing w:val="-3"/>
          <w:sz w:val="26"/>
          <w:szCs w:val="26"/>
          <w:u w:color="000000"/>
        </w:rPr>
        <w:tab/>
      </w:r>
      <w:r w:rsidRPr="00C33484">
        <w:rPr>
          <w:color w:val="000000"/>
          <w:spacing w:val="-3"/>
          <w:sz w:val="26"/>
          <w:szCs w:val="26"/>
          <w:u w:color="000000"/>
        </w:rPr>
        <w:tab/>
        <w:t xml:space="preserve">Under the standards of </w:t>
      </w:r>
      <w:r w:rsidRPr="00C33484">
        <w:rPr>
          <w:i/>
          <w:color w:val="000000"/>
          <w:spacing w:val="-3"/>
          <w:sz w:val="26"/>
          <w:szCs w:val="26"/>
          <w:u w:color="000000"/>
        </w:rPr>
        <w:t>Duick</w:t>
      </w:r>
      <w:r w:rsidRPr="00C33484">
        <w:rPr>
          <w:color w:val="000000"/>
          <w:spacing w:val="-3"/>
          <w:sz w:val="26"/>
          <w:szCs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r w:rsidRPr="00C33484">
        <w:rPr>
          <w:i/>
          <w:color w:val="000000"/>
          <w:spacing w:val="-3"/>
          <w:sz w:val="26"/>
          <w:szCs w:val="26"/>
          <w:u w:color="000000"/>
        </w:rPr>
        <w:t>Id</w:t>
      </w:r>
      <w:r w:rsidRPr="00C33484">
        <w:rPr>
          <w:color w:val="000000"/>
          <w:spacing w:val="-3"/>
          <w:sz w:val="26"/>
          <w:szCs w:val="26"/>
          <w:u w:color="000000"/>
        </w:rPr>
        <w:t xml:space="preserve">. at *13. </w:t>
      </w:r>
    </w:p>
    <w:p w:rsidR="00390921" w:rsidRDefault="00390921" w:rsidP="00976D4D">
      <w:pPr>
        <w:widowControl/>
        <w:suppressAutoHyphens/>
        <w:spacing w:line="360" w:lineRule="auto"/>
        <w:rPr>
          <w:color w:val="000000"/>
          <w:spacing w:val="-3"/>
          <w:sz w:val="26"/>
          <w:szCs w:val="26"/>
          <w:u w:color="000000"/>
        </w:rPr>
      </w:pPr>
    </w:p>
    <w:p w:rsidR="002F0F03" w:rsidRDefault="008F3C8F" w:rsidP="008F3C8F">
      <w:pPr>
        <w:widowControl/>
        <w:spacing w:line="360" w:lineRule="auto"/>
        <w:rPr>
          <w:sz w:val="26"/>
        </w:rPr>
      </w:pPr>
      <w:r>
        <w:rPr>
          <w:sz w:val="26"/>
        </w:rPr>
        <w:lastRenderedPageBreak/>
        <w:tab/>
      </w:r>
      <w:r>
        <w:rPr>
          <w:sz w:val="26"/>
        </w:rPr>
        <w:tab/>
        <w:t xml:space="preserve">In its Petition, </w:t>
      </w:r>
      <w:r w:rsidR="00830DA0">
        <w:rPr>
          <w:sz w:val="26"/>
        </w:rPr>
        <w:t xml:space="preserve">Sprague requests that the Commission reconsider the </w:t>
      </w:r>
      <w:r w:rsidR="00830DA0" w:rsidRPr="00830DA0">
        <w:rPr>
          <w:i/>
          <w:sz w:val="26"/>
        </w:rPr>
        <w:t>Final Order</w:t>
      </w:r>
      <w:r w:rsidR="00830DA0">
        <w:rPr>
          <w:sz w:val="26"/>
        </w:rPr>
        <w:t xml:space="preserve">, reinstate Sprague’s EGS license, and grant Sprague’s request for abandonment.  </w:t>
      </w:r>
      <w:r>
        <w:rPr>
          <w:sz w:val="26"/>
        </w:rPr>
        <w:t xml:space="preserve">Sprague </w:t>
      </w:r>
      <w:r w:rsidR="000F49D7">
        <w:rPr>
          <w:sz w:val="26"/>
        </w:rPr>
        <w:t>a</w:t>
      </w:r>
      <w:r w:rsidR="00591B87">
        <w:rPr>
          <w:sz w:val="26"/>
        </w:rPr>
        <w:t>s</w:t>
      </w:r>
      <w:r w:rsidR="000F49D7">
        <w:rPr>
          <w:sz w:val="26"/>
        </w:rPr>
        <w:t>serts</w:t>
      </w:r>
      <w:r>
        <w:rPr>
          <w:sz w:val="26"/>
        </w:rPr>
        <w:t xml:space="preserve"> that it meets the </w:t>
      </w:r>
      <w:r w:rsidRPr="008F3C8F">
        <w:rPr>
          <w:i/>
          <w:sz w:val="26"/>
        </w:rPr>
        <w:t>Duick</w:t>
      </w:r>
      <w:r>
        <w:rPr>
          <w:sz w:val="26"/>
        </w:rPr>
        <w:t xml:space="preserve"> standards for granting reconsideration</w:t>
      </w:r>
      <w:r w:rsidR="00FA43F2">
        <w:rPr>
          <w:sz w:val="26"/>
        </w:rPr>
        <w:t xml:space="preserve"> on the basis </w:t>
      </w:r>
      <w:r w:rsidR="00E07D8D">
        <w:rPr>
          <w:sz w:val="26"/>
        </w:rPr>
        <w:t>that it has produced new evidence to demonstrate that it had an appropriate bond in place for the relevant period, that it had no electric customers in Pennsylvania</w:t>
      </w:r>
      <w:r w:rsidR="00F4235D">
        <w:rPr>
          <w:sz w:val="26"/>
        </w:rPr>
        <w:t>,</w:t>
      </w:r>
      <w:r w:rsidR="00E07D8D">
        <w:rPr>
          <w:sz w:val="26"/>
        </w:rPr>
        <w:t xml:space="preserve"> and </w:t>
      </w:r>
      <w:r w:rsidR="00F4235D">
        <w:rPr>
          <w:sz w:val="26"/>
        </w:rPr>
        <w:t xml:space="preserve">that it </w:t>
      </w:r>
      <w:r w:rsidR="00E07D8D">
        <w:rPr>
          <w:sz w:val="26"/>
        </w:rPr>
        <w:t>was not marketing to customers in Pennsylvania</w:t>
      </w:r>
      <w:r w:rsidR="00F4235D">
        <w:rPr>
          <w:sz w:val="26"/>
        </w:rPr>
        <w:t xml:space="preserve"> during the relevant period</w:t>
      </w:r>
      <w:r w:rsidR="00E07D8D">
        <w:rPr>
          <w:sz w:val="26"/>
        </w:rPr>
        <w:t>.</w:t>
      </w:r>
      <w:r w:rsidR="00F4235D">
        <w:rPr>
          <w:sz w:val="26"/>
        </w:rPr>
        <w:t xml:space="preserve">  </w:t>
      </w:r>
      <w:r>
        <w:rPr>
          <w:sz w:val="26"/>
        </w:rPr>
        <w:t xml:space="preserve">Sprague </w:t>
      </w:r>
      <w:r w:rsidR="00591B87">
        <w:rPr>
          <w:sz w:val="26"/>
        </w:rPr>
        <w:t>concedes</w:t>
      </w:r>
      <w:r>
        <w:rPr>
          <w:sz w:val="26"/>
        </w:rPr>
        <w:t xml:space="preserve"> that the </w:t>
      </w:r>
      <w:r w:rsidR="00591B87">
        <w:rPr>
          <w:sz w:val="26"/>
        </w:rPr>
        <w:t xml:space="preserve">failure to file a bond and the resulting </w:t>
      </w:r>
      <w:r>
        <w:rPr>
          <w:sz w:val="26"/>
        </w:rPr>
        <w:t xml:space="preserve">cancellation of its license </w:t>
      </w:r>
      <w:r w:rsidR="00FA43F2">
        <w:rPr>
          <w:sz w:val="26"/>
        </w:rPr>
        <w:t xml:space="preserve">was </w:t>
      </w:r>
      <w:r>
        <w:rPr>
          <w:sz w:val="26"/>
        </w:rPr>
        <w:t>due to its own inadvertence</w:t>
      </w:r>
      <w:r w:rsidR="00591B87">
        <w:rPr>
          <w:sz w:val="26"/>
        </w:rPr>
        <w:t>.</w:t>
      </w:r>
      <w:r w:rsidR="00643D92">
        <w:rPr>
          <w:sz w:val="26"/>
        </w:rPr>
        <w:t xml:space="preserve">  Petition at 3.</w:t>
      </w:r>
      <w:r>
        <w:rPr>
          <w:sz w:val="26"/>
        </w:rPr>
        <w:t xml:space="preserve">  Sprague explains that i</w:t>
      </w:r>
      <w:r w:rsidR="00F4235D">
        <w:rPr>
          <w:sz w:val="26"/>
        </w:rPr>
        <w:t>t</w:t>
      </w:r>
      <w:r>
        <w:rPr>
          <w:sz w:val="26"/>
        </w:rPr>
        <w:t xml:space="preserve"> moved its office to a new location, 185 International Drive, Portsmouth</w:t>
      </w:r>
      <w:r w:rsidR="00643D92">
        <w:rPr>
          <w:sz w:val="26"/>
        </w:rPr>
        <w:t xml:space="preserve">, New Hampshire, 03801, </w:t>
      </w:r>
      <w:r w:rsidR="00591B87">
        <w:rPr>
          <w:sz w:val="26"/>
        </w:rPr>
        <w:t>and</w:t>
      </w:r>
      <w:r w:rsidR="00643D92">
        <w:rPr>
          <w:sz w:val="26"/>
        </w:rPr>
        <w:t xml:space="preserve"> that it failed to notify the Commission of its new address.  </w:t>
      </w:r>
      <w:r w:rsidR="00F4235D">
        <w:rPr>
          <w:sz w:val="26"/>
        </w:rPr>
        <w:t>Accordingly, Sprague s</w:t>
      </w:r>
      <w:r w:rsidR="00591B87">
        <w:rPr>
          <w:sz w:val="26"/>
        </w:rPr>
        <w:t>tates</w:t>
      </w:r>
      <w:r w:rsidR="00F4235D">
        <w:rPr>
          <w:sz w:val="26"/>
        </w:rPr>
        <w:t xml:space="preserve"> that it did not receive the</w:t>
      </w:r>
      <w:r w:rsidR="000F49D7">
        <w:rPr>
          <w:sz w:val="26"/>
        </w:rPr>
        <w:t xml:space="preserve"> </w:t>
      </w:r>
      <w:r w:rsidR="000F49D7" w:rsidRPr="000F49D7">
        <w:rPr>
          <w:i/>
          <w:sz w:val="26"/>
        </w:rPr>
        <w:t>November 2013</w:t>
      </w:r>
      <w:r w:rsidR="000F49D7">
        <w:rPr>
          <w:sz w:val="26"/>
        </w:rPr>
        <w:t xml:space="preserve"> or </w:t>
      </w:r>
      <w:r w:rsidR="000F49D7" w:rsidRPr="000F49D7">
        <w:rPr>
          <w:i/>
          <w:sz w:val="26"/>
        </w:rPr>
        <w:t>March 2015</w:t>
      </w:r>
      <w:r w:rsidR="000F49D7">
        <w:rPr>
          <w:sz w:val="26"/>
        </w:rPr>
        <w:t xml:space="preserve"> </w:t>
      </w:r>
      <w:r w:rsidR="000F49D7" w:rsidRPr="000F49D7">
        <w:rPr>
          <w:i/>
          <w:sz w:val="26"/>
        </w:rPr>
        <w:t>Secretarial Letters</w:t>
      </w:r>
      <w:r w:rsidR="000F49D7">
        <w:rPr>
          <w:sz w:val="26"/>
        </w:rPr>
        <w:t xml:space="preserve"> from the Commission</w:t>
      </w:r>
      <w:r w:rsidR="00F4235D">
        <w:rPr>
          <w:sz w:val="26"/>
          <w:szCs w:val="26"/>
        </w:rPr>
        <w:t xml:space="preserve">.  </w:t>
      </w:r>
      <w:r w:rsidR="00591B87">
        <w:rPr>
          <w:sz w:val="26"/>
          <w:szCs w:val="26"/>
        </w:rPr>
        <w:t xml:space="preserve">According to </w:t>
      </w:r>
      <w:r w:rsidR="0024160B">
        <w:rPr>
          <w:sz w:val="26"/>
        </w:rPr>
        <w:t>Sprague</w:t>
      </w:r>
      <w:r w:rsidR="00591B87">
        <w:rPr>
          <w:sz w:val="26"/>
        </w:rPr>
        <w:t>,</w:t>
      </w:r>
      <w:r w:rsidR="0024160B">
        <w:rPr>
          <w:sz w:val="26"/>
        </w:rPr>
        <w:t xml:space="preserve"> from the date of its license application to the present, it has continually had the required surety in place.  Sprague attached </w:t>
      </w:r>
      <w:r w:rsidR="00660870">
        <w:rPr>
          <w:sz w:val="26"/>
        </w:rPr>
        <w:t>license bond</w:t>
      </w:r>
      <w:r w:rsidR="00B30835">
        <w:rPr>
          <w:sz w:val="26"/>
        </w:rPr>
        <w:t>s</w:t>
      </w:r>
      <w:r w:rsidR="00AE0A38">
        <w:rPr>
          <w:sz w:val="26"/>
        </w:rPr>
        <w:t xml:space="preserve"> and continuation certificate</w:t>
      </w:r>
      <w:r w:rsidR="00B30835">
        <w:rPr>
          <w:sz w:val="26"/>
        </w:rPr>
        <w:t>s</w:t>
      </w:r>
      <w:r w:rsidR="00660870">
        <w:rPr>
          <w:sz w:val="26"/>
        </w:rPr>
        <w:t xml:space="preserve">, which </w:t>
      </w:r>
      <w:r w:rsidR="00AE0A38">
        <w:rPr>
          <w:sz w:val="26"/>
        </w:rPr>
        <w:t>are</w:t>
      </w:r>
      <w:r w:rsidR="00660870">
        <w:rPr>
          <w:sz w:val="26"/>
        </w:rPr>
        <w:t xml:space="preserve"> marked confidential, to the Petition. </w:t>
      </w:r>
      <w:r w:rsidR="002F0F03">
        <w:rPr>
          <w:sz w:val="26"/>
        </w:rPr>
        <w:t xml:space="preserve"> </w:t>
      </w:r>
      <w:r w:rsidR="002F0F03" w:rsidRPr="00643D92">
        <w:rPr>
          <w:i/>
          <w:sz w:val="26"/>
        </w:rPr>
        <w:t>Id</w:t>
      </w:r>
      <w:r w:rsidR="002F0F03">
        <w:rPr>
          <w:sz w:val="26"/>
        </w:rPr>
        <w:t xml:space="preserve">. at 2, 4. </w:t>
      </w:r>
      <w:r w:rsidR="00591B87">
        <w:rPr>
          <w:sz w:val="26"/>
        </w:rPr>
        <w:t xml:space="preserve"> Sprague avers that it did not have any EGS customers in Pennsylvania in 2013, 2014, or 2015, and that it did not conduct marketing of retail electric generation supply during those years.</w:t>
      </w:r>
      <w:r w:rsidR="00FA46E8">
        <w:rPr>
          <w:sz w:val="26"/>
        </w:rPr>
        <w:t xml:space="preserve">  </w:t>
      </w:r>
      <w:r w:rsidR="00FA46E8" w:rsidRPr="00FA46E8">
        <w:rPr>
          <w:i/>
          <w:sz w:val="26"/>
        </w:rPr>
        <w:t>Id</w:t>
      </w:r>
      <w:r w:rsidR="00FA46E8">
        <w:rPr>
          <w:sz w:val="26"/>
        </w:rPr>
        <w:t xml:space="preserve">. at 4.  </w:t>
      </w:r>
      <w:r w:rsidR="00591B87">
        <w:rPr>
          <w:sz w:val="26"/>
        </w:rPr>
        <w:t xml:space="preserve">  </w:t>
      </w:r>
      <w:r w:rsidR="00660870">
        <w:rPr>
          <w:sz w:val="26"/>
        </w:rPr>
        <w:t xml:space="preserve"> </w:t>
      </w:r>
    </w:p>
    <w:p w:rsidR="002F0F03" w:rsidRDefault="002F0F03" w:rsidP="008F3C8F">
      <w:pPr>
        <w:widowControl/>
        <w:spacing w:line="360" w:lineRule="auto"/>
        <w:rPr>
          <w:sz w:val="26"/>
        </w:rPr>
      </w:pPr>
    </w:p>
    <w:p w:rsidR="001B6B8A" w:rsidRDefault="002F0F03" w:rsidP="008F3C8F">
      <w:pPr>
        <w:widowControl/>
        <w:spacing w:line="360" w:lineRule="auto"/>
        <w:rPr>
          <w:sz w:val="26"/>
        </w:rPr>
      </w:pPr>
      <w:r>
        <w:rPr>
          <w:sz w:val="26"/>
        </w:rPr>
        <w:tab/>
      </w:r>
      <w:r>
        <w:rPr>
          <w:sz w:val="26"/>
        </w:rPr>
        <w:tab/>
        <w:t xml:space="preserve">Sprague </w:t>
      </w:r>
      <w:r w:rsidR="00E93D3D">
        <w:rPr>
          <w:sz w:val="26"/>
        </w:rPr>
        <w:t>additionally</w:t>
      </w:r>
      <w:r>
        <w:rPr>
          <w:sz w:val="26"/>
        </w:rPr>
        <w:t xml:space="preserve"> s</w:t>
      </w:r>
      <w:r w:rsidR="00E93D3D">
        <w:rPr>
          <w:sz w:val="26"/>
        </w:rPr>
        <w:t>tates</w:t>
      </w:r>
      <w:r>
        <w:rPr>
          <w:sz w:val="26"/>
        </w:rPr>
        <w:t xml:space="preserve"> that reconsideration should be granted because its oversight was administrative in nature and it has put procedures in place to ensure that </w:t>
      </w:r>
      <w:r w:rsidR="000F49D7">
        <w:rPr>
          <w:sz w:val="26"/>
        </w:rPr>
        <w:t xml:space="preserve">such oversights </w:t>
      </w:r>
      <w:r>
        <w:rPr>
          <w:sz w:val="26"/>
        </w:rPr>
        <w:t xml:space="preserve">will not </w:t>
      </w:r>
      <w:r w:rsidR="000F49D7">
        <w:rPr>
          <w:sz w:val="26"/>
        </w:rPr>
        <w:t>happen in the future</w:t>
      </w:r>
      <w:r>
        <w:rPr>
          <w:sz w:val="26"/>
        </w:rPr>
        <w:t xml:space="preserve">.  Sprague avers that, in response to the Commission’s cancellation of its license, Sprague and its affiliates have updated their compliance procedures to ensure that each regulatory license is associated with the correct mailing address and to ensure that the Commission’s dockets are routinely reviewed. </w:t>
      </w:r>
      <w:r w:rsidR="00042738">
        <w:rPr>
          <w:sz w:val="26"/>
        </w:rPr>
        <w:t xml:space="preserve"> </w:t>
      </w:r>
      <w:r w:rsidR="00042738" w:rsidRPr="00042738">
        <w:rPr>
          <w:i/>
          <w:sz w:val="26"/>
        </w:rPr>
        <w:t>Id</w:t>
      </w:r>
      <w:r w:rsidR="00042738">
        <w:rPr>
          <w:sz w:val="26"/>
        </w:rPr>
        <w:t xml:space="preserve">. </w:t>
      </w:r>
    </w:p>
    <w:p w:rsidR="00CF6941" w:rsidRDefault="00CF6941" w:rsidP="008F3C8F">
      <w:pPr>
        <w:widowControl/>
        <w:spacing w:line="360" w:lineRule="auto"/>
        <w:rPr>
          <w:sz w:val="26"/>
        </w:rPr>
      </w:pPr>
    </w:p>
    <w:p w:rsidR="000F49D7" w:rsidRDefault="001B6B8A" w:rsidP="008F3C8F">
      <w:pPr>
        <w:widowControl/>
        <w:spacing w:line="360" w:lineRule="auto"/>
        <w:rPr>
          <w:sz w:val="26"/>
        </w:rPr>
      </w:pPr>
      <w:r>
        <w:rPr>
          <w:sz w:val="26"/>
        </w:rPr>
        <w:tab/>
      </w:r>
      <w:r>
        <w:rPr>
          <w:sz w:val="26"/>
        </w:rPr>
        <w:tab/>
        <w:t xml:space="preserve">Further, Sprague contends that reconsideration should be granted because the Commission’s cancellation of Sprague’s license </w:t>
      </w:r>
      <w:r w:rsidR="00F4235D">
        <w:rPr>
          <w:sz w:val="26"/>
        </w:rPr>
        <w:t xml:space="preserve">has </w:t>
      </w:r>
      <w:r w:rsidR="00F55589">
        <w:rPr>
          <w:sz w:val="26"/>
        </w:rPr>
        <w:t xml:space="preserve">impacted and prejudiced, </w:t>
      </w:r>
      <w:r w:rsidR="00F4235D">
        <w:rPr>
          <w:sz w:val="26"/>
        </w:rPr>
        <w:t>or may</w:t>
      </w:r>
      <w:r>
        <w:rPr>
          <w:sz w:val="26"/>
        </w:rPr>
        <w:t xml:space="preserve"> impact and prejudice</w:t>
      </w:r>
      <w:r w:rsidR="00F55589">
        <w:rPr>
          <w:sz w:val="26"/>
        </w:rPr>
        <w:t>,</w:t>
      </w:r>
      <w:r>
        <w:rPr>
          <w:sz w:val="26"/>
        </w:rPr>
        <w:t xml:space="preserve"> Sprague</w:t>
      </w:r>
      <w:r w:rsidR="00C71F84">
        <w:rPr>
          <w:sz w:val="26"/>
        </w:rPr>
        <w:t xml:space="preserve"> and its affiliates in the </w:t>
      </w:r>
      <w:r w:rsidR="005176F1">
        <w:rPr>
          <w:sz w:val="26"/>
        </w:rPr>
        <w:t xml:space="preserve">fourteen states in which they </w:t>
      </w:r>
      <w:r w:rsidR="005176F1">
        <w:rPr>
          <w:sz w:val="26"/>
        </w:rPr>
        <w:lastRenderedPageBreak/>
        <w:t>conduct energy marketing of natural gas and electricity</w:t>
      </w:r>
      <w:r w:rsidR="00F4235D">
        <w:rPr>
          <w:sz w:val="26"/>
        </w:rPr>
        <w:t xml:space="preserve"> due to the negative perception </w:t>
      </w:r>
      <w:r w:rsidR="00E93D3D">
        <w:rPr>
          <w:sz w:val="26"/>
        </w:rPr>
        <w:t>associated with</w:t>
      </w:r>
      <w:r w:rsidR="00F4235D">
        <w:rPr>
          <w:sz w:val="26"/>
        </w:rPr>
        <w:t xml:space="preserve"> a certification cancellation and </w:t>
      </w:r>
      <w:r w:rsidR="000F49D7">
        <w:rPr>
          <w:sz w:val="26"/>
        </w:rPr>
        <w:t>any</w:t>
      </w:r>
      <w:r w:rsidR="00E93D3D">
        <w:rPr>
          <w:sz w:val="26"/>
        </w:rPr>
        <w:t xml:space="preserve"> </w:t>
      </w:r>
      <w:r w:rsidR="00F4235D">
        <w:rPr>
          <w:sz w:val="26"/>
        </w:rPr>
        <w:t xml:space="preserve">resulting undue regulatory requirements in Pennsylvania and other states </w:t>
      </w:r>
      <w:r w:rsidR="006667DC">
        <w:rPr>
          <w:sz w:val="26"/>
        </w:rPr>
        <w:t>in which Sprague and its affiliates hold licenses</w:t>
      </w:r>
      <w:r w:rsidR="005176F1">
        <w:rPr>
          <w:sz w:val="26"/>
        </w:rPr>
        <w:t xml:space="preserve">.  </w:t>
      </w:r>
      <w:r w:rsidR="00702039" w:rsidRPr="00702039">
        <w:rPr>
          <w:i/>
          <w:sz w:val="26"/>
        </w:rPr>
        <w:t>Id</w:t>
      </w:r>
      <w:r w:rsidR="00702039">
        <w:rPr>
          <w:sz w:val="26"/>
        </w:rPr>
        <w:t xml:space="preserve">. at 5, 6.  </w:t>
      </w:r>
      <w:r w:rsidR="005176F1">
        <w:rPr>
          <w:sz w:val="26"/>
        </w:rPr>
        <w:t>Sprague explains that one of its affiliates, Sprague Energy</w:t>
      </w:r>
      <w:r>
        <w:rPr>
          <w:sz w:val="26"/>
        </w:rPr>
        <w:t xml:space="preserve"> Solutions,</w:t>
      </w:r>
      <w:r w:rsidR="004F2681">
        <w:rPr>
          <w:sz w:val="26"/>
        </w:rPr>
        <w:t xml:space="preserve"> Inc. (Sprague Energy Solutions)</w:t>
      </w:r>
      <w:r w:rsidR="005176F1">
        <w:rPr>
          <w:rStyle w:val="FootnoteReference"/>
          <w:sz w:val="26"/>
        </w:rPr>
        <w:footnoteReference w:id="6"/>
      </w:r>
      <w:r w:rsidR="005176F1">
        <w:rPr>
          <w:sz w:val="26"/>
        </w:rPr>
        <w:t xml:space="preserve"> has been impacted by </w:t>
      </w:r>
      <w:r w:rsidR="00B12890">
        <w:rPr>
          <w:sz w:val="26"/>
        </w:rPr>
        <w:t xml:space="preserve">the Commission’s cancellation of </w:t>
      </w:r>
      <w:r w:rsidR="005176F1">
        <w:rPr>
          <w:sz w:val="26"/>
        </w:rPr>
        <w:t>Sprague’s</w:t>
      </w:r>
      <w:r w:rsidR="00B12890">
        <w:rPr>
          <w:sz w:val="26"/>
        </w:rPr>
        <w:t xml:space="preserve"> license</w:t>
      </w:r>
      <w:r w:rsidR="005176F1">
        <w:rPr>
          <w:sz w:val="26"/>
        </w:rPr>
        <w:t>.  Sprague avers that its license cancellation</w:t>
      </w:r>
      <w:r w:rsidR="00B12890">
        <w:rPr>
          <w:sz w:val="26"/>
        </w:rPr>
        <w:t xml:space="preserve"> </w:t>
      </w:r>
      <w:r w:rsidR="000F49D7">
        <w:rPr>
          <w:sz w:val="26"/>
        </w:rPr>
        <w:t>caused</w:t>
      </w:r>
      <w:r w:rsidR="00B12890">
        <w:rPr>
          <w:sz w:val="26"/>
        </w:rPr>
        <w:t xml:space="preserve"> electric market participants, including electric distribution companies, to question Sprague Energy Solutions’ good standing, although the </w:t>
      </w:r>
      <w:r w:rsidR="000F49D7">
        <w:rPr>
          <w:sz w:val="26"/>
        </w:rPr>
        <w:t xml:space="preserve">two companies’ </w:t>
      </w:r>
      <w:r w:rsidR="00B12890">
        <w:rPr>
          <w:sz w:val="26"/>
        </w:rPr>
        <w:t xml:space="preserve">licenses are separate.  Sprague also avers that the Commission’s cancellation of </w:t>
      </w:r>
      <w:r w:rsidR="00C71F84">
        <w:rPr>
          <w:sz w:val="26"/>
        </w:rPr>
        <w:t xml:space="preserve">its license presents a compliance issue that is larger than Sprague’s failure to file its bond, </w:t>
      </w:r>
      <w:r w:rsidR="000F49D7">
        <w:rPr>
          <w:sz w:val="26"/>
        </w:rPr>
        <w:t>because</w:t>
      </w:r>
      <w:r w:rsidR="00C71F84">
        <w:rPr>
          <w:sz w:val="26"/>
        </w:rPr>
        <w:t xml:space="preserve"> nearly every state in which Sprague holds an EGS license requires notification of a license cancellation.</w:t>
      </w:r>
      <w:r w:rsidR="005D57D4">
        <w:rPr>
          <w:sz w:val="26"/>
        </w:rPr>
        <w:t xml:space="preserve">  </w:t>
      </w:r>
      <w:r w:rsidR="005D57D4" w:rsidRPr="005D57D4">
        <w:rPr>
          <w:i/>
          <w:sz w:val="26"/>
        </w:rPr>
        <w:t>Id</w:t>
      </w:r>
      <w:r w:rsidR="005D57D4">
        <w:rPr>
          <w:sz w:val="26"/>
        </w:rPr>
        <w:t>. at 6.</w:t>
      </w:r>
    </w:p>
    <w:p w:rsidR="000005E1" w:rsidRDefault="000005E1" w:rsidP="008F3C8F">
      <w:pPr>
        <w:widowControl/>
        <w:spacing w:line="360" w:lineRule="auto"/>
        <w:rPr>
          <w:sz w:val="26"/>
        </w:rPr>
      </w:pPr>
    </w:p>
    <w:p w:rsidR="00B073BF" w:rsidRDefault="00C413EF" w:rsidP="00C413EF">
      <w:pPr>
        <w:spacing w:line="360" w:lineRule="auto"/>
        <w:ind w:firstLine="720"/>
        <w:rPr>
          <w:rFonts w:eastAsiaTheme="minorHAnsi" w:cstheme="minorBidi"/>
          <w:sz w:val="26"/>
          <w:szCs w:val="24"/>
        </w:rPr>
      </w:pPr>
      <w:r>
        <w:rPr>
          <w:b/>
          <w:sz w:val="26"/>
        </w:rPr>
        <w:tab/>
      </w:r>
      <w:r w:rsidRPr="00C413EF">
        <w:rPr>
          <w:rFonts w:eastAsiaTheme="minorHAnsi" w:cstheme="minorBidi"/>
          <w:sz w:val="26"/>
          <w:szCs w:val="24"/>
        </w:rPr>
        <w:t>The Petition for Reconsideration is predicated on the assertion that Sprague had a bond in place</w:t>
      </w:r>
      <w:r w:rsidR="005065F5">
        <w:rPr>
          <w:rFonts w:eastAsiaTheme="minorHAnsi" w:cstheme="minorBidi"/>
          <w:sz w:val="26"/>
          <w:szCs w:val="24"/>
        </w:rPr>
        <w:t>,</w:t>
      </w:r>
      <w:r w:rsidRPr="00C413EF">
        <w:rPr>
          <w:rFonts w:eastAsiaTheme="minorHAnsi" w:cstheme="minorBidi"/>
          <w:sz w:val="26"/>
          <w:szCs w:val="24"/>
        </w:rPr>
        <w:t xml:space="preserve"> although it was not on file with the Commission during the period in question; that Sprague had no Pennsylvania customers during the period in question; and that Sprague’s failure to file the bond and to respond to the Commission’s many communications was a matter of administrative inadvertence.  Although </w:t>
      </w:r>
      <w:r w:rsidR="00061F8E">
        <w:rPr>
          <w:rFonts w:eastAsiaTheme="minorHAnsi" w:cstheme="minorBidi"/>
          <w:sz w:val="26"/>
          <w:szCs w:val="24"/>
        </w:rPr>
        <w:t>we</w:t>
      </w:r>
      <w:r w:rsidRPr="00C413EF">
        <w:rPr>
          <w:rFonts w:eastAsiaTheme="minorHAnsi" w:cstheme="minorBidi"/>
          <w:sz w:val="26"/>
          <w:szCs w:val="24"/>
        </w:rPr>
        <w:t xml:space="preserve"> do not find these arguments persuasive, </w:t>
      </w:r>
      <w:r w:rsidR="00061F8E">
        <w:rPr>
          <w:rFonts w:eastAsiaTheme="minorHAnsi" w:cstheme="minorBidi"/>
          <w:sz w:val="26"/>
          <w:szCs w:val="24"/>
        </w:rPr>
        <w:t>we conclude</w:t>
      </w:r>
      <w:r w:rsidRPr="00C413EF">
        <w:rPr>
          <w:rFonts w:eastAsiaTheme="minorHAnsi" w:cstheme="minorBidi"/>
          <w:sz w:val="26"/>
          <w:szCs w:val="24"/>
        </w:rPr>
        <w:t xml:space="preserve"> that under the </w:t>
      </w:r>
      <w:r w:rsidRPr="003343F9">
        <w:rPr>
          <w:rFonts w:eastAsiaTheme="minorHAnsi" w:cstheme="minorBidi"/>
          <w:i/>
          <w:sz w:val="26"/>
          <w:szCs w:val="24"/>
        </w:rPr>
        <w:t>Duick</w:t>
      </w:r>
      <w:r w:rsidRPr="00C413EF">
        <w:rPr>
          <w:rFonts w:eastAsiaTheme="minorHAnsi" w:cstheme="minorBidi"/>
          <w:sz w:val="26"/>
          <w:szCs w:val="24"/>
        </w:rPr>
        <w:t xml:space="preserve"> standard</w:t>
      </w:r>
      <w:r w:rsidR="00061F8E">
        <w:rPr>
          <w:rFonts w:eastAsiaTheme="minorHAnsi" w:cstheme="minorBidi"/>
          <w:sz w:val="26"/>
          <w:szCs w:val="24"/>
        </w:rPr>
        <w:t>s</w:t>
      </w:r>
      <w:r w:rsidRPr="00C413EF">
        <w:rPr>
          <w:rFonts w:eastAsiaTheme="minorHAnsi" w:cstheme="minorBidi"/>
          <w:sz w:val="26"/>
          <w:szCs w:val="24"/>
        </w:rPr>
        <w:t xml:space="preserve">, we </w:t>
      </w:r>
      <w:r w:rsidR="00FA46E8">
        <w:rPr>
          <w:rFonts w:eastAsiaTheme="minorHAnsi" w:cstheme="minorBidi"/>
          <w:sz w:val="26"/>
          <w:szCs w:val="24"/>
        </w:rPr>
        <w:t>will</w:t>
      </w:r>
      <w:r w:rsidRPr="00C413EF">
        <w:rPr>
          <w:rFonts w:eastAsiaTheme="minorHAnsi" w:cstheme="minorBidi"/>
          <w:sz w:val="26"/>
          <w:szCs w:val="24"/>
        </w:rPr>
        <w:t xml:space="preserve"> grant the Petition </w:t>
      </w:r>
      <w:r w:rsidR="00061F8E">
        <w:rPr>
          <w:rFonts w:eastAsiaTheme="minorHAnsi" w:cstheme="minorBidi"/>
          <w:sz w:val="26"/>
          <w:szCs w:val="24"/>
        </w:rPr>
        <w:t xml:space="preserve">because Sprague’s </w:t>
      </w:r>
      <w:r w:rsidRPr="00C413EF">
        <w:rPr>
          <w:rFonts w:eastAsiaTheme="minorHAnsi" w:cstheme="minorBidi"/>
          <w:sz w:val="26"/>
          <w:szCs w:val="24"/>
        </w:rPr>
        <w:t>A</w:t>
      </w:r>
      <w:r w:rsidR="005065F5">
        <w:rPr>
          <w:rFonts w:eastAsiaTheme="minorHAnsi" w:cstheme="minorBidi"/>
          <w:sz w:val="26"/>
          <w:szCs w:val="24"/>
        </w:rPr>
        <w:t>pplication</w:t>
      </w:r>
      <w:r w:rsidRPr="00C413EF">
        <w:rPr>
          <w:rFonts w:eastAsiaTheme="minorHAnsi" w:cstheme="minorBidi"/>
          <w:sz w:val="26"/>
          <w:szCs w:val="24"/>
        </w:rPr>
        <w:t xml:space="preserve"> </w:t>
      </w:r>
      <w:r w:rsidR="00061F8E">
        <w:rPr>
          <w:rFonts w:eastAsiaTheme="minorHAnsi" w:cstheme="minorBidi"/>
          <w:sz w:val="26"/>
          <w:szCs w:val="24"/>
        </w:rPr>
        <w:t>was not considered</w:t>
      </w:r>
      <w:r w:rsidRPr="00C413EF">
        <w:rPr>
          <w:rFonts w:eastAsiaTheme="minorHAnsi" w:cstheme="minorBidi"/>
          <w:sz w:val="26"/>
          <w:szCs w:val="24"/>
        </w:rPr>
        <w:t xml:space="preserve"> prior to the entry of the </w:t>
      </w:r>
      <w:r w:rsidRPr="00061F8E">
        <w:rPr>
          <w:rFonts w:eastAsiaTheme="minorHAnsi" w:cstheme="minorBidi"/>
          <w:i/>
          <w:sz w:val="26"/>
          <w:szCs w:val="24"/>
        </w:rPr>
        <w:t>Final Order</w:t>
      </w:r>
      <w:r w:rsidRPr="00C413EF">
        <w:rPr>
          <w:rFonts w:eastAsiaTheme="minorHAnsi" w:cstheme="minorBidi"/>
          <w:sz w:val="26"/>
          <w:szCs w:val="24"/>
        </w:rPr>
        <w:t xml:space="preserve">.  </w:t>
      </w:r>
      <w:r w:rsidR="00061F8E">
        <w:rPr>
          <w:rFonts w:eastAsiaTheme="minorHAnsi" w:cstheme="minorBidi"/>
          <w:sz w:val="26"/>
          <w:szCs w:val="24"/>
        </w:rPr>
        <w:t xml:space="preserve">Our determination is </w:t>
      </w:r>
      <w:r w:rsidR="000E32BA">
        <w:rPr>
          <w:rFonts w:eastAsiaTheme="minorHAnsi" w:cstheme="minorBidi"/>
          <w:sz w:val="26"/>
          <w:szCs w:val="24"/>
        </w:rPr>
        <w:t xml:space="preserve">also </w:t>
      </w:r>
      <w:r w:rsidR="00061F8E">
        <w:rPr>
          <w:rFonts w:eastAsiaTheme="minorHAnsi" w:cstheme="minorBidi"/>
          <w:sz w:val="26"/>
          <w:szCs w:val="24"/>
        </w:rPr>
        <w:t>based on other particular circumstances in this case,</w:t>
      </w:r>
      <w:r w:rsidRPr="00C413EF">
        <w:rPr>
          <w:rFonts w:eastAsiaTheme="minorHAnsi" w:cstheme="minorBidi"/>
          <w:sz w:val="26"/>
          <w:szCs w:val="24"/>
        </w:rPr>
        <w:t xml:space="preserve"> including the fact that Sprague is a broker</w:t>
      </w:r>
      <w:r w:rsidR="00061F8E">
        <w:rPr>
          <w:rFonts w:eastAsiaTheme="minorHAnsi" w:cstheme="minorBidi"/>
          <w:sz w:val="26"/>
          <w:szCs w:val="24"/>
        </w:rPr>
        <w:t>/</w:t>
      </w:r>
      <w:r w:rsidRPr="00C413EF">
        <w:rPr>
          <w:rFonts w:eastAsiaTheme="minorHAnsi" w:cstheme="minorBidi"/>
          <w:sz w:val="26"/>
          <w:szCs w:val="24"/>
        </w:rPr>
        <w:t xml:space="preserve">marketer, </w:t>
      </w:r>
      <w:r w:rsidR="000E32BA">
        <w:rPr>
          <w:rFonts w:eastAsiaTheme="minorHAnsi" w:cstheme="minorBidi"/>
          <w:sz w:val="26"/>
          <w:szCs w:val="24"/>
        </w:rPr>
        <w:t xml:space="preserve">that </w:t>
      </w:r>
      <w:r w:rsidR="00061F8E">
        <w:rPr>
          <w:rFonts w:eastAsiaTheme="minorHAnsi" w:cstheme="minorBidi"/>
          <w:sz w:val="26"/>
          <w:szCs w:val="24"/>
        </w:rPr>
        <w:t>Sprague</w:t>
      </w:r>
      <w:r w:rsidRPr="00C413EF">
        <w:rPr>
          <w:rFonts w:eastAsiaTheme="minorHAnsi" w:cstheme="minorBidi"/>
          <w:sz w:val="26"/>
          <w:szCs w:val="24"/>
        </w:rPr>
        <w:t xml:space="preserve"> had no Pennsylvania customers</w:t>
      </w:r>
      <w:r w:rsidR="00061F8E">
        <w:rPr>
          <w:rFonts w:eastAsiaTheme="minorHAnsi" w:cstheme="minorBidi"/>
          <w:sz w:val="26"/>
          <w:szCs w:val="24"/>
        </w:rPr>
        <w:t>,</w:t>
      </w:r>
      <w:r w:rsidRPr="00C413EF">
        <w:rPr>
          <w:rFonts w:eastAsiaTheme="minorHAnsi" w:cstheme="minorBidi"/>
          <w:sz w:val="26"/>
          <w:szCs w:val="24"/>
        </w:rPr>
        <w:t xml:space="preserve"> and </w:t>
      </w:r>
      <w:r w:rsidR="000E32BA">
        <w:rPr>
          <w:rFonts w:eastAsiaTheme="minorHAnsi" w:cstheme="minorBidi"/>
          <w:sz w:val="26"/>
          <w:szCs w:val="24"/>
        </w:rPr>
        <w:t xml:space="preserve">that </w:t>
      </w:r>
      <w:r w:rsidR="00061F8E">
        <w:rPr>
          <w:rFonts w:eastAsiaTheme="minorHAnsi" w:cstheme="minorBidi"/>
          <w:sz w:val="26"/>
          <w:szCs w:val="24"/>
        </w:rPr>
        <w:t>Sprague</w:t>
      </w:r>
      <w:r w:rsidRPr="00C413EF">
        <w:rPr>
          <w:rFonts w:eastAsiaTheme="minorHAnsi" w:cstheme="minorBidi"/>
          <w:sz w:val="26"/>
          <w:szCs w:val="24"/>
        </w:rPr>
        <w:t xml:space="preserve"> had a bond in place</w:t>
      </w:r>
      <w:r w:rsidR="00061F8E">
        <w:rPr>
          <w:rFonts w:eastAsiaTheme="minorHAnsi" w:cstheme="minorBidi"/>
          <w:sz w:val="26"/>
          <w:szCs w:val="24"/>
        </w:rPr>
        <w:t>,</w:t>
      </w:r>
      <w:r w:rsidRPr="00C413EF">
        <w:rPr>
          <w:rFonts w:eastAsiaTheme="minorHAnsi" w:cstheme="minorBidi"/>
          <w:sz w:val="26"/>
          <w:szCs w:val="24"/>
        </w:rPr>
        <w:t xml:space="preserve"> although not on file with the Commission.</w:t>
      </w:r>
    </w:p>
    <w:p w:rsidR="00B073BF" w:rsidRDefault="00B073BF" w:rsidP="00C413EF">
      <w:pPr>
        <w:spacing w:line="360" w:lineRule="auto"/>
        <w:ind w:firstLine="720"/>
        <w:rPr>
          <w:rFonts w:eastAsiaTheme="minorHAnsi" w:cstheme="minorBidi"/>
          <w:sz w:val="26"/>
          <w:szCs w:val="24"/>
        </w:rPr>
      </w:pPr>
    </w:p>
    <w:p w:rsidR="00E54044" w:rsidRDefault="00B073BF" w:rsidP="00C413EF">
      <w:pPr>
        <w:spacing w:line="360" w:lineRule="auto"/>
        <w:ind w:firstLine="720"/>
        <w:rPr>
          <w:sz w:val="26"/>
          <w:szCs w:val="26"/>
        </w:rPr>
      </w:pPr>
      <w:r>
        <w:rPr>
          <w:rFonts w:eastAsiaTheme="minorHAnsi" w:cstheme="minorBidi"/>
          <w:sz w:val="26"/>
          <w:szCs w:val="24"/>
        </w:rPr>
        <w:tab/>
        <w:t>Based on</w:t>
      </w:r>
      <w:r w:rsidR="00A6551C">
        <w:rPr>
          <w:sz w:val="26"/>
          <w:szCs w:val="26"/>
        </w:rPr>
        <w:t xml:space="preserve"> our determination to grant Sprague’s Petition</w:t>
      </w:r>
      <w:r>
        <w:rPr>
          <w:sz w:val="26"/>
          <w:szCs w:val="26"/>
        </w:rPr>
        <w:t xml:space="preserve">, </w:t>
      </w:r>
      <w:r w:rsidR="004F6FC4">
        <w:rPr>
          <w:sz w:val="26"/>
          <w:szCs w:val="26"/>
        </w:rPr>
        <w:t xml:space="preserve">in part, </w:t>
      </w:r>
      <w:r>
        <w:rPr>
          <w:sz w:val="26"/>
          <w:szCs w:val="26"/>
        </w:rPr>
        <w:t xml:space="preserve">we shall modify the </w:t>
      </w:r>
      <w:r w:rsidRPr="00B073BF">
        <w:rPr>
          <w:i/>
          <w:sz w:val="26"/>
          <w:szCs w:val="26"/>
        </w:rPr>
        <w:t>Final Order</w:t>
      </w:r>
      <w:r>
        <w:rPr>
          <w:sz w:val="26"/>
          <w:szCs w:val="26"/>
        </w:rPr>
        <w:t xml:space="preserve"> and hold the </w:t>
      </w:r>
      <w:r w:rsidRPr="00B073BF">
        <w:rPr>
          <w:i/>
          <w:sz w:val="26"/>
          <w:szCs w:val="26"/>
        </w:rPr>
        <w:t>Tentative Order</w:t>
      </w:r>
      <w:r>
        <w:rPr>
          <w:sz w:val="26"/>
          <w:szCs w:val="26"/>
        </w:rPr>
        <w:t xml:space="preserve"> in abeyance, only as these Orders </w:t>
      </w:r>
      <w:r>
        <w:rPr>
          <w:sz w:val="26"/>
          <w:szCs w:val="26"/>
        </w:rPr>
        <w:lastRenderedPageBreak/>
        <w:t xml:space="preserve">pertain to Sprague, pending consideration of the Application.  The Application is, therefore, </w:t>
      </w:r>
      <w:r>
        <w:rPr>
          <w:sz w:val="26"/>
        </w:rPr>
        <w:t xml:space="preserve">referred to TUS for such further action as may be warranted.  If the Application is not granted, the Commission will take further action, as necessary, on the </w:t>
      </w:r>
      <w:r w:rsidRPr="00B073BF">
        <w:rPr>
          <w:i/>
          <w:sz w:val="26"/>
        </w:rPr>
        <w:t>Tentative Order</w:t>
      </w:r>
      <w:r w:rsidR="00ED7AC2">
        <w:rPr>
          <w:sz w:val="26"/>
          <w:szCs w:val="26"/>
        </w:rPr>
        <w:t xml:space="preserve"> as it pertains to Sprague.</w:t>
      </w:r>
    </w:p>
    <w:p w:rsidR="004152F9" w:rsidRPr="00C413EF" w:rsidRDefault="004152F9" w:rsidP="00C413EF">
      <w:pPr>
        <w:spacing w:line="360" w:lineRule="auto"/>
        <w:ind w:firstLine="720"/>
        <w:rPr>
          <w:rFonts w:eastAsiaTheme="minorHAnsi" w:cstheme="minorBidi"/>
          <w:sz w:val="26"/>
          <w:szCs w:val="24"/>
        </w:rPr>
      </w:pPr>
    </w:p>
    <w:p w:rsidR="00982206" w:rsidRDefault="00DF3074" w:rsidP="003343F9">
      <w:pPr>
        <w:widowControl/>
        <w:spacing w:line="360" w:lineRule="auto"/>
        <w:jc w:val="center"/>
        <w:rPr>
          <w:b/>
          <w:sz w:val="26"/>
          <w:szCs w:val="26"/>
        </w:rPr>
      </w:pPr>
      <w:r w:rsidRPr="00DF3074">
        <w:rPr>
          <w:b/>
          <w:sz w:val="26"/>
          <w:szCs w:val="26"/>
        </w:rPr>
        <w:t>C</w:t>
      </w:r>
      <w:r w:rsidR="00982206" w:rsidRPr="00D53276">
        <w:rPr>
          <w:b/>
          <w:sz w:val="26"/>
          <w:szCs w:val="26"/>
        </w:rPr>
        <w:t>onclusion</w:t>
      </w:r>
    </w:p>
    <w:p w:rsidR="00E54044" w:rsidRPr="00347808" w:rsidRDefault="00E54044" w:rsidP="003343F9">
      <w:pPr>
        <w:widowControl/>
        <w:spacing w:line="360" w:lineRule="auto"/>
        <w:jc w:val="center"/>
        <w:rPr>
          <w:sz w:val="26"/>
          <w:szCs w:val="26"/>
        </w:rPr>
      </w:pPr>
    </w:p>
    <w:p w:rsidR="00982206" w:rsidRDefault="00982206" w:rsidP="00982206">
      <w:pPr>
        <w:spacing w:line="360" w:lineRule="auto"/>
        <w:ind w:firstLine="1440"/>
        <w:rPr>
          <w:b/>
          <w:sz w:val="26"/>
          <w:szCs w:val="26"/>
        </w:rPr>
      </w:pPr>
      <w:r>
        <w:rPr>
          <w:sz w:val="26"/>
          <w:szCs w:val="26"/>
        </w:rPr>
        <w:t xml:space="preserve">For the reasons set forth above, we shall </w:t>
      </w:r>
      <w:r w:rsidR="00EA33B7">
        <w:rPr>
          <w:sz w:val="26"/>
          <w:szCs w:val="26"/>
        </w:rPr>
        <w:t>grant</w:t>
      </w:r>
      <w:r w:rsidR="004F6FC4">
        <w:rPr>
          <w:sz w:val="26"/>
          <w:szCs w:val="26"/>
        </w:rPr>
        <w:t>, in part,</w:t>
      </w:r>
      <w:r>
        <w:rPr>
          <w:sz w:val="26"/>
          <w:szCs w:val="26"/>
        </w:rPr>
        <w:t xml:space="preserve"> Sprague’s Petition</w:t>
      </w:r>
      <w:r w:rsidR="00D61142">
        <w:rPr>
          <w:sz w:val="26"/>
          <w:szCs w:val="26"/>
        </w:rPr>
        <w:t xml:space="preserve">, modify the </w:t>
      </w:r>
      <w:r w:rsidR="00D61142">
        <w:rPr>
          <w:i/>
          <w:sz w:val="26"/>
          <w:szCs w:val="26"/>
        </w:rPr>
        <w:t>Final Order</w:t>
      </w:r>
      <w:r w:rsidR="00D61142">
        <w:rPr>
          <w:sz w:val="26"/>
          <w:szCs w:val="26"/>
        </w:rPr>
        <w:t>,</w:t>
      </w:r>
      <w:r>
        <w:rPr>
          <w:sz w:val="26"/>
          <w:szCs w:val="26"/>
        </w:rPr>
        <w:t xml:space="preserve"> </w:t>
      </w:r>
      <w:r w:rsidR="00EA33B7">
        <w:rPr>
          <w:sz w:val="26"/>
          <w:szCs w:val="26"/>
        </w:rPr>
        <w:t>and</w:t>
      </w:r>
      <w:r>
        <w:rPr>
          <w:sz w:val="26"/>
          <w:szCs w:val="26"/>
        </w:rPr>
        <w:t xml:space="preserve"> </w:t>
      </w:r>
      <w:r w:rsidR="00B90F4E">
        <w:rPr>
          <w:sz w:val="26"/>
          <w:szCs w:val="26"/>
        </w:rPr>
        <w:t>r</w:t>
      </w:r>
      <w:r w:rsidR="008268C9">
        <w:rPr>
          <w:sz w:val="26"/>
          <w:szCs w:val="26"/>
        </w:rPr>
        <w:t xml:space="preserve">efer the Application to TUS </w:t>
      </w:r>
      <w:r w:rsidR="00D8389F">
        <w:rPr>
          <w:sz w:val="26"/>
          <w:szCs w:val="26"/>
        </w:rPr>
        <w:t>for such further action as may be warranted, consistent with this Opinion and Order</w:t>
      </w:r>
      <w:r>
        <w:rPr>
          <w:sz w:val="26"/>
          <w:szCs w:val="26"/>
        </w:rPr>
        <w:t xml:space="preserve">; </w:t>
      </w:r>
      <w:r w:rsidRPr="00D57141">
        <w:rPr>
          <w:b/>
          <w:sz w:val="26"/>
          <w:szCs w:val="26"/>
        </w:rPr>
        <w:t xml:space="preserve">THEREFORE, </w:t>
      </w:r>
    </w:p>
    <w:p w:rsidR="007414CC" w:rsidRDefault="007414CC" w:rsidP="00982206">
      <w:pPr>
        <w:spacing w:line="360" w:lineRule="auto"/>
        <w:ind w:firstLine="1440"/>
        <w:rPr>
          <w:sz w:val="26"/>
          <w:szCs w:val="26"/>
        </w:rPr>
      </w:pPr>
    </w:p>
    <w:p w:rsidR="00982206" w:rsidRDefault="00982206" w:rsidP="00982206">
      <w:pPr>
        <w:spacing w:line="360" w:lineRule="auto"/>
        <w:ind w:firstLine="1440"/>
        <w:rPr>
          <w:b/>
          <w:sz w:val="26"/>
          <w:szCs w:val="26"/>
        </w:rPr>
      </w:pPr>
      <w:r>
        <w:rPr>
          <w:b/>
          <w:sz w:val="26"/>
          <w:szCs w:val="26"/>
        </w:rPr>
        <w:t>IT IS ORDERED:</w:t>
      </w:r>
    </w:p>
    <w:p w:rsidR="00982206" w:rsidRDefault="00982206" w:rsidP="003343F9">
      <w:pPr>
        <w:spacing w:line="360" w:lineRule="auto"/>
        <w:rPr>
          <w:sz w:val="26"/>
          <w:szCs w:val="26"/>
        </w:rPr>
      </w:pPr>
    </w:p>
    <w:p w:rsidR="00982206" w:rsidRDefault="00982206" w:rsidP="00953C78">
      <w:pPr>
        <w:spacing w:line="360" w:lineRule="auto"/>
        <w:ind w:firstLine="1440"/>
        <w:rPr>
          <w:sz w:val="26"/>
          <w:szCs w:val="26"/>
        </w:rPr>
      </w:pPr>
      <w:r>
        <w:rPr>
          <w:sz w:val="26"/>
          <w:szCs w:val="26"/>
        </w:rPr>
        <w:t>1.</w:t>
      </w:r>
      <w:r>
        <w:rPr>
          <w:sz w:val="26"/>
          <w:szCs w:val="26"/>
        </w:rPr>
        <w:tab/>
        <w:t xml:space="preserve">That the </w:t>
      </w:r>
      <w:r w:rsidRPr="00027664">
        <w:rPr>
          <w:sz w:val="26"/>
        </w:rPr>
        <w:t>Petition for Reconsideration</w:t>
      </w:r>
      <w:r>
        <w:rPr>
          <w:sz w:val="26"/>
        </w:rPr>
        <w:t xml:space="preserve"> filed by</w:t>
      </w:r>
      <w:r w:rsidRPr="00027664">
        <w:rPr>
          <w:sz w:val="26"/>
        </w:rPr>
        <w:t xml:space="preserve"> </w:t>
      </w:r>
      <w:r>
        <w:rPr>
          <w:sz w:val="26"/>
        </w:rPr>
        <w:t xml:space="preserve">Sprague Operating Resources LLC </w:t>
      </w:r>
      <w:r w:rsidRPr="00027664">
        <w:rPr>
          <w:sz w:val="26"/>
        </w:rPr>
        <w:t>on</w:t>
      </w:r>
      <w:r>
        <w:rPr>
          <w:sz w:val="26"/>
        </w:rPr>
        <w:t xml:space="preserve"> September 10, 2015, seeking reconsideration of the </w:t>
      </w:r>
      <w:r w:rsidR="00953C78">
        <w:rPr>
          <w:sz w:val="26"/>
        </w:rPr>
        <w:t xml:space="preserve">Final </w:t>
      </w:r>
      <w:r w:rsidRPr="00027664">
        <w:rPr>
          <w:sz w:val="26"/>
        </w:rPr>
        <w:t xml:space="preserve">Order entered </w:t>
      </w:r>
      <w:r>
        <w:rPr>
          <w:sz w:val="26"/>
        </w:rPr>
        <w:t xml:space="preserve">August 28, 2015, </w:t>
      </w:r>
      <w:r w:rsidR="00953C78">
        <w:rPr>
          <w:sz w:val="26"/>
        </w:rPr>
        <w:t xml:space="preserve">at Docket No. M-2015-2490383, </w:t>
      </w:r>
      <w:r>
        <w:rPr>
          <w:sz w:val="26"/>
        </w:rPr>
        <w:t xml:space="preserve">is </w:t>
      </w:r>
      <w:r w:rsidR="007414CC">
        <w:rPr>
          <w:sz w:val="26"/>
        </w:rPr>
        <w:t>granted</w:t>
      </w:r>
      <w:r w:rsidR="004F6FC4">
        <w:rPr>
          <w:sz w:val="26"/>
        </w:rPr>
        <w:t>, in part</w:t>
      </w:r>
      <w:r w:rsidR="00ED7AC2">
        <w:rPr>
          <w:sz w:val="26"/>
        </w:rPr>
        <w:t>.</w:t>
      </w:r>
    </w:p>
    <w:p w:rsidR="00982206" w:rsidRDefault="00982206" w:rsidP="00982206">
      <w:pPr>
        <w:spacing w:line="360" w:lineRule="auto"/>
        <w:ind w:firstLine="1440"/>
        <w:rPr>
          <w:sz w:val="26"/>
          <w:szCs w:val="26"/>
        </w:rPr>
      </w:pPr>
    </w:p>
    <w:p w:rsidR="00543672" w:rsidRDefault="00543672" w:rsidP="00ED7AC2">
      <w:pPr>
        <w:spacing w:line="360" w:lineRule="auto"/>
        <w:ind w:firstLine="1440"/>
        <w:rPr>
          <w:sz w:val="26"/>
          <w:szCs w:val="26"/>
        </w:rPr>
      </w:pPr>
      <w:r>
        <w:rPr>
          <w:sz w:val="26"/>
          <w:szCs w:val="26"/>
        </w:rPr>
        <w:t>2.</w:t>
      </w:r>
      <w:r>
        <w:rPr>
          <w:sz w:val="26"/>
          <w:szCs w:val="26"/>
        </w:rPr>
        <w:tab/>
        <w:t xml:space="preserve">That the Final </w:t>
      </w:r>
      <w:r w:rsidRPr="00027664">
        <w:rPr>
          <w:sz w:val="26"/>
        </w:rPr>
        <w:t xml:space="preserve">Order entered </w:t>
      </w:r>
      <w:r>
        <w:rPr>
          <w:sz w:val="26"/>
        </w:rPr>
        <w:t>August 28, 2015, at Docket No. M</w:t>
      </w:r>
      <w:r w:rsidR="00ED7AC2">
        <w:rPr>
          <w:sz w:val="26"/>
        </w:rPr>
        <w:noBreakHyphen/>
      </w:r>
      <w:r>
        <w:rPr>
          <w:sz w:val="26"/>
        </w:rPr>
        <w:t>2015-2490383, is modified</w:t>
      </w:r>
      <w:r w:rsidR="00D61142">
        <w:rPr>
          <w:sz w:val="26"/>
        </w:rPr>
        <w:t xml:space="preserve"> by deleting</w:t>
      </w:r>
      <w:r>
        <w:rPr>
          <w:sz w:val="26"/>
        </w:rPr>
        <w:t xml:space="preserve"> Sprague Operating Resources LLC</w:t>
      </w:r>
      <w:r w:rsidR="00D61142">
        <w:rPr>
          <w:sz w:val="26"/>
        </w:rPr>
        <w:t xml:space="preserve"> from Table</w:t>
      </w:r>
      <w:r w:rsidR="00ED7AC2">
        <w:rPr>
          <w:sz w:val="26"/>
        </w:rPr>
        <w:t> </w:t>
      </w:r>
      <w:r w:rsidR="00D61142">
        <w:rPr>
          <w:sz w:val="26"/>
        </w:rPr>
        <w:t>2 – Sup</w:t>
      </w:r>
      <w:r w:rsidR="00C60C9D">
        <w:rPr>
          <w:sz w:val="26"/>
        </w:rPr>
        <w:t>p</w:t>
      </w:r>
      <w:r w:rsidR="00D61142">
        <w:rPr>
          <w:sz w:val="26"/>
        </w:rPr>
        <w:t>lier Cancellation</w:t>
      </w:r>
      <w:r w:rsidRPr="00027664">
        <w:rPr>
          <w:sz w:val="26"/>
        </w:rPr>
        <w:t>.</w:t>
      </w:r>
    </w:p>
    <w:p w:rsidR="00543672" w:rsidRDefault="00543672" w:rsidP="00982206">
      <w:pPr>
        <w:spacing w:line="360" w:lineRule="auto"/>
        <w:ind w:firstLine="1440"/>
        <w:rPr>
          <w:sz w:val="26"/>
          <w:szCs w:val="26"/>
        </w:rPr>
      </w:pPr>
    </w:p>
    <w:p w:rsidR="00982206" w:rsidRDefault="000F3E65" w:rsidP="00ED7AC2">
      <w:pPr>
        <w:spacing w:line="360" w:lineRule="auto"/>
        <w:ind w:firstLine="1440"/>
        <w:rPr>
          <w:sz w:val="26"/>
          <w:szCs w:val="26"/>
        </w:rPr>
      </w:pPr>
      <w:r>
        <w:rPr>
          <w:sz w:val="26"/>
          <w:szCs w:val="26"/>
        </w:rPr>
        <w:t>3</w:t>
      </w:r>
      <w:r w:rsidR="00982206">
        <w:rPr>
          <w:sz w:val="26"/>
          <w:szCs w:val="26"/>
        </w:rPr>
        <w:t>.</w:t>
      </w:r>
      <w:r w:rsidR="00982206">
        <w:rPr>
          <w:sz w:val="26"/>
          <w:szCs w:val="26"/>
        </w:rPr>
        <w:tab/>
        <w:t xml:space="preserve">That the </w:t>
      </w:r>
      <w:r w:rsidR="00543672">
        <w:rPr>
          <w:sz w:val="26"/>
          <w:szCs w:val="26"/>
        </w:rPr>
        <w:t xml:space="preserve">Tentative Order entered July 8, 2015, </w:t>
      </w:r>
      <w:r w:rsidR="00982206">
        <w:rPr>
          <w:sz w:val="26"/>
          <w:szCs w:val="26"/>
        </w:rPr>
        <w:t>at Docket No. M</w:t>
      </w:r>
      <w:r w:rsidR="00ED7AC2">
        <w:rPr>
          <w:sz w:val="26"/>
          <w:szCs w:val="26"/>
        </w:rPr>
        <w:noBreakHyphen/>
      </w:r>
      <w:r w:rsidR="00982206">
        <w:rPr>
          <w:sz w:val="26"/>
          <w:szCs w:val="26"/>
        </w:rPr>
        <w:t>2015-2490383</w:t>
      </w:r>
      <w:r w:rsidR="00543672">
        <w:rPr>
          <w:sz w:val="26"/>
          <w:szCs w:val="26"/>
        </w:rPr>
        <w:t xml:space="preserve">, is held in abeyance with respect to </w:t>
      </w:r>
      <w:r w:rsidR="00543672">
        <w:rPr>
          <w:sz w:val="26"/>
        </w:rPr>
        <w:t>Sprague Operating Resources LLC</w:t>
      </w:r>
      <w:r w:rsidR="00953C78">
        <w:rPr>
          <w:sz w:val="26"/>
        </w:rPr>
        <w:t>,</w:t>
      </w:r>
      <w:r w:rsidR="00543672">
        <w:rPr>
          <w:sz w:val="26"/>
          <w:szCs w:val="26"/>
        </w:rPr>
        <w:t xml:space="preserve"> pending the Commission’s consideration of </w:t>
      </w:r>
      <w:r>
        <w:rPr>
          <w:sz w:val="26"/>
        </w:rPr>
        <w:t>Sprague Operating Resources LLC</w:t>
      </w:r>
      <w:r w:rsidR="00F56642">
        <w:rPr>
          <w:sz w:val="26"/>
        </w:rPr>
        <w:t>’s</w:t>
      </w:r>
      <w:r>
        <w:rPr>
          <w:sz w:val="26"/>
        </w:rPr>
        <w:t xml:space="preserve"> Application to Abandon Electric Generation Supplier License at Docket No. A-2015-2494779.</w:t>
      </w:r>
    </w:p>
    <w:p w:rsidR="00953C78" w:rsidRDefault="00953C78" w:rsidP="00F56642">
      <w:pPr>
        <w:spacing w:line="360" w:lineRule="auto"/>
        <w:rPr>
          <w:sz w:val="26"/>
          <w:szCs w:val="26"/>
        </w:rPr>
      </w:pPr>
    </w:p>
    <w:p w:rsidR="00982206" w:rsidRDefault="00953C78" w:rsidP="00ED7AC2">
      <w:pPr>
        <w:keepNext/>
        <w:keepLines/>
        <w:widowControl/>
        <w:spacing w:line="360" w:lineRule="auto"/>
        <w:rPr>
          <w:sz w:val="26"/>
          <w:szCs w:val="26"/>
        </w:rPr>
      </w:pPr>
      <w:r>
        <w:rPr>
          <w:sz w:val="26"/>
          <w:szCs w:val="26"/>
        </w:rPr>
        <w:lastRenderedPageBreak/>
        <w:tab/>
      </w:r>
      <w:r>
        <w:rPr>
          <w:sz w:val="26"/>
          <w:szCs w:val="26"/>
        </w:rPr>
        <w:tab/>
      </w:r>
      <w:r w:rsidR="00F56642">
        <w:rPr>
          <w:sz w:val="26"/>
          <w:szCs w:val="26"/>
        </w:rPr>
        <w:t>4.</w:t>
      </w:r>
      <w:r w:rsidR="00F56642">
        <w:rPr>
          <w:sz w:val="26"/>
          <w:szCs w:val="26"/>
        </w:rPr>
        <w:tab/>
        <w:t xml:space="preserve">That </w:t>
      </w:r>
      <w:r w:rsidR="00F56642">
        <w:rPr>
          <w:sz w:val="26"/>
        </w:rPr>
        <w:t>the Application to Abandon Electric Generation Supplier License filed by Sprague Operating Resources LLC on July 17, 2015, at Docket No. A</w:t>
      </w:r>
      <w:r w:rsidR="00ED7AC2">
        <w:rPr>
          <w:sz w:val="26"/>
        </w:rPr>
        <w:noBreakHyphen/>
      </w:r>
      <w:r w:rsidR="00F56642">
        <w:rPr>
          <w:sz w:val="26"/>
        </w:rPr>
        <w:t xml:space="preserve">2015-2494779, is referred to the Bureau of </w:t>
      </w:r>
      <w:r w:rsidR="00F56642">
        <w:rPr>
          <w:sz w:val="26"/>
          <w:szCs w:val="26"/>
        </w:rPr>
        <w:t>Technical Utility Services for such further action as may be warranted</w:t>
      </w:r>
      <w:r w:rsidR="00F56642">
        <w:rPr>
          <w:sz w:val="26"/>
        </w:rPr>
        <w:t>.</w:t>
      </w:r>
    </w:p>
    <w:p w:rsidR="00982206" w:rsidRDefault="00982206" w:rsidP="00ED7AC2">
      <w:pPr>
        <w:keepNext/>
        <w:keepLines/>
        <w:widowControl/>
        <w:spacing w:line="360" w:lineRule="auto"/>
        <w:ind w:left="1440"/>
        <w:rPr>
          <w:sz w:val="26"/>
          <w:szCs w:val="26"/>
        </w:rPr>
      </w:pPr>
    </w:p>
    <w:p w:rsidR="00982206" w:rsidRDefault="00982206" w:rsidP="00ED7AC2">
      <w:pPr>
        <w:keepNext/>
        <w:keepLines/>
        <w:widowControl/>
        <w:tabs>
          <w:tab w:val="left" w:pos="-720"/>
        </w:tabs>
        <w:ind w:firstLine="5040"/>
        <w:rPr>
          <w:sz w:val="26"/>
          <w:szCs w:val="26"/>
        </w:rPr>
      </w:pPr>
      <w:r>
        <w:rPr>
          <w:b/>
          <w:sz w:val="26"/>
          <w:szCs w:val="26"/>
        </w:rPr>
        <w:t>BY THE COMMISSION,</w:t>
      </w:r>
    </w:p>
    <w:p w:rsidR="00E92AF1" w:rsidRDefault="00E92AF1">
      <w:r>
        <w:rPr>
          <w:noProof/>
        </w:rPr>
        <w:drawing>
          <wp:anchor distT="0" distB="0" distL="114300" distR="114300" simplePos="0" relativeHeight="251659264" behindDoc="1" locked="0" layoutInCell="1" allowOverlap="1">
            <wp:simplePos x="0" y="0"/>
            <wp:positionH relativeFrom="column">
              <wp:posOffset>2967990</wp:posOffset>
            </wp:positionH>
            <wp:positionV relativeFrom="paragraph">
              <wp:posOffset>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982206" w:rsidRDefault="00982206" w:rsidP="00ED7AC2">
      <w:pPr>
        <w:keepNext/>
        <w:keepLines/>
        <w:widowControl/>
        <w:tabs>
          <w:tab w:val="left" w:pos="-720"/>
        </w:tabs>
        <w:rPr>
          <w:sz w:val="26"/>
          <w:szCs w:val="26"/>
        </w:rPr>
      </w:pPr>
    </w:p>
    <w:p w:rsidR="00982206" w:rsidRDefault="00982206" w:rsidP="00ED7AC2">
      <w:pPr>
        <w:keepNext/>
        <w:keepLines/>
        <w:widowControl/>
        <w:tabs>
          <w:tab w:val="left" w:pos="-720"/>
        </w:tabs>
        <w:rPr>
          <w:sz w:val="26"/>
          <w:szCs w:val="26"/>
        </w:rPr>
      </w:pPr>
    </w:p>
    <w:p w:rsidR="00982206" w:rsidRDefault="00982206" w:rsidP="00ED7AC2">
      <w:pPr>
        <w:keepNext/>
        <w:keepLines/>
        <w:widowControl/>
        <w:tabs>
          <w:tab w:val="left" w:pos="-720"/>
        </w:tabs>
        <w:rPr>
          <w:sz w:val="26"/>
          <w:szCs w:val="26"/>
        </w:rPr>
      </w:pPr>
    </w:p>
    <w:p w:rsidR="00982206" w:rsidRDefault="00982206" w:rsidP="00ED7AC2">
      <w:pPr>
        <w:keepNext/>
        <w:keepLines/>
        <w:widowControl/>
        <w:tabs>
          <w:tab w:val="left" w:pos="-720"/>
        </w:tabs>
        <w:ind w:firstLine="5040"/>
        <w:rPr>
          <w:b/>
          <w:sz w:val="26"/>
          <w:szCs w:val="26"/>
        </w:rPr>
      </w:pPr>
      <w:r>
        <w:rPr>
          <w:sz w:val="26"/>
          <w:szCs w:val="26"/>
        </w:rPr>
        <w:t>Rosemary Chiavetta</w:t>
      </w:r>
    </w:p>
    <w:p w:rsidR="00982206" w:rsidRDefault="00982206" w:rsidP="00ED7AC2">
      <w:pPr>
        <w:keepNext/>
        <w:keepLines/>
        <w:widowControl/>
        <w:tabs>
          <w:tab w:val="left" w:pos="-720"/>
        </w:tabs>
        <w:ind w:firstLine="5040"/>
        <w:rPr>
          <w:sz w:val="26"/>
          <w:szCs w:val="26"/>
        </w:rPr>
      </w:pPr>
      <w:r>
        <w:rPr>
          <w:sz w:val="26"/>
          <w:szCs w:val="26"/>
        </w:rPr>
        <w:t>Secretary</w:t>
      </w:r>
      <w:bookmarkStart w:id="0" w:name="_GoBack"/>
      <w:bookmarkEnd w:id="0"/>
    </w:p>
    <w:p w:rsidR="00982206" w:rsidRDefault="00982206" w:rsidP="00ED7AC2">
      <w:pPr>
        <w:keepNext/>
        <w:keepLines/>
        <w:widowControl/>
        <w:tabs>
          <w:tab w:val="left" w:pos="-720"/>
        </w:tabs>
        <w:rPr>
          <w:sz w:val="26"/>
          <w:szCs w:val="26"/>
        </w:rPr>
      </w:pPr>
    </w:p>
    <w:p w:rsidR="00982206" w:rsidRDefault="00982206" w:rsidP="00ED7AC2">
      <w:pPr>
        <w:keepNext/>
        <w:keepLines/>
        <w:widowControl/>
        <w:tabs>
          <w:tab w:val="left" w:pos="-720"/>
        </w:tabs>
        <w:rPr>
          <w:sz w:val="26"/>
          <w:szCs w:val="26"/>
        </w:rPr>
      </w:pPr>
      <w:r>
        <w:rPr>
          <w:sz w:val="26"/>
          <w:szCs w:val="26"/>
        </w:rPr>
        <w:t>(SEAL)</w:t>
      </w:r>
    </w:p>
    <w:p w:rsidR="00982206" w:rsidRDefault="00982206" w:rsidP="00ED7AC2">
      <w:pPr>
        <w:keepNext/>
        <w:keepLines/>
        <w:widowControl/>
        <w:tabs>
          <w:tab w:val="left" w:pos="-720"/>
        </w:tabs>
        <w:rPr>
          <w:sz w:val="26"/>
          <w:szCs w:val="26"/>
        </w:rPr>
      </w:pPr>
    </w:p>
    <w:p w:rsidR="00982206" w:rsidRDefault="00982206" w:rsidP="00ED7AC2">
      <w:pPr>
        <w:keepNext/>
        <w:keepLines/>
        <w:widowControl/>
        <w:tabs>
          <w:tab w:val="left" w:pos="-720"/>
        </w:tabs>
        <w:rPr>
          <w:sz w:val="26"/>
          <w:szCs w:val="26"/>
        </w:rPr>
      </w:pPr>
      <w:r>
        <w:rPr>
          <w:sz w:val="26"/>
          <w:szCs w:val="26"/>
        </w:rPr>
        <w:t xml:space="preserve">ORDER ADOPTED:  </w:t>
      </w:r>
      <w:r w:rsidR="003533FA">
        <w:rPr>
          <w:sz w:val="26"/>
          <w:szCs w:val="26"/>
        </w:rPr>
        <w:t xml:space="preserve">April </w:t>
      </w:r>
      <w:r w:rsidR="007E6A59">
        <w:rPr>
          <w:sz w:val="26"/>
          <w:szCs w:val="26"/>
        </w:rPr>
        <w:t>7</w:t>
      </w:r>
      <w:r w:rsidR="003F5DF7">
        <w:rPr>
          <w:sz w:val="26"/>
          <w:szCs w:val="26"/>
        </w:rPr>
        <w:t>, 2016</w:t>
      </w:r>
      <w:r>
        <w:rPr>
          <w:sz w:val="26"/>
          <w:szCs w:val="26"/>
        </w:rPr>
        <w:t xml:space="preserve">  </w:t>
      </w:r>
    </w:p>
    <w:p w:rsidR="00982206" w:rsidRDefault="00982206" w:rsidP="00ED7AC2">
      <w:pPr>
        <w:keepNext/>
        <w:keepLines/>
        <w:widowControl/>
        <w:tabs>
          <w:tab w:val="left" w:pos="-720"/>
        </w:tabs>
        <w:rPr>
          <w:sz w:val="26"/>
          <w:szCs w:val="26"/>
        </w:rPr>
      </w:pPr>
    </w:p>
    <w:p w:rsidR="00982206" w:rsidRDefault="00ED7AC2" w:rsidP="00ED7AC2">
      <w:pPr>
        <w:keepNext/>
        <w:keepLines/>
        <w:widowControl/>
        <w:tabs>
          <w:tab w:val="left" w:pos="-720"/>
        </w:tabs>
        <w:rPr>
          <w:sz w:val="26"/>
          <w:szCs w:val="26"/>
        </w:rPr>
      </w:pPr>
      <w:r>
        <w:rPr>
          <w:sz w:val="26"/>
          <w:szCs w:val="26"/>
        </w:rPr>
        <w:t xml:space="preserve">ORDER ENTERED:  </w:t>
      </w:r>
      <w:r w:rsidR="00E92AF1">
        <w:rPr>
          <w:sz w:val="26"/>
          <w:szCs w:val="26"/>
        </w:rPr>
        <w:t xml:space="preserve"> May 4, 2016</w:t>
      </w:r>
    </w:p>
    <w:sectPr w:rsidR="00982206" w:rsidSect="003742C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367" w:rsidRDefault="00475367">
      <w:r>
        <w:separator/>
      </w:r>
    </w:p>
  </w:endnote>
  <w:endnote w:type="continuationSeparator" w:id="0">
    <w:p w:rsidR="00475367" w:rsidRDefault="0047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99" w:rsidRDefault="00231F99"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1F99" w:rsidRDefault="00231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99" w:rsidRPr="00C7667D" w:rsidRDefault="00231F99"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E92AF1">
      <w:rPr>
        <w:rStyle w:val="PageNumber"/>
        <w:noProof/>
        <w:sz w:val="26"/>
      </w:rPr>
      <w:t>10</w:t>
    </w:r>
    <w:r w:rsidRPr="00C7667D">
      <w:rPr>
        <w:rStyle w:val="PageNumber"/>
        <w:sz w:val="26"/>
      </w:rPr>
      <w:fldChar w:fldCharType="end"/>
    </w:r>
  </w:p>
  <w:p w:rsidR="00231F99" w:rsidRDefault="00231F99" w:rsidP="00C7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367" w:rsidRDefault="00475367">
      <w:r>
        <w:separator/>
      </w:r>
    </w:p>
  </w:footnote>
  <w:footnote w:type="continuationSeparator" w:id="0">
    <w:p w:rsidR="00475367" w:rsidRDefault="00475367">
      <w:r>
        <w:continuationSeparator/>
      </w:r>
    </w:p>
  </w:footnote>
  <w:footnote w:id="1">
    <w:p w:rsidR="00231F99" w:rsidRPr="00255863" w:rsidRDefault="00231F99" w:rsidP="00255863">
      <w:pPr>
        <w:pStyle w:val="FootnoteText"/>
        <w:ind w:firstLine="720"/>
        <w:rPr>
          <w:sz w:val="26"/>
          <w:szCs w:val="26"/>
        </w:rPr>
      </w:pPr>
      <w:r w:rsidRPr="00255863">
        <w:rPr>
          <w:rStyle w:val="FootnoteReference"/>
          <w:sz w:val="26"/>
          <w:szCs w:val="26"/>
        </w:rPr>
        <w:footnoteRef/>
      </w:r>
      <w:r w:rsidRPr="00255863">
        <w:rPr>
          <w:sz w:val="26"/>
          <w:szCs w:val="26"/>
        </w:rPr>
        <w:tab/>
      </w:r>
      <w:r>
        <w:rPr>
          <w:sz w:val="26"/>
          <w:szCs w:val="26"/>
        </w:rPr>
        <w:t>Sprague filed t</w:t>
      </w:r>
      <w:r w:rsidRPr="00255863">
        <w:rPr>
          <w:sz w:val="26"/>
          <w:szCs w:val="26"/>
        </w:rPr>
        <w:t>he required verification to the P</w:t>
      </w:r>
      <w:r>
        <w:rPr>
          <w:sz w:val="26"/>
          <w:szCs w:val="26"/>
        </w:rPr>
        <w:t>etition on September 16</w:t>
      </w:r>
      <w:r w:rsidRPr="00255863">
        <w:rPr>
          <w:sz w:val="26"/>
          <w:szCs w:val="26"/>
        </w:rPr>
        <w:t xml:space="preserve">, 2015. </w:t>
      </w:r>
    </w:p>
  </w:footnote>
  <w:footnote w:id="2">
    <w:p w:rsidR="007A1080" w:rsidRPr="007A1080" w:rsidRDefault="007A1080">
      <w:pPr>
        <w:pStyle w:val="FootnoteText"/>
        <w:rPr>
          <w:sz w:val="26"/>
        </w:rPr>
      </w:pPr>
      <w:r>
        <w:tab/>
      </w:r>
      <w:r w:rsidRPr="007A1080">
        <w:rPr>
          <w:rStyle w:val="FootnoteReference"/>
          <w:sz w:val="26"/>
        </w:rPr>
        <w:footnoteRef/>
      </w:r>
      <w:r w:rsidRPr="007A1080">
        <w:rPr>
          <w:sz w:val="26"/>
        </w:rPr>
        <w:tab/>
        <w:t xml:space="preserve">The </w:t>
      </w:r>
      <w:r w:rsidRPr="00442A8A">
        <w:rPr>
          <w:i/>
          <w:sz w:val="26"/>
        </w:rPr>
        <w:t>Tentative Order</w:t>
      </w:r>
      <w:r w:rsidRPr="007A1080">
        <w:rPr>
          <w:sz w:val="26"/>
        </w:rPr>
        <w:t xml:space="preserve"> was </w:t>
      </w:r>
      <w:r w:rsidR="00442A8A">
        <w:rPr>
          <w:sz w:val="26"/>
        </w:rPr>
        <w:t>served</w:t>
      </w:r>
      <w:r w:rsidRPr="007A1080">
        <w:rPr>
          <w:sz w:val="26"/>
        </w:rPr>
        <w:t xml:space="preserve"> o</w:t>
      </w:r>
      <w:r w:rsidR="00442A8A">
        <w:rPr>
          <w:sz w:val="26"/>
        </w:rPr>
        <w:t>n</w:t>
      </w:r>
      <w:r w:rsidRPr="007A1080">
        <w:rPr>
          <w:sz w:val="26"/>
        </w:rPr>
        <w:t xml:space="preserve"> Sprague and twenty six other EGSs.  </w:t>
      </w:r>
    </w:p>
  </w:footnote>
  <w:footnote w:id="3">
    <w:p w:rsidR="00231F99" w:rsidRPr="00B324EC" w:rsidRDefault="00231F99" w:rsidP="00B324EC">
      <w:pPr>
        <w:rPr>
          <w:sz w:val="26"/>
          <w:szCs w:val="26"/>
        </w:rPr>
      </w:pPr>
      <w:r>
        <w:tab/>
      </w:r>
      <w:r w:rsidRPr="00B324EC">
        <w:rPr>
          <w:rStyle w:val="FootnoteReference"/>
          <w:sz w:val="26"/>
        </w:rPr>
        <w:footnoteRef/>
      </w:r>
      <w:r w:rsidRPr="00B324EC">
        <w:rPr>
          <w:sz w:val="26"/>
        </w:rPr>
        <w:tab/>
      </w:r>
      <w:r>
        <w:rPr>
          <w:sz w:val="26"/>
        </w:rPr>
        <w:t xml:space="preserve">Section </w:t>
      </w:r>
      <w:r w:rsidRPr="00B324EC">
        <w:rPr>
          <w:sz w:val="26"/>
          <w:szCs w:val="26"/>
        </w:rPr>
        <w:t xml:space="preserve">54.40(a) </w:t>
      </w:r>
      <w:r>
        <w:rPr>
          <w:sz w:val="26"/>
          <w:szCs w:val="26"/>
        </w:rPr>
        <w:t>provides that</w:t>
      </w:r>
      <w:r w:rsidRPr="00B324EC">
        <w:rPr>
          <w:sz w:val="26"/>
          <w:szCs w:val="26"/>
        </w:rPr>
        <w:t xml:space="preserve"> an EGS license will not be issued or remain in force until the licensee furnishes a bond or other security approved by the Commission.  </w:t>
      </w:r>
      <w:r>
        <w:rPr>
          <w:sz w:val="26"/>
          <w:szCs w:val="26"/>
        </w:rPr>
        <w:t xml:space="preserve">Additionally, Section </w:t>
      </w:r>
      <w:r w:rsidRPr="00B324EC">
        <w:rPr>
          <w:sz w:val="26"/>
          <w:szCs w:val="26"/>
        </w:rPr>
        <w:t xml:space="preserve">54.40(d) </w:t>
      </w:r>
      <w:r>
        <w:rPr>
          <w:sz w:val="26"/>
          <w:szCs w:val="26"/>
        </w:rPr>
        <w:t>provides</w:t>
      </w:r>
      <w:r w:rsidRPr="00B324EC">
        <w:rPr>
          <w:sz w:val="26"/>
          <w:szCs w:val="26"/>
        </w:rPr>
        <w:t xml:space="preserve"> that the maintenance of an EGS license is contingent on the licensee providing proof to the Commission that a bond or other approved security in the amount directed by the Commission has been obtained.</w:t>
      </w:r>
    </w:p>
    <w:p w:rsidR="00231F99" w:rsidRDefault="00231F99">
      <w:pPr>
        <w:pStyle w:val="FootnoteText"/>
      </w:pPr>
    </w:p>
  </w:footnote>
  <w:footnote w:id="4">
    <w:p w:rsidR="004B100B" w:rsidRPr="004B100B" w:rsidRDefault="004B100B">
      <w:pPr>
        <w:pStyle w:val="FootnoteText"/>
        <w:rPr>
          <w:sz w:val="26"/>
        </w:rPr>
      </w:pPr>
      <w:r>
        <w:rPr>
          <w:sz w:val="26"/>
        </w:rPr>
        <w:tab/>
      </w:r>
      <w:r w:rsidRPr="004B100B">
        <w:rPr>
          <w:rStyle w:val="FootnoteReference"/>
          <w:sz w:val="26"/>
        </w:rPr>
        <w:footnoteRef/>
      </w:r>
      <w:r>
        <w:rPr>
          <w:sz w:val="26"/>
        </w:rPr>
        <w:tab/>
      </w:r>
      <w:r w:rsidRPr="004B100B">
        <w:rPr>
          <w:i/>
          <w:sz w:val="26"/>
        </w:rPr>
        <w:t xml:space="preserve">See </w:t>
      </w:r>
      <w:r w:rsidRPr="004B100B">
        <w:rPr>
          <w:i/>
          <w:sz w:val="26"/>
          <w:szCs w:val="26"/>
        </w:rPr>
        <w:t>License Application of Sprague Operating Resources LLC for Approval to Offer, Render, Furnish or Supply Electricity or Electric Generation Services as a Broker/Marketer</w:t>
      </w:r>
      <w:r w:rsidRPr="004B100B">
        <w:rPr>
          <w:sz w:val="26"/>
          <w:szCs w:val="26"/>
        </w:rPr>
        <w:t>, Docket No. A-2012-2292048 (Order entered June 7, 2012).</w:t>
      </w:r>
    </w:p>
  </w:footnote>
  <w:footnote w:id="5">
    <w:p w:rsidR="00FB5B38" w:rsidRPr="00FB5B38" w:rsidRDefault="00FB5B38">
      <w:pPr>
        <w:pStyle w:val="FootnoteText"/>
        <w:rPr>
          <w:sz w:val="26"/>
        </w:rPr>
      </w:pPr>
      <w:r>
        <w:tab/>
      </w:r>
      <w:r w:rsidRPr="00FB5B38">
        <w:rPr>
          <w:rStyle w:val="FootnoteReference"/>
          <w:sz w:val="26"/>
        </w:rPr>
        <w:footnoteRef/>
      </w:r>
      <w:r w:rsidRPr="00FB5B38">
        <w:rPr>
          <w:sz w:val="26"/>
        </w:rPr>
        <w:tab/>
      </w:r>
      <w:r>
        <w:rPr>
          <w:sz w:val="26"/>
        </w:rPr>
        <w:t>Sprague filed the Supplement well</w:t>
      </w:r>
      <w:r w:rsidR="00686AF5">
        <w:rPr>
          <w:sz w:val="26"/>
        </w:rPr>
        <w:t xml:space="preserve"> </w:t>
      </w:r>
      <w:r>
        <w:rPr>
          <w:sz w:val="26"/>
        </w:rPr>
        <w:t>after the fifteen</w:t>
      </w:r>
      <w:r w:rsidR="00A1507A">
        <w:rPr>
          <w:sz w:val="26"/>
        </w:rPr>
        <w:t>-</w:t>
      </w:r>
      <w:r>
        <w:rPr>
          <w:sz w:val="26"/>
        </w:rPr>
        <w:t>day time frame for filing a Petition for Reconsideration</w:t>
      </w:r>
      <w:r w:rsidR="00731FAD">
        <w:rPr>
          <w:sz w:val="26"/>
        </w:rPr>
        <w:t>.  Because Sprague filed the Supplement after the deadline and our Regulations do not provide for the filing of Supplements to Petitions for Reconsideration</w:t>
      </w:r>
      <w:r>
        <w:rPr>
          <w:sz w:val="26"/>
        </w:rPr>
        <w:t>,</w:t>
      </w:r>
      <w:r w:rsidR="00731FAD">
        <w:rPr>
          <w:sz w:val="26"/>
        </w:rPr>
        <w:t xml:space="preserve"> we will not conside</w:t>
      </w:r>
      <w:r w:rsidR="00A1507A">
        <w:rPr>
          <w:sz w:val="26"/>
        </w:rPr>
        <w:t>r the Supplement in this case.</w:t>
      </w:r>
    </w:p>
  </w:footnote>
  <w:footnote w:id="6">
    <w:p w:rsidR="005176F1" w:rsidRDefault="005176F1">
      <w:pPr>
        <w:pStyle w:val="FootnoteText"/>
      </w:pPr>
      <w:r>
        <w:tab/>
      </w:r>
      <w:r w:rsidRPr="005176F1">
        <w:rPr>
          <w:rStyle w:val="FootnoteReference"/>
          <w:sz w:val="26"/>
        </w:rPr>
        <w:footnoteRef/>
      </w:r>
      <w:r w:rsidRPr="005176F1">
        <w:rPr>
          <w:sz w:val="26"/>
        </w:rPr>
        <w:t xml:space="preserve"> </w:t>
      </w:r>
      <w:r w:rsidRPr="005176F1">
        <w:rPr>
          <w:sz w:val="26"/>
        </w:rPr>
        <w:tab/>
        <w:t>Sprague Energy Solutions is an EGS</w:t>
      </w:r>
      <w:r>
        <w:rPr>
          <w:sz w:val="26"/>
        </w:rPr>
        <w:t xml:space="preserve"> </w:t>
      </w:r>
      <w:r w:rsidR="000F49D7">
        <w:rPr>
          <w:sz w:val="26"/>
        </w:rPr>
        <w:t>that serves</w:t>
      </w:r>
      <w:r>
        <w:rPr>
          <w:sz w:val="26"/>
        </w:rPr>
        <w:t xml:space="preserve"> industrial and commercial customers in fourteen states</w:t>
      </w:r>
      <w:r w:rsidR="000F49D7">
        <w:rPr>
          <w:sz w:val="26"/>
        </w:rPr>
        <w:t>.</w:t>
      </w:r>
      <w:r>
        <w:rPr>
          <w:sz w:val="26"/>
        </w:rPr>
        <w:t xml:space="preserve"> </w:t>
      </w:r>
      <w:r w:rsidR="000F49D7">
        <w:rPr>
          <w:sz w:val="26"/>
        </w:rPr>
        <w:t xml:space="preserve"> T</w:t>
      </w:r>
      <w:r>
        <w:rPr>
          <w:sz w:val="26"/>
        </w:rPr>
        <w:t>he Commission issued an EGS license to Sprague Energy Solutions on June 11, 2015, at Docket No. A-2015-2469110.</w:t>
      </w:r>
      <w:r w:rsidR="000F49D7">
        <w:rPr>
          <w:sz w:val="26"/>
        </w:rPr>
        <w:t xml:space="preserve">  </w:t>
      </w:r>
      <w:r>
        <w:rPr>
          <w:sz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05E1"/>
    <w:rsid w:val="00002348"/>
    <w:rsid w:val="00002CE4"/>
    <w:rsid w:val="00002F2A"/>
    <w:rsid w:val="00002F49"/>
    <w:rsid w:val="000038D3"/>
    <w:rsid w:val="0000415E"/>
    <w:rsid w:val="00005177"/>
    <w:rsid w:val="00005EE1"/>
    <w:rsid w:val="00005F78"/>
    <w:rsid w:val="00007440"/>
    <w:rsid w:val="000074DC"/>
    <w:rsid w:val="00007597"/>
    <w:rsid w:val="00007888"/>
    <w:rsid w:val="0001099D"/>
    <w:rsid w:val="00012D0C"/>
    <w:rsid w:val="000138C9"/>
    <w:rsid w:val="00013FDE"/>
    <w:rsid w:val="000158F2"/>
    <w:rsid w:val="00015A01"/>
    <w:rsid w:val="00020552"/>
    <w:rsid w:val="00020E43"/>
    <w:rsid w:val="00022D45"/>
    <w:rsid w:val="00023536"/>
    <w:rsid w:val="0002355F"/>
    <w:rsid w:val="000310BE"/>
    <w:rsid w:val="000323A8"/>
    <w:rsid w:val="00033C9A"/>
    <w:rsid w:val="00034CD7"/>
    <w:rsid w:val="00035401"/>
    <w:rsid w:val="00036927"/>
    <w:rsid w:val="000369A9"/>
    <w:rsid w:val="00042738"/>
    <w:rsid w:val="000438A2"/>
    <w:rsid w:val="00045A7A"/>
    <w:rsid w:val="000505E5"/>
    <w:rsid w:val="00051647"/>
    <w:rsid w:val="00053CED"/>
    <w:rsid w:val="000549A7"/>
    <w:rsid w:val="00056968"/>
    <w:rsid w:val="00057057"/>
    <w:rsid w:val="00057859"/>
    <w:rsid w:val="000606AA"/>
    <w:rsid w:val="000610F9"/>
    <w:rsid w:val="00061850"/>
    <w:rsid w:val="00061F8E"/>
    <w:rsid w:val="000629CD"/>
    <w:rsid w:val="00063028"/>
    <w:rsid w:val="00065DB6"/>
    <w:rsid w:val="00067196"/>
    <w:rsid w:val="000673D1"/>
    <w:rsid w:val="00067A0D"/>
    <w:rsid w:val="00071064"/>
    <w:rsid w:val="00071A8A"/>
    <w:rsid w:val="00073870"/>
    <w:rsid w:val="00075210"/>
    <w:rsid w:val="00075F0C"/>
    <w:rsid w:val="00080CCC"/>
    <w:rsid w:val="0008328F"/>
    <w:rsid w:val="00084DB9"/>
    <w:rsid w:val="00086D0B"/>
    <w:rsid w:val="00087D18"/>
    <w:rsid w:val="0009007E"/>
    <w:rsid w:val="00090AF0"/>
    <w:rsid w:val="00091989"/>
    <w:rsid w:val="0009269E"/>
    <w:rsid w:val="00092ABD"/>
    <w:rsid w:val="000940CD"/>
    <w:rsid w:val="0009466E"/>
    <w:rsid w:val="0009476C"/>
    <w:rsid w:val="00094F3D"/>
    <w:rsid w:val="00096F18"/>
    <w:rsid w:val="0009781B"/>
    <w:rsid w:val="000A0D32"/>
    <w:rsid w:val="000A135D"/>
    <w:rsid w:val="000A1B73"/>
    <w:rsid w:val="000A1EF2"/>
    <w:rsid w:val="000A35F4"/>
    <w:rsid w:val="000A4770"/>
    <w:rsid w:val="000A748C"/>
    <w:rsid w:val="000A7DDC"/>
    <w:rsid w:val="000A7F96"/>
    <w:rsid w:val="000B1732"/>
    <w:rsid w:val="000B2B80"/>
    <w:rsid w:val="000B37BA"/>
    <w:rsid w:val="000B465F"/>
    <w:rsid w:val="000B729D"/>
    <w:rsid w:val="000C0702"/>
    <w:rsid w:val="000C236E"/>
    <w:rsid w:val="000C6921"/>
    <w:rsid w:val="000C742F"/>
    <w:rsid w:val="000D03DD"/>
    <w:rsid w:val="000D2456"/>
    <w:rsid w:val="000D7483"/>
    <w:rsid w:val="000E32BA"/>
    <w:rsid w:val="000E3D4C"/>
    <w:rsid w:val="000E4BED"/>
    <w:rsid w:val="000E515B"/>
    <w:rsid w:val="000E570C"/>
    <w:rsid w:val="000E5BCD"/>
    <w:rsid w:val="000F1318"/>
    <w:rsid w:val="000F22DA"/>
    <w:rsid w:val="000F2540"/>
    <w:rsid w:val="000F35E6"/>
    <w:rsid w:val="000F3795"/>
    <w:rsid w:val="000F3896"/>
    <w:rsid w:val="000F3E65"/>
    <w:rsid w:val="000F4467"/>
    <w:rsid w:val="000F49D7"/>
    <w:rsid w:val="000F4F95"/>
    <w:rsid w:val="000F63E9"/>
    <w:rsid w:val="000F6D5A"/>
    <w:rsid w:val="0010013C"/>
    <w:rsid w:val="001006F0"/>
    <w:rsid w:val="00100BA6"/>
    <w:rsid w:val="00101745"/>
    <w:rsid w:val="00102D03"/>
    <w:rsid w:val="00103530"/>
    <w:rsid w:val="00105084"/>
    <w:rsid w:val="00105193"/>
    <w:rsid w:val="00106537"/>
    <w:rsid w:val="00106BE0"/>
    <w:rsid w:val="00111A44"/>
    <w:rsid w:val="0011423D"/>
    <w:rsid w:val="00114D80"/>
    <w:rsid w:val="001170DB"/>
    <w:rsid w:val="00120FCD"/>
    <w:rsid w:val="00121111"/>
    <w:rsid w:val="00122941"/>
    <w:rsid w:val="00123375"/>
    <w:rsid w:val="00123802"/>
    <w:rsid w:val="0012456C"/>
    <w:rsid w:val="001260A0"/>
    <w:rsid w:val="0012697D"/>
    <w:rsid w:val="0012783E"/>
    <w:rsid w:val="00131517"/>
    <w:rsid w:val="00131A77"/>
    <w:rsid w:val="00131B43"/>
    <w:rsid w:val="00132C3A"/>
    <w:rsid w:val="00133684"/>
    <w:rsid w:val="00134C35"/>
    <w:rsid w:val="00134D3A"/>
    <w:rsid w:val="00141760"/>
    <w:rsid w:val="001437B9"/>
    <w:rsid w:val="00144A7E"/>
    <w:rsid w:val="00144FFF"/>
    <w:rsid w:val="00150989"/>
    <w:rsid w:val="00151166"/>
    <w:rsid w:val="00153234"/>
    <w:rsid w:val="00153B73"/>
    <w:rsid w:val="001556A8"/>
    <w:rsid w:val="0015662E"/>
    <w:rsid w:val="0015669F"/>
    <w:rsid w:val="00156BE1"/>
    <w:rsid w:val="0015798E"/>
    <w:rsid w:val="00157A84"/>
    <w:rsid w:val="0016005F"/>
    <w:rsid w:val="00160565"/>
    <w:rsid w:val="001606BC"/>
    <w:rsid w:val="00160B7C"/>
    <w:rsid w:val="001620E4"/>
    <w:rsid w:val="00162420"/>
    <w:rsid w:val="00163AA3"/>
    <w:rsid w:val="00165945"/>
    <w:rsid w:val="00167F11"/>
    <w:rsid w:val="00172C4A"/>
    <w:rsid w:val="001730AD"/>
    <w:rsid w:val="001738D5"/>
    <w:rsid w:val="00175B2F"/>
    <w:rsid w:val="001773F8"/>
    <w:rsid w:val="00177A43"/>
    <w:rsid w:val="001827DB"/>
    <w:rsid w:val="00185B5E"/>
    <w:rsid w:val="00186183"/>
    <w:rsid w:val="00186887"/>
    <w:rsid w:val="00192EBC"/>
    <w:rsid w:val="00193D64"/>
    <w:rsid w:val="00196484"/>
    <w:rsid w:val="001967BB"/>
    <w:rsid w:val="00196BDC"/>
    <w:rsid w:val="00197F3D"/>
    <w:rsid w:val="001A014D"/>
    <w:rsid w:val="001A22EE"/>
    <w:rsid w:val="001A29C7"/>
    <w:rsid w:val="001A4A0C"/>
    <w:rsid w:val="001A53C8"/>
    <w:rsid w:val="001A6370"/>
    <w:rsid w:val="001A7165"/>
    <w:rsid w:val="001B1A49"/>
    <w:rsid w:val="001B4783"/>
    <w:rsid w:val="001B48DC"/>
    <w:rsid w:val="001B54B3"/>
    <w:rsid w:val="001B6B53"/>
    <w:rsid w:val="001B6B8A"/>
    <w:rsid w:val="001B7E44"/>
    <w:rsid w:val="001C0833"/>
    <w:rsid w:val="001C0E5D"/>
    <w:rsid w:val="001C167C"/>
    <w:rsid w:val="001C3135"/>
    <w:rsid w:val="001C3A98"/>
    <w:rsid w:val="001C42EB"/>
    <w:rsid w:val="001C53B1"/>
    <w:rsid w:val="001C730F"/>
    <w:rsid w:val="001C7C12"/>
    <w:rsid w:val="001D0A9A"/>
    <w:rsid w:val="001D11B8"/>
    <w:rsid w:val="001D266F"/>
    <w:rsid w:val="001D2BAD"/>
    <w:rsid w:val="001D7EBD"/>
    <w:rsid w:val="001E05C6"/>
    <w:rsid w:val="001E2658"/>
    <w:rsid w:val="001E2CFB"/>
    <w:rsid w:val="001E342B"/>
    <w:rsid w:val="001E4C1C"/>
    <w:rsid w:val="001E51E9"/>
    <w:rsid w:val="001E5417"/>
    <w:rsid w:val="001E5511"/>
    <w:rsid w:val="001E58D3"/>
    <w:rsid w:val="001E6066"/>
    <w:rsid w:val="001E73AB"/>
    <w:rsid w:val="001F0488"/>
    <w:rsid w:val="001F2321"/>
    <w:rsid w:val="001F2BD2"/>
    <w:rsid w:val="001F4060"/>
    <w:rsid w:val="001F55D5"/>
    <w:rsid w:val="001F794B"/>
    <w:rsid w:val="001F7B55"/>
    <w:rsid w:val="002013B2"/>
    <w:rsid w:val="00201CF3"/>
    <w:rsid w:val="00201F63"/>
    <w:rsid w:val="00205839"/>
    <w:rsid w:val="00206720"/>
    <w:rsid w:val="00206C74"/>
    <w:rsid w:val="00210B26"/>
    <w:rsid w:val="00211405"/>
    <w:rsid w:val="00211442"/>
    <w:rsid w:val="00211B98"/>
    <w:rsid w:val="00213024"/>
    <w:rsid w:val="00213B95"/>
    <w:rsid w:val="00214830"/>
    <w:rsid w:val="002158D0"/>
    <w:rsid w:val="0021645F"/>
    <w:rsid w:val="00217C4E"/>
    <w:rsid w:val="00217E3D"/>
    <w:rsid w:val="00220CE0"/>
    <w:rsid w:val="00221C10"/>
    <w:rsid w:val="002234B5"/>
    <w:rsid w:val="002235CE"/>
    <w:rsid w:val="002242F7"/>
    <w:rsid w:val="00224B35"/>
    <w:rsid w:val="00225BD2"/>
    <w:rsid w:val="0022728F"/>
    <w:rsid w:val="0022734C"/>
    <w:rsid w:val="00230396"/>
    <w:rsid w:val="00230BAB"/>
    <w:rsid w:val="00231F99"/>
    <w:rsid w:val="00233E2F"/>
    <w:rsid w:val="0023535F"/>
    <w:rsid w:val="00237CB3"/>
    <w:rsid w:val="0024160B"/>
    <w:rsid w:val="00241B87"/>
    <w:rsid w:val="0024374C"/>
    <w:rsid w:val="00247BB1"/>
    <w:rsid w:val="00252D9D"/>
    <w:rsid w:val="00252E14"/>
    <w:rsid w:val="00253F56"/>
    <w:rsid w:val="00253FD2"/>
    <w:rsid w:val="00255863"/>
    <w:rsid w:val="00255A6D"/>
    <w:rsid w:val="0025691E"/>
    <w:rsid w:val="00256A4C"/>
    <w:rsid w:val="00260041"/>
    <w:rsid w:val="00260547"/>
    <w:rsid w:val="00260A97"/>
    <w:rsid w:val="0026191C"/>
    <w:rsid w:val="00263EDB"/>
    <w:rsid w:val="00264ABB"/>
    <w:rsid w:val="00264FEB"/>
    <w:rsid w:val="00266827"/>
    <w:rsid w:val="002714DA"/>
    <w:rsid w:val="00274284"/>
    <w:rsid w:val="00274861"/>
    <w:rsid w:val="00275124"/>
    <w:rsid w:val="002751AE"/>
    <w:rsid w:val="002753CE"/>
    <w:rsid w:val="00277004"/>
    <w:rsid w:val="00281D3B"/>
    <w:rsid w:val="00282D52"/>
    <w:rsid w:val="002836FA"/>
    <w:rsid w:val="002838E3"/>
    <w:rsid w:val="00285550"/>
    <w:rsid w:val="00285919"/>
    <w:rsid w:val="0028615A"/>
    <w:rsid w:val="00286F7C"/>
    <w:rsid w:val="00287BE6"/>
    <w:rsid w:val="002902FB"/>
    <w:rsid w:val="0029085A"/>
    <w:rsid w:val="002931D9"/>
    <w:rsid w:val="002958B5"/>
    <w:rsid w:val="00295962"/>
    <w:rsid w:val="00296612"/>
    <w:rsid w:val="00297C2E"/>
    <w:rsid w:val="002A1C25"/>
    <w:rsid w:val="002A1E1B"/>
    <w:rsid w:val="002A2A68"/>
    <w:rsid w:val="002A3701"/>
    <w:rsid w:val="002A3A6E"/>
    <w:rsid w:val="002A3AC8"/>
    <w:rsid w:val="002A4B76"/>
    <w:rsid w:val="002A53EA"/>
    <w:rsid w:val="002A5B9B"/>
    <w:rsid w:val="002A63DE"/>
    <w:rsid w:val="002A63F8"/>
    <w:rsid w:val="002A6C1F"/>
    <w:rsid w:val="002A6F9C"/>
    <w:rsid w:val="002A71F9"/>
    <w:rsid w:val="002A740E"/>
    <w:rsid w:val="002B3767"/>
    <w:rsid w:val="002B3979"/>
    <w:rsid w:val="002B39BB"/>
    <w:rsid w:val="002B4B0D"/>
    <w:rsid w:val="002B574E"/>
    <w:rsid w:val="002C0012"/>
    <w:rsid w:val="002C011D"/>
    <w:rsid w:val="002C19D9"/>
    <w:rsid w:val="002C1A30"/>
    <w:rsid w:val="002C37F3"/>
    <w:rsid w:val="002C4BF6"/>
    <w:rsid w:val="002C5EE0"/>
    <w:rsid w:val="002C65B7"/>
    <w:rsid w:val="002C6BD7"/>
    <w:rsid w:val="002C6E17"/>
    <w:rsid w:val="002D1465"/>
    <w:rsid w:val="002D1892"/>
    <w:rsid w:val="002D2D30"/>
    <w:rsid w:val="002D43F8"/>
    <w:rsid w:val="002D5A50"/>
    <w:rsid w:val="002D5C5B"/>
    <w:rsid w:val="002D6210"/>
    <w:rsid w:val="002D650D"/>
    <w:rsid w:val="002E035D"/>
    <w:rsid w:val="002E0503"/>
    <w:rsid w:val="002E1177"/>
    <w:rsid w:val="002E16FC"/>
    <w:rsid w:val="002E5790"/>
    <w:rsid w:val="002E6E40"/>
    <w:rsid w:val="002E6EE9"/>
    <w:rsid w:val="002F0636"/>
    <w:rsid w:val="002F0ADE"/>
    <w:rsid w:val="002F0B54"/>
    <w:rsid w:val="002F0CED"/>
    <w:rsid w:val="002F0F03"/>
    <w:rsid w:val="002F117C"/>
    <w:rsid w:val="002F1870"/>
    <w:rsid w:val="002F2CEF"/>
    <w:rsid w:val="002F5424"/>
    <w:rsid w:val="002F5D1D"/>
    <w:rsid w:val="002F62B6"/>
    <w:rsid w:val="002F714D"/>
    <w:rsid w:val="00301039"/>
    <w:rsid w:val="00301857"/>
    <w:rsid w:val="00302000"/>
    <w:rsid w:val="00303C9B"/>
    <w:rsid w:val="00304ABF"/>
    <w:rsid w:val="00304E14"/>
    <w:rsid w:val="0030541E"/>
    <w:rsid w:val="0030758B"/>
    <w:rsid w:val="0031153E"/>
    <w:rsid w:val="00312E08"/>
    <w:rsid w:val="003143DF"/>
    <w:rsid w:val="003158CE"/>
    <w:rsid w:val="00316BFA"/>
    <w:rsid w:val="003177A0"/>
    <w:rsid w:val="003211A5"/>
    <w:rsid w:val="003218DD"/>
    <w:rsid w:val="0032236B"/>
    <w:rsid w:val="00322A65"/>
    <w:rsid w:val="00324FDF"/>
    <w:rsid w:val="003255BF"/>
    <w:rsid w:val="00326A17"/>
    <w:rsid w:val="00331BED"/>
    <w:rsid w:val="00332607"/>
    <w:rsid w:val="003336F9"/>
    <w:rsid w:val="003343F9"/>
    <w:rsid w:val="00337DFD"/>
    <w:rsid w:val="00340070"/>
    <w:rsid w:val="00340C45"/>
    <w:rsid w:val="003412D4"/>
    <w:rsid w:val="00343BD1"/>
    <w:rsid w:val="00345135"/>
    <w:rsid w:val="003456B7"/>
    <w:rsid w:val="00350145"/>
    <w:rsid w:val="00351D95"/>
    <w:rsid w:val="003533FA"/>
    <w:rsid w:val="00353BD2"/>
    <w:rsid w:val="00353E07"/>
    <w:rsid w:val="003550FF"/>
    <w:rsid w:val="003551C4"/>
    <w:rsid w:val="0036013A"/>
    <w:rsid w:val="00360D84"/>
    <w:rsid w:val="0036428E"/>
    <w:rsid w:val="00364B03"/>
    <w:rsid w:val="00364C2A"/>
    <w:rsid w:val="00365293"/>
    <w:rsid w:val="00366601"/>
    <w:rsid w:val="003669C8"/>
    <w:rsid w:val="00366C7B"/>
    <w:rsid w:val="00367C68"/>
    <w:rsid w:val="003704B1"/>
    <w:rsid w:val="003708CD"/>
    <w:rsid w:val="00373F74"/>
    <w:rsid w:val="003742CF"/>
    <w:rsid w:val="00374344"/>
    <w:rsid w:val="00375080"/>
    <w:rsid w:val="0037692B"/>
    <w:rsid w:val="003806A7"/>
    <w:rsid w:val="00380889"/>
    <w:rsid w:val="0038121C"/>
    <w:rsid w:val="003813B6"/>
    <w:rsid w:val="00381C7A"/>
    <w:rsid w:val="00382A4B"/>
    <w:rsid w:val="00382CB9"/>
    <w:rsid w:val="00383539"/>
    <w:rsid w:val="00384D26"/>
    <w:rsid w:val="00385595"/>
    <w:rsid w:val="00390901"/>
    <w:rsid w:val="00390921"/>
    <w:rsid w:val="00390FB3"/>
    <w:rsid w:val="00392932"/>
    <w:rsid w:val="00394901"/>
    <w:rsid w:val="00396E0C"/>
    <w:rsid w:val="00397A8B"/>
    <w:rsid w:val="00397DE1"/>
    <w:rsid w:val="003A0289"/>
    <w:rsid w:val="003A05A4"/>
    <w:rsid w:val="003A1A53"/>
    <w:rsid w:val="003A1BF7"/>
    <w:rsid w:val="003A3888"/>
    <w:rsid w:val="003A4F76"/>
    <w:rsid w:val="003A50AE"/>
    <w:rsid w:val="003A5385"/>
    <w:rsid w:val="003A79A7"/>
    <w:rsid w:val="003B0618"/>
    <w:rsid w:val="003B1460"/>
    <w:rsid w:val="003B3893"/>
    <w:rsid w:val="003B3CEA"/>
    <w:rsid w:val="003B55BA"/>
    <w:rsid w:val="003B561F"/>
    <w:rsid w:val="003B6A0D"/>
    <w:rsid w:val="003B6F4F"/>
    <w:rsid w:val="003B6F63"/>
    <w:rsid w:val="003C042A"/>
    <w:rsid w:val="003C0DCF"/>
    <w:rsid w:val="003C0F72"/>
    <w:rsid w:val="003C135E"/>
    <w:rsid w:val="003C41AD"/>
    <w:rsid w:val="003C4355"/>
    <w:rsid w:val="003C5CBD"/>
    <w:rsid w:val="003C61AD"/>
    <w:rsid w:val="003D1299"/>
    <w:rsid w:val="003D234C"/>
    <w:rsid w:val="003D4436"/>
    <w:rsid w:val="003D4638"/>
    <w:rsid w:val="003D509A"/>
    <w:rsid w:val="003D57DC"/>
    <w:rsid w:val="003D7A8D"/>
    <w:rsid w:val="003E22CB"/>
    <w:rsid w:val="003E3836"/>
    <w:rsid w:val="003E6544"/>
    <w:rsid w:val="003E771C"/>
    <w:rsid w:val="003E784C"/>
    <w:rsid w:val="003F07AF"/>
    <w:rsid w:val="003F08B3"/>
    <w:rsid w:val="003F27D1"/>
    <w:rsid w:val="003F287E"/>
    <w:rsid w:val="003F585A"/>
    <w:rsid w:val="003F5DF7"/>
    <w:rsid w:val="003F7000"/>
    <w:rsid w:val="00400A85"/>
    <w:rsid w:val="00401A8C"/>
    <w:rsid w:val="004023F4"/>
    <w:rsid w:val="00402479"/>
    <w:rsid w:val="00404D47"/>
    <w:rsid w:val="00406562"/>
    <w:rsid w:val="0041052A"/>
    <w:rsid w:val="004113DE"/>
    <w:rsid w:val="00411CC6"/>
    <w:rsid w:val="00412DCF"/>
    <w:rsid w:val="004144EE"/>
    <w:rsid w:val="004146BE"/>
    <w:rsid w:val="00414855"/>
    <w:rsid w:val="004152F9"/>
    <w:rsid w:val="00415460"/>
    <w:rsid w:val="00415483"/>
    <w:rsid w:val="004170E4"/>
    <w:rsid w:val="00417166"/>
    <w:rsid w:val="00420B2F"/>
    <w:rsid w:val="004214D7"/>
    <w:rsid w:val="004217F6"/>
    <w:rsid w:val="0042446A"/>
    <w:rsid w:val="004258DB"/>
    <w:rsid w:val="00426B65"/>
    <w:rsid w:val="00431981"/>
    <w:rsid w:val="00433069"/>
    <w:rsid w:val="004337A1"/>
    <w:rsid w:val="0043720E"/>
    <w:rsid w:val="00437F57"/>
    <w:rsid w:val="00442A6D"/>
    <w:rsid w:val="00442A8A"/>
    <w:rsid w:val="00442CCD"/>
    <w:rsid w:val="00446BF2"/>
    <w:rsid w:val="0044738E"/>
    <w:rsid w:val="00450B3B"/>
    <w:rsid w:val="0045283E"/>
    <w:rsid w:val="0045374A"/>
    <w:rsid w:val="00455DFC"/>
    <w:rsid w:val="00456DED"/>
    <w:rsid w:val="00457051"/>
    <w:rsid w:val="0045711B"/>
    <w:rsid w:val="0045730E"/>
    <w:rsid w:val="004600FF"/>
    <w:rsid w:val="004610A9"/>
    <w:rsid w:val="004635D2"/>
    <w:rsid w:val="00464917"/>
    <w:rsid w:val="00464C0F"/>
    <w:rsid w:val="00465BFC"/>
    <w:rsid w:val="00467C2D"/>
    <w:rsid w:val="00470B07"/>
    <w:rsid w:val="00470C5D"/>
    <w:rsid w:val="00471CE8"/>
    <w:rsid w:val="00472342"/>
    <w:rsid w:val="004724DE"/>
    <w:rsid w:val="0047373F"/>
    <w:rsid w:val="00473CA5"/>
    <w:rsid w:val="00475367"/>
    <w:rsid w:val="00475D26"/>
    <w:rsid w:val="00476668"/>
    <w:rsid w:val="00477723"/>
    <w:rsid w:val="00477A9D"/>
    <w:rsid w:val="00482FDC"/>
    <w:rsid w:val="004830BA"/>
    <w:rsid w:val="00483C56"/>
    <w:rsid w:val="004840C2"/>
    <w:rsid w:val="004870D9"/>
    <w:rsid w:val="0048747D"/>
    <w:rsid w:val="004920D8"/>
    <w:rsid w:val="004938FA"/>
    <w:rsid w:val="00493EA2"/>
    <w:rsid w:val="004949D0"/>
    <w:rsid w:val="00496DAA"/>
    <w:rsid w:val="0049745E"/>
    <w:rsid w:val="0049771B"/>
    <w:rsid w:val="004A34D5"/>
    <w:rsid w:val="004A37B2"/>
    <w:rsid w:val="004A3C5C"/>
    <w:rsid w:val="004A43F1"/>
    <w:rsid w:val="004A45DC"/>
    <w:rsid w:val="004A4B62"/>
    <w:rsid w:val="004A4D14"/>
    <w:rsid w:val="004A6496"/>
    <w:rsid w:val="004A6520"/>
    <w:rsid w:val="004A7831"/>
    <w:rsid w:val="004A7E33"/>
    <w:rsid w:val="004B100B"/>
    <w:rsid w:val="004B2FCC"/>
    <w:rsid w:val="004B3A7B"/>
    <w:rsid w:val="004B3BCD"/>
    <w:rsid w:val="004B3F8F"/>
    <w:rsid w:val="004B430B"/>
    <w:rsid w:val="004B4EA1"/>
    <w:rsid w:val="004B5F0B"/>
    <w:rsid w:val="004C1F63"/>
    <w:rsid w:val="004C39DE"/>
    <w:rsid w:val="004C40E8"/>
    <w:rsid w:val="004C4277"/>
    <w:rsid w:val="004C4F45"/>
    <w:rsid w:val="004C56B3"/>
    <w:rsid w:val="004C6AD8"/>
    <w:rsid w:val="004C749A"/>
    <w:rsid w:val="004D08F5"/>
    <w:rsid w:val="004D35E2"/>
    <w:rsid w:val="004D438D"/>
    <w:rsid w:val="004D5A16"/>
    <w:rsid w:val="004D5E02"/>
    <w:rsid w:val="004D5EB9"/>
    <w:rsid w:val="004D652F"/>
    <w:rsid w:val="004D667C"/>
    <w:rsid w:val="004D78EC"/>
    <w:rsid w:val="004E5323"/>
    <w:rsid w:val="004E58C3"/>
    <w:rsid w:val="004E5C49"/>
    <w:rsid w:val="004F1770"/>
    <w:rsid w:val="004F2383"/>
    <w:rsid w:val="004F2681"/>
    <w:rsid w:val="004F26C8"/>
    <w:rsid w:val="004F31A6"/>
    <w:rsid w:val="004F32A6"/>
    <w:rsid w:val="004F375A"/>
    <w:rsid w:val="004F5854"/>
    <w:rsid w:val="004F59CD"/>
    <w:rsid w:val="004F6FC4"/>
    <w:rsid w:val="004F7A65"/>
    <w:rsid w:val="00500B53"/>
    <w:rsid w:val="00501313"/>
    <w:rsid w:val="00505654"/>
    <w:rsid w:val="00505BA0"/>
    <w:rsid w:val="00505E50"/>
    <w:rsid w:val="005065F5"/>
    <w:rsid w:val="005121D5"/>
    <w:rsid w:val="005125C4"/>
    <w:rsid w:val="005129AA"/>
    <w:rsid w:val="005158C6"/>
    <w:rsid w:val="00515F69"/>
    <w:rsid w:val="005175D0"/>
    <w:rsid w:val="005176F1"/>
    <w:rsid w:val="00517E17"/>
    <w:rsid w:val="005201D8"/>
    <w:rsid w:val="00520BBC"/>
    <w:rsid w:val="0052172B"/>
    <w:rsid w:val="005229E8"/>
    <w:rsid w:val="00523347"/>
    <w:rsid w:val="005233D3"/>
    <w:rsid w:val="00524EF6"/>
    <w:rsid w:val="005265A2"/>
    <w:rsid w:val="00530F5B"/>
    <w:rsid w:val="005321F4"/>
    <w:rsid w:val="005332F5"/>
    <w:rsid w:val="00534A1D"/>
    <w:rsid w:val="00536217"/>
    <w:rsid w:val="00536591"/>
    <w:rsid w:val="005406D3"/>
    <w:rsid w:val="005417B5"/>
    <w:rsid w:val="00542666"/>
    <w:rsid w:val="005429B4"/>
    <w:rsid w:val="00542BE8"/>
    <w:rsid w:val="00543672"/>
    <w:rsid w:val="00543E4D"/>
    <w:rsid w:val="00544F99"/>
    <w:rsid w:val="005455AB"/>
    <w:rsid w:val="00545FB5"/>
    <w:rsid w:val="00552997"/>
    <w:rsid w:val="0055414F"/>
    <w:rsid w:val="00555069"/>
    <w:rsid w:val="005579ED"/>
    <w:rsid w:val="005579F7"/>
    <w:rsid w:val="005605A1"/>
    <w:rsid w:val="00560E96"/>
    <w:rsid w:val="0056119D"/>
    <w:rsid w:val="005621B2"/>
    <w:rsid w:val="005626BA"/>
    <w:rsid w:val="00562E63"/>
    <w:rsid w:val="005647CE"/>
    <w:rsid w:val="00564E19"/>
    <w:rsid w:val="00567D40"/>
    <w:rsid w:val="005703A8"/>
    <w:rsid w:val="00574ED6"/>
    <w:rsid w:val="00575107"/>
    <w:rsid w:val="0057514C"/>
    <w:rsid w:val="00576BED"/>
    <w:rsid w:val="0057789B"/>
    <w:rsid w:val="00577B05"/>
    <w:rsid w:val="005801B4"/>
    <w:rsid w:val="005823D7"/>
    <w:rsid w:val="0058331B"/>
    <w:rsid w:val="00583807"/>
    <w:rsid w:val="00584BB2"/>
    <w:rsid w:val="0058529B"/>
    <w:rsid w:val="0058681B"/>
    <w:rsid w:val="00591940"/>
    <w:rsid w:val="00591B87"/>
    <w:rsid w:val="00592CAB"/>
    <w:rsid w:val="00593B2D"/>
    <w:rsid w:val="0059626E"/>
    <w:rsid w:val="005A08BE"/>
    <w:rsid w:val="005A0CF6"/>
    <w:rsid w:val="005A227B"/>
    <w:rsid w:val="005A2D70"/>
    <w:rsid w:val="005A4358"/>
    <w:rsid w:val="005A4418"/>
    <w:rsid w:val="005A4D2D"/>
    <w:rsid w:val="005A6378"/>
    <w:rsid w:val="005A6DEC"/>
    <w:rsid w:val="005B01F2"/>
    <w:rsid w:val="005B1128"/>
    <w:rsid w:val="005B1396"/>
    <w:rsid w:val="005B1F31"/>
    <w:rsid w:val="005B4DDD"/>
    <w:rsid w:val="005B5F54"/>
    <w:rsid w:val="005C1FAF"/>
    <w:rsid w:val="005C27AF"/>
    <w:rsid w:val="005C4A52"/>
    <w:rsid w:val="005C78FA"/>
    <w:rsid w:val="005C7928"/>
    <w:rsid w:val="005D14A8"/>
    <w:rsid w:val="005D14FC"/>
    <w:rsid w:val="005D18D2"/>
    <w:rsid w:val="005D2D5F"/>
    <w:rsid w:val="005D353A"/>
    <w:rsid w:val="005D3582"/>
    <w:rsid w:val="005D482A"/>
    <w:rsid w:val="005D57D4"/>
    <w:rsid w:val="005D60FF"/>
    <w:rsid w:val="005D73C6"/>
    <w:rsid w:val="005E0114"/>
    <w:rsid w:val="005E0DB4"/>
    <w:rsid w:val="005E2082"/>
    <w:rsid w:val="005E3D3D"/>
    <w:rsid w:val="005E6F70"/>
    <w:rsid w:val="005F37D2"/>
    <w:rsid w:val="005F4E1B"/>
    <w:rsid w:val="005F5031"/>
    <w:rsid w:val="005F5398"/>
    <w:rsid w:val="005F6FFE"/>
    <w:rsid w:val="005F777A"/>
    <w:rsid w:val="005F7A1F"/>
    <w:rsid w:val="00600E98"/>
    <w:rsid w:val="00600F6F"/>
    <w:rsid w:val="0060108D"/>
    <w:rsid w:val="00601D83"/>
    <w:rsid w:val="0060382E"/>
    <w:rsid w:val="00604966"/>
    <w:rsid w:val="006049C5"/>
    <w:rsid w:val="006054D5"/>
    <w:rsid w:val="00605D8F"/>
    <w:rsid w:val="00605DED"/>
    <w:rsid w:val="00607554"/>
    <w:rsid w:val="00610A49"/>
    <w:rsid w:val="006114D8"/>
    <w:rsid w:val="00613C23"/>
    <w:rsid w:val="0061418D"/>
    <w:rsid w:val="006158BA"/>
    <w:rsid w:val="006161D8"/>
    <w:rsid w:val="00616EA7"/>
    <w:rsid w:val="00617175"/>
    <w:rsid w:val="0061739E"/>
    <w:rsid w:val="006209DD"/>
    <w:rsid w:val="00620B4E"/>
    <w:rsid w:val="0062143F"/>
    <w:rsid w:val="00625036"/>
    <w:rsid w:val="00625AAD"/>
    <w:rsid w:val="00625C7F"/>
    <w:rsid w:val="006301EB"/>
    <w:rsid w:val="00630325"/>
    <w:rsid w:val="0063290C"/>
    <w:rsid w:val="00634133"/>
    <w:rsid w:val="0063425C"/>
    <w:rsid w:val="00634A81"/>
    <w:rsid w:val="00634CD6"/>
    <w:rsid w:val="00635D6D"/>
    <w:rsid w:val="00636142"/>
    <w:rsid w:val="00636AAC"/>
    <w:rsid w:val="006374FD"/>
    <w:rsid w:val="00637B98"/>
    <w:rsid w:val="006403CA"/>
    <w:rsid w:val="00640D08"/>
    <w:rsid w:val="006410DD"/>
    <w:rsid w:val="00641F38"/>
    <w:rsid w:val="00642A8F"/>
    <w:rsid w:val="00643BA9"/>
    <w:rsid w:val="00643D92"/>
    <w:rsid w:val="006464FE"/>
    <w:rsid w:val="00646EA4"/>
    <w:rsid w:val="0064745B"/>
    <w:rsid w:val="0065242B"/>
    <w:rsid w:val="00652638"/>
    <w:rsid w:val="006526C1"/>
    <w:rsid w:val="006556AF"/>
    <w:rsid w:val="0065707C"/>
    <w:rsid w:val="00657623"/>
    <w:rsid w:val="00657E57"/>
    <w:rsid w:val="00660870"/>
    <w:rsid w:val="00660C81"/>
    <w:rsid w:val="00660EDC"/>
    <w:rsid w:val="006617A4"/>
    <w:rsid w:val="006643E9"/>
    <w:rsid w:val="00664FE3"/>
    <w:rsid w:val="006667DC"/>
    <w:rsid w:val="00667DA0"/>
    <w:rsid w:val="00670047"/>
    <w:rsid w:val="0067116A"/>
    <w:rsid w:val="006743B6"/>
    <w:rsid w:val="00674E35"/>
    <w:rsid w:val="00674F04"/>
    <w:rsid w:val="00675032"/>
    <w:rsid w:val="006757DB"/>
    <w:rsid w:val="00676B83"/>
    <w:rsid w:val="00677531"/>
    <w:rsid w:val="00677F26"/>
    <w:rsid w:val="00680A6B"/>
    <w:rsid w:val="006811E0"/>
    <w:rsid w:val="006812F2"/>
    <w:rsid w:val="006815AB"/>
    <w:rsid w:val="00681F8C"/>
    <w:rsid w:val="00682EFB"/>
    <w:rsid w:val="0068309C"/>
    <w:rsid w:val="0068393B"/>
    <w:rsid w:val="00685BC7"/>
    <w:rsid w:val="00685C47"/>
    <w:rsid w:val="00686AF5"/>
    <w:rsid w:val="00686D73"/>
    <w:rsid w:val="00686F6C"/>
    <w:rsid w:val="006873CB"/>
    <w:rsid w:val="006878D9"/>
    <w:rsid w:val="0069121A"/>
    <w:rsid w:val="006935BB"/>
    <w:rsid w:val="00693AF4"/>
    <w:rsid w:val="00693B4A"/>
    <w:rsid w:val="00694612"/>
    <w:rsid w:val="006A0106"/>
    <w:rsid w:val="006A0550"/>
    <w:rsid w:val="006A0B82"/>
    <w:rsid w:val="006A15A1"/>
    <w:rsid w:val="006A29BE"/>
    <w:rsid w:val="006A41E2"/>
    <w:rsid w:val="006A5D48"/>
    <w:rsid w:val="006A780B"/>
    <w:rsid w:val="006A78FD"/>
    <w:rsid w:val="006B1632"/>
    <w:rsid w:val="006B2529"/>
    <w:rsid w:val="006B2CA4"/>
    <w:rsid w:val="006B2D7F"/>
    <w:rsid w:val="006B49E0"/>
    <w:rsid w:val="006B54BB"/>
    <w:rsid w:val="006B6994"/>
    <w:rsid w:val="006B6F21"/>
    <w:rsid w:val="006B7130"/>
    <w:rsid w:val="006C2A53"/>
    <w:rsid w:val="006C48BC"/>
    <w:rsid w:val="006C4B3A"/>
    <w:rsid w:val="006C5BFF"/>
    <w:rsid w:val="006C5DAF"/>
    <w:rsid w:val="006C6547"/>
    <w:rsid w:val="006D16EE"/>
    <w:rsid w:val="006D1F59"/>
    <w:rsid w:val="006D3169"/>
    <w:rsid w:val="006D3F69"/>
    <w:rsid w:val="006D44CC"/>
    <w:rsid w:val="006E044E"/>
    <w:rsid w:val="006E05E8"/>
    <w:rsid w:val="006E0927"/>
    <w:rsid w:val="006E26F2"/>
    <w:rsid w:val="006E37C1"/>
    <w:rsid w:val="006E40D4"/>
    <w:rsid w:val="006E4730"/>
    <w:rsid w:val="006E7EAD"/>
    <w:rsid w:val="006F0316"/>
    <w:rsid w:val="006F1FC8"/>
    <w:rsid w:val="006F33E7"/>
    <w:rsid w:val="006F35C0"/>
    <w:rsid w:val="006F381F"/>
    <w:rsid w:val="006F3A31"/>
    <w:rsid w:val="006F3BFD"/>
    <w:rsid w:val="006F4482"/>
    <w:rsid w:val="006F57F7"/>
    <w:rsid w:val="006F611E"/>
    <w:rsid w:val="006F7821"/>
    <w:rsid w:val="0070000C"/>
    <w:rsid w:val="00702039"/>
    <w:rsid w:val="00702633"/>
    <w:rsid w:val="00702EF7"/>
    <w:rsid w:val="00707BC4"/>
    <w:rsid w:val="007104BC"/>
    <w:rsid w:val="00711101"/>
    <w:rsid w:val="00713260"/>
    <w:rsid w:val="007143E1"/>
    <w:rsid w:val="00714B3B"/>
    <w:rsid w:val="00714CF1"/>
    <w:rsid w:val="00715EC5"/>
    <w:rsid w:val="007161EE"/>
    <w:rsid w:val="00717887"/>
    <w:rsid w:val="00717AA6"/>
    <w:rsid w:val="007202D3"/>
    <w:rsid w:val="0072098C"/>
    <w:rsid w:val="00722821"/>
    <w:rsid w:val="007228F5"/>
    <w:rsid w:val="00725DC7"/>
    <w:rsid w:val="00727214"/>
    <w:rsid w:val="007272EB"/>
    <w:rsid w:val="00731FAD"/>
    <w:rsid w:val="0073214E"/>
    <w:rsid w:val="00733B06"/>
    <w:rsid w:val="00734D57"/>
    <w:rsid w:val="0073522D"/>
    <w:rsid w:val="00737F05"/>
    <w:rsid w:val="007414CC"/>
    <w:rsid w:val="007417DE"/>
    <w:rsid w:val="0074182D"/>
    <w:rsid w:val="007446FC"/>
    <w:rsid w:val="00745184"/>
    <w:rsid w:val="00745908"/>
    <w:rsid w:val="007477F4"/>
    <w:rsid w:val="007478A3"/>
    <w:rsid w:val="007513F1"/>
    <w:rsid w:val="00752F02"/>
    <w:rsid w:val="007538C7"/>
    <w:rsid w:val="00753B46"/>
    <w:rsid w:val="0075784D"/>
    <w:rsid w:val="00757B89"/>
    <w:rsid w:val="00757C4B"/>
    <w:rsid w:val="00760C68"/>
    <w:rsid w:val="00762A50"/>
    <w:rsid w:val="007631E0"/>
    <w:rsid w:val="007655F8"/>
    <w:rsid w:val="00765FB5"/>
    <w:rsid w:val="0076670A"/>
    <w:rsid w:val="00766820"/>
    <w:rsid w:val="00767745"/>
    <w:rsid w:val="00770395"/>
    <w:rsid w:val="00772F48"/>
    <w:rsid w:val="007736BA"/>
    <w:rsid w:val="00774394"/>
    <w:rsid w:val="0077505E"/>
    <w:rsid w:val="00775F8A"/>
    <w:rsid w:val="00776AD2"/>
    <w:rsid w:val="0077774E"/>
    <w:rsid w:val="007800E4"/>
    <w:rsid w:val="00780972"/>
    <w:rsid w:val="00780A9E"/>
    <w:rsid w:val="00780AA2"/>
    <w:rsid w:val="00781A9D"/>
    <w:rsid w:val="00781E30"/>
    <w:rsid w:val="00783778"/>
    <w:rsid w:val="007840BB"/>
    <w:rsid w:val="00785E2E"/>
    <w:rsid w:val="007877AD"/>
    <w:rsid w:val="00790164"/>
    <w:rsid w:val="007908C5"/>
    <w:rsid w:val="00791772"/>
    <w:rsid w:val="00794A1F"/>
    <w:rsid w:val="00795F22"/>
    <w:rsid w:val="007A1051"/>
    <w:rsid w:val="007A1080"/>
    <w:rsid w:val="007A1357"/>
    <w:rsid w:val="007A20AD"/>
    <w:rsid w:val="007A5539"/>
    <w:rsid w:val="007A61EC"/>
    <w:rsid w:val="007A6548"/>
    <w:rsid w:val="007A6E7E"/>
    <w:rsid w:val="007A7415"/>
    <w:rsid w:val="007A7CE5"/>
    <w:rsid w:val="007B00E1"/>
    <w:rsid w:val="007B0790"/>
    <w:rsid w:val="007B1211"/>
    <w:rsid w:val="007B187C"/>
    <w:rsid w:val="007B1ECA"/>
    <w:rsid w:val="007B220F"/>
    <w:rsid w:val="007B343B"/>
    <w:rsid w:val="007B396A"/>
    <w:rsid w:val="007B3B0E"/>
    <w:rsid w:val="007B3DF4"/>
    <w:rsid w:val="007B6B1E"/>
    <w:rsid w:val="007B7CC9"/>
    <w:rsid w:val="007C2AD4"/>
    <w:rsid w:val="007C2DD4"/>
    <w:rsid w:val="007C3B06"/>
    <w:rsid w:val="007C3E46"/>
    <w:rsid w:val="007C4F78"/>
    <w:rsid w:val="007C5024"/>
    <w:rsid w:val="007C5CBD"/>
    <w:rsid w:val="007C73B8"/>
    <w:rsid w:val="007D3420"/>
    <w:rsid w:val="007D3687"/>
    <w:rsid w:val="007D4EA3"/>
    <w:rsid w:val="007D5362"/>
    <w:rsid w:val="007D674E"/>
    <w:rsid w:val="007E000F"/>
    <w:rsid w:val="007E1135"/>
    <w:rsid w:val="007E1D38"/>
    <w:rsid w:val="007E29CF"/>
    <w:rsid w:val="007E2FEC"/>
    <w:rsid w:val="007E35D8"/>
    <w:rsid w:val="007E496A"/>
    <w:rsid w:val="007E6661"/>
    <w:rsid w:val="007E6721"/>
    <w:rsid w:val="007E6A59"/>
    <w:rsid w:val="007F2E32"/>
    <w:rsid w:val="007F3880"/>
    <w:rsid w:val="007F3B8C"/>
    <w:rsid w:val="007F421B"/>
    <w:rsid w:val="008035B5"/>
    <w:rsid w:val="00804D26"/>
    <w:rsid w:val="00806AC6"/>
    <w:rsid w:val="00807623"/>
    <w:rsid w:val="00807B53"/>
    <w:rsid w:val="00810D34"/>
    <w:rsid w:val="00811503"/>
    <w:rsid w:val="00812EEE"/>
    <w:rsid w:val="00812F41"/>
    <w:rsid w:val="00814E45"/>
    <w:rsid w:val="0081620E"/>
    <w:rsid w:val="0081658F"/>
    <w:rsid w:val="0081739B"/>
    <w:rsid w:val="0081740B"/>
    <w:rsid w:val="008179CF"/>
    <w:rsid w:val="00817F37"/>
    <w:rsid w:val="00820C68"/>
    <w:rsid w:val="00820CE5"/>
    <w:rsid w:val="00820E00"/>
    <w:rsid w:val="008213F1"/>
    <w:rsid w:val="0082412A"/>
    <w:rsid w:val="00825D43"/>
    <w:rsid w:val="008268C9"/>
    <w:rsid w:val="00830148"/>
    <w:rsid w:val="00830DA0"/>
    <w:rsid w:val="008316AD"/>
    <w:rsid w:val="00833286"/>
    <w:rsid w:val="0083378E"/>
    <w:rsid w:val="00833A71"/>
    <w:rsid w:val="00833C7E"/>
    <w:rsid w:val="00834FD5"/>
    <w:rsid w:val="00835A78"/>
    <w:rsid w:val="008363A2"/>
    <w:rsid w:val="00837125"/>
    <w:rsid w:val="00841DAA"/>
    <w:rsid w:val="0084230E"/>
    <w:rsid w:val="00842834"/>
    <w:rsid w:val="00843C62"/>
    <w:rsid w:val="008445D4"/>
    <w:rsid w:val="008446F1"/>
    <w:rsid w:val="00846FF0"/>
    <w:rsid w:val="00847435"/>
    <w:rsid w:val="0085298A"/>
    <w:rsid w:val="00855458"/>
    <w:rsid w:val="0085728C"/>
    <w:rsid w:val="0086134D"/>
    <w:rsid w:val="00861FD7"/>
    <w:rsid w:val="00864AAD"/>
    <w:rsid w:val="00865057"/>
    <w:rsid w:val="00865472"/>
    <w:rsid w:val="0087080C"/>
    <w:rsid w:val="00870E37"/>
    <w:rsid w:val="00874671"/>
    <w:rsid w:val="0087635E"/>
    <w:rsid w:val="00876921"/>
    <w:rsid w:val="00876B68"/>
    <w:rsid w:val="0088013C"/>
    <w:rsid w:val="008821C7"/>
    <w:rsid w:val="0088286F"/>
    <w:rsid w:val="00883EAF"/>
    <w:rsid w:val="00884452"/>
    <w:rsid w:val="00884C8D"/>
    <w:rsid w:val="008905D7"/>
    <w:rsid w:val="00890679"/>
    <w:rsid w:val="00890750"/>
    <w:rsid w:val="008926C3"/>
    <w:rsid w:val="00893951"/>
    <w:rsid w:val="00893FC1"/>
    <w:rsid w:val="008955C5"/>
    <w:rsid w:val="00895B87"/>
    <w:rsid w:val="00896511"/>
    <w:rsid w:val="00897763"/>
    <w:rsid w:val="00897A5A"/>
    <w:rsid w:val="008A08D2"/>
    <w:rsid w:val="008A26A7"/>
    <w:rsid w:val="008A2E7B"/>
    <w:rsid w:val="008A35E6"/>
    <w:rsid w:val="008A3A4A"/>
    <w:rsid w:val="008A49C5"/>
    <w:rsid w:val="008A4B8E"/>
    <w:rsid w:val="008A5C8E"/>
    <w:rsid w:val="008B11D0"/>
    <w:rsid w:val="008B1C95"/>
    <w:rsid w:val="008B30B7"/>
    <w:rsid w:val="008B44B4"/>
    <w:rsid w:val="008B562E"/>
    <w:rsid w:val="008B5748"/>
    <w:rsid w:val="008B5B9D"/>
    <w:rsid w:val="008B6355"/>
    <w:rsid w:val="008B6A22"/>
    <w:rsid w:val="008B6B0E"/>
    <w:rsid w:val="008B6E1A"/>
    <w:rsid w:val="008C1B0A"/>
    <w:rsid w:val="008C2078"/>
    <w:rsid w:val="008C4D02"/>
    <w:rsid w:val="008C520E"/>
    <w:rsid w:val="008C5CA5"/>
    <w:rsid w:val="008C7368"/>
    <w:rsid w:val="008C73D6"/>
    <w:rsid w:val="008C746E"/>
    <w:rsid w:val="008D0C62"/>
    <w:rsid w:val="008D2528"/>
    <w:rsid w:val="008D28E7"/>
    <w:rsid w:val="008D2CD6"/>
    <w:rsid w:val="008D39B0"/>
    <w:rsid w:val="008D462B"/>
    <w:rsid w:val="008D4939"/>
    <w:rsid w:val="008D4F0B"/>
    <w:rsid w:val="008E0465"/>
    <w:rsid w:val="008E1195"/>
    <w:rsid w:val="008E322B"/>
    <w:rsid w:val="008E3AEA"/>
    <w:rsid w:val="008E3D60"/>
    <w:rsid w:val="008E43C8"/>
    <w:rsid w:val="008E48FD"/>
    <w:rsid w:val="008E6B68"/>
    <w:rsid w:val="008E7390"/>
    <w:rsid w:val="008E762D"/>
    <w:rsid w:val="008F000D"/>
    <w:rsid w:val="008F1F00"/>
    <w:rsid w:val="008F32A1"/>
    <w:rsid w:val="008F3C8F"/>
    <w:rsid w:val="008F6E84"/>
    <w:rsid w:val="008F7EBB"/>
    <w:rsid w:val="0090056C"/>
    <w:rsid w:val="00900939"/>
    <w:rsid w:val="00900DF0"/>
    <w:rsid w:val="00903621"/>
    <w:rsid w:val="0090576B"/>
    <w:rsid w:val="00905898"/>
    <w:rsid w:val="00907EE2"/>
    <w:rsid w:val="009113AE"/>
    <w:rsid w:val="00911F60"/>
    <w:rsid w:val="00914284"/>
    <w:rsid w:val="00914550"/>
    <w:rsid w:val="00914BA4"/>
    <w:rsid w:val="00914E36"/>
    <w:rsid w:val="00915300"/>
    <w:rsid w:val="00916F8E"/>
    <w:rsid w:val="009173B9"/>
    <w:rsid w:val="00917AE1"/>
    <w:rsid w:val="009202B1"/>
    <w:rsid w:val="0092042A"/>
    <w:rsid w:val="009216CA"/>
    <w:rsid w:val="00922808"/>
    <w:rsid w:val="00922934"/>
    <w:rsid w:val="00923CCF"/>
    <w:rsid w:val="009245CB"/>
    <w:rsid w:val="009259EF"/>
    <w:rsid w:val="009272E6"/>
    <w:rsid w:val="00927725"/>
    <w:rsid w:val="00930782"/>
    <w:rsid w:val="00931452"/>
    <w:rsid w:val="009332EE"/>
    <w:rsid w:val="0093355A"/>
    <w:rsid w:val="009335BA"/>
    <w:rsid w:val="00934660"/>
    <w:rsid w:val="00934E21"/>
    <w:rsid w:val="00936B44"/>
    <w:rsid w:val="00936EC8"/>
    <w:rsid w:val="009416FE"/>
    <w:rsid w:val="009417E1"/>
    <w:rsid w:val="00942AE0"/>
    <w:rsid w:val="00945D12"/>
    <w:rsid w:val="00947F9D"/>
    <w:rsid w:val="00950381"/>
    <w:rsid w:val="00952C76"/>
    <w:rsid w:val="00953C4E"/>
    <w:rsid w:val="00953C78"/>
    <w:rsid w:val="0095470B"/>
    <w:rsid w:val="00962005"/>
    <w:rsid w:val="00962287"/>
    <w:rsid w:val="00962690"/>
    <w:rsid w:val="009629D0"/>
    <w:rsid w:val="00971077"/>
    <w:rsid w:val="00971B25"/>
    <w:rsid w:val="00973FD3"/>
    <w:rsid w:val="00973FE6"/>
    <w:rsid w:val="009740C4"/>
    <w:rsid w:val="0097518A"/>
    <w:rsid w:val="00976D4D"/>
    <w:rsid w:val="00976F69"/>
    <w:rsid w:val="00981F79"/>
    <w:rsid w:val="00982206"/>
    <w:rsid w:val="009825C9"/>
    <w:rsid w:val="00982DF1"/>
    <w:rsid w:val="0098347E"/>
    <w:rsid w:val="009850EF"/>
    <w:rsid w:val="00985278"/>
    <w:rsid w:val="009868FC"/>
    <w:rsid w:val="00986FA0"/>
    <w:rsid w:val="00990A70"/>
    <w:rsid w:val="00991558"/>
    <w:rsid w:val="00991A16"/>
    <w:rsid w:val="00992433"/>
    <w:rsid w:val="00992B61"/>
    <w:rsid w:val="00992BE2"/>
    <w:rsid w:val="009941C2"/>
    <w:rsid w:val="0099562E"/>
    <w:rsid w:val="00996DDC"/>
    <w:rsid w:val="009A0650"/>
    <w:rsid w:val="009A0DC8"/>
    <w:rsid w:val="009A2E41"/>
    <w:rsid w:val="009A52C1"/>
    <w:rsid w:val="009A5EA7"/>
    <w:rsid w:val="009A78E2"/>
    <w:rsid w:val="009B455D"/>
    <w:rsid w:val="009B4E8F"/>
    <w:rsid w:val="009B57E6"/>
    <w:rsid w:val="009B7769"/>
    <w:rsid w:val="009C2436"/>
    <w:rsid w:val="009C441C"/>
    <w:rsid w:val="009C5865"/>
    <w:rsid w:val="009D0462"/>
    <w:rsid w:val="009D12AD"/>
    <w:rsid w:val="009D224D"/>
    <w:rsid w:val="009D242A"/>
    <w:rsid w:val="009D2975"/>
    <w:rsid w:val="009D2D8D"/>
    <w:rsid w:val="009D2FBA"/>
    <w:rsid w:val="009D351E"/>
    <w:rsid w:val="009D3629"/>
    <w:rsid w:val="009D3B9B"/>
    <w:rsid w:val="009D3D9D"/>
    <w:rsid w:val="009D4172"/>
    <w:rsid w:val="009D42C8"/>
    <w:rsid w:val="009D58D1"/>
    <w:rsid w:val="009D7565"/>
    <w:rsid w:val="009D7787"/>
    <w:rsid w:val="009D7D9C"/>
    <w:rsid w:val="009E02C9"/>
    <w:rsid w:val="009E121C"/>
    <w:rsid w:val="009E1B98"/>
    <w:rsid w:val="009E23CD"/>
    <w:rsid w:val="009E39DC"/>
    <w:rsid w:val="009E3E51"/>
    <w:rsid w:val="009E3FAC"/>
    <w:rsid w:val="009E5378"/>
    <w:rsid w:val="009E56B4"/>
    <w:rsid w:val="009E6D68"/>
    <w:rsid w:val="009F029A"/>
    <w:rsid w:val="009F0DA4"/>
    <w:rsid w:val="009F28C9"/>
    <w:rsid w:val="009F43C3"/>
    <w:rsid w:val="009F4D28"/>
    <w:rsid w:val="009F6110"/>
    <w:rsid w:val="009F615E"/>
    <w:rsid w:val="009F6933"/>
    <w:rsid w:val="009F7D43"/>
    <w:rsid w:val="00A00F82"/>
    <w:rsid w:val="00A012D0"/>
    <w:rsid w:val="00A01CDD"/>
    <w:rsid w:val="00A043FE"/>
    <w:rsid w:val="00A05803"/>
    <w:rsid w:val="00A05916"/>
    <w:rsid w:val="00A06E1B"/>
    <w:rsid w:val="00A0794D"/>
    <w:rsid w:val="00A139D3"/>
    <w:rsid w:val="00A1507A"/>
    <w:rsid w:val="00A15C83"/>
    <w:rsid w:val="00A16741"/>
    <w:rsid w:val="00A2090E"/>
    <w:rsid w:val="00A2114F"/>
    <w:rsid w:val="00A218A7"/>
    <w:rsid w:val="00A2216E"/>
    <w:rsid w:val="00A22A96"/>
    <w:rsid w:val="00A2370B"/>
    <w:rsid w:val="00A23D9E"/>
    <w:rsid w:val="00A23E71"/>
    <w:rsid w:val="00A24782"/>
    <w:rsid w:val="00A25885"/>
    <w:rsid w:val="00A265F3"/>
    <w:rsid w:val="00A26CAA"/>
    <w:rsid w:val="00A26CCB"/>
    <w:rsid w:val="00A27AFB"/>
    <w:rsid w:val="00A31536"/>
    <w:rsid w:val="00A31956"/>
    <w:rsid w:val="00A33C0B"/>
    <w:rsid w:val="00A33DC9"/>
    <w:rsid w:val="00A33F77"/>
    <w:rsid w:val="00A35831"/>
    <w:rsid w:val="00A36B8D"/>
    <w:rsid w:val="00A36E14"/>
    <w:rsid w:val="00A3743F"/>
    <w:rsid w:val="00A412EF"/>
    <w:rsid w:val="00A42EF2"/>
    <w:rsid w:val="00A44D84"/>
    <w:rsid w:val="00A45BD2"/>
    <w:rsid w:val="00A46F60"/>
    <w:rsid w:val="00A4716C"/>
    <w:rsid w:val="00A479EA"/>
    <w:rsid w:val="00A47E6D"/>
    <w:rsid w:val="00A50436"/>
    <w:rsid w:val="00A5275D"/>
    <w:rsid w:val="00A52A12"/>
    <w:rsid w:val="00A52ED5"/>
    <w:rsid w:val="00A52F15"/>
    <w:rsid w:val="00A5372E"/>
    <w:rsid w:val="00A54194"/>
    <w:rsid w:val="00A54E6E"/>
    <w:rsid w:val="00A5515B"/>
    <w:rsid w:val="00A578D4"/>
    <w:rsid w:val="00A61015"/>
    <w:rsid w:val="00A61D6F"/>
    <w:rsid w:val="00A61D7A"/>
    <w:rsid w:val="00A61E45"/>
    <w:rsid w:val="00A64735"/>
    <w:rsid w:val="00A64A5F"/>
    <w:rsid w:val="00A653BF"/>
    <w:rsid w:val="00A654E5"/>
    <w:rsid w:val="00A6551C"/>
    <w:rsid w:val="00A659E2"/>
    <w:rsid w:val="00A701B3"/>
    <w:rsid w:val="00A72F5E"/>
    <w:rsid w:val="00A7322E"/>
    <w:rsid w:val="00A73FFB"/>
    <w:rsid w:val="00A766F9"/>
    <w:rsid w:val="00A81E2E"/>
    <w:rsid w:val="00A81F57"/>
    <w:rsid w:val="00A8265A"/>
    <w:rsid w:val="00A83F16"/>
    <w:rsid w:val="00A84303"/>
    <w:rsid w:val="00A84D22"/>
    <w:rsid w:val="00A8510A"/>
    <w:rsid w:val="00A85834"/>
    <w:rsid w:val="00A860D4"/>
    <w:rsid w:val="00A8651D"/>
    <w:rsid w:val="00A91BFE"/>
    <w:rsid w:val="00A92240"/>
    <w:rsid w:val="00A931DE"/>
    <w:rsid w:val="00A93D89"/>
    <w:rsid w:val="00A95A99"/>
    <w:rsid w:val="00A95EB3"/>
    <w:rsid w:val="00A964C1"/>
    <w:rsid w:val="00AA1034"/>
    <w:rsid w:val="00AA4A4A"/>
    <w:rsid w:val="00AA548E"/>
    <w:rsid w:val="00AA5C5A"/>
    <w:rsid w:val="00AA6178"/>
    <w:rsid w:val="00AB2251"/>
    <w:rsid w:val="00AB2C4F"/>
    <w:rsid w:val="00AB5F73"/>
    <w:rsid w:val="00AB6968"/>
    <w:rsid w:val="00AC014D"/>
    <w:rsid w:val="00AC2CDE"/>
    <w:rsid w:val="00AC3330"/>
    <w:rsid w:val="00AC344D"/>
    <w:rsid w:val="00AC409E"/>
    <w:rsid w:val="00AC43E5"/>
    <w:rsid w:val="00AC4FFA"/>
    <w:rsid w:val="00AC7204"/>
    <w:rsid w:val="00AC7EA1"/>
    <w:rsid w:val="00AD07F3"/>
    <w:rsid w:val="00AD0B76"/>
    <w:rsid w:val="00AD12A0"/>
    <w:rsid w:val="00AD1F22"/>
    <w:rsid w:val="00AD3C01"/>
    <w:rsid w:val="00AD445A"/>
    <w:rsid w:val="00AD5E93"/>
    <w:rsid w:val="00AD6ADC"/>
    <w:rsid w:val="00AD7D0B"/>
    <w:rsid w:val="00AE0A38"/>
    <w:rsid w:val="00AE1258"/>
    <w:rsid w:val="00AE22A4"/>
    <w:rsid w:val="00AE32D0"/>
    <w:rsid w:val="00AE41D9"/>
    <w:rsid w:val="00AE5BCC"/>
    <w:rsid w:val="00AE665F"/>
    <w:rsid w:val="00AE67D7"/>
    <w:rsid w:val="00AF03C9"/>
    <w:rsid w:val="00AF0428"/>
    <w:rsid w:val="00AF3BFA"/>
    <w:rsid w:val="00AF3E3E"/>
    <w:rsid w:val="00AF490E"/>
    <w:rsid w:val="00AF5771"/>
    <w:rsid w:val="00AF57F6"/>
    <w:rsid w:val="00AF629B"/>
    <w:rsid w:val="00AF6486"/>
    <w:rsid w:val="00B04D8B"/>
    <w:rsid w:val="00B068F4"/>
    <w:rsid w:val="00B073BF"/>
    <w:rsid w:val="00B075DE"/>
    <w:rsid w:val="00B07E37"/>
    <w:rsid w:val="00B11D1A"/>
    <w:rsid w:val="00B11E5B"/>
    <w:rsid w:val="00B12890"/>
    <w:rsid w:val="00B12E10"/>
    <w:rsid w:val="00B146AF"/>
    <w:rsid w:val="00B210A2"/>
    <w:rsid w:val="00B216E3"/>
    <w:rsid w:val="00B217E8"/>
    <w:rsid w:val="00B23540"/>
    <w:rsid w:val="00B24B12"/>
    <w:rsid w:val="00B258FE"/>
    <w:rsid w:val="00B26BB7"/>
    <w:rsid w:val="00B30835"/>
    <w:rsid w:val="00B30888"/>
    <w:rsid w:val="00B3107C"/>
    <w:rsid w:val="00B324EC"/>
    <w:rsid w:val="00B32D74"/>
    <w:rsid w:val="00B3490B"/>
    <w:rsid w:val="00B35E0E"/>
    <w:rsid w:val="00B36C27"/>
    <w:rsid w:val="00B40231"/>
    <w:rsid w:val="00B41911"/>
    <w:rsid w:val="00B460C2"/>
    <w:rsid w:val="00B46787"/>
    <w:rsid w:val="00B501B5"/>
    <w:rsid w:val="00B508E9"/>
    <w:rsid w:val="00B50A32"/>
    <w:rsid w:val="00B51417"/>
    <w:rsid w:val="00B52B1B"/>
    <w:rsid w:val="00B531F1"/>
    <w:rsid w:val="00B54027"/>
    <w:rsid w:val="00B54FBB"/>
    <w:rsid w:val="00B55F29"/>
    <w:rsid w:val="00B562F0"/>
    <w:rsid w:val="00B56E5D"/>
    <w:rsid w:val="00B60F8C"/>
    <w:rsid w:val="00B6365C"/>
    <w:rsid w:val="00B669B6"/>
    <w:rsid w:val="00B70517"/>
    <w:rsid w:val="00B715C6"/>
    <w:rsid w:val="00B75272"/>
    <w:rsid w:val="00B75BB3"/>
    <w:rsid w:val="00B76878"/>
    <w:rsid w:val="00B76BFB"/>
    <w:rsid w:val="00B802C9"/>
    <w:rsid w:val="00B8045B"/>
    <w:rsid w:val="00B8210E"/>
    <w:rsid w:val="00B831D5"/>
    <w:rsid w:val="00B8325D"/>
    <w:rsid w:val="00B84B13"/>
    <w:rsid w:val="00B8546D"/>
    <w:rsid w:val="00B85E95"/>
    <w:rsid w:val="00B85EED"/>
    <w:rsid w:val="00B875C0"/>
    <w:rsid w:val="00B907AA"/>
    <w:rsid w:val="00B90F4E"/>
    <w:rsid w:val="00B9185F"/>
    <w:rsid w:val="00B922CA"/>
    <w:rsid w:val="00B95925"/>
    <w:rsid w:val="00B962B8"/>
    <w:rsid w:val="00B96A3D"/>
    <w:rsid w:val="00B96E79"/>
    <w:rsid w:val="00BA24D2"/>
    <w:rsid w:val="00BA293F"/>
    <w:rsid w:val="00BA29F9"/>
    <w:rsid w:val="00BA3102"/>
    <w:rsid w:val="00BA3B2B"/>
    <w:rsid w:val="00BA4EA6"/>
    <w:rsid w:val="00BA657A"/>
    <w:rsid w:val="00BA698B"/>
    <w:rsid w:val="00BB0534"/>
    <w:rsid w:val="00BB0DB8"/>
    <w:rsid w:val="00BB0F8F"/>
    <w:rsid w:val="00BB13D7"/>
    <w:rsid w:val="00BB1979"/>
    <w:rsid w:val="00BB2A70"/>
    <w:rsid w:val="00BB2C8C"/>
    <w:rsid w:val="00BB348E"/>
    <w:rsid w:val="00BB354F"/>
    <w:rsid w:val="00BB36A8"/>
    <w:rsid w:val="00BB3CC1"/>
    <w:rsid w:val="00BB4777"/>
    <w:rsid w:val="00BB4EEB"/>
    <w:rsid w:val="00BB5B0A"/>
    <w:rsid w:val="00BC06C3"/>
    <w:rsid w:val="00BC4B1E"/>
    <w:rsid w:val="00BC55DE"/>
    <w:rsid w:val="00BC5C7E"/>
    <w:rsid w:val="00BD0BDE"/>
    <w:rsid w:val="00BD1988"/>
    <w:rsid w:val="00BD4AA6"/>
    <w:rsid w:val="00BD4FD8"/>
    <w:rsid w:val="00BD6DD9"/>
    <w:rsid w:val="00BE03B3"/>
    <w:rsid w:val="00BE17D6"/>
    <w:rsid w:val="00BE1981"/>
    <w:rsid w:val="00BE25C9"/>
    <w:rsid w:val="00BE37E1"/>
    <w:rsid w:val="00BE6BBF"/>
    <w:rsid w:val="00BE78A4"/>
    <w:rsid w:val="00BF1182"/>
    <w:rsid w:val="00BF2383"/>
    <w:rsid w:val="00BF4C43"/>
    <w:rsid w:val="00BF6269"/>
    <w:rsid w:val="00BF778F"/>
    <w:rsid w:val="00BF7D4A"/>
    <w:rsid w:val="00C017BF"/>
    <w:rsid w:val="00C02983"/>
    <w:rsid w:val="00C03981"/>
    <w:rsid w:val="00C04218"/>
    <w:rsid w:val="00C04603"/>
    <w:rsid w:val="00C0680D"/>
    <w:rsid w:val="00C068EA"/>
    <w:rsid w:val="00C07042"/>
    <w:rsid w:val="00C0704F"/>
    <w:rsid w:val="00C07844"/>
    <w:rsid w:val="00C10C95"/>
    <w:rsid w:val="00C11B45"/>
    <w:rsid w:val="00C11E3E"/>
    <w:rsid w:val="00C14AB0"/>
    <w:rsid w:val="00C15225"/>
    <w:rsid w:val="00C15CEE"/>
    <w:rsid w:val="00C15E9D"/>
    <w:rsid w:val="00C167D1"/>
    <w:rsid w:val="00C17D3D"/>
    <w:rsid w:val="00C212AB"/>
    <w:rsid w:val="00C21308"/>
    <w:rsid w:val="00C214F0"/>
    <w:rsid w:val="00C24DCC"/>
    <w:rsid w:val="00C25DF5"/>
    <w:rsid w:val="00C26422"/>
    <w:rsid w:val="00C26C7C"/>
    <w:rsid w:val="00C3269F"/>
    <w:rsid w:val="00C3288D"/>
    <w:rsid w:val="00C33E68"/>
    <w:rsid w:val="00C342DB"/>
    <w:rsid w:val="00C40EF8"/>
    <w:rsid w:val="00C413EF"/>
    <w:rsid w:val="00C42785"/>
    <w:rsid w:val="00C45243"/>
    <w:rsid w:val="00C4681F"/>
    <w:rsid w:val="00C52184"/>
    <w:rsid w:val="00C5255F"/>
    <w:rsid w:val="00C53234"/>
    <w:rsid w:val="00C53989"/>
    <w:rsid w:val="00C53E83"/>
    <w:rsid w:val="00C54F52"/>
    <w:rsid w:val="00C553B7"/>
    <w:rsid w:val="00C5798E"/>
    <w:rsid w:val="00C57D4A"/>
    <w:rsid w:val="00C60A09"/>
    <w:rsid w:val="00C60C9D"/>
    <w:rsid w:val="00C65356"/>
    <w:rsid w:val="00C65A41"/>
    <w:rsid w:val="00C67C95"/>
    <w:rsid w:val="00C67EE6"/>
    <w:rsid w:val="00C70287"/>
    <w:rsid w:val="00C70497"/>
    <w:rsid w:val="00C70D5A"/>
    <w:rsid w:val="00C71284"/>
    <w:rsid w:val="00C71F84"/>
    <w:rsid w:val="00C72121"/>
    <w:rsid w:val="00C72DC6"/>
    <w:rsid w:val="00C7307F"/>
    <w:rsid w:val="00C7375E"/>
    <w:rsid w:val="00C7463A"/>
    <w:rsid w:val="00C74CA2"/>
    <w:rsid w:val="00C75067"/>
    <w:rsid w:val="00C756E0"/>
    <w:rsid w:val="00C7667D"/>
    <w:rsid w:val="00C771BF"/>
    <w:rsid w:val="00C77E8A"/>
    <w:rsid w:val="00C81F24"/>
    <w:rsid w:val="00C82B5E"/>
    <w:rsid w:val="00C869F3"/>
    <w:rsid w:val="00C87B7D"/>
    <w:rsid w:val="00C91119"/>
    <w:rsid w:val="00C91249"/>
    <w:rsid w:val="00C9495E"/>
    <w:rsid w:val="00C94E7E"/>
    <w:rsid w:val="00C97C9B"/>
    <w:rsid w:val="00CA0008"/>
    <w:rsid w:val="00CA0780"/>
    <w:rsid w:val="00CA08AE"/>
    <w:rsid w:val="00CA0E3A"/>
    <w:rsid w:val="00CA12F4"/>
    <w:rsid w:val="00CA1C47"/>
    <w:rsid w:val="00CA3333"/>
    <w:rsid w:val="00CA6A22"/>
    <w:rsid w:val="00CA6E12"/>
    <w:rsid w:val="00CB004D"/>
    <w:rsid w:val="00CB08D8"/>
    <w:rsid w:val="00CB0B66"/>
    <w:rsid w:val="00CB34CC"/>
    <w:rsid w:val="00CB42F2"/>
    <w:rsid w:val="00CB4618"/>
    <w:rsid w:val="00CB5C43"/>
    <w:rsid w:val="00CC04CB"/>
    <w:rsid w:val="00CC14C4"/>
    <w:rsid w:val="00CC4EAB"/>
    <w:rsid w:val="00CC5527"/>
    <w:rsid w:val="00CD1C68"/>
    <w:rsid w:val="00CD32A8"/>
    <w:rsid w:val="00CD682B"/>
    <w:rsid w:val="00CD7494"/>
    <w:rsid w:val="00CD754D"/>
    <w:rsid w:val="00CD7F80"/>
    <w:rsid w:val="00CE02AD"/>
    <w:rsid w:val="00CE053C"/>
    <w:rsid w:val="00CE080E"/>
    <w:rsid w:val="00CE10E3"/>
    <w:rsid w:val="00CE186F"/>
    <w:rsid w:val="00CE23AA"/>
    <w:rsid w:val="00CE2B42"/>
    <w:rsid w:val="00CE319B"/>
    <w:rsid w:val="00CE40E3"/>
    <w:rsid w:val="00CE4A86"/>
    <w:rsid w:val="00CE4CAE"/>
    <w:rsid w:val="00CE55DA"/>
    <w:rsid w:val="00CE69C0"/>
    <w:rsid w:val="00CF278F"/>
    <w:rsid w:val="00CF38F4"/>
    <w:rsid w:val="00CF44B5"/>
    <w:rsid w:val="00CF5879"/>
    <w:rsid w:val="00CF6941"/>
    <w:rsid w:val="00D00375"/>
    <w:rsid w:val="00D022DC"/>
    <w:rsid w:val="00D0253C"/>
    <w:rsid w:val="00D037C2"/>
    <w:rsid w:val="00D046C9"/>
    <w:rsid w:val="00D05183"/>
    <w:rsid w:val="00D05704"/>
    <w:rsid w:val="00D06BC9"/>
    <w:rsid w:val="00D12493"/>
    <w:rsid w:val="00D12C7A"/>
    <w:rsid w:val="00D14EF9"/>
    <w:rsid w:val="00D15416"/>
    <w:rsid w:val="00D17E00"/>
    <w:rsid w:val="00D2066E"/>
    <w:rsid w:val="00D20F4F"/>
    <w:rsid w:val="00D214F7"/>
    <w:rsid w:val="00D21F38"/>
    <w:rsid w:val="00D22C5B"/>
    <w:rsid w:val="00D23D51"/>
    <w:rsid w:val="00D250CE"/>
    <w:rsid w:val="00D276A4"/>
    <w:rsid w:val="00D30181"/>
    <w:rsid w:val="00D30B29"/>
    <w:rsid w:val="00D3464C"/>
    <w:rsid w:val="00D3501F"/>
    <w:rsid w:val="00D36224"/>
    <w:rsid w:val="00D3657A"/>
    <w:rsid w:val="00D41625"/>
    <w:rsid w:val="00D416AA"/>
    <w:rsid w:val="00D416F5"/>
    <w:rsid w:val="00D44111"/>
    <w:rsid w:val="00D444A1"/>
    <w:rsid w:val="00D4655A"/>
    <w:rsid w:val="00D46A93"/>
    <w:rsid w:val="00D50EE4"/>
    <w:rsid w:val="00D51945"/>
    <w:rsid w:val="00D522BB"/>
    <w:rsid w:val="00D53045"/>
    <w:rsid w:val="00D5474F"/>
    <w:rsid w:val="00D55056"/>
    <w:rsid w:val="00D5724D"/>
    <w:rsid w:val="00D60645"/>
    <w:rsid w:val="00D60DD4"/>
    <w:rsid w:val="00D61142"/>
    <w:rsid w:val="00D61635"/>
    <w:rsid w:val="00D626A9"/>
    <w:rsid w:val="00D628C5"/>
    <w:rsid w:val="00D63DB5"/>
    <w:rsid w:val="00D670E4"/>
    <w:rsid w:val="00D7066E"/>
    <w:rsid w:val="00D7078F"/>
    <w:rsid w:val="00D72BC6"/>
    <w:rsid w:val="00D74447"/>
    <w:rsid w:val="00D75DD0"/>
    <w:rsid w:val="00D76EF3"/>
    <w:rsid w:val="00D77FB0"/>
    <w:rsid w:val="00D80DD7"/>
    <w:rsid w:val="00D82050"/>
    <w:rsid w:val="00D8389F"/>
    <w:rsid w:val="00D838FD"/>
    <w:rsid w:val="00D83927"/>
    <w:rsid w:val="00D84E23"/>
    <w:rsid w:val="00D8588C"/>
    <w:rsid w:val="00D86245"/>
    <w:rsid w:val="00D87378"/>
    <w:rsid w:val="00D87CCB"/>
    <w:rsid w:val="00D9043F"/>
    <w:rsid w:val="00D91604"/>
    <w:rsid w:val="00D91C87"/>
    <w:rsid w:val="00D92E74"/>
    <w:rsid w:val="00D9423F"/>
    <w:rsid w:val="00D94CBE"/>
    <w:rsid w:val="00D9594F"/>
    <w:rsid w:val="00D97AB4"/>
    <w:rsid w:val="00DA3E5A"/>
    <w:rsid w:val="00DA3FEA"/>
    <w:rsid w:val="00DA5B39"/>
    <w:rsid w:val="00DA7199"/>
    <w:rsid w:val="00DB07BF"/>
    <w:rsid w:val="00DB118C"/>
    <w:rsid w:val="00DC0B04"/>
    <w:rsid w:val="00DC21BF"/>
    <w:rsid w:val="00DC262C"/>
    <w:rsid w:val="00DC2DC4"/>
    <w:rsid w:val="00DC3D25"/>
    <w:rsid w:val="00DC4FD4"/>
    <w:rsid w:val="00DC5F21"/>
    <w:rsid w:val="00DC6174"/>
    <w:rsid w:val="00DC6E87"/>
    <w:rsid w:val="00DC72ED"/>
    <w:rsid w:val="00DC7506"/>
    <w:rsid w:val="00DD035E"/>
    <w:rsid w:val="00DD1C92"/>
    <w:rsid w:val="00DD461A"/>
    <w:rsid w:val="00DD58FD"/>
    <w:rsid w:val="00DD6697"/>
    <w:rsid w:val="00DD75E5"/>
    <w:rsid w:val="00DD7963"/>
    <w:rsid w:val="00DE04DD"/>
    <w:rsid w:val="00DE1E03"/>
    <w:rsid w:val="00DE252A"/>
    <w:rsid w:val="00DE49C0"/>
    <w:rsid w:val="00DE5402"/>
    <w:rsid w:val="00DE7564"/>
    <w:rsid w:val="00DE7AB3"/>
    <w:rsid w:val="00DE7F24"/>
    <w:rsid w:val="00DF0036"/>
    <w:rsid w:val="00DF013F"/>
    <w:rsid w:val="00DF0724"/>
    <w:rsid w:val="00DF1C9D"/>
    <w:rsid w:val="00DF222C"/>
    <w:rsid w:val="00DF3074"/>
    <w:rsid w:val="00DF4709"/>
    <w:rsid w:val="00DF5DEB"/>
    <w:rsid w:val="00DF7501"/>
    <w:rsid w:val="00DF788A"/>
    <w:rsid w:val="00E0081B"/>
    <w:rsid w:val="00E01BE5"/>
    <w:rsid w:val="00E01FDB"/>
    <w:rsid w:val="00E03674"/>
    <w:rsid w:val="00E04231"/>
    <w:rsid w:val="00E0486D"/>
    <w:rsid w:val="00E05419"/>
    <w:rsid w:val="00E05C7D"/>
    <w:rsid w:val="00E05EB1"/>
    <w:rsid w:val="00E064FC"/>
    <w:rsid w:val="00E07D8D"/>
    <w:rsid w:val="00E10031"/>
    <w:rsid w:val="00E12301"/>
    <w:rsid w:val="00E1259B"/>
    <w:rsid w:val="00E12B86"/>
    <w:rsid w:val="00E13CEA"/>
    <w:rsid w:val="00E14272"/>
    <w:rsid w:val="00E14FD3"/>
    <w:rsid w:val="00E16179"/>
    <w:rsid w:val="00E16CC8"/>
    <w:rsid w:val="00E1783E"/>
    <w:rsid w:val="00E20B61"/>
    <w:rsid w:val="00E21838"/>
    <w:rsid w:val="00E21C8C"/>
    <w:rsid w:val="00E22360"/>
    <w:rsid w:val="00E23BB7"/>
    <w:rsid w:val="00E25274"/>
    <w:rsid w:val="00E2573D"/>
    <w:rsid w:val="00E266C1"/>
    <w:rsid w:val="00E26E0C"/>
    <w:rsid w:val="00E302B8"/>
    <w:rsid w:val="00E338C6"/>
    <w:rsid w:val="00E33FA7"/>
    <w:rsid w:val="00E34035"/>
    <w:rsid w:val="00E34E03"/>
    <w:rsid w:val="00E36AE9"/>
    <w:rsid w:val="00E375EE"/>
    <w:rsid w:val="00E40018"/>
    <w:rsid w:val="00E40854"/>
    <w:rsid w:val="00E40F9B"/>
    <w:rsid w:val="00E412C8"/>
    <w:rsid w:val="00E41345"/>
    <w:rsid w:val="00E42464"/>
    <w:rsid w:val="00E42CB1"/>
    <w:rsid w:val="00E4428D"/>
    <w:rsid w:val="00E45397"/>
    <w:rsid w:val="00E46C3A"/>
    <w:rsid w:val="00E47ACF"/>
    <w:rsid w:val="00E47FDD"/>
    <w:rsid w:val="00E501D5"/>
    <w:rsid w:val="00E5134F"/>
    <w:rsid w:val="00E522D2"/>
    <w:rsid w:val="00E538F0"/>
    <w:rsid w:val="00E53E02"/>
    <w:rsid w:val="00E54044"/>
    <w:rsid w:val="00E5492C"/>
    <w:rsid w:val="00E549E2"/>
    <w:rsid w:val="00E54B68"/>
    <w:rsid w:val="00E55021"/>
    <w:rsid w:val="00E5535D"/>
    <w:rsid w:val="00E55595"/>
    <w:rsid w:val="00E57269"/>
    <w:rsid w:val="00E5737B"/>
    <w:rsid w:val="00E60082"/>
    <w:rsid w:val="00E6065B"/>
    <w:rsid w:val="00E606C0"/>
    <w:rsid w:val="00E626BD"/>
    <w:rsid w:val="00E627A0"/>
    <w:rsid w:val="00E66A5E"/>
    <w:rsid w:val="00E731F6"/>
    <w:rsid w:val="00E743CA"/>
    <w:rsid w:val="00E7534B"/>
    <w:rsid w:val="00E77401"/>
    <w:rsid w:val="00E80FAC"/>
    <w:rsid w:val="00E8157D"/>
    <w:rsid w:val="00E83822"/>
    <w:rsid w:val="00E8400B"/>
    <w:rsid w:val="00E84422"/>
    <w:rsid w:val="00E8461C"/>
    <w:rsid w:val="00E84665"/>
    <w:rsid w:val="00E849EA"/>
    <w:rsid w:val="00E84CC7"/>
    <w:rsid w:val="00E8564D"/>
    <w:rsid w:val="00E85DC4"/>
    <w:rsid w:val="00E86E77"/>
    <w:rsid w:val="00E907C3"/>
    <w:rsid w:val="00E91A8C"/>
    <w:rsid w:val="00E9272A"/>
    <w:rsid w:val="00E92AF1"/>
    <w:rsid w:val="00E93D3D"/>
    <w:rsid w:val="00E94FED"/>
    <w:rsid w:val="00E952A1"/>
    <w:rsid w:val="00E95F0D"/>
    <w:rsid w:val="00E966E3"/>
    <w:rsid w:val="00E968B2"/>
    <w:rsid w:val="00E96FC9"/>
    <w:rsid w:val="00E978C6"/>
    <w:rsid w:val="00EA12AE"/>
    <w:rsid w:val="00EA1B47"/>
    <w:rsid w:val="00EA1C91"/>
    <w:rsid w:val="00EA3016"/>
    <w:rsid w:val="00EA33B7"/>
    <w:rsid w:val="00EA4B71"/>
    <w:rsid w:val="00EA4EBA"/>
    <w:rsid w:val="00EA6567"/>
    <w:rsid w:val="00EA79E3"/>
    <w:rsid w:val="00EB24BD"/>
    <w:rsid w:val="00EB40AE"/>
    <w:rsid w:val="00EB42B9"/>
    <w:rsid w:val="00EB51CF"/>
    <w:rsid w:val="00EB5460"/>
    <w:rsid w:val="00EC0156"/>
    <w:rsid w:val="00EC18D0"/>
    <w:rsid w:val="00EC4AB0"/>
    <w:rsid w:val="00EC56D6"/>
    <w:rsid w:val="00EC5EF0"/>
    <w:rsid w:val="00EC7841"/>
    <w:rsid w:val="00ED1ED0"/>
    <w:rsid w:val="00ED250C"/>
    <w:rsid w:val="00ED3C7F"/>
    <w:rsid w:val="00ED46F3"/>
    <w:rsid w:val="00ED76C6"/>
    <w:rsid w:val="00ED785A"/>
    <w:rsid w:val="00ED7AC2"/>
    <w:rsid w:val="00ED7D8E"/>
    <w:rsid w:val="00ED7F27"/>
    <w:rsid w:val="00EE2C96"/>
    <w:rsid w:val="00EE7916"/>
    <w:rsid w:val="00EE7A1F"/>
    <w:rsid w:val="00EE7F74"/>
    <w:rsid w:val="00EF1579"/>
    <w:rsid w:val="00EF25C0"/>
    <w:rsid w:val="00EF311A"/>
    <w:rsid w:val="00EF41B6"/>
    <w:rsid w:val="00EF56AC"/>
    <w:rsid w:val="00EF67D7"/>
    <w:rsid w:val="00EF70EB"/>
    <w:rsid w:val="00EF77F3"/>
    <w:rsid w:val="00F014A8"/>
    <w:rsid w:val="00F02BCC"/>
    <w:rsid w:val="00F04BBF"/>
    <w:rsid w:val="00F05A99"/>
    <w:rsid w:val="00F05B65"/>
    <w:rsid w:val="00F07004"/>
    <w:rsid w:val="00F07424"/>
    <w:rsid w:val="00F079B7"/>
    <w:rsid w:val="00F10C02"/>
    <w:rsid w:val="00F10EEE"/>
    <w:rsid w:val="00F147F9"/>
    <w:rsid w:val="00F14D79"/>
    <w:rsid w:val="00F15724"/>
    <w:rsid w:val="00F15A5B"/>
    <w:rsid w:val="00F167D4"/>
    <w:rsid w:val="00F167EB"/>
    <w:rsid w:val="00F16A42"/>
    <w:rsid w:val="00F16B9A"/>
    <w:rsid w:val="00F16E62"/>
    <w:rsid w:val="00F175F4"/>
    <w:rsid w:val="00F177E3"/>
    <w:rsid w:val="00F17B3B"/>
    <w:rsid w:val="00F20CC9"/>
    <w:rsid w:val="00F2234E"/>
    <w:rsid w:val="00F22901"/>
    <w:rsid w:val="00F24356"/>
    <w:rsid w:val="00F248A4"/>
    <w:rsid w:val="00F25509"/>
    <w:rsid w:val="00F25E7F"/>
    <w:rsid w:val="00F25EDD"/>
    <w:rsid w:val="00F272E7"/>
    <w:rsid w:val="00F27BAE"/>
    <w:rsid w:val="00F307D2"/>
    <w:rsid w:val="00F312BE"/>
    <w:rsid w:val="00F313CD"/>
    <w:rsid w:val="00F32049"/>
    <w:rsid w:val="00F32B4B"/>
    <w:rsid w:val="00F332CF"/>
    <w:rsid w:val="00F3684A"/>
    <w:rsid w:val="00F36ED1"/>
    <w:rsid w:val="00F378C1"/>
    <w:rsid w:val="00F408A7"/>
    <w:rsid w:val="00F409F0"/>
    <w:rsid w:val="00F4235D"/>
    <w:rsid w:val="00F43B25"/>
    <w:rsid w:val="00F4477B"/>
    <w:rsid w:val="00F50C10"/>
    <w:rsid w:val="00F52C7E"/>
    <w:rsid w:val="00F53844"/>
    <w:rsid w:val="00F5537D"/>
    <w:rsid w:val="00F55589"/>
    <w:rsid w:val="00F55602"/>
    <w:rsid w:val="00F55C05"/>
    <w:rsid w:val="00F56642"/>
    <w:rsid w:val="00F56FB8"/>
    <w:rsid w:val="00F5729E"/>
    <w:rsid w:val="00F62094"/>
    <w:rsid w:val="00F622E2"/>
    <w:rsid w:val="00F6311D"/>
    <w:rsid w:val="00F63B9D"/>
    <w:rsid w:val="00F64418"/>
    <w:rsid w:val="00F64C1A"/>
    <w:rsid w:val="00F64FAE"/>
    <w:rsid w:val="00F65F60"/>
    <w:rsid w:val="00F67F35"/>
    <w:rsid w:val="00F7068C"/>
    <w:rsid w:val="00F72200"/>
    <w:rsid w:val="00F755DA"/>
    <w:rsid w:val="00F77D2D"/>
    <w:rsid w:val="00F80010"/>
    <w:rsid w:val="00F805B1"/>
    <w:rsid w:val="00F814EE"/>
    <w:rsid w:val="00F8156C"/>
    <w:rsid w:val="00F8487F"/>
    <w:rsid w:val="00F86AFF"/>
    <w:rsid w:val="00F9099C"/>
    <w:rsid w:val="00F9223A"/>
    <w:rsid w:val="00F93027"/>
    <w:rsid w:val="00F9451F"/>
    <w:rsid w:val="00F96208"/>
    <w:rsid w:val="00F9654A"/>
    <w:rsid w:val="00F979DB"/>
    <w:rsid w:val="00FA1E4A"/>
    <w:rsid w:val="00FA2770"/>
    <w:rsid w:val="00FA4180"/>
    <w:rsid w:val="00FA43F2"/>
    <w:rsid w:val="00FA46E8"/>
    <w:rsid w:val="00FA4F12"/>
    <w:rsid w:val="00FA5D6D"/>
    <w:rsid w:val="00FA6766"/>
    <w:rsid w:val="00FB0722"/>
    <w:rsid w:val="00FB434F"/>
    <w:rsid w:val="00FB4C38"/>
    <w:rsid w:val="00FB5B38"/>
    <w:rsid w:val="00FB65AC"/>
    <w:rsid w:val="00FB7B78"/>
    <w:rsid w:val="00FC14C8"/>
    <w:rsid w:val="00FC196D"/>
    <w:rsid w:val="00FC3DEB"/>
    <w:rsid w:val="00FC45C9"/>
    <w:rsid w:val="00FC4BD9"/>
    <w:rsid w:val="00FC4D9A"/>
    <w:rsid w:val="00FC50D2"/>
    <w:rsid w:val="00FC5243"/>
    <w:rsid w:val="00FC620D"/>
    <w:rsid w:val="00FC695B"/>
    <w:rsid w:val="00FC71E8"/>
    <w:rsid w:val="00FD0540"/>
    <w:rsid w:val="00FD1C3A"/>
    <w:rsid w:val="00FD2521"/>
    <w:rsid w:val="00FD2638"/>
    <w:rsid w:val="00FD2B91"/>
    <w:rsid w:val="00FD4FB3"/>
    <w:rsid w:val="00FD5776"/>
    <w:rsid w:val="00FD5BB3"/>
    <w:rsid w:val="00FD6F8A"/>
    <w:rsid w:val="00FE0C89"/>
    <w:rsid w:val="00FE3446"/>
    <w:rsid w:val="00FE3983"/>
    <w:rsid w:val="00FE4072"/>
    <w:rsid w:val="00FE4AD9"/>
    <w:rsid w:val="00FF0555"/>
    <w:rsid w:val="00FF1289"/>
    <w:rsid w:val="00FF4CF7"/>
    <w:rsid w:val="00FF4F7F"/>
    <w:rsid w:val="00FF66C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4">
    <w:name w:val="heading 4"/>
    <w:basedOn w:val="Normal"/>
    <w:next w:val="Normal"/>
    <w:link w:val="Heading4Char"/>
    <w:semiHidden/>
    <w:unhideWhenUsed/>
    <w:qFormat/>
    <w:rsid w:val="004A3C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CommentReference">
    <w:name w:val="annotation reference"/>
    <w:basedOn w:val="DefaultParagraphFont"/>
    <w:rsid w:val="00FA6766"/>
    <w:rPr>
      <w:sz w:val="16"/>
      <w:szCs w:val="16"/>
    </w:rPr>
  </w:style>
  <w:style w:type="paragraph" w:styleId="CommentText">
    <w:name w:val="annotation text"/>
    <w:basedOn w:val="Normal"/>
    <w:link w:val="CommentTextChar"/>
    <w:rsid w:val="00FA6766"/>
  </w:style>
  <w:style w:type="character" w:customStyle="1" w:styleId="CommentTextChar">
    <w:name w:val="Comment Text Char"/>
    <w:basedOn w:val="DefaultParagraphFont"/>
    <w:link w:val="CommentText"/>
    <w:rsid w:val="00FA6766"/>
  </w:style>
  <w:style w:type="paragraph" w:styleId="CommentSubject">
    <w:name w:val="annotation subject"/>
    <w:basedOn w:val="CommentText"/>
    <w:next w:val="CommentText"/>
    <w:link w:val="CommentSubjectChar"/>
    <w:rsid w:val="00FA6766"/>
    <w:rPr>
      <w:b/>
      <w:bCs/>
    </w:rPr>
  </w:style>
  <w:style w:type="character" w:customStyle="1" w:styleId="CommentSubjectChar">
    <w:name w:val="Comment Subject Char"/>
    <w:basedOn w:val="CommentTextChar"/>
    <w:link w:val="CommentSubject"/>
    <w:rsid w:val="00FA6766"/>
    <w:rPr>
      <w:b/>
      <w:bCs/>
    </w:rPr>
  </w:style>
  <w:style w:type="paragraph" w:styleId="Revision">
    <w:name w:val="Revision"/>
    <w:hidden/>
    <w:uiPriority w:val="99"/>
    <w:semiHidden/>
    <w:rsid w:val="00B90F4E"/>
  </w:style>
  <w:style w:type="character" w:customStyle="1" w:styleId="Heading4Char">
    <w:name w:val="Heading 4 Char"/>
    <w:basedOn w:val="DefaultParagraphFont"/>
    <w:link w:val="Heading4"/>
    <w:semiHidden/>
    <w:rsid w:val="004A3C5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4">
    <w:name w:val="heading 4"/>
    <w:basedOn w:val="Normal"/>
    <w:next w:val="Normal"/>
    <w:link w:val="Heading4Char"/>
    <w:semiHidden/>
    <w:unhideWhenUsed/>
    <w:qFormat/>
    <w:rsid w:val="004A3C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CommentReference">
    <w:name w:val="annotation reference"/>
    <w:basedOn w:val="DefaultParagraphFont"/>
    <w:rsid w:val="00FA6766"/>
    <w:rPr>
      <w:sz w:val="16"/>
      <w:szCs w:val="16"/>
    </w:rPr>
  </w:style>
  <w:style w:type="paragraph" w:styleId="CommentText">
    <w:name w:val="annotation text"/>
    <w:basedOn w:val="Normal"/>
    <w:link w:val="CommentTextChar"/>
    <w:rsid w:val="00FA6766"/>
  </w:style>
  <w:style w:type="character" w:customStyle="1" w:styleId="CommentTextChar">
    <w:name w:val="Comment Text Char"/>
    <w:basedOn w:val="DefaultParagraphFont"/>
    <w:link w:val="CommentText"/>
    <w:rsid w:val="00FA6766"/>
  </w:style>
  <w:style w:type="paragraph" w:styleId="CommentSubject">
    <w:name w:val="annotation subject"/>
    <w:basedOn w:val="CommentText"/>
    <w:next w:val="CommentText"/>
    <w:link w:val="CommentSubjectChar"/>
    <w:rsid w:val="00FA6766"/>
    <w:rPr>
      <w:b/>
      <w:bCs/>
    </w:rPr>
  </w:style>
  <w:style w:type="character" w:customStyle="1" w:styleId="CommentSubjectChar">
    <w:name w:val="Comment Subject Char"/>
    <w:basedOn w:val="CommentTextChar"/>
    <w:link w:val="CommentSubject"/>
    <w:rsid w:val="00FA6766"/>
    <w:rPr>
      <w:b/>
      <w:bCs/>
    </w:rPr>
  </w:style>
  <w:style w:type="paragraph" w:styleId="Revision">
    <w:name w:val="Revision"/>
    <w:hidden/>
    <w:uiPriority w:val="99"/>
    <w:semiHidden/>
    <w:rsid w:val="00B90F4E"/>
  </w:style>
  <w:style w:type="character" w:customStyle="1" w:styleId="Heading4Char">
    <w:name w:val="Heading 4 Char"/>
    <w:basedOn w:val="DefaultParagraphFont"/>
    <w:link w:val="Heading4"/>
    <w:semiHidden/>
    <w:rsid w:val="004A3C5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464738653">
      <w:bodyDiv w:val="1"/>
      <w:marLeft w:val="0"/>
      <w:marRight w:val="0"/>
      <w:marTop w:val="0"/>
      <w:marBottom w:val="0"/>
      <w:divBdr>
        <w:top w:val="none" w:sz="0" w:space="0" w:color="auto"/>
        <w:left w:val="none" w:sz="0" w:space="0" w:color="auto"/>
        <w:bottom w:val="none" w:sz="0" w:space="0" w:color="auto"/>
        <w:right w:val="none" w:sz="0" w:space="0" w:color="auto"/>
      </w:divBdr>
      <w:divsChild>
        <w:div w:id="406610059">
          <w:marLeft w:val="0"/>
          <w:marRight w:val="0"/>
          <w:marTop w:val="0"/>
          <w:marBottom w:val="0"/>
          <w:divBdr>
            <w:top w:val="none" w:sz="0" w:space="0" w:color="auto"/>
            <w:left w:val="none" w:sz="0" w:space="0" w:color="auto"/>
            <w:bottom w:val="none" w:sz="0" w:space="0" w:color="auto"/>
            <w:right w:val="none" w:sz="0" w:space="0" w:color="auto"/>
          </w:divBdr>
          <w:divsChild>
            <w:div w:id="102306131">
              <w:marLeft w:val="0"/>
              <w:marRight w:val="0"/>
              <w:marTop w:val="0"/>
              <w:marBottom w:val="0"/>
              <w:divBdr>
                <w:top w:val="none" w:sz="0" w:space="0" w:color="auto"/>
                <w:left w:val="none" w:sz="0" w:space="0" w:color="auto"/>
                <w:bottom w:val="none" w:sz="0" w:space="0" w:color="auto"/>
                <w:right w:val="none" w:sz="0" w:space="0" w:color="auto"/>
              </w:divBdr>
              <w:divsChild>
                <w:div w:id="2120955004">
                  <w:marLeft w:val="0"/>
                  <w:marRight w:val="0"/>
                  <w:marTop w:val="0"/>
                  <w:marBottom w:val="0"/>
                  <w:divBdr>
                    <w:top w:val="none" w:sz="0" w:space="0" w:color="auto"/>
                    <w:left w:val="none" w:sz="0" w:space="0" w:color="auto"/>
                    <w:bottom w:val="none" w:sz="0" w:space="0" w:color="auto"/>
                    <w:right w:val="none" w:sz="0" w:space="0" w:color="auto"/>
                  </w:divBdr>
                  <w:divsChild>
                    <w:div w:id="1599603008">
                      <w:marLeft w:val="0"/>
                      <w:marRight w:val="0"/>
                      <w:marTop w:val="0"/>
                      <w:marBottom w:val="0"/>
                      <w:divBdr>
                        <w:top w:val="none" w:sz="0" w:space="0" w:color="auto"/>
                        <w:left w:val="none" w:sz="0" w:space="0" w:color="auto"/>
                        <w:bottom w:val="none" w:sz="0" w:space="0" w:color="auto"/>
                        <w:right w:val="none" w:sz="0" w:space="0" w:color="auto"/>
                      </w:divBdr>
                      <w:divsChild>
                        <w:div w:id="6024169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6055511">
                              <w:marLeft w:val="0"/>
                              <w:marRight w:val="0"/>
                              <w:marTop w:val="0"/>
                              <w:marBottom w:val="0"/>
                              <w:divBdr>
                                <w:top w:val="none" w:sz="0" w:space="0" w:color="auto"/>
                                <w:left w:val="none" w:sz="0" w:space="0" w:color="auto"/>
                                <w:bottom w:val="none" w:sz="0" w:space="0" w:color="auto"/>
                                <w:right w:val="none" w:sz="0" w:space="0" w:color="auto"/>
                              </w:divBdr>
                              <w:divsChild>
                                <w:div w:id="1194420867">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1275594176">
                                          <w:marLeft w:val="0"/>
                                          <w:marRight w:val="0"/>
                                          <w:marTop w:val="0"/>
                                          <w:marBottom w:val="0"/>
                                          <w:divBdr>
                                            <w:top w:val="none" w:sz="0" w:space="0" w:color="auto"/>
                                            <w:left w:val="none" w:sz="0" w:space="0" w:color="auto"/>
                                            <w:bottom w:val="none" w:sz="0" w:space="0" w:color="auto"/>
                                            <w:right w:val="none" w:sz="0" w:space="0" w:color="auto"/>
                                          </w:divBdr>
                                          <w:divsChild>
                                            <w:div w:id="744255184">
                                              <w:marLeft w:val="0"/>
                                              <w:marRight w:val="0"/>
                                              <w:marTop w:val="0"/>
                                              <w:marBottom w:val="0"/>
                                              <w:divBdr>
                                                <w:top w:val="none" w:sz="0" w:space="0" w:color="auto"/>
                                                <w:left w:val="none" w:sz="0" w:space="0" w:color="auto"/>
                                                <w:bottom w:val="none" w:sz="0" w:space="0" w:color="auto"/>
                                                <w:right w:val="none" w:sz="0" w:space="0" w:color="auto"/>
                                              </w:divBdr>
                                              <w:divsChild>
                                                <w:div w:id="681662828">
                                                  <w:marLeft w:val="0"/>
                                                  <w:marRight w:val="0"/>
                                                  <w:marTop w:val="0"/>
                                                  <w:marBottom w:val="0"/>
                                                  <w:divBdr>
                                                    <w:top w:val="none" w:sz="0" w:space="0" w:color="auto"/>
                                                    <w:left w:val="none" w:sz="0" w:space="0" w:color="auto"/>
                                                    <w:bottom w:val="none" w:sz="0" w:space="0" w:color="auto"/>
                                                    <w:right w:val="none" w:sz="0" w:space="0" w:color="auto"/>
                                                  </w:divBdr>
                                                </w:div>
                                              </w:divsChild>
                                            </w:div>
                                            <w:div w:id="1403454963">
                                              <w:marLeft w:val="0"/>
                                              <w:marRight w:val="0"/>
                                              <w:marTop w:val="0"/>
                                              <w:marBottom w:val="0"/>
                                              <w:divBdr>
                                                <w:top w:val="none" w:sz="0" w:space="0" w:color="auto"/>
                                                <w:left w:val="none" w:sz="0" w:space="0" w:color="auto"/>
                                                <w:bottom w:val="none" w:sz="0" w:space="0" w:color="auto"/>
                                                <w:right w:val="none" w:sz="0" w:space="0" w:color="auto"/>
                                              </w:divBdr>
                                              <w:divsChild>
                                                <w:div w:id="2078548520">
                                                  <w:marLeft w:val="0"/>
                                                  <w:marRight w:val="0"/>
                                                  <w:marTop w:val="0"/>
                                                  <w:marBottom w:val="0"/>
                                                  <w:divBdr>
                                                    <w:top w:val="none" w:sz="0" w:space="0" w:color="auto"/>
                                                    <w:left w:val="none" w:sz="0" w:space="0" w:color="auto"/>
                                                    <w:bottom w:val="none" w:sz="0" w:space="0" w:color="auto"/>
                                                    <w:right w:val="none" w:sz="0" w:space="0" w:color="auto"/>
                                                  </w:divBdr>
                                                  <w:divsChild>
                                                    <w:div w:id="1378093327">
                                                      <w:marLeft w:val="0"/>
                                                      <w:marRight w:val="0"/>
                                                      <w:marTop w:val="0"/>
                                                      <w:marBottom w:val="0"/>
                                                      <w:divBdr>
                                                        <w:top w:val="none" w:sz="0" w:space="0" w:color="auto"/>
                                                        <w:left w:val="none" w:sz="0" w:space="0" w:color="auto"/>
                                                        <w:bottom w:val="none" w:sz="0" w:space="0" w:color="auto"/>
                                                        <w:right w:val="none" w:sz="0" w:space="0" w:color="auto"/>
                                                      </w:divBdr>
                                                    </w:div>
                                                  </w:divsChild>
                                                </w:div>
                                                <w:div w:id="513494060">
                                                  <w:marLeft w:val="0"/>
                                                  <w:marRight w:val="0"/>
                                                  <w:marTop w:val="0"/>
                                                  <w:marBottom w:val="0"/>
                                                  <w:divBdr>
                                                    <w:top w:val="none" w:sz="0" w:space="0" w:color="auto"/>
                                                    <w:left w:val="none" w:sz="0" w:space="0" w:color="auto"/>
                                                    <w:bottom w:val="none" w:sz="0" w:space="0" w:color="auto"/>
                                                    <w:right w:val="none" w:sz="0" w:space="0" w:color="auto"/>
                                                  </w:divBdr>
                                                  <w:divsChild>
                                                    <w:div w:id="1724253202">
                                                      <w:marLeft w:val="0"/>
                                                      <w:marRight w:val="0"/>
                                                      <w:marTop w:val="0"/>
                                                      <w:marBottom w:val="0"/>
                                                      <w:divBdr>
                                                        <w:top w:val="none" w:sz="0" w:space="0" w:color="auto"/>
                                                        <w:left w:val="none" w:sz="0" w:space="0" w:color="auto"/>
                                                        <w:bottom w:val="none" w:sz="0" w:space="0" w:color="auto"/>
                                                        <w:right w:val="none" w:sz="0" w:space="0" w:color="auto"/>
                                                      </w:divBdr>
                                                      <w:divsChild>
                                                        <w:div w:id="20189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1799">
      <w:bodyDiv w:val="1"/>
      <w:marLeft w:val="0"/>
      <w:marRight w:val="0"/>
      <w:marTop w:val="0"/>
      <w:marBottom w:val="0"/>
      <w:divBdr>
        <w:top w:val="none" w:sz="0" w:space="0" w:color="auto"/>
        <w:left w:val="none" w:sz="0" w:space="0" w:color="auto"/>
        <w:bottom w:val="none" w:sz="0" w:space="0" w:color="auto"/>
        <w:right w:val="none" w:sz="0" w:space="0" w:color="auto"/>
      </w:divBdr>
      <w:divsChild>
        <w:div w:id="1738239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A224-9E7E-4218-8C66-8AB23E94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Reynolds, Doris</cp:lastModifiedBy>
  <cp:revision>6</cp:revision>
  <cp:lastPrinted>2016-03-10T19:31:00Z</cp:lastPrinted>
  <dcterms:created xsi:type="dcterms:W3CDTF">2016-04-29T14:57:00Z</dcterms:created>
  <dcterms:modified xsi:type="dcterms:W3CDTF">2016-05-04T12:11:00Z</dcterms:modified>
</cp:coreProperties>
</file>