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1303A1" w:rsidRDefault="00D91F34" w:rsidP="00773D87">
      <w:pPr>
        <w:pStyle w:val="c2"/>
        <w:widowControl/>
        <w:outlineLvl w:val="0"/>
        <w:rPr>
          <w:b/>
          <w:sz w:val="28"/>
          <w:szCs w:val="28"/>
        </w:rPr>
      </w:pPr>
      <w:r w:rsidRPr="001303A1">
        <w:rPr>
          <w:b/>
          <w:sz w:val="28"/>
          <w:szCs w:val="28"/>
        </w:rPr>
        <w:t>PENNSYLVANIA</w:t>
      </w:r>
    </w:p>
    <w:p w:rsidR="00D91F34" w:rsidRPr="001303A1" w:rsidRDefault="00D91F34" w:rsidP="00773D87">
      <w:pPr>
        <w:pStyle w:val="c2"/>
        <w:widowControl/>
        <w:outlineLvl w:val="0"/>
        <w:rPr>
          <w:b/>
          <w:sz w:val="28"/>
          <w:szCs w:val="28"/>
        </w:rPr>
      </w:pPr>
      <w:r w:rsidRPr="001303A1">
        <w:rPr>
          <w:b/>
          <w:sz w:val="28"/>
          <w:szCs w:val="28"/>
        </w:rPr>
        <w:t>PUBLIC UTILITY COMMISSION</w:t>
      </w:r>
    </w:p>
    <w:p w:rsidR="00D91F34" w:rsidRPr="001303A1" w:rsidRDefault="00D91F34" w:rsidP="00773D87">
      <w:pPr>
        <w:pStyle w:val="c2"/>
        <w:widowControl/>
        <w:outlineLvl w:val="0"/>
        <w:rPr>
          <w:b/>
          <w:sz w:val="28"/>
          <w:szCs w:val="28"/>
        </w:rPr>
      </w:pPr>
      <w:r w:rsidRPr="001303A1">
        <w:rPr>
          <w:b/>
          <w:sz w:val="28"/>
          <w:szCs w:val="28"/>
        </w:rPr>
        <w:t>Harrisburg, PA 17105-3265</w:t>
      </w:r>
    </w:p>
    <w:p w:rsidR="00A666BE" w:rsidRDefault="00A666BE" w:rsidP="00773D87">
      <w:pPr>
        <w:pStyle w:val="p3"/>
        <w:widowControl/>
        <w:tabs>
          <w:tab w:val="clear" w:pos="4960"/>
          <w:tab w:val="left" w:pos="4320"/>
        </w:tabs>
        <w:rPr>
          <w:sz w:val="28"/>
          <w:szCs w:val="28"/>
        </w:rPr>
      </w:pPr>
    </w:p>
    <w:p w:rsidR="006C560D" w:rsidRPr="00062E21" w:rsidRDefault="006C560D" w:rsidP="00773D8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3D1772">
        <w:rPr>
          <w:sz w:val="26"/>
          <w:szCs w:val="26"/>
        </w:rPr>
        <w:t>June 9</w:t>
      </w:r>
      <w:r w:rsidRPr="00062E21">
        <w:rPr>
          <w:sz w:val="26"/>
          <w:szCs w:val="26"/>
        </w:rPr>
        <w:t>, 201</w:t>
      </w:r>
      <w:r w:rsidR="00464A6A">
        <w:rPr>
          <w:sz w:val="26"/>
          <w:szCs w:val="26"/>
        </w:rPr>
        <w:t>6</w:t>
      </w:r>
    </w:p>
    <w:p w:rsidR="006C560D" w:rsidRPr="00062E21" w:rsidRDefault="006C560D" w:rsidP="00773D87">
      <w:pPr>
        <w:pStyle w:val="p4"/>
        <w:widowControl/>
        <w:spacing w:line="360" w:lineRule="auto"/>
        <w:rPr>
          <w:sz w:val="26"/>
          <w:szCs w:val="26"/>
        </w:rPr>
      </w:pPr>
    </w:p>
    <w:p w:rsidR="006C560D" w:rsidRPr="00062E21" w:rsidRDefault="006C560D" w:rsidP="00773D87">
      <w:pPr>
        <w:pStyle w:val="p4"/>
        <w:widowControl/>
        <w:rPr>
          <w:sz w:val="26"/>
          <w:szCs w:val="26"/>
        </w:rPr>
      </w:pPr>
      <w:r w:rsidRPr="00062E21">
        <w:rPr>
          <w:sz w:val="26"/>
          <w:szCs w:val="26"/>
        </w:rPr>
        <w:t>Commissioners Present:</w:t>
      </w:r>
    </w:p>
    <w:p w:rsidR="006C560D" w:rsidRPr="00062E21" w:rsidRDefault="006C560D" w:rsidP="00773D87">
      <w:pPr>
        <w:widowControl/>
        <w:tabs>
          <w:tab w:val="left" w:pos="204"/>
        </w:tabs>
        <w:rPr>
          <w:sz w:val="26"/>
          <w:szCs w:val="26"/>
        </w:rPr>
      </w:pPr>
    </w:p>
    <w:p w:rsidR="000F0ECF" w:rsidRPr="003E5EDC" w:rsidRDefault="000F0ECF" w:rsidP="000F0ECF">
      <w:pPr>
        <w:pStyle w:val="p5"/>
        <w:widowControl/>
        <w:tabs>
          <w:tab w:val="clear" w:pos="391"/>
        </w:tabs>
        <w:ind w:left="720"/>
        <w:rPr>
          <w:sz w:val="26"/>
          <w:szCs w:val="26"/>
        </w:rPr>
      </w:pPr>
      <w:r>
        <w:rPr>
          <w:sz w:val="26"/>
          <w:szCs w:val="26"/>
        </w:rPr>
        <w:t>Gladys M. Brown</w:t>
      </w:r>
      <w:r w:rsidRPr="003E5EDC">
        <w:rPr>
          <w:sz w:val="26"/>
          <w:szCs w:val="26"/>
        </w:rPr>
        <w:t>, Chairman</w:t>
      </w:r>
    </w:p>
    <w:p w:rsidR="000F0ECF" w:rsidRPr="003E5EDC" w:rsidRDefault="000F0ECF" w:rsidP="000F0ECF">
      <w:pPr>
        <w:pStyle w:val="p5"/>
        <w:widowControl/>
        <w:tabs>
          <w:tab w:val="clear" w:pos="391"/>
        </w:tabs>
        <w:ind w:left="720"/>
        <w:rPr>
          <w:sz w:val="26"/>
          <w:szCs w:val="26"/>
        </w:rPr>
      </w:pPr>
      <w:r>
        <w:rPr>
          <w:sz w:val="26"/>
          <w:szCs w:val="26"/>
        </w:rPr>
        <w:t>Andrew G. Place</w:t>
      </w:r>
      <w:r w:rsidRPr="003E5EDC">
        <w:rPr>
          <w:sz w:val="26"/>
          <w:szCs w:val="26"/>
        </w:rPr>
        <w:t>, Vice Chairman</w:t>
      </w:r>
    </w:p>
    <w:p w:rsidR="000F0ECF" w:rsidRPr="001B07F2" w:rsidRDefault="000F0ECF" w:rsidP="000F0ECF">
      <w:pPr>
        <w:pStyle w:val="p5"/>
        <w:widowControl/>
        <w:tabs>
          <w:tab w:val="clear" w:pos="391"/>
        </w:tabs>
        <w:ind w:left="720"/>
        <w:rPr>
          <w:sz w:val="26"/>
          <w:szCs w:val="26"/>
        </w:rPr>
      </w:pPr>
      <w:r w:rsidRPr="001B07F2">
        <w:rPr>
          <w:sz w:val="26"/>
          <w:szCs w:val="26"/>
        </w:rPr>
        <w:t>John F. Coleman, Jr.</w:t>
      </w:r>
    </w:p>
    <w:p w:rsidR="006C560D" w:rsidRDefault="00020ECA" w:rsidP="00773D87">
      <w:pPr>
        <w:widowControl/>
        <w:tabs>
          <w:tab w:val="left" w:pos="391"/>
        </w:tabs>
        <w:spacing w:line="360" w:lineRule="auto"/>
        <w:rPr>
          <w:sz w:val="26"/>
          <w:szCs w:val="26"/>
        </w:rPr>
      </w:pPr>
      <w:r>
        <w:rPr>
          <w:sz w:val="26"/>
          <w:szCs w:val="26"/>
        </w:rPr>
        <w:tab/>
      </w:r>
      <w:r>
        <w:rPr>
          <w:sz w:val="26"/>
          <w:szCs w:val="26"/>
        </w:rPr>
        <w:tab/>
      </w:r>
      <w:r w:rsidR="000F0ECF" w:rsidRPr="003E5EDC">
        <w:rPr>
          <w:sz w:val="26"/>
          <w:szCs w:val="26"/>
        </w:rPr>
        <w:t>Robert F. Powelson</w:t>
      </w:r>
      <w:r w:rsidR="000F0ECF" w:rsidRPr="00062E21" w:rsidDel="000F0ECF">
        <w:rPr>
          <w:sz w:val="26"/>
          <w:szCs w:val="26"/>
        </w:rPr>
        <w:t xml:space="preserve"> </w:t>
      </w:r>
    </w:p>
    <w:p w:rsidR="00020ECA" w:rsidRPr="007C0BCF" w:rsidRDefault="00020ECA"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750"/>
        <w:gridCol w:w="3177"/>
      </w:tblGrid>
      <w:tr w:rsidR="006C560D" w:rsidRPr="007C0BCF" w:rsidTr="00292769">
        <w:trPr>
          <w:trHeight w:val="1053"/>
        </w:trPr>
        <w:tc>
          <w:tcPr>
            <w:tcW w:w="6750" w:type="dxa"/>
          </w:tcPr>
          <w:p w:rsidR="006C560D" w:rsidRPr="007C0BCF" w:rsidRDefault="00E02B28" w:rsidP="0015536F">
            <w:pPr>
              <w:widowControl/>
              <w:autoSpaceDE/>
              <w:autoSpaceDN/>
              <w:adjustRightInd/>
              <w:rPr>
                <w:color w:val="0D0D0D" w:themeColor="text1" w:themeTint="F2"/>
                <w:sz w:val="26"/>
                <w:szCs w:val="26"/>
              </w:rPr>
            </w:pPr>
            <w:r>
              <w:rPr>
                <w:color w:val="0D0D0D" w:themeColor="text1" w:themeTint="F2"/>
                <w:sz w:val="26"/>
                <w:szCs w:val="26"/>
              </w:rPr>
              <w:t>Petition of Philadelphia Gas Works</w:t>
            </w:r>
            <w:r w:rsidR="006C560D" w:rsidRPr="007C0BCF">
              <w:rPr>
                <w:color w:val="0D0D0D" w:themeColor="text1" w:themeTint="F2"/>
                <w:sz w:val="26"/>
                <w:szCs w:val="26"/>
              </w:rPr>
              <w:t xml:space="preserve"> for</w:t>
            </w:r>
            <w:r>
              <w:rPr>
                <w:color w:val="0D0D0D" w:themeColor="text1" w:themeTint="F2"/>
                <w:sz w:val="26"/>
                <w:szCs w:val="26"/>
              </w:rPr>
              <w:t xml:space="preserve"> Approval</w:t>
            </w:r>
            <w:r w:rsidR="00677F6F">
              <w:rPr>
                <w:color w:val="0D0D0D" w:themeColor="text1" w:themeTint="F2"/>
                <w:sz w:val="26"/>
                <w:szCs w:val="26"/>
              </w:rPr>
              <w:t xml:space="preserve"> of </w:t>
            </w:r>
            <w:r w:rsidR="003E5E04">
              <w:rPr>
                <w:color w:val="0D0D0D" w:themeColor="text1" w:themeTint="F2"/>
                <w:sz w:val="26"/>
                <w:szCs w:val="26"/>
              </w:rPr>
              <w:t>a</w:t>
            </w:r>
            <w:r w:rsidR="00677F6F">
              <w:rPr>
                <w:color w:val="0D0D0D" w:themeColor="text1" w:themeTint="F2"/>
                <w:sz w:val="26"/>
                <w:szCs w:val="26"/>
              </w:rPr>
              <w:t xml:space="preserve"> Modified </w:t>
            </w:r>
            <w:r w:rsidR="006C560D" w:rsidRPr="007C0BCF">
              <w:rPr>
                <w:color w:val="0D0D0D" w:themeColor="text1" w:themeTint="F2"/>
                <w:sz w:val="26"/>
                <w:szCs w:val="26"/>
              </w:rPr>
              <w:t>Long-Term Infrastructure Improvement Plan</w:t>
            </w:r>
          </w:p>
        </w:tc>
        <w:tc>
          <w:tcPr>
            <w:tcW w:w="3177" w:type="dxa"/>
          </w:tcPr>
          <w:p w:rsidR="006C560D" w:rsidRPr="00292769" w:rsidRDefault="00E02B28" w:rsidP="0015536F">
            <w:pPr>
              <w:widowControl/>
              <w:autoSpaceDE/>
              <w:autoSpaceDN/>
              <w:adjustRightInd/>
              <w:spacing w:line="360" w:lineRule="auto"/>
              <w:rPr>
                <w:color w:val="0D0D0D" w:themeColor="text1" w:themeTint="F2"/>
                <w:sz w:val="26"/>
                <w:szCs w:val="26"/>
              </w:rPr>
            </w:pPr>
            <w:r>
              <w:rPr>
                <w:color w:val="0D0D0D" w:themeColor="text1" w:themeTint="F2"/>
                <w:sz w:val="26"/>
                <w:szCs w:val="26"/>
              </w:rPr>
              <w:t>P-2012-2337737</w:t>
            </w:r>
          </w:p>
        </w:tc>
      </w:tr>
    </w:tbl>
    <w:p w:rsidR="00292769" w:rsidRDefault="00292769" w:rsidP="00773D87">
      <w:pPr>
        <w:pStyle w:val="c2"/>
        <w:widowControl/>
        <w:tabs>
          <w:tab w:val="left" w:pos="204"/>
        </w:tabs>
        <w:spacing w:line="360" w:lineRule="auto"/>
        <w:jc w:val="left"/>
        <w:outlineLvl w:val="0"/>
        <w:rPr>
          <w:b/>
          <w:sz w:val="26"/>
          <w:szCs w:val="26"/>
        </w:rPr>
      </w:pPr>
    </w:p>
    <w:p w:rsidR="00D91F34" w:rsidRDefault="00F25BC8" w:rsidP="00773D87">
      <w:pPr>
        <w:pStyle w:val="c2"/>
        <w:widowControl/>
        <w:tabs>
          <w:tab w:val="left" w:pos="204"/>
        </w:tabs>
        <w:spacing w:line="360" w:lineRule="auto"/>
        <w:outlineLvl w:val="0"/>
        <w:rPr>
          <w:b/>
          <w:sz w:val="26"/>
          <w:szCs w:val="26"/>
        </w:rPr>
      </w:pPr>
      <w:r>
        <w:rPr>
          <w:b/>
          <w:sz w:val="26"/>
          <w:szCs w:val="26"/>
        </w:rPr>
        <w:t xml:space="preserve">OPINION AND </w:t>
      </w:r>
      <w:r w:rsidR="00D91F34" w:rsidRPr="002B3E34">
        <w:rPr>
          <w:b/>
          <w:sz w:val="26"/>
          <w:szCs w:val="26"/>
        </w:rPr>
        <w:t>ORDER</w:t>
      </w:r>
    </w:p>
    <w:p w:rsidR="007F07C7" w:rsidRPr="002B3E34" w:rsidRDefault="007F07C7" w:rsidP="00773D87">
      <w:pPr>
        <w:pStyle w:val="c2"/>
        <w:widowControl/>
        <w:tabs>
          <w:tab w:val="left" w:pos="204"/>
        </w:tabs>
        <w:spacing w:line="360" w:lineRule="auto"/>
        <w:outlineLvl w:val="0"/>
        <w:rPr>
          <w:b/>
          <w:sz w:val="26"/>
          <w:szCs w:val="26"/>
        </w:rPr>
      </w:pPr>
    </w:p>
    <w:p w:rsidR="00D91F34" w:rsidRPr="002B3E34" w:rsidRDefault="001303A1" w:rsidP="00773D87">
      <w:pPr>
        <w:pStyle w:val="p4"/>
        <w:widowControl/>
        <w:spacing w:line="360" w:lineRule="auto"/>
        <w:rPr>
          <w:b/>
          <w:sz w:val="26"/>
          <w:szCs w:val="26"/>
        </w:rPr>
      </w:pPr>
      <w:r w:rsidRPr="002B3E34">
        <w:rPr>
          <w:b/>
          <w:sz w:val="26"/>
          <w:szCs w:val="26"/>
        </w:rPr>
        <w:t>BY THE COMMI</w:t>
      </w:r>
      <w:r w:rsidR="00D91F34" w:rsidRPr="002B3E34">
        <w:rPr>
          <w:b/>
          <w:sz w:val="26"/>
          <w:szCs w:val="26"/>
        </w:rPr>
        <w:t>SSION:</w:t>
      </w:r>
    </w:p>
    <w:p w:rsidR="00D91F34" w:rsidRPr="002B3E34" w:rsidRDefault="00D91F34" w:rsidP="00773D87">
      <w:pPr>
        <w:widowControl/>
        <w:tabs>
          <w:tab w:val="left" w:pos="204"/>
        </w:tabs>
        <w:spacing w:line="360" w:lineRule="auto"/>
        <w:rPr>
          <w:sz w:val="26"/>
          <w:szCs w:val="26"/>
        </w:rPr>
      </w:pPr>
    </w:p>
    <w:p w:rsidR="00A251DE" w:rsidRDefault="00A251DE" w:rsidP="00773D87">
      <w:pPr>
        <w:pStyle w:val="p2"/>
        <w:widowControl/>
        <w:spacing w:line="360" w:lineRule="auto"/>
        <w:ind w:firstLine="1440"/>
        <w:rPr>
          <w:sz w:val="26"/>
          <w:szCs w:val="26"/>
        </w:rPr>
      </w:pPr>
      <w:r w:rsidRPr="00062E21">
        <w:rPr>
          <w:sz w:val="26"/>
          <w:szCs w:val="26"/>
        </w:rPr>
        <w:t xml:space="preserve">Before the Commission for consideration </w:t>
      </w:r>
      <w:r w:rsidR="00292769">
        <w:rPr>
          <w:sz w:val="26"/>
          <w:szCs w:val="26"/>
        </w:rPr>
        <w:t>is</w:t>
      </w:r>
      <w:r w:rsidRPr="00062E21">
        <w:rPr>
          <w:sz w:val="26"/>
          <w:szCs w:val="26"/>
        </w:rPr>
        <w:t xml:space="preserve"> the Petition for </w:t>
      </w:r>
      <w:r w:rsidR="00677F6F">
        <w:rPr>
          <w:sz w:val="26"/>
          <w:szCs w:val="26"/>
        </w:rPr>
        <w:t>the approval of the modified</w:t>
      </w:r>
      <w:r w:rsidRPr="00062E21">
        <w:rPr>
          <w:sz w:val="26"/>
          <w:szCs w:val="26"/>
        </w:rPr>
        <w:t xml:space="preserve"> Long-Term Infrastructure Improvement Plan (LTIIP) </w:t>
      </w:r>
      <w:r w:rsidR="005A584D">
        <w:rPr>
          <w:sz w:val="26"/>
          <w:szCs w:val="26"/>
        </w:rPr>
        <w:t>of</w:t>
      </w:r>
      <w:r w:rsidR="005A584D" w:rsidRPr="005A584D">
        <w:rPr>
          <w:sz w:val="26"/>
          <w:szCs w:val="26"/>
        </w:rPr>
        <w:t xml:space="preserve"> </w:t>
      </w:r>
      <w:r w:rsidR="005A584D">
        <w:rPr>
          <w:sz w:val="26"/>
          <w:szCs w:val="26"/>
        </w:rPr>
        <w:t>Philadelphia Gas Works (PGW</w:t>
      </w:r>
      <w:r w:rsidR="005E772E">
        <w:rPr>
          <w:sz w:val="26"/>
          <w:szCs w:val="26"/>
        </w:rPr>
        <w:t xml:space="preserve"> or Company</w:t>
      </w:r>
      <w:r w:rsidR="005A584D">
        <w:rPr>
          <w:sz w:val="26"/>
          <w:szCs w:val="26"/>
        </w:rPr>
        <w:t>).</w:t>
      </w:r>
    </w:p>
    <w:p w:rsidR="00A251DE" w:rsidRDefault="00A251DE" w:rsidP="00773D87">
      <w:pPr>
        <w:pStyle w:val="p2"/>
        <w:widowControl/>
        <w:spacing w:line="360" w:lineRule="auto"/>
        <w:ind w:firstLine="1440"/>
        <w:rPr>
          <w:sz w:val="26"/>
          <w:szCs w:val="26"/>
        </w:rPr>
      </w:pPr>
    </w:p>
    <w:p w:rsidR="00A251DE" w:rsidRPr="00C33314" w:rsidRDefault="00A251DE" w:rsidP="00773D87">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5A584D" w:rsidRDefault="005A584D" w:rsidP="00773D87">
      <w:pPr>
        <w:pStyle w:val="p2"/>
        <w:widowControl/>
        <w:spacing w:line="360" w:lineRule="auto"/>
        <w:ind w:firstLine="1440"/>
        <w:rPr>
          <w:sz w:val="26"/>
          <w:szCs w:val="26"/>
        </w:rPr>
      </w:pPr>
    </w:p>
    <w:p w:rsidR="00474D21" w:rsidRDefault="00474D21" w:rsidP="00773D87">
      <w:pPr>
        <w:pStyle w:val="p2"/>
        <w:widowControl/>
        <w:spacing w:line="360" w:lineRule="auto"/>
        <w:ind w:firstLine="1440"/>
        <w:rPr>
          <w:sz w:val="26"/>
          <w:szCs w:val="26"/>
        </w:rPr>
      </w:pPr>
      <w:r>
        <w:rPr>
          <w:sz w:val="26"/>
          <w:szCs w:val="26"/>
        </w:rPr>
        <w:t>PGW is owned by the City of Philadelphia and is the largest municipally owned gas utility in the country.  PGW is in the business of selling and distributing natural gas to retail customers within the Commonwealth of Pennsylvania, and is therefore a “</w:t>
      </w:r>
      <w:r w:rsidR="00461BAE">
        <w:rPr>
          <w:sz w:val="26"/>
          <w:szCs w:val="26"/>
        </w:rPr>
        <w:t>city natural gas distribution operation</w:t>
      </w:r>
      <w:r>
        <w:rPr>
          <w:sz w:val="26"/>
          <w:szCs w:val="26"/>
        </w:rPr>
        <w:t xml:space="preserve">” </w:t>
      </w:r>
      <w:r w:rsidR="00461BAE">
        <w:rPr>
          <w:sz w:val="26"/>
          <w:szCs w:val="26"/>
        </w:rPr>
        <w:t xml:space="preserve">(CNGDO) </w:t>
      </w:r>
      <w:r>
        <w:rPr>
          <w:sz w:val="26"/>
          <w:szCs w:val="26"/>
        </w:rPr>
        <w:t xml:space="preserve">within the meaning of Section 102 of the Public Utility Code,  66 Pa. C.S. </w:t>
      </w:r>
      <w:r w:rsidRPr="002B3E34">
        <w:rPr>
          <w:iCs/>
          <w:sz w:val="26"/>
          <w:szCs w:val="26"/>
        </w:rPr>
        <w:t>§§</w:t>
      </w:r>
      <w:r>
        <w:rPr>
          <w:sz w:val="26"/>
          <w:szCs w:val="26"/>
        </w:rPr>
        <w:t xml:space="preserve"> 102, subject to the regulatory </w:t>
      </w:r>
      <w:r>
        <w:rPr>
          <w:sz w:val="26"/>
          <w:szCs w:val="26"/>
        </w:rPr>
        <w:lastRenderedPageBreak/>
        <w:t xml:space="preserve">jurisdiction of the Commission.  </w:t>
      </w:r>
      <w:r w:rsidR="00461BAE" w:rsidRPr="00461BAE">
        <w:rPr>
          <w:i/>
          <w:sz w:val="26"/>
          <w:szCs w:val="26"/>
        </w:rPr>
        <w:t>See also</w:t>
      </w:r>
      <w:r w:rsidR="00461BAE">
        <w:rPr>
          <w:sz w:val="26"/>
          <w:szCs w:val="26"/>
        </w:rPr>
        <w:t xml:space="preserve"> 66 Pa. C.S. </w:t>
      </w:r>
      <w:r w:rsidR="00461BAE" w:rsidRPr="002B3E34">
        <w:rPr>
          <w:iCs/>
          <w:sz w:val="26"/>
          <w:szCs w:val="26"/>
        </w:rPr>
        <w:t>§</w:t>
      </w:r>
      <w:r w:rsidR="00461BAE">
        <w:rPr>
          <w:iCs/>
          <w:sz w:val="26"/>
          <w:szCs w:val="26"/>
        </w:rPr>
        <w:t xml:space="preserve"> 2212, relating to city natural gas distribution operations. </w:t>
      </w:r>
      <w:r w:rsidR="00461BAE">
        <w:rPr>
          <w:sz w:val="26"/>
          <w:szCs w:val="26"/>
        </w:rPr>
        <w:t xml:space="preserve"> </w:t>
      </w:r>
      <w:r>
        <w:rPr>
          <w:sz w:val="26"/>
          <w:szCs w:val="26"/>
        </w:rPr>
        <w:t>PGW manages a distribution system of approximately 6,000</w:t>
      </w:r>
      <w:r w:rsidR="0015536F">
        <w:rPr>
          <w:sz w:val="26"/>
          <w:szCs w:val="26"/>
        </w:rPr>
        <w:t> </w:t>
      </w:r>
      <w:r>
        <w:rPr>
          <w:sz w:val="26"/>
          <w:szCs w:val="26"/>
        </w:rPr>
        <w:t>miles of gas mains and service lines</w:t>
      </w:r>
      <w:r w:rsidR="0043046A">
        <w:rPr>
          <w:sz w:val="26"/>
          <w:szCs w:val="26"/>
        </w:rPr>
        <w:t xml:space="preserve"> </w:t>
      </w:r>
      <w:r>
        <w:rPr>
          <w:sz w:val="26"/>
          <w:szCs w:val="26"/>
        </w:rPr>
        <w:t>supplying approximately 500,000 customers.</w:t>
      </w:r>
      <w:r w:rsidR="00677F6F" w:rsidRPr="00677F6F">
        <w:rPr>
          <w:rStyle w:val="FootnoteReference"/>
          <w:sz w:val="26"/>
          <w:szCs w:val="26"/>
        </w:rPr>
        <w:t xml:space="preserve"> </w:t>
      </w:r>
      <w:r w:rsidR="00677F6F">
        <w:rPr>
          <w:rStyle w:val="FootnoteReference"/>
          <w:sz w:val="26"/>
          <w:szCs w:val="26"/>
        </w:rPr>
        <w:footnoteReference w:id="1"/>
      </w:r>
    </w:p>
    <w:p w:rsidR="00474D21" w:rsidRDefault="00474D21" w:rsidP="00773D87">
      <w:pPr>
        <w:pStyle w:val="p2"/>
        <w:widowControl/>
        <w:spacing w:line="360" w:lineRule="auto"/>
        <w:ind w:firstLine="1440"/>
        <w:rPr>
          <w:sz w:val="26"/>
          <w:szCs w:val="26"/>
        </w:rPr>
      </w:pPr>
    </w:p>
    <w:p w:rsidR="00292769" w:rsidRDefault="00677F6F" w:rsidP="00773D87">
      <w:pPr>
        <w:pStyle w:val="p2"/>
        <w:widowControl/>
        <w:spacing w:line="360" w:lineRule="auto"/>
        <w:ind w:firstLine="1440"/>
        <w:rPr>
          <w:sz w:val="26"/>
          <w:szCs w:val="26"/>
        </w:rPr>
      </w:pPr>
      <w:r>
        <w:rPr>
          <w:sz w:val="26"/>
          <w:szCs w:val="26"/>
        </w:rPr>
        <w:t xml:space="preserve">PGW’s original </w:t>
      </w:r>
      <w:r w:rsidR="00E040F0">
        <w:rPr>
          <w:sz w:val="26"/>
          <w:szCs w:val="26"/>
        </w:rPr>
        <w:t xml:space="preserve">LTIIP </w:t>
      </w:r>
      <w:r w:rsidR="008959A6">
        <w:rPr>
          <w:sz w:val="26"/>
          <w:szCs w:val="26"/>
        </w:rPr>
        <w:t xml:space="preserve">Petition </w:t>
      </w:r>
      <w:r w:rsidR="00E040F0">
        <w:rPr>
          <w:sz w:val="26"/>
          <w:szCs w:val="26"/>
        </w:rPr>
        <w:t xml:space="preserve">was filed on </w:t>
      </w:r>
      <w:r w:rsidR="00781885">
        <w:rPr>
          <w:sz w:val="26"/>
          <w:szCs w:val="26"/>
        </w:rPr>
        <w:t>December 3</w:t>
      </w:r>
      <w:r w:rsidR="00E040F0">
        <w:rPr>
          <w:sz w:val="26"/>
          <w:szCs w:val="26"/>
        </w:rPr>
        <w:t>, 2012</w:t>
      </w:r>
      <w:r>
        <w:rPr>
          <w:sz w:val="26"/>
          <w:szCs w:val="26"/>
        </w:rPr>
        <w:t>, and approved on April 4, 2013</w:t>
      </w:r>
      <w:r w:rsidR="005419E9">
        <w:rPr>
          <w:sz w:val="26"/>
          <w:szCs w:val="26"/>
        </w:rPr>
        <w:t>.</w:t>
      </w:r>
      <w:r>
        <w:rPr>
          <w:rStyle w:val="FootnoteReference"/>
          <w:sz w:val="26"/>
          <w:szCs w:val="26"/>
        </w:rPr>
        <w:footnoteReference w:id="2"/>
      </w:r>
      <w:r w:rsidR="00E040F0">
        <w:rPr>
          <w:sz w:val="26"/>
          <w:szCs w:val="26"/>
        </w:rPr>
        <w:t xml:space="preserve"> </w:t>
      </w:r>
      <w:r w:rsidR="005419E9">
        <w:rPr>
          <w:sz w:val="26"/>
          <w:szCs w:val="26"/>
        </w:rPr>
        <w:t xml:space="preserve"> </w:t>
      </w:r>
      <w:r w:rsidR="00292769">
        <w:rPr>
          <w:sz w:val="26"/>
          <w:szCs w:val="26"/>
        </w:rPr>
        <w:t xml:space="preserve">On February 12, 2016, PGW filed a Petition </w:t>
      </w:r>
      <w:r>
        <w:rPr>
          <w:sz w:val="26"/>
          <w:szCs w:val="26"/>
        </w:rPr>
        <w:t>for approval of a modified LTIIP.</w:t>
      </w:r>
      <w:r w:rsidR="00292769">
        <w:rPr>
          <w:sz w:val="26"/>
          <w:szCs w:val="26"/>
        </w:rPr>
        <w:t xml:space="preserve"> </w:t>
      </w:r>
      <w:r w:rsidR="00BA70E9">
        <w:rPr>
          <w:sz w:val="26"/>
          <w:szCs w:val="26"/>
        </w:rPr>
        <w:t xml:space="preserve"> </w:t>
      </w:r>
      <w:r w:rsidR="00292769" w:rsidRPr="00062E21">
        <w:rPr>
          <w:sz w:val="26"/>
          <w:szCs w:val="26"/>
        </w:rPr>
        <w:t>Copies of the Petition were served on the statutory advocates as well as the active</w:t>
      </w:r>
      <w:r w:rsidR="00292769">
        <w:rPr>
          <w:sz w:val="26"/>
          <w:szCs w:val="26"/>
        </w:rPr>
        <w:t xml:space="preserve"> parties in PGW’s most recent</w:t>
      </w:r>
      <w:r w:rsidR="00292769" w:rsidRPr="00062E21">
        <w:rPr>
          <w:sz w:val="26"/>
          <w:szCs w:val="26"/>
        </w:rPr>
        <w:t xml:space="preserve"> base rate case proceeding, docketed at R</w:t>
      </w:r>
      <w:r w:rsidR="00292769">
        <w:rPr>
          <w:sz w:val="26"/>
          <w:szCs w:val="26"/>
        </w:rPr>
        <w:noBreakHyphen/>
        <w:t>2009</w:t>
      </w:r>
      <w:r w:rsidR="00292769">
        <w:rPr>
          <w:sz w:val="26"/>
          <w:szCs w:val="26"/>
        </w:rPr>
        <w:noBreakHyphen/>
        <w:t>2139884</w:t>
      </w:r>
      <w:r w:rsidR="0075572A">
        <w:rPr>
          <w:sz w:val="26"/>
          <w:szCs w:val="26"/>
        </w:rPr>
        <w:t>.</w:t>
      </w:r>
    </w:p>
    <w:p w:rsidR="00292769" w:rsidRDefault="00292769" w:rsidP="00773D87">
      <w:pPr>
        <w:pStyle w:val="p2"/>
        <w:widowControl/>
        <w:spacing w:line="360" w:lineRule="auto"/>
        <w:ind w:firstLine="1440"/>
        <w:rPr>
          <w:sz w:val="26"/>
          <w:szCs w:val="26"/>
        </w:rPr>
      </w:pPr>
    </w:p>
    <w:p w:rsidR="00292769" w:rsidRDefault="00AA478F" w:rsidP="00773D87">
      <w:pPr>
        <w:pStyle w:val="p2"/>
        <w:widowControl/>
        <w:spacing w:line="360" w:lineRule="auto"/>
        <w:ind w:firstLine="1440"/>
        <w:rPr>
          <w:sz w:val="26"/>
          <w:szCs w:val="26"/>
        </w:rPr>
      </w:pPr>
      <w:r>
        <w:rPr>
          <w:sz w:val="26"/>
          <w:szCs w:val="26"/>
        </w:rPr>
        <w:t xml:space="preserve">On March 14, 2016, </w:t>
      </w:r>
      <w:r w:rsidR="0075572A">
        <w:rPr>
          <w:sz w:val="26"/>
          <w:szCs w:val="26"/>
        </w:rPr>
        <w:t>the Office of Consumer Advocate (OCA)</w:t>
      </w:r>
      <w:r>
        <w:rPr>
          <w:sz w:val="26"/>
          <w:szCs w:val="26"/>
        </w:rPr>
        <w:t xml:space="preserve"> filed </w:t>
      </w:r>
      <w:r w:rsidR="0075572A">
        <w:rPr>
          <w:sz w:val="26"/>
          <w:szCs w:val="26"/>
        </w:rPr>
        <w:t>comments.  The OCA Comments</w:t>
      </w:r>
      <w:r>
        <w:rPr>
          <w:sz w:val="26"/>
          <w:szCs w:val="26"/>
        </w:rPr>
        <w:t xml:space="preserve"> suggested that PGW should file additional information to assist the </w:t>
      </w:r>
      <w:r w:rsidR="0075572A">
        <w:rPr>
          <w:sz w:val="26"/>
          <w:szCs w:val="26"/>
        </w:rPr>
        <w:t>Commission in evaluating PGW’s m</w:t>
      </w:r>
      <w:r>
        <w:rPr>
          <w:sz w:val="26"/>
          <w:szCs w:val="26"/>
        </w:rPr>
        <w:t>odified LTIIP.</w:t>
      </w:r>
      <w:r w:rsidR="00951D28">
        <w:rPr>
          <w:sz w:val="26"/>
          <w:szCs w:val="26"/>
        </w:rPr>
        <w:t xml:space="preserve">  Based on OCA’s Comments</w:t>
      </w:r>
      <w:r w:rsidR="00BA70E9" w:rsidRPr="00BA70E9">
        <w:rPr>
          <w:sz w:val="26"/>
          <w:szCs w:val="26"/>
        </w:rPr>
        <w:t xml:space="preserve"> </w:t>
      </w:r>
      <w:r w:rsidR="00BA70E9">
        <w:rPr>
          <w:sz w:val="26"/>
          <w:szCs w:val="26"/>
        </w:rPr>
        <w:t>and in response to a request from Commission staff</w:t>
      </w:r>
      <w:r w:rsidR="00951D28">
        <w:rPr>
          <w:sz w:val="26"/>
          <w:szCs w:val="26"/>
        </w:rPr>
        <w:t xml:space="preserve">, PGW filed this </w:t>
      </w:r>
      <w:r w:rsidR="00BA70E9">
        <w:rPr>
          <w:sz w:val="26"/>
          <w:szCs w:val="26"/>
        </w:rPr>
        <w:t xml:space="preserve">additional </w:t>
      </w:r>
      <w:r w:rsidR="00951D28">
        <w:rPr>
          <w:sz w:val="26"/>
          <w:szCs w:val="26"/>
        </w:rPr>
        <w:t>information on April 25, 2016</w:t>
      </w:r>
      <w:r w:rsidR="00BA70E9">
        <w:rPr>
          <w:sz w:val="26"/>
          <w:szCs w:val="26"/>
        </w:rPr>
        <w:t>.</w:t>
      </w:r>
      <w:r w:rsidR="00951D28">
        <w:rPr>
          <w:sz w:val="26"/>
          <w:szCs w:val="26"/>
        </w:rPr>
        <w:t xml:space="preserve"> </w:t>
      </w:r>
    </w:p>
    <w:p w:rsidR="00CD3342" w:rsidRPr="00042915" w:rsidRDefault="00CD3342" w:rsidP="00773D87">
      <w:pPr>
        <w:pStyle w:val="p2"/>
        <w:widowControl/>
        <w:spacing w:line="360" w:lineRule="auto"/>
        <w:ind w:firstLine="0"/>
        <w:rPr>
          <w:sz w:val="26"/>
          <w:szCs w:val="26"/>
        </w:rPr>
      </w:pPr>
    </w:p>
    <w:p w:rsidR="00E040F0" w:rsidRDefault="00FB317A" w:rsidP="00F73DF5">
      <w:pPr>
        <w:pStyle w:val="p2"/>
        <w:keepNext/>
        <w:widowControl/>
        <w:spacing w:line="360" w:lineRule="auto"/>
        <w:ind w:firstLine="0"/>
        <w:jc w:val="center"/>
        <w:rPr>
          <w:b/>
          <w:sz w:val="26"/>
          <w:szCs w:val="26"/>
        </w:rPr>
      </w:pPr>
      <w:r>
        <w:rPr>
          <w:b/>
          <w:sz w:val="26"/>
          <w:szCs w:val="26"/>
        </w:rPr>
        <w:t>BACKGROUND</w:t>
      </w:r>
    </w:p>
    <w:p w:rsidR="00E040F0" w:rsidRDefault="00E040F0" w:rsidP="00F73DF5">
      <w:pPr>
        <w:pStyle w:val="p2"/>
        <w:keepNext/>
        <w:widowControl/>
        <w:ind w:firstLine="0"/>
        <w:jc w:val="center"/>
        <w:rPr>
          <w:b/>
          <w:sz w:val="26"/>
          <w:szCs w:val="26"/>
        </w:rPr>
      </w:pPr>
    </w:p>
    <w:p w:rsidR="00677F6F" w:rsidRDefault="00677F6F" w:rsidP="00677F6F">
      <w:pPr>
        <w:pStyle w:val="p2"/>
        <w:widowControl/>
        <w:spacing w:line="360" w:lineRule="auto"/>
        <w:ind w:firstLine="720"/>
        <w:rPr>
          <w:sz w:val="26"/>
          <w:szCs w:val="26"/>
        </w:rPr>
      </w:pPr>
      <w:r>
        <w:rPr>
          <w:sz w:val="26"/>
          <w:szCs w:val="26"/>
        </w:rPr>
        <w:tab/>
      </w:r>
      <w:r w:rsidRPr="003E5EDC">
        <w:rPr>
          <w:sz w:val="26"/>
          <w:szCs w:val="26"/>
        </w:rPr>
        <w:t>On February 14, 2012,</w:t>
      </w:r>
      <w:r w:rsidRPr="003E5EDC">
        <w:rPr>
          <w:b/>
          <w:sz w:val="26"/>
          <w:szCs w:val="26"/>
        </w:rPr>
        <w:t xml:space="preserve"> </w:t>
      </w:r>
      <w:r w:rsidRPr="003E5EDC">
        <w:rPr>
          <w:sz w:val="26"/>
          <w:szCs w:val="26"/>
        </w:rPr>
        <w:t xml:space="preserve">Governor </w:t>
      </w:r>
      <w:r>
        <w:rPr>
          <w:sz w:val="26"/>
          <w:szCs w:val="26"/>
        </w:rPr>
        <w:t xml:space="preserve">Thomas Wingett </w:t>
      </w:r>
      <w:r w:rsidRPr="003E5EDC">
        <w:rPr>
          <w:sz w:val="26"/>
          <w:szCs w:val="26"/>
        </w:rPr>
        <w:t>Corbett signed into law</w:t>
      </w:r>
      <w:r w:rsidRPr="003E5EDC">
        <w:rPr>
          <w:b/>
          <w:sz w:val="26"/>
          <w:szCs w:val="26"/>
        </w:rPr>
        <w:t xml:space="preserve"> </w:t>
      </w:r>
      <w:r w:rsidRPr="003E5EDC">
        <w:rPr>
          <w:sz w:val="26"/>
          <w:szCs w:val="26"/>
        </w:rPr>
        <w:t>Act 11 of</w:t>
      </w:r>
      <w:r>
        <w:rPr>
          <w:sz w:val="26"/>
          <w:szCs w:val="26"/>
        </w:rPr>
        <w:t> </w:t>
      </w:r>
      <w:r w:rsidRPr="003E5EDC">
        <w:rPr>
          <w:sz w:val="26"/>
          <w:szCs w:val="26"/>
        </w:rPr>
        <w:t>2012</w:t>
      </w:r>
      <w:r>
        <w:rPr>
          <w:sz w:val="26"/>
          <w:szCs w:val="26"/>
        </w:rPr>
        <w:t> </w:t>
      </w:r>
      <w:r w:rsidRPr="003E5EDC">
        <w:rPr>
          <w:sz w:val="26"/>
          <w:szCs w:val="26"/>
        </w:rPr>
        <w:t>(Act 11),</w:t>
      </w:r>
      <w:r w:rsidRPr="003E5EDC">
        <w:rPr>
          <w:rStyle w:val="FootnoteReference"/>
          <w:sz w:val="26"/>
          <w:szCs w:val="26"/>
        </w:rPr>
        <w:footnoteReference w:id="3"/>
      </w:r>
      <w:r w:rsidRPr="003E5EDC">
        <w:rPr>
          <w:sz w:val="26"/>
          <w:szCs w:val="26"/>
        </w:rPr>
        <w:t xml:space="preserve"> which amends Chapters 3, 13 and 33 of Title 66.  Act 11, </w:t>
      </w:r>
      <w:r w:rsidRPr="003E5EDC">
        <w:rPr>
          <w:i/>
          <w:sz w:val="26"/>
          <w:szCs w:val="26"/>
        </w:rPr>
        <w:t>inter alia</w:t>
      </w:r>
      <w:r w:rsidRPr="003E5EDC">
        <w:rPr>
          <w:sz w:val="26"/>
          <w:szCs w:val="26"/>
        </w:rPr>
        <w:t xml:space="preserve">, provides utilities with the ability to implement a Distribution System Improvement Charge (DSIC) to recover reasonable and prudent costs incurred to repair improve or replace certain eligible distribution property that is part of the utility’s distribution system.  The eligible property for the utilities is defined in 66 Pa. C.S. </w:t>
      </w:r>
      <w:r w:rsidRPr="003E5EDC">
        <w:rPr>
          <w:iCs/>
          <w:sz w:val="26"/>
          <w:szCs w:val="26"/>
        </w:rPr>
        <w:t>§</w:t>
      </w:r>
      <w:r w:rsidRPr="003E5EDC">
        <w:rPr>
          <w:sz w:val="26"/>
          <w:szCs w:val="26"/>
        </w:rPr>
        <w:t>1351.  Act 11 states that as a precondition to the implementation of a DSIC, a utility must file a</w:t>
      </w:r>
      <w:r>
        <w:rPr>
          <w:sz w:val="26"/>
          <w:szCs w:val="26"/>
        </w:rPr>
        <w:t>n</w:t>
      </w:r>
      <w:r w:rsidRPr="003E5EDC">
        <w:rPr>
          <w:sz w:val="26"/>
          <w:szCs w:val="26"/>
        </w:rPr>
        <w:t xml:space="preserve"> </w:t>
      </w:r>
      <w:r w:rsidRPr="0093279C">
        <w:rPr>
          <w:sz w:val="26"/>
          <w:szCs w:val="26"/>
        </w:rPr>
        <w:t>LTIIP</w:t>
      </w:r>
      <w:r w:rsidRPr="003E5EDC">
        <w:rPr>
          <w:sz w:val="26"/>
          <w:szCs w:val="26"/>
        </w:rPr>
        <w:t xml:space="preserve"> </w:t>
      </w:r>
      <w:r w:rsidRPr="003E5EDC">
        <w:rPr>
          <w:sz w:val="26"/>
          <w:szCs w:val="26"/>
        </w:rPr>
        <w:lastRenderedPageBreak/>
        <w:t xml:space="preserve">with the Commission that is consistent with 66 Pa. C.S. </w:t>
      </w:r>
      <w:r w:rsidRPr="003E5EDC">
        <w:rPr>
          <w:iCs/>
          <w:sz w:val="26"/>
          <w:szCs w:val="26"/>
        </w:rPr>
        <w:t>§</w:t>
      </w:r>
      <w:r w:rsidRPr="003E5EDC">
        <w:rPr>
          <w:sz w:val="26"/>
          <w:szCs w:val="26"/>
        </w:rPr>
        <w:t xml:space="preserve">1352.  </w:t>
      </w:r>
      <w:r>
        <w:rPr>
          <w:sz w:val="26"/>
          <w:szCs w:val="26"/>
        </w:rPr>
        <w:t xml:space="preserve">The Commission’s </w:t>
      </w:r>
      <w:r w:rsidRPr="0093279C">
        <w:rPr>
          <w:sz w:val="26"/>
          <w:szCs w:val="26"/>
        </w:rPr>
        <w:t>LTIIP</w:t>
      </w:r>
      <w:r>
        <w:rPr>
          <w:sz w:val="26"/>
          <w:szCs w:val="26"/>
        </w:rPr>
        <w:t xml:space="preserve"> Regulations are codified at 52 Pa. Code Chapter 121.</w:t>
      </w:r>
    </w:p>
    <w:p w:rsidR="00CD4E15" w:rsidRDefault="00CD4E15" w:rsidP="00CD4E15">
      <w:pPr>
        <w:pStyle w:val="p7"/>
        <w:widowControl/>
        <w:tabs>
          <w:tab w:val="clear" w:pos="782"/>
          <w:tab w:val="clear" w:pos="1133"/>
          <w:tab w:val="left" w:pos="720"/>
          <w:tab w:val="left" w:pos="1440"/>
          <w:tab w:val="left" w:pos="1530"/>
        </w:tabs>
        <w:spacing w:line="360" w:lineRule="auto"/>
        <w:ind w:left="0" w:firstLine="0"/>
        <w:rPr>
          <w:sz w:val="26"/>
          <w:szCs w:val="26"/>
        </w:rPr>
      </w:pPr>
    </w:p>
    <w:p w:rsidR="00CD4E15" w:rsidRDefault="00CD4E15" w:rsidP="00CD4E15">
      <w:pPr>
        <w:pStyle w:val="p7"/>
        <w:widowControl/>
        <w:tabs>
          <w:tab w:val="clear" w:pos="782"/>
          <w:tab w:val="clear" w:pos="1133"/>
          <w:tab w:val="left" w:pos="720"/>
          <w:tab w:val="left" w:pos="1440"/>
          <w:tab w:val="left" w:pos="1530"/>
        </w:tabs>
        <w:spacing w:line="360" w:lineRule="auto"/>
        <w:ind w:left="0" w:firstLine="0"/>
        <w:rPr>
          <w:sz w:val="26"/>
          <w:szCs w:val="26"/>
        </w:rPr>
      </w:pPr>
      <w:r>
        <w:rPr>
          <w:sz w:val="26"/>
          <w:szCs w:val="26"/>
        </w:rPr>
        <w:tab/>
      </w:r>
      <w:r>
        <w:rPr>
          <w:sz w:val="26"/>
          <w:szCs w:val="26"/>
        </w:rPr>
        <w:tab/>
      </w:r>
      <w:r w:rsidR="008F0FE4">
        <w:rPr>
          <w:sz w:val="26"/>
          <w:szCs w:val="26"/>
        </w:rPr>
        <w:t>PGW’s</w:t>
      </w:r>
      <w:r w:rsidR="008F0FE4" w:rsidRPr="008F0FE4">
        <w:rPr>
          <w:sz w:val="26"/>
          <w:szCs w:val="26"/>
        </w:rPr>
        <w:t xml:space="preserve"> current</w:t>
      </w:r>
      <w:r w:rsidR="00BA70E9">
        <w:rPr>
          <w:sz w:val="26"/>
          <w:szCs w:val="26"/>
        </w:rPr>
        <w:t xml:space="preserve">ly approved </w:t>
      </w:r>
      <w:r w:rsidR="008F0FE4" w:rsidRPr="008F0FE4">
        <w:rPr>
          <w:sz w:val="26"/>
          <w:szCs w:val="26"/>
        </w:rPr>
        <w:t xml:space="preserve">LTIIP addressed the </w:t>
      </w:r>
      <w:r w:rsidR="008F0FE4">
        <w:rPr>
          <w:sz w:val="26"/>
          <w:szCs w:val="26"/>
        </w:rPr>
        <w:t>required</w:t>
      </w:r>
      <w:r w:rsidR="008F0FE4" w:rsidRPr="008F0FE4">
        <w:rPr>
          <w:sz w:val="26"/>
          <w:szCs w:val="26"/>
        </w:rPr>
        <w:t xml:space="preserve"> elements of an LTIIP</w:t>
      </w:r>
      <w:r w:rsidR="008F0FE4">
        <w:rPr>
          <w:sz w:val="26"/>
          <w:szCs w:val="26"/>
        </w:rPr>
        <w:t xml:space="preserve"> at the time</w:t>
      </w:r>
      <w:r w:rsidR="00BA70E9">
        <w:rPr>
          <w:sz w:val="26"/>
          <w:szCs w:val="26"/>
        </w:rPr>
        <w:t xml:space="preserve"> it was approved</w:t>
      </w:r>
      <w:r w:rsidR="008F0FE4" w:rsidRPr="008F0FE4">
        <w:rPr>
          <w:sz w:val="26"/>
          <w:szCs w:val="26"/>
        </w:rPr>
        <w:t>.  Therefore, we will only discuss the proposed changes from the current</w:t>
      </w:r>
      <w:r w:rsidR="00BA70E9">
        <w:rPr>
          <w:sz w:val="26"/>
          <w:szCs w:val="26"/>
        </w:rPr>
        <w:t>ly approved</w:t>
      </w:r>
      <w:r w:rsidR="008F0FE4" w:rsidRPr="008F0FE4">
        <w:rPr>
          <w:sz w:val="26"/>
          <w:szCs w:val="26"/>
        </w:rPr>
        <w:t xml:space="preserve"> LTIIP to the instant </w:t>
      </w:r>
      <w:r w:rsidR="008F0FE4">
        <w:rPr>
          <w:sz w:val="26"/>
          <w:szCs w:val="26"/>
        </w:rPr>
        <w:t>modified</w:t>
      </w:r>
      <w:r w:rsidR="008F0FE4" w:rsidRPr="008F0FE4">
        <w:rPr>
          <w:sz w:val="26"/>
          <w:szCs w:val="26"/>
        </w:rPr>
        <w:t xml:space="preserve"> LTIIP</w:t>
      </w:r>
      <w:r w:rsidR="0015684E">
        <w:rPr>
          <w:sz w:val="26"/>
          <w:szCs w:val="26"/>
        </w:rPr>
        <w:t>.</w:t>
      </w:r>
      <w:r w:rsidR="00677F6F">
        <w:rPr>
          <w:sz w:val="26"/>
          <w:szCs w:val="26"/>
        </w:rPr>
        <w:t xml:space="preserve">  </w:t>
      </w:r>
    </w:p>
    <w:p w:rsidR="00CD4E15" w:rsidRPr="0077455C" w:rsidRDefault="00CD4E15"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rsidR="00317589" w:rsidRPr="00317589" w:rsidRDefault="0077455C" w:rsidP="00773D87">
      <w:pPr>
        <w:pStyle w:val="p2"/>
        <w:widowControl/>
        <w:spacing w:line="360" w:lineRule="auto"/>
        <w:ind w:firstLine="0"/>
        <w:jc w:val="center"/>
        <w:rPr>
          <w:b/>
          <w:sz w:val="26"/>
          <w:szCs w:val="26"/>
        </w:rPr>
      </w:pPr>
      <w:r>
        <w:rPr>
          <w:b/>
          <w:sz w:val="26"/>
          <w:szCs w:val="26"/>
        </w:rPr>
        <w:t xml:space="preserve">PGW’S </w:t>
      </w:r>
      <w:r w:rsidR="00677F6F">
        <w:rPr>
          <w:b/>
          <w:sz w:val="26"/>
          <w:szCs w:val="26"/>
        </w:rPr>
        <w:t xml:space="preserve">MODIFIED </w:t>
      </w:r>
      <w:r>
        <w:rPr>
          <w:b/>
          <w:sz w:val="26"/>
          <w:szCs w:val="26"/>
        </w:rPr>
        <w:t>LTIIP PETITION</w:t>
      </w:r>
    </w:p>
    <w:p w:rsidR="00317589" w:rsidRPr="00317589" w:rsidRDefault="00317589" w:rsidP="00773D87">
      <w:pPr>
        <w:pStyle w:val="p2"/>
        <w:widowControl/>
        <w:spacing w:line="360" w:lineRule="auto"/>
        <w:ind w:firstLine="0"/>
        <w:rPr>
          <w:b/>
          <w:sz w:val="26"/>
          <w:szCs w:val="26"/>
        </w:rPr>
      </w:pPr>
    </w:p>
    <w:p w:rsidR="0077455C" w:rsidRDefault="0077455C" w:rsidP="00773D87">
      <w:pPr>
        <w:pStyle w:val="p2"/>
        <w:widowControl/>
        <w:spacing w:line="360" w:lineRule="auto"/>
        <w:ind w:firstLine="1440"/>
        <w:rPr>
          <w:sz w:val="26"/>
          <w:szCs w:val="26"/>
        </w:rPr>
      </w:pPr>
      <w:r>
        <w:rPr>
          <w:sz w:val="26"/>
          <w:szCs w:val="26"/>
        </w:rPr>
        <w:tab/>
      </w:r>
      <w:r w:rsidR="002B1C70">
        <w:rPr>
          <w:sz w:val="26"/>
          <w:szCs w:val="26"/>
        </w:rPr>
        <w:t xml:space="preserve">PGW’s </w:t>
      </w:r>
      <w:r w:rsidR="00677F6F">
        <w:rPr>
          <w:sz w:val="26"/>
          <w:szCs w:val="26"/>
        </w:rPr>
        <w:t xml:space="preserve">original </w:t>
      </w:r>
      <w:r w:rsidR="002B1C70">
        <w:rPr>
          <w:sz w:val="26"/>
          <w:szCs w:val="26"/>
        </w:rPr>
        <w:t>LTIIP is a five year plan</w:t>
      </w:r>
      <w:r w:rsidR="008F0FE4">
        <w:rPr>
          <w:sz w:val="26"/>
          <w:szCs w:val="26"/>
        </w:rPr>
        <w:t xml:space="preserve"> </w:t>
      </w:r>
      <w:r w:rsidR="00677F6F">
        <w:rPr>
          <w:sz w:val="26"/>
          <w:szCs w:val="26"/>
        </w:rPr>
        <w:t>that</w:t>
      </w:r>
      <w:r w:rsidR="00CD4E15">
        <w:rPr>
          <w:sz w:val="26"/>
          <w:szCs w:val="26"/>
        </w:rPr>
        <w:t xml:space="preserve"> ends on August 31, 2017</w:t>
      </w:r>
      <w:r w:rsidR="00677F6F">
        <w:rPr>
          <w:sz w:val="26"/>
          <w:szCs w:val="26"/>
        </w:rPr>
        <w:t>, which is the end of PGW’s fiscal year</w:t>
      </w:r>
      <w:r>
        <w:rPr>
          <w:sz w:val="26"/>
          <w:szCs w:val="26"/>
        </w:rPr>
        <w:t xml:space="preserve">.  </w:t>
      </w:r>
      <w:r w:rsidR="00CD4E15">
        <w:rPr>
          <w:sz w:val="26"/>
          <w:szCs w:val="26"/>
        </w:rPr>
        <w:t xml:space="preserve">The changes proposed </w:t>
      </w:r>
      <w:r w:rsidR="00677F6F">
        <w:rPr>
          <w:sz w:val="26"/>
          <w:szCs w:val="26"/>
        </w:rPr>
        <w:t xml:space="preserve">in the modified LTIIP </w:t>
      </w:r>
      <w:r w:rsidR="00CD4E15">
        <w:rPr>
          <w:sz w:val="26"/>
          <w:szCs w:val="26"/>
        </w:rPr>
        <w:t>are intended to accelerate the replacement of at-risk mains, reduce overall risk to PGW’s gas distribution system</w:t>
      </w:r>
      <w:r w:rsidR="00677F6F">
        <w:rPr>
          <w:sz w:val="26"/>
          <w:szCs w:val="26"/>
        </w:rPr>
        <w:t xml:space="preserve">, </w:t>
      </w:r>
      <w:r w:rsidR="00CD4E15">
        <w:rPr>
          <w:sz w:val="26"/>
          <w:szCs w:val="26"/>
        </w:rPr>
        <w:t xml:space="preserve">and </w:t>
      </w:r>
      <w:r w:rsidR="00677F6F">
        <w:rPr>
          <w:sz w:val="26"/>
          <w:szCs w:val="26"/>
        </w:rPr>
        <w:t xml:space="preserve">to </w:t>
      </w:r>
      <w:r w:rsidR="00CD4E15">
        <w:rPr>
          <w:sz w:val="26"/>
          <w:szCs w:val="26"/>
        </w:rPr>
        <w:t>enhance reliability</w:t>
      </w:r>
      <w:r w:rsidR="00677F6F">
        <w:rPr>
          <w:sz w:val="26"/>
          <w:szCs w:val="26"/>
        </w:rPr>
        <w:t>.</w:t>
      </w:r>
      <w:r w:rsidR="00677F6F" w:rsidRPr="00677F6F">
        <w:rPr>
          <w:rStyle w:val="FootnoteReference"/>
          <w:sz w:val="26"/>
          <w:szCs w:val="26"/>
        </w:rPr>
        <w:t xml:space="preserve"> </w:t>
      </w:r>
      <w:r w:rsidR="00677F6F">
        <w:rPr>
          <w:rStyle w:val="FootnoteReference"/>
          <w:sz w:val="26"/>
          <w:szCs w:val="26"/>
        </w:rPr>
        <w:footnoteReference w:id="4"/>
      </w:r>
      <w:r w:rsidR="00677F6F">
        <w:rPr>
          <w:sz w:val="26"/>
          <w:szCs w:val="26"/>
        </w:rPr>
        <w:t xml:space="preserve"> </w:t>
      </w:r>
      <w:r w:rsidR="00CD4E15">
        <w:rPr>
          <w:sz w:val="26"/>
          <w:szCs w:val="26"/>
        </w:rPr>
        <w:t xml:space="preserve"> </w:t>
      </w:r>
      <w:r w:rsidR="00677F6F">
        <w:rPr>
          <w:sz w:val="26"/>
          <w:szCs w:val="26"/>
        </w:rPr>
        <w:t>The modified LTIIP is also designed to</w:t>
      </w:r>
      <w:r w:rsidR="00FD03A8">
        <w:rPr>
          <w:sz w:val="26"/>
          <w:szCs w:val="26"/>
        </w:rPr>
        <w:t xml:space="preserve"> comply with</w:t>
      </w:r>
      <w:r w:rsidR="00CD4E15">
        <w:rPr>
          <w:sz w:val="26"/>
          <w:szCs w:val="26"/>
        </w:rPr>
        <w:t xml:space="preserve"> </w:t>
      </w:r>
      <w:r w:rsidR="00C61EA4">
        <w:rPr>
          <w:sz w:val="26"/>
          <w:szCs w:val="26"/>
        </w:rPr>
        <w:t xml:space="preserve">Ordering Paragraph 8(a) </w:t>
      </w:r>
      <w:r w:rsidR="0075572A">
        <w:rPr>
          <w:sz w:val="26"/>
          <w:szCs w:val="26"/>
        </w:rPr>
        <w:t>in PGW’s</w:t>
      </w:r>
      <w:r w:rsidR="008F0FE4">
        <w:rPr>
          <w:sz w:val="26"/>
          <w:szCs w:val="26"/>
        </w:rPr>
        <w:t xml:space="preserve"> </w:t>
      </w:r>
      <w:r w:rsidR="00CD4E15">
        <w:rPr>
          <w:sz w:val="26"/>
          <w:szCs w:val="26"/>
        </w:rPr>
        <w:t>DSIC Cap Waiver Order</w:t>
      </w:r>
      <w:r w:rsidR="00FD03A8">
        <w:rPr>
          <w:sz w:val="26"/>
          <w:szCs w:val="26"/>
        </w:rPr>
        <w:t>,</w:t>
      </w:r>
      <w:r w:rsidR="008F0FE4">
        <w:rPr>
          <w:sz w:val="26"/>
          <w:szCs w:val="26"/>
        </w:rPr>
        <w:t xml:space="preserve"> </w:t>
      </w:r>
      <w:r w:rsidR="00B26486">
        <w:rPr>
          <w:sz w:val="26"/>
          <w:szCs w:val="26"/>
        </w:rPr>
        <w:t>and the LTIIP </w:t>
      </w:r>
      <w:r w:rsidR="00CD4E15">
        <w:rPr>
          <w:sz w:val="26"/>
          <w:szCs w:val="26"/>
        </w:rPr>
        <w:t>Regulations.</w:t>
      </w:r>
      <w:r w:rsidR="00FC15FE" w:rsidRPr="00FC15FE">
        <w:rPr>
          <w:rStyle w:val="FootnoteReference"/>
          <w:sz w:val="26"/>
          <w:szCs w:val="26"/>
        </w:rPr>
        <w:t xml:space="preserve"> </w:t>
      </w:r>
      <w:r w:rsidR="00FC15FE">
        <w:rPr>
          <w:rStyle w:val="FootnoteReference"/>
          <w:sz w:val="26"/>
          <w:szCs w:val="26"/>
        </w:rPr>
        <w:footnoteReference w:id="5"/>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r>
      <w:r w:rsidR="00FD03A8">
        <w:rPr>
          <w:sz w:val="26"/>
          <w:szCs w:val="26"/>
        </w:rPr>
        <w:t>PGW’s m</w:t>
      </w:r>
      <w:r w:rsidR="00713F88">
        <w:rPr>
          <w:sz w:val="26"/>
          <w:szCs w:val="26"/>
        </w:rPr>
        <w:t>odified LTIIP proposes the following primary changes</w:t>
      </w:r>
      <w:r>
        <w:rPr>
          <w:sz w:val="26"/>
          <w:szCs w:val="26"/>
        </w:rPr>
        <w:t xml:space="preserve">:  </w:t>
      </w:r>
    </w:p>
    <w:p w:rsidR="00713F88" w:rsidRDefault="00713F88" w:rsidP="00773D87">
      <w:pPr>
        <w:pStyle w:val="p2"/>
        <w:widowControl/>
        <w:spacing w:line="360" w:lineRule="auto"/>
        <w:ind w:firstLine="1440"/>
        <w:rPr>
          <w:sz w:val="26"/>
          <w:szCs w:val="26"/>
        </w:rPr>
      </w:pPr>
    </w:p>
    <w:p w:rsidR="0077455C" w:rsidRDefault="00DA3579" w:rsidP="00773D87">
      <w:pPr>
        <w:pStyle w:val="p2"/>
        <w:widowControl/>
        <w:numPr>
          <w:ilvl w:val="0"/>
          <w:numId w:val="21"/>
        </w:numPr>
        <w:spacing w:line="360" w:lineRule="auto"/>
        <w:ind w:left="1440"/>
        <w:rPr>
          <w:sz w:val="26"/>
          <w:szCs w:val="26"/>
        </w:rPr>
      </w:pPr>
      <w:r>
        <w:rPr>
          <w:sz w:val="26"/>
          <w:szCs w:val="26"/>
        </w:rPr>
        <w:t>U</w:t>
      </w:r>
      <w:r w:rsidR="00713F88">
        <w:rPr>
          <w:sz w:val="26"/>
          <w:szCs w:val="26"/>
        </w:rPr>
        <w:t xml:space="preserve">pdate </w:t>
      </w:r>
      <w:r w:rsidR="008F0FE4">
        <w:rPr>
          <w:sz w:val="26"/>
          <w:szCs w:val="26"/>
        </w:rPr>
        <w:t xml:space="preserve">projected expenditures that </w:t>
      </w:r>
      <w:r w:rsidR="00713F88">
        <w:rPr>
          <w:sz w:val="26"/>
          <w:szCs w:val="26"/>
        </w:rPr>
        <w:t xml:space="preserve">take into account the additional funding levels resulting from the DSIC Cap Waiver Order </w:t>
      </w:r>
      <w:r w:rsidR="008F0FE4">
        <w:rPr>
          <w:sz w:val="26"/>
          <w:szCs w:val="26"/>
        </w:rPr>
        <w:t>that raised the allowable DSIC, inclusive of reconciliation, to 7.5% from 5%</w:t>
      </w:r>
      <w:r w:rsidR="00E519D8">
        <w:rPr>
          <w:sz w:val="26"/>
          <w:szCs w:val="26"/>
        </w:rPr>
        <w:t>;</w:t>
      </w:r>
    </w:p>
    <w:p w:rsidR="0077455C" w:rsidRPr="008F0FE4" w:rsidRDefault="00DA3579" w:rsidP="008F0FE4">
      <w:pPr>
        <w:pStyle w:val="p2"/>
        <w:widowControl/>
        <w:numPr>
          <w:ilvl w:val="0"/>
          <w:numId w:val="21"/>
        </w:numPr>
        <w:spacing w:line="360" w:lineRule="auto"/>
        <w:ind w:left="1440"/>
        <w:rPr>
          <w:sz w:val="26"/>
          <w:szCs w:val="26"/>
        </w:rPr>
      </w:pPr>
      <w:r>
        <w:rPr>
          <w:sz w:val="26"/>
          <w:szCs w:val="26"/>
        </w:rPr>
        <w:t>U</w:t>
      </w:r>
      <w:r w:rsidR="00713F88">
        <w:rPr>
          <w:sz w:val="26"/>
          <w:szCs w:val="26"/>
        </w:rPr>
        <w:t xml:space="preserve">pdate priorities for accelerated replacement as guided by recently completed independent benchmarking and prioritization studies, and by the risk assessment set forth in </w:t>
      </w:r>
      <w:r w:rsidR="008F0FE4">
        <w:rPr>
          <w:sz w:val="26"/>
          <w:szCs w:val="26"/>
        </w:rPr>
        <w:t xml:space="preserve">PGW’s </w:t>
      </w:r>
      <w:r w:rsidR="00713F88" w:rsidRPr="008F0FE4">
        <w:rPr>
          <w:sz w:val="26"/>
          <w:szCs w:val="26"/>
        </w:rPr>
        <w:t>Distribution Integrity Management Plan (DIMP) risk scores</w:t>
      </w:r>
      <w:r w:rsidR="00E519D8">
        <w:rPr>
          <w:sz w:val="26"/>
          <w:szCs w:val="26"/>
        </w:rPr>
        <w:t>;</w:t>
      </w:r>
    </w:p>
    <w:p w:rsidR="0077455C" w:rsidRDefault="00E519D8" w:rsidP="00773D87">
      <w:pPr>
        <w:pStyle w:val="p2"/>
        <w:widowControl/>
        <w:numPr>
          <w:ilvl w:val="0"/>
          <w:numId w:val="21"/>
        </w:numPr>
        <w:spacing w:line="360" w:lineRule="auto"/>
        <w:ind w:left="1440"/>
        <w:rPr>
          <w:sz w:val="26"/>
          <w:szCs w:val="26"/>
        </w:rPr>
      </w:pPr>
      <w:r>
        <w:rPr>
          <w:sz w:val="26"/>
          <w:szCs w:val="26"/>
        </w:rPr>
        <w:lastRenderedPageBreak/>
        <w:t>Add a</w:t>
      </w:r>
      <w:r w:rsidR="00713F88">
        <w:rPr>
          <w:sz w:val="26"/>
          <w:szCs w:val="26"/>
        </w:rPr>
        <w:t xml:space="preserve"> section showing how PGW intends to train staff and contractors to meet the </w:t>
      </w:r>
      <w:r w:rsidR="0075572A" w:rsidRPr="0075572A">
        <w:rPr>
          <w:sz w:val="26"/>
          <w:szCs w:val="26"/>
        </w:rPr>
        <w:t>U.S</w:t>
      </w:r>
      <w:r w:rsidR="0075572A">
        <w:rPr>
          <w:sz w:val="26"/>
          <w:szCs w:val="26"/>
        </w:rPr>
        <w:t>. Department of Transportation</w:t>
      </w:r>
      <w:r w:rsidR="0075572A" w:rsidRPr="0075572A">
        <w:rPr>
          <w:sz w:val="26"/>
          <w:szCs w:val="26"/>
        </w:rPr>
        <w:t xml:space="preserve"> Pipeline and Hazardous Materials Safety Administration</w:t>
      </w:r>
      <w:r w:rsidR="0075572A">
        <w:rPr>
          <w:sz w:val="26"/>
          <w:szCs w:val="26"/>
        </w:rPr>
        <w:t xml:space="preserve">’s (PHMSA) </w:t>
      </w:r>
      <w:r w:rsidR="00713F88">
        <w:rPr>
          <w:sz w:val="26"/>
          <w:szCs w:val="26"/>
        </w:rPr>
        <w:t>Opera</w:t>
      </w:r>
      <w:r w:rsidR="0075572A">
        <w:rPr>
          <w:sz w:val="26"/>
          <w:szCs w:val="26"/>
        </w:rPr>
        <w:t>tor Qualification requirements at</w:t>
      </w:r>
      <w:r w:rsidR="00713F88">
        <w:rPr>
          <w:sz w:val="26"/>
          <w:szCs w:val="26"/>
        </w:rPr>
        <w:t xml:space="preserve"> 49 CFR</w:t>
      </w:r>
      <w:r w:rsidR="0075572A">
        <w:rPr>
          <w:sz w:val="26"/>
          <w:szCs w:val="26"/>
        </w:rPr>
        <w:t xml:space="preserve"> §</w:t>
      </w:r>
      <w:r w:rsidR="00713F88">
        <w:rPr>
          <w:sz w:val="26"/>
          <w:szCs w:val="26"/>
        </w:rPr>
        <w:t xml:space="preserve"> </w:t>
      </w:r>
      <w:r w:rsidR="0038767E">
        <w:rPr>
          <w:sz w:val="26"/>
          <w:szCs w:val="26"/>
        </w:rPr>
        <w:t>§192.801 – 192.809</w:t>
      </w:r>
      <w:r w:rsidR="0075572A">
        <w:rPr>
          <w:sz w:val="26"/>
          <w:szCs w:val="26"/>
        </w:rPr>
        <w:t>,</w:t>
      </w:r>
      <w:r w:rsidR="0038767E">
        <w:rPr>
          <w:sz w:val="26"/>
          <w:szCs w:val="26"/>
        </w:rPr>
        <w:t xml:space="preserve"> </w:t>
      </w:r>
      <w:r w:rsidR="00713F88">
        <w:rPr>
          <w:sz w:val="26"/>
          <w:szCs w:val="26"/>
        </w:rPr>
        <w:t xml:space="preserve">and to otherwise demonstrate that it will have qualified personnel available to accomplish the accelerated main replacement </w:t>
      </w:r>
      <w:r w:rsidR="008F0FE4">
        <w:rPr>
          <w:sz w:val="26"/>
          <w:szCs w:val="26"/>
        </w:rPr>
        <w:t>detailed in the LTIIP</w:t>
      </w:r>
      <w:r>
        <w:rPr>
          <w:sz w:val="26"/>
          <w:szCs w:val="26"/>
        </w:rPr>
        <w:t>;</w:t>
      </w:r>
    </w:p>
    <w:p w:rsidR="0077455C" w:rsidRDefault="00713F88" w:rsidP="00773D87">
      <w:pPr>
        <w:pStyle w:val="p2"/>
        <w:widowControl/>
        <w:numPr>
          <w:ilvl w:val="0"/>
          <w:numId w:val="21"/>
        </w:numPr>
        <w:spacing w:line="360" w:lineRule="auto"/>
        <w:ind w:left="1440"/>
        <w:rPr>
          <w:sz w:val="26"/>
          <w:szCs w:val="26"/>
        </w:rPr>
      </w:pPr>
      <w:r>
        <w:rPr>
          <w:sz w:val="26"/>
          <w:szCs w:val="26"/>
        </w:rPr>
        <w:t>A</w:t>
      </w:r>
      <w:r w:rsidR="00E519D8">
        <w:rPr>
          <w:sz w:val="26"/>
          <w:szCs w:val="26"/>
        </w:rPr>
        <w:t>dd a</w:t>
      </w:r>
      <w:r>
        <w:rPr>
          <w:sz w:val="26"/>
          <w:szCs w:val="26"/>
        </w:rPr>
        <w:t xml:space="preserve"> section on Outreach and Coordination Activities,</w:t>
      </w:r>
      <w:r w:rsidR="008F0FE4">
        <w:rPr>
          <w:sz w:val="26"/>
          <w:szCs w:val="26"/>
        </w:rPr>
        <w:t xml:space="preserve"> which was</w:t>
      </w:r>
      <w:r>
        <w:rPr>
          <w:sz w:val="26"/>
          <w:szCs w:val="26"/>
        </w:rPr>
        <w:t xml:space="preserve"> a requirement adopted after the Company’s </w:t>
      </w:r>
      <w:r w:rsidR="005E772E">
        <w:rPr>
          <w:sz w:val="26"/>
          <w:szCs w:val="26"/>
        </w:rPr>
        <w:t>existing LTIIP was approved</w:t>
      </w:r>
      <w:r w:rsidR="00E519D8">
        <w:rPr>
          <w:sz w:val="26"/>
          <w:szCs w:val="26"/>
        </w:rPr>
        <w:t>;</w:t>
      </w:r>
      <w:r w:rsidR="008F0FE4">
        <w:rPr>
          <w:rStyle w:val="FootnoteReference"/>
          <w:sz w:val="26"/>
          <w:szCs w:val="26"/>
        </w:rPr>
        <w:footnoteReference w:id="6"/>
      </w:r>
    </w:p>
    <w:p w:rsidR="008F0FE4" w:rsidRDefault="005E772E" w:rsidP="00C61EA4">
      <w:pPr>
        <w:pStyle w:val="p2"/>
        <w:widowControl/>
        <w:numPr>
          <w:ilvl w:val="0"/>
          <w:numId w:val="21"/>
        </w:numPr>
        <w:spacing w:line="360" w:lineRule="auto"/>
        <w:ind w:left="1080" w:firstLine="0"/>
        <w:rPr>
          <w:sz w:val="26"/>
          <w:szCs w:val="26"/>
        </w:rPr>
      </w:pPr>
      <w:r w:rsidRPr="00C61EA4">
        <w:rPr>
          <w:sz w:val="26"/>
          <w:szCs w:val="26"/>
        </w:rPr>
        <w:t>A</w:t>
      </w:r>
      <w:r w:rsidR="00E519D8">
        <w:rPr>
          <w:sz w:val="26"/>
          <w:szCs w:val="26"/>
        </w:rPr>
        <w:t>dd a</w:t>
      </w:r>
      <w:r w:rsidRPr="00C61EA4">
        <w:rPr>
          <w:sz w:val="26"/>
          <w:szCs w:val="26"/>
        </w:rPr>
        <w:t xml:space="preserve"> section discussing identification of </w:t>
      </w:r>
      <w:r w:rsidR="008F0FE4" w:rsidRPr="00C61EA4">
        <w:rPr>
          <w:sz w:val="26"/>
          <w:szCs w:val="26"/>
        </w:rPr>
        <w:t>c</w:t>
      </w:r>
      <w:r w:rsidRPr="00C61EA4">
        <w:rPr>
          <w:sz w:val="26"/>
          <w:szCs w:val="26"/>
        </w:rPr>
        <w:t xml:space="preserve">ritical </w:t>
      </w:r>
      <w:r w:rsidR="008F0FE4" w:rsidRPr="00C61EA4">
        <w:rPr>
          <w:sz w:val="26"/>
          <w:szCs w:val="26"/>
        </w:rPr>
        <w:t>v</w:t>
      </w:r>
      <w:r w:rsidRPr="00C61EA4">
        <w:rPr>
          <w:sz w:val="26"/>
          <w:szCs w:val="26"/>
        </w:rPr>
        <w:t>alves</w:t>
      </w:r>
      <w:r w:rsidR="00C61EA4">
        <w:rPr>
          <w:sz w:val="26"/>
          <w:szCs w:val="26"/>
        </w:rPr>
        <w:t>.</w:t>
      </w:r>
    </w:p>
    <w:p w:rsidR="00C61EA4" w:rsidRPr="00C61EA4" w:rsidRDefault="00C61EA4" w:rsidP="00C61EA4">
      <w:pPr>
        <w:pStyle w:val="p2"/>
        <w:widowControl/>
        <w:spacing w:line="360" w:lineRule="auto"/>
        <w:ind w:left="1080" w:firstLine="0"/>
        <w:rPr>
          <w:sz w:val="26"/>
          <w:szCs w:val="26"/>
        </w:rPr>
      </w:pPr>
    </w:p>
    <w:p w:rsidR="008F0FE4" w:rsidRDefault="008F0FE4" w:rsidP="000F0ECF">
      <w:pPr>
        <w:pStyle w:val="p2"/>
        <w:widowControl/>
        <w:spacing w:line="360" w:lineRule="auto"/>
        <w:ind w:left="1080" w:firstLine="0"/>
        <w:rPr>
          <w:sz w:val="26"/>
          <w:szCs w:val="26"/>
        </w:rPr>
      </w:pPr>
      <w:r>
        <w:rPr>
          <w:sz w:val="26"/>
          <w:szCs w:val="26"/>
        </w:rPr>
        <w:t>Each of the primary changes are discussed in further detail, below.</w:t>
      </w:r>
    </w:p>
    <w:p w:rsidR="005E772E" w:rsidRDefault="005E772E" w:rsidP="005E772E">
      <w:pPr>
        <w:pStyle w:val="p2"/>
        <w:widowControl/>
        <w:spacing w:line="360" w:lineRule="auto"/>
        <w:ind w:firstLine="0"/>
        <w:rPr>
          <w:sz w:val="26"/>
          <w:szCs w:val="26"/>
        </w:rPr>
      </w:pPr>
    </w:p>
    <w:p w:rsidR="008F0FE4" w:rsidRDefault="008F0FE4" w:rsidP="000F0ECF">
      <w:pPr>
        <w:pStyle w:val="p2"/>
        <w:widowControl/>
        <w:spacing w:line="360" w:lineRule="auto"/>
        <w:ind w:firstLine="0"/>
        <w:jc w:val="center"/>
        <w:rPr>
          <w:b/>
          <w:sz w:val="26"/>
          <w:szCs w:val="26"/>
        </w:rPr>
      </w:pPr>
      <w:r>
        <w:rPr>
          <w:b/>
          <w:sz w:val="26"/>
          <w:szCs w:val="26"/>
        </w:rPr>
        <w:t>PGW’s</w:t>
      </w:r>
      <w:r w:rsidRPr="008F0FE4">
        <w:rPr>
          <w:b/>
          <w:sz w:val="26"/>
          <w:szCs w:val="26"/>
        </w:rPr>
        <w:t xml:space="preserve"> PROPOSED LTIIP CHANGES</w:t>
      </w:r>
    </w:p>
    <w:p w:rsidR="008F0FE4" w:rsidRDefault="008F0FE4" w:rsidP="000F0ECF">
      <w:pPr>
        <w:pStyle w:val="p2"/>
        <w:widowControl/>
        <w:spacing w:line="360" w:lineRule="auto"/>
        <w:ind w:firstLine="0"/>
        <w:jc w:val="center"/>
        <w:rPr>
          <w:sz w:val="26"/>
          <w:szCs w:val="26"/>
        </w:rPr>
      </w:pPr>
    </w:p>
    <w:p w:rsidR="0077455C" w:rsidRPr="008F0FE4" w:rsidRDefault="008F0FE4" w:rsidP="00C61EA4">
      <w:pPr>
        <w:widowControl/>
        <w:autoSpaceDE/>
        <w:autoSpaceDN/>
        <w:adjustRightInd/>
        <w:spacing w:line="360" w:lineRule="auto"/>
        <w:rPr>
          <w:b/>
          <w:sz w:val="26"/>
          <w:szCs w:val="26"/>
        </w:rPr>
      </w:pPr>
      <w:r w:rsidRPr="000F0ECF">
        <w:rPr>
          <w:b/>
          <w:sz w:val="26"/>
          <w:szCs w:val="26"/>
        </w:rPr>
        <w:t>(1)</w:t>
      </w:r>
      <w:r w:rsidRPr="000F0ECF">
        <w:rPr>
          <w:b/>
          <w:sz w:val="26"/>
          <w:szCs w:val="26"/>
        </w:rPr>
        <w:tab/>
      </w:r>
      <w:r w:rsidRPr="000F0ECF">
        <w:rPr>
          <w:b/>
          <w:sz w:val="26"/>
          <w:szCs w:val="26"/>
        </w:rPr>
        <w:tab/>
      </w:r>
      <w:r w:rsidR="00764073" w:rsidRPr="008F0FE4">
        <w:rPr>
          <w:b/>
          <w:sz w:val="26"/>
          <w:szCs w:val="26"/>
        </w:rPr>
        <w:t>ADDITIONAL FUNDING FROM DSIC CAP INCREASE TO 7.5%</w:t>
      </w:r>
    </w:p>
    <w:p w:rsidR="0077455C" w:rsidRDefault="0077455C" w:rsidP="008F0FE4">
      <w:pPr>
        <w:pStyle w:val="p2"/>
        <w:widowControl/>
        <w:tabs>
          <w:tab w:val="left" w:pos="720"/>
        </w:tabs>
        <w:spacing w:line="360" w:lineRule="auto"/>
        <w:ind w:firstLine="0"/>
        <w:rPr>
          <w:b/>
          <w:sz w:val="26"/>
          <w:szCs w:val="26"/>
        </w:rPr>
      </w:pPr>
    </w:p>
    <w:p w:rsidR="008F0FE4" w:rsidRDefault="008F0FE4">
      <w:pPr>
        <w:pStyle w:val="p2"/>
        <w:widowControl/>
        <w:tabs>
          <w:tab w:val="left" w:pos="720"/>
        </w:tabs>
        <w:spacing w:line="360" w:lineRule="auto"/>
        <w:ind w:firstLine="0"/>
        <w:rPr>
          <w:b/>
          <w:sz w:val="26"/>
          <w:szCs w:val="26"/>
        </w:rPr>
      </w:pPr>
      <w:r>
        <w:rPr>
          <w:b/>
          <w:sz w:val="26"/>
          <w:szCs w:val="26"/>
        </w:rPr>
        <w:t>Discussion</w:t>
      </w:r>
    </w:p>
    <w:p w:rsidR="0043046A" w:rsidRDefault="0043046A">
      <w:pPr>
        <w:pStyle w:val="p2"/>
        <w:widowControl/>
        <w:tabs>
          <w:tab w:val="left" w:pos="720"/>
        </w:tabs>
        <w:spacing w:line="360" w:lineRule="auto"/>
        <w:ind w:firstLine="0"/>
        <w:rPr>
          <w:b/>
          <w:sz w:val="26"/>
          <w:szCs w:val="26"/>
        </w:rPr>
      </w:pPr>
    </w:p>
    <w:p w:rsidR="0077455C" w:rsidRDefault="0077455C">
      <w:pPr>
        <w:pStyle w:val="p2"/>
        <w:widowControl/>
        <w:spacing w:line="360" w:lineRule="auto"/>
        <w:ind w:firstLine="1440"/>
        <w:rPr>
          <w:sz w:val="26"/>
          <w:szCs w:val="26"/>
        </w:rPr>
      </w:pPr>
      <w:r>
        <w:rPr>
          <w:b/>
          <w:sz w:val="26"/>
          <w:szCs w:val="26"/>
        </w:rPr>
        <w:tab/>
      </w:r>
      <w:r w:rsidR="00764073">
        <w:rPr>
          <w:sz w:val="26"/>
          <w:szCs w:val="26"/>
        </w:rPr>
        <w:t>Historically, PGW</w:t>
      </w:r>
      <w:r w:rsidR="00F46F76">
        <w:rPr>
          <w:sz w:val="26"/>
          <w:szCs w:val="26"/>
        </w:rPr>
        <w:t>’s</w:t>
      </w:r>
      <w:r w:rsidR="00764073">
        <w:rPr>
          <w:sz w:val="26"/>
          <w:szCs w:val="26"/>
        </w:rPr>
        <w:t xml:space="preserve"> program remove</w:t>
      </w:r>
      <w:r w:rsidR="00F46F76">
        <w:rPr>
          <w:sz w:val="26"/>
          <w:szCs w:val="26"/>
        </w:rPr>
        <w:t>s</w:t>
      </w:r>
      <w:r w:rsidR="00764073">
        <w:rPr>
          <w:sz w:val="26"/>
          <w:szCs w:val="26"/>
        </w:rPr>
        <w:t xml:space="preserve"> 18 miles of high-risk cast iron distribution main per year, funded out of base rates.  At the 5% level, </w:t>
      </w:r>
      <w:r w:rsidR="002039BB">
        <w:rPr>
          <w:sz w:val="26"/>
          <w:szCs w:val="26"/>
        </w:rPr>
        <w:t>PGW’s</w:t>
      </w:r>
      <w:r w:rsidR="00764073">
        <w:rPr>
          <w:sz w:val="26"/>
          <w:szCs w:val="26"/>
        </w:rPr>
        <w:t xml:space="preserve"> DSIC</w:t>
      </w:r>
      <w:r w:rsidR="002039BB">
        <w:rPr>
          <w:sz w:val="26"/>
          <w:szCs w:val="26"/>
        </w:rPr>
        <w:t xml:space="preserve"> provide</w:t>
      </w:r>
      <w:r w:rsidR="008F0FE4">
        <w:rPr>
          <w:sz w:val="26"/>
          <w:szCs w:val="26"/>
        </w:rPr>
        <w:t>d</w:t>
      </w:r>
      <w:r w:rsidR="002039BB">
        <w:rPr>
          <w:sz w:val="26"/>
          <w:szCs w:val="26"/>
        </w:rPr>
        <w:t xml:space="preserve"> PGW with approximately $22 million </w:t>
      </w:r>
      <w:r w:rsidR="00FD03A8">
        <w:rPr>
          <w:sz w:val="26"/>
          <w:szCs w:val="26"/>
        </w:rPr>
        <w:t xml:space="preserve">annually </w:t>
      </w:r>
      <w:r w:rsidR="008F0FE4">
        <w:rPr>
          <w:sz w:val="26"/>
          <w:szCs w:val="26"/>
        </w:rPr>
        <w:t>for</w:t>
      </w:r>
      <w:r w:rsidR="002039BB">
        <w:rPr>
          <w:sz w:val="26"/>
          <w:szCs w:val="26"/>
        </w:rPr>
        <w:t xml:space="preserve"> additional pipeline replacement work</w:t>
      </w:r>
      <w:r w:rsidR="008F0FE4">
        <w:rPr>
          <w:sz w:val="26"/>
          <w:szCs w:val="26"/>
        </w:rPr>
        <w:t xml:space="preserve"> above the 18 mile baseline</w:t>
      </w:r>
      <w:r w:rsidR="002039BB">
        <w:rPr>
          <w:sz w:val="26"/>
          <w:szCs w:val="26"/>
        </w:rPr>
        <w:t xml:space="preserve">.  Under its </w:t>
      </w:r>
      <w:r w:rsidR="008F0FE4">
        <w:rPr>
          <w:sz w:val="26"/>
          <w:szCs w:val="26"/>
        </w:rPr>
        <w:t xml:space="preserve">current </w:t>
      </w:r>
      <w:r w:rsidR="002039BB">
        <w:rPr>
          <w:sz w:val="26"/>
          <w:szCs w:val="26"/>
        </w:rPr>
        <w:t xml:space="preserve">LTIIP, PGW planned for approximately 7 additional miles per year, funded by the DSIC.  </w:t>
      </w:r>
      <w:r w:rsidR="00764073">
        <w:rPr>
          <w:sz w:val="26"/>
          <w:szCs w:val="26"/>
        </w:rPr>
        <w:t xml:space="preserve">Over the first three years of the LTIIP, PGW replaced or abandoned an </w:t>
      </w:r>
      <w:r w:rsidR="002039BB">
        <w:rPr>
          <w:sz w:val="26"/>
          <w:szCs w:val="26"/>
        </w:rPr>
        <w:t>average of 8.5 miles per year.</w:t>
      </w:r>
    </w:p>
    <w:p w:rsidR="002039BB" w:rsidRDefault="002039BB">
      <w:pPr>
        <w:pStyle w:val="p2"/>
        <w:widowControl/>
        <w:spacing w:line="360" w:lineRule="auto"/>
        <w:ind w:firstLine="1440"/>
        <w:rPr>
          <w:sz w:val="26"/>
          <w:szCs w:val="26"/>
        </w:rPr>
      </w:pPr>
    </w:p>
    <w:p w:rsidR="002039BB" w:rsidRDefault="002039BB">
      <w:pPr>
        <w:pStyle w:val="p2"/>
        <w:widowControl/>
        <w:spacing w:line="360" w:lineRule="auto"/>
        <w:ind w:firstLine="1440"/>
        <w:rPr>
          <w:sz w:val="26"/>
          <w:szCs w:val="26"/>
        </w:rPr>
      </w:pPr>
      <w:r>
        <w:rPr>
          <w:sz w:val="26"/>
          <w:szCs w:val="26"/>
        </w:rPr>
        <w:lastRenderedPageBreak/>
        <w:t xml:space="preserve">PGW </w:t>
      </w:r>
      <w:r w:rsidR="008F0FE4">
        <w:rPr>
          <w:sz w:val="26"/>
          <w:szCs w:val="26"/>
        </w:rPr>
        <w:t>was granted</w:t>
      </w:r>
      <w:r>
        <w:rPr>
          <w:sz w:val="26"/>
          <w:szCs w:val="26"/>
        </w:rPr>
        <w:t xml:space="preserve"> a waiver </w:t>
      </w:r>
      <w:r w:rsidR="00F46F76">
        <w:rPr>
          <w:sz w:val="26"/>
          <w:szCs w:val="26"/>
        </w:rPr>
        <w:t>by</w:t>
      </w:r>
      <w:r>
        <w:rPr>
          <w:sz w:val="26"/>
          <w:szCs w:val="26"/>
        </w:rPr>
        <w:t xml:space="preserve"> the Commission to permit an increase in the Company’s DSIC cap to 7.5%</w:t>
      </w:r>
      <w:r w:rsidR="008F0FE4">
        <w:rPr>
          <w:sz w:val="26"/>
          <w:szCs w:val="26"/>
        </w:rPr>
        <w:t xml:space="preserve">.  This </w:t>
      </w:r>
      <w:r>
        <w:rPr>
          <w:sz w:val="26"/>
          <w:szCs w:val="26"/>
        </w:rPr>
        <w:t>allow</w:t>
      </w:r>
      <w:r w:rsidR="00F46F76">
        <w:rPr>
          <w:sz w:val="26"/>
          <w:szCs w:val="26"/>
        </w:rPr>
        <w:t>s</w:t>
      </w:r>
      <w:r w:rsidR="008F0FE4">
        <w:rPr>
          <w:sz w:val="26"/>
          <w:szCs w:val="26"/>
        </w:rPr>
        <w:t xml:space="preserve"> for</w:t>
      </w:r>
      <w:r>
        <w:rPr>
          <w:sz w:val="26"/>
          <w:szCs w:val="26"/>
        </w:rPr>
        <w:t xml:space="preserve"> an additional $11 million in pipeline replacement spending per year.  </w:t>
      </w:r>
    </w:p>
    <w:p w:rsidR="002039BB" w:rsidRDefault="002039BB" w:rsidP="00764073">
      <w:pPr>
        <w:pStyle w:val="p2"/>
        <w:widowControl/>
        <w:spacing w:line="360" w:lineRule="auto"/>
        <w:ind w:firstLine="1440"/>
        <w:rPr>
          <w:sz w:val="26"/>
          <w:szCs w:val="26"/>
        </w:rPr>
      </w:pPr>
    </w:p>
    <w:p w:rsidR="002039BB" w:rsidRDefault="00023854" w:rsidP="00764073">
      <w:pPr>
        <w:pStyle w:val="p2"/>
        <w:widowControl/>
        <w:spacing w:line="360" w:lineRule="auto"/>
        <w:ind w:firstLine="1440"/>
        <w:rPr>
          <w:sz w:val="26"/>
          <w:szCs w:val="26"/>
        </w:rPr>
      </w:pPr>
      <w:r>
        <w:rPr>
          <w:sz w:val="26"/>
          <w:szCs w:val="26"/>
        </w:rPr>
        <w:t xml:space="preserve">The increase in PGW’s DSIC </w:t>
      </w:r>
      <w:r w:rsidR="00F46F76">
        <w:rPr>
          <w:sz w:val="26"/>
          <w:szCs w:val="26"/>
        </w:rPr>
        <w:t>could</w:t>
      </w:r>
      <w:r>
        <w:rPr>
          <w:sz w:val="26"/>
          <w:szCs w:val="26"/>
        </w:rPr>
        <w:t xml:space="preserve"> provide the Company with </w:t>
      </w:r>
      <w:r w:rsidR="008F0FE4">
        <w:rPr>
          <w:sz w:val="26"/>
          <w:szCs w:val="26"/>
        </w:rPr>
        <w:t xml:space="preserve">total </w:t>
      </w:r>
      <w:r>
        <w:rPr>
          <w:sz w:val="26"/>
          <w:szCs w:val="26"/>
        </w:rPr>
        <w:t xml:space="preserve">annual DSIC revenues of approximately $33 million.  PGW </w:t>
      </w:r>
      <w:r w:rsidR="0075572A">
        <w:rPr>
          <w:sz w:val="26"/>
          <w:szCs w:val="26"/>
        </w:rPr>
        <w:t>anticipate</w:t>
      </w:r>
      <w:r w:rsidR="00F46F76">
        <w:rPr>
          <w:sz w:val="26"/>
          <w:szCs w:val="26"/>
        </w:rPr>
        <w:t>s</w:t>
      </w:r>
      <w:r>
        <w:rPr>
          <w:sz w:val="26"/>
          <w:szCs w:val="26"/>
        </w:rPr>
        <w:t xml:space="preserve"> that the Commission w</w:t>
      </w:r>
      <w:r w:rsidR="00F46F76">
        <w:rPr>
          <w:sz w:val="26"/>
          <w:szCs w:val="26"/>
        </w:rPr>
        <w:t>ill</w:t>
      </w:r>
      <w:r>
        <w:rPr>
          <w:sz w:val="26"/>
          <w:szCs w:val="26"/>
        </w:rPr>
        <w:t xml:space="preserve"> approve </w:t>
      </w:r>
      <w:r w:rsidR="008F0FE4">
        <w:rPr>
          <w:sz w:val="26"/>
          <w:szCs w:val="26"/>
        </w:rPr>
        <w:t xml:space="preserve">the instant </w:t>
      </w:r>
      <w:r>
        <w:rPr>
          <w:sz w:val="26"/>
          <w:szCs w:val="26"/>
        </w:rPr>
        <w:t>Petition by June 2016.  Based on that assumption, PGW propose</w:t>
      </w:r>
      <w:r w:rsidR="00F46F76">
        <w:rPr>
          <w:sz w:val="26"/>
          <w:szCs w:val="26"/>
        </w:rPr>
        <w:t>s</w:t>
      </w:r>
      <w:r>
        <w:rPr>
          <w:sz w:val="26"/>
          <w:szCs w:val="26"/>
        </w:rPr>
        <w:t xml:space="preserve"> to replace or abandon an additional 5.58 miles of pipeline during the remainder of </w:t>
      </w:r>
      <w:r w:rsidR="008F0FE4">
        <w:rPr>
          <w:sz w:val="26"/>
          <w:szCs w:val="26"/>
        </w:rPr>
        <w:t>fiscal year (FY)</w:t>
      </w:r>
      <w:r>
        <w:rPr>
          <w:sz w:val="26"/>
          <w:szCs w:val="26"/>
        </w:rPr>
        <w:t xml:space="preserve"> 2016 and an additional 9.92 miles in FY 2017.</w:t>
      </w:r>
      <w:r w:rsidR="00000A6D">
        <w:rPr>
          <w:rStyle w:val="FootnoteReference"/>
          <w:sz w:val="26"/>
          <w:szCs w:val="26"/>
        </w:rPr>
        <w:footnoteReference w:id="7"/>
      </w:r>
      <w:r w:rsidR="00000A6D">
        <w:rPr>
          <w:sz w:val="26"/>
          <w:szCs w:val="26"/>
        </w:rPr>
        <w:t xml:space="preserve">  </w:t>
      </w:r>
      <w:r w:rsidR="002C0940">
        <w:rPr>
          <w:sz w:val="26"/>
          <w:szCs w:val="26"/>
        </w:rPr>
        <w:t xml:space="preserve">In PGW’s </w:t>
      </w:r>
      <w:r w:rsidR="00FD03A8">
        <w:rPr>
          <w:sz w:val="26"/>
          <w:szCs w:val="26"/>
        </w:rPr>
        <w:t>Annual Asset Optimization Plan (AAOP)</w:t>
      </w:r>
      <w:r w:rsidR="002C0940">
        <w:rPr>
          <w:sz w:val="26"/>
          <w:szCs w:val="26"/>
        </w:rPr>
        <w:t xml:space="preserve"> filed December 15, 2016</w:t>
      </w:r>
      <w:r w:rsidR="00B26486">
        <w:rPr>
          <w:sz w:val="26"/>
          <w:szCs w:val="26"/>
        </w:rPr>
        <w:t>,</w:t>
      </w:r>
      <w:r w:rsidR="002C0940">
        <w:rPr>
          <w:sz w:val="26"/>
          <w:szCs w:val="26"/>
        </w:rPr>
        <w:t xml:space="preserve"> at Docket </w:t>
      </w:r>
      <w:r w:rsidR="00FD03A8">
        <w:rPr>
          <w:sz w:val="26"/>
          <w:szCs w:val="26"/>
        </w:rPr>
        <w:t>No. M</w:t>
      </w:r>
      <w:r w:rsidR="00FD03A8">
        <w:rPr>
          <w:sz w:val="26"/>
          <w:szCs w:val="26"/>
        </w:rPr>
        <w:noBreakHyphen/>
        <w:t>2015-2518294, PGW proposed</w:t>
      </w:r>
      <w:r w:rsidR="002C0940">
        <w:rPr>
          <w:sz w:val="26"/>
          <w:szCs w:val="26"/>
        </w:rPr>
        <w:t xml:space="preserve"> increased spending for FY 2016, assuming that the Commission </w:t>
      </w:r>
      <w:r w:rsidR="00F46F76">
        <w:rPr>
          <w:sz w:val="26"/>
          <w:szCs w:val="26"/>
        </w:rPr>
        <w:t>would approve</w:t>
      </w:r>
      <w:r w:rsidR="002C0940">
        <w:rPr>
          <w:sz w:val="26"/>
          <w:szCs w:val="26"/>
        </w:rPr>
        <w:t xml:space="preserve"> the Modified LTIIP Petition by June 2016.  </w:t>
      </w:r>
      <w:r w:rsidR="00FD03A8">
        <w:rPr>
          <w:sz w:val="26"/>
          <w:szCs w:val="26"/>
        </w:rPr>
        <w:t xml:space="preserve">Table 1, below, details the </w:t>
      </w:r>
      <w:r w:rsidR="00000A6D">
        <w:rPr>
          <w:sz w:val="26"/>
          <w:szCs w:val="26"/>
        </w:rPr>
        <w:t>additional planned acceleration in miles of pipeline to be replaced</w:t>
      </w:r>
      <w:r w:rsidR="00FD03A8">
        <w:rPr>
          <w:sz w:val="26"/>
          <w:szCs w:val="26"/>
        </w:rPr>
        <w:t xml:space="preserve"> </w:t>
      </w:r>
      <w:r w:rsidR="00F46F76">
        <w:rPr>
          <w:sz w:val="26"/>
          <w:szCs w:val="26"/>
        </w:rPr>
        <w:t>by</w:t>
      </w:r>
      <w:r w:rsidR="00FD03A8">
        <w:rPr>
          <w:sz w:val="26"/>
          <w:szCs w:val="26"/>
        </w:rPr>
        <w:t xml:space="preserve"> the modified LTIIP.  Table 2, below, provides the projected</w:t>
      </w:r>
      <w:r w:rsidR="00000A6D">
        <w:rPr>
          <w:sz w:val="26"/>
          <w:szCs w:val="26"/>
        </w:rPr>
        <w:t xml:space="preserve"> accelerated expenditures</w:t>
      </w:r>
      <w:r w:rsidR="002C0940">
        <w:rPr>
          <w:sz w:val="26"/>
          <w:szCs w:val="26"/>
        </w:rPr>
        <w:t xml:space="preserve"> in the </w:t>
      </w:r>
      <w:r w:rsidR="00FD03A8">
        <w:rPr>
          <w:sz w:val="26"/>
          <w:szCs w:val="26"/>
        </w:rPr>
        <w:t>modified LTIIP</w:t>
      </w:r>
      <w:r w:rsidR="00000A6D">
        <w:rPr>
          <w:sz w:val="26"/>
          <w:szCs w:val="26"/>
        </w:rPr>
        <w:t>.</w:t>
      </w:r>
    </w:p>
    <w:p w:rsidR="00000A6D" w:rsidRDefault="00000A6D" w:rsidP="00000A6D">
      <w:pPr>
        <w:pStyle w:val="p2"/>
        <w:widowControl/>
        <w:spacing w:line="360" w:lineRule="auto"/>
        <w:ind w:firstLine="0"/>
        <w:rPr>
          <w:sz w:val="26"/>
          <w:szCs w:val="26"/>
        </w:rPr>
      </w:pPr>
    </w:p>
    <w:p w:rsidR="00000A6D" w:rsidRPr="00FD03A8" w:rsidRDefault="00000A6D" w:rsidP="00000A6D">
      <w:pPr>
        <w:pStyle w:val="p2"/>
        <w:widowControl/>
        <w:spacing w:line="360" w:lineRule="auto"/>
        <w:ind w:firstLine="0"/>
        <w:rPr>
          <w:b/>
          <w:sz w:val="26"/>
          <w:szCs w:val="26"/>
        </w:rPr>
      </w:pPr>
      <w:r w:rsidRPr="00FD03A8">
        <w:rPr>
          <w:b/>
          <w:sz w:val="26"/>
          <w:szCs w:val="26"/>
        </w:rPr>
        <w:t>Table 1 - Additional LTIIP Miles to be Replaced Above 18-mile Baseline Program, FY 2013-2017</w:t>
      </w:r>
    </w:p>
    <w:tbl>
      <w:tblPr>
        <w:tblW w:w="8500" w:type="dxa"/>
        <w:tblInd w:w="93" w:type="dxa"/>
        <w:tblLook w:val="04A0" w:firstRow="1" w:lastRow="0" w:firstColumn="1" w:lastColumn="0" w:noHBand="0" w:noVBand="1"/>
      </w:tblPr>
      <w:tblGrid>
        <w:gridCol w:w="2740"/>
        <w:gridCol w:w="960"/>
        <w:gridCol w:w="960"/>
        <w:gridCol w:w="960"/>
        <w:gridCol w:w="960"/>
        <w:gridCol w:w="960"/>
        <w:gridCol w:w="960"/>
      </w:tblGrid>
      <w:tr w:rsidR="00000A6D" w:rsidRPr="00FD03A8" w:rsidTr="00000A6D">
        <w:trPr>
          <w:trHeight w:val="300"/>
        </w:trPr>
        <w:tc>
          <w:tcPr>
            <w:tcW w:w="2740" w:type="dxa"/>
            <w:tcBorders>
              <w:top w:val="nil"/>
              <w:left w:val="nil"/>
              <w:bottom w:val="nil"/>
              <w:right w:val="nil"/>
            </w:tcBorders>
            <w:shd w:val="clear" w:color="auto" w:fill="auto"/>
            <w:noWrap/>
            <w:vAlign w:val="bottom"/>
            <w:hideMark/>
          </w:tcPr>
          <w:p w:rsidR="00000A6D" w:rsidRPr="00FD03A8" w:rsidRDefault="00000A6D" w:rsidP="00000A6D">
            <w:pPr>
              <w:widowControl/>
              <w:autoSpaceDE/>
              <w:autoSpaceDN/>
              <w:adjustRightInd/>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center"/>
              <w:rPr>
                <w:b/>
                <w:iCs/>
                <w:color w:val="000000"/>
                <w:sz w:val="22"/>
                <w:szCs w:val="22"/>
              </w:rPr>
            </w:pPr>
            <w:r w:rsidRPr="00FD03A8">
              <w:rPr>
                <w:b/>
                <w:iCs/>
                <w:color w:val="000000"/>
                <w:sz w:val="22"/>
                <w:szCs w:val="22"/>
              </w:rPr>
              <w:t>Total</w:t>
            </w:r>
          </w:p>
        </w:tc>
      </w:tr>
      <w:tr w:rsidR="00000A6D" w:rsidRPr="00FD03A8" w:rsidTr="00000A6D">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rPr>
                <w:iCs/>
                <w:color w:val="000000"/>
                <w:sz w:val="22"/>
                <w:szCs w:val="22"/>
              </w:rPr>
            </w:pPr>
            <w:r w:rsidRPr="00FD03A8">
              <w:rPr>
                <w:iCs/>
                <w:color w:val="000000"/>
                <w:sz w:val="22"/>
                <w:szCs w:val="22"/>
              </w:rPr>
              <w:t>Original LTIIP</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8.33</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6.90</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6.87</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6.79</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6.89</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35.78</w:t>
            </w:r>
          </w:p>
        </w:tc>
      </w:tr>
      <w:tr w:rsidR="00000A6D" w:rsidRPr="00FD03A8" w:rsidTr="00000A6D">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rPr>
                <w:iCs/>
                <w:color w:val="000000"/>
                <w:sz w:val="22"/>
                <w:szCs w:val="22"/>
              </w:rPr>
            </w:pPr>
            <w:r w:rsidRPr="00FD03A8">
              <w:rPr>
                <w:iCs/>
                <w:color w:val="000000"/>
                <w:sz w:val="22"/>
                <w:szCs w:val="22"/>
              </w:rPr>
              <w:t>Modified LTIIP</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8.33</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6.90</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6.87</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2C0940">
            <w:pPr>
              <w:widowControl/>
              <w:autoSpaceDE/>
              <w:autoSpaceDN/>
              <w:adjustRightInd/>
              <w:jc w:val="right"/>
              <w:rPr>
                <w:color w:val="000000"/>
                <w:sz w:val="22"/>
                <w:szCs w:val="22"/>
              </w:rPr>
            </w:pPr>
            <w:r w:rsidRPr="00FD03A8">
              <w:rPr>
                <w:color w:val="000000"/>
                <w:sz w:val="22"/>
                <w:szCs w:val="22"/>
              </w:rPr>
              <w:t>12.37</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16.81</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color w:val="000000"/>
                <w:sz w:val="22"/>
                <w:szCs w:val="22"/>
              </w:rPr>
            </w:pPr>
            <w:r w:rsidRPr="00FD03A8">
              <w:rPr>
                <w:color w:val="000000"/>
                <w:sz w:val="22"/>
                <w:szCs w:val="22"/>
              </w:rPr>
              <w:t>51.28</w:t>
            </w:r>
          </w:p>
        </w:tc>
      </w:tr>
      <w:tr w:rsidR="00000A6D" w:rsidRPr="00FD03A8" w:rsidTr="00000A6D">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rPr>
                <w:iCs/>
                <w:color w:val="000000"/>
                <w:sz w:val="22"/>
                <w:szCs w:val="22"/>
              </w:rPr>
            </w:pPr>
            <w:r w:rsidRPr="00FD03A8">
              <w:rPr>
                <w:iCs/>
                <w:color w:val="000000"/>
                <w:sz w:val="22"/>
                <w:szCs w:val="22"/>
              </w:rPr>
              <w:t>Additional Acceleration</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5.58</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9.92</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FD03A8" w:rsidRDefault="00000A6D" w:rsidP="00000A6D">
            <w:pPr>
              <w:widowControl/>
              <w:autoSpaceDE/>
              <w:autoSpaceDN/>
              <w:adjustRightInd/>
              <w:jc w:val="right"/>
              <w:rPr>
                <w:b/>
                <w:color w:val="000000"/>
                <w:sz w:val="22"/>
                <w:szCs w:val="22"/>
              </w:rPr>
            </w:pPr>
            <w:r w:rsidRPr="00FD03A8">
              <w:rPr>
                <w:b/>
                <w:color w:val="000000"/>
                <w:sz w:val="22"/>
                <w:szCs w:val="22"/>
              </w:rPr>
              <w:t>15.50</w:t>
            </w:r>
          </w:p>
        </w:tc>
      </w:tr>
    </w:tbl>
    <w:p w:rsidR="00000A6D" w:rsidRDefault="00000A6D" w:rsidP="00764073">
      <w:pPr>
        <w:pStyle w:val="p2"/>
        <w:widowControl/>
        <w:spacing w:line="360" w:lineRule="auto"/>
        <w:ind w:firstLine="1440"/>
        <w:rPr>
          <w:sz w:val="26"/>
          <w:szCs w:val="26"/>
        </w:rPr>
      </w:pPr>
    </w:p>
    <w:p w:rsidR="00000A6D" w:rsidRDefault="00000A6D" w:rsidP="00764073">
      <w:pPr>
        <w:pStyle w:val="p2"/>
        <w:widowControl/>
        <w:spacing w:line="360" w:lineRule="auto"/>
        <w:ind w:firstLine="1440"/>
        <w:rPr>
          <w:sz w:val="26"/>
          <w:szCs w:val="26"/>
        </w:rPr>
      </w:pPr>
    </w:p>
    <w:p w:rsidR="00000A6D" w:rsidRPr="00E217EF" w:rsidRDefault="00000A6D" w:rsidP="00000A6D">
      <w:pPr>
        <w:pStyle w:val="p2"/>
        <w:widowControl/>
        <w:spacing w:line="360" w:lineRule="auto"/>
        <w:ind w:firstLine="0"/>
        <w:rPr>
          <w:b/>
          <w:sz w:val="26"/>
          <w:szCs w:val="26"/>
        </w:rPr>
      </w:pPr>
      <w:r w:rsidRPr="00E217EF">
        <w:rPr>
          <w:b/>
          <w:sz w:val="26"/>
          <w:szCs w:val="26"/>
        </w:rPr>
        <w:t xml:space="preserve">Table 2 - Additional LTIIP Spending to be Replaced Above </w:t>
      </w:r>
      <w:r w:rsidR="00E217EF">
        <w:rPr>
          <w:b/>
          <w:sz w:val="26"/>
          <w:szCs w:val="26"/>
        </w:rPr>
        <w:t xml:space="preserve">the </w:t>
      </w:r>
      <w:r w:rsidRPr="00E217EF">
        <w:rPr>
          <w:b/>
          <w:sz w:val="26"/>
          <w:szCs w:val="26"/>
        </w:rPr>
        <w:t>18-mile Baseline Program, FY 2013-2017 ($Million)</w:t>
      </w:r>
    </w:p>
    <w:tbl>
      <w:tblPr>
        <w:tblW w:w="8500" w:type="dxa"/>
        <w:tblInd w:w="93" w:type="dxa"/>
        <w:tblLook w:val="04A0" w:firstRow="1" w:lastRow="0" w:firstColumn="1" w:lastColumn="0" w:noHBand="0" w:noVBand="1"/>
      </w:tblPr>
      <w:tblGrid>
        <w:gridCol w:w="2740"/>
        <w:gridCol w:w="960"/>
        <w:gridCol w:w="960"/>
        <w:gridCol w:w="960"/>
        <w:gridCol w:w="960"/>
        <w:gridCol w:w="960"/>
        <w:gridCol w:w="960"/>
      </w:tblGrid>
      <w:tr w:rsidR="00000A6D" w:rsidRPr="00E217EF" w:rsidTr="00000A6D">
        <w:trPr>
          <w:trHeight w:val="300"/>
        </w:trPr>
        <w:tc>
          <w:tcPr>
            <w:tcW w:w="2740" w:type="dxa"/>
            <w:tcBorders>
              <w:top w:val="nil"/>
              <w:left w:val="nil"/>
              <w:bottom w:val="nil"/>
              <w:right w:val="nil"/>
            </w:tcBorders>
            <w:shd w:val="clear" w:color="auto" w:fill="auto"/>
            <w:noWrap/>
            <w:vAlign w:val="bottom"/>
            <w:hideMark/>
          </w:tcPr>
          <w:p w:rsidR="00000A6D" w:rsidRPr="00E217EF" w:rsidRDefault="00000A6D" w:rsidP="00000A6D">
            <w:pPr>
              <w:widowControl/>
              <w:autoSpaceDE/>
              <w:autoSpaceDN/>
              <w:adjustRightInd/>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center"/>
              <w:rPr>
                <w:b/>
                <w:iCs/>
                <w:color w:val="000000"/>
                <w:sz w:val="22"/>
                <w:szCs w:val="22"/>
              </w:rPr>
            </w:pPr>
            <w:r w:rsidRPr="00E217EF">
              <w:rPr>
                <w:b/>
                <w:iCs/>
                <w:color w:val="000000"/>
                <w:sz w:val="22"/>
                <w:szCs w:val="22"/>
              </w:rPr>
              <w:t>Total</w:t>
            </w:r>
          </w:p>
        </w:tc>
      </w:tr>
      <w:tr w:rsidR="00000A6D" w:rsidRPr="00E217EF" w:rsidTr="00000A6D">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rPr>
                <w:iCs/>
                <w:color w:val="000000"/>
                <w:sz w:val="22"/>
                <w:szCs w:val="22"/>
              </w:rPr>
            </w:pPr>
            <w:r w:rsidRPr="00E217EF">
              <w:rPr>
                <w:iCs/>
                <w:color w:val="000000"/>
                <w:sz w:val="22"/>
                <w:szCs w:val="22"/>
              </w:rPr>
              <w:t>Original LTIIP</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$110.0 </w:t>
            </w:r>
          </w:p>
        </w:tc>
      </w:tr>
      <w:tr w:rsidR="00000A6D" w:rsidRPr="00E217EF" w:rsidTr="00000A6D">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rPr>
                <w:iCs/>
                <w:color w:val="000000"/>
                <w:sz w:val="22"/>
                <w:szCs w:val="22"/>
              </w:rPr>
            </w:pPr>
            <w:r w:rsidRPr="00E217EF">
              <w:rPr>
                <w:iCs/>
                <w:color w:val="000000"/>
                <w:sz w:val="22"/>
                <w:szCs w:val="22"/>
              </w:rPr>
              <w:t>Modified LTIIP</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$22.0</w:t>
            </w:r>
            <w:r w:rsidR="006008EC" w:rsidRPr="00E217EF">
              <w:rPr>
                <w:rStyle w:val="FootnoteReference"/>
                <w:color w:val="000000"/>
                <w:sz w:val="22"/>
                <w:szCs w:val="22"/>
              </w:rPr>
              <w:footnoteReference w:id="8"/>
            </w:r>
            <w:r w:rsidRPr="00E217EF">
              <w:rPr>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$33.5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color w:val="000000"/>
                <w:sz w:val="22"/>
                <w:szCs w:val="22"/>
              </w:rPr>
            </w:pPr>
            <w:r w:rsidRPr="00E217EF">
              <w:rPr>
                <w:color w:val="000000"/>
                <w:sz w:val="22"/>
                <w:szCs w:val="22"/>
              </w:rPr>
              <w:t xml:space="preserve">$121.5 </w:t>
            </w:r>
          </w:p>
        </w:tc>
      </w:tr>
      <w:tr w:rsidR="00000A6D" w:rsidRPr="00E217EF" w:rsidTr="00000A6D">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rPr>
                <w:iCs/>
                <w:color w:val="000000"/>
                <w:sz w:val="22"/>
                <w:szCs w:val="22"/>
              </w:rPr>
            </w:pPr>
            <w:r w:rsidRPr="00E217EF">
              <w:rPr>
                <w:iCs/>
                <w:color w:val="000000"/>
                <w:sz w:val="22"/>
                <w:szCs w:val="22"/>
              </w:rPr>
              <w:t>Additional Acceleration</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$0.0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$0.0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$0.0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$0.0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$11.5 </w:t>
            </w:r>
          </w:p>
        </w:tc>
        <w:tc>
          <w:tcPr>
            <w:tcW w:w="960" w:type="dxa"/>
            <w:tcBorders>
              <w:top w:val="nil"/>
              <w:left w:val="nil"/>
              <w:bottom w:val="single" w:sz="4" w:space="0" w:color="auto"/>
              <w:right w:val="single" w:sz="4" w:space="0" w:color="auto"/>
            </w:tcBorders>
            <w:shd w:val="clear" w:color="auto" w:fill="auto"/>
            <w:noWrap/>
            <w:vAlign w:val="bottom"/>
            <w:hideMark/>
          </w:tcPr>
          <w:p w:rsidR="00000A6D" w:rsidRPr="00E217EF" w:rsidRDefault="00000A6D" w:rsidP="00000A6D">
            <w:pPr>
              <w:widowControl/>
              <w:autoSpaceDE/>
              <w:autoSpaceDN/>
              <w:adjustRightInd/>
              <w:jc w:val="right"/>
              <w:rPr>
                <w:b/>
                <w:color w:val="000000"/>
                <w:sz w:val="22"/>
                <w:szCs w:val="22"/>
              </w:rPr>
            </w:pPr>
            <w:r w:rsidRPr="00E217EF">
              <w:rPr>
                <w:b/>
                <w:color w:val="000000"/>
                <w:sz w:val="22"/>
                <w:szCs w:val="22"/>
              </w:rPr>
              <w:t xml:space="preserve">$11.5 </w:t>
            </w:r>
          </w:p>
        </w:tc>
      </w:tr>
    </w:tbl>
    <w:p w:rsidR="00023854" w:rsidRDefault="00023854" w:rsidP="00764073">
      <w:pPr>
        <w:pStyle w:val="p2"/>
        <w:widowControl/>
        <w:spacing w:line="360" w:lineRule="auto"/>
        <w:ind w:firstLine="1440"/>
        <w:rPr>
          <w:sz w:val="26"/>
          <w:szCs w:val="26"/>
        </w:rPr>
      </w:pPr>
      <w:r>
        <w:rPr>
          <w:sz w:val="26"/>
          <w:szCs w:val="26"/>
        </w:rPr>
        <w:lastRenderedPageBreak/>
        <w:t xml:space="preserve">PGW </w:t>
      </w:r>
      <w:r w:rsidR="008F0FE4">
        <w:rPr>
          <w:sz w:val="26"/>
          <w:szCs w:val="26"/>
        </w:rPr>
        <w:t xml:space="preserve">averred </w:t>
      </w:r>
      <w:r>
        <w:rPr>
          <w:sz w:val="26"/>
          <w:szCs w:val="26"/>
        </w:rPr>
        <w:t>that this increased level of infrastructure replacement will greatly reduce the time required to retire all of its cast iron main.  Under its current spending levels, PGW would require 86 years to replace all of its cast iron</w:t>
      </w:r>
      <w:r w:rsidR="008F0FE4">
        <w:rPr>
          <w:sz w:val="26"/>
          <w:szCs w:val="26"/>
        </w:rPr>
        <w:t>.</w:t>
      </w:r>
      <w:r w:rsidR="00F46F76">
        <w:rPr>
          <w:sz w:val="26"/>
          <w:szCs w:val="26"/>
        </w:rPr>
        <w:t xml:space="preserve"> </w:t>
      </w:r>
      <w:r>
        <w:rPr>
          <w:sz w:val="26"/>
          <w:szCs w:val="26"/>
        </w:rPr>
        <w:t xml:space="preserve"> </w:t>
      </w:r>
      <w:r w:rsidR="00F46F76">
        <w:rPr>
          <w:sz w:val="26"/>
          <w:szCs w:val="26"/>
        </w:rPr>
        <w:t>Utili</w:t>
      </w:r>
      <w:r w:rsidR="00771A91">
        <w:rPr>
          <w:sz w:val="26"/>
          <w:szCs w:val="26"/>
        </w:rPr>
        <w:t xml:space="preserve">zing </w:t>
      </w:r>
      <w:r w:rsidR="00000A6D">
        <w:rPr>
          <w:sz w:val="26"/>
          <w:szCs w:val="26"/>
        </w:rPr>
        <w:t>t</w:t>
      </w:r>
      <w:r>
        <w:rPr>
          <w:sz w:val="26"/>
          <w:szCs w:val="26"/>
        </w:rPr>
        <w:t xml:space="preserve">he </w:t>
      </w:r>
      <w:r w:rsidR="008F0FE4">
        <w:rPr>
          <w:sz w:val="26"/>
          <w:szCs w:val="26"/>
        </w:rPr>
        <w:t xml:space="preserve">proposed </w:t>
      </w:r>
      <w:r>
        <w:rPr>
          <w:sz w:val="26"/>
          <w:szCs w:val="26"/>
        </w:rPr>
        <w:t xml:space="preserve">accelerated pace </w:t>
      </w:r>
      <w:r w:rsidR="00000A6D">
        <w:rPr>
          <w:sz w:val="26"/>
          <w:szCs w:val="26"/>
        </w:rPr>
        <w:t xml:space="preserve">beginning in FY 2017 </w:t>
      </w:r>
      <w:r>
        <w:rPr>
          <w:sz w:val="26"/>
          <w:szCs w:val="26"/>
        </w:rPr>
        <w:t xml:space="preserve">would reduce that </w:t>
      </w:r>
      <w:r w:rsidR="008F0FE4">
        <w:rPr>
          <w:sz w:val="26"/>
          <w:szCs w:val="26"/>
        </w:rPr>
        <w:t xml:space="preserve">time </w:t>
      </w:r>
      <w:r>
        <w:rPr>
          <w:sz w:val="26"/>
          <w:szCs w:val="26"/>
        </w:rPr>
        <w:t>to 48 years</w:t>
      </w:r>
      <w:r w:rsidR="007947CB">
        <w:rPr>
          <w:sz w:val="26"/>
          <w:szCs w:val="26"/>
        </w:rPr>
        <w:t xml:space="preserve">, </w:t>
      </w:r>
      <w:r w:rsidR="008F0FE4">
        <w:rPr>
          <w:sz w:val="26"/>
          <w:szCs w:val="26"/>
        </w:rPr>
        <w:t xml:space="preserve">which is </w:t>
      </w:r>
      <w:r w:rsidR="007947CB">
        <w:rPr>
          <w:sz w:val="26"/>
          <w:szCs w:val="26"/>
        </w:rPr>
        <w:t>a 44% reduction in time</w:t>
      </w:r>
      <w:r>
        <w:rPr>
          <w:sz w:val="26"/>
          <w:szCs w:val="26"/>
        </w:rPr>
        <w:t>.</w:t>
      </w:r>
    </w:p>
    <w:p w:rsidR="0077455C" w:rsidRDefault="0077455C" w:rsidP="00773D87">
      <w:pPr>
        <w:pStyle w:val="p2"/>
        <w:widowControl/>
        <w:spacing w:line="360" w:lineRule="auto"/>
        <w:ind w:firstLine="0"/>
        <w:rPr>
          <w:sz w:val="26"/>
          <w:szCs w:val="26"/>
        </w:rPr>
      </w:pPr>
    </w:p>
    <w:p w:rsidR="0043046A" w:rsidRDefault="008F0FE4"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43046A" w:rsidRDefault="0043046A" w:rsidP="00773D87">
      <w:pPr>
        <w:pStyle w:val="p7"/>
        <w:keepNext/>
        <w:widowControl/>
        <w:tabs>
          <w:tab w:val="clear" w:pos="1133"/>
          <w:tab w:val="left" w:pos="720"/>
          <w:tab w:val="left" w:pos="1350"/>
          <w:tab w:val="left" w:pos="1440"/>
        </w:tabs>
        <w:spacing w:line="360" w:lineRule="auto"/>
        <w:ind w:left="0" w:firstLine="0"/>
        <w:jc w:val="both"/>
        <w:rPr>
          <w:b/>
          <w:sz w:val="26"/>
          <w:szCs w:val="26"/>
        </w:rPr>
      </w:pPr>
    </w:p>
    <w:p w:rsidR="009450B4" w:rsidRDefault="00A70709" w:rsidP="009450B4">
      <w:pPr>
        <w:pStyle w:val="p2"/>
        <w:widowControl/>
        <w:spacing w:line="360" w:lineRule="auto"/>
        <w:ind w:firstLine="1440"/>
        <w:rPr>
          <w:sz w:val="26"/>
          <w:szCs w:val="26"/>
        </w:rPr>
      </w:pPr>
      <w:r w:rsidRPr="00A70709">
        <w:rPr>
          <w:sz w:val="26"/>
          <w:szCs w:val="26"/>
        </w:rPr>
        <w:t>Upon review of PGW’s modified LTIIP</w:t>
      </w:r>
      <w:r>
        <w:rPr>
          <w:sz w:val="26"/>
          <w:szCs w:val="26"/>
        </w:rPr>
        <w:t>, t</w:t>
      </w:r>
      <w:r w:rsidR="007947CB">
        <w:rPr>
          <w:sz w:val="26"/>
          <w:szCs w:val="26"/>
        </w:rPr>
        <w:t>he Commission believes PGW</w:t>
      </w:r>
      <w:r w:rsidR="008F0FE4">
        <w:rPr>
          <w:sz w:val="26"/>
          <w:szCs w:val="26"/>
        </w:rPr>
        <w:t>’s</w:t>
      </w:r>
      <w:r w:rsidR="007947CB">
        <w:rPr>
          <w:sz w:val="26"/>
          <w:szCs w:val="26"/>
        </w:rPr>
        <w:t xml:space="preserve"> increased spending on infrastructure replacement through its increased DSIC cap to be in the public interest.  It </w:t>
      </w:r>
      <w:r w:rsidR="00771A91">
        <w:rPr>
          <w:sz w:val="26"/>
          <w:szCs w:val="26"/>
        </w:rPr>
        <w:t>should</w:t>
      </w:r>
      <w:r w:rsidR="007947CB">
        <w:rPr>
          <w:sz w:val="26"/>
          <w:szCs w:val="26"/>
        </w:rPr>
        <w:t xml:space="preserve"> greatly accelerate PGW’s replacement of </w:t>
      </w:r>
      <w:r w:rsidR="00DA3579">
        <w:rPr>
          <w:sz w:val="26"/>
          <w:szCs w:val="26"/>
        </w:rPr>
        <w:t>at risk</w:t>
      </w:r>
      <w:r w:rsidR="007947CB">
        <w:rPr>
          <w:sz w:val="26"/>
          <w:szCs w:val="26"/>
        </w:rPr>
        <w:t xml:space="preserve"> pipe, </w:t>
      </w:r>
      <w:r w:rsidR="00771A91">
        <w:rPr>
          <w:sz w:val="26"/>
          <w:szCs w:val="26"/>
        </w:rPr>
        <w:t>which will provide</w:t>
      </w:r>
      <w:r w:rsidR="007947CB">
        <w:rPr>
          <w:sz w:val="26"/>
          <w:szCs w:val="26"/>
        </w:rPr>
        <w:t xml:space="preserve"> increased safety and reliability through the reduction of main breaks and leaks.</w:t>
      </w:r>
    </w:p>
    <w:p w:rsidR="009450B4" w:rsidRDefault="009450B4" w:rsidP="009450B4">
      <w:pPr>
        <w:pStyle w:val="p2"/>
        <w:widowControl/>
        <w:spacing w:line="360" w:lineRule="auto"/>
        <w:ind w:firstLine="1440"/>
        <w:rPr>
          <w:sz w:val="26"/>
          <w:szCs w:val="26"/>
        </w:rPr>
      </w:pPr>
    </w:p>
    <w:p w:rsidR="0077455C" w:rsidRPr="00BA5D6B" w:rsidRDefault="008F0FE4" w:rsidP="00951D28">
      <w:pPr>
        <w:pStyle w:val="p7"/>
        <w:keepNext/>
        <w:widowControl/>
        <w:tabs>
          <w:tab w:val="clear" w:pos="1133"/>
          <w:tab w:val="left" w:pos="720"/>
          <w:tab w:val="left" w:pos="1350"/>
          <w:tab w:val="left" w:pos="1440"/>
        </w:tabs>
        <w:spacing w:line="360" w:lineRule="auto"/>
        <w:ind w:left="0" w:firstLine="0"/>
        <w:rPr>
          <w:b/>
          <w:caps/>
          <w:sz w:val="26"/>
          <w:szCs w:val="26"/>
        </w:rPr>
      </w:pPr>
      <w:r>
        <w:rPr>
          <w:b/>
          <w:caps/>
          <w:sz w:val="26"/>
          <w:szCs w:val="26"/>
        </w:rPr>
        <w:t>(2)</w:t>
      </w:r>
      <w:r>
        <w:rPr>
          <w:b/>
          <w:caps/>
          <w:sz w:val="26"/>
          <w:szCs w:val="26"/>
        </w:rPr>
        <w:tab/>
      </w:r>
      <w:r>
        <w:rPr>
          <w:b/>
          <w:caps/>
          <w:sz w:val="26"/>
          <w:szCs w:val="26"/>
        </w:rPr>
        <w:tab/>
      </w:r>
      <w:r>
        <w:rPr>
          <w:b/>
          <w:caps/>
          <w:sz w:val="26"/>
          <w:szCs w:val="26"/>
        </w:rPr>
        <w:tab/>
      </w:r>
      <w:r w:rsidR="00BA5D6B" w:rsidRPr="00BA5D6B">
        <w:rPr>
          <w:b/>
          <w:caps/>
          <w:sz w:val="26"/>
          <w:szCs w:val="26"/>
        </w:rPr>
        <w:t xml:space="preserve">An update to the priorities for accelerated </w:t>
      </w:r>
      <w:r>
        <w:rPr>
          <w:b/>
          <w:caps/>
          <w:sz w:val="26"/>
          <w:szCs w:val="26"/>
        </w:rPr>
        <w:tab/>
      </w:r>
      <w:r>
        <w:rPr>
          <w:b/>
          <w:caps/>
          <w:sz w:val="26"/>
          <w:szCs w:val="26"/>
        </w:rPr>
        <w:tab/>
      </w:r>
      <w:r>
        <w:rPr>
          <w:b/>
          <w:caps/>
          <w:sz w:val="26"/>
          <w:szCs w:val="26"/>
        </w:rPr>
        <w:tab/>
      </w:r>
      <w:r>
        <w:rPr>
          <w:b/>
          <w:caps/>
          <w:sz w:val="26"/>
          <w:szCs w:val="26"/>
        </w:rPr>
        <w:tab/>
      </w:r>
      <w:r>
        <w:rPr>
          <w:b/>
          <w:caps/>
          <w:sz w:val="26"/>
          <w:szCs w:val="26"/>
        </w:rPr>
        <w:tab/>
      </w:r>
      <w:r w:rsidR="00BA5D6B">
        <w:rPr>
          <w:b/>
          <w:caps/>
          <w:sz w:val="26"/>
          <w:szCs w:val="26"/>
        </w:rPr>
        <w:t xml:space="preserve">PIPELINE </w:t>
      </w:r>
      <w:r w:rsidR="00BA5D6B" w:rsidRPr="00BA5D6B">
        <w:rPr>
          <w:b/>
          <w:caps/>
          <w:sz w:val="26"/>
          <w:szCs w:val="26"/>
        </w:rPr>
        <w:t>replacement</w:t>
      </w:r>
    </w:p>
    <w:p w:rsidR="0077455C" w:rsidRDefault="0077455C" w:rsidP="009450B4">
      <w:pPr>
        <w:pStyle w:val="p7"/>
        <w:keepNext/>
        <w:widowControl/>
        <w:tabs>
          <w:tab w:val="clear" w:pos="1133"/>
          <w:tab w:val="left" w:pos="720"/>
          <w:tab w:val="left" w:pos="1350"/>
          <w:tab w:val="left" w:pos="1440"/>
        </w:tabs>
        <w:spacing w:line="360" w:lineRule="auto"/>
        <w:jc w:val="both"/>
        <w:rPr>
          <w:sz w:val="26"/>
          <w:szCs w:val="26"/>
        </w:rPr>
      </w:pPr>
    </w:p>
    <w:p w:rsidR="0077455C" w:rsidRDefault="00BA5D6B" w:rsidP="009450B4">
      <w:pPr>
        <w:pStyle w:val="p7"/>
        <w:widowControl/>
        <w:tabs>
          <w:tab w:val="clear" w:pos="782"/>
          <w:tab w:val="clear" w:pos="1133"/>
        </w:tabs>
        <w:spacing w:line="360" w:lineRule="auto"/>
        <w:ind w:left="0" w:firstLine="1440"/>
        <w:rPr>
          <w:sz w:val="26"/>
          <w:szCs w:val="26"/>
        </w:rPr>
      </w:pPr>
      <w:r>
        <w:rPr>
          <w:sz w:val="26"/>
          <w:szCs w:val="26"/>
        </w:rPr>
        <w:t>PGW</w:t>
      </w:r>
      <w:r w:rsidR="00951D28">
        <w:rPr>
          <w:sz w:val="26"/>
          <w:szCs w:val="26"/>
        </w:rPr>
        <w:t xml:space="preserve"> </w:t>
      </w:r>
      <w:r w:rsidR="00771A91">
        <w:rPr>
          <w:sz w:val="26"/>
          <w:szCs w:val="26"/>
        </w:rPr>
        <w:t>stated</w:t>
      </w:r>
      <w:r w:rsidR="00951D28">
        <w:rPr>
          <w:sz w:val="26"/>
          <w:szCs w:val="26"/>
        </w:rPr>
        <w:t xml:space="preserve"> that it</w:t>
      </w:r>
      <w:r>
        <w:rPr>
          <w:sz w:val="26"/>
          <w:szCs w:val="26"/>
        </w:rPr>
        <w:t xml:space="preserve"> </w:t>
      </w:r>
      <w:r w:rsidR="00D54509">
        <w:rPr>
          <w:sz w:val="26"/>
          <w:szCs w:val="26"/>
        </w:rPr>
        <w:t xml:space="preserve">recently revised its </w:t>
      </w:r>
      <w:r w:rsidR="008F0FE4">
        <w:rPr>
          <w:sz w:val="26"/>
          <w:szCs w:val="26"/>
        </w:rPr>
        <w:t>DIMP</w:t>
      </w:r>
      <w:r w:rsidR="00D54509">
        <w:rPr>
          <w:sz w:val="26"/>
          <w:szCs w:val="26"/>
        </w:rPr>
        <w:t xml:space="preserve"> in accordance with </w:t>
      </w:r>
      <w:r>
        <w:rPr>
          <w:sz w:val="26"/>
          <w:szCs w:val="26"/>
        </w:rPr>
        <w:t>a non-compl</w:t>
      </w:r>
      <w:r w:rsidR="00D54509">
        <w:rPr>
          <w:sz w:val="26"/>
          <w:szCs w:val="26"/>
        </w:rPr>
        <w:t xml:space="preserve">iance letter </w:t>
      </w:r>
      <w:r w:rsidR="0075572A">
        <w:rPr>
          <w:sz w:val="26"/>
          <w:szCs w:val="26"/>
        </w:rPr>
        <w:t xml:space="preserve">received </w:t>
      </w:r>
      <w:r w:rsidR="00D54509">
        <w:rPr>
          <w:sz w:val="26"/>
          <w:szCs w:val="26"/>
        </w:rPr>
        <w:t xml:space="preserve">from the </w:t>
      </w:r>
      <w:r w:rsidR="008F0FE4">
        <w:rPr>
          <w:sz w:val="26"/>
          <w:szCs w:val="26"/>
        </w:rPr>
        <w:t>Commission’s Bureau of Investigation &amp; Enforcement (</w:t>
      </w:r>
      <w:r w:rsidR="00D54509">
        <w:rPr>
          <w:sz w:val="26"/>
          <w:szCs w:val="26"/>
        </w:rPr>
        <w:t>BIE</w:t>
      </w:r>
      <w:r w:rsidR="008F0FE4">
        <w:rPr>
          <w:sz w:val="26"/>
          <w:szCs w:val="26"/>
        </w:rPr>
        <w:t>)</w:t>
      </w:r>
      <w:r w:rsidR="0075572A">
        <w:rPr>
          <w:sz w:val="26"/>
          <w:szCs w:val="26"/>
        </w:rPr>
        <w:t xml:space="preserve"> on </w:t>
      </w:r>
      <w:r w:rsidR="00D54509">
        <w:rPr>
          <w:sz w:val="26"/>
          <w:szCs w:val="26"/>
        </w:rPr>
        <w:t>March 4, 2015.  PGW explain</w:t>
      </w:r>
      <w:r w:rsidR="008F0FE4">
        <w:rPr>
          <w:sz w:val="26"/>
          <w:szCs w:val="26"/>
        </w:rPr>
        <w:t>ed</w:t>
      </w:r>
      <w:r w:rsidR="00D54509">
        <w:rPr>
          <w:sz w:val="26"/>
          <w:szCs w:val="26"/>
        </w:rPr>
        <w:t xml:space="preserve"> that this revision mainly include</w:t>
      </w:r>
      <w:r w:rsidR="008F0FE4">
        <w:rPr>
          <w:sz w:val="26"/>
          <w:szCs w:val="26"/>
        </w:rPr>
        <w:t>d</w:t>
      </w:r>
      <w:r w:rsidR="00D54509">
        <w:rPr>
          <w:sz w:val="26"/>
          <w:szCs w:val="26"/>
        </w:rPr>
        <w:t xml:space="preserve"> a new relative risk ranking model, </w:t>
      </w:r>
      <w:r w:rsidR="008F0FE4">
        <w:rPr>
          <w:sz w:val="26"/>
          <w:szCs w:val="26"/>
        </w:rPr>
        <w:t xml:space="preserve">which </w:t>
      </w:r>
      <w:r w:rsidR="00D54509">
        <w:rPr>
          <w:sz w:val="26"/>
          <w:szCs w:val="26"/>
        </w:rPr>
        <w:t>better allo</w:t>
      </w:r>
      <w:r w:rsidR="008F0FE4">
        <w:rPr>
          <w:sz w:val="26"/>
          <w:szCs w:val="26"/>
        </w:rPr>
        <w:t>wed</w:t>
      </w:r>
      <w:r w:rsidR="00D54509">
        <w:rPr>
          <w:sz w:val="26"/>
          <w:szCs w:val="26"/>
        </w:rPr>
        <w:t xml:space="preserve"> PGW to identify the high-risk assets that need</w:t>
      </w:r>
      <w:r w:rsidR="008F0FE4">
        <w:rPr>
          <w:sz w:val="26"/>
          <w:szCs w:val="26"/>
        </w:rPr>
        <w:t>ed</w:t>
      </w:r>
      <w:r w:rsidR="00D54509">
        <w:rPr>
          <w:sz w:val="26"/>
          <w:szCs w:val="26"/>
        </w:rPr>
        <w:t xml:space="preserve"> to be addressed to reduce overall risk.  According to PGW, </w:t>
      </w:r>
      <w:r w:rsidR="00A10DC1">
        <w:rPr>
          <w:sz w:val="26"/>
          <w:szCs w:val="26"/>
        </w:rPr>
        <w:t>BIE’s</w:t>
      </w:r>
      <w:r w:rsidR="00D54509">
        <w:rPr>
          <w:sz w:val="26"/>
          <w:szCs w:val="26"/>
        </w:rPr>
        <w:t xml:space="preserve"> Gas Safety Division has reviewed the changes to the program and has deemed PGW’s DIMP as compliant with the</w:t>
      </w:r>
      <w:r w:rsidR="0075572A">
        <w:rPr>
          <w:sz w:val="26"/>
          <w:szCs w:val="26"/>
        </w:rPr>
        <w:t xml:space="preserve"> PHMSA </w:t>
      </w:r>
      <w:r w:rsidR="00D54509">
        <w:rPr>
          <w:sz w:val="26"/>
          <w:szCs w:val="26"/>
        </w:rPr>
        <w:t>requirements.</w:t>
      </w:r>
      <w:r w:rsidR="00F1131E">
        <w:rPr>
          <w:rStyle w:val="FootnoteReference"/>
          <w:sz w:val="26"/>
          <w:szCs w:val="26"/>
        </w:rPr>
        <w:footnoteReference w:id="9"/>
      </w:r>
      <w:r w:rsidR="00304AFE">
        <w:rPr>
          <w:sz w:val="26"/>
          <w:szCs w:val="26"/>
        </w:rPr>
        <w:t xml:space="preserve">  </w:t>
      </w:r>
      <w:r w:rsidR="00DA3579">
        <w:rPr>
          <w:sz w:val="26"/>
          <w:szCs w:val="26"/>
        </w:rPr>
        <w:t xml:space="preserve">In support, PGW provided a DIMP Inspection Report from BIE, dated </w:t>
      </w:r>
      <w:r w:rsidR="00304AFE">
        <w:rPr>
          <w:sz w:val="26"/>
          <w:szCs w:val="26"/>
        </w:rPr>
        <w:t xml:space="preserve">February </w:t>
      </w:r>
      <w:r w:rsidR="00972A4D">
        <w:rPr>
          <w:sz w:val="26"/>
          <w:szCs w:val="26"/>
        </w:rPr>
        <w:t>3</w:t>
      </w:r>
      <w:r w:rsidR="00304AFE">
        <w:rPr>
          <w:sz w:val="26"/>
          <w:szCs w:val="26"/>
        </w:rPr>
        <w:t>, 2016, which states that, “</w:t>
      </w:r>
      <w:r w:rsidR="00304AFE" w:rsidRPr="00845E30">
        <w:rPr>
          <w:sz w:val="26"/>
          <w:szCs w:val="26"/>
        </w:rPr>
        <w:t>No violations [were] found during the inspection.”</w:t>
      </w:r>
    </w:p>
    <w:p w:rsidR="00E9605F" w:rsidRDefault="00E9605F" w:rsidP="009450B4">
      <w:pPr>
        <w:pStyle w:val="p7"/>
        <w:widowControl/>
        <w:tabs>
          <w:tab w:val="clear" w:pos="782"/>
          <w:tab w:val="clear" w:pos="1133"/>
        </w:tabs>
        <w:spacing w:line="360" w:lineRule="auto"/>
        <w:ind w:left="0" w:firstLine="1440"/>
        <w:rPr>
          <w:sz w:val="26"/>
          <w:szCs w:val="26"/>
        </w:rPr>
      </w:pPr>
    </w:p>
    <w:p w:rsidR="0077455C" w:rsidRDefault="001F28E8" w:rsidP="0043046A">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lastRenderedPageBreak/>
        <w:t>Disposition</w:t>
      </w:r>
    </w:p>
    <w:p w:rsidR="0043046A" w:rsidRPr="002372D6" w:rsidRDefault="0043046A" w:rsidP="0043046A">
      <w:pPr>
        <w:pStyle w:val="p7"/>
        <w:widowControl/>
        <w:tabs>
          <w:tab w:val="clear" w:pos="1133"/>
          <w:tab w:val="left" w:pos="720"/>
          <w:tab w:val="left" w:pos="1350"/>
          <w:tab w:val="left" w:pos="1440"/>
        </w:tabs>
        <w:spacing w:line="360" w:lineRule="auto"/>
        <w:ind w:left="0" w:firstLine="0"/>
        <w:jc w:val="both"/>
        <w:rPr>
          <w:b/>
          <w:sz w:val="26"/>
          <w:szCs w:val="26"/>
        </w:rPr>
      </w:pPr>
    </w:p>
    <w:p w:rsidR="0077455C" w:rsidRDefault="0077455C" w:rsidP="00773D87">
      <w:pPr>
        <w:pStyle w:val="p2"/>
        <w:widowControl/>
        <w:spacing w:line="360" w:lineRule="auto"/>
        <w:ind w:firstLine="1440"/>
        <w:rPr>
          <w:sz w:val="26"/>
          <w:szCs w:val="26"/>
        </w:rPr>
      </w:pPr>
      <w:r>
        <w:rPr>
          <w:sz w:val="26"/>
          <w:szCs w:val="26"/>
        </w:rPr>
        <w:tab/>
      </w:r>
      <w:r w:rsidR="00304AFE">
        <w:rPr>
          <w:sz w:val="26"/>
          <w:szCs w:val="26"/>
        </w:rPr>
        <w:t xml:space="preserve">Based upon </w:t>
      </w:r>
      <w:r w:rsidR="00972A4D">
        <w:rPr>
          <w:sz w:val="26"/>
          <w:szCs w:val="26"/>
        </w:rPr>
        <w:t xml:space="preserve">review of PGW’s filing and </w:t>
      </w:r>
      <w:r w:rsidR="00304AFE">
        <w:rPr>
          <w:sz w:val="26"/>
          <w:szCs w:val="26"/>
        </w:rPr>
        <w:t xml:space="preserve">BIE’s </w:t>
      </w:r>
      <w:r w:rsidR="00972A4D">
        <w:rPr>
          <w:sz w:val="26"/>
          <w:szCs w:val="26"/>
        </w:rPr>
        <w:t xml:space="preserve">February 3, 2016, </w:t>
      </w:r>
      <w:r w:rsidR="00304AFE">
        <w:rPr>
          <w:sz w:val="26"/>
          <w:szCs w:val="26"/>
        </w:rPr>
        <w:t xml:space="preserve">DIMP Inspection Report, it appears that PGW has addressed the deficiencies related to their DIMP.  Therefore, PGW’s </w:t>
      </w:r>
      <w:r w:rsidR="00972A4D">
        <w:rPr>
          <w:sz w:val="26"/>
          <w:szCs w:val="26"/>
        </w:rPr>
        <w:t>priority of scheduling</w:t>
      </w:r>
      <w:r w:rsidR="00304AFE">
        <w:rPr>
          <w:sz w:val="26"/>
          <w:szCs w:val="26"/>
        </w:rPr>
        <w:t xml:space="preserve"> for pipeline replacement </w:t>
      </w:r>
      <w:r w:rsidR="00972A4D">
        <w:rPr>
          <w:sz w:val="26"/>
          <w:szCs w:val="26"/>
        </w:rPr>
        <w:t>appears to be</w:t>
      </w:r>
      <w:r w:rsidR="00304AFE">
        <w:rPr>
          <w:sz w:val="26"/>
          <w:szCs w:val="26"/>
        </w:rPr>
        <w:t xml:space="preserve"> sufficient.</w:t>
      </w:r>
    </w:p>
    <w:p w:rsidR="0077455C" w:rsidRDefault="0077455C" w:rsidP="00773D87">
      <w:pPr>
        <w:pStyle w:val="p7"/>
        <w:widowControl/>
        <w:tabs>
          <w:tab w:val="clear" w:pos="1133"/>
          <w:tab w:val="left" w:pos="720"/>
          <w:tab w:val="left" w:pos="1350"/>
          <w:tab w:val="left" w:pos="1440"/>
        </w:tabs>
        <w:spacing w:line="360" w:lineRule="auto"/>
        <w:ind w:left="0" w:firstLine="0"/>
        <w:jc w:val="both"/>
        <w:rPr>
          <w:sz w:val="26"/>
          <w:szCs w:val="26"/>
        </w:rPr>
      </w:pPr>
    </w:p>
    <w:p w:rsidR="00142810" w:rsidRPr="00BA5D6B" w:rsidRDefault="001F28E8" w:rsidP="00951D28">
      <w:pPr>
        <w:pStyle w:val="p7"/>
        <w:keepNext/>
        <w:widowControl/>
        <w:tabs>
          <w:tab w:val="clear" w:pos="1133"/>
          <w:tab w:val="left" w:pos="720"/>
          <w:tab w:val="left" w:pos="1350"/>
          <w:tab w:val="left" w:pos="1440"/>
        </w:tabs>
        <w:spacing w:line="360" w:lineRule="auto"/>
        <w:ind w:left="0" w:firstLine="0"/>
        <w:rPr>
          <w:b/>
          <w:caps/>
          <w:sz w:val="26"/>
          <w:szCs w:val="26"/>
        </w:rPr>
      </w:pPr>
      <w:r>
        <w:rPr>
          <w:b/>
          <w:caps/>
          <w:sz w:val="26"/>
          <w:szCs w:val="26"/>
        </w:rPr>
        <w:t>(3)</w:t>
      </w:r>
      <w:r>
        <w:rPr>
          <w:b/>
          <w:caps/>
          <w:sz w:val="26"/>
          <w:szCs w:val="26"/>
        </w:rPr>
        <w:tab/>
      </w:r>
      <w:r>
        <w:rPr>
          <w:b/>
          <w:caps/>
          <w:sz w:val="26"/>
          <w:szCs w:val="26"/>
        </w:rPr>
        <w:tab/>
      </w:r>
      <w:r>
        <w:rPr>
          <w:b/>
          <w:caps/>
          <w:sz w:val="26"/>
          <w:szCs w:val="26"/>
        </w:rPr>
        <w:tab/>
      </w:r>
      <w:r w:rsidR="00142810">
        <w:rPr>
          <w:b/>
          <w:caps/>
          <w:sz w:val="26"/>
          <w:szCs w:val="26"/>
        </w:rPr>
        <w:t>WORKFORCE MANAGEMENT AND TRAINING PROGRAM</w:t>
      </w:r>
    </w:p>
    <w:p w:rsidR="0077455C" w:rsidRPr="00B350F2" w:rsidRDefault="0077455C"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rsidR="0077455C" w:rsidRDefault="00142810" w:rsidP="00142810">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ab/>
      </w:r>
      <w:r>
        <w:rPr>
          <w:sz w:val="26"/>
          <w:szCs w:val="26"/>
        </w:rPr>
        <w:tab/>
      </w:r>
      <w:r>
        <w:rPr>
          <w:sz w:val="26"/>
          <w:szCs w:val="26"/>
        </w:rPr>
        <w:tab/>
      </w:r>
      <w:r w:rsidR="00F1131E">
        <w:rPr>
          <w:sz w:val="26"/>
          <w:szCs w:val="26"/>
        </w:rPr>
        <w:t xml:space="preserve">PGW noted that the PHMSA Safety Regulations require natural gas utilities to have </w:t>
      </w:r>
      <w:r>
        <w:rPr>
          <w:sz w:val="26"/>
          <w:szCs w:val="26"/>
        </w:rPr>
        <w:t>a written program in place to ensure that all individuals working on the distribution system are qualified for the work that they are performing and to provide training in the cases where such individuals are not qualified.</w:t>
      </w:r>
      <w:r w:rsidR="00F1131E">
        <w:rPr>
          <w:rStyle w:val="FootnoteReference"/>
          <w:sz w:val="26"/>
          <w:szCs w:val="26"/>
        </w:rPr>
        <w:footnoteReference w:id="10"/>
      </w:r>
      <w:r w:rsidR="00F1131E">
        <w:rPr>
          <w:sz w:val="26"/>
          <w:szCs w:val="26"/>
        </w:rPr>
        <w:t xml:space="preserve">  The LTIIP regulations also require a</w:t>
      </w:r>
      <w:r w:rsidR="00F1131E" w:rsidRPr="00F1131E">
        <w:rPr>
          <w:sz w:val="26"/>
          <w:szCs w:val="26"/>
        </w:rPr>
        <w:t xml:space="preserve"> workforce management and training program to ensure that the utility will have </w:t>
      </w:r>
      <w:r w:rsidR="00F1131E">
        <w:rPr>
          <w:sz w:val="26"/>
          <w:szCs w:val="26"/>
        </w:rPr>
        <w:t>access to a qualified workforce.</w:t>
      </w:r>
      <w:r w:rsidR="00F1131E">
        <w:rPr>
          <w:rStyle w:val="FootnoteReference"/>
          <w:sz w:val="26"/>
          <w:szCs w:val="26"/>
        </w:rPr>
        <w:footnoteReference w:id="11"/>
      </w:r>
      <w:r w:rsidR="00F1131E">
        <w:rPr>
          <w:sz w:val="26"/>
          <w:szCs w:val="26"/>
        </w:rPr>
        <w:t xml:space="preserve">  PGW’s modified LTIIP included a section that further addressed how PGW would ensure its staff and contractors met the requirements of the PHMSA and LTIIP regulations.</w:t>
      </w:r>
    </w:p>
    <w:p w:rsidR="00142810" w:rsidRDefault="00142810" w:rsidP="00142810">
      <w:pPr>
        <w:pStyle w:val="p7"/>
        <w:widowControl/>
        <w:tabs>
          <w:tab w:val="clear" w:pos="1133"/>
          <w:tab w:val="left" w:pos="720"/>
          <w:tab w:val="left" w:pos="1350"/>
          <w:tab w:val="left" w:pos="1440"/>
          <w:tab w:val="left" w:pos="1530"/>
        </w:tabs>
        <w:spacing w:line="360" w:lineRule="auto"/>
        <w:ind w:left="0" w:firstLine="0"/>
        <w:rPr>
          <w:sz w:val="26"/>
          <w:szCs w:val="26"/>
        </w:rPr>
      </w:pPr>
    </w:p>
    <w:p w:rsidR="00142810" w:rsidRDefault="00142810" w:rsidP="00142810">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ab/>
      </w:r>
      <w:r>
        <w:rPr>
          <w:sz w:val="26"/>
          <w:szCs w:val="26"/>
        </w:rPr>
        <w:tab/>
      </w:r>
      <w:r>
        <w:rPr>
          <w:sz w:val="26"/>
          <w:szCs w:val="26"/>
        </w:rPr>
        <w:tab/>
        <w:t>PGW describe</w:t>
      </w:r>
      <w:r w:rsidR="00F1131E">
        <w:rPr>
          <w:sz w:val="26"/>
          <w:szCs w:val="26"/>
        </w:rPr>
        <w:t>d</w:t>
      </w:r>
      <w:r>
        <w:rPr>
          <w:sz w:val="26"/>
          <w:szCs w:val="26"/>
        </w:rPr>
        <w:t xml:space="preserve"> its management structure for construction, restoration, and project supervision.  The Company explain</w:t>
      </w:r>
      <w:r w:rsidR="00F1131E">
        <w:rPr>
          <w:sz w:val="26"/>
          <w:szCs w:val="26"/>
        </w:rPr>
        <w:t>ed</w:t>
      </w:r>
      <w:r>
        <w:rPr>
          <w:sz w:val="26"/>
          <w:szCs w:val="26"/>
        </w:rPr>
        <w:t xml:space="preserve"> how its project bidding process is structured, and how this process ensure</w:t>
      </w:r>
      <w:r w:rsidR="00F1131E">
        <w:rPr>
          <w:sz w:val="26"/>
          <w:szCs w:val="26"/>
        </w:rPr>
        <w:t>d</w:t>
      </w:r>
      <w:r>
        <w:rPr>
          <w:sz w:val="26"/>
          <w:szCs w:val="26"/>
        </w:rPr>
        <w:t xml:space="preserve"> that only qualified individuals are able to bid on each PGW project.  PGW also discusse</w:t>
      </w:r>
      <w:r w:rsidR="00F1131E">
        <w:rPr>
          <w:sz w:val="26"/>
          <w:szCs w:val="26"/>
        </w:rPr>
        <w:t>d</w:t>
      </w:r>
      <w:r>
        <w:rPr>
          <w:sz w:val="26"/>
          <w:szCs w:val="26"/>
        </w:rPr>
        <w:t xml:space="preserve"> how it has been training contractors to be qualified in </w:t>
      </w:r>
      <w:r w:rsidR="00A11C5B">
        <w:rPr>
          <w:sz w:val="26"/>
          <w:szCs w:val="26"/>
        </w:rPr>
        <w:t>new types of work (live gas work), and describe</w:t>
      </w:r>
      <w:r w:rsidR="00F1131E">
        <w:rPr>
          <w:sz w:val="26"/>
          <w:szCs w:val="26"/>
        </w:rPr>
        <w:t>d</w:t>
      </w:r>
      <w:r w:rsidR="00A11C5B">
        <w:rPr>
          <w:sz w:val="26"/>
          <w:szCs w:val="26"/>
        </w:rPr>
        <w:t xml:space="preserve"> its dedicated Training Section, which provide</w:t>
      </w:r>
      <w:r w:rsidR="00F1131E">
        <w:rPr>
          <w:sz w:val="26"/>
          <w:szCs w:val="26"/>
        </w:rPr>
        <w:t>s</w:t>
      </w:r>
      <w:r w:rsidR="00A11C5B">
        <w:rPr>
          <w:sz w:val="26"/>
          <w:szCs w:val="26"/>
        </w:rPr>
        <w:t xml:space="preserve"> both classroom and field training for PGW employees and outside contractors.</w:t>
      </w:r>
    </w:p>
    <w:p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E217EF" w:rsidRDefault="00E217EF"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Default="00F1131E"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Pr>
          <w:b/>
          <w:sz w:val="26"/>
          <w:szCs w:val="26"/>
        </w:rPr>
        <w:lastRenderedPageBreak/>
        <w:t>Disposition</w:t>
      </w:r>
    </w:p>
    <w:p w:rsidR="0077455C" w:rsidRPr="002372D6"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rsidR="0077455C" w:rsidRDefault="0077455C" w:rsidP="00773D87">
      <w:pPr>
        <w:pStyle w:val="p2"/>
        <w:widowControl/>
        <w:spacing w:line="360" w:lineRule="auto"/>
        <w:ind w:firstLine="1440"/>
        <w:rPr>
          <w:sz w:val="26"/>
          <w:szCs w:val="26"/>
        </w:rPr>
      </w:pPr>
      <w:r>
        <w:rPr>
          <w:sz w:val="26"/>
          <w:szCs w:val="26"/>
        </w:rPr>
        <w:tab/>
      </w:r>
      <w:r w:rsidR="00A70709" w:rsidRPr="00A70709">
        <w:rPr>
          <w:sz w:val="26"/>
          <w:szCs w:val="26"/>
        </w:rPr>
        <w:t>Upon review of PGW’s modified LTIIP</w:t>
      </w:r>
      <w:r w:rsidR="00A70709">
        <w:rPr>
          <w:sz w:val="26"/>
          <w:szCs w:val="26"/>
        </w:rPr>
        <w:t>, i</w:t>
      </w:r>
      <w:r w:rsidR="00F1131E">
        <w:rPr>
          <w:sz w:val="26"/>
          <w:szCs w:val="26"/>
        </w:rPr>
        <w:t xml:space="preserve">t appears </w:t>
      </w:r>
      <w:r w:rsidR="0015684E">
        <w:rPr>
          <w:sz w:val="26"/>
          <w:szCs w:val="26"/>
        </w:rPr>
        <w:t>PGW</w:t>
      </w:r>
      <w:r w:rsidR="00F1131E">
        <w:rPr>
          <w:sz w:val="26"/>
          <w:szCs w:val="26"/>
        </w:rPr>
        <w:t xml:space="preserve"> adequately addresses the requirements of ensuring that</w:t>
      </w:r>
      <w:r w:rsidR="00A70709">
        <w:rPr>
          <w:sz w:val="26"/>
          <w:szCs w:val="26"/>
        </w:rPr>
        <w:t xml:space="preserve"> </w:t>
      </w:r>
      <w:r w:rsidR="0015684E">
        <w:rPr>
          <w:sz w:val="26"/>
          <w:szCs w:val="26"/>
        </w:rPr>
        <w:t>it</w:t>
      </w:r>
      <w:r w:rsidR="00A70709">
        <w:rPr>
          <w:sz w:val="26"/>
          <w:szCs w:val="26"/>
        </w:rPr>
        <w:t xml:space="preserve"> has qualified workers that are trained to perform work safely and effectively</w:t>
      </w:r>
      <w:r>
        <w:rPr>
          <w:sz w:val="26"/>
          <w:szCs w:val="26"/>
        </w:rPr>
        <w:t>.</w:t>
      </w:r>
      <w:r w:rsidR="00A70709" w:rsidRPr="00A70709">
        <w:rPr>
          <w:sz w:val="26"/>
          <w:szCs w:val="26"/>
        </w:rPr>
        <w:t xml:space="preserve"> </w:t>
      </w:r>
      <w:r w:rsidR="00A70709">
        <w:rPr>
          <w:sz w:val="26"/>
          <w:szCs w:val="26"/>
        </w:rPr>
        <w:t xml:space="preserve"> </w:t>
      </w:r>
      <w:r w:rsidR="0015684E">
        <w:rPr>
          <w:sz w:val="26"/>
          <w:szCs w:val="26"/>
        </w:rPr>
        <w:t xml:space="preserve">Therefore, the Commission finds the section on the </w:t>
      </w:r>
      <w:r w:rsidR="00A70709">
        <w:rPr>
          <w:sz w:val="26"/>
          <w:szCs w:val="26"/>
        </w:rPr>
        <w:t xml:space="preserve">workforce management and training program </w:t>
      </w:r>
      <w:r w:rsidR="0015684E">
        <w:rPr>
          <w:sz w:val="26"/>
          <w:szCs w:val="26"/>
        </w:rPr>
        <w:t xml:space="preserve">to be </w:t>
      </w:r>
      <w:r w:rsidR="00A70709" w:rsidRPr="00A70709">
        <w:rPr>
          <w:sz w:val="26"/>
          <w:szCs w:val="26"/>
        </w:rPr>
        <w:t>sufficient</w:t>
      </w:r>
      <w:r w:rsidR="00A70709">
        <w:rPr>
          <w:sz w:val="26"/>
          <w:szCs w:val="26"/>
        </w:rPr>
        <w:t>.</w:t>
      </w:r>
    </w:p>
    <w:p w:rsidR="0077455C" w:rsidRDefault="0077455C" w:rsidP="00773D87">
      <w:pPr>
        <w:pStyle w:val="p7"/>
        <w:widowControl/>
        <w:tabs>
          <w:tab w:val="clear" w:pos="1133"/>
          <w:tab w:val="left" w:pos="720"/>
          <w:tab w:val="left" w:pos="1350"/>
          <w:tab w:val="left" w:pos="1440"/>
          <w:tab w:val="left" w:pos="1530"/>
        </w:tabs>
        <w:spacing w:line="360" w:lineRule="auto"/>
        <w:jc w:val="both"/>
        <w:rPr>
          <w:sz w:val="26"/>
          <w:szCs w:val="26"/>
        </w:rPr>
      </w:pPr>
    </w:p>
    <w:p w:rsidR="00A11C5B" w:rsidRPr="00BA5D6B" w:rsidRDefault="00A70709" w:rsidP="00951D28">
      <w:pPr>
        <w:pStyle w:val="p7"/>
        <w:keepNext/>
        <w:widowControl/>
        <w:tabs>
          <w:tab w:val="clear" w:pos="1133"/>
          <w:tab w:val="left" w:pos="720"/>
          <w:tab w:val="left" w:pos="1350"/>
          <w:tab w:val="left" w:pos="1440"/>
        </w:tabs>
        <w:spacing w:line="360" w:lineRule="auto"/>
        <w:ind w:left="0" w:firstLine="0"/>
        <w:rPr>
          <w:b/>
          <w:caps/>
          <w:sz w:val="26"/>
          <w:szCs w:val="26"/>
        </w:rPr>
      </w:pPr>
      <w:r>
        <w:rPr>
          <w:b/>
          <w:caps/>
          <w:sz w:val="26"/>
          <w:szCs w:val="26"/>
        </w:rPr>
        <w:t>(4)</w:t>
      </w:r>
      <w:r>
        <w:rPr>
          <w:b/>
          <w:caps/>
          <w:sz w:val="26"/>
          <w:szCs w:val="26"/>
        </w:rPr>
        <w:tab/>
      </w:r>
      <w:r>
        <w:rPr>
          <w:b/>
          <w:caps/>
          <w:sz w:val="26"/>
          <w:szCs w:val="26"/>
        </w:rPr>
        <w:tab/>
      </w:r>
      <w:r>
        <w:rPr>
          <w:b/>
          <w:caps/>
          <w:sz w:val="26"/>
          <w:szCs w:val="26"/>
        </w:rPr>
        <w:tab/>
      </w:r>
      <w:r>
        <w:rPr>
          <w:b/>
          <w:caps/>
          <w:sz w:val="26"/>
          <w:szCs w:val="26"/>
        </w:rPr>
        <w:tab/>
      </w:r>
      <w:r w:rsidR="00A11C5B">
        <w:rPr>
          <w:b/>
          <w:caps/>
          <w:sz w:val="26"/>
          <w:szCs w:val="26"/>
        </w:rPr>
        <w:t>OUTREACH AND COORDINATION ACTIVITIES</w:t>
      </w:r>
    </w:p>
    <w:p w:rsidR="00135912" w:rsidRDefault="00135912"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77455C" w:rsidRDefault="00A70709"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PGW’s modified LTIIP included an added section on outreach and coordination activities.  As noted, above, this </w:t>
      </w:r>
      <w:r w:rsidRPr="00A70709">
        <w:rPr>
          <w:sz w:val="26"/>
          <w:szCs w:val="26"/>
        </w:rPr>
        <w:t>was a requirement adopted after the Company’s existing LTIIP was approved</w:t>
      </w:r>
      <w:r>
        <w:rPr>
          <w:sz w:val="26"/>
          <w:szCs w:val="26"/>
        </w:rPr>
        <w:t xml:space="preserve">.  The modified LTIIP described </w:t>
      </w:r>
      <w:r w:rsidR="00EC6E88">
        <w:rPr>
          <w:sz w:val="26"/>
          <w:szCs w:val="26"/>
        </w:rPr>
        <w:t xml:space="preserve">how </w:t>
      </w:r>
      <w:r>
        <w:rPr>
          <w:sz w:val="26"/>
          <w:szCs w:val="26"/>
        </w:rPr>
        <w:t>PGW</w:t>
      </w:r>
      <w:r w:rsidR="00EC6E88">
        <w:rPr>
          <w:sz w:val="26"/>
          <w:szCs w:val="26"/>
        </w:rPr>
        <w:t xml:space="preserve"> coordinates with a number of entities within its service territory, principally </w:t>
      </w:r>
      <w:r>
        <w:rPr>
          <w:sz w:val="26"/>
          <w:szCs w:val="26"/>
        </w:rPr>
        <w:t>the Pennsylvania Department of Transportation</w:t>
      </w:r>
      <w:r w:rsidR="00EC6E88">
        <w:rPr>
          <w:sz w:val="26"/>
          <w:szCs w:val="26"/>
        </w:rPr>
        <w:t>, the Philadelphia Water Department, and the City of Philadelphia</w:t>
      </w:r>
      <w:r w:rsidR="0077455C">
        <w:rPr>
          <w:sz w:val="26"/>
          <w:szCs w:val="26"/>
        </w:rPr>
        <w:t>.</w:t>
      </w:r>
      <w:r w:rsidR="00EC6E88">
        <w:rPr>
          <w:sz w:val="26"/>
          <w:szCs w:val="26"/>
        </w:rPr>
        <w:t xml:space="preserve">  PGW explain</w:t>
      </w:r>
      <w:r>
        <w:rPr>
          <w:sz w:val="26"/>
          <w:szCs w:val="26"/>
        </w:rPr>
        <w:t>ed</w:t>
      </w:r>
      <w:r w:rsidR="00EC6E88">
        <w:rPr>
          <w:sz w:val="26"/>
          <w:szCs w:val="26"/>
        </w:rPr>
        <w:t xml:space="preserve"> that it meets with these entities on a regular basis</w:t>
      </w:r>
      <w:r w:rsidR="00E9605F">
        <w:rPr>
          <w:sz w:val="26"/>
          <w:szCs w:val="26"/>
        </w:rPr>
        <w:t xml:space="preserve"> to</w:t>
      </w:r>
      <w:r w:rsidR="00EC6E88">
        <w:rPr>
          <w:sz w:val="26"/>
          <w:szCs w:val="26"/>
        </w:rPr>
        <w:t xml:space="preserve"> determin</w:t>
      </w:r>
      <w:r w:rsidR="00E9605F">
        <w:rPr>
          <w:sz w:val="26"/>
          <w:szCs w:val="26"/>
        </w:rPr>
        <w:t>e</w:t>
      </w:r>
      <w:r w:rsidR="00EC6E88">
        <w:rPr>
          <w:sz w:val="26"/>
          <w:szCs w:val="26"/>
        </w:rPr>
        <w:t xml:space="preserve"> if and when there are conflicts between their construction schedules.  In order to better facilitate </w:t>
      </w:r>
      <w:r>
        <w:rPr>
          <w:sz w:val="26"/>
          <w:szCs w:val="26"/>
        </w:rPr>
        <w:t>coordination</w:t>
      </w:r>
      <w:r w:rsidR="00EC6E88">
        <w:rPr>
          <w:sz w:val="26"/>
          <w:szCs w:val="26"/>
        </w:rPr>
        <w:t xml:space="preserve">, PGW </w:t>
      </w:r>
      <w:r>
        <w:rPr>
          <w:sz w:val="26"/>
          <w:szCs w:val="26"/>
        </w:rPr>
        <w:t xml:space="preserve">noted that it </w:t>
      </w:r>
      <w:r w:rsidR="00EC6E88">
        <w:rPr>
          <w:sz w:val="26"/>
          <w:szCs w:val="26"/>
        </w:rPr>
        <w:t>pla</w:t>
      </w:r>
      <w:r>
        <w:rPr>
          <w:sz w:val="26"/>
          <w:szCs w:val="26"/>
        </w:rPr>
        <w:t>n</w:t>
      </w:r>
      <w:r w:rsidR="00E9605F">
        <w:rPr>
          <w:sz w:val="26"/>
          <w:szCs w:val="26"/>
        </w:rPr>
        <w:t>s</w:t>
      </w:r>
      <w:r w:rsidR="00EC6E88">
        <w:rPr>
          <w:sz w:val="26"/>
          <w:szCs w:val="26"/>
        </w:rPr>
        <w:t xml:space="preserve"> projects in a very prelimina</w:t>
      </w:r>
      <w:r w:rsidR="00E217EF">
        <w:rPr>
          <w:sz w:val="26"/>
          <w:szCs w:val="26"/>
        </w:rPr>
        <w:t>ry outline for years in advance in order</w:t>
      </w:r>
      <w:r w:rsidR="00EC6E88">
        <w:rPr>
          <w:sz w:val="26"/>
          <w:szCs w:val="26"/>
        </w:rPr>
        <w:t xml:space="preserve"> to identify any conflicts as early as possible.</w:t>
      </w:r>
    </w:p>
    <w:p w:rsidR="0077455C" w:rsidRDefault="0077455C" w:rsidP="00236F9D">
      <w:pPr>
        <w:pStyle w:val="p7"/>
        <w:widowControl/>
        <w:tabs>
          <w:tab w:val="clear" w:pos="782"/>
          <w:tab w:val="clear" w:pos="1133"/>
        </w:tabs>
        <w:spacing w:line="360" w:lineRule="auto"/>
        <w:ind w:left="0"/>
        <w:rPr>
          <w:sz w:val="26"/>
          <w:szCs w:val="26"/>
        </w:rPr>
      </w:pPr>
    </w:p>
    <w:p w:rsidR="0077455C" w:rsidRDefault="00A70709"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Pr>
          <w:b/>
          <w:sz w:val="26"/>
          <w:szCs w:val="26"/>
        </w:rPr>
        <w:t>Disposition</w:t>
      </w:r>
    </w:p>
    <w:p w:rsidR="0077455C" w:rsidRDefault="0077455C" w:rsidP="006C3310">
      <w:pPr>
        <w:pStyle w:val="p7"/>
        <w:keepNext/>
        <w:widowControl/>
        <w:tabs>
          <w:tab w:val="clear" w:pos="1133"/>
          <w:tab w:val="left" w:pos="720"/>
          <w:tab w:val="left" w:pos="1350"/>
          <w:tab w:val="left" w:pos="1440"/>
          <w:tab w:val="left" w:pos="1530"/>
        </w:tabs>
        <w:spacing w:line="360" w:lineRule="auto"/>
        <w:ind w:left="0"/>
        <w:rPr>
          <w:b/>
          <w:sz w:val="26"/>
          <w:szCs w:val="26"/>
        </w:rPr>
      </w:pPr>
    </w:p>
    <w:p w:rsidR="0077455C" w:rsidRDefault="00A70709" w:rsidP="00773D87">
      <w:pPr>
        <w:pStyle w:val="p2"/>
        <w:widowControl/>
        <w:spacing w:line="360" w:lineRule="auto"/>
        <w:ind w:firstLine="1440"/>
        <w:rPr>
          <w:sz w:val="26"/>
          <w:szCs w:val="26"/>
        </w:rPr>
      </w:pPr>
      <w:r w:rsidRPr="00A70709">
        <w:rPr>
          <w:sz w:val="26"/>
          <w:szCs w:val="26"/>
        </w:rPr>
        <w:t xml:space="preserve">Upon review of </w:t>
      </w:r>
      <w:r>
        <w:rPr>
          <w:sz w:val="26"/>
          <w:szCs w:val="26"/>
        </w:rPr>
        <w:t>PGW’s modified LTIIP</w:t>
      </w:r>
      <w:r w:rsidRPr="00A70709">
        <w:rPr>
          <w:sz w:val="26"/>
          <w:szCs w:val="26"/>
        </w:rPr>
        <w:t>, the Commission finds the coordination activities requirements of the Final Implementation Order have been fulfilled</w:t>
      </w:r>
      <w:r w:rsidR="00EC6E88">
        <w:rPr>
          <w:sz w:val="26"/>
          <w:szCs w:val="26"/>
        </w:rPr>
        <w:t>.</w:t>
      </w:r>
      <w:r w:rsidR="0077455C">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217EF" w:rsidRDefault="00E217EF"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217EF" w:rsidRDefault="00E217EF"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674EA" w:rsidRPr="00BA5D6B" w:rsidRDefault="00A70709" w:rsidP="00951D28">
      <w:pPr>
        <w:pStyle w:val="p7"/>
        <w:keepNext/>
        <w:widowControl/>
        <w:tabs>
          <w:tab w:val="clear" w:pos="1133"/>
          <w:tab w:val="left" w:pos="720"/>
          <w:tab w:val="left" w:pos="1350"/>
          <w:tab w:val="left" w:pos="1440"/>
        </w:tabs>
        <w:spacing w:line="360" w:lineRule="auto"/>
        <w:ind w:left="0" w:firstLine="0"/>
        <w:rPr>
          <w:b/>
          <w:caps/>
          <w:sz w:val="26"/>
          <w:szCs w:val="26"/>
        </w:rPr>
      </w:pPr>
      <w:r>
        <w:rPr>
          <w:b/>
          <w:caps/>
          <w:sz w:val="26"/>
          <w:szCs w:val="26"/>
        </w:rPr>
        <w:lastRenderedPageBreak/>
        <w:t>(5)</w:t>
      </w:r>
      <w:r>
        <w:rPr>
          <w:b/>
          <w:caps/>
          <w:sz w:val="26"/>
          <w:szCs w:val="26"/>
        </w:rPr>
        <w:tab/>
      </w:r>
      <w:r>
        <w:rPr>
          <w:b/>
          <w:caps/>
          <w:sz w:val="26"/>
          <w:szCs w:val="26"/>
        </w:rPr>
        <w:tab/>
      </w:r>
      <w:r>
        <w:rPr>
          <w:b/>
          <w:caps/>
          <w:sz w:val="26"/>
          <w:szCs w:val="26"/>
        </w:rPr>
        <w:tab/>
      </w:r>
      <w:r>
        <w:rPr>
          <w:b/>
          <w:caps/>
          <w:sz w:val="26"/>
          <w:szCs w:val="26"/>
        </w:rPr>
        <w:tab/>
      </w:r>
      <w:r w:rsidR="00BE7E01">
        <w:rPr>
          <w:b/>
          <w:caps/>
          <w:sz w:val="26"/>
          <w:szCs w:val="26"/>
        </w:rPr>
        <w:t xml:space="preserve">IDENTIFICATION OF </w:t>
      </w:r>
      <w:r w:rsidR="00E674EA">
        <w:rPr>
          <w:b/>
          <w:caps/>
          <w:sz w:val="26"/>
          <w:szCs w:val="26"/>
        </w:rPr>
        <w:t>CRITICAL VALVES</w:t>
      </w:r>
    </w:p>
    <w:p w:rsidR="0077455C" w:rsidRPr="000F5E3D" w:rsidRDefault="0077455C" w:rsidP="00773D87">
      <w:pPr>
        <w:pStyle w:val="p2"/>
        <w:widowControl/>
        <w:spacing w:line="360" w:lineRule="auto"/>
        <w:ind w:firstLine="0"/>
        <w:jc w:val="center"/>
        <w:rPr>
          <w:sz w:val="26"/>
          <w:szCs w:val="26"/>
        </w:rPr>
      </w:pPr>
    </w:p>
    <w:p w:rsidR="0077455C" w:rsidRDefault="0077455C" w:rsidP="00BE7E01">
      <w:pPr>
        <w:pStyle w:val="p2"/>
        <w:widowControl/>
        <w:tabs>
          <w:tab w:val="left" w:pos="720"/>
        </w:tabs>
        <w:spacing w:line="360" w:lineRule="auto"/>
        <w:ind w:firstLine="1440"/>
        <w:rPr>
          <w:sz w:val="26"/>
          <w:szCs w:val="26"/>
        </w:rPr>
      </w:pPr>
      <w:r>
        <w:rPr>
          <w:b/>
          <w:sz w:val="26"/>
          <w:szCs w:val="26"/>
        </w:rPr>
        <w:tab/>
      </w:r>
      <w:r w:rsidR="00A70709">
        <w:rPr>
          <w:sz w:val="26"/>
          <w:szCs w:val="26"/>
        </w:rPr>
        <w:t xml:space="preserve">PGW’s modified LTIIP included </w:t>
      </w:r>
      <w:r w:rsidR="00BE7E01">
        <w:rPr>
          <w:sz w:val="26"/>
          <w:szCs w:val="26"/>
        </w:rPr>
        <w:t xml:space="preserve">a new section </w:t>
      </w:r>
      <w:r w:rsidR="00A70709">
        <w:rPr>
          <w:sz w:val="26"/>
          <w:szCs w:val="26"/>
        </w:rPr>
        <w:t>that discussed the</w:t>
      </w:r>
      <w:r w:rsidR="00BE7E01">
        <w:rPr>
          <w:sz w:val="26"/>
          <w:szCs w:val="26"/>
        </w:rPr>
        <w:t xml:space="preserve"> identification of </w:t>
      </w:r>
      <w:r w:rsidR="00A70709">
        <w:rPr>
          <w:sz w:val="26"/>
          <w:szCs w:val="26"/>
        </w:rPr>
        <w:t>c</w:t>
      </w:r>
      <w:r w:rsidR="00BE7E01">
        <w:rPr>
          <w:sz w:val="26"/>
          <w:szCs w:val="26"/>
        </w:rPr>
        <w:t xml:space="preserve">ritical </w:t>
      </w:r>
      <w:r w:rsidR="00A70709">
        <w:rPr>
          <w:sz w:val="26"/>
          <w:szCs w:val="26"/>
        </w:rPr>
        <w:t>v</w:t>
      </w:r>
      <w:r w:rsidR="00BE7E01">
        <w:rPr>
          <w:sz w:val="26"/>
          <w:szCs w:val="26"/>
        </w:rPr>
        <w:t>alves</w:t>
      </w:r>
      <w:r>
        <w:rPr>
          <w:sz w:val="26"/>
          <w:szCs w:val="26"/>
        </w:rPr>
        <w:t>.</w:t>
      </w:r>
      <w:r w:rsidR="00BE7E01">
        <w:rPr>
          <w:sz w:val="26"/>
          <w:szCs w:val="26"/>
        </w:rPr>
        <w:t xml:space="preserve">  PGW </w:t>
      </w:r>
      <w:r w:rsidR="003E5E04">
        <w:rPr>
          <w:sz w:val="26"/>
          <w:szCs w:val="26"/>
        </w:rPr>
        <w:t>averred</w:t>
      </w:r>
      <w:r w:rsidR="00BE7E01">
        <w:rPr>
          <w:sz w:val="26"/>
          <w:szCs w:val="26"/>
        </w:rPr>
        <w:t xml:space="preserve"> that it does not intend to repair, improve upon, or replace any critical valves through the DSIC recovery mechanism in the remainder of the LTIIP term.  </w:t>
      </w:r>
      <w:r w:rsidR="00A70709">
        <w:rPr>
          <w:sz w:val="26"/>
          <w:szCs w:val="26"/>
        </w:rPr>
        <w:t>PGW specified that</w:t>
      </w:r>
      <w:r w:rsidR="00BE7E01">
        <w:rPr>
          <w:sz w:val="26"/>
          <w:szCs w:val="26"/>
        </w:rPr>
        <w:t xml:space="preserve"> it will identify critical valves</w:t>
      </w:r>
      <w:r w:rsidR="0075572A">
        <w:rPr>
          <w:sz w:val="26"/>
          <w:szCs w:val="26"/>
        </w:rPr>
        <w:t xml:space="preserve"> in</w:t>
      </w:r>
      <w:r w:rsidR="00BE7E01">
        <w:rPr>
          <w:sz w:val="26"/>
          <w:szCs w:val="26"/>
        </w:rPr>
        <w:t xml:space="preserve"> </w:t>
      </w:r>
      <w:r w:rsidR="00A70709">
        <w:rPr>
          <w:sz w:val="26"/>
          <w:szCs w:val="26"/>
        </w:rPr>
        <w:t>a subsequent</w:t>
      </w:r>
      <w:r w:rsidR="00BE7E01">
        <w:rPr>
          <w:sz w:val="26"/>
          <w:szCs w:val="26"/>
        </w:rPr>
        <w:t xml:space="preserve"> LTIIP, </w:t>
      </w:r>
      <w:r w:rsidR="00A70709">
        <w:rPr>
          <w:sz w:val="26"/>
          <w:szCs w:val="26"/>
        </w:rPr>
        <w:t xml:space="preserve">which is expected </w:t>
      </w:r>
      <w:r w:rsidR="00BE7E01">
        <w:rPr>
          <w:sz w:val="26"/>
          <w:szCs w:val="26"/>
        </w:rPr>
        <w:t>to be filed with the Commission at least 120 days prior to the expiration of th</w:t>
      </w:r>
      <w:r w:rsidR="00A70709">
        <w:rPr>
          <w:sz w:val="26"/>
          <w:szCs w:val="26"/>
        </w:rPr>
        <w:t>e m</w:t>
      </w:r>
      <w:r w:rsidR="00BE7E01">
        <w:rPr>
          <w:sz w:val="26"/>
          <w:szCs w:val="26"/>
        </w:rPr>
        <w:t>odified LTIIP.</w:t>
      </w:r>
    </w:p>
    <w:p w:rsidR="0077455C" w:rsidRDefault="0077455C" w:rsidP="00773D87">
      <w:pPr>
        <w:pStyle w:val="p2"/>
        <w:widowControl/>
        <w:spacing w:line="360" w:lineRule="auto"/>
        <w:ind w:firstLine="0"/>
        <w:rPr>
          <w:sz w:val="26"/>
          <w:szCs w:val="26"/>
        </w:rPr>
      </w:pPr>
    </w:p>
    <w:p w:rsidR="0077455C" w:rsidRDefault="00A70709" w:rsidP="00F254AA">
      <w:pPr>
        <w:pStyle w:val="p2"/>
        <w:keepNext/>
        <w:widowControl/>
        <w:tabs>
          <w:tab w:val="left" w:pos="720"/>
        </w:tabs>
        <w:spacing w:line="360" w:lineRule="auto"/>
        <w:ind w:firstLine="0"/>
        <w:rPr>
          <w:b/>
          <w:sz w:val="26"/>
          <w:szCs w:val="26"/>
        </w:rPr>
      </w:pPr>
      <w:r>
        <w:rPr>
          <w:b/>
          <w:sz w:val="26"/>
          <w:szCs w:val="26"/>
        </w:rPr>
        <w:t xml:space="preserve">Disposition </w:t>
      </w:r>
    </w:p>
    <w:p w:rsidR="0077455C" w:rsidRDefault="0077455C" w:rsidP="00F254AA">
      <w:pPr>
        <w:pStyle w:val="p2"/>
        <w:keepNext/>
        <w:widowControl/>
        <w:spacing w:line="360" w:lineRule="auto"/>
        <w:ind w:firstLine="0"/>
        <w:rPr>
          <w:sz w:val="26"/>
          <w:szCs w:val="26"/>
        </w:rPr>
      </w:pPr>
      <w:r>
        <w:rPr>
          <w:sz w:val="26"/>
          <w:szCs w:val="26"/>
        </w:rPr>
        <w:tab/>
      </w:r>
    </w:p>
    <w:p w:rsidR="003E5E04" w:rsidRDefault="00020ECA" w:rsidP="00773D87">
      <w:pPr>
        <w:pStyle w:val="p2"/>
        <w:widowControl/>
        <w:spacing w:line="360" w:lineRule="auto"/>
        <w:ind w:firstLine="0"/>
        <w:rPr>
          <w:sz w:val="26"/>
          <w:szCs w:val="26"/>
        </w:rPr>
      </w:pPr>
      <w:r>
        <w:rPr>
          <w:sz w:val="26"/>
          <w:szCs w:val="26"/>
        </w:rPr>
        <w:tab/>
      </w:r>
      <w:r w:rsidR="003E5E04" w:rsidRPr="003E5E04">
        <w:rPr>
          <w:sz w:val="26"/>
          <w:szCs w:val="26"/>
        </w:rPr>
        <w:t xml:space="preserve">Upon review of PGW’s modified LTIIP, the Commission finds the </w:t>
      </w:r>
      <w:r w:rsidR="003E5E04">
        <w:rPr>
          <w:sz w:val="26"/>
          <w:szCs w:val="26"/>
        </w:rPr>
        <w:t xml:space="preserve">section on identification of critical valves to be sufficient. </w:t>
      </w:r>
    </w:p>
    <w:p w:rsidR="0077455C" w:rsidRDefault="0077455C" w:rsidP="00773D87">
      <w:pPr>
        <w:pStyle w:val="p2"/>
        <w:widowControl/>
        <w:spacing w:line="360" w:lineRule="auto"/>
        <w:ind w:firstLine="0"/>
        <w:rPr>
          <w:sz w:val="26"/>
          <w:szCs w:val="26"/>
        </w:rPr>
      </w:pPr>
    </w:p>
    <w:p w:rsidR="00002AFC" w:rsidRPr="002678A1" w:rsidRDefault="002678A1" w:rsidP="00632033">
      <w:pPr>
        <w:pStyle w:val="p2"/>
        <w:keepNext/>
        <w:widowControl/>
        <w:spacing w:line="360" w:lineRule="auto"/>
        <w:ind w:firstLine="0"/>
        <w:jc w:val="center"/>
        <w:rPr>
          <w:b/>
          <w:sz w:val="26"/>
          <w:szCs w:val="26"/>
        </w:rPr>
      </w:pPr>
      <w:r w:rsidRPr="002678A1">
        <w:rPr>
          <w:b/>
          <w:sz w:val="26"/>
          <w:szCs w:val="26"/>
        </w:rPr>
        <w:t>C</w:t>
      </w:r>
      <w:r>
        <w:rPr>
          <w:b/>
          <w:sz w:val="26"/>
          <w:szCs w:val="26"/>
        </w:rPr>
        <w:t>ONCLUSION</w:t>
      </w:r>
    </w:p>
    <w:p w:rsidR="001871B6" w:rsidRDefault="001871B6" w:rsidP="00632033">
      <w:pPr>
        <w:pStyle w:val="p2"/>
        <w:keepNext/>
        <w:widowControl/>
        <w:spacing w:line="360" w:lineRule="auto"/>
        <w:ind w:firstLine="0"/>
        <w:rPr>
          <w:sz w:val="26"/>
          <w:szCs w:val="26"/>
        </w:rPr>
      </w:pPr>
      <w:r>
        <w:rPr>
          <w:sz w:val="26"/>
          <w:szCs w:val="26"/>
        </w:rPr>
        <w:tab/>
      </w:r>
    </w:p>
    <w:p w:rsidR="00CA053A" w:rsidRPr="00C15E44" w:rsidRDefault="00CA053A" w:rsidP="00464A6A">
      <w:pPr>
        <w:pStyle w:val="p2"/>
        <w:widowControl/>
        <w:spacing w:line="360" w:lineRule="auto"/>
        <w:rPr>
          <w:sz w:val="26"/>
          <w:szCs w:val="26"/>
        </w:rPr>
      </w:pPr>
      <w:r w:rsidRPr="00CA053A">
        <w:rPr>
          <w:sz w:val="26"/>
          <w:szCs w:val="26"/>
        </w:rPr>
        <w:t xml:space="preserve">Upon review, the Commission finds that </w:t>
      </w:r>
      <w:r w:rsidR="003E5E04">
        <w:rPr>
          <w:sz w:val="26"/>
          <w:szCs w:val="26"/>
        </w:rPr>
        <w:t xml:space="preserve">the modified Long-Term Infrastructure Improvement Plan of Philadelphia Gas Works </w:t>
      </w:r>
      <w:r w:rsidR="00464A6A">
        <w:rPr>
          <w:sz w:val="26"/>
          <w:szCs w:val="26"/>
        </w:rPr>
        <w:t xml:space="preserve">substantially </w:t>
      </w:r>
      <w:r w:rsidRPr="00CA053A">
        <w:rPr>
          <w:sz w:val="26"/>
          <w:szCs w:val="26"/>
        </w:rPr>
        <w:t>conforms to the requirements of Act 11 and our Final Implementation Order</w:t>
      </w:r>
      <w:r w:rsidR="009C14FF">
        <w:rPr>
          <w:sz w:val="26"/>
          <w:szCs w:val="26"/>
        </w:rPr>
        <w:t xml:space="preserve"> and the </w:t>
      </w:r>
      <w:r w:rsidR="003E5E04" w:rsidRPr="003E5E04">
        <w:rPr>
          <w:sz w:val="26"/>
          <w:szCs w:val="26"/>
        </w:rPr>
        <w:t xml:space="preserve">Petition </w:t>
      </w:r>
      <w:r w:rsidR="009C14FF">
        <w:rPr>
          <w:sz w:val="26"/>
          <w:szCs w:val="26"/>
        </w:rPr>
        <w:t>should be granted</w:t>
      </w:r>
      <w:r w:rsidRPr="00CA053A">
        <w:rPr>
          <w:sz w:val="26"/>
          <w:szCs w:val="26"/>
        </w:rPr>
        <w:t xml:space="preserve">; </w:t>
      </w:r>
      <w:r w:rsidRPr="00906A22">
        <w:rPr>
          <w:b/>
          <w:sz w:val="26"/>
          <w:szCs w:val="26"/>
        </w:rPr>
        <w:t>THEREFORE,</w:t>
      </w:r>
    </w:p>
    <w:p w:rsidR="00CA053A" w:rsidRDefault="00CA053A" w:rsidP="00773D87">
      <w:pPr>
        <w:pStyle w:val="p2"/>
        <w:widowControl/>
        <w:spacing w:line="360" w:lineRule="auto"/>
        <w:rPr>
          <w:b/>
          <w:sz w:val="26"/>
          <w:szCs w:val="26"/>
        </w:rPr>
      </w:pPr>
    </w:p>
    <w:p w:rsidR="00E9605F" w:rsidRDefault="00E9605F" w:rsidP="00773D87">
      <w:pPr>
        <w:pStyle w:val="p2"/>
        <w:widowControl/>
        <w:spacing w:line="360" w:lineRule="auto"/>
        <w:rPr>
          <w:b/>
          <w:sz w:val="26"/>
          <w:szCs w:val="26"/>
        </w:rPr>
      </w:pPr>
    </w:p>
    <w:p w:rsidR="00E9605F" w:rsidRDefault="00E9605F" w:rsidP="00773D87">
      <w:pPr>
        <w:pStyle w:val="p2"/>
        <w:widowControl/>
        <w:spacing w:line="360" w:lineRule="auto"/>
        <w:rPr>
          <w:b/>
          <w:sz w:val="26"/>
          <w:szCs w:val="26"/>
        </w:rPr>
      </w:pPr>
    </w:p>
    <w:p w:rsidR="00E9605F" w:rsidRDefault="00E9605F" w:rsidP="00773D87">
      <w:pPr>
        <w:pStyle w:val="p2"/>
        <w:widowControl/>
        <w:spacing w:line="360" w:lineRule="auto"/>
        <w:rPr>
          <w:b/>
          <w:sz w:val="26"/>
          <w:szCs w:val="26"/>
        </w:rPr>
      </w:pPr>
    </w:p>
    <w:p w:rsidR="00E9605F" w:rsidRDefault="00E9605F" w:rsidP="00773D87">
      <w:pPr>
        <w:pStyle w:val="p2"/>
        <w:widowControl/>
        <w:spacing w:line="360" w:lineRule="auto"/>
        <w:rPr>
          <w:b/>
          <w:sz w:val="26"/>
          <w:szCs w:val="26"/>
        </w:rPr>
      </w:pPr>
    </w:p>
    <w:p w:rsidR="00E9605F" w:rsidRDefault="00E9605F" w:rsidP="00773D87">
      <w:pPr>
        <w:pStyle w:val="p2"/>
        <w:widowControl/>
        <w:spacing w:line="360" w:lineRule="auto"/>
        <w:rPr>
          <w:b/>
          <w:sz w:val="26"/>
          <w:szCs w:val="26"/>
        </w:rPr>
      </w:pPr>
    </w:p>
    <w:p w:rsidR="00CA053A" w:rsidRPr="00CA053A" w:rsidRDefault="00CA053A" w:rsidP="00F939FA">
      <w:pPr>
        <w:pStyle w:val="p2"/>
        <w:keepNext/>
        <w:widowControl/>
        <w:spacing w:line="360" w:lineRule="auto"/>
        <w:ind w:firstLine="1440"/>
        <w:rPr>
          <w:sz w:val="26"/>
          <w:szCs w:val="26"/>
        </w:rPr>
      </w:pPr>
      <w:r w:rsidRPr="00906A22">
        <w:rPr>
          <w:b/>
          <w:sz w:val="26"/>
          <w:szCs w:val="26"/>
        </w:rPr>
        <w:lastRenderedPageBreak/>
        <w:t>IT IS ORDERED:</w:t>
      </w:r>
    </w:p>
    <w:p w:rsidR="00CA053A" w:rsidRPr="00CA053A" w:rsidRDefault="00CA053A" w:rsidP="00F939FA">
      <w:pPr>
        <w:pStyle w:val="p2"/>
        <w:keepNext/>
        <w:widowControl/>
        <w:spacing w:line="360" w:lineRule="auto"/>
        <w:ind w:firstLine="1440"/>
        <w:rPr>
          <w:sz w:val="26"/>
          <w:szCs w:val="26"/>
        </w:rPr>
      </w:pPr>
    </w:p>
    <w:p w:rsidR="00CA053A" w:rsidRDefault="00CA053A" w:rsidP="00BD1DB7">
      <w:pPr>
        <w:pStyle w:val="p2"/>
        <w:widowControl/>
        <w:spacing w:line="360" w:lineRule="auto"/>
        <w:rPr>
          <w:sz w:val="26"/>
          <w:szCs w:val="26"/>
        </w:rPr>
      </w:pPr>
      <w:r w:rsidRPr="00CA053A">
        <w:rPr>
          <w:sz w:val="26"/>
          <w:szCs w:val="26"/>
        </w:rPr>
        <w:t xml:space="preserve">That the Petition for </w:t>
      </w:r>
      <w:r w:rsidR="00D13E0F">
        <w:rPr>
          <w:sz w:val="26"/>
          <w:szCs w:val="26"/>
        </w:rPr>
        <w:t>A</w:t>
      </w:r>
      <w:r w:rsidRPr="00CA053A">
        <w:rPr>
          <w:sz w:val="26"/>
          <w:szCs w:val="26"/>
        </w:rPr>
        <w:t xml:space="preserve">pproval of a </w:t>
      </w:r>
      <w:r w:rsidR="00464A6A">
        <w:rPr>
          <w:sz w:val="26"/>
          <w:szCs w:val="26"/>
        </w:rPr>
        <w:t xml:space="preserve">Modified </w:t>
      </w:r>
      <w:r w:rsidRPr="00CA053A">
        <w:rPr>
          <w:sz w:val="26"/>
          <w:szCs w:val="26"/>
        </w:rPr>
        <w:t>Long-Term Infrastructure Improvement Plan  filed</w:t>
      </w:r>
      <w:r w:rsidR="00906A22">
        <w:rPr>
          <w:sz w:val="26"/>
          <w:szCs w:val="26"/>
        </w:rPr>
        <w:t xml:space="preserve"> by Philadelphia Gas Works</w:t>
      </w:r>
      <w:r w:rsidRPr="00CA053A">
        <w:rPr>
          <w:sz w:val="26"/>
          <w:szCs w:val="26"/>
        </w:rPr>
        <w:t xml:space="preserve"> is approved, consistent with this Order.</w:t>
      </w:r>
    </w:p>
    <w:p w:rsidR="003E5E04" w:rsidRDefault="003E5E04" w:rsidP="00BD1DB7">
      <w:pPr>
        <w:pStyle w:val="p2"/>
        <w:widowControl/>
        <w:spacing w:line="360" w:lineRule="auto"/>
        <w:rPr>
          <w:sz w:val="26"/>
          <w:szCs w:val="26"/>
        </w:rPr>
      </w:pPr>
    </w:p>
    <w:p w:rsidR="00D13E0F" w:rsidRPr="00CA053A" w:rsidRDefault="00D13E0F" w:rsidP="00464A6A">
      <w:pPr>
        <w:pStyle w:val="p2"/>
        <w:widowControl/>
        <w:spacing w:line="360" w:lineRule="auto"/>
        <w:ind w:firstLine="0"/>
        <w:rPr>
          <w:sz w:val="26"/>
          <w:szCs w:val="26"/>
        </w:rPr>
      </w:pPr>
    </w:p>
    <w:p w:rsidR="00906A22" w:rsidRPr="00062E21" w:rsidRDefault="000C3E4F" w:rsidP="00B26486">
      <w:pPr>
        <w:pStyle w:val="p3"/>
        <w:keepLines/>
        <w:widowControl/>
        <w:spacing w:line="360" w:lineRule="auto"/>
        <w:ind w:left="5760" w:hanging="648"/>
        <w:rPr>
          <w:b/>
          <w:bCs/>
          <w:sz w:val="26"/>
          <w:szCs w:val="26"/>
        </w:rPr>
      </w:pPr>
      <w:bookmarkStart w:id="0" w:name="_GoBack"/>
      <w:r w:rsidRPr="00F45E06">
        <w:rPr>
          <w:b/>
          <w:noProof/>
        </w:rPr>
        <w:drawing>
          <wp:anchor distT="0" distB="0" distL="114300" distR="114300" simplePos="0" relativeHeight="251659264" behindDoc="1" locked="0" layoutInCell="1" allowOverlap="1" wp14:anchorId="733BBFB3" wp14:editId="563637BA">
            <wp:simplePos x="0" y="0"/>
            <wp:positionH relativeFrom="column">
              <wp:posOffset>3359785</wp:posOffset>
            </wp:positionH>
            <wp:positionV relativeFrom="paragraph">
              <wp:posOffset>75565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26486">
        <w:rPr>
          <w:b/>
          <w:bCs/>
          <w:sz w:val="26"/>
          <w:szCs w:val="26"/>
        </w:rPr>
        <w:tab/>
      </w:r>
      <w:r w:rsidR="00906A22" w:rsidRPr="00062E21">
        <w:rPr>
          <w:b/>
          <w:bCs/>
          <w:sz w:val="26"/>
          <w:szCs w:val="26"/>
        </w:rPr>
        <w:t>BY THE COMMISSION,</w:t>
      </w:r>
    </w:p>
    <w:p w:rsidR="00906A22" w:rsidRPr="00062E21" w:rsidRDefault="00906A22" w:rsidP="00B12DB4">
      <w:pPr>
        <w:keepLines/>
        <w:widowControl/>
        <w:tabs>
          <w:tab w:val="left" w:pos="5119"/>
        </w:tabs>
        <w:spacing w:line="360" w:lineRule="auto"/>
        <w:rPr>
          <w:bCs/>
          <w:sz w:val="26"/>
          <w:szCs w:val="26"/>
        </w:rPr>
      </w:pPr>
    </w:p>
    <w:p w:rsidR="00906A22" w:rsidRPr="00062E21" w:rsidRDefault="00906A22" w:rsidP="00B12DB4">
      <w:pPr>
        <w:keepLines/>
        <w:widowControl/>
        <w:tabs>
          <w:tab w:val="left" w:pos="5119"/>
        </w:tabs>
        <w:spacing w:line="360" w:lineRule="auto"/>
        <w:rPr>
          <w:bCs/>
          <w:sz w:val="26"/>
          <w:szCs w:val="26"/>
        </w:rPr>
      </w:pPr>
    </w:p>
    <w:p w:rsidR="00906A22" w:rsidRPr="00062E21" w:rsidRDefault="00906A22" w:rsidP="00B26486">
      <w:pPr>
        <w:pStyle w:val="p4"/>
        <w:keepLines/>
        <w:widowControl/>
        <w:ind w:left="5760" w:hanging="630"/>
        <w:rPr>
          <w:sz w:val="26"/>
          <w:szCs w:val="26"/>
        </w:rPr>
      </w:pPr>
      <w:r w:rsidRPr="00062E21">
        <w:rPr>
          <w:sz w:val="26"/>
          <w:szCs w:val="26"/>
        </w:rPr>
        <w:tab/>
        <w:t>Rosemary Chiavetta</w:t>
      </w:r>
    </w:p>
    <w:p w:rsidR="00906A22" w:rsidRPr="00062E21" w:rsidRDefault="00906A22" w:rsidP="00B12DB4">
      <w:pPr>
        <w:pStyle w:val="p4"/>
        <w:keepLines/>
        <w:widowControl/>
        <w:ind w:left="5130"/>
        <w:rPr>
          <w:sz w:val="26"/>
          <w:szCs w:val="26"/>
        </w:rPr>
      </w:pPr>
      <w:r w:rsidRPr="00062E21">
        <w:rPr>
          <w:sz w:val="26"/>
          <w:szCs w:val="26"/>
        </w:rPr>
        <w:tab/>
        <w:t>Secretary</w:t>
      </w:r>
    </w:p>
    <w:p w:rsidR="00906A22" w:rsidRPr="00062E21" w:rsidRDefault="00906A22" w:rsidP="00B12DB4">
      <w:pPr>
        <w:pStyle w:val="p4"/>
        <w:keepLines/>
        <w:widowControl/>
        <w:ind w:left="5126"/>
        <w:outlineLvl w:val="0"/>
        <w:rPr>
          <w:sz w:val="26"/>
          <w:szCs w:val="26"/>
        </w:rPr>
      </w:pPr>
    </w:p>
    <w:p w:rsidR="00906A22" w:rsidRDefault="00906A22" w:rsidP="00B12DB4">
      <w:pPr>
        <w:pStyle w:val="p1"/>
        <w:keepLines/>
        <w:widowControl/>
        <w:spacing w:line="360" w:lineRule="auto"/>
        <w:ind w:hanging="1054"/>
        <w:rPr>
          <w:sz w:val="26"/>
          <w:szCs w:val="26"/>
        </w:rPr>
      </w:pPr>
    </w:p>
    <w:p w:rsidR="00906A22" w:rsidRDefault="00906A22" w:rsidP="00B12DB4">
      <w:pPr>
        <w:pStyle w:val="p1"/>
        <w:keepLines/>
        <w:widowControl/>
        <w:spacing w:line="360" w:lineRule="auto"/>
        <w:ind w:hanging="1054"/>
        <w:rPr>
          <w:sz w:val="26"/>
          <w:szCs w:val="26"/>
        </w:rPr>
      </w:pPr>
      <w:r w:rsidRPr="00062E21">
        <w:rPr>
          <w:sz w:val="26"/>
          <w:szCs w:val="26"/>
        </w:rPr>
        <w:t>(SEAL)</w:t>
      </w:r>
    </w:p>
    <w:p w:rsidR="00906A22" w:rsidRPr="00062E21" w:rsidRDefault="00906A22" w:rsidP="00B12DB4">
      <w:pPr>
        <w:pStyle w:val="p1"/>
        <w:keepLines/>
        <w:widowControl/>
        <w:spacing w:line="360" w:lineRule="auto"/>
        <w:ind w:hanging="1054"/>
        <w:outlineLvl w:val="0"/>
        <w:rPr>
          <w:sz w:val="26"/>
          <w:szCs w:val="26"/>
        </w:rPr>
      </w:pPr>
      <w:r w:rsidRPr="00062E21">
        <w:rPr>
          <w:sz w:val="26"/>
          <w:szCs w:val="26"/>
        </w:rPr>
        <w:t xml:space="preserve">ORDER ADOPTED: </w:t>
      </w:r>
      <w:r w:rsidR="003D1772">
        <w:rPr>
          <w:sz w:val="26"/>
          <w:szCs w:val="26"/>
        </w:rPr>
        <w:t>June 9</w:t>
      </w:r>
      <w:r w:rsidR="003E5E04">
        <w:rPr>
          <w:sz w:val="26"/>
          <w:szCs w:val="26"/>
        </w:rPr>
        <w:t>, 2016</w:t>
      </w:r>
    </w:p>
    <w:p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0C3E4F">
        <w:rPr>
          <w:sz w:val="26"/>
          <w:szCs w:val="26"/>
        </w:rPr>
        <w:t>June 9, 2016</w:t>
      </w:r>
    </w:p>
    <w:sectPr w:rsidR="005E766A" w:rsidRPr="005E766A" w:rsidSect="00C3609D">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5E" w:rsidRDefault="0044585E">
      <w:r>
        <w:separator/>
      </w:r>
    </w:p>
  </w:endnote>
  <w:endnote w:type="continuationSeparator" w:id="0">
    <w:p w:rsidR="0044585E" w:rsidRDefault="0044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F88" w:rsidRDefault="00713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E4F">
      <w:rPr>
        <w:rStyle w:val="PageNumber"/>
        <w:noProof/>
      </w:rPr>
      <w:t>10</w:t>
    </w:r>
    <w:r>
      <w:rPr>
        <w:rStyle w:val="PageNumber"/>
      </w:rPr>
      <w:fldChar w:fldCharType="end"/>
    </w:r>
  </w:p>
  <w:p w:rsidR="00713F88" w:rsidRDefault="0071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5E" w:rsidRDefault="0044585E">
      <w:r>
        <w:separator/>
      </w:r>
    </w:p>
  </w:footnote>
  <w:footnote w:type="continuationSeparator" w:id="0">
    <w:p w:rsidR="0044585E" w:rsidRDefault="0044585E">
      <w:r>
        <w:continuationSeparator/>
      </w:r>
    </w:p>
  </w:footnote>
  <w:footnote w:id="1">
    <w:p w:rsidR="00677F6F" w:rsidRPr="0075572A" w:rsidRDefault="00677F6F" w:rsidP="00677F6F">
      <w:pPr>
        <w:pStyle w:val="FootnoteText"/>
      </w:pPr>
      <w:r w:rsidRPr="0075572A">
        <w:rPr>
          <w:rStyle w:val="FootnoteReference"/>
        </w:rPr>
        <w:footnoteRef/>
      </w:r>
      <w:r w:rsidRPr="0075572A">
        <w:t xml:space="preserve">  PGW owns and operates all the service lines from the mains to the meters.  There are no customer-owned service lines in the PGW territory.  Service lines are also referred to as services.</w:t>
      </w:r>
    </w:p>
  </w:footnote>
  <w:footnote w:id="2">
    <w:p w:rsidR="00677F6F" w:rsidRPr="0075572A" w:rsidRDefault="00677F6F">
      <w:pPr>
        <w:pStyle w:val="FootnoteText"/>
      </w:pPr>
      <w:r w:rsidRPr="0075572A">
        <w:rPr>
          <w:rStyle w:val="FootnoteReference"/>
        </w:rPr>
        <w:footnoteRef/>
      </w:r>
      <w:r w:rsidRPr="0075572A">
        <w:t xml:space="preserve"> </w:t>
      </w:r>
      <w:r w:rsidRPr="0075572A">
        <w:rPr>
          <w:i/>
        </w:rPr>
        <w:t>See</w:t>
      </w:r>
      <w:r w:rsidRPr="0075572A">
        <w:t xml:space="preserve"> the Opinion and Order entered April 4, 2013, at Docket No. P-2012-2337737.</w:t>
      </w:r>
    </w:p>
  </w:footnote>
  <w:footnote w:id="3">
    <w:p w:rsidR="00677F6F" w:rsidRPr="0075572A" w:rsidRDefault="00677F6F" w:rsidP="00677F6F">
      <w:pPr>
        <w:pStyle w:val="FootnoteText"/>
        <w:spacing w:after="120"/>
      </w:pPr>
      <w:r w:rsidRPr="0075572A">
        <w:footnoteRef/>
      </w:r>
      <w:r w:rsidRPr="0075572A">
        <w:t xml:space="preserve">  </w:t>
      </w:r>
      <w:hyperlink r:id="rId1" w:history="1">
        <w:r w:rsidRPr="0075572A">
          <w:t>http://www.legis.state.pa.us/WU01/LI/LI/US/HTM/2012/0/0011..HTM</w:t>
        </w:r>
      </w:hyperlink>
    </w:p>
  </w:footnote>
  <w:footnote w:id="4">
    <w:p w:rsidR="00677F6F" w:rsidRDefault="00677F6F" w:rsidP="00677F6F">
      <w:pPr>
        <w:pStyle w:val="FootnoteText"/>
      </w:pPr>
      <w:r>
        <w:rPr>
          <w:rStyle w:val="FootnoteReference"/>
        </w:rPr>
        <w:footnoteRef/>
      </w:r>
      <w:r>
        <w:t xml:space="preserve"> PGW uses the term “at risk” in reference to cast iron and unprotected steel mains.</w:t>
      </w:r>
    </w:p>
  </w:footnote>
  <w:footnote w:id="5">
    <w:p w:rsidR="00FC15FE" w:rsidRDefault="00FC15FE" w:rsidP="00FC15FE">
      <w:pPr>
        <w:pStyle w:val="FootnoteText"/>
      </w:pPr>
      <w:r>
        <w:rPr>
          <w:rStyle w:val="FootnoteReference"/>
        </w:rPr>
        <w:footnoteRef/>
      </w:r>
      <w:r w:rsidR="008F0FE4" w:rsidRPr="00020ECA">
        <w:rPr>
          <w:i/>
        </w:rPr>
        <w:t>See</w:t>
      </w:r>
      <w:r w:rsidRPr="00020ECA">
        <w:rPr>
          <w:i/>
        </w:rPr>
        <w:t xml:space="preserve"> </w:t>
      </w:r>
      <w:r w:rsidR="008F0FE4">
        <w:rPr>
          <w:i/>
        </w:rPr>
        <w:t>“</w:t>
      </w:r>
      <w:r w:rsidRPr="00020ECA">
        <w:t>Petition of Philadelphia Gas Works for Waiver of Provisions of Act 11 to Increase the Distribution System Improvement Charge Cap and to Permit Levelization of DSIC Charges</w:t>
      </w:r>
      <w:r>
        <w:t>,</w:t>
      </w:r>
      <w:r w:rsidR="008F0FE4">
        <w:t>”</w:t>
      </w:r>
      <w:r>
        <w:t xml:space="preserve"> Docket No. P-2015-2501500.  Opinion and Order entered January 28, 2016</w:t>
      </w:r>
      <w:r w:rsidR="00C61EA4">
        <w:t xml:space="preserve">. </w:t>
      </w:r>
    </w:p>
  </w:footnote>
  <w:footnote w:id="6">
    <w:p w:rsidR="008F0FE4" w:rsidRDefault="008F0FE4">
      <w:pPr>
        <w:pStyle w:val="FootnoteText"/>
      </w:pPr>
      <w:r>
        <w:rPr>
          <w:rStyle w:val="FootnoteReference"/>
        </w:rPr>
        <w:footnoteRef/>
      </w:r>
      <w:r>
        <w:t xml:space="preserve"> </w:t>
      </w:r>
      <w:r w:rsidRPr="008F0FE4">
        <w:t>52 Pa. Code § 121.3(a)(8)</w:t>
      </w:r>
      <w:r>
        <w:t xml:space="preserve">. </w:t>
      </w:r>
    </w:p>
  </w:footnote>
  <w:footnote w:id="7">
    <w:p w:rsidR="00000A6D" w:rsidRDefault="00000A6D">
      <w:pPr>
        <w:pStyle w:val="FootnoteText"/>
      </w:pPr>
      <w:r>
        <w:rPr>
          <w:rStyle w:val="FootnoteReference"/>
        </w:rPr>
        <w:footnoteRef/>
      </w:r>
      <w:r>
        <w:t xml:space="preserve"> PGW’s Fiscal Year runs from September 1 to August 31.</w:t>
      </w:r>
    </w:p>
  </w:footnote>
  <w:footnote w:id="8">
    <w:p w:rsidR="006008EC" w:rsidRDefault="006008EC">
      <w:pPr>
        <w:pStyle w:val="FootnoteText"/>
      </w:pPr>
      <w:r>
        <w:rPr>
          <w:rStyle w:val="FootnoteReference"/>
        </w:rPr>
        <w:footnoteRef/>
      </w:r>
      <w:r>
        <w:t xml:space="preserve"> PGW’</w:t>
      </w:r>
      <w:r w:rsidR="002C0940">
        <w:t>s AAOP filed December 15</w:t>
      </w:r>
      <w:r>
        <w:t xml:space="preserve">, 2016 at Docket No. </w:t>
      </w:r>
      <w:r w:rsidRPr="006008EC">
        <w:t>M-2015-2518294</w:t>
      </w:r>
      <w:r>
        <w:t xml:space="preserve"> proposes </w:t>
      </w:r>
      <w:r w:rsidR="00B26486">
        <w:t>increased expenditures of $26.4 </w:t>
      </w:r>
      <w:r>
        <w:t>Million total for FY 2016,</w:t>
      </w:r>
      <w:r w:rsidRPr="006008EC">
        <w:t xml:space="preserve"> </w:t>
      </w:r>
      <w:r>
        <w:t>contingent upon approval of the LTIIP Modification Petition by June 2016.</w:t>
      </w:r>
    </w:p>
  </w:footnote>
  <w:footnote w:id="9">
    <w:p w:rsidR="00F1131E" w:rsidRDefault="00F1131E">
      <w:pPr>
        <w:pStyle w:val="FootnoteText"/>
      </w:pPr>
      <w:r>
        <w:rPr>
          <w:rStyle w:val="FootnoteReference"/>
        </w:rPr>
        <w:footnoteRef/>
      </w:r>
      <w:r>
        <w:t xml:space="preserve"> The PHMSA Pipeline Safety Regulations appear at 49 CFR Part 192.  The DIMP r</w:t>
      </w:r>
      <w:r w:rsidR="00B26486">
        <w:t>equirements are addressed at 49 </w:t>
      </w:r>
      <w:r>
        <w:t xml:space="preserve">CFR </w:t>
      </w:r>
      <w:r w:rsidR="0075572A">
        <w:t>§</w:t>
      </w:r>
      <w:r>
        <w:t xml:space="preserve"> § 192.1001 – 192.1015.</w:t>
      </w:r>
    </w:p>
  </w:footnote>
  <w:footnote w:id="10">
    <w:p w:rsidR="00F1131E" w:rsidRDefault="00F1131E">
      <w:pPr>
        <w:pStyle w:val="FootnoteText"/>
      </w:pPr>
      <w:r>
        <w:rPr>
          <w:rStyle w:val="FootnoteReference"/>
        </w:rPr>
        <w:footnoteRef/>
      </w:r>
      <w:r>
        <w:t xml:space="preserve"> </w:t>
      </w:r>
      <w:r w:rsidR="0043046A">
        <w:t>49 CFR §</w:t>
      </w:r>
      <w:r w:rsidR="0075572A">
        <w:t xml:space="preserve"> §</w:t>
      </w:r>
      <w:r w:rsidR="0043046A">
        <w:t xml:space="preserve"> 192.801 – 192.809</w:t>
      </w:r>
    </w:p>
  </w:footnote>
  <w:footnote w:id="11">
    <w:p w:rsidR="00F1131E" w:rsidRDefault="00F1131E">
      <w:pPr>
        <w:pStyle w:val="FootnoteText"/>
      </w:pPr>
      <w:r>
        <w:rPr>
          <w:rStyle w:val="FootnoteReference"/>
        </w:rPr>
        <w:footnoteRef/>
      </w:r>
      <w:r>
        <w:t xml:space="preserve"> 52 Pa. Code § 121.3(a)(7).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7">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8">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18">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28">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7"/>
  </w:num>
  <w:num w:numId="3">
    <w:abstractNumId w:val="2"/>
  </w:num>
  <w:num w:numId="4">
    <w:abstractNumId w:val="9"/>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4"/>
  </w:num>
  <w:num w:numId="11">
    <w:abstractNumId w:val="22"/>
  </w:num>
  <w:num w:numId="12">
    <w:abstractNumId w:val="16"/>
  </w:num>
  <w:num w:numId="13">
    <w:abstractNumId w:val="8"/>
  </w:num>
  <w:num w:numId="14">
    <w:abstractNumId w:val="20"/>
  </w:num>
  <w:num w:numId="15">
    <w:abstractNumId w:val="19"/>
  </w:num>
  <w:num w:numId="16">
    <w:abstractNumId w:val="5"/>
  </w:num>
  <w:num w:numId="17">
    <w:abstractNumId w:val="11"/>
  </w:num>
  <w:num w:numId="18">
    <w:abstractNumId w:val="13"/>
  </w:num>
  <w:num w:numId="19">
    <w:abstractNumId w:val="26"/>
  </w:num>
  <w:num w:numId="20">
    <w:abstractNumId w:val="25"/>
  </w:num>
  <w:num w:numId="21">
    <w:abstractNumId w:val="24"/>
  </w:num>
  <w:num w:numId="22">
    <w:abstractNumId w:val="21"/>
  </w:num>
  <w:num w:numId="23">
    <w:abstractNumId w:val="10"/>
  </w:num>
  <w:num w:numId="24">
    <w:abstractNumId w:val="12"/>
  </w:num>
  <w:num w:numId="25">
    <w:abstractNumId w:val="3"/>
  </w:num>
  <w:num w:numId="26">
    <w:abstractNumId w:val="23"/>
  </w:num>
  <w:num w:numId="27">
    <w:abstractNumId w:val="15"/>
  </w:num>
  <w:num w:numId="28">
    <w:abstractNumId w:val="14"/>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6D"/>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600A"/>
    <w:rsid w:val="00020ECA"/>
    <w:rsid w:val="000224A8"/>
    <w:rsid w:val="00022D58"/>
    <w:rsid w:val="00023786"/>
    <w:rsid w:val="00023854"/>
    <w:rsid w:val="0002577D"/>
    <w:rsid w:val="00025CE7"/>
    <w:rsid w:val="000300FC"/>
    <w:rsid w:val="000307F7"/>
    <w:rsid w:val="00030B5C"/>
    <w:rsid w:val="00031D59"/>
    <w:rsid w:val="0003286B"/>
    <w:rsid w:val="00034D98"/>
    <w:rsid w:val="000352F7"/>
    <w:rsid w:val="0003776F"/>
    <w:rsid w:val="00040238"/>
    <w:rsid w:val="00042915"/>
    <w:rsid w:val="00042B3E"/>
    <w:rsid w:val="000433F6"/>
    <w:rsid w:val="00043710"/>
    <w:rsid w:val="00043764"/>
    <w:rsid w:val="00044222"/>
    <w:rsid w:val="00045FA6"/>
    <w:rsid w:val="00047893"/>
    <w:rsid w:val="00047F44"/>
    <w:rsid w:val="0005014D"/>
    <w:rsid w:val="000506FF"/>
    <w:rsid w:val="000507D0"/>
    <w:rsid w:val="0005141B"/>
    <w:rsid w:val="00051D78"/>
    <w:rsid w:val="00051DC4"/>
    <w:rsid w:val="00051EF5"/>
    <w:rsid w:val="00052D94"/>
    <w:rsid w:val="000538E9"/>
    <w:rsid w:val="00056414"/>
    <w:rsid w:val="00056B84"/>
    <w:rsid w:val="00057656"/>
    <w:rsid w:val="00060580"/>
    <w:rsid w:val="000612D5"/>
    <w:rsid w:val="00061E14"/>
    <w:rsid w:val="0006307D"/>
    <w:rsid w:val="00063F64"/>
    <w:rsid w:val="00064B17"/>
    <w:rsid w:val="00064B8F"/>
    <w:rsid w:val="00064C8B"/>
    <w:rsid w:val="00064D01"/>
    <w:rsid w:val="00066B0C"/>
    <w:rsid w:val="00066CE3"/>
    <w:rsid w:val="000672F9"/>
    <w:rsid w:val="00067314"/>
    <w:rsid w:val="00067F30"/>
    <w:rsid w:val="000701DF"/>
    <w:rsid w:val="00071DD1"/>
    <w:rsid w:val="00074F36"/>
    <w:rsid w:val="000752AB"/>
    <w:rsid w:val="00077046"/>
    <w:rsid w:val="00077670"/>
    <w:rsid w:val="00081E5A"/>
    <w:rsid w:val="00083000"/>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3E4F"/>
    <w:rsid w:val="000C4495"/>
    <w:rsid w:val="000C6069"/>
    <w:rsid w:val="000C63F8"/>
    <w:rsid w:val="000C78D7"/>
    <w:rsid w:val="000D09A1"/>
    <w:rsid w:val="000D0D34"/>
    <w:rsid w:val="000D3D30"/>
    <w:rsid w:val="000D5267"/>
    <w:rsid w:val="000D65CE"/>
    <w:rsid w:val="000E0D52"/>
    <w:rsid w:val="000E1005"/>
    <w:rsid w:val="000E2808"/>
    <w:rsid w:val="000E3639"/>
    <w:rsid w:val="000E4460"/>
    <w:rsid w:val="000E4D1B"/>
    <w:rsid w:val="000E569C"/>
    <w:rsid w:val="000E73A5"/>
    <w:rsid w:val="000E7515"/>
    <w:rsid w:val="000F0E18"/>
    <w:rsid w:val="000F0ECF"/>
    <w:rsid w:val="000F2AE1"/>
    <w:rsid w:val="000F3BEC"/>
    <w:rsid w:val="000F49C4"/>
    <w:rsid w:val="000F4FD2"/>
    <w:rsid w:val="000F5E3D"/>
    <w:rsid w:val="000F6B05"/>
    <w:rsid w:val="000F7A83"/>
    <w:rsid w:val="001013E1"/>
    <w:rsid w:val="00101493"/>
    <w:rsid w:val="001046E7"/>
    <w:rsid w:val="0010559E"/>
    <w:rsid w:val="00106645"/>
    <w:rsid w:val="0011066C"/>
    <w:rsid w:val="00110689"/>
    <w:rsid w:val="0011079C"/>
    <w:rsid w:val="0011159F"/>
    <w:rsid w:val="0011254C"/>
    <w:rsid w:val="00115A7D"/>
    <w:rsid w:val="00117195"/>
    <w:rsid w:val="001202B5"/>
    <w:rsid w:val="00121D63"/>
    <w:rsid w:val="00124317"/>
    <w:rsid w:val="0012516E"/>
    <w:rsid w:val="00125234"/>
    <w:rsid w:val="00126ABE"/>
    <w:rsid w:val="00126D2A"/>
    <w:rsid w:val="00127A27"/>
    <w:rsid w:val="001303A1"/>
    <w:rsid w:val="0013395B"/>
    <w:rsid w:val="00135912"/>
    <w:rsid w:val="001365B6"/>
    <w:rsid w:val="00140A11"/>
    <w:rsid w:val="001414CA"/>
    <w:rsid w:val="00142810"/>
    <w:rsid w:val="00143E69"/>
    <w:rsid w:val="00144489"/>
    <w:rsid w:val="00146BB7"/>
    <w:rsid w:val="00147BB9"/>
    <w:rsid w:val="00152A7D"/>
    <w:rsid w:val="00153ADE"/>
    <w:rsid w:val="001541F1"/>
    <w:rsid w:val="00154563"/>
    <w:rsid w:val="001552C3"/>
    <w:rsid w:val="0015536F"/>
    <w:rsid w:val="0015684E"/>
    <w:rsid w:val="00156F52"/>
    <w:rsid w:val="00163B04"/>
    <w:rsid w:val="00164352"/>
    <w:rsid w:val="00164BAB"/>
    <w:rsid w:val="00165F87"/>
    <w:rsid w:val="001669B4"/>
    <w:rsid w:val="00173542"/>
    <w:rsid w:val="00173637"/>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2A2E"/>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685D"/>
    <w:rsid w:val="001A72D1"/>
    <w:rsid w:val="001A7544"/>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754"/>
    <w:rsid w:val="001D2604"/>
    <w:rsid w:val="001D3BA8"/>
    <w:rsid w:val="001D4686"/>
    <w:rsid w:val="001D7605"/>
    <w:rsid w:val="001D78AF"/>
    <w:rsid w:val="001E240F"/>
    <w:rsid w:val="001E2859"/>
    <w:rsid w:val="001E4732"/>
    <w:rsid w:val="001E4B2C"/>
    <w:rsid w:val="001E5010"/>
    <w:rsid w:val="001E631F"/>
    <w:rsid w:val="001E682A"/>
    <w:rsid w:val="001F2409"/>
    <w:rsid w:val="001F28E8"/>
    <w:rsid w:val="001F2D8B"/>
    <w:rsid w:val="001F3106"/>
    <w:rsid w:val="001F37FA"/>
    <w:rsid w:val="001F3C46"/>
    <w:rsid w:val="001F5D75"/>
    <w:rsid w:val="001F6097"/>
    <w:rsid w:val="00200B10"/>
    <w:rsid w:val="002030D4"/>
    <w:rsid w:val="002039BB"/>
    <w:rsid w:val="00204EAE"/>
    <w:rsid w:val="00204EDA"/>
    <w:rsid w:val="00206C03"/>
    <w:rsid w:val="0021082B"/>
    <w:rsid w:val="00210BF3"/>
    <w:rsid w:val="00211560"/>
    <w:rsid w:val="00211FAC"/>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1027"/>
    <w:rsid w:val="00251BA0"/>
    <w:rsid w:val="00251FC4"/>
    <w:rsid w:val="00253311"/>
    <w:rsid w:val="00260327"/>
    <w:rsid w:val="0026228D"/>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332B"/>
    <w:rsid w:val="002837ED"/>
    <w:rsid w:val="002877BA"/>
    <w:rsid w:val="00287854"/>
    <w:rsid w:val="002912EF"/>
    <w:rsid w:val="002918DD"/>
    <w:rsid w:val="00291AC6"/>
    <w:rsid w:val="00292769"/>
    <w:rsid w:val="00292C43"/>
    <w:rsid w:val="00292DE0"/>
    <w:rsid w:val="00293009"/>
    <w:rsid w:val="00293EB9"/>
    <w:rsid w:val="00296196"/>
    <w:rsid w:val="002A0D0B"/>
    <w:rsid w:val="002A1280"/>
    <w:rsid w:val="002A1A2E"/>
    <w:rsid w:val="002A2AEC"/>
    <w:rsid w:val="002A3C76"/>
    <w:rsid w:val="002A48E0"/>
    <w:rsid w:val="002A498A"/>
    <w:rsid w:val="002A5630"/>
    <w:rsid w:val="002A60F1"/>
    <w:rsid w:val="002A666D"/>
    <w:rsid w:val="002B03C9"/>
    <w:rsid w:val="002B1C70"/>
    <w:rsid w:val="002B3E34"/>
    <w:rsid w:val="002B538A"/>
    <w:rsid w:val="002B5A55"/>
    <w:rsid w:val="002B5B37"/>
    <w:rsid w:val="002B6807"/>
    <w:rsid w:val="002B693D"/>
    <w:rsid w:val="002B73E6"/>
    <w:rsid w:val="002B7D95"/>
    <w:rsid w:val="002C0940"/>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7742"/>
    <w:rsid w:val="002F1815"/>
    <w:rsid w:val="002F26CE"/>
    <w:rsid w:val="002F2EA4"/>
    <w:rsid w:val="002F3B7D"/>
    <w:rsid w:val="002F405B"/>
    <w:rsid w:val="002F5108"/>
    <w:rsid w:val="002F53AA"/>
    <w:rsid w:val="002F7274"/>
    <w:rsid w:val="002F7854"/>
    <w:rsid w:val="0030031B"/>
    <w:rsid w:val="003013B0"/>
    <w:rsid w:val="0030248B"/>
    <w:rsid w:val="00303CA2"/>
    <w:rsid w:val="00304AFE"/>
    <w:rsid w:val="00304E68"/>
    <w:rsid w:val="003050F6"/>
    <w:rsid w:val="00307583"/>
    <w:rsid w:val="00307814"/>
    <w:rsid w:val="003101B8"/>
    <w:rsid w:val="0031025C"/>
    <w:rsid w:val="003127AC"/>
    <w:rsid w:val="0031360A"/>
    <w:rsid w:val="00316AFF"/>
    <w:rsid w:val="00316B31"/>
    <w:rsid w:val="00317589"/>
    <w:rsid w:val="00317BA3"/>
    <w:rsid w:val="00320CBF"/>
    <w:rsid w:val="00320FC7"/>
    <w:rsid w:val="00321363"/>
    <w:rsid w:val="00321937"/>
    <w:rsid w:val="003258F6"/>
    <w:rsid w:val="003271AA"/>
    <w:rsid w:val="003272A6"/>
    <w:rsid w:val="00330D0E"/>
    <w:rsid w:val="00330D19"/>
    <w:rsid w:val="00330F60"/>
    <w:rsid w:val="00331EA4"/>
    <w:rsid w:val="00332177"/>
    <w:rsid w:val="00332470"/>
    <w:rsid w:val="00334CF9"/>
    <w:rsid w:val="003361F4"/>
    <w:rsid w:val="00337E47"/>
    <w:rsid w:val="00340845"/>
    <w:rsid w:val="00341BAF"/>
    <w:rsid w:val="0034366D"/>
    <w:rsid w:val="00343BDF"/>
    <w:rsid w:val="00345E4C"/>
    <w:rsid w:val="003505F8"/>
    <w:rsid w:val="00351902"/>
    <w:rsid w:val="003522D6"/>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75A3"/>
    <w:rsid w:val="0038767E"/>
    <w:rsid w:val="00387894"/>
    <w:rsid w:val="00391502"/>
    <w:rsid w:val="0039178B"/>
    <w:rsid w:val="0039193D"/>
    <w:rsid w:val="00392664"/>
    <w:rsid w:val="003937B3"/>
    <w:rsid w:val="00393DA3"/>
    <w:rsid w:val="00395081"/>
    <w:rsid w:val="003960D4"/>
    <w:rsid w:val="0039749A"/>
    <w:rsid w:val="0039795F"/>
    <w:rsid w:val="00397D81"/>
    <w:rsid w:val="003A00B5"/>
    <w:rsid w:val="003A0129"/>
    <w:rsid w:val="003A16E1"/>
    <w:rsid w:val="003A2C8F"/>
    <w:rsid w:val="003A3745"/>
    <w:rsid w:val="003A4C3D"/>
    <w:rsid w:val="003A5521"/>
    <w:rsid w:val="003A5FA3"/>
    <w:rsid w:val="003A637C"/>
    <w:rsid w:val="003A685C"/>
    <w:rsid w:val="003A74B5"/>
    <w:rsid w:val="003A76D3"/>
    <w:rsid w:val="003B00C0"/>
    <w:rsid w:val="003B0A1F"/>
    <w:rsid w:val="003B0ED9"/>
    <w:rsid w:val="003B1773"/>
    <w:rsid w:val="003B1F02"/>
    <w:rsid w:val="003B304C"/>
    <w:rsid w:val="003B443C"/>
    <w:rsid w:val="003B6354"/>
    <w:rsid w:val="003C290E"/>
    <w:rsid w:val="003C4521"/>
    <w:rsid w:val="003C4EA5"/>
    <w:rsid w:val="003C623E"/>
    <w:rsid w:val="003C63A1"/>
    <w:rsid w:val="003C7B76"/>
    <w:rsid w:val="003D1772"/>
    <w:rsid w:val="003D2E7E"/>
    <w:rsid w:val="003D3C6F"/>
    <w:rsid w:val="003D55F5"/>
    <w:rsid w:val="003D613B"/>
    <w:rsid w:val="003D666E"/>
    <w:rsid w:val="003D7C02"/>
    <w:rsid w:val="003E0579"/>
    <w:rsid w:val="003E2848"/>
    <w:rsid w:val="003E5244"/>
    <w:rsid w:val="003E5E04"/>
    <w:rsid w:val="003E65F7"/>
    <w:rsid w:val="003E6F5D"/>
    <w:rsid w:val="003F01C3"/>
    <w:rsid w:val="003F21E6"/>
    <w:rsid w:val="003F2E82"/>
    <w:rsid w:val="003F3AC3"/>
    <w:rsid w:val="003F49A9"/>
    <w:rsid w:val="003F4D49"/>
    <w:rsid w:val="003F4D69"/>
    <w:rsid w:val="003F5248"/>
    <w:rsid w:val="003F537B"/>
    <w:rsid w:val="003F5419"/>
    <w:rsid w:val="003F7184"/>
    <w:rsid w:val="003F76D1"/>
    <w:rsid w:val="003F7BAD"/>
    <w:rsid w:val="004002FC"/>
    <w:rsid w:val="00400AF3"/>
    <w:rsid w:val="00402939"/>
    <w:rsid w:val="00404E1F"/>
    <w:rsid w:val="0040690C"/>
    <w:rsid w:val="004070A4"/>
    <w:rsid w:val="004100B8"/>
    <w:rsid w:val="00410EA4"/>
    <w:rsid w:val="004116CA"/>
    <w:rsid w:val="004127E3"/>
    <w:rsid w:val="00413D73"/>
    <w:rsid w:val="00414248"/>
    <w:rsid w:val="00414881"/>
    <w:rsid w:val="004159CC"/>
    <w:rsid w:val="0041670B"/>
    <w:rsid w:val="0042070C"/>
    <w:rsid w:val="004224CC"/>
    <w:rsid w:val="00423EA7"/>
    <w:rsid w:val="00426798"/>
    <w:rsid w:val="00427530"/>
    <w:rsid w:val="00430166"/>
    <w:rsid w:val="00430386"/>
    <w:rsid w:val="0043046A"/>
    <w:rsid w:val="00433B07"/>
    <w:rsid w:val="00433D4B"/>
    <w:rsid w:val="00435210"/>
    <w:rsid w:val="00435218"/>
    <w:rsid w:val="00435A4E"/>
    <w:rsid w:val="00436358"/>
    <w:rsid w:val="0044050E"/>
    <w:rsid w:val="0044120F"/>
    <w:rsid w:val="0044214C"/>
    <w:rsid w:val="00444BFB"/>
    <w:rsid w:val="00445700"/>
    <w:rsid w:val="0044585E"/>
    <w:rsid w:val="004467B4"/>
    <w:rsid w:val="00447CB7"/>
    <w:rsid w:val="0045001E"/>
    <w:rsid w:val="004507A8"/>
    <w:rsid w:val="00452221"/>
    <w:rsid w:val="00453ACC"/>
    <w:rsid w:val="0045504C"/>
    <w:rsid w:val="0045592E"/>
    <w:rsid w:val="00455F55"/>
    <w:rsid w:val="00456003"/>
    <w:rsid w:val="0045656E"/>
    <w:rsid w:val="0046057E"/>
    <w:rsid w:val="00460653"/>
    <w:rsid w:val="00460BEF"/>
    <w:rsid w:val="00461BAE"/>
    <w:rsid w:val="004621BD"/>
    <w:rsid w:val="00464A6A"/>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F3E"/>
    <w:rsid w:val="0048104D"/>
    <w:rsid w:val="004812A3"/>
    <w:rsid w:val="00481D22"/>
    <w:rsid w:val="00481ED1"/>
    <w:rsid w:val="004828FC"/>
    <w:rsid w:val="0048332F"/>
    <w:rsid w:val="004855F0"/>
    <w:rsid w:val="0048659B"/>
    <w:rsid w:val="004900D8"/>
    <w:rsid w:val="00490C99"/>
    <w:rsid w:val="00492151"/>
    <w:rsid w:val="004A2455"/>
    <w:rsid w:val="004A3F09"/>
    <w:rsid w:val="004A443A"/>
    <w:rsid w:val="004A7E7F"/>
    <w:rsid w:val="004B09AB"/>
    <w:rsid w:val="004B2405"/>
    <w:rsid w:val="004B289D"/>
    <w:rsid w:val="004B2BAB"/>
    <w:rsid w:val="004B3073"/>
    <w:rsid w:val="004B313C"/>
    <w:rsid w:val="004B398D"/>
    <w:rsid w:val="004B49C3"/>
    <w:rsid w:val="004B5400"/>
    <w:rsid w:val="004B5A16"/>
    <w:rsid w:val="004C054C"/>
    <w:rsid w:val="004C0C95"/>
    <w:rsid w:val="004C13B6"/>
    <w:rsid w:val="004C18B7"/>
    <w:rsid w:val="004C2474"/>
    <w:rsid w:val="004C328D"/>
    <w:rsid w:val="004C5A9A"/>
    <w:rsid w:val="004D0399"/>
    <w:rsid w:val="004D116A"/>
    <w:rsid w:val="004D2598"/>
    <w:rsid w:val="004D3379"/>
    <w:rsid w:val="004D3DC1"/>
    <w:rsid w:val="004D63C6"/>
    <w:rsid w:val="004D6C11"/>
    <w:rsid w:val="004D6FA0"/>
    <w:rsid w:val="004D722F"/>
    <w:rsid w:val="004E4BD6"/>
    <w:rsid w:val="004E703A"/>
    <w:rsid w:val="004E7476"/>
    <w:rsid w:val="004E7C4F"/>
    <w:rsid w:val="004F31F2"/>
    <w:rsid w:val="004F3CE9"/>
    <w:rsid w:val="004F4AE2"/>
    <w:rsid w:val="004F5FAD"/>
    <w:rsid w:val="004F682E"/>
    <w:rsid w:val="004F7EDD"/>
    <w:rsid w:val="005004FE"/>
    <w:rsid w:val="005007DF"/>
    <w:rsid w:val="00502A16"/>
    <w:rsid w:val="00502E0D"/>
    <w:rsid w:val="005030A8"/>
    <w:rsid w:val="00503113"/>
    <w:rsid w:val="00503AAA"/>
    <w:rsid w:val="005048C7"/>
    <w:rsid w:val="0051089E"/>
    <w:rsid w:val="00511449"/>
    <w:rsid w:val="00514D6C"/>
    <w:rsid w:val="005150AC"/>
    <w:rsid w:val="005152EF"/>
    <w:rsid w:val="00516390"/>
    <w:rsid w:val="00516709"/>
    <w:rsid w:val="00517304"/>
    <w:rsid w:val="00517518"/>
    <w:rsid w:val="00521309"/>
    <w:rsid w:val="005236E0"/>
    <w:rsid w:val="0052664E"/>
    <w:rsid w:val="00527F5A"/>
    <w:rsid w:val="00530279"/>
    <w:rsid w:val="0053130E"/>
    <w:rsid w:val="0053246E"/>
    <w:rsid w:val="00532515"/>
    <w:rsid w:val="00532CE4"/>
    <w:rsid w:val="00532EEF"/>
    <w:rsid w:val="005333A5"/>
    <w:rsid w:val="005334DD"/>
    <w:rsid w:val="005359CB"/>
    <w:rsid w:val="005366F5"/>
    <w:rsid w:val="00536ED0"/>
    <w:rsid w:val="0053778E"/>
    <w:rsid w:val="00537A25"/>
    <w:rsid w:val="00537D4B"/>
    <w:rsid w:val="0054035A"/>
    <w:rsid w:val="00540D81"/>
    <w:rsid w:val="00541752"/>
    <w:rsid w:val="005419E9"/>
    <w:rsid w:val="0054293C"/>
    <w:rsid w:val="00543830"/>
    <w:rsid w:val="0054435F"/>
    <w:rsid w:val="00545B82"/>
    <w:rsid w:val="00551169"/>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B185E"/>
    <w:rsid w:val="005B1B4F"/>
    <w:rsid w:val="005B3497"/>
    <w:rsid w:val="005B370D"/>
    <w:rsid w:val="005B4F12"/>
    <w:rsid w:val="005B572F"/>
    <w:rsid w:val="005B7FE0"/>
    <w:rsid w:val="005C0905"/>
    <w:rsid w:val="005C15A0"/>
    <w:rsid w:val="005C15E8"/>
    <w:rsid w:val="005C17C4"/>
    <w:rsid w:val="005C2845"/>
    <w:rsid w:val="005C2F50"/>
    <w:rsid w:val="005C38B1"/>
    <w:rsid w:val="005C39FD"/>
    <w:rsid w:val="005C4FE9"/>
    <w:rsid w:val="005C64D9"/>
    <w:rsid w:val="005C70CD"/>
    <w:rsid w:val="005C7327"/>
    <w:rsid w:val="005D14BA"/>
    <w:rsid w:val="005D1A56"/>
    <w:rsid w:val="005D2312"/>
    <w:rsid w:val="005D2A9E"/>
    <w:rsid w:val="005D6542"/>
    <w:rsid w:val="005D6B3E"/>
    <w:rsid w:val="005D7CE6"/>
    <w:rsid w:val="005E1797"/>
    <w:rsid w:val="005E2411"/>
    <w:rsid w:val="005E38AD"/>
    <w:rsid w:val="005E48A1"/>
    <w:rsid w:val="005E4BDA"/>
    <w:rsid w:val="005E5BE8"/>
    <w:rsid w:val="005E5DBE"/>
    <w:rsid w:val="005E62F6"/>
    <w:rsid w:val="005E766A"/>
    <w:rsid w:val="005E772E"/>
    <w:rsid w:val="005E7AB2"/>
    <w:rsid w:val="005E7B1F"/>
    <w:rsid w:val="005E7D37"/>
    <w:rsid w:val="005F09BD"/>
    <w:rsid w:val="005F1058"/>
    <w:rsid w:val="005F153C"/>
    <w:rsid w:val="005F4962"/>
    <w:rsid w:val="005F57A3"/>
    <w:rsid w:val="005F5EB7"/>
    <w:rsid w:val="005F5F57"/>
    <w:rsid w:val="005F636E"/>
    <w:rsid w:val="005F77C2"/>
    <w:rsid w:val="006003F1"/>
    <w:rsid w:val="006008EC"/>
    <w:rsid w:val="00601142"/>
    <w:rsid w:val="00601411"/>
    <w:rsid w:val="00601BBA"/>
    <w:rsid w:val="00602415"/>
    <w:rsid w:val="00602768"/>
    <w:rsid w:val="00603D7A"/>
    <w:rsid w:val="00604635"/>
    <w:rsid w:val="00604781"/>
    <w:rsid w:val="00605278"/>
    <w:rsid w:val="00605FE1"/>
    <w:rsid w:val="00606F24"/>
    <w:rsid w:val="006104DD"/>
    <w:rsid w:val="00612694"/>
    <w:rsid w:val="00613F51"/>
    <w:rsid w:val="006144CE"/>
    <w:rsid w:val="00615F79"/>
    <w:rsid w:val="0062040D"/>
    <w:rsid w:val="006212E1"/>
    <w:rsid w:val="006217C1"/>
    <w:rsid w:val="006220E7"/>
    <w:rsid w:val="0062392C"/>
    <w:rsid w:val="00623F50"/>
    <w:rsid w:val="00625951"/>
    <w:rsid w:val="006259A4"/>
    <w:rsid w:val="00627017"/>
    <w:rsid w:val="00632033"/>
    <w:rsid w:val="00632397"/>
    <w:rsid w:val="00633108"/>
    <w:rsid w:val="00634DC4"/>
    <w:rsid w:val="0063564C"/>
    <w:rsid w:val="00637635"/>
    <w:rsid w:val="00640EE8"/>
    <w:rsid w:val="006414EA"/>
    <w:rsid w:val="00644256"/>
    <w:rsid w:val="00645FC2"/>
    <w:rsid w:val="006475E0"/>
    <w:rsid w:val="00652362"/>
    <w:rsid w:val="006535AD"/>
    <w:rsid w:val="006537BA"/>
    <w:rsid w:val="0065448C"/>
    <w:rsid w:val="006557FC"/>
    <w:rsid w:val="0065580E"/>
    <w:rsid w:val="0066120D"/>
    <w:rsid w:val="006615C5"/>
    <w:rsid w:val="00661EBC"/>
    <w:rsid w:val="00662B85"/>
    <w:rsid w:val="00663C7F"/>
    <w:rsid w:val="00664174"/>
    <w:rsid w:val="0066452E"/>
    <w:rsid w:val="006659BE"/>
    <w:rsid w:val="006664D3"/>
    <w:rsid w:val="006665A5"/>
    <w:rsid w:val="00666CFD"/>
    <w:rsid w:val="00667303"/>
    <w:rsid w:val="00670330"/>
    <w:rsid w:val="006705CA"/>
    <w:rsid w:val="006708C1"/>
    <w:rsid w:val="00672443"/>
    <w:rsid w:val="006730ED"/>
    <w:rsid w:val="00673764"/>
    <w:rsid w:val="0067420B"/>
    <w:rsid w:val="006744A4"/>
    <w:rsid w:val="006755CE"/>
    <w:rsid w:val="006768E1"/>
    <w:rsid w:val="0067771D"/>
    <w:rsid w:val="00677F6F"/>
    <w:rsid w:val="00681DE4"/>
    <w:rsid w:val="00682D90"/>
    <w:rsid w:val="00683CB2"/>
    <w:rsid w:val="0069151C"/>
    <w:rsid w:val="00691551"/>
    <w:rsid w:val="006920D5"/>
    <w:rsid w:val="006924B6"/>
    <w:rsid w:val="0069324D"/>
    <w:rsid w:val="006936C1"/>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475"/>
    <w:rsid w:val="006B44A5"/>
    <w:rsid w:val="006B5B19"/>
    <w:rsid w:val="006B6152"/>
    <w:rsid w:val="006B7782"/>
    <w:rsid w:val="006C0CB3"/>
    <w:rsid w:val="006C1A6B"/>
    <w:rsid w:val="006C3310"/>
    <w:rsid w:val="006C5124"/>
    <w:rsid w:val="006C560D"/>
    <w:rsid w:val="006C5E5E"/>
    <w:rsid w:val="006C6391"/>
    <w:rsid w:val="006C7491"/>
    <w:rsid w:val="006D087C"/>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20F"/>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3EF5"/>
    <w:rsid w:val="00713F88"/>
    <w:rsid w:val="00717301"/>
    <w:rsid w:val="00721179"/>
    <w:rsid w:val="007212A4"/>
    <w:rsid w:val="00721F53"/>
    <w:rsid w:val="00724CF9"/>
    <w:rsid w:val="00724D9A"/>
    <w:rsid w:val="0072592A"/>
    <w:rsid w:val="0073085C"/>
    <w:rsid w:val="00731021"/>
    <w:rsid w:val="0073134E"/>
    <w:rsid w:val="00731FD4"/>
    <w:rsid w:val="007328D6"/>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81C"/>
    <w:rsid w:val="0075185C"/>
    <w:rsid w:val="00751BC8"/>
    <w:rsid w:val="0075367A"/>
    <w:rsid w:val="00753821"/>
    <w:rsid w:val="007540C5"/>
    <w:rsid w:val="0075572A"/>
    <w:rsid w:val="0075572C"/>
    <w:rsid w:val="007563ED"/>
    <w:rsid w:val="007569ED"/>
    <w:rsid w:val="00757034"/>
    <w:rsid w:val="007607D8"/>
    <w:rsid w:val="00760AA2"/>
    <w:rsid w:val="00760E0A"/>
    <w:rsid w:val="00761B8B"/>
    <w:rsid w:val="00761F38"/>
    <w:rsid w:val="007633AE"/>
    <w:rsid w:val="007638D1"/>
    <w:rsid w:val="00764073"/>
    <w:rsid w:val="0076446F"/>
    <w:rsid w:val="0076554F"/>
    <w:rsid w:val="007657D2"/>
    <w:rsid w:val="007658FE"/>
    <w:rsid w:val="00765982"/>
    <w:rsid w:val="00765C0F"/>
    <w:rsid w:val="00766B68"/>
    <w:rsid w:val="0077022C"/>
    <w:rsid w:val="00771A91"/>
    <w:rsid w:val="00772110"/>
    <w:rsid w:val="007722DB"/>
    <w:rsid w:val="0077243E"/>
    <w:rsid w:val="00773D87"/>
    <w:rsid w:val="007742B8"/>
    <w:rsid w:val="0077455C"/>
    <w:rsid w:val="007748ED"/>
    <w:rsid w:val="00775DD7"/>
    <w:rsid w:val="00781885"/>
    <w:rsid w:val="00782F51"/>
    <w:rsid w:val="00783537"/>
    <w:rsid w:val="007844D1"/>
    <w:rsid w:val="00784A79"/>
    <w:rsid w:val="00786256"/>
    <w:rsid w:val="00786B00"/>
    <w:rsid w:val="00786E4A"/>
    <w:rsid w:val="007912A0"/>
    <w:rsid w:val="00792C49"/>
    <w:rsid w:val="007935CE"/>
    <w:rsid w:val="00793BC5"/>
    <w:rsid w:val="00793DBC"/>
    <w:rsid w:val="007944FC"/>
    <w:rsid w:val="007947CB"/>
    <w:rsid w:val="00794FB9"/>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5993"/>
    <w:rsid w:val="007C65DF"/>
    <w:rsid w:val="007C6ECF"/>
    <w:rsid w:val="007C766F"/>
    <w:rsid w:val="007D0B6D"/>
    <w:rsid w:val="007D0F7F"/>
    <w:rsid w:val="007D1CF9"/>
    <w:rsid w:val="007D1E0D"/>
    <w:rsid w:val="007D25BF"/>
    <w:rsid w:val="007D3E6F"/>
    <w:rsid w:val="007D425E"/>
    <w:rsid w:val="007D60D1"/>
    <w:rsid w:val="007D6D35"/>
    <w:rsid w:val="007D7368"/>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803A5F"/>
    <w:rsid w:val="0080411B"/>
    <w:rsid w:val="00804F5F"/>
    <w:rsid w:val="008055CF"/>
    <w:rsid w:val="00807F67"/>
    <w:rsid w:val="00810AE1"/>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D51"/>
    <w:rsid w:val="008324BE"/>
    <w:rsid w:val="008337EE"/>
    <w:rsid w:val="0083630E"/>
    <w:rsid w:val="008363A5"/>
    <w:rsid w:val="00837585"/>
    <w:rsid w:val="00837837"/>
    <w:rsid w:val="0084169A"/>
    <w:rsid w:val="00843DD1"/>
    <w:rsid w:val="00844640"/>
    <w:rsid w:val="00844793"/>
    <w:rsid w:val="00847B88"/>
    <w:rsid w:val="00847E62"/>
    <w:rsid w:val="00851091"/>
    <w:rsid w:val="008513D1"/>
    <w:rsid w:val="008519E4"/>
    <w:rsid w:val="00853A9D"/>
    <w:rsid w:val="00854B82"/>
    <w:rsid w:val="00854D56"/>
    <w:rsid w:val="00855D61"/>
    <w:rsid w:val="008612CD"/>
    <w:rsid w:val="00861974"/>
    <w:rsid w:val="008622FC"/>
    <w:rsid w:val="00862C74"/>
    <w:rsid w:val="00862ED7"/>
    <w:rsid w:val="008631E5"/>
    <w:rsid w:val="00864007"/>
    <w:rsid w:val="00865859"/>
    <w:rsid w:val="00866678"/>
    <w:rsid w:val="00867680"/>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E0"/>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71E"/>
    <w:rsid w:val="008B2D49"/>
    <w:rsid w:val="008B6314"/>
    <w:rsid w:val="008B6B2F"/>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7BC"/>
    <w:rsid w:val="008E3887"/>
    <w:rsid w:val="008E4247"/>
    <w:rsid w:val="008E61BE"/>
    <w:rsid w:val="008E64E4"/>
    <w:rsid w:val="008E6D55"/>
    <w:rsid w:val="008F0A1E"/>
    <w:rsid w:val="008F0C3B"/>
    <w:rsid w:val="008F0FE4"/>
    <w:rsid w:val="008F1C57"/>
    <w:rsid w:val="008F21C9"/>
    <w:rsid w:val="008F28A6"/>
    <w:rsid w:val="008F50BF"/>
    <w:rsid w:val="008F5264"/>
    <w:rsid w:val="008F53A5"/>
    <w:rsid w:val="008F5CC3"/>
    <w:rsid w:val="008F6D56"/>
    <w:rsid w:val="0090017F"/>
    <w:rsid w:val="00906324"/>
    <w:rsid w:val="00906A22"/>
    <w:rsid w:val="009106F7"/>
    <w:rsid w:val="0091082E"/>
    <w:rsid w:val="00910E97"/>
    <w:rsid w:val="00911697"/>
    <w:rsid w:val="00911D85"/>
    <w:rsid w:val="00912B23"/>
    <w:rsid w:val="0091357E"/>
    <w:rsid w:val="00914376"/>
    <w:rsid w:val="0091444E"/>
    <w:rsid w:val="00914451"/>
    <w:rsid w:val="009159BB"/>
    <w:rsid w:val="00917679"/>
    <w:rsid w:val="00921303"/>
    <w:rsid w:val="009221AC"/>
    <w:rsid w:val="0092225D"/>
    <w:rsid w:val="00922F7F"/>
    <w:rsid w:val="00925773"/>
    <w:rsid w:val="00927109"/>
    <w:rsid w:val="00927554"/>
    <w:rsid w:val="009278BB"/>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50B4"/>
    <w:rsid w:val="009452B5"/>
    <w:rsid w:val="0094549B"/>
    <w:rsid w:val="009459C8"/>
    <w:rsid w:val="00947651"/>
    <w:rsid w:val="009503F5"/>
    <w:rsid w:val="00951C85"/>
    <w:rsid w:val="00951D28"/>
    <w:rsid w:val="009527F7"/>
    <w:rsid w:val="00953DD9"/>
    <w:rsid w:val="00954862"/>
    <w:rsid w:val="009549C2"/>
    <w:rsid w:val="00954A3C"/>
    <w:rsid w:val="009607E6"/>
    <w:rsid w:val="00961484"/>
    <w:rsid w:val="009625EB"/>
    <w:rsid w:val="009647E3"/>
    <w:rsid w:val="009648A0"/>
    <w:rsid w:val="00965628"/>
    <w:rsid w:val="00965767"/>
    <w:rsid w:val="00967A66"/>
    <w:rsid w:val="00971B4C"/>
    <w:rsid w:val="00972A4D"/>
    <w:rsid w:val="00972B4E"/>
    <w:rsid w:val="00973682"/>
    <w:rsid w:val="009744CE"/>
    <w:rsid w:val="009746C6"/>
    <w:rsid w:val="00974CE9"/>
    <w:rsid w:val="009752DF"/>
    <w:rsid w:val="00975F75"/>
    <w:rsid w:val="0097644B"/>
    <w:rsid w:val="00976B06"/>
    <w:rsid w:val="00980C10"/>
    <w:rsid w:val="0098149C"/>
    <w:rsid w:val="009815A5"/>
    <w:rsid w:val="00983D63"/>
    <w:rsid w:val="00984878"/>
    <w:rsid w:val="009852B6"/>
    <w:rsid w:val="009874B8"/>
    <w:rsid w:val="009874BB"/>
    <w:rsid w:val="0099049A"/>
    <w:rsid w:val="0099081A"/>
    <w:rsid w:val="00990CC3"/>
    <w:rsid w:val="00991B7E"/>
    <w:rsid w:val="00991D2F"/>
    <w:rsid w:val="00993BC4"/>
    <w:rsid w:val="0099487F"/>
    <w:rsid w:val="00994C8A"/>
    <w:rsid w:val="009957A4"/>
    <w:rsid w:val="00995C82"/>
    <w:rsid w:val="00996E95"/>
    <w:rsid w:val="0099744E"/>
    <w:rsid w:val="00997FDF"/>
    <w:rsid w:val="009A1354"/>
    <w:rsid w:val="009A349A"/>
    <w:rsid w:val="009A3E4F"/>
    <w:rsid w:val="009A4C9C"/>
    <w:rsid w:val="009A6A74"/>
    <w:rsid w:val="009B0379"/>
    <w:rsid w:val="009B0C73"/>
    <w:rsid w:val="009B1E94"/>
    <w:rsid w:val="009B5672"/>
    <w:rsid w:val="009B746F"/>
    <w:rsid w:val="009C103D"/>
    <w:rsid w:val="009C14FF"/>
    <w:rsid w:val="009C1BA3"/>
    <w:rsid w:val="009C2537"/>
    <w:rsid w:val="009C3442"/>
    <w:rsid w:val="009C4DFB"/>
    <w:rsid w:val="009C562F"/>
    <w:rsid w:val="009C5F76"/>
    <w:rsid w:val="009C748B"/>
    <w:rsid w:val="009C7CBB"/>
    <w:rsid w:val="009D1A1B"/>
    <w:rsid w:val="009D259C"/>
    <w:rsid w:val="009D2689"/>
    <w:rsid w:val="009D2F2D"/>
    <w:rsid w:val="009D3AF4"/>
    <w:rsid w:val="009D4179"/>
    <w:rsid w:val="009D5195"/>
    <w:rsid w:val="009D579D"/>
    <w:rsid w:val="009D6533"/>
    <w:rsid w:val="009E0125"/>
    <w:rsid w:val="009E0FEB"/>
    <w:rsid w:val="009E1470"/>
    <w:rsid w:val="009E3014"/>
    <w:rsid w:val="009E6781"/>
    <w:rsid w:val="009F0C7E"/>
    <w:rsid w:val="009F0F4B"/>
    <w:rsid w:val="009F2A3B"/>
    <w:rsid w:val="009F2B33"/>
    <w:rsid w:val="009F57C5"/>
    <w:rsid w:val="009F68DE"/>
    <w:rsid w:val="00A007FA"/>
    <w:rsid w:val="00A03346"/>
    <w:rsid w:val="00A038A1"/>
    <w:rsid w:val="00A041AA"/>
    <w:rsid w:val="00A047E5"/>
    <w:rsid w:val="00A0570C"/>
    <w:rsid w:val="00A059AE"/>
    <w:rsid w:val="00A06107"/>
    <w:rsid w:val="00A07276"/>
    <w:rsid w:val="00A102D9"/>
    <w:rsid w:val="00A107CC"/>
    <w:rsid w:val="00A10DC1"/>
    <w:rsid w:val="00A11C5B"/>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E3C"/>
    <w:rsid w:val="00A271BD"/>
    <w:rsid w:val="00A27E9B"/>
    <w:rsid w:val="00A3131C"/>
    <w:rsid w:val="00A33495"/>
    <w:rsid w:val="00A345A0"/>
    <w:rsid w:val="00A36A7A"/>
    <w:rsid w:val="00A37C35"/>
    <w:rsid w:val="00A37E4D"/>
    <w:rsid w:val="00A41059"/>
    <w:rsid w:val="00A41275"/>
    <w:rsid w:val="00A41C60"/>
    <w:rsid w:val="00A43182"/>
    <w:rsid w:val="00A43298"/>
    <w:rsid w:val="00A46F84"/>
    <w:rsid w:val="00A470DB"/>
    <w:rsid w:val="00A47B44"/>
    <w:rsid w:val="00A53C8D"/>
    <w:rsid w:val="00A54D42"/>
    <w:rsid w:val="00A5515A"/>
    <w:rsid w:val="00A5589D"/>
    <w:rsid w:val="00A55B34"/>
    <w:rsid w:val="00A57446"/>
    <w:rsid w:val="00A5746B"/>
    <w:rsid w:val="00A6173F"/>
    <w:rsid w:val="00A61C54"/>
    <w:rsid w:val="00A61D64"/>
    <w:rsid w:val="00A62F0C"/>
    <w:rsid w:val="00A632DB"/>
    <w:rsid w:val="00A64077"/>
    <w:rsid w:val="00A662B5"/>
    <w:rsid w:val="00A666BE"/>
    <w:rsid w:val="00A70709"/>
    <w:rsid w:val="00A7105A"/>
    <w:rsid w:val="00A71230"/>
    <w:rsid w:val="00A71A0E"/>
    <w:rsid w:val="00A729A4"/>
    <w:rsid w:val="00A73C46"/>
    <w:rsid w:val="00A73E71"/>
    <w:rsid w:val="00A764E3"/>
    <w:rsid w:val="00A76E40"/>
    <w:rsid w:val="00A8070F"/>
    <w:rsid w:val="00A80953"/>
    <w:rsid w:val="00A811D4"/>
    <w:rsid w:val="00A8343F"/>
    <w:rsid w:val="00A8376F"/>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A38"/>
    <w:rsid w:val="00AA3B28"/>
    <w:rsid w:val="00AA4660"/>
    <w:rsid w:val="00AA478F"/>
    <w:rsid w:val="00AA480B"/>
    <w:rsid w:val="00AA4D21"/>
    <w:rsid w:val="00AA4DEB"/>
    <w:rsid w:val="00AA69EA"/>
    <w:rsid w:val="00AA6E45"/>
    <w:rsid w:val="00AB0E0D"/>
    <w:rsid w:val="00AB198A"/>
    <w:rsid w:val="00AB46E4"/>
    <w:rsid w:val="00AB66B6"/>
    <w:rsid w:val="00AC04BE"/>
    <w:rsid w:val="00AC1040"/>
    <w:rsid w:val="00AC2669"/>
    <w:rsid w:val="00AC2AC0"/>
    <w:rsid w:val="00AC2CD0"/>
    <w:rsid w:val="00AC3A9B"/>
    <w:rsid w:val="00AC4CFE"/>
    <w:rsid w:val="00AC4E06"/>
    <w:rsid w:val="00AC5228"/>
    <w:rsid w:val="00AC5439"/>
    <w:rsid w:val="00AC5997"/>
    <w:rsid w:val="00AC7CE6"/>
    <w:rsid w:val="00AD130C"/>
    <w:rsid w:val="00AD22E2"/>
    <w:rsid w:val="00AD2485"/>
    <w:rsid w:val="00AD34BA"/>
    <w:rsid w:val="00AD5027"/>
    <w:rsid w:val="00AD713D"/>
    <w:rsid w:val="00AE0ECE"/>
    <w:rsid w:val="00AE1F68"/>
    <w:rsid w:val="00AE6090"/>
    <w:rsid w:val="00AE7375"/>
    <w:rsid w:val="00AF169F"/>
    <w:rsid w:val="00AF220A"/>
    <w:rsid w:val="00AF3990"/>
    <w:rsid w:val="00AF404B"/>
    <w:rsid w:val="00B0013A"/>
    <w:rsid w:val="00B0133D"/>
    <w:rsid w:val="00B01B3D"/>
    <w:rsid w:val="00B03746"/>
    <w:rsid w:val="00B04946"/>
    <w:rsid w:val="00B052F8"/>
    <w:rsid w:val="00B05D0F"/>
    <w:rsid w:val="00B0615C"/>
    <w:rsid w:val="00B070A5"/>
    <w:rsid w:val="00B1071D"/>
    <w:rsid w:val="00B10E6E"/>
    <w:rsid w:val="00B12897"/>
    <w:rsid w:val="00B12DB4"/>
    <w:rsid w:val="00B1469A"/>
    <w:rsid w:val="00B14EEE"/>
    <w:rsid w:val="00B166CD"/>
    <w:rsid w:val="00B20310"/>
    <w:rsid w:val="00B204F6"/>
    <w:rsid w:val="00B20E2D"/>
    <w:rsid w:val="00B20EB4"/>
    <w:rsid w:val="00B20FB5"/>
    <w:rsid w:val="00B23054"/>
    <w:rsid w:val="00B243BA"/>
    <w:rsid w:val="00B24911"/>
    <w:rsid w:val="00B25310"/>
    <w:rsid w:val="00B26486"/>
    <w:rsid w:val="00B26994"/>
    <w:rsid w:val="00B315F6"/>
    <w:rsid w:val="00B3173B"/>
    <w:rsid w:val="00B31E84"/>
    <w:rsid w:val="00B32C77"/>
    <w:rsid w:val="00B3360E"/>
    <w:rsid w:val="00B350FE"/>
    <w:rsid w:val="00B35BC5"/>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215A"/>
    <w:rsid w:val="00B64D4C"/>
    <w:rsid w:val="00B65C05"/>
    <w:rsid w:val="00B66655"/>
    <w:rsid w:val="00B70CB8"/>
    <w:rsid w:val="00B723E9"/>
    <w:rsid w:val="00B7267A"/>
    <w:rsid w:val="00B727A0"/>
    <w:rsid w:val="00B739FE"/>
    <w:rsid w:val="00B74936"/>
    <w:rsid w:val="00B75AE4"/>
    <w:rsid w:val="00B7721F"/>
    <w:rsid w:val="00B80D9B"/>
    <w:rsid w:val="00B81381"/>
    <w:rsid w:val="00B81C77"/>
    <w:rsid w:val="00B826C1"/>
    <w:rsid w:val="00B82957"/>
    <w:rsid w:val="00B82F3E"/>
    <w:rsid w:val="00B835C9"/>
    <w:rsid w:val="00B84735"/>
    <w:rsid w:val="00B85336"/>
    <w:rsid w:val="00B85E25"/>
    <w:rsid w:val="00B8620E"/>
    <w:rsid w:val="00B8642E"/>
    <w:rsid w:val="00B864EC"/>
    <w:rsid w:val="00B869C9"/>
    <w:rsid w:val="00B87979"/>
    <w:rsid w:val="00B87C4C"/>
    <w:rsid w:val="00B90D45"/>
    <w:rsid w:val="00B90D59"/>
    <w:rsid w:val="00B9216A"/>
    <w:rsid w:val="00B93E90"/>
    <w:rsid w:val="00B94146"/>
    <w:rsid w:val="00B97068"/>
    <w:rsid w:val="00B971C5"/>
    <w:rsid w:val="00B97A0A"/>
    <w:rsid w:val="00BA02BB"/>
    <w:rsid w:val="00BA05EA"/>
    <w:rsid w:val="00BA5D6B"/>
    <w:rsid w:val="00BA5FA6"/>
    <w:rsid w:val="00BA70E9"/>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C0213"/>
    <w:rsid w:val="00BC0283"/>
    <w:rsid w:val="00BC17F5"/>
    <w:rsid w:val="00BC1C9D"/>
    <w:rsid w:val="00BC36C6"/>
    <w:rsid w:val="00BC5590"/>
    <w:rsid w:val="00BC675C"/>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E7E01"/>
    <w:rsid w:val="00BF0481"/>
    <w:rsid w:val="00BF0560"/>
    <w:rsid w:val="00BF1C88"/>
    <w:rsid w:val="00BF2677"/>
    <w:rsid w:val="00BF2B7B"/>
    <w:rsid w:val="00BF3ABC"/>
    <w:rsid w:val="00BF471B"/>
    <w:rsid w:val="00BF58A4"/>
    <w:rsid w:val="00BF5EC9"/>
    <w:rsid w:val="00BF60E5"/>
    <w:rsid w:val="00BF629B"/>
    <w:rsid w:val="00C00109"/>
    <w:rsid w:val="00C009E0"/>
    <w:rsid w:val="00C01115"/>
    <w:rsid w:val="00C0180C"/>
    <w:rsid w:val="00C034AE"/>
    <w:rsid w:val="00C03966"/>
    <w:rsid w:val="00C04C57"/>
    <w:rsid w:val="00C06088"/>
    <w:rsid w:val="00C062AD"/>
    <w:rsid w:val="00C102F8"/>
    <w:rsid w:val="00C13C08"/>
    <w:rsid w:val="00C13FA9"/>
    <w:rsid w:val="00C1522F"/>
    <w:rsid w:val="00C15BE6"/>
    <w:rsid w:val="00C15E44"/>
    <w:rsid w:val="00C1721F"/>
    <w:rsid w:val="00C17816"/>
    <w:rsid w:val="00C17AF2"/>
    <w:rsid w:val="00C17EEC"/>
    <w:rsid w:val="00C20626"/>
    <w:rsid w:val="00C20C7A"/>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E0E"/>
    <w:rsid w:val="00C52A8C"/>
    <w:rsid w:val="00C52E3B"/>
    <w:rsid w:val="00C53D7E"/>
    <w:rsid w:val="00C54A05"/>
    <w:rsid w:val="00C607A6"/>
    <w:rsid w:val="00C61EA4"/>
    <w:rsid w:val="00C6351F"/>
    <w:rsid w:val="00C67A40"/>
    <w:rsid w:val="00C700B4"/>
    <w:rsid w:val="00C728B1"/>
    <w:rsid w:val="00C73973"/>
    <w:rsid w:val="00C73C9B"/>
    <w:rsid w:val="00C745DA"/>
    <w:rsid w:val="00C751F2"/>
    <w:rsid w:val="00C75552"/>
    <w:rsid w:val="00C775DE"/>
    <w:rsid w:val="00C81286"/>
    <w:rsid w:val="00C8512F"/>
    <w:rsid w:val="00C929FF"/>
    <w:rsid w:val="00C92F55"/>
    <w:rsid w:val="00C97026"/>
    <w:rsid w:val="00C97FC7"/>
    <w:rsid w:val="00CA053A"/>
    <w:rsid w:val="00CA073D"/>
    <w:rsid w:val="00CA09B1"/>
    <w:rsid w:val="00CA1F2A"/>
    <w:rsid w:val="00CA2531"/>
    <w:rsid w:val="00CA2AA6"/>
    <w:rsid w:val="00CA2CF7"/>
    <w:rsid w:val="00CA391D"/>
    <w:rsid w:val="00CA4686"/>
    <w:rsid w:val="00CA4EAE"/>
    <w:rsid w:val="00CB010A"/>
    <w:rsid w:val="00CB125B"/>
    <w:rsid w:val="00CB2E60"/>
    <w:rsid w:val="00CB45C7"/>
    <w:rsid w:val="00CB49A7"/>
    <w:rsid w:val="00CB56D8"/>
    <w:rsid w:val="00CB5DDD"/>
    <w:rsid w:val="00CB6A5F"/>
    <w:rsid w:val="00CB7923"/>
    <w:rsid w:val="00CC0239"/>
    <w:rsid w:val="00CC1632"/>
    <w:rsid w:val="00CC18F4"/>
    <w:rsid w:val="00CC192B"/>
    <w:rsid w:val="00CC392D"/>
    <w:rsid w:val="00CC3DFF"/>
    <w:rsid w:val="00CC45D7"/>
    <w:rsid w:val="00CC476D"/>
    <w:rsid w:val="00CC4BDE"/>
    <w:rsid w:val="00CC594F"/>
    <w:rsid w:val="00CC59DA"/>
    <w:rsid w:val="00CC654C"/>
    <w:rsid w:val="00CC68F5"/>
    <w:rsid w:val="00CC6B2F"/>
    <w:rsid w:val="00CD03AF"/>
    <w:rsid w:val="00CD0AE2"/>
    <w:rsid w:val="00CD180E"/>
    <w:rsid w:val="00CD2678"/>
    <w:rsid w:val="00CD2B8A"/>
    <w:rsid w:val="00CD3342"/>
    <w:rsid w:val="00CD4E15"/>
    <w:rsid w:val="00CD7D26"/>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230B"/>
    <w:rsid w:val="00D027B2"/>
    <w:rsid w:val="00D03D65"/>
    <w:rsid w:val="00D05043"/>
    <w:rsid w:val="00D050C0"/>
    <w:rsid w:val="00D05274"/>
    <w:rsid w:val="00D05CEE"/>
    <w:rsid w:val="00D06C5E"/>
    <w:rsid w:val="00D06CBC"/>
    <w:rsid w:val="00D079CB"/>
    <w:rsid w:val="00D10772"/>
    <w:rsid w:val="00D108F2"/>
    <w:rsid w:val="00D110B2"/>
    <w:rsid w:val="00D1167B"/>
    <w:rsid w:val="00D126A3"/>
    <w:rsid w:val="00D1283B"/>
    <w:rsid w:val="00D12F62"/>
    <w:rsid w:val="00D13E0F"/>
    <w:rsid w:val="00D14101"/>
    <w:rsid w:val="00D1427B"/>
    <w:rsid w:val="00D172B7"/>
    <w:rsid w:val="00D17AFA"/>
    <w:rsid w:val="00D20270"/>
    <w:rsid w:val="00D2084F"/>
    <w:rsid w:val="00D22793"/>
    <w:rsid w:val="00D22B21"/>
    <w:rsid w:val="00D2331A"/>
    <w:rsid w:val="00D23933"/>
    <w:rsid w:val="00D25050"/>
    <w:rsid w:val="00D2551B"/>
    <w:rsid w:val="00D25DE5"/>
    <w:rsid w:val="00D26D1C"/>
    <w:rsid w:val="00D3001C"/>
    <w:rsid w:val="00D310C9"/>
    <w:rsid w:val="00D328E2"/>
    <w:rsid w:val="00D33AF6"/>
    <w:rsid w:val="00D33BC7"/>
    <w:rsid w:val="00D33D6B"/>
    <w:rsid w:val="00D36671"/>
    <w:rsid w:val="00D36B4F"/>
    <w:rsid w:val="00D3788E"/>
    <w:rsid w:val="00D415AE"/>
    <w:rsid w:val="00D426C6"/>
    <w:rsid w:val="00D4326F"/>
    <w:rsid w:val="00D472A6"/>
    <w:rsid w:val="00D50BE0"/>
    <w:rsid w:val="00D50FC3"/>
    <w:rsid w:val="00D5236C"/>
    <w:rsid w:val="00D53937"/>
    <w:rsid w:val="00D53CEA"/>
    <w:rsid w:val="00D54509"/>
    <w:rsid w:val="00D54D22"/>
    <w:rsid w:val="00D567F0"/>
    <w:rsid w:val="00D56844"/>
    <w:rsid w:val="00D56CF6"/>
    <w:rsid w:val="00D570FD"/>
    <w:rsid w:val="00D577D1"/>
    <w:rsid w:val="00D57F9B"/>
    <w:rsid w:val="00D6047F"/>
    <w:rsid w:val="00D612F2"/>
    <w:rsid w:val="00D63173"/>
    <w:rsid w:val="00D64608"/>
    <w:rsid w:val="00D64C12"/>
    <w:rsid w:val="00D67133"/>
    <w:rsid w:val="00D70103"/>
    <w:rsid w:val="00D704D0"/>
    <w:rsid w:val="00D71D7B"/>
    <w:rsid w:val="00D72888"/>
    <w:rsid w:val="00D72D38"/>
    <w:rsid w:val="00D739E2"/>
    <w:rsid w:val="00D73D61"/>
    <w:rsid w:val="00D7472A"/>
    <w:rsid w:val="00D75147"/>
    <w:rsid w:val="00D75FCA"/>
    <w:rsid w:val="00D77BBF"/>
    <w:rsid w:val="00D80D59"/>
    <w:rsid w:val="00D80F2E"/>
    <w:rsid w:val="00D81055"/>
    <w:rsid w:val="00D81460"/>
    <w:rsid w:val="00D8343B"/>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3579"/>
    <w:rsid w:val="00DA4F95"/>
    <w:rsid w:val="00DA7D92"/>
    <w:rsid w:val="00DB0160"/>
    <w:rsid w:val="00DB0519"/>
    <w:rsid w:val="00DB229B"/>
    <w:rsid w:val="00DB344E"/>
    <w:rsid w:val="00DB3495"/>
    <w:rsid w:val="00DB3B07"/>
    <w:rsid w:val="00DB3EFD"/>
    <w:rsid w:val="00DB4207"/>
    <w:rsid w:val="00DB6220"/>
    <w:rsid w:val="00DB76D2"/>
    <w:rsid w:val="00DB7916"/>
    <w:rsid w:val="00DC3EE4"/>
    <w:rsid w:val="00DC7CE8"/>
    <w:rsid w:val="00DC7CEE"/>
    <w:rsid w:val="00DD1837"/>
    <w:rsid w:val="00DD3B9F"/>
    <w:rsid w:val="00DD477A"/>
    <w:rsid w:val="00DD51E3"/>
    <w:rsid w:val="00DD79B5"/>
    <w:rsid w:val="00DE4B48"/>
    <w:rsid w:val="00DE4DBE"/>
    <w:rsid w:val="00DE4E3B"/>
    <w:rsid w:val="00DE4F41"/>
    <w:rsid w:val="00DE51B1"/>
    <w:rsid w:val="00DE5BAB"/>
    <w:rsid w:val="00DE6954"/>
    <w:rsid w:val="00DE79D5"/>
    <w:rsid w:val="00DF2B90"/>
    <w:rsid w:val="00DF3677"/>
    <w:rsid w:val="00DF4201"/>
    <w:rsid w:val="00DF55C7"/>
    <w:rsid w:val="00DF66D3"/>
    <w:rsid w:val="00DF72C6"/>
    <w:rsid w:val="00E00294"/>
    <w:rsid w:val="00E00C08"/>
    <w:rsid w:val="00E02045"/>
    <w:rsid w:val="00E02B28"/>
    <w:rsid w:val="00E040F0"/>
    <w:rsid w:val="00E064E1"/>
    <w:rsid w:val="00E079F9"/>
    <w:rsid w:val="00E10685"/>
    <w:rsid w:val="00E11A27"/>
    <w:rsid w:val="00E12B1E"/>
    <w:rsid w:val="00E134A3"/>
    <w:rsid w:val="00E14090"/>
    <w:rsid w:val="00E15496"/>
    <w:rsid w:val="00E16E26"/>
    <w:rsid w:val="00E1794E"/>
    <w:rsid w:val="00E20802"/>
    <w:rsid w:val="00E217EF"/>
    <w:rsid w:val="00E224C0"/>
    <w:rsid w:val="00E22696"/>
    <w:rsid w:val="00E233B0"/>
    <w:rsid w:val="00E23C39"/>
    <w:rsid w:val="00E24746"/>
    <w:rsid w:val="00E26CA1"/>
    <w:rsid w:val="00E27536"/>
    <w:rsid w:val="00E3101F"/>
    <w:rsid w:val="00E32C25"/>
    <w:rsid w:val="00E34AD5"/>
    <w:rsid w:val="00E36007"/>
    <w:rsid w:val="00E3776C"/>
    <w:rsid w:val="00E401A7"/>
    <w:rsid w:val="00E422C5"/>
    <w:rsid w:val="00E43365"/>
    <w:rsid w:val="00E4392B"/>
    <w:rsid w:val="00E43BBC"/>
    <w:rsid w:val="00E441C9"/>
    <w:rsid w:val="00E45462"/>
    <w:rsid w:val="00E45545"/>
    <w:rsid w:val="00E4784B"/>
    <w:rsid w:val="00E51146"/>
    <w:rsid w:val="00E519D8"/>
    <w:rsid w:val="00E51ECC"/>
    <w:rsid w:val="00E52717"/>
    <w:rsid w:val="00E52872"/>
    <w:rsid w:val="00E5667E"/>
    <w:rsid w:val="00E56B59"/>
    <w:rsid w:val="00E578A0"/>
    <w:rsid w:val="00E6194F"/>
    <w:rsid w:val="00E65062"/>
    <w:rsid w:val="00E654E4"/>
    <w:rsid w:val="00E6632E"/>
    <w:rsid w:val="00E66EB5"/>
    <w:rsid w:val="00E674EA"/>
    <w:rsid w:val="00E67C8E"/>
    <w:rsid w:val="00E7241C"/>
    <w:rsid w:val="00E7276D"/>
    <w:rsid w:val="00E72A43"/>
    <w:rsid w:val="00E7365D"/>
    <w:rsid w:val="00E76D45"/>
    <w:rsid w:val="00E8046A"/>
    <w:rsid w:val="00E806B6"/>
    <w:rsid w:val="00E80742"/>
    <w:rsid w:val="00E81214"/>
    <w:rsid w:val="00E82CBF"/>
    <w:rsid w:val="00E85623"/>
    <w:rsid w:val="00E878E9"/>
    <w:rsid w:val="00E9051E"/>
    <w:rsid w:val="00E90DB3"/>
    <w:rsid w:val="00E92C5F"/>
    <w:rsid w:val="00E94337"/>
    <w:rsid w:val="00E946E9"/>
    <w:rsid w:val="00E9585B"/>
    <w:rsid w:val="00E9605F"/>
    <w:rsid w:val="00E971A0"/>
    <w:rsid w:val="00E9745C"/>
    <w:rsid w:val="00E97D23"/>
    <w:rsid w:val="00EA1719"/>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DC7"/>
    <w:rsid w:val="00EB7112"/>
    <w:rsid w:val="00EB7D93"/>
    <w:rsid w:val="00EC01C4"/>
    <w:rsid w:val="00EC32E6"/>
    <w:rsid w:val="00EC3333"/>
    <w:rsid w:val="00EC500B"/>
    <w:rsid w:val="00EC6E88"/>
    <w:rsid w:val="00ED3861"/>
    <w:rsid w:val="00ED4010"/>
    <w:rsid w:val="00ED54FE"/>
    <w:rsid w:val="00ED566C"/>
    <w:rsid w:val="00ED6D33"/>
    <w:rsid w:val="00ED7054"/>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5727"/>
    <w:rsid w:val="00EF5D2D"/>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131E"/>
    <w:rsid w:val="00F12E73"/>
    <w:rsid w:val="00F152B6"/>
    <w:rsid w:val="00F1530C"/>
    <w:rsid w:val="00F15FD8"/>
    <w:rsid w:val="00F16A9C"/>
    <w:rsid w:val="00F177CD"/>
    <w:rsid w:val="00F2017B"/>
    <w:rsid w:val="00F202DE"/>
    <w:rsid w:val="00F207BE"/>
    <w:rsid w:val="00F22C91"/>
    <w:rsid w:val="00F254AA"/>
    <w:rsid w:val="00F25BC8"/>
    <w:rsid w:val="00F25D8C"/>
    <w:rsid w:val="00F270E9"/>
    <w:rsid w:val="00F30D2A"/>
    <w:rsid w:val="00F30F8F"/>
    <w:rsid w:val="00F312DC"/>
    <w:rsid w:val="00F32B26"/>
    <w:rsid w:val="00F334C5"/>
    <w:rsid w:val="00F33EF7"/>
    <w:rsid w:val="00F34744"/>
    <w:rsid w:val="00F35535"/>
    <w:rsid w:val="00F3586B"/>
    <w:rsid w:val="00F368E1"/>
    <w:rsid w:val="00F379E7"/>
    <w:rsid w:val="00F37BA5"/>
    <w:rsid w:val="00F37ED8"/>
    <w:rsid w:val="00F4013D"/>
    <w:rsid w:val="00F40317"/>
    <w:rsid w:val="00F40DAA"/>
    <w:rsid w:val="00F40F2C"/>
    <w:rsid w:val="00F41A3E"/>
    <w:rsid w:val="00F41D0C"/>
    <w:rsid w:val="00F41FF7"/>
    <w:rsid w:val="00F42AE2"/>
    <w:rsid w:val="00F43B67"/>
    <w:rsid w:val="00F44353"/>
    <w:rsid w:val="00F46F76"/>
    <w:rsid w:val="00F47667"/>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BD2"/>
    <w:rsid w:val="00F74CC1"/>
    <w:rsid w:val="00F74E12"/>
    <w:rsid w:val="00F76080"/>
    <w:rsid w:val="00F80671"/>
    <w:rsid w:val="00F8092C"/>
    <w:rsid w:val="00F81211"/>
    <w:rsid w:val="00F8245F"/>
    <w:rsid w:val="00F8291D"/>
    <w:rsid w:val="00F839B8"/>
    <w:rsid w:val="00F84A9F"/>
    <w:rsid w:val="00F87EE2"/>
    <w:rsid w:val="00F9102E"/>
    <w:rsid w:val="00F9149E"/>
    <w:rsid w:val="00F915C9"/>
    <w:rsid w:val="00F919D7"/>
    <w:rsid w:val="00F92AC8"/>
    <w:rsid w:val="00F92D48"/>
    <w:rsid w:val="00F92E2A"/>
    <w:rsid w:val="00F93095"/>
    <w:rsid w:val="00F931ED"/>
    <w:rsid w:val="00F939FA"/>
    <w:rsid w:val="00F94228"/>
    <w:rsid w:val="00F9635B"/>
    <w:rsid w:val="00F966CC"/>
    <w:rsid w:val="00F96E5E"/>
    <w:rsid w:val="00F97574"/>
    <w:rsid w:val="00F975FE"/>
    <w:rsid w:val="00FA02F8"/>
    <w:rsid w:val="00FA3471"/>
    <w:rsid w:val="00FA48BC"/>
    <w:rsid w:val="00FA697D"/>
    <w:rsid w:val="00FA77F3"/>
    <w:rsid w:val="00FA79D8"/>
    <w:rsid w:val="00FB0CEF"/>
    <w:rsid w:val="00FB0E60"/>
    <w:rsid w:val="00FB22D0"/>
    <w:rsid w:val="00FB317A"/>
    <w:rsid w:val="00FB4266"/>
    <w:rsid w:val="00FB4282"/>
    <w:rsid w:val="00FB643B"/>
    <w:rsid w:val="00FB6731"/>
    <w:rsid w:val="00FB6D09"/>
    <w:rsid w:val="00FC1413"/>
    <w:rsid w:val="00FC15FE"/>
    <w:rsid w:val="00FC192D"/>
    <w:rsid w:val="00FC4645"/>
    <w:rsid w:val="00FC57A8"/>
    <w:rsid w:val="00FC5ED9"/>
    <w:rsid w:val="00FC6765"/>
    <w:rsid w:val="00FC723A"/>
    <w:rsid w:val="00FD0204"/>
    <w:rsid w:val="00FD03A8"/>
    <w:rsid w:val="00FD0840"/>
    <w:rsid w:val="00FD3F86"/>
    <w:rsid w:val="00FD48B6"/>
    <w:rsid w:val="00FD4A49"/>
    <w:rsid w:val="00FD6384"/>
    <w:rsid w:val="00FD71CF"/>
    <w:rsid w:val="00FE09F2"/>
    <w:rsid w:val="00FE0B94"/>
    <w:rsid w:val="00FE0DFF"/>
    <w:rsid w:val="00FE13AD"/>
    <w:rsid w:val="00FE1FA6"/>
    <w:rsid w:val="00FE1FB9"/>
    <w:rsid w:val="00FE26F1"/>
    <w:rsid w:val="00FE2C3F"/>
    <w:rsid w:val="00FE4560"/>
    <w:rsid w:val="00FE5038"/>
    <w:rsid w:val="00FE77EB"/>
    <w:rsid w:val="00FE7FAB"/>
    <w:rsid w:val="00FF038E"/>
    <w:rsid w:val="00FF1A74"/>
    <w:rsid w:val="00FF2C26"/>
    <w:rsid w:val="00FF2EDD"/>
    <w:rsid w:val="00FF31F8"/>
    <w:rsid w:val="00FF3BE8"/>
    <w:rsid w:val="00FF5822"/>
    <w:rsid w:val="00FF5889"/>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NormalWeb">
    <w:name w:val="Normal (Web)"/>
    <w:basedOn w:val="Normal"/>
    <w:uiPriority w:val="99"/>
    <w:rsid w:val="006F120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NormalWeb">
    <w:name w:val="Normal (Web)"/>
    <w:basedOn w:val="Normal"/>
    <w:uiPriority w:val="99"/>
    <w:rsid w:val="006F120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612053317">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4338734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5DD3-3AEF-49C2-BFBB-89C58775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12193</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11</cp:revision>
  <cp:lastPrinted>2016-06-09T11:41:00Z</cp:lastPrinted>
  <dcterms:created xsi:type="dcterms:W3CDTF">2016-05-09T19:17:00Z</dcterms:created>
  <dcterms:modified xsi:type="dcterms:W3CDTF">2016-06-09T11:41:00Z</dcterms:modified>
</cp:coreProperties>
</file>