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Default="00B36E9A" w:rsidP="005C53D4">
            <w:pPr>
              <w:jc w:val="center"/>
              <w:rPr>
                <w:b/>
                <w:sz w:val="26"/>
              </w:rPr>
            </w:pPr>
            <w:r w:rsidRPr="00415CE3">
              <w:rPr>
                <w:b/>
                <w:sz w:val="26"/>
              </w:rPr>
              <w:t>Harrisburg, PA  17105-3265</w:t>
            </w:r>
          </w:p>
          <w:p w:rsidR="005C53D4" w:rsidRPr="00415CE3" w:rsidRDefault="005C53D4" w:rsidP="005C53D4">
            <w:pPr>
              <w:jc w:val="cente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F81EA0" w:rsidP="00AA6F30">
            <w:pPr>
              <w:jc w:val="right"/>
              <w:rPr>
                <w:sz w:val="26"/>
              </w:rPr>
            </w:pPr>
            <w:r>
              <w:rPr>
                <w:sz w:val="26"/>
              </w:rPr>
              <w:t xml:space="preserve"> </w:t>
            </w:r>
            <w:r w:rsidR="00AC089C">
              <w:rPr>
                <w:sz w:val="26"/>
              </w:rPr>
              <w:t xml:space="preserve"> </w:t>
            </w:r>
            <w:r w:rsidR="0037055E" w:rsidRPr="00415CE3">
              <w:rPr>
                <w:sz w:val="26"/>
              </w:rPr>
              <w:t xml:space="preserve">Public Meeting held </w:t>
            </w:r>
            <w:r w:rsidR="00AC089C">
              <w:rPr>
                <w:sz w:val="26"/>
              </w:rPr>
              <w:t xml:space="preserve">October </w:t>
            </w:r>
            <w:r w:rsidR="004E5314">
              <w:rPr>
                <w:sz w:val="26"/>
              </w:rPr>
              <w:t>27</w:t>
            </w:r>
            <w:r w:rsidR="00AC089C">
              <w:rPr>
                <w:sz w:val="26"/>
              </w:rPr>
              <w:t>, 2016</w:t>
            </w:r>
          </w:p>
          <w:p w:rsidR="00B36E9A" w:rsidRPr="00415CE3" w:rsidRDefault="00B36E9A" w:rsidP="00AA6F30">
            <w:pPr>
              <w:jc w:val="right"/>
              <w:rPr>
                <w:sz w:val="26"/>
              </w:rPr>
            </w:pPr>
          </w:p>
        </w:tc>
      </w:tr>
      <w:tr w:rsidR="007772A1" w:rsidRPr="00415CE3" w:rsidTr="007772A1">
        <w:tc>
          <w:tcPr>
            <w:tcW w:w="5000" w:type="pct"/>
            <w:gridSpan w:val="2"/>
          </w:tcPr>
          <w:p w:rsidR="00AC089C" w:rsidRDefault="00AC089C" w:rsidP="00AC089C">
            <w:pPr>
              <w:tabs>
                <w:tab w:val="left" w:pos="705"/>
              </w:tabs>
              <w:rPr>
                <w:sz w:val="26"/>
                <w:szCs w:val="26"/>
              </w:rPr>
            </w:pPr>
            <w:r>
              <w:rPr>
                <w:sz w:val="26"/>
                <w:szCs w:val="26"/>
              </w:rPr>
              <w:t xml:space="preserve">Commissioner’s Present:  </w:t>
            </w:r>
          </w:p>
          <w:p w:rsidR="00AC089C" w:rsidRDefault="00AC089C" w:rsidP="00AC089C">
            <w:pPr>
              <w:tabs>
                <w:tab w:val="left" w:pos="705"/>
              </w:tabs>
              <w:ind w:firstLine="720"/>
              <w:rPr>
                <w:sz w:val="26"/>
                <w:szCs w:val="26"/>
              </w:rPr>
            </w:pPr>
          </w:p>
          <w:p w:rsidR="00AC089C" w:rsidRPr="00F1625F" w:rsidRDefault="00AC089C" w:rsidP="00AC089C">
            <w:pPr>
              <w:tabs>
                <w:tab w:val="left" w:pos="705"/>
              </w:tabs>
              <w:ind w:firstLine="720"/>
              <w:rPr>
                <w:sz w:val="26"/>
                <w:szCs w:val="26"/>
              </w:rPr>
            </w:pPr>
            <w:r w:rsidRPr="00490625">
              <w:rPr>
                <w:sz w:val="26"/>
                <w:szCs w:val="26"/>
              </w:rPr>
              <w:t>Gladys M. Brown</w:t>
            </w:r>
            <w:r w:rsidRPr="00F1625F">
              <w:rPr>
                <w:sz w:val="26"/>
                <w:szCs w:val="26"/>
              </w:rPr>
              <w:t>, Chair</w:t>
            </w:r>
            <w:r>
              <w:rPr>
                <w:sz w:val="26"/>
                <w:szCs w:val="26"/>
              </w:rPr>
              <w:t>man</w:t>
            </w:r>
            <w:r w:rsidR="0048262B">
              <w:rPr>
                <w:sz w:val="26"/>
                <w:szCs w:val="26"/>
              </w:rPr>
              <w:t>, Statement</w:t>
            </w:r>
          </w:p>
          <w:p w:rsidR="00AC089C" w:rsidRDefault="00AC089C" w:rsidP="00AC089C">
            <w:pPr>
              <w:tabs>
                <w:tab w:val="left" w:pos="705"/>
              </w:tabs>
              <w:ind w:firstLine="720"/>
              <w:rPr>
                <w:sz w:val="26"/>
                <w:szCs w:val="26"/>
              </w:rPr>
            </w:pPr>
            <w:r>
              <w:rPr>
                <w:sz w:val="26"/>
                <w:szCs w:val="26"/>
              </w:rPr>
              <w:t>Andrew G. Place, Vice Chairman</w:t>
            </w:r>
          </w:p>
          <w:p w:rsidR="00AC089C" w:rsidRDefault="00AC089C" w:rsidP="00AC089C">
            <w:pPr>
              <w:tabs>
                <w:tab w:val="left" w:pos="705"/>
              </w:tabs>
              <w:ind w:firstLine="720"/>
              <w:rPr>
                <w:sz w:val="26"/>
                <w:szCs w:val="26"/>
              </w:rPr>
            </w:pPr>
            <w:r w:rsidRPr="00F1625F">
              <w:rPr>
                <w:sz w:val="26"/>
                <w:szCs w:val="26"/>
              </w:rPr>
              <w:t>John F. Coleman, Jr.</w:t>
            </w:r>
          </w:p>
          <w:p w:rsidR="00AC089C" w:rsidRDefault="00AC089C" w:rsidP="00AC089C">
            <w:pPr>
              <w:tabs>
                <w:tab w:val="left" w:pos="705"/>
              </w:tabs>
              <w:ind w:firstLine="720"/>
              <w:rPr>
                <w:sz w:val="26"/>
                <w:szCs w:val="26"/>
              </w:rPr>
            </w:pPr>
            <w:r w:rsidRPr="00390584">
              <w:rPr>
                <w:sz w:val="26"/>
                <w:szCs w:val="26"/>
              </w:rPr>
              <w:t>Robert F. Powelson</w:t>
            </w:r>
          </w:p>
          <w:p w:rsidR="00AC089C" w:rsidRDefault="00AC089C" w:rsidP="00AC089C">
            <w:pPr>
              <w:ind w:left="720"/>
              <w:rPr>
                <w:sz w:val="26"/>
                <w:szCs w:val="26"/>
              </w:rPr>
            </w:pPr>
            <w:r>
              <w:rPr>
                <w:sz w:val="26"/>
                <w:szCs w:val="26"/>
              </w:rPr>
              <w:t xml:space="preserve">David W. Sweet </w:t>
            </w: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D41AB9" w:rsidRDefault="00175193" w:rsidP="00AA6F30">
            <w:pPr>
              <w:rPr>
                <w:sz w:val="26"/>
              </w:rPr>
            </w:pPr>
          </w:p>
          <w:p w:rsidR="00175193" w:rsidRPr="005C53D4" w:rsidRDefault="006278C5" w:rsidP="00AA6F30">
            <w:pPr>
              <w:rPr>
                <w:sz w:val="26"/>
              </w:rPr>
            </w:pPr>
            <w:r w:rsidRPr="005C53D4">
              <w:rPr>
                <w:color w:val="FF0000"/>
                <w:sz w:val="26"/>
              </w:rPr>
              <w:tab/>
            </w:r>
            <w:r w:rsidRPr="005C53D4">
              <w:rPr>
                <w:color w:val="FF0000"/>
                <w:sz w:val="26"/>
              </w:rPr>
              <w:tab/>
            </w:r>
            <w:r w:rsidR="00A3782D" w:rsidRPr="005C53D4">
              <w:rPr>
                <w:sz w:val="26"/>
              </w:rPr>
              <w:t xml:space="preserve">v. </w:t>
            </w:r>
          </w:p>
          <w:p w:rsidR="00175193" w:rsidRPr="00415CE3" w:rsidRDefault="00175193" w:rsidP="00AA6F30">
            <w:pPr>
              <w:rPr>
                <w:sz w:val="26"/>
              </w:rPr>
            </w:pPr>
          </w:p>
          <w:p w:rsidR="00B36E9A" w:rsidRDefault="00405BF2" w:rsidP="00AA6F30">
            <w:pPr>
              <w:rPr>
                <w:sz w:val="26"/>
              </w:rPr>
            </w:pPr>
            <w:r>
              <w:rPr>
                <w:sz w:val="26"/>
              </w:rPr>
              <w:t>PECO Energy Company</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F81EA0" w:rsidP="00405BF2">
            <w:pPr>
              <w:jc w:val="right"/>
              <w:rPr>
                <w:sz w:val="26"/>
              </w:rPr>
            </w:pPr>
            <w:r>
              <w:rPr>
                <w:bCs/>
                <w:sz w:val="26"/>
                <w:szCs w:val="26"/>
              </w:rPr>
              <w:t xml:space="preserve">  </w:t>
            </w:r>
            <w:r w:rsidR="00405BF2">
              <w:rPr>
                <w:bCs/>
                <w:sz w:val="26"/>
                <w:szCs w:val="26"/>
              </w:rPr>
              <w:t xml:space="preserve"> C</w:t>
            </w:r>
            <w:r w:rsidR="009941F8" w:rsidRPr="009941F8">
              <w:rPr>
                <w:bCs/>
                <w:sz w:val="26"/>
                <w:szCs w:val="26"/>
              </w:rPr>
              <w:t>-201</w:t>
            </w:r>
            <w:r w:rsidR="00405BF2">
              <w:rPr>
                <w:bCs/>
                <w:sz w:val="26"/>
                <w:szCs w:val="26"/>
              </w:rPr>
              <w:t>5</w:t>
            </w:r>
            <w:r w:rsidR="009941F8" w:rsidRPr="009941F8">
              <w:rPr>
                <w:bCs/>
                <w:sz w:val="26"/>
                <w:szCs w:val="26"/>
              </w:rPr>
              <w:t>-</w:t>
            </w:r>
            <w:r w:rsidR="00405BF2">
              <w:rPr>
                <w:bCs/>
                <w:sz w:val="26"/>
                <w:szCs w:val="26"/>
              </w:rPr>
              <w:t>2479970</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Pr="00B8713A" w:rsidRDefault="005A0A6B" w:rsidP="00AA6F30">
      <w:pPr>
        <w:spacing w:line="360" w:lineRule="auto"/>
        <w:ind w:firstLine="1440"/>
        <w:rPr>
          <w:sz w:val="26"/>
        </w:rPr>
      </w:pPr>
      <w:r w:rsidRPr="005A0A6B">
        <w:rPr>
          <w:sz w:val="26"/>
        </w:rPr>
        <w:t>Before the P</w:t>
      </w:r>
      <w:r>
        <w:rPr>
          <w:sz w:val="26"/>
        </w:rPr>
        <w:t xml:space="preserve">ennsylvania Public Utility Commission (Commission) for consideration and disposition is a </w:t>
      </w:r>
      <w:r w:rsidR="00BF1E61">
        <w:rPr>
          <w:sz w:val="26"/>
        </w:rPr>
        <w:t>Joint Petition for Settlement</w:t>
      </w:r>
      <w:r w:rsidR="008B6D35">
        <w:rPr>
          <w:sz w:val="26"/>
        </w:rPr>
        <w:t xml:space="preserve"> (Settlement)</w:t>
      </w:r>
      <w:r w:rsidR="00FD6E8E">
        <w:rPr>
          <w:sz w:val="26"/>
        </w:rPr>
        <w:t xml:space="preserve"> filed on </w:t>
      </w:r>
      <w:r w:rsidR="00BF1E61">
        <w:rPr>
          <w:sz w:val="26"/>
        </w:rPr>
        <w:t xml:space="preserve">April </w:t>
      </w:r>
      <w:r w:rsidR="00B85F7E">
        <w:rPr>
          <w:sz w:val="26"/>
        </w:rPr>
        <w:t>8</w:t>
      </w:r>
      <w:r w:rsidR="00FE7AFF">
        <w:rPr>
          <w:sz w:val="26"/>
        </w:rPr>
        <w:t>, 201</w:t>
      </w:r>
      <w:r w:rsidR="00BF1E61">
        <w:rPr>
          <w:sz w:val="26"/>
        </w:rPr>
        <w:t>6</w:t>
      </w:r>
      <w:r>
        <w:rPr>
          <w:sz w:val="26"/>
        </w:rPr>
        <w:t xml:space="preserve">, 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BF1E61">
        <w:rPr>
          <w:sz w:val="26"/>
        </w:rPr>
        <w:t>PECO Energy Company</w:t>
      </w:r>
      <w:r w:rsidR="00B85F7E">
        <w:rPr>
          <w:sz w:val="26"/>
        </w:rPr>
        <w:t xml:space="preserve"> </w:t>
      </w:r>
      <w:r w:rsidR="00E76AE3">
        <w:rPr>
          <w:sz w:val="26"/>
        </w:rPr>
        <w:t>(</w:t>
      </w:r>
      <w:r w:rsidR="00BF1E61">
        <w:rPr>
          <w:sz w:val="26"/>
        </w:rPr>
        <w:t>PECO</w:t>
      </w:r>
      <w:r w:rsidR="00B85F7E">
        <w:rPr>
          <w:sz w:val="26"/>
        </w:rPr>
        <w:t xml:space="preserve"> or </w:t>
      </w:r>
      <w:r w:rsidR="004E5314">
        <w:rPr>
          <w:sz w:val="26"/>
        </w:rPr>
        <w:t xml:space="preserve">the </w:t>
      </w:r>
      <w:r w:rsidR="00B85F7E">
        <w:rPr>
          <w:sz w:val="26"/>
        </w:rPr>
        <w:t>Company</w:t>
      </w:r>
      <w:r w:rsidR="00E76AE3">
        <w:rPr>
          <w:sz w:val="26"/>
        </w:rPr>
        <w:t>)</w:t>
      </w:r>
      <w:r w:rsidR="00074092">
        <w:rPr>
          <w:sz w:val="26"/>
        </w:rPr>
        <w:t xml:space="preserve"> (collectively, </w:t>
      </w:r>
      <w:r w:rsidR="00783D49">
        <w:rPr>
          <w:sz w:val="26"/>
        </w:rPr>
        <w:t xml:space="preserve">the </w:t>
      </w:r>
      <w:r w:rsidR="00074092">
        <w:rPr>
          <w:sz w:val="26"/>
        </w:rPr>
        <w:t>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r w:rsidR="004C6BF0" w:rsidRPr="00B8713A">
        <w:rPr>
          <w:sz w:val="26"/>
        </w:rPr>
        <w:t>.</w:t>
      </w:r>
      <w:r w:rsidR="00DC7F0B" w:rsidRPr="00B8713A">
        <w:rPr>
          <w:sz w:val="26"/>
        </w:rPr>
        <w:t xml:space="preserve">  For the reasons set forth herein, we will approve the Settlement as filed.</w:t>
      </w:r>
    </w:p>
    <w:p w:rsidR="00AF39E2" w:rsidRDefault="00AF39E2" w:rsidP="00D41AB9">
      <w:pPr>
        <w:keepNext/>
        <w:spacing w:line="360" w:lineRule="auto"/>
        <w:jc w:val="center"/>
        <w:rPr>
          <w:b/>
          <w:sz w:val="26"/>
        </w:rPr>
      </w:pPr>
      <w:r>
        <w:rPr>
          <w:b/>
          <w:sz w:val="26"/>
        </w:rPr>
        <w:lastRenderedPageBreak/>
        <w:t>History of the Proceeding</w:t>
      </w:r>
    </w:p>
    <w:p w:rsidR="004A4372" w:rsidRDefault="004A4372" w:rsidP="00D41AB9">
      <w:pPr>
        <w:keepNext/>
        <w:spacing w:line="360" w:lineRule="auto"/>
        <w:ind w:firstLine="1440"/>
        <w:rPr>
          <w:kern w:val="24"/>
        </w:rPr>
      </w:pPr>
    </w:p>
    <w:p w:rsidR="004E515D" w:rsidRDefault="00B652D8" w:rsidP="009E4E4E">
      <w:pPr>
        <w:spacing w:line="360" w:lineRule="auto"/>
        <w:ind w:firstLine="1440"/>
        <w:rPr>
          <w:kern w:val="24"/>
          <w:sz w:val="26"/>
          <w:szCs w:val="26"/>
        </w:rPr>
      </w:pPr>
      <w:r>
        <w:rPr>
          <w:kern w:val="24"/>
          <w:sz w:val="26"/>
          <w:szCs w:val="26"/>
        </w:rPr>
        <w:t xml:space="preserve">On April 30, 2015, I&amp;E filed a Formal Complaint (Complaint) against PECO.  </w:t>
      </w:r>
      <w:r w:rsidR="001D4A42">
        <w:rPr>
          <w:kern w:val="24"/>
          <w:sz w:val="26"/>
          <w:szCs w:val="26"/>
        </w:rPr>
        <w:t>The Complaint concerned a natural gas explosion that occurred on July 17, 2014, at 118 Penrose Lane, Coatesville, Pennsylvania</w:t>
      </w:r>
      <w:r w:rsidR="00E83D6E">
        <w:rPr>
          <w:kern w:val="24"/>
          <w:sz w:val="26"/>
          <w:szCs w:val="26"/>
        </w:rPr>
        <w:t xml:space="preserve"> (Penrose Lane)</w:t>
      </w:r>
      <w:r w:rsidR="001D4A42">
        <w:rPr>
          <w:kern w:val="24"/>
          <w:sz w:val="26"/>
          <w:szCs w:val="26"/>
        </w:rPr>
        <w:t>, when PECO was performing an uprating project.</w:t>
      </w:r>
      <w:r w:rsidR="00825092">
        <w:rPr>
          <w:kern w:val="24"/>
          <w:sz w:val="26"/>
          <w:szCs w:val="26"/>
        </w:rPr>
        <w:t xml:space="preserve">  In the Complaint, I&amp;E alleged that PECO committed various violations of the Commission’s Regulations </w:t>
      </w:r>
      <w:r w:rsidR="00135157">
        <w:rPr>
          <w:kern w:val="24"/>
          <w:sz w:val="26"/>
          <w:szCs w:val="26"/>
        </w:rPr>
        <w:t xml:space="preserve">at </w:t>
      </w:r>
      <w:r w:rsidR="00825092">
        <w:rPr>
          <w:kern w:val="24"/>
          <w:sz w:val="26"/>
          <w:szCs w:val="26"/>
        </w:rPr>
        <w:t>52 Pa. Code §</w:t>
      </w:r>
      <w:r w:rsidR="00135157">
        <w:rPr>
          <w:kern w:val="24"/>
          <w:sz w:val="26"/>
          <w:szCs w:val="26"/>
        </w:rPr>
        <w:t>§</w:t>
      </w:r>
      <w:r w:rsidR="00825092">
        <w:rPr>
          <w:kern w:val="24"/>
          <w:sz w:val="26"/>
          <w:szCs w:val="26"/>
        </w:rPr>
        <w:t xml:space="preserve"> 59.33(b)</w:t>
      </w:r>
      <w:r w:rsidR="00135157">
        <w:rPr>
          <w:kern w:val="24"/>
          <w:sz w:val="26"/>
          <w:szCs w:val="26"/>
        </w:rPr>
        <w:t xml:space="preserve"> and 59.35</w:t>
      </w:r>
      <w:r w:rsidR="00825092">
        <w:rPr>
          <w:kern w:val="24"/>
          <w:sz w:val="26"/>
          <w:szCs w:val="26"/>
        </w:rPr>
        <w:t>, and the federal gas pipeline safety regulations at 49 C.F.R. §§ 192.557(b)(1),</w:t>
      </w:r>
      <w:r w:rsidR="00F25CEF">
        <w:rPr>
          <w:kern w:val="24"/>
          <w:sz w:val="26"/>
          <w:szCs w:val="26"/>
        </w:rPr>
        <w:t xml:space="preserve"> </w:t>
      </w:r>
      <w:r w:rsidR="00825092">
        <w:rPr>
          <w:kern w:val="24"/>
          <w:sz w:val="26"/>
          <w:szCs w:val="26"/>
        </w:rPr>
        <w:t xml:space="preserve">(2) and (6) </w:t>
      </w:r>
      <w:r w:rsidR="00135157">
        <w:rPr>
          <w:kern w:val="24"/>
          <w:sz w:val="26"/>
          <w:szCs w:val="26"/>
        </w:rPr>
        <w:t xml:space="preserve">and </w:t>
      </w:r>
      <w:r w:rsidR="00825092">
        <w:rPr>
          <w:kern w:val="24"/>
          <w:sz w:val="26"/>
          <w:szCs w:val="26"/>
        </w:rPr>
        <w:t>192.605(a) and (b)(5)</w:t>
      </w:r>
      <w:r w:rsidR="00135157">
        <w:rPr>
          <w:kern w:val="24"/>
          <w:sz w:val="26"/>
          <w:szCs w:val="26"/>
        </w:rPr>
        <w:t>.</w:t>
      </w:r>
      <w:r w:rsidR="008C1A57">
        <w:rPr>
          <w:kern w:val="24"/>
          <w:sz w:val="26"/>
          <w:szCs w:val="26"/>
        </w:rPr>
        <w:t xml:space="preserve">  I&amp;E requested that the Commission, </w:t>
      </w:r>
      <w:r w:rsidR="008C1A57" w:rsidRPr="008C1A57">
        <w:rPr>
          <w:i/>
          <w:kern w:val="24"/>
          <w:sz w:val="26"/>
          <w:szCs w:val="26"/>
        </w:rPr>
        <w:t>inter alia</w:t>
      </w:r>
      <w:r w:rsidR="008C1A57">
        <w:rPr>
          <w:kern w:val="24"/>
          <w:sz w:val="26"/>
          <w:szCs w:val="26"/>
        </w:rPr>
        <w:t>, impose a civil penalty of $1.5 million on the Company</w:t>
      </w:r>
      <w:r w:rsidR="004E515D">
        <w:rPr>
          <w:kern w:val="24"/>
          <w:sz w:val="26"/>
          <w:szCs w:val="26"/>
        </w:rPr>
        <w:t>.</w:t>
      </w:r>
    </w:p>
    <w:p w:rsidR="004E515D" w:rsidRDefault="004E515D" w:rsidP="009E4E4E">
      <w:pPr>
        <w:spacing w:line="360" w:lineRule="auto"/>
        <w:ind w:firstLine="1440"/>
        <w:rPr>
          <w:kern w:val="24"/>
          <w:sz w:val="26"/>
          <w:szCs w:val="26"/>
        </w:rPr>
      </w:pPr>
    </w:p>
    <w:p w:rsidR="00825092" w:rsidRDefault="00B9258B" w:rsidP="009E4E4E">
      <w:pPr>
        <w:spacing w:line="360" w:lineRule="auto"/>
        <w:ind w:firstLine="1440"/>
        <w:rPr>
          <w:kern w:val="24"/>
          <w:sz w:val="26"/>
          <w:szCs w:val="26"/>
        </w:rPr>
      </w:pPr>
      <w:r>
        <w:rPr>
          <w:kern w:val="24"/>
          <w:sz w:val="26"/>
          <w:szCs w:val="26"/>
        </w:rPr>
        <w:t xml:space="preserve">On May 26, 2015, PECO filed an Answer and New Matter.  In the Answer, PECO admitted, in part, and denied, in part, the material allegations in the Complaint.  In the New Matter, PECO averred that it has taken significant steps and </w:t>
      </w:r>
      <w:r w:rsidR="00F26FD8">
        <w:rPr>
          <w:kern w:val="24"/>
          <w:sz w:val="26"/>
          <w:szCs w:val="26"/>
        </w:rPr>
        <w:t xml:space="preserve">implemented corrective actions to ensure that this type of event will not recur.  PECO also averred that the civil penalty requested in the Complaint was inconsistent with Commission precedent.  On June 15, 2015, I&amp;E filed a Reply to New Matter generally denying the material averments in PECO’s New Matter.     </w:t>
      </w:r>
      <w:r w:rsidR="008C1A57">
        <w:rPr>
          <w:kern w:val="24"/>
          <w:sz w:val="26"/>
          <w:szCs w:val="26"/>
        </w:rPr>
        <w:t xml:space="preserve">  </w:t>
      </w:r>
      <w:r w:rsidR="00135157">
        <w:rPr>
          <w:kern w:val="24"/>
          <w:sz w:val="26"/>
          <w:szCs w:val="26"/>
        </w:rPr>
        <w:t xml:space="preserve">  </w:t>
      </w:r>
      <w:r w:rsidR="00825092">
        <w:rPr>
          <w:kern w:val="24"/>
          <w:sz w:val="26"/>
          <w:szCs w:val="26"/>
        </w:rPr>
        <w:t xml:space="preserve">     </w:t>
      </w:r>
    </w:p>
    <w:p w:rsidR="00AF547F" w:rsidRDefault="001D4A42" w:rsidP="009E4E4E">
      <w:pPr>
        <w:spacing w:line="360" w:lineRule="auto"/>
        <w:ind w:firstLine="1440"/>
        <w:rPr>
          <w:kern w:val="24"/>
          <w:sz w:val="26"/>
          <w:szCs w:val="26"/>
        </w:rPr>
      </w:pPr>
      <w:r>
        <w:rPr>
          <w:kern w:val="24"/>
          <w:sz w:val="26"/>
          <w:szCs w:val="26"/>
        </w:rPr>
        <w:t xml:space="preserve">  </w:t>
      </w:r>
      <w:r w:rsidR="00AF547F">
        <w:rPr>
          <w:kern w:val="24"/>
          <w:sz w:val="26"/>
          <w:szCs w:val="26"/>
        </w:rPr>
        <w:t xml:space="preserve">     </w:t>
      </w:r>
    </w:p>
    <w:p w:rsidR="00963F82" w:rsidRDefault="00074092" w:rsidP="009E4E4E">
      <w:pPr>
        <w:spacing w:line="360" w:lineRule="auto"/>
        <w:ind w:firstLine="1440"/>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 5.231.  </w:t>
      </w:r>
      <w:r w:rsidR="00F26FD8">
        <w:rPr>
          <w:sz w:val="26"/>
          <w:szCs w:val="26"/>
        </w:rPr>
        <w:t>As previously indicated, t</w:t>
      </w:r>
      <w:r w:rsidR="00AF39E2" w:rsidRPr="00074092">
        <w:rPr>
          <w:sz w:val="26"/>
          <w:szCs w:val="26"/>
        </w:rPr>
        <w:t xml:space="preserve">he Parties filed the </w:t>
      </w:r>
      <w:r>
        <w:rPr>
          <w:sz w:val="26"/>
          <w:szCs w:val="26"/>
        </w:rPr>
        <w:t xml:space="preserve">instant </w:t>
      </w:r>
      <w:r w:rsidR="00AF39E2" w:rsidRPr="00074092">
        <w:rPr>
          <w:sz w:val="26"/>
          <w:szCs w:val="26"/>
        </w:rPr>
        <w:t>Settlement</w:t>
      </w:r>
      <w:r w:rsidR="00AF39E2">
        <w:rPr>
          <w:sz w:val="26"/>
          <w:szCs w:val="26"/>
        </w:rPr>
        <w:t xml:space="preserve"> </w:t>
      </w:r>
      <w:r w:rsidR="00D83ED9">
        <w:rPr>
          <w:sz w:val="26"/>
          <w:szCs w:val="26"/>
        </w:rPr>
        <w:t xml:space="preserve">on </w:t>
      </w:r>
      <w:r w:rsidR="00F26FD8">
        <w:rPr>
          <w:sz w:val="26"/>
          <w:szCs w:val="26"/>
        </w:rPr>
        <w:t>April 8, 2016</w:t>
      </w:r>
      <w:r w:rsidR="00AF39E2">
        <w:rPr>
          <w:sz w:val="26"/>
          <w:szCs w:val="26"/>
        </w:rPr>
        <w:t>.</w:t>
      </w:r>
      <w:r>
        <w:rPr>
          <w:sz w:val="26"/>
          <w:szCs w:val="26"/>
        </w:rPr>
        <w:t xml:space="preserve"> </w:t>
      </w:r>
    </w:p>
    <w:p w:rsidR="00963F82" w:rsidRDefault="00963F82" w:rsidP="009E4E4E">
      <w:pPr>
        <w:spacing w:line="360" w:lineRule="auto"/>
        <w:ind w:firstLine="1440"/>
        <w:rPr>
          <w:sz w:val="26"/>
          <w:szCs w:val="26"/>
        </w:rPr>
      </w:pPr>
    </w:p>
    <w:p w:rsidR="004272BB" w:rsidRPr="00332D79" w:rsidRDefault="003F6177" w:rsidP="00AA6F30">
      <w:pPr>
        <w:spacing w:line="360" w:lineRule="auto"/>
        <w:jc w:val="center"/>
        <w:rPr>
          <w:b/>
          <w:sz w:val="26"/>
        </w:rPr>
      </w:pPr>
      <w:r w:rsidRPr="00332D79">
        <w:rPr>
          <w:b/>
          <w:sz w:val="26"/>
        </w:rPr>
        <w:t xml:space="preserve">Background </w:t>
      </w:r>
    </w:p>
    <w:p w:rsidR="00B36E9A" w:rsidRDefault="00B36E9A" w:rsidP="00AA6F30">
      <w:pPr>
        <w:spacing w:line="360" w:lineRule="auto"/>
        <w:rPr>
          <w:sz w:val="26"/>
        </w:rPr>
      </w:pPr>
    </w:p>
    <w:p w:rsidR="000E4EA1" w:rsidRDefault="00E83D6E" w:rsidP="004E0F31">
      <w:pPr>
        <w:pStyle w:val="ListParagraph"/>
        <w:spacing w:line="360" w:lineRule="auto"/>
        <w:ind w:left="0"/>
        <w:contextualSpacing/>
        <w:rPr>
          <w:sz w:val="26"/>
          <w:szCs w:val="26"/>
        </w:rPr>
      </w:pPr>
      <w:r>
        <w:rPr>
          <w:sz w:val="26"/>
          <w:szCs w:val="26"/>
        </w:rPr>
        <w:tab/>
      </w:r>
      <w:r>
        <w:rPr>
          <w:sz w:val="26"/>
          <w:szCs w:val="26"/>
        </w:rPr>
        <w:tab/>
        <w:t xml:space="preserve">On July </w:t>
      </w:r>
      <w:r w:rsidR="00F25CEF">
        <w:rPr>
          <w:sz w:val="26"/>
          <w:szCs w:val="26"/>
        </w:rPr>
        <w:t>1</w:t>
      </w:r>
      <w:r>
        <w:rPr>
          <w:sz w:val="26"/>
          <w:szCs w:val="26"/>
        </w:rPr>
        <w:t xml:space="preserve">7, 2014, the Commission’s Gas Safety </w:t>
      </w:r>
      <w:r w:rsidR="00D7100B">
        <w:rPr>
          <w:sz w:val="26"/>
          <w:szCs w:val="26"/>
        </w:rPr>
        <w:t xml:space="preserve">Division (GSD) </w:t>
      </w:r>
      <w:r>
        <w:rPr>
          <w:sz w:val="26"/>
          <w:szCs w:val="26"/>
        </w:rPr>
        <w:t xml:space="preserve">personnel received an emergency notification from the Pennsylvania Emergency Management Agency at 12:20 p.m. concerning a natural gas explosion.  When Gas Safety Engineer Terri Cooper Smith arrived at the reported explosion site, she determined that the </w:t>
      </w:r>
      <w:r>
        <w:rPr>
          <w:sz w:val="26"/>
          <w:szCs w:val="26"/>
        </w:rPr>
        <w:lastRenderedPageBreak/>
        <w:t xml:space="preserve">explosion occurred at Penrose Lane and was related to </w:t>
      </w:r>
      <w:r w:rsidR="00854615">
        <w:rPr>
          <w:sz w:val="26"/>
          <w:szCs w:val="26"/>
        </w:rPr>
        <w:t>a nearby PECO uprating project</w:t>
      </w:r>
      <w:r>
        <w:rPr>
          <w:sz w:val="26"/>
          <w:szCs w:val="26"/>
        </w:rPr>
        <w:t>.</w:t>
      </w:r>
      <w:r w:rsidR="00854615">
        <w:rPr>
          <w:sz w:val="26"/>
          <w:szCs w:val="26"/>
        </w:rPr>
        <w:t xml:space="preserve">  </w:t>
      </w:r>
      <w:r w:rsidR="00AB3DEE">
        <w:rPr>
          <w:sz w:val="26"/>
          <w:szCs w:val="26"/>
        </w:rPr>
        <w:t xml:space="preserve">Complaint at 4.  </w:t>
      </w:r>
      <w:r w:rsidR="00854615">
        <w:rPr>
          <w:sz w:val="26"/>
          <w:szCs w:val="26"/>
        </w:rPr>
        <w:t xml:space="preserve">A PECO construction crew, with support from an outside contractor, was uprating a low pressure distribution system from a </w:t>
      </w:r>
      <w:r w:rsidR="00AA373B">
        <w:rPr>
          <w:sz w:val="26"/>
          <w:szCs w:val="26"/>
        </w:rPr>
        <w:t>seven inch water column (w.c.) to a medium pressure distribution system to be operated at twenty-five pounds per square inch (psi).</w:t>
      </w:r>
      <w:r w:rsidR="007D7016">
        <w:rPr>
          <w:sz w:val="26"/>
          <w:szCs w:val="26"/>
        </w:rPr>
        <w:t xml:space="preserve">  On July 18, 2014, Gas Safety Engineers Rob Horensky and Sunil Patel witnessed a pressure test of the service line to Penrose Lane, and no leaks were found during the pressure test.  Accordingly, Gas Safety Engineer Smith concluded that gas did not leak from the service line before the meter and migrate into the home at Penrose Lane.  Gas Safety Engineer Smith found that the gas entered the house after passing through the meter at a pressure higher than the meter and downstream appliances were designed to withstand.  When the explosion occurred, the pressure in the system after uprating was 25 psi per the gauge located at Walnut and 5th Streets, 100 yards from Penrose Lane.  </w:t>
      </w:r>
      <w:r w:rsidR="000E4EA1">
        <w:rPr>
          <w:sz w:val="26"/>
          <w:szCs w:val="26"/>
        </w:rPr>
        <w:t>Gas Safety Engineer Smith, therefore, concluded that the pressure at Penrose Lane at the time of the explosion was likely also near 25 psi.</w:t>
      </w:r>
      <w:r w:rsidR="00AB3DEE">
        <w:rPr>
          <w:sz w:val="26"/>
          <w:szCs w:val="26"/>
        </w:rPr>
        <w:t xml:space="preserve">  </w:t>
      </w:r>
      <w:r w:rsidR="00AB3DEE" w:rsidRPr="00AB3DEE">
        <w:rPr>
          <w:i/>
          <w:sz w:val="26"/>
          <w:szCs w:val="26"/>
        </w:rPr>
        <w:t>Id</w:t>
      </w:r>
      <w:r w:rsidR="00AB3DEE">
        <w:rPr>
          <w:sz w:val="26"/>
          <w:szCs w:val="26"/>
        </w:rPr>
        <w:t xml:space="preserve">. at 5.  </w:t>
      </w:r>
      <w:r w:rsidR="000E4EA1">
        <w:rPr>
          <w:sz w:val="26"/>
          <w:szCs w:val="26"/>
        </w:rPr>
        <w:t xml:space="preserve">  </w:t>
      </w:r>
    </w:p>
    <w:p w:rsidR="000E4EA1" w:rsidRDefault="000E4EA1" w:rsidP="004E0F31">
      <w:pPr>
        <w:pStyle w:val="ListParagraph"/>
        <w:spacing w:line="360" w:lineRule="auto"/>
        <w:ind w:left="0"/>
        <w:contextualSpacing/>
        <w:rPr>
          <w:sz w:val="26"/>
          <w:szCs w:val="26"/>
        </w:rPr>
      </w:pPr>
    </w:p>
    <w:p w:rsidR="003A6032" w:rsidRDefault="000E4EA1" w:rsidP="004E0F31">
      <w:pPr>
        <w:pStyle w:val="ListParagraph"/>
        <w:spacing w:line="360" w:lineRule="auto"/>
        <w:ind w:left="0"/>
        <w:contextualSpacing/>
        <w:rPr>
          <w:sz w:val="26"/>
          <w:szCs w:val="26"/>
        </w:rPr>
      </w:pPr>
      <w:r>
        <w:rPr>
          <w:sz w:val="26"/>
          <w:szCs w:val="26"/>
        </w:rPr>
        <w:tab/>
      </w:r>
      <w:r>
        <w:rPr>
          <w:sz w:val="26"/>
          <w:szCs w:val="26"/>
        </w:rPr>
        <w:tab/>
        <w:t>On August 7, 2014, Gas Safety Supervisor Michael Chilek and Gas Safety Engineer Smith interviewed the following individuals:  the PECO supervisor in charge of the crew performing the uprating work on July 17, 2014; the engineer who wrote the specific uprating procedure</w:t>
      </w:r>
      <w:r w:rsidR="00137573">
        <w:rPr>
          <w:sz w:val="26"/>
          <w:szCs w:val="26"/>
        </w:rPr>
        <w:t>,</w:t>
      </w:r>
      <w:r>
        <w:rPr>
          <w:sz w:val="26"/>
          <w:szCs w:val="26"/>
        </w:rPr>
        <w:t xml:space="preserve"> GWP-059-14</w:t>
      </w:r>
      <w:r w:rsidR="00137573">
        <w:rPr>
          <w:sz w:val="26"/>
          <w:szCs w:val="26"/>
        </w:rPr>
        <w:t>,</w:t>
      </w:r>
      <w:r>
        <w:rPr>
          <w:sz w:val="26"/>
          <w:szCs w:val="26"/>
        </w:rPr>
        <w:t xml:space="preserve"> on July 14, 2014, for the uprating project as required by PECO procedure GO-PE 1023, Changing Gas Distribution Pressures</w:t>
      </w:r>
      <w:r w:rsidR="00BE552B">
        <w:rPr>
          <w:sz w:val="26"/>
          <w:szCs w:val="26"/>
        </w:rPr>
        <w:t>; the PECO employee conducting the leak survey prior to and in between each pressure increase; and a foreman for Utility Line Services who was working as a PECO contractor on the meters during the uprating project.  As a result of the interviews, Gas Safety Engineer Smith found that, during the pre-job inspection, the PECO supervisor failed to discover that the service at Penrose Lane was connected to the low pressure distribution system PECO would be uprating.  She also found that the service line to Penrose Lane had a maximum allowable operating pressure (MAOP) of 14” w.c. and, that when PECO uprated the pressure on the pipeline at 25 psi</w:t>
      </w:r>
      <w:r w:rsidR="00C12B3C">
        <w:rPr>
          <w:sz w:val="26"/>
          <w:szCs w:val="26"/>
        </w:rPr>
        <w:t>, this caused an over</w:t>
      </w:r>
      <w:r w:rsidR="00137573">
        <w:rPr>
          <w:sz w:val="26"/>
          <w:szCs w:val="26"/>
        </w:rPr>
        <w:t>-</w:t>
      </w:r>
      <w:r w:rsidR="00C12B3C">
        <w:rPr>
          <w:sz w:val="26"/>
          <w:szCs w:val="26"/>
        </w:rPr>
        <w:t xml:space="preserve">pressurization that led to service line failure and the house explosion.  </w:t>
      </w:r>
      <w:r w:rsidR="00AB3DEE" w:rsidRPr="00AB3DEE">
        <w:rPr>
          <w:i/>
          <w:sz w:val="26"/>
          <w:szCs w:val="26"/>
        </w:rPr>
        <w:t>Id</w:t>
      </w:r>
      <w:r w:rsidR="00AB3DEE">
        <w:rPr>
          <w:sz w:val="26"/>
          <w:szCs w:val="26"/>
        </w:rPr>
        <w:t xml:space="preserve">. at 6.  </w:t>
      </w:r>
      <w:r w:rsidR="00C12B3C">
        <w:rPr>
          <w:sz w:val="26"/>
          <w:szCs w:val="26"/>
        </w:rPr>
        <w:t xml:space="preserve">Further, Gas Safety Engineer </w:t>
      </w:r>
      <w:r w:rsidR="00C12B3C">
        <w:rPr>
          <w:sz w:val="26"/>
          <w:szCs w:val="26"/>
        </w:rPr>
        <w:lastRenderedPageBreak/>
        <w:t xml:space="preserve">Smith found that, before increasing operating pressure above the previously established MAOP of 14” w.c., PECO did not install a service regulator on each service line or test each regulator to determine that it was functioning.  </w:t>
      </w:r>
      <w:r w:rsidR="00AB3DEE" w:rsidRPr="00AB3DEE">
        <w:rPr>
          <w:i/>
          <w:sz w:val="26"/>
          <w:szCs w:val="26"/>
        </w:rPr>
        <w:t>Id</w:t>
      </w:r>
      <w:r w:rsidR="00AB3DEE">
        <w:rPr>
          <w:sz w:val="26"/>
          <w:szCs w:val="26"/>
        </w:rPr>
        <w:t xml:space="preserve">. at 6-7.  </w:t>
      </w:r>
      <w:r w:rsidR="00C12B3C">
        <w:rPr>
          <w:sz w:val="26"/>
          <w:szCs w:val="26"/>
        </w:rPr>
        <w:t>Finally, Gas Safety Engineer Smith found that the contractor PECO uses for its mark outs did not mark out the service to Penrose Lane in the days leading up to the explosion.</w:t>
      </w:r>
      <w:r w:rsidR="00AB3DEE">
        <w:rPr>
          <w:sz w:val="26"/>
          <w:szCs w:val="26"/>
        </w:rPr>
        <w:t xml:space="preserve">  </w:t>
      </w:r>
      <w:r w:rsidR="00AB3DEE" w:rsidRPr="00AB3DEE">
        <w:rPr>
          <w:i/>
          <w:sz w:val="26"/>
          <w:szCs w:val="26"/>
        </w:rPr>
        <w:t>Id</w:t>
      </w:r>
      <w:r w:rsidR="00AB3DEE">
        <w:rPr>
          <w:sz w:val="26"/>
          <w:szCs w:val="26"/>
        </w:rPr>
        <w:t xml:space="preserve">. at 7.  </w:t>
      </w:r>
      <w:r w:rsidR="00C12B3C">
        <w:rPr>
          <w:sz w:val="26"/>
          <w:szCs w:val="26"/>
        </w:rPr>
        <w:t xml:space="preserve">  </w:t>
      </w:r>
      <w:r w:rsidR="00BE552B">
        <w:rPr>
          <w:sz w:val="26"/>
          <w:szCs w:val="26"/>
        </w:rPr>
        <w:t xml:space="preserve">      </w:t>
      </w:r>
      <w:r>
        <w:rPr>
          <w:sz w:val="26"/>
          <w:szCs w:val="26"/>
        </w:rPr>
        <w:t xml:space="preserve"> </w:t>
      </w:r>
      <w:r w:rsidR="007D7016">
        <w:rPr>
          <w:sz w:val="26"/>
          <w:szCs w:val="26"/>
        </w:rPr>
        <w:t xml:space="preserve">       </w:t>
      </w:r>
      <w:r w:rsidR="00AA373B">
        <w:rPr>
          <w:sz w:val="26"/>
          <w:szCs w:val="26"/>
        </w:rPr>
        <w:t xml:space="preserve">  </w:t>
      </w:r>
    </w:p>
    <w:p w:rsidR="003A6032" w:rsidRDefault="003A6032" w:rsidP="004E0F31">
      <w:pPr>
        <w:pStyle w:val="ListParagraph"/>
        <w:spacing w:line="360" w:lineRule="auto"/>
        <w:ind w:left="0"/>
        <w:contextualSpacing/>
        <w:rPr>
          <w:sz w:val="26"/>
          <w:szCs w:val="26"/>
        </w:rPr>
      </w:pPr>
    </w:p>
    <w:p w:rsidR="005458C8" w:rsidRDefault="003A6032" w:rsidP="00AB3DEE">
      <w:pPr>
        <w:pStyle w:val="ListParagraph"/>
        <w:spacing w:line="360" w:lineRule="auto"/>
        <w:ind w:left="0"/>
        <w:contextualSpacing/>
        <w:rPr>
          <w:sz w:val="26"/>
        </w:rPr>
      </w:pPr>
      <w:r>
        <w:rPr>
          <w:sz w:val="26"/>
          <w:szCs w:val="26"/>
        </w:rPr>
        <w:tab/>
      </w:r>
      <w:r>
        <w:rPr>
          <w:sz w:val="26"/>
          <w:szCs w:val="26"/>
        </w:rPr>
        <w:tab/>
      </w:r>
      <w:r w:rsidR="00CE4963" w:rsidRPr="00475475">
        <w:rPr>
          <w:color w:val="000000"/>
          <w:sz w:val="26"/>
          <w:szCs w:val="26"/>
          <w:u w:color="000000"/>
        </w:rPr>
        <w:t>If th</w:t>
      </w:r>
      <w:r w:rsidR="00D0763B">
        <w:rPr>
          <w:color w:val="000000"/>
          <w:sz w:val="26"/>
          <w:szCs w:val="26"/>
          <w:u w:color="000000"/>
        </w:rPr>
        <w:t>i</w:t>
      </w:r>
      <w:r w:rsidR="00CE4963" w:rsidRPr="00475475">
        <w:rPr>
          <w:color w:val="000000"/>
          <w:sz w:val="26"/>
          <w:szCs w:val="26"/>
          <w:u w:color="000000"/>
        </w:rPr>
        <w:t xml:space="preserve">s matter had been litigated, </w:t>
      </w:r>
      <w:r w:rsidR="00121C0D">
        <w:rPr>
          <w:color w:val="000000"/>
          <w:sz w:val="26"/>
          <w:szCs w:val="26"/>
          <w:u w:color="000000"/>
        </w:rPr>
        <w:t>I&amp;E</w:t>
      </w:r>
      <w:r w:rsidR="00CE4963" w:rsidRPr="00475475">
        <w:rPr>
          <w:color w:val="000000"/>
          <w:sz w:val="26"/>
          <w:szCs w:val="26"/>
          <w:u w:color="000000"/>
        </w:rPr>
        <w:t xml:space="preserve"> would have </w:t>
      </w:r>
      <w:r w:rsidR="00D0763B">
        <w:rPr>
          <w:color w:val="000000"/>
          <w:sz w:val="26"/>
          <w:szCs w:val="26"/>
          <w:u w:color="000000"/>
        </w:rPr>
        <w:t>alleg</w:t>
      </w:r>
      <w:r w:rsidR="002B4B77">
        <w:rPr>
          <w:color w:val="000000"/>
          <w:sz w:val="26"/>
          <w:szCs w:val="26"/>
          <w:u w:color="000000"/>
        </w:rPr>
        <w:t xml:space="preserve">ed that </w:t>
      </w:r>
      <w:r w:rsidR="00AB3DEE">
        <w:rPr>
          <w:color w:val="000000"/>
          <w:sz w:val="26"/>
          <w:szCs w:val="26"/>
          <w:u w:color="000000"/>
        </w:rPr>
        <w:t>PECO</w:t>
      </w:r>
      <w:r w:rsidR="004219FD">
        <w:rPr>
          <w:color w:val="000000"/>
          <w:sz w:val="26"/>
          <w:szCs w:val="26"/>
          <w:u w:color="000000"/>
        </w:rPr>
        <w:t xml:space="preserve"> violated </w:t>
      </w:r>
      <w:r w:rsidR="00326360">
        <w:rPr>
          <w:color w:val="000000"/>
          <w:sz w:val="26"/>
          <w:szCs w:val="26"/>
          <w:u w:color="000000"/>
        </w:rPr>
        <w:t xml:space="preserve">provisions in Part 192 </w:t>
      </w:r>
      <w:r w:rsidR="00D0763B">
        <w:rPr>
          <w:color w:val="000000"/>
          <w:sz w:val="26"/>
          <w:szCs w:val="26"/>
          <w:u w:color="000000"/>
        </w:rPr>
        <w:t xml:space="preserve">of </w:t>
      </w:r>
      <w:r w:rsidR="00EA321D">
        <w:rPr>
          <w:color w:val="000000"/>
          <w:sz w:val="26"/>
          <w:szCs w:val="26"/>
          <w:u w:color="000000"/>
        </w:rPr>
        <w:t xml:space="preserve">Title 49 of </w:t>
      </w:r>
      <w:r w:rsidR="00D0763B">
        <w:rPr>
          <w:color w:val="000000"/>
          <w:sz w:val="26"/>
          <w:szCs w:val="26"/>
          <w:u w:color="000000"/>
        </w:rPr>
        <w:t xml:space="preserve">the Code of Federal Regulations, </w:t>
      </w:r>
      <w:r w:rsidR="00844FCA">
        <w:rPr>
          <w:color w:val="000000"/>
          <w:sz w:val="26"/>
          <w:szCs w:val="26"/>
          <w:u w:color="000000"/>
        </w:rPr>
        <w:t xml:space="preserve">including </w:t>
      </w:r>
      <w:r w:rsidR="00D0763B">
        <w:rPr>
          <w:color w:val="000000"/>
          <w:sz w:val="26"/>
          <w:szCs w:val="26"/>
          <w:u w:color="000000"/>
        </w:rPr>
        <w:t xml:space="preserve">49 C.F.R. </w:t>
      </w:r>
      <w:r w:rsidR="00D0763B" w:rsidRPr="002C3323">
        <w:rPr>
          <w:sz w:val="26"/>
          <w:szCs w:val="26"/>
        </w:rPr>
        <w:t>§</w:t>
      </w:r>
      <w:r w:rsidR="00AB3DEE">
        <w:rPr>
          <w:sz w:val="26"/>
          <w:szCs w:val="26"/>
        </w:rPr>
        <w:t>§</w:t>
      </w:r>
      <w:r w:rsidR="00D0763B">
        <w:rPr>
          <w:sz w:val="26"/>
          <w:szCs w:val="26"/>
        </w:rPr>
        <w:t xml:space="preserve"> 192.</w:t>
      </w:r>
      <w:r w:rsidR="00844FCA">
        <w:rPr>
          <w:sz w:val="26"/>
          <w:szCs w:val="26"/>
        </w:rPr>
        <w:t>557(b)(1)</w:t>
      </w:r>
      <w:r w:rsidR="00AB3DEE">
        <w:rPr>
          <w:sz w:val="26"/>
          <w:szCs w:val="26"/>
        </w:rPr>
        <w:t>,</w:t>
      </w:r>
      <w:r w:rsidR="00F25CEF">
        <w:rPr>
          <w:sz w:val="26"/>
          <w:szCs w:val="26"/>
        </w:rPr>
        <w:t xml:space="preserve"> </w:t>
      </w:r>
      <w:r w:rsidR="00844FCA">
        <w:rPr>
          <w:sz w:val="26"/>
          <w:szCs w:val="26"/>
        </w:rPr>
        <w:t>(2),</w:t>
      </w:r>
      <w:r w:rsidR="00AB3DEE">
        <w:rPr>
          <w:sz w:val="26"/>
          <w:szCs w:val="26"/>
        </w:rPr>
        <w:t xml:space="preserve"> and </w:t>
      </w:r>
      <w:r w:rsidR="00844FCA">
        <w:rPr>
          <w:sz w:val="26"/>
          <w:szCs w:val="26"/>
        </w:rPr>
        <w:t>(6)</w:t>
      </w:r>
      <w:r w:rsidR="00D0763B">
        <w:rPr>
          <w:sz w:val="26"/>
          <w:szCs w:val="26"/>
        </w:rPr>
        <w:t xml:space="preserve"> </w:t>
      </w:r>
      <w:r w:rsidR="00AB3DEE">
        <w:rPr>
          <w:sz w:val="26"/>
          <w:szCs w:val="26"/>
        </w:rPr>
        <w:t xml:space="preserve">and </w:t>
      </w:r>
      <w:r w:rsidR="00844FCA">
        <w:rPr>
          <w:sz w:val="26"/>
          <w:szCs w:val="26"/>
        </w:rPr>
        <w:t>192.605(a)</w:t>
      </w:r>
      <w:r w:rsidR="00AB3DEE">
        <w:rPr>
          <w:sz w:val="26"/>
          <w:szCs w:val="26"/>
        </w:rPr>
        <w:t xml:space="preserve"> and </w:t>
      </w:r>
      <w:r w:rsidR="00844FCA">
        <w:rPr>
          <w:sz w:val="26"/>
          <w:szCs w:val="26"/>
        </w:rPr>
        <w:t xml:space="preserve">(b)(5), </w:t>
      </w:r>
      <w:r w:rsidR="00D0763B">
        <w:rPr>
          <w:sz w:val="26"/>
          <w:szCs w:val="26"/>
        </w:rPr>
        <w:t xml:space="preserve">and </w:t>
      </w:r>
      <w:r w:rsidR="00AB3DEE">
        <w:rPr>
          <w:sz w:val="26"/>
          <w:szCs w:val="26"/>
        </w:rPr>
        <w:t>provisions</w:t>
      </w:r>
      <w:r w:rsidR="00D0763B">
        <w:rPr>
          <w:sz w:val="26"/>
          <w:szCs w:val="26"/>
        </w:rPr>
        <w:t xml:space="preserve"> of the Commission’s Regulations, </w:t>
      </w:r>
      <w:r w:rsidR="00AB3DEE">
        <w:rPr>
          <w:sz w:val="26"/>
          <w:szCs w:val="26"/>
        </w:rPr>
        <w:t xml:space="preserve">including </w:t>
      </w:r>
      <w:r w:rsidR="00D0763B">
        <w:rPr>
          <w:sz w:val="26"/>
          <w:szCs w:val="26"/>
        </w:rPr>
        <w:t xml:space="preserve">52 Pa. Code </w:t>
      </w:r>
      <w:r w:rsidR="00D0763B" w:rsidRPr="002C3323">
        <w:rPr>
          <w:sz w:val="26"/>
          <w:szCs w:val="26"/>
        </w:rPr>
        <w:t>§§</w:t>
      </w:r>
      <w:r w:rsidR="00D0763B">
        <w:rPr>
          <w:sz w:val="26"/>
          <w:szCs w:val="26"/>
        </w:rPr>
        <w:t xml:space="preserve"> 59.33</w:t>
      </w:r>
      <w:r w:rsidR="00844FCA">
        <w:rPr>
          <w:sz w:val="26"/>
          <w:szCs w:val="26"/>
        </w:rPr>
        <w:t>(a)</w:t>
      </w:r>
      <w:r w:rsidR="00A71E2C">
        <w:rPr>
          <w:sz w:val="26"/>
          <w:szCs w:val="26"/>
        </w:rPr>
        <w:t xml:space="preserve"> and </w:t>
      </w:r>
      <w:r w:rsidR="00844FCA">
        <w:rPr>
          <w:sz w:val="26"/>
          <w:szCs w:val="26"/>
        </w:rPr>
        <w:t>(b) and 59.35</w:t>
      </w:r>
      <w:r w:rsidR="00AB3DEE">
        <w:rPr>
          <w:sz w:val="26"/>
          <w:szCs w:val="26"/>
        </w:rPr>
        <w:t xml:space="preserve">.  </w:t>
      </w:r>
      <w:r w:rsidR="00255F4B">
        <w:rPr>
          <w:sz w:val="26"/>
        </w:rPr>
        <w:t>Had th</w:t>
      </w:r>
      <w:r w:rsidR="00966F17">
        <w:rPr>
          <w:sz w:val="26"/>
        </w:rPr>
        <w:t>is matter</w:t>
      </w:r>
      <w:r w:rsidR="00255F4B">
        <w:rPr>
          <w:sz w:val="26"/>
        </w:rPr>
        <w:t xml:space="preserve"> been fully litigated, </w:t>
      </w:r>
      <w:r w:rsidR="00AB3DEE">
        <w:rPr>
          <w:sz w:val="26"/>
        </w:rPr>
        <w:t>PECO</w:t>
      </w:r>
      <w:r w:rsidR="0018781A">
        <w:rPr>
          <w:sz w:val="26"/>
        </w:rPr>
        <w:t xml:space="preserve"> </w:t>
      </w:r>
      <w:r w:rsidR="00255F4B">
        <w:rPr>
          <w:sz w:val="26"/>
        </w:rPr>
        <w:t xml:space="preserve">would have </w:t>
      </w:r>
      <w:r w:rsidR="00AB3DEE">
        <w:rPr>
          <w:sz w:val="26"/>
        </w:rPr>
        <w:t>contended that it did not violate the Code of Federal Regulations or the Commission’s Regulations</w:t>
      </w:r>
      <w:r w:rsidR="00A81427">
        <w:rPr>
          <w:sz w:val="26"/>
        </w:rPr>
        <w:t>.</w:t>
      </w:r>
      <w:r w:rsidR="00AB3DEE">
        <w:rPr>
          <w:sz w:val="26"/>
        </w:rPr>
        <w:t xml:space="preserve">  </w:t>
      </w:r>
      <w:r w:rsidR="00AB3DEE" w:rsidRPr="00AB3DEE">
        <w:rPr>
          <w:i/>
          <w:sz w:val="26"/>
        </w:rPr>
        <w:t>See</w:t>
      </w:r>
      <w:r w:rsidR="00AB3DEE">
        <w:rPr>
          <w:sz w:val="26"/>
        </w:rPr>
        <w:t xml:space="preserve"> Settlement at 4-8. </w:t>
      </w:r>
      <w:r w:rsidR="00A81427">
        <w:rPr>
          <w:sz w:val="26"/>
        </w:rPr>
        <w:t xml:space="preserve">  </w:t>
      </w:r>
    </w:p>
    <w:p w:rsidR="00E62396" w:rsidRDefault="00E62396" w:rsidP="00AA6F30">
      <w:pPr>
        <w:spacing w:line="360" w:lineRule="auto"/>
        <w:ind w:firstLine="1440"/>
        <w:rPr>
          <w:sz w:val="26"/>
        </w:rPr>
      </w:pPr>
    </w:p>
    <w:p w:rsidR="004272BB" w:rsidRPr="000934CC" w:rsidRDefault="004272BB" w:rsidP="00AA6F30">
      <w:pPr>
        <w:spacing w:line="360" w:lineRule="auto"/>
        <w:jc w:val="center"/>
        <w:rPr>
          <w:b/>
          <w:sz w:val="26"/>
        </w:rPr>
      </w:pPr>
      <w:r w:rsidRPr="000934CC">
        <w:rPr>
          <w:b/>
          <w:sz w:val="26"/>
        </w:rPr>
        <w:t>Terms of the Settlement Agreement</w:t>
      </w:r>
    </w:p>
    <w:p w:rsidR="002366D6" w:rsidRDefault="002366D6" w:rsidP="00AA6F30">
      <w:pPr>
        <w:spacing w:line="360" w:lineRule="auto"/>
        <w:ind w:firstLine="1440"/>
        <w:rPr>
          <w:sz w:val="26"/>
        </w:rPr>
      </w:pPr>
    </w:p>
    <w:p w:rsidR="007261C5" w:rsidRDefault="006255A2" w:rsidP="00BE135C">
      <w:pPr>
        <w:spacing w:line="360" w:lineRule="auto"/>
        <w:ind w:firstLine="1440"/>
        <w:rPr>
          <w:sz w:val="26"/>
        </w:rPr>
      </w:pPr>
      <w:r>
        <w:rPr>
          <w:sz w:val="26"/>
        </w:rPr>
        <w:t>The</w:t>
      </w:r>
      <w:r w:rsidR="00091C5A">
        <w:rPr>
          <w:sz w:val="26"/>
        </w:rPr>
        <w:t xml:space="preserve"> </w:t>
      </w:r>
      <w:r w:rsidR="00067CB6">
        <w:rPr>
          <w:sz w:val="26"/>
        </w:rPr>
        <w:t xml:space="preserve">Settlement </w:t>
      </w:r>
      <w:r w:rsidR="00ED284D">
        <w:rPr>
          <w:sz w:val="26"/>
        </w:rPr>
        <w:t xml:space="preserve">is a comprehensive resolution of all issues in this proceeding.  </w:t>
      </w:r>
      <w:r w:rsidR="00091C5A">
        <w:rPr>
          <w:sz w:val="26"/>
        </w:rPr>
        <w:t xml:space="preserve">The Settlement </w:t>
      </w:r>
      <w:r w:rsidR="00F25CEF">
        <w:rPr>
          <w:sz w:val="26"/>
        </w:rPr>
        <w:t xml:space="preserve">includes </w:t>
      </w:r>
      <w:r w:rsidR="00ED284D">
        <w:rPr>
          <w:sz w:val="26"/>
        </w:rPr>
        <w:t>the following terms and conditions:</w:t>
      </w:r>
      <w:r w:rsidR="00091C5A">
        <w:rPr>
          <w:sz w:val="26"/>
        </w:rPr>
        <w:t xml:space="preserve">  </w:t>
      </w:r>
    </w:p>
    <w:p w:rsidR="00B012ED" w:rsidRDefault="00B012ED" w:rsidP="00303D41">
      <w:pPr>
        <w:ind w:left="1440" w:right="1440" w:hanging="1440"/>
        <w:rPr>
          <w:sz w:val="26"/>
        </w:rPr>
      </w:pPr>
    </w:p>
    <w:p w:rsidR="00ED284D" w:rsidRDefault="00ED284D" w:rsidP="00303D41">
      <w:pPr>
        <w:ind w:left="1440" w:right="1440" w:hanging="1440"/>
        <w:rPr>
          <w:sz w:val="26"/>
        </w:rPr>
      </w:pPr>
      <w:r>
        <w:rPr>
          <w:sz w:val="26"/>
        </w:rPr>
        <w:tab/>
        <w:t>22.</w:t>
      </w:r>
      <w:r>
        <w:rPr>
          <w:sz w:val="26"/>
        </w:rPr>
        <w:tab/>
        <w:t>PECO agrees to develop a gas mapping plan, which will allow it to map and locate its facilities with sub-foot accuracy.  This initiative will consist of the following steps:</w:t>
      </w:r>
    </w:p>
    <w:p w:rsidR="00ED284D" w:rsidRDefault="00ED284D" w:rsidP="00303D41">
      <w:pPr>
        <w:ind w:left="1440" w:right="1440" w:hanging="1440"/>
        <w:rPr>
          <w:sz w:val="26"/>
        </w:rPr>
      </w:pPr>
    </w:p>
    <w:p w:rsidR="00ED284D" w:rsidRDefault="00ED284D" w:rsidP="00303D41">
      <w:pPr>
        <w:ind w:left="1440" w:right="1440" w:hanging="1440"/>
        <w:rPr>
          <w:sz w:val="26"/>
        </w:rPr>
      </w:pPr>
      <w:r>
        <w:rPr>
          <w:sz w:val="26"/>
        </w:rPr>
        <w:tab/>
      </w:r>
      <w:r w:rsidR="00732CE3">
        <w:rPr>
          <w:sz w:val="26"/>
        </w:rPr>
        <w:tab/>
      </w:r>
      <w:r>
        <w:rPr>
          <w:sz w:val="26"/>
        </w:rPr>
        <w:t>A.</w:t>
      </w:r>
      <w:r>
        <w:rPr>
          <w:sz w:val="26"/>
        </w:rPr>
        <w:tab/>
        <w:t xml:space="preserve">Convert data maintained in PECO’s legacy Gas Quad Maps into a Geographic Information System; </w:t>
      </w:r>
    </w:p>
    <w:p w:rsidR="00732CE3" w:rsidRDefault="00732CE3" w:rsidP="00303D41">
      <w:pPr>
        <w:ind w:left="1440" w:right="1440" w:hanging="1440"/>
        <w:rPr>
          <w:sz w:val="26"/>
        </w:rPr>
      </w:pPr>
    </w:p>
    <w:p w:rsidR="00ED284D" w:rsidRDefault="00ED284D" w:rsidP="00303D41">
      <w:pPr>
        <w:ind w:left="1440" w:right="1440" w:hanging="1440"/>
        <w:rPr>
          <w:sz w:val="26"/>
        </w:rPr>
      </w:pPr>
      <w:r>
        <w:rPr>
          <w:sz w:val="26"/>
        </w:rPr>
        <w:tab/>
      </w:r>
      <w:r w:rsidR="00732CE3">
        <w:rPr>
          <w:sz w:val="26"/>
        </w:rPr>
        <w:tab/>
      </w:r>
      <w:r>
        <w:rPr>
          <w:sz w:val="26"/>
        </w:rPr>
        <w:t>B.</w:t>
      </w:r>
      <w:r>
        <w:rPr>
          <w:sz w:val="26"/>
        </w:rPr>
        <w:tab/>
        <w:t>Conflate the mapping/asset information using high quality road-edge, digital aerial photography with impervious feature layers;</w:t>
      </w:r>
    </w:p>
    <w:p w:rsidR="00732CE3" w:rsidRDefault="00732CE3" w:rsidP="00303D41">
      <w:pPr>
        <w:ind w:left="1440" w:right="1440" w:hanging="1440"/>
        <w:rPr>
          <w:sz w:val="26"/>
        </w:rPr>
      </w:pPr>
    </w:p>
    <w:p w:rsidR="00ED284D" w:rsidRDefault="00ED284D" w:rsidP="00303D41">
      <w:pPr>
        <w:ind w:left="1440" w:right="1440" w:hanging="1440"/>
        <w:rPr>
          <w:sz w:val="26"/>
        </w:rPr>
      </w:pPr>
      <w:r>
        <w:rPr>
          <w:sz w:val="26"/>
        </w:rPr>
        <w:tab/>
      </w:r>
      <w:r w:rsidR="00732CE3">
        <w:rPr>
          <w:sz w:val="26"/>
        </w:rPr>
        <w:tab/>
      </w:r>
      <w:r>
        <w:rPr>
          <w:sz w:val="26"/>
        </w:rPr>
        <w:t>C.</w:t>
      </w:r>
      <w:r>
        <w:rPr>
          <w:sz w:val="26"/>
        </w:rPr>
        <w:tab/>
        <w:t>Launch a pilot of the Locus View mapping program in 2016;</w:t>
      </w:r>
    </w:p>
    <w:p w:rsidR="00732CE3" w:rsidRDefault="00732CE3" w:rsidP="00303D41">
      <w:pPr>
        <w:ind w:left="1440" w:right="1440" w:hanging="1440"/>
        <w:rPr>
          <w:sz w:val="26"/>
        </w:rPr>
      </w:pPr>
    </w:p>
    <w:p w:rsidR="002D350F" w:rsidRDefault="00ED284D" w:rsidP="00303D41">
      <w:pPr>
        <w:ind w:left="1440" w:right="1440" w:hanging="1440"/>
        <w:rPr>
          <w:sz w:val="26"/>
        </w:rPr>
      </w:pPr>
      <w:r>
        <w:rPr>
          <w:sz w:val="26"/>
        </w:rPr>
        <w:lastRenderedPageBreak/>
        <w:tab/>
      </w:r>
      <w:r w:rsidR="00732CE3">
        <w:rPr>
          <w:sz w:val="26"/>
        </w:rPr>
        <w:tab/>
      </w:r>
      <w:r>
        <w:rPr>
          <w:sz w:val="26"/>
        </w:rPr>
        <w:t>D.</w:t>
      </w:r>
      <w:r>
        <w:rPr>
          <w:sz w:val="26"/>
        </w:rPr>
        <w:tab/>
        <w:t>Capture and store X, Y, and Z coordinates for facility locations (and other asset data) through modern technology after completion of the Lo</w:t>
      </w:r>
      <w:r w:rsidR="002D350F">
        <w:rPr>
          <w:sz w:val="26"/>
        </w:rPr>
        <w:t>cus View pilot;</w:t>
      </w:r>
    </w:p>
    <w:p w:rsidR="00732CE3" w:rsidRDefault="00732CE3" w:rsidP="00303D41">
      <w:pPr>
        <w:ind w:left="1440" w:right="1440" w:hanging="1440"/>
        <w:rPr>
          <w:sz w:val="26"/>
        </w:rPr>
      </w:pPr>
    </w:p>
    <w:p w:rsidR="002D350F" w:rsidRDefault="002D350F" w:rsidP="00303D41">
      <w:pPr>
        <w:ind w:left="1440" w:right="1440" w:hanging="1440"/>
        <w:rPr>
          <w:sz w:val="26"/>
        </w:rPr>
      </w:pPr>
      <w:r>
        <w:rPr>
          <w:sz w:val="26"/>
        </w:rPr>
        <w:tab/>
      </w:r>
      <w:r w:rsidR="00732CE3">
        <w:rPr>
          <w:sz w:val="26"/>
        </w:rPr>
        <w:tab/>
      </w:r>
      <w:r>
        <w:rPr>
          <w:sz w:val="26"/>
        </w:rPr>
        <w:t>E.</w:t>
      </w:r>
      <w:r>
        <w:rPr>
          <w:sz w:val="26"/>
        </w:rPr>
        <w:tab/>
        <w:t>Complete a “Visualization Tool,” which will visualize what is connected to mains via service points and will be linked to service record information and drawings;</w:t>
      </w:r>
    </w:p>
    <w:p w:rsidR="00732CE3" w:rsidRDefault="00732CE3" w:rsidP="00303D41">
      <w:pPr>
        <w:ind w:left="1440" w:right="1440" w:hanging="1440"/>
        <w:rPr>
          <w:sz w:val="26"/>
        </w:rPr>
      </w:pPr>
    </w:p>
    <w:p w:rsidR="002D350F" w:rsidRDefault="002D350F" w:rsidP="00303D41">
      <w:pPr>
        <w:ind w:left="1440" w:right="1440" w:hanging="1440"/>
        <w:rPr>
          <w:sz w:val="26"/>
        </w:rPr>
      </w:pPr>
      <w:r>
        <w:rPr>
          <w:sz w:val="26"/>
        </w:rPr>
        <w:tab/>
      </w:r>
      <w:r w:rsidR="00732CE3">
        <w:rPr>
          <w:sz w:val="26"/>
        </w:rPr>
        <w:tab/>
      </w:r>
      <w:r>
        <w:rPr>
          <w:sz w:val="26"/>
        </w:rPr>
        <w:t>F.</w:t>
      </w:r>
      <w:r>
        <w:rPr>
          <w:sz w:val="26"/>
        </w:rPr>
        <w:tab/>
        <w:t xml:space="preserve">Retire legacy maps (only to be used for reference thereafter).  This information will be accessible through PECO’s visualization tool and other mobile viewing devices; and </w:t>
      </w:r>
    </w:p>
    <w:p w:rsidR="00732CE3" w:rsidRDefault="00732CE3" w:rsidP="00303D41">
      <w:pPr>
        <w:ind w:left="1440" w:right="1440" w:hanging="1440"/>
        <w:rPr>
          <w:sz w:val="26"/>
        </w:rPr>
      </w:pPr>
    </w:p>
    <w:p w:rsidR="002D350F" w:rsidRDefault="002D350F" w:rsidP="00303D41">
      <w:pPr>
        <w:ind w:left="1440" w:right="1440" w:hanging="1440"/>
        <w:rPr>
          <w:sz w:val="26"/>
        </w:rPr>
      </w:pPr>
      <w:r>
        <w:rPr>
          <w:sz w:val="26"/>
        </w:rPr>
        <w:tab/>
      </w:r>
      <w:r w:rsidR="00732CE3">
        <w:rPr>
          <w:sz w:val="26"/>
        </w:rPr>
        <w:tab/>
      </w:r>
      <w:r>
        <w:rPr>
          <w:sz w:val="26"/>
        </w:rPr>
        <w:t>G.</w:t>
      </w:r>
      <w:r>
        <w:rPr>
          <w:sz w:val="26"/>
        </w:rPr>
        <w:tab/>
        <w:t>Design a process to capture X, Y, and Z coordinates on legacy pipe and validate service line information.</w:t>
      </w:r>
    </w:p>
    <w:p w:rsidR="002D350F" w:rsidRDefault="002D350F" w:rsidP="00303D41">
      <w:pPr>
        <w:ind w:left="1440" w:right="1440" w:hanging="1440"/>
        <w:rPr>
          <w:sz w:val="26"/>
        </w:rPr>
      </w:pPr>
    </w:p>
    <w:p w:rsidR="002D350F" w:rsidRDefault="002D350F" w:rsidP="00303D41">
      <w:pPr>
        <w:ind w:left="1440" w:right="1440" w:hanging="1440"/>
        <w:rPr>
          <w:sz w:val="26"/>
        </w:rPr>
      </w:pPr>
      <w:r>
        <w:rPr>
          <w:sz w:val="26"/>
        </w:rPr>
        <w:tab/>
        <w:t>23.</w:t>
      </w:r>
      <w:r>
        <w:rPr>
          <w:sz w:val="26"/>
        </w:rPr>
        <w:tab/>
        <w:t>PECO estimates that the mapping system enhancements described in Paragraph 22 will cost approximately $3 million to develop/implement (including, but not limited to, costs associated with the Locus View Pilot, Conflation and Visualization Tools).  PECO shall invest in this plan to assist in eliminating risks associated with its maps and undocumented facilities.</w:t>
      </w:r>
    </w:p>
    <w:p w:rsidR="002D350F" w:rsidRDefault="002D350F" w:rsidP="00303D41">
      <w:pPr>
        <w:ind w:left="1440" w:right="1440" w:hanging="1440"/>
        <w:rPr>
          <w:sz w:val="26"/>
        </w:rPr>
      </w:pPr>
    </w:p>
    <w:p w:rsidR="002D350F" w:rsidRDefault="002D350F" w:rsidP="00303D41">
      <w:pPr>
        <w:ind w:left="1440" w:right="1440" w:hanging="1440"/>
        <w:rPr>
          <w:sz w:val="26"/>
        </w:rPr>
      </w:pPr>
      <w:r>
        <w:rPr>
          <w:sz w:val="26"/>
        </w:rPr>
        <w:tab/>
        <w:t>24.</w:t>
      </w:r>
      <w:r>
        <w:rPr>
          <w:sz w:val="26"/>
        </w:rPr>
        <w:tab/>
        <w:t>PECO shall begin the above actions within sixty (60) days after the date of entry of a final and non-appealed Commission Order approving the Settlement in its entirety without modification or amendment.</w:t>
      </w:r>
    </w:p>
    <w:p w:rsidR="002D350F" w:rsidRDefault="002D350F" w:rsidP="00303D41">
      <w:pPr>
        <w:ind w:left="1440" w:right="1440" w:hanging="1440"/>
        <w:rPr>
          <w:sz w:val="26"/>
        </w:rPr>
      </w:pPr>
      <w:r>
        <w:rPr>
          <w:sz w:val="26"/>
        </w:rPr>
        <w:tab/>
      </w:r>
    </w:p>
    <w:p w:rsidR="002517B6" w:rsidRDefault="002D350F" w:rsidP="00303D41">
      <w:pPr>
        <w:ind w:left="1440" w:right="1440" w:hanging="1440"/>
        <w:rPr>
          <w:sz w:val="26"/>
        </w:rPr>
      </w:pPr>
      <w:r>
        <w:rPr>
          <w:sz w:val="26"/>
        </w:rPr>
        <w:tab/>
        <w:t>25.</w:t>
      </w:r>
      <w:r>
        <w:rPr>
          <w:sz w:val="26"/>
        </w:rPr>
        <w:tab/>
      </w:r>
      <w:r w:rsidR="002839FE">
        <w:rPr>
          <w:sz w:val="26"/>
        </w:rPr>
        <w:t xml:space="preserve">Because PECO estimates it will take ten to twenty years to fully map out its entire gas system (12,900 miles of infrastructure), the Company shall hold quarterly discussions about progress related to Paragraph 22 with the Commission’s Gas Safety Division (unless PECO and the Gas Safety Division mutually agree that such meetings are no longer needed).  Quarterly meetings should begin with implementation of the measures in Paragraph 22 and continue until the mapping program is complete.  During these </w:t>
      </w:r>
      <w:r w:rsidR="002839FE">
        <w:rPr>
          <w:sz w:val="26"/>
        </w:rPr>
        <w:lastRenderedPageBreak/>
        <w:t>meetings, PECO also will report on expenditures to implement the measures as set forth in Paragraphs 17</w:t>
      </w:r>
      <w:r w:rsidR="007308E9">
        <w:rPr>
          <w:rStyle w:val="FootnoteReference"/>
          <w:sz w:val="26"/>
        </w:rPr>
        <w:footnoteReference w:id="1"/>
      </w:r>
      <w:r w:rsidR="002839FE">
        <w:rPr>
          <w:sz w:val="26"/>
        </w:rPr>
        <w:t xml:space="preserve"> and 22.</w:t>
      </w:r>
    </w:p>
    <w:p w:rsidR="00ED284D" w:rsidRDefault="00ED284D" w:rsidP="00303D41">
      <w:pPr>
        <w:ind w:left="1440" w:right="1440" w:hanging="1440"/>
        <w:rPr>
          <w:sz w:val="26"/>
        </w:rPr>
      </w:pPr>
      <w:r>
        <w:rPr>
          <w:sz w:val="26"/>
        </w:rPr>
        <w:tab/>
      </w:r>
    </w:p>
    <w:p w:rsidR="00ED284D" w:rsidRDefault="00ED284D" w:rsidP="00303D41">
      <w:pPr>
        <w:ind w:left="1440" w:right="1440" w:hanging="1440"/>
        <w:rPr>
          <w:sz w:val="26"/>
        </w:rPr>
      </w:pPr>
      <w:r>
        <w:rPr>
          <w:sz w:val="26"/>
        </w:rPr>
        <w:tab/>
      </w:r>
      <w:r w:rsidR="007D1DBB">
        <w:rPr>
          <w:sz w:val="26"/>
        </w:rPr>
        <w:t>26.</w:t>
      </w:r>
      <w:r w:rsidR="007D1DBB">
        <w:rPr>
          <w:sz w:val="26"/>
        </w:rPr>
        <w:tab/>
        <w:t xml:space="preserve">The Company shall pay a civil penalty in the amount of nine hundred thousand dollars ($900,000), pursuant to 66 Pa. C.S. § 3301 to resolve the alleged violations included in the Complaint.  Said payment shall be made within thirty (30) days after the date of entry of a final and non-appealed Commission Order approving the Settlement in its entirety without modification or amendment and shall not be claimed or included for recovery in future ratemaking proceedings.  Additionally, PECO has committed or will commit to making significant capital investments and incurring substantial operations and maintenance expenses, which PECO estimates to total $5,300,000, and which PECO believes will elevate it to an industry-leading gas safety company.  I&amp;E reserves the right to challenge the reasonableness of these expenses included in any future base rate case.    </w:t>
      </w:r>
      <w:r>
        <w:rPr>
          <w:sz w:val="26"/>
        </w:rPr>
        <w:t xml:space="preserve">    </w:t>
      </w:r>
    </w:p>
    <w:p w:rsidR="00ED284D" w:rsidRDefault="00ED284D" w:rsidP="00303D41">
      <w:pPr>
        <w:ind w:left="1440" w:right="1440" w:hanging="1440"/>
        <w:rPr>
          <w:sz w:val="26"/>
        </w:rPr>
      </w:pPr>
    </w:p>
    <w:p w:rsidR="00732CE3" w:rsidRDefault="00732CE3" w:rsidP="00732CE3">
      <w:pPr>
        <w:spacing w:line="360" w:lineRule="auto"/>
        <w:rPr>
          <w:sz w:val="26"/>
        </w:rPr>
      </w:pPr>
      <w:r>
        <w:rPr>
          <w:sz w:val="26"/>
        </w:rPr>
        <w:t xml:space="preserve">Settlement at 12-14.  </w:t>
      </w:r>
    </w:p>
    <w:p w:rsidR="008156DF" w:rsidRDefault="008156DF" w:rsidP="00732CE3">
      <w:pPr>
        <w:spacing w:line="360" w:lineRule="auto"/>
        <w:rPr>
          <w:sz w:val="26"/>
        </w:rPr>
      </w:pPr>
    </w:p>
    <w:p w:rsidR="008B250A" w:rsidRDefault="008156DF" w:rsidP="00732CE3">
      <w:pPr>
        <w:spacing w:line="360" w:lineRule="auto"/>
        <w:rPr>
          <w:sz w:val="26"/>
        </w:rPr>
      </w:pPr>
      <w:r>
        <w:rPr>
          <w:sz w:val="26"/>
        </w:rPr>
        <w:tab/>
      </w:r>
      <w:r>
        <w:rPr>
          <w:sz w:val="26"/>
        </w:rPr>
        <w:tab/>
        <w:t xml:space="preserve">Additionally, the Settlement is made without any admission by any Party as to any matter of fact or law, other than as expressly stated in the Settlement, and is without prejudice to any position advanced by either Party in this proceeding or that may be adopted during subsequent litigation.  </w:t>
      </w:r>
      <w:r w:rsidR="00BB2B2D">
        <w:rPr>
          <w:sz w:val="26"/>
        </w:rPr>
        <w:t xml:space="preserve">If the Settlement is approved and implemented, the Parties shall not in any subsequent proceeding take any action or advocate any position that would disrupt the Settlement.  Settlement at 14.  </w:t>
      </w:r>
      <w:r>
        <w:rPr>
          <w:sz w:val="26"/>
        </w:rPr>
        <w:t>The Settlement provides that neither Party may cite</w:t>
      </w:r>
      <w:r w:rsidR="008B250A">
        <w:rPr>
          <w:sz w:val="26"/>
        </w:rPr>
        <w:t xml:space="preserve"> to</w:t>
      </w:r>
      <w:r>
        <w:rPr>
          <w:sz w:val="26"/>
        </w:rPr>
        <w:t>, refer to, or rely on the Settlement as precedent or as an admission, other than in a proceeding to enforce the Settlement.</w:t>
      </w:r>
      <w:r w:rsidR="00BB2B2D">
        <w:rPr>
          <w:sz w:val="26"/>
        </w:rPr>
        <w:t xml:space="preserve">  </w:t>
      </w:r>
      <w:r w:rsidR="00BB2B2D" w:rsidRPr="00BB2B2D">
        <w:rPr>
          <w:i/>
          <w:sz w:val="26"/>
        </w:rPr>
        <w:t>Id</w:t>
      </w:r>
      <w:r w:rsidR="00BB2B2D">
        <w:rPr>
          <w:sz w:val="26"/>
        </w:rPr>
        <w:t xml:space="preserve">. at 15.  </w:t>
      </w:r>
      <w:r w:rsidR="008B250A">
        <w:rPr>
          <w:sz w:val="26"/>
        </w:rPr>
        <w:t xml:space="preserve">  </w:t>
      </w:r>
    </w:p>
    <w:p w:rsidR="00BB2B2D" w:rsidRDefault="00BB2B2D" w:rsidP="00732CE3">
      <w:pPr>
        <w:spacing w:line="360" w:lineRule="auto"/>
        <w:rPr>
          <w:sz w:val="26"/>
        </w:rPr>
      </w:pPr>
    </w:p>
    <w:p w:rsidR="008156DF" w:rsidRDefault="008B250A" w:rsidP="00732CE3">
      <w:pPr>
        <w:spacing w:line="360" w:lineRule="auto"/>
        <w:rPr>
          <w:sz w:val="26"/>
        </w:rPr>
      </w:pPr>
      <w:r>
        <w:rPr>
          <w:sz w:val="26"/>
        </w:rPr>
        <w:tab/>
      </w:r>
      <w:r>
        <w:rPr>
          <w:sz w:val="26"/>
        </w:rPr>
        <w:tab/>
        <w:t xml:space="preserve">The Settlement is conditioned upon the Commission’s approval, without modification, of all of the Settlement terms.  The Parties state that, if the Commission </w:t>
      </w:r>
      <w:r>
        <w:rPr>
          <w:sz w:val="26"/>
        </w:rPr>
        <w:lastRenderedPageBreak/>
        <w:t>modifies or fails to approve any of the Settlement terms, then either Party may elect to withdraw from the Settlement and proceed to complete the litigation of this proceeding.  Upon Commission approval of the Settlement in a final order not subject to appeal or further challenge, I&amp;E agrees to forbear from further prosecution of any formal complaint relating to PECO’s conduct that is the subject of this Complaint proceeding.</w:t>
      </w:r>
      <w:r w:rsidR="00BB2B2D">
        <w:rPr>
          <w:sz w:val="26"/>
        </w:rPr>
        <w:t xml:space="preserve">  </w:t>
      </w:r>
      <w:r w:rsidR="00BB2B2D" w:rsidRPr="00BB2B2D">
        <w:rPr>
          <w:i/>
          <w:sz w:val="26"/>
        </w:rPr>
        <w:t>Id</w:t>
      </w:r>
      <w:r w:rsidR="00BB2B2D">
        <w:rPr>
          <w:sz w:val="26"/>
        </w:rPr>
        <w:t xml:space="preserve">.  </w:t>
      </w:r>
      <w:r>
        <w:rPr>
          <w:sz w:val="26"/>
        </w:rPr>
        <w:t xml:space="preserve">        </w:t>
      </w:r>
      <w:r w:rsidR="008156DF">
        <w:rPr>
          <w:sz w:val="26"/>
        </w:rPr>
        <w:t xml:space="preserve">       </w:t>
      </w:r>
    </w:p>
    <w:p w:rsidR="00905392" w:rsidRDefault="00905392" w:rsidP="00CD61D4">
      <w:pPr>
        <w:spacing w:line="360" w:lineRule="auto"/>
        <w:jc w:val="center"/>
        <w:rPr>
          <w:b/>
          <w:sz w:val="26"/>
        </w:rPr>
      </w:pPr>
    </w:p>
    <w:p w:rsidR="00CD61D4" w:rsidRPr="00CD61D4" w:rsidRDefault="00CD61D4" w:rsidP="00CD61D4">
      <w:pPr>
        <w:spacing w:line="360" w:lineRule="auto"/>
        <w:jc w:val="center"/>
        <w:rPr>
          <w:b/>
          <w:sz w:val="26"/>
        </w:rPr>
      </w:pPr>
      <w:r>
        <w:rPr>
          <w:b/>
          <w:sz w:val="26"/>
        </w:rPr>
        <w:t>Discussion</w:t>
      </w:r>
    </w:p>
    <w:p w:rsidR="000A30AE" w:rsidRDefault="000A30AE" w:rsidP="00AA6F30">
      <w:pPr>
        <w:spacing w:line="360" w:lineRule="auto"/>
        <w:ind w:firstLine="1440"/>
        <w:rPr>
          <w:sz w:val="26"/>
        </w:rPr>
      </w:pPr>
    </w:p>
    <w:p w:rsidR="00356DD6" w:rsidRDefault="00356DD6" w:rsidP="00356DD6">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determine whether the terms are in the public interest.  </w:t>
      </w:r>
      <w:r w:rsidRPr="00FF22AE">
        <w:rPr>
          <w:i/>
          <w:sz w:val="26"/>
          <w:szCs w:val="26"/>
        </w:rPr>
        <w:t>Pa. PUC v. Philadelphia Gas Works</w:t>
      </w:r>
      <w:r w:rsidRPr="00FF22AE">
        <w:rPr>
          <w:sz w:val="26"/>
          <w:szCs w:val="26"/>
        </w:rPr>
        <w:t>, Docket No. M-00031768 (Order entered January 7, 2004).</w:t>
      </w:r>
    </w:p>
    <w:p w:rsidR="00356DD6" w:rsidRPr="00273A0D" w:rsidRDefault="00356DD6" w:rsidP="00356DD6">
      <w:pPr>
        <w:spacing w:line="360" w:lineRule="auto"/>
        <w:ind w:firstLine="1440"/>
        <w:rPr>
          <w:sz w:val="26"/>
          <w:szCs w:val="26"/>
        </w:rPr>
      </w:pPr>
    </w:p>
    <w:p w:rsidR="00273A0D" w:rsidRPr="006E38D1" w:rsidRDefault="00273A0D" w:rsidP="006E38D1">
      <w:pPr>
        <w:spacing w:line="360" w:lineRule="auto"/>
        <w:ind w:firstLine="1440"/>
        <w:rPr>
          <w:sz w:val="26"/>
          <w:szCs w:val="26"/>
        </w:rPr>
      </w:pPr>
      <w:r w:rsidRPr="006E38D1">
        <w:rPr>
          <w:sz w:val="26"/>
          <w:szCs w:val="26"/>
        </w:rPr>
        <w:t>The Code sets forth the maximum civil penalty amounts that we may levy on public utilities for violations of a Commission O</w:t>
      </w:r>
      <w:r w:rsidR="004219FD">
        <w:rPr>
          <w:sz w:val="26"/>
          <w:szCs w:val="26"/>
        </w:rPr>
        <w:t xml:space="preserve">rder, Regulation, or a statute. </w:t>
      </w:r>
      <w:r w:rsidRPr="006E38D1">
        <w:rPr>
          <w:sz w:val="26"/>
          <w:szCs w:val="26"/>
        </w:rPr>
        <w:t xml:space="preserve"> For cases involving gas pipeline safety violations, $2 million is the maximum civil penalty amount that we are authorized to impose under Section 3301(c) of the Code, 66 Pa. C.S.</w:t>
      </w:r>
      <w:r w:rsidRPr="00273A0D">
        <w:rPr>
          <w:sz w:val="26"/>
          <w:szCs w:val="26"/>
        </w:rPr>
        <w:t xml:space="preserve"> </w:t>
      </w:r>
      <w:r w:rsidRPr="006E38D1">
        <w:rPr>
          <w:sz w:val="26"/>
          <w:szCs w:val="26"/>
        </w:rPr>
        <w:t>§ 3301(c)</w:t>
      </w:r>
      <w:r w:rsidR="00F25CEF">
        <w:rPr>
          <w:sz w:val="26"/>
          <w:szCs w:val="26"/>
        </w:rPr>
        <w:t>, for any related series of violations.</w:t>
      </w:r>
      <w:r>
        <w:rPr>
          <w:rStyle w:val="FootnoteReference"/>
          <w:sz w:val="26"/>
          <w:szCs w:val="26"/>
        </w:rPr>
        <w:footnoteReference w:id="2"/>
      </w:r>
      <w:r w:rsidR="00F25CEF">
        <w:rPr>
          <w:sz w:val="26"/>
          <w:szCs w:val="26"/>
        </w:rPr>
        <w:t xml:space="preserve"> </w:t>
      </w:r>
    </w:p>
    <w:p w:rsidR="00273A0D" w:rsidRPr="00273A0D" w:rsidRDefault="00273A0D" w:rsidP="00356DD6">
      <w:pPr>
        <w:spacing w:line="360" w:lineRule="auto"/>
        <w:ind w:firstLine="1440"/>
        <w:rPr>
          <w:sz w:val="26"/>
          <w:szCs w:val="26"/>
        </w:rPr>
      </w:pPr>
    </w:p>
    <w:p w:rsidR="00356DD6" w:rsidRPr="00770622" w:rsidRDefault="00356DD6" w:rsidP="00356DD6">
      <w:pPr>
        <w:spacing w:line="360" w:lineRule="auto"/>
        <w:ind w:firstLine="1440"/>
        <w:rPr>
          <w:sz w:val="26"/>
          <w:szCs w:val="26"/>
          <w:u w:color="000000"/>
        </w:rPr>
      </w:pPr>
      <w:r>
        <w:rPr>
          <w:sz w:val="26"/>
          <w:szCs w:val="26"/>
        </w:rPr>
        <w:t xml:space="preserve">After a review of the terms of the Settlement, we find that the Settlement is in the public interest.  </w:t>
      </w:r>
      <w:r w:rsidRPr="007147F9">
        <w:rPr>
          <w:sz w:val="26"/>
          <w:szCs w:val="26"/>
        </w:rPr>
        <w:t xml:space="preserve">The Commission has promulgated a Policy Statement at 52 Pa. Code § 69.1201 that sets forth ten factors that we may consider in evaluating whether a </w:t>
      </w:r>
      <w:r w:rsidR="00BC48F5">
        <w:rPr>
          <w:sz w:val="26"/>
          <w:szCs w:val="26"/>
        </w:rPr>
        <w:t>civil penalty</w:t>
      </w:r>
      <w:r w:rsidRPr="007147F9">
        <w:rPr>
          <w:sz w:val="26"/>
          <w:szCs w:val="26"/>
        </w:rPr>
        <w:t xml:space="preserve"> for violating a Commission </w:t>
      </w:r>
      <w:r w:rsidR="00F377BD">
        <w:rPr>
          <w:sz w:val="26"/>
          <w:szCs w:val="26"/>
        </w:rPr>
        <w:t>O</w:t>
      </w:r>
      <w:r w:rsidRPr="007147F9">
        <w:rPr>
          <w:sz w:val="26"/>
          <w:szCs w:val="26"/>
        </w:rPr>
        <w:t xml:space="preserve">rder, </w:t>
      </w:r>
      <w:r w:rsidR="00F377BD">
        <w:rPr>
          <w:sz w:val="26"/>
          <w:szCs w:val="26"/>
        </w:rPr>
        <w:t>R</w:t>
      </w:r>
      <w:r w:rsidRPr="007147F9">
        <w:rPr>
          <w:sz w:val="26"/>
          <w:szCs w:val="26"/>
        </w:rPr>
        <w:t>egulation</w:t>
      </w:r>
      <w:r w:rsidR="00F377BD">
        <w:rPr>
          <w:sz w:val="26"/>
          <w:szCs w:val="26"/>
        </w:rPr>
        <w:t>,</w:t>
      </w:r>
      <w:r w:rsidRPr="007147F9">
        <w:rPr>
          <w:sz w:val="26"/>
          <w:szCs w:val="26"/>
        </w:rPr>
        <w:t xml:space="preserve"> or </w:t>
      </w:r>
      <w:r w:rsidR="00F377BD">
        <w:rPr>
          <w:sz w:val="26"/>
          <w:szCs w:val="26"/>
        </w:rPr>
        <w:t>a statute</w:t>
      </w:r>
      <w:r w:rsidRPr="007147F9">
        <w:rPr>
          <w:sz w:val="26"/>
          <w:szCs w:val="26"/>
        </w:rPr>
        <w:t xml:space="preserve"> is appropriate, as well as if a proposed settlement for a violation is reasonable and approval of the settlement agreement is in the public interest.  The Policy Statement </w:t>
      </w:r>
      <w:r>
        <w:rPr>
          <w:sz w:val="26"/>
          <w:szCs w:val="26"/>
        </w:rPr>
        <w:t>sets forth the guidelines we use when determining whether, and to what extent, a civil penalty is warranted.  In this case, application of these guidelines supports approval of the Settlement as filed.</w:t>
      </w:r>
    </w:p>
    <w:p w:rsidR="00356DD6" w:rsidRDefault="00356DD6" w:rsidP="00356DD6">
      <w:pPr>
        <w:spacing w:line="360" w:lineRule="auto"/>
        <w:ind w:firstLine="1440"/>
        <w:rPr>
          <w:sz w:val="26"/>
          <w:szCs w:val="26"/>
          <w:u w:color="000000"/>
        </w:rPr>
      </w:pPr>
    </w:p>
    <w:p w:rsidR="001A1D90" w:rsidRDefault="00356DD6" w:rsidP="001A1D90">
      <w:pPr>
        <w:pStyle w:val="ListParagraph"/>
        <w:spacing w:line="360" w:lineRule="auto"/>
        <w:ind w:left="0" w:firstLine="1440"/>
        <w:contextualSpacing/>
        <w:rPr>
          <w:sz w:val="26"/>
          <w:szCs w:val="26"/>
        </w:rPr>
      </w:pPr>
      <w:r>
        <w:rPr>
          <w:color w:val="000000"/>
          <w:sz w:val="26"/>
          <w:szCs w:val="26"/>
          <w:u w:color="000000"/>
        </w:rPr>
        <w:t xml:space="preserve">The first factor we may consider </w:t>
      </w:r>
      <w:r w:rsidRPr="000A6E54">
        <w:rPr>
          <w:color w:val="000000"/>
          <w:sz w:val="26"/>
          <w:szCs w:val="26"/>
          <w:u w:color="000000"/>
        </w:rPr>
        <w:t xml:space="preserve">is </w:t>
      </w:r>
      <w:r w:rsidRPr="000A6E54">
        <w:rPr>
          <w:sz w:val="26"/>
          <w:szCs w:val="26"/>
        </w:rPr>
        <w:t xml:space="preserve">whether the conduct at issue is of a serious nature. </w:t>
      </w:r>
      <w:r w:rsidR="00D879C3">
        <w:rPr>
          <w:sz w:val="26"/>
          <w:szCs w:val="26"/>
        </w:rPr>
        <w:t xml:space="preserve"> </w:t>
      </w:r>
      <w:r w:rsidRPr="000A6E54">
        <w:rPr>
          <w:sz w:val="26"/>
          <w:szCs w:val="26"/>
        </w:rPr>
        <w:t>52 Pa. Code § 69.1201(c)(1).  “When conduct of a serious nature is involved, such as willful fraud or misrepresentation, the conduct may warrant a higher penalty.</w:t>
      </w:r>
      <w:r w:rsidR="00F35B47">
        <w:rPr>
          <w:sz w:val="26"/>
          <w:szCs w:val="26"/>
        </w:rPr>
        <w:t xml:space="preserve"> </w:t>
      </w:r>
      <w:r w:rsidRPr="000A6E54">
        <w:rPr>
          <w:sz w:val="26"/>
          <w:szCs w:val="26"/>
        </w:rPr>
        <w:t xml:space="preserve"> When the conduct is less egregious, such as administrative filing or technical errors, it may warrant a lower penalty.”  </w:t>
      </w:r>
      <w:r w:rsidRPr="000A6E54">
        <w:rPr>
          <w:i/>
          <w:sz w:val="26"/>
          <w:szCs w:val="26"/>
        </w:rPr>
        <w:t>Id</w:t>
      </w:r>
      <w:r w:rsidRPr="000A6E54">
        <w:rPr>
          <w:sz w:val="26"/>
          <w:szCs w:val="26"/>
        </w:rPr>
        <w:t>.</w:t>
      </w:r>
      <w:r w:rsidR="00F34FBA">
        <w:rPr>
          <w:sz w:val="26"/>
          <w:szCs w:val="26"/>
        </w:rPr>
        <w:t xml:space="preserve">  </w:t>
      </w:r>
      <w:r w:rsidR="0037640A">
        <w:rPr>
          <w:sz w:val="26"/>
          <w:szCs w:val="26"/>
        </w:rPr>
        <w:t>In this case,</w:t>
      </w:r>
      <w:r w:rsidR="00F34FBA">
        <w:rPr>
          <w:sz w:val="26"/>
          <w:szCs w:val="26"/>
        </w:rPr>
        <w:t xml:space="preserve"> we find that </w:t>
      </w:r>
      <w:r w:rsidR="0037640A">
        <w:rPr>
          <w:sz w:val="26"/>
          <w:szCs w:val="26"/>
        </w:rPr>
        <w:t xml:space="preserve">PECO’s actions </w:t>
      </w:r>
      <w:r w:rsidR="00496A4F">
        <w:rPr>
          <w:sz w:val="26"/>
          <w:szCs w:val="26"/>
        </w:rPr>
        <w:t xml:space="preserve">constitute </w:t>
      </w:r>
      <w:r w:rsidR="00F34FBA">
        <w:rPr>
          <w:sz w:val="26"/>
          <w:szCs w:val="26"/>
        </w:rPr>
        <w:t>conduct</w:t>
      </w:r>
      <w:r w:rsidR="00496A4F">
        <w:rPr>
          <w:sz w:val="26"/>
          <w:szCs w:val="26"/>
        </w:rPr>
        <w:t xml:space="preserve"> of a serious nature.  </w:t>
      </w:r>
      <w:r w:rsidR="0099774D">
        <w:rPr>
          <w:sz w:val="26"/>
          <w:szCs w:val="26"/>
        </w:rPr>
        <w:t xml:space="preserve">I&amp;E </w:t>
      </w:r>
      <w:r w:rsidR="0037640A">
        <w:rPr>
          <w:sz w:val="26"/>
          <w:szCs w:val="26"/>
        </w:rPr>
        <w:t xml:space="preserve">alleged various violations of the Code of Federal Regulations and the Commission’s Regulations due to PECO’s failure to identify that the service at Penrose Lane was connected to the low pressure distribution system PECO would be uprating.  </w:t>
      </w:r>
      <w:r w:rsidR="00B26D5E">
        <w:rPr>
          <w:sz w:val="26"/>
          <w:szCs w:val="26"/>
        </w:rPr>
        <w:t>When PECO uprated the pressure on the pipeline at 25 psi, this caused an over</w:t>
      </w:r>
      <w:r w:rsidR="00157EA0">
        <w:rPr>
          <w:sz w:val="26"/>
          <w:szCs w:val="26"/>
        </w:rPr>
        <w:t>-</w:t>
      </w:r>
      <w:r w:rsidR="00B26D5E">
        <w:rPr>
          <w:sz w:val="26"/>
          <w:szCs w:val="26"/>
        </w:rPr>
        <w:t xml:space="preserve">pressurization </w:t>
      </w:r>
      <w:r w:rsidR="00157EA0">
        <w:rPr>
          <w:sz w:val="26"/>
          <w:szCs w:val="26"/>
        </w:rPr>
        <w:t>which</w:t>
      </w:r>
      <w:r w:rsidR="00B26D5E">
        <w:rPr>
          <w:sz w:val="26"/>
          <w:szCs w:val="26"/>
        </w:rPr>
        <w:t xml:space="preserve"> led to the Penrose Lane service line failure and the</w:t>
      </w:r>
      <w:r w:rsidR="00157EA0">
        <w:rPr>
          <w:sz w:val="26"/>
          <w:szCs w:val="26"/>
        </w:rPr>
        <w:t xml:space="preserve"> </w:t>
      </w:r>
      <w:r w:rsidR="00B26D5E">
        <w:rPr>
          <w:sz w:val="26"/>
          <w:szCs w:val="26"/>
        </w:rPr>
        <w:t xml:space="preserve">house explosion.  </w:t>
      </w:r>
      <w:r w:rsidR="00B26D5E" w:rsidRPr="00AB3DEE">
        <w:rPr>
          <w:i/>
          <w:sz w:val="26"/>
          <w:szCs w:val="26"/>
        </w:rPr>
        <w:t>Id</w:t>
      </w:r>
      <w:r w:rsidR="00B26D5E">
        <w:rPr>
          <w:sz w:val="26"/>
          <w:szCs w:val="26"/>
        </w:rPr>
        <w:t xml:space="preserve">. at 6.  </w:t>
      </w:r>
      <w:r w:rsidR="0037640A">
        <w:rPr>
          <w:sz w:val="26"/>
          <w:szCs w:val="26"/>
        </w:rPr>
        <w:t xml:space="preserve">Because this conduct </w:t>
      </w:r>
      <w:r w:rsidR="00B26D5E">
        <w:rPr>
          <w:sz w:val="26"/>
          <w:szCs w:val="26"/>
        </w:rPr>
        <w:t xml:space="preserve">placed the public safety at risk, we find that a higher civil penalty is warranted here.   </w:t>
      </w:r>
      <w:r w:rsidR="0037640A">
        <w:rPr>
          <w:sz w:val="26"/>
          <w:szCs w:val="26"/>
        </w:rPr>
        <w:t xml:space="preserve"> </w:t>
      </w:r>
    </w:p>
    <w:p w:rsidR="00356DD6" w:rsidRPr="000A6E54" w:rsidRDefault="00432186" w:rsidP="001A1D90">
      <w:pPr>
        <w:spacing w:line="360" w:lineRule="auto"/>
        <w:ind w:firstLine="1440"/>
        <w:rPr>
          <w:sz w:val="26"/>
          <w:szCs w:val="26"/>
        </w:rPr>
      </w:pPr>
      <w:r>
        <w:rPr>
          <w:sz w:val="26"/>
          <w:szCs w:val="26"/>
        </w:rPr>
        <w:t xml:space="preserve"> </w:t>
      </w:r>
    </w:p>
    <w:p w:rsidR="00356DD6" w:rsidRPr="00FF22AE" w:rsidRDefault="00356DD6" w:rsidP="00356DD6">
      <w:pPr>
        <w:suppressAutoHyphens/>
        <w:spacing w:line="360" w:lineRule="auto"/>
        <w:ind w:firstLine="1440"/>
        <w:rPr>
          <w:sz w:val="26"/>
          <w:szCs w:val="26"/>
        </w:rPr>
      </w:pPr>
      <w:r w:rsidRPr="00FF22AE">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FF22AE">
        <w:rPr>
          <w:i/>
          <w:sz w:val="26"/>
          <w:szCs w:val="26"/>
        </w:rPr>
        <w:t>Id.</w:t>
      </w:r>
      <w:r w:rsidRPr="00FF22AE">
        <w:rPr>
          <w:sz w:val="26"/>
          <w:szCs w:val="26"/>
        </w:rPr>
        <w:t xml:space="preserve"> </w:t>
      </w:r>
      <w:r>
        <w:rPr>
          <w:sz w:val="26"/>
          <w:szCs w:val="26"/>
        </w:rPr>
        <w:t xml:space="preserve"> </w:t>
      </w:r>
      <w:r w:rsidR="0054353C">
        <w:rPr>
          <w:sz w:val="26"/>
          <w:szCs w:val="26"/>
        </w:rPr>
        <w:t xml:space="preserve">In this case, </w:t>
      </w:r>
      <w:r w:rsidR="00B26D5E">
        <w:rPr>
          <w:sz w:val="26"/>
          <w:szCs w:val="26"/>
        </w:rPr>
        <w:t xml:space="preserve">consequences of a serious nature were involved.  PECO’s actions resulted in a gas explosion that </w:t>
      </w:r>
      <w:r w:rsidR="00B26D5E">
        <w:rPr>
          <w:sz w:val="26"/>
          <w:szCs w:val="26"/>
        </w:rPr>
        <w:lastRenderedPageBreak/>
        <w:t xml:space="preserve">completely destroyed a single family home.  </w:t>
      </w:r>
      <w:r w:rsidR="003869D5">
        <w:rPr>
          <w:sz w:val="26"/>
          <w:szCs w:val="26"/>
        </w:rPr>
        <w:t xml:space="preserve">We acknowledge, as the Parties point out, that there are some mitigating factors in this case, including that there were no </w:t>
      </w:r>
      <w:r w:rsidR="00B26D5E">
        <w:rPr>
          <w:sz w:val="26"/>
          <w:szCs w:val="26"/>
        </w:rPr>
        <w:t>reported injuries or fatalities to the residents of the home or to PECO personnel</w:t>
      </w:r>
      <w:r w:rsidR="00E81674">
        <w:rPr>
          <w:sz w:val="26"/>
          <w:szCs w:val="26"/>
        </w:rPr>
        <w:t xml:space="preserve"> and that PECO was able to immediately shut off the flow of gas and the electricity before emergency first responders arrived.</w:t>
      </w:r>
      <w:r w:rsidR="00B26D5E">
        <w:rPr>
          <w:sz w:val="26"/>
          <w:szCs w:val="26"/>
        </w:rPr>
        <w:t xml:space="preserve"> </w:t>
      </w:r>
      <w:r w:rsidR="00E1615D">
        <w:rPr>
          <w:sz w:val="26"/>
          <w:szCs w:val="26"/>
        </w:rPr>
        <w:t xml:space="preserve"> I&amp;E Statement in Support at </w:t>
      </w:r>
      <w:r w:rsidR="00E81674">
        <w:rPr>
          <w:sz w:val="26"/>
          <w:szCs w:val="26"/>
        </w:rPr>
        <w:t>8</w:t>
      </w:r>
      <w:r w:rsidR="00E1615D">
        <w:rPr>
          <w:sz w:val="26"/>
          <w:szCs w:val="26"/>
        </w:rPr>
        <w:t xml:space="preserve">; </w:t>
      </w:r>
      <w:r w:rsidR="00E81674">
        <w:rPr>
          <w:sz w:val="26"/>
          <w:szCs w:val="26"/>
        </w:rPr>
        <w:t>PECO</w:t>
      </w:r>
      <w:r w:rsidR="00E1615D">
        <w:rPr>
          <w:sz w:val="26"/>
          <w:szCs w:val="26"/>
        </w:rPr>
        <w:t xml:space="preserve"> Statement in Support at </w:t>
      </w:r>
      <w:r w:rsidR="00E81674">
        <w:rPr>
          <w:sz w:val="26"/>
          <w:szCs w:val="26"/>
        </w:rPr>
        <w:t>7</w:t>
      </w:r>
      <w:r w:rsidR="00E1615D">
        <w:rPr>
          <w:sz w:val="26"/>
          <w:szCs w:val="26"/>
        </w:rPr>
        <w:t>.</w:t>
      </w:r>
      <w:r>
        <w:rPr>
          <w:sz w:val="26"/>
          <w:szCs w:val="26"/>
        </w:rPr>
        <w:t xml:space="preserve"> </w:t>
      </w:r>
    </w:p>
    <w:p w:rsidR="00356DD6" w:rsidRPr="00FF22AE" w:rsidRDefault="00356DD6" w:rsidP="00356DD6">
      <w:pPr>
        <w:suppressAutoHyphens/>
        <w:spacing w:line="360" w:lineRule="auto"/>
        <w:ind w:firstLine="1440"/>
        <w:rPr>
          <w:sz w:val="26"/>
          <w:szCs w:val="26"/>
        </w:rPr>
      </w:pPr>
    </w:p>
    <w:p w:rsidR="00356DD6" w:rsidRPr="00FF22AE" w:rsidRDefault="00356DD6" w:rsidP="00356DD6">
      <w:pPr>
        <w:suppressAutoHyphens/>
        <w:spacing w:line="360" w:lineRule="auto"/>
        <w:ind w:firstLine="1440"/>
        <w:rPr>
          <w:sz w:val="26"/>
          <w:szCs w:val="26"/>
        </w:rPr>
      </w:pPr>
      <w:r w:rsidRPr="00FF22AE">
        <w:rPr>
          <w:sz w:val="26"/>
          <w:szCs w:val="26"/>
        </w:rPr>
        <w:t>The third factor pertains to litigated cases only.  5</w:t>
      </w:r>
      <w:r>
        <w:rPr>
          <w:sz w:val="26"/>
          <w:szCs w:val="26"/>
        </w:rPr>
        <w:t xml:space="preserve">2 Pa. Code </w:t>
      </w:r>
      <w:r>
        <w:rPr>
          <w:sz w:val="26"/>
          <w:szCs w:val="26"/>
        </w:rPr>
        <w:br/>
        <w:t xml:space="preserve">§ 69.1201(c)(3). </w:t>
      </w:r>
      <w:r w:rsidR="00F864E0">
        <w:rPr>
          <w:sz w:val="26"/>
          <w:szCs w:val="26"/>
        </w:rPr>
        <w:t xml:space="preserve"> Because this proceeding was settled prior to an evidentiary hearing, this factor is not a</w:t>
      </w:r>
      <w:r w:rsidR="0024751C">
        <w:rPr>
          <w:sz w:val="26"/>
          <w:szCs w:val="26"/>
        </w:rPr>
        <w:t xml:space="preserve">pplicable to this Settlement.  </w:t>
      </w:r>
    </w:p>
    <w:p w:rsidR="00356DD6" w:rsidRPr="00FF22AE" w:rsidRDefault="00356DD6" w:rsidP="00356DD6">
      <w:pPr>
        <w:suppressAutoHyphens/>
        <w:spacing w:line="360" w:lineRule="auto"/>
        <w:ind w:firstLine="1440"/>
        <w:rPr>
          <w:sz w:val="26"/>
          <w:szCs w:val="26"/>
        </w:rPr>
      </w:pPr>
    </w:p>
    <w:p w:rsidR="00982671" w:rsidRDefault="00356DD6" w:rsidP="00982671">
      <w:pPr>
        <w:spacing w:line="360" w:lineRule="auto"/>
        <w:ind w:firstLine="1440"/>
        <w:rPr>
          <w:sz w:val="26"/>
          <w:szCs w:val="26"/>
        </w:rPr>
      </w:pPr>
      <w:r w:rsidRPr="00FF22AE">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Pr>
          <w:sz w:val="26"/>
          <w:szCs w:val="26"/>
        </w:rPr>
        <w:t xml:space="preserve"> </w:t>
      </w:r>
      <w:r w:rsidR="00E81674">
        <w:rPr>
          <w:sz w:val="26"/>
          <w:szCs w:val="26"/>
        </w:rPr>
        <w:t xml:space="preserve">PECO </w:t>
      </w:r>
      <w:r w:rsidR="00097FA0">
        <w:rPr>
          <w:sz w:val="26"/>
          <w:szCs w:val="26"/>
        </w:rPr>
        <w:t>engaged in appropriate measures to correct the conduct at issue and to prevent similar future conduct</w:t>
      </w:r>
      <w:r>
        <w:rPr>
          <w:sz w:val="26"/>
          <w:szCs w:val="26"/>
        </w:rPr>
        <w:t>.</w:t>
      </w:r>
      <w:r w:rsidR="00097FA0">
        <w:rPr>
          <w:sz w:val="26"/>
          <w:szCs w:val="26"/>
        </w:rPr>
        <w:t xml:space="preserve"> </w:t>
      </w:r>
      <w:r w:rsidR="00D4229A">
        <w:rPr>
          <w:sz w:val="26"/>
          <w:szCs w:val="26"/>
        </w:rPr>
        <w:t xml:space="preserve"> As described in </w:t>
      </w:r>
      <w:r w:rsidR="00E81674">
        <w:rPr>
          <w:sz w:val="26"/>
          <w:szCs w:val="26"/>
        </w:rPr>
        <w:t xml:space="preserve">detail in </w:t>
      </w:r>
      <w:r w:rsidR="00D4229A">
        <w:rPr>
          <w:sz w:val="26"/>
          <w:szCs w:val="26"/>
        </w:rPr>
        <w:t xml:space="preserve">the Settlement, </w:t>
      </w:r>
      <w:r w:rsidR="00E81674">
        <w:rPr>
          <w:sz w:val="26"/>
          <w:szCs w:val="26"/>
        </w:rPr>
        <w:t>PECO</w:t>
      </w:r>
      <w:r w:rsidR="00D4229A">
        <w:rPr>
          <w:sz w:val="26"/>
          <w:szCs w:val="26"/>
        </w:rPr>
        <w:t xml:space="preserve"> has taken or will take corrective action that will safeguard against a similar incident occurring in the future. </w:t>
      </w:r>
      <w:r w:rsidR="00385E27">
        <w:rPr>
          <w:sz w:val="26"/>
          <w:szCs w:val="26"/>
        </w:rPr>
        <w:t xml:space="preserve"> </w:t>
      </w:r>
    </w:p>
    <w:p w:rsidR="00982671" w:rsidRDefault="00982671" w:rsidP="00982671">
      <w:pPr>
        <w:spacing w:line="360" w:lineRule="auto"/>
        <w:ind w:firstLine="1440"/>
        <w:rPr>
          <w:sz w:val="26"/>
          <w:szCs w:val="26"/>
        </w:rPr>
      </w:pPr>
    </w:p>
    <w:p w:rsidR="00982671" w:rsidRDefault="00572C72" w:rsidP="00982671">
      <w:pPr>
        <w:spacing w:line="360" w:lineRule="auto"/>
        <w:ind w:firstLine="1440"/>
        <w:rPr>
          <w:sz w:val="26"/>
        </w:rPr>
      </w:pPr>
      <w:r>
        <w:rPr>
          <w:sz w:val="26"/>
          <w:szCs w:val="26"/>
        </w:rPr>
        <w:t>After the July 17, 2014 event, PECO immediately suspended every scheduled uprating/conversion project pending the results of an internal Root Cause Investigation initiated on July 24, 2014.  As a result of the Root Cause Investigation, PECO is no longer</w:t>
      </w:r>
      <w:r w:rsidR="00FB24F6">
        <w:rPr>
          <w:sz w:val="26"/>
        </w:rPr>
        <w:t xml:space="preserve"> </w:t>
      </w:r>
      <w:r>
        <w:rPr>
          <w:sz w:val="26"/>
        </w:rPr>
        <w:t xml:space="preserve">performing low pressure to elevated pressure upratings but, instead, uses an air pressure test to convert low pressure systems to medium pressure systems.  The Company also now verifies the number of services by using a camera that is inserted into the main and all attached services.  Settlement at 9.  PECO has also developed a process for identifying unknown services before </w:t>
      </w:r>
      <w:r w:rsidR="009162EF">
        <w:rPr>
          <w:sz w:val="26"/>
        </w:rPr>
        <w:t xml:space="preserve">a </w:t>
      </w:r>
      <w:r>
        <w:rPr>
          <w:sz w:val="26"/>
        </w:rPr>
        <w:t xml:space="preserve">pressure conversion; revised its </w:t>
      </w:r>
      <w:r w:rsidR="009162EF">
        <w:rPr>
          <w:sz w:val="26"/>
        </w:rPr>
        <w:t xml:space="preserve">training manual for pressure conversions to reflect procedural requirements, roles, and </w:t>
      </w:r>
      <w:r w:rsidR="009162EF">
        <w:rPr>
          <w:sz w:val="26"/>
        </w:rPr>
        <w:lastRenderedPageBreak/>
        <w:t>responsibilities, and an approval process; trained personnel who have a role in developing field procedures on the revised training manual; amended Standard G-5005 to clearly indicate when non-standard services</w:t>
      </w:r>
      <w:r w:rsidR="00D024BD">
        <w:rPr>
          <w:rStyle w:val="FootnoteReference"/>
          <w:sz w:val="26"/>
        </w:rPr>
        <w:footnoteReference w:id="3"/>
      </w:r>
      <w:r w:rsidR="009162EF">
        <w:rPr>
          <w:sz w:val="26"/>
        </w:rPr>
        <w:t xml:space="preserve"> must be added to the Quad Map; and revised Procedures GO-PE-301-001 (related to Gas Facilities Records)</w:t>
      </w:r>
      <w:r w:rsidR="00D024BD">
        <w:rPr>
          <w:sz w:val="26"/>
        </w:rPr>
        <w:t xml:space="preserve"> to define a non-standard service and show when it must be added to the Quad Map.</w:t>
      </w:r>
      <w:r w:rsidR="009162EF">
        <w:rPr>
          <w:sz w:val="26"/>
        </w:rPr>
        <w:t xml:space="preserve">  </w:t>
      </w:r>
      <w:r w:rsidR="00D024BD">
        <w:rPr>
          <w:sz w:val="26"/>
        </w:rPr>
        <w:t>PECO estimates that it has spent approximately $300,000 to implement these corrective actions, that it expects to spend up to $500,000 annually by using cameras to confirm the location of mains and service lines during pre</w:t>
      </w:r>
      <w:r w:rsidR="00566B47">
        <w:rPr>
          <w:sz w:val="26"/>
        </w:rPr>
        <w:t xml:space="preserve">ssure conversions, and that it will spend an additional $1.5 million annually as a result of performing air pressure tests instead of upratings.  </w:t>
      </w:r>
      <w:r w:rsidR="00566B47" w:rsidRPr="00566B47">
        <w:rPr>
          <w:i/>
          <w:sz w:val="26"/>
        </w:rPr>
        <w:t>Id</w:t>
      </w:r>
      <w:r w:rsidR="00566B47">
        <w:rPr>
          <w:sz w:val="26"/>
        </w:rPr>
        <w:t xml:space="preserve">. at 10.  </w:t>
      </w:r>
      <w:r w:rsidR="00982671">
        <w:rPr>
          <w:sz w:val="26"/>
        </w:rPr>
        <w:t xml:space="preserve">Additionally, as set forth in Paragraph No. 22 of the Settlement and described in detail above, PECO has agreed to develop a gas mapping plan that will allow the Company to map and locate its facilities with sub-foot accuracy, which it estimates will cost $3 million to develop and implement.  </w:t>
      </w:r>
      <w:r w:rsidR="00982671" w:rsidRPr="00982671">
        <w:rPr>
          <w:i/>
          <w:sz w:val="26"/>
        </w:rPr>
        <w:t>Id</w:t>
      </w:r>
      <w:r w:rsidR="00982671">
        <w:rPr>
          <w:sz w:val="26"/>
        </w:rPr>
        <w:t xml:space="preserve">. at 12.  As a whole, we find that these actions support a lower civil penalty.  </w:t>
      </w:r>
    </w:p>
    <w:p w:rsidR="00D4229A" w:rsidRDefault="0024751C" w:rsidP="00D4229A">
      <w:pPr>
        <w:spacing w:line="360" w:lineRule="auto"/>
        <w:ind w:firstLine="1440"/>
        <w:rPr>
          <w:sz w:val="26"/>
        </w:rPr>
      </w:pPr>
      <w:r>
        <w:rPr>
          <w:sz w:val="26"/>
        </w:rPr>
        <w:t xml:space="preserve"> </w:t>
      </w:r>
      <w:r w:rsidR="00385E27">
        <w:rPr>
          <w:sz w:val="26"/>
        </w:rPr>
        <w:t xml:space="preserve"> </w:t>
      </w:r>
    </w:p>
    <w:p w:rsidR="00356DD6" w:rsidRPr="00FF22AE" w:rsidRDefault="00D4229A" w:rsidP="00982671">
      <w:pPr>
        <w:suppressAutoHyphens/>
        <w:spacing w:line="360" w:lineRule="auto"/>
        <w:ind w:hanging="720"/>
        <w:rPr>
          <w:sz w:val="26"/>
          <w:szCs w:val="26"/>
        </w:rPr>
      </w:pPr>
      <w:r>
        <w:rPr>
          <w:sz w:val="26"/>
          <w:szCs w:val="26"/>
        </w:rPr>
        <w:t xml:space="preserve"> </w:t>
      </w:r>
      <w:r w:rsidR="00982671">
        <w:rPr>
          <w:sz w:val="26"/>
          <w:szCs w:val="26"/>
        </w:rPr>
        <w:tab/>
      </w:r>
      <w:r w:rsidR="00982671">
        <w:rPr>
          <w:sz w:val="26"/>
          <w:szCs w:val="26"/>
        </w:rPr>
        <w:tab/>
      </w:r>
      <w:r w:rsidR="00982671">
        <w:rPr>
          <w:sz w:val="26"/>
          <w:szCs w:val="26"/>
        </w:rPr>
        <w:tab/>
      </w:r>
      <w:r w:rsidR="00356DD6" w:rsidRPr="00FF22AE">
        <w:rPr>
          <w:color w:val="000000"/>
          <w:sz w:val="26"/>
          <w:szCs w:val="26"/>
          <w:u w:color="000000"/>
        </w:rPr>
        <w:t xml:space="preserve">The fifth factor we may consider is the number of customers affected and the duration of the violation.  </w:t>
      </w:r>
      <w:r w:rsidR="00356DD6" w:rsidRPr="00FF22AE">
        <w:rPr>
          <w:sz w:val="26"/>
          <w:szCs w:val="26"/>
        </w:rPr>
        <w:t xml:space="preserve">52 Pa. Code § 69.1201(c)(5).  </w:t>
      </w:r>
      <w:r w:rsidR="003C018D">
        <w:rPr>
          <w:sz w:val="26"/>
          <w:szCs w:val="26"/>
        </w:rPr>
        <w:t>In addition to the residence that was destroyed a</w:t>
      </w:r>
      <w:r w:rsidR="00982671">
        <w:rPr>
          <w:sz w:val="26"/>
          <w:szCs w:val="26"/>
        </w:rPr>
        <w:t>s a result of</w:t>
      </w:r>
      <w:r w:rsidR="004B7FDB">
        <w:rPr>
          <w:sz w:val="26"/>
          <w:szCs w:val="26"/>
        </w:rPr>
        <w:t xml:space="preserve"> this incident, </w:t>
      </w:r>
      <w:r w:rsidR="00982671">
        <w:rPr>
          <w:sz w:val="26"/>
          <w:szCs w:val="26"/>
        </w:rPr>
        <w:t>gas service to six customers, including Penrose Lane, was affected</w:t>
      </w:r>
      <w:r w:rsidR="004B7FDB">
        <w:rPr>
          <w:sz w:val="26"/>
          <w:szCs w:val="26"/>
        </w:rPr>
        <w:t>.</w:t>
      </w:r>
      <w:r w:rsidR="00982671">
        <w:rPr>
          <w:sz w:val="26"/>
          <w:szCs w:val="26"/>
        </w:rPr>
        <w:t xml:space="preserve">  PECO restored service to all customers, except Penrose Lane, on the evening of the incident.</w:t>
      </w:r>
      <w:r w:rsidR="004B7FDB">
        <w:rPr>
          <w:sz w:val="26"/>
          <w:szCs w:val="26"/>
        </w:rPr>
        <w:t xml:space="preserve">  </w:t>
      </w:r>
      <w:r w:rsidR="0028479A">
        <w:rPr>
          <w:sz w:val="26"/>
          <w:szCs w:val="26"/>
        </w:rPr>
        <w:t xml:space="preserve">I&amp;E Statement in Support at 9-10; PECO Statement in Support at 10.  </w:t>
      </w:r>
      <w:r w:rsidR="003C018D">
        <w:rPr>
          <w:sz w:val="26"/>
          <w:szCs w:val="26"/>
        </w:rPr>
        <w:t>T</w:t>
      </w:r>
      <w:r w:rsidR="004B7FDB">
        <w:rPr>
          <w:sz w:val="26"/>
          <w:szCs w:val="26"/>
        </w:rPr>
        <w:t xml:space="preserve">his factor </w:t>
      </w:r>
      <w:r w:rsidR="003C018D">
        <w:rPr>
          <w:sz w:val="26"/>
          <w:szCs w:val="26"/>
        </w:rPr>
        <w:t xml:space="preserve">does not weigh in favor of a higher or </w:t>
      </w:r>
      <w:r w:rsidR="0024751C">
        <w:rPr>
          <w:sz w:val="26"/>
          <w:szCs w:val="26"/>
        </w:rPr>
        <w:t xml:space="preserve">lower civil penalty.  </w:t>
      </w:r>
    </w:p>
    <w:p w:rsidR="00356DD6" w:rsidRPr="00FF22AE" w:rsidRDefault="00356DD6" w:rsidP="00356DD6">
      <w:pPr>
        <w:suppressAutoHyphens/>
        <w:spacing w:line="360" w:lineRule="auto"/>
        <w:ind w:firstLine="1440"/>
        <w:rPr>
          <w:sz w:val="26"/>
          <w:szCs w:val="26"/>
        </w:rPr>
      </w:pPr>
    </w:p>
    <w:p w:rsidR="000976E2" w:rsidRDefault="000976E2" w:rsidP="000976E2">
      <w:pPr>
        <w:spacing w:line="360" w:lineRule="auto"/>
        <w:rPr>
          <w:sz w:val="26"/>
        </w:rPr>
      </w:pPr>
      <w:r>
        <w:rPr>
          <w:sz w:val="26"/>
          <w:szCs w:val="26"/>
        </w:rPr>
        <w:tab/>
      </w:r>
      <w:r>
        <w:rPr>
          <w:sz w:val="26"/>
          <w:szCs w:val="26"/>
        </w:rPr>
        <w:tab/>
      </w:r>
      <w:r w:rsidR="00356DD6" w:rsidRPr="00FF22AE">
        <w:rPr>
          <w:sz w:val="26"/>
          <w:szCs w:val="26"/>
        </w:rPr>
        <w:t xml:space="preserve">We may also consider the compliance history of the regulated entity which committed the violation.  52 Pa. Code § 69.1201(c)(6).  </w:t>
      </w:r>
      <w:r w:rsidR="00F545C1">
        <w:rPr>
          <w:sz w:val="26"/>
          <w:szCs w:val="26"/>
        </w:rPr>
        <w:t xml:space="preserve">Based on our research and the Parties’ Statements in Support, this incident is the second reportable gas safety incident </w:t>
      </w:r>
      <w:r w:rsidR="00F545C1">
        <w:rPr>
          <w:sz w:val="26"/>
          <w:szCs w:val="26"/>
        </w:rPr>
        <w:lastRenderedPageBreak/>
        <w:t xml:space="preserve">PECO has had within </w:t>
      </w:r>
      <w:r>
        <w:rPr>
          <w:sz w:val="26"/>
          <w:szCs w:val="26"/>
        </w:rPr>
        <w:t>recent</w:t>
      </w:r>
      <w:r w:rsidR="00F545C1">
        <w:rPr>
          <w:sz w:val="26"/>
          <w:szCs w:val="26"/>
        </w:rPr>
        <w:t xml:space="preserve"> years.  </w:t>
      </w:r>
      <w:r w:rsidR="0028479A">
        <w:rPr>
          <w:sz w:val="26"/>
          <w:szCs w:val="26"/>
        </w:rPr>
        <w:t>I&amp;E Statement in Support at 10; PECO Statement in Support at 11.</w:t>
      </w:r>
      <w:r>
        <w:rPr>
          <w:sz w:val="26"/>
          <w:szCs w:val="26"/>
        </w:rPr>
        <w:t xml:space="preserve">  In </w:t>
      </w:r>
      <w:r w:rsidRPr="000976E2">
        <w:rPr>
          <w:i/>
          <w:sz w:val="26"/>
          <w:szCs w:val="26"/>
        </w:rPr>
        <w:t>Pa. PUC v. PECO Energy Company</w:t>
      </w:r>
      <w:r>
        <w:rPr>
          <w:sz w:val="26"/>
          <w:szCs w:val="26"/>
        </w:rPr>
        <w:t xml:space="preserve">, Docket No. M-2012-2205782 (Order entered June 12, 2012), the Commission approved a settlement between I&amp;E and PECO with one modification; an increase in the civil penalty from $35,000 to $75,000.  </w:t>
      </w:r>
      <w:r>
        <w:rPr>
          <w:sz w:val="26"/>
        </w:rPr>
        <w:t xml:space="preserve">This case involved an explosion at a residence in Montgomery County, caused by a complete circumferential crack of a four-inch cast iron main.  There were no injuries, but property damage resulted in excess of $150,000.  The alleged violations included PECO’s failure to prepare and follow written procedures for responding to an incident and procedures for identifying and classifying leak migration, to monitor external corrosion, and to document actions taken during the incident.  Given the relative size of the Company, we find that its compliance history does not pose a barrier to approval of the instant Settlement.         </w:t>
      </w:r>
    </w:p>
    <w:p w:rsidR="00356DD6" w:rsidRDefault="000976E2" w:rsidP="000976E2">
      <w:pPr>
        <w:spacing w:line="360" w:lineRule="auto"/>
        <w:ind w:firstLine="1440"/>
        <w:rPr>
          <w:sz w:val="26"/>
          <w:szCs w:val="26"/>
        </w:rPr>
      </w:pPr>
      <w:r>
        <w:rPr>
          <w:sz w:val="26"/>
          <w:szCs w:val="26"/>
        </w:rPr>
        <w:t xml:space="preserve">     </w:t>
      </w:r>
      <w:r w:rsidR="0028479A">
        <w:rPr>
          <w:sz w:val="26"/>
          <w:szCs w:val="26"/>
        </w:rPr>
        <w:t xml:space="preserve">   </w:t>
      </w:r>
    </w:p>
    <w:p w:rsidR="0016014A" w:rsidRPr="00FF22AE" w:rsidRDefault="0016014A" w:rsidP="0016014A">
      <w:pPr>
        <w:suppressAutoHyphens/>
        <w:spacing w:line="360" w:lineRule="auto"/>
        <w:ind w:firstLine="1440"/>
        <w:rPr>
          <w:sz w:val="26"/>
          <w:szCs w:val="26"/>
        </w:rPr>
      </w:pPr>
      <w:r w:rsidRPr="00FF22AE">
        <w:rPr>
          <w:sz w:val="26"/>
          <w:szCs w:val="26"/>
        </w:rPr>
        <w:t xml:space="preserve">Another factor we may consider is whether the regulated entity cooperated with the Commission’s investigation.  52 Pa. Code § 69.1201(c)(7).  </w:t>
      </w:r>
      <w:r>
        <w:rPr>
          <w:sz w:val="26"/>
          <w:szCs w:val="26"/>
        </w:rPr>
        <w:t xml:space="preserve">I&amp;E represents that </w:t>
      </w:r>
      <w:r w:rsidR="00D17307">
        <w:rPr>
          <w:sz w:val="26"/>
          <w:szCs w:val="26"/>
        </w:rPr>
        <w:t>PECO</w:t>
      </w:r>
      <w:r>
        <w:rPr>
          <w:sz w:val="26"/>
          <w:szCs w:val="26"/>
        </w:rPr>
        <w:t xml:space="preserve"> has fully cooperated </w:t>
      </w:r>
      <w:r w:rsidR="00D17307">
        <w:rPr>
          <w:sz w:val="26"/>
          <w:szCs w:val="26"/>
        </w:rPr>
        <w:t xml:space="preserve">throughout the </w:t>
      </w:r>
      <w:r>
        <w:rPr>
          <w:sz w:val="26"/>
          <w:szCs w:val="26"/>
        </w:rPr>
        <w:t>investigat</w:t>
      </w:r>
      <w:r w:rsidR="00D17307">
        <w:rPr>
          <w:sz w:val="26"/>
          <w:szCs w:val="26"/>
        </w:rPr>
        <w:t>ory, discovery, and settlement process</w:t>
      </w:r>
      <w:r>
        <w:rPr>
          <w:sz w:val="26"/>
          <w:szCs w:val="26"/>
        </w:rPr>
        <w:t xml:space="preserve">.  </w:t>
      </w:r>
      <w:r w:rsidR="00D17307">
        <w:rPr>
          <w:sz w:val="26"/>
          <w:szCs w:val="26"/>
        </w:rPr>
        <w:t>I&amp;E Statement in Support at 11.  Additionally, PECO met with the Commission’s GSD on July 22, 20</w:t>
      </w:r>
      <w:r w:rsidR="00546E57">
        <w:rPr>
          <w:sz w:val="26"/>
          <w:szCs w:val="26"/>
        </w:rPr>
        <w:t>1</w:t>
      </w:r>
      <w:r w:rsidR="00D17307">
        <w:rPr>
          <w:sz w:val="26"/>
          <w:szCs w:val="26"/>
        </w:rPr>
        <w:t>4</w:t>
      </w:r>
      <w:r w:rsidR="00546E57">
        <w:rPr>
          <w:sz w:val="26"/>
          <w:szCs w:val="26"/>
        </w:rPr>
        <w:t xml:space="preserve"> to discuss discovery responses, general practices, and plans to enhance safety; provided written discovery responses and documents to the GSD’s requests; had field employees available for interviews with the GSD; and updated the GSD on October 30, 2014, regarding the Company’s investigative findings, corrective actions, and improvements.  PECO Statement in Support at 11; Settlement at 11.  In this case, this factor weighs in favor of a lower civil penalty.   </w:t>
      </w:r>
      <w:r>
        <w:rPr>
          <w:sz w:val="26"/>
          <w:szCs w:val="26"/>
        </w:rPr>
        <w:t xml:space="preserve"> </w:t>
      </w:r>
    </w:p>
    <w:p w:rsidR="0016014A" w:rsidRPr="00FF22AE" w:rsidRDefault="0016014A" w:rsidP="0016014A">
      <w:pPr>
        <w:suppressAutoHyphens/>
        <w:spacing w:line="360" w:lineRule="auto"/>
        <w:ind w:firstLine="1440"/>
        <w:rPr>
          <w:sz w:val="26"/>
          <w:szCs w:val="26"/>
        </w:rPr>
      </w:pPr>
    </w:p>
    <w:p w:rsidR="00356DD6" w:rsidRDefault="00356DD6" w:rsidP="00356DD6">
      <w:pPr>
        <w:suppressAutoHyphens/>
        <w:spacing w:line="360" w:lineRule="auto"/>
        <w:ind w:firstLine="1440"/>
        <w:rPr>
          <w:sz w:val="26"/>
          <w:szCs w:val="26"/>
        </w:rPr>
      </w:pPr>
      <w:r w:rsidRPr="00FF22AE">
        <w:rPr>
          <w:sz w:val="26"/>
          <w:szCs w:val="26"/>
        </w:rPr>
        <w:t>In addition, we may consider the amount of the civil penalty necessary to deter future violations as well as past Commission decisions in similar situations.  52 Pa. Code § 69.1201(c)(8) and (c)(9</w:t>
      </w:r>
      <w:r>
        <w:rPr>
          <w:sz w:val="26"/>
          <w:szCs w:val="26"/>
        </w:rPr>
        <w:t xml:space="preserve">).  </w:t>
      </w:r>
      <w:r w:rsidR="00A76719">
        <w:rPr>
          <w:sz w:val="26"/>
          <w:szCs w:val="26"/>
        </w:rPr>
        <w:t>We find that</w:t>
      </w:r>
      <w:r w:rsidR="000807D2">
        <w:rPr>
          <w:sz w:val="26"/>
          <w:szCs w:val="26"/>
        </w:rPr>
        <w:t>, along with</w:t>
      </w:r>
      <w:r w:rsidR="00A76719">
        <w:rPr>
          <w:sz w:val="26"/>
          <w:szCs w:val="26"/>
        </w:rPr>
        <w:t xml:space="preserve"> the </w:t>
      </w:r>
      <w:r w:rsidR="008A025B">
        <w:rPr>
          <w:sz w:val="26"/>
          <w:szCs w:val="26"/>
        </w:rPr>
        <w:t>remedial</w:t>
      </w:r>
      <w:r w:rsidR="00A76719">
        <w:rPr>
          <w:sz w:val="26"/>
          <w:szCs w:val="26"/>
        </w:rPr>
        <w:t xml:space="preserve"> measures the Company has been engaging in </w:t>
      </w:r>
      <w:r w:rsidR="008A025B">
        <w:rPr>
          <w:sz w:val="26"/>
          <w:szCs w:val="26"/>
        </w:rPr>
        <w:t xml:space="preserve">and will continue to engage in pursuant to the Settlement, </w:t>
      </w:r>
      <w:r w:rsidR="000807D2">
        <w:rPr>
          <w:sz w:val="26"/>
          <w:szCs w:val="26"/>
        </w:rPr>
        <w:t xml:space="preserve">the </w:t>
      </w:r>
      <w:r w:rsidR="008A025B">
        <w:rPr>
          <w:sz w:val="26"/>
          <w:szCs w:val="26"/>
        </w:rPr>
        <w:t xml:space="preserve">$900,000 </w:t>
      </w:r>
      <w:r w:rsidR="000807D2">
        <w:rPr>
          <w:sz w:val="26"/>
          <w:szCs w:val="26"/>
        </w:rPr>
        <w:t xml:space="preserve">civil penalty amount, which </w:t>
      </w:r>
      <w:r w:rsidR="008A025B">
        <w:rPr>
          <w:sz w:val="26"/>
          <w:szCs w:val="26"/>
        </w:rPr>
        <w:t>shall</w:t>
      </w:r>
      <w:r w:rsidR="000807D2">
        <w:rPr>
          <w:sz w:val="26"/>
          <w:szCs w:val="26"/>
        </w:rPr>
        <w:t xml:space="preserve"> not </w:t>
      </w:r>
      <w:r w:rsidR="008A025B">
        <w:rPr>
          <w:sz w:val="26"/>
          <w:szCs w:val="26"/>
        </w:rPr>
        <w:t xml:space="preserve">be </w:t>
      </w:r>
      <w:r w:rsidR="000807D2">
        <w:rPr>
          <w:sz w:val="26"/>
          <w:szCs w:val="26"/>
        </w:rPr>
        <w:t xml:space="preserve">recovered </w:t>
      </w:r>
      <w:r w:rsidR="008A025B">
        <w:rPr>
          <w:sz w:val="26"/>
          <w:szCs w:val="26"/>
        </w:rPr>
        <w:t xml:space="preserve">in future ratemaking </w:t>
      </w:r>
      <w:r w:rsidR="008A025B">
        <w:rPr>
          <w:sz w:val="26"/>
          <w:szCs w:val="26"/>
        </w:rPr>
        <w:lastRenderedPageBreak/>
        <w:t>proceedings</w:t>
      </w:r>
      <w:r w:rsidR="000807D2">
        <w:rPr>
          <w:sz w:val="26"/>
          <w:szCs w:val="26"/>
        </w:rPr>
        <w:t>, will be a sufficient deterrent to prevent similar future occurrences.  Based on the nature of the alleged violations</w:t>
      </w:r>
      <w:r w:rsidR="00352B78">
        <w:rPr>
          <w:sz w:val="26"/>
          <w:szCs w:val="26"/>
        </w:rPr>
        <w:t>, the resulting consequence</w:t>
      </w:r>
      <w:r w:rsidR="00493D1F">
        <w:rPr>
          <w:sz w:val="26"/>
          <w:szCs w:val="26"/>
        </w:rPr>
        <w:t>s</w:t>
      </w:r>
      <w:r w:rsidR="00352B78">
        <w:rPr>
          <w:sz w:val="26"/>
          <w:szCs w:val="26"/>
        </w:rPr>
        <w:t xml:space="preserve"> of the alleged violations, and the remedial measures the Company has taken in this case</w:t>
      </w:r>
      <w:r w:rsidR="000807D2">
        <w:rPr>
          <w:sz w:val="26"/>
          <w:szCs w:val="26"/>
        </w:rPr>
        <w:t xml:space="preserve">, we conclude that our determination regarding this Settlement and the civil penalty amount is consistent with our prior decisions in similar situations. </w:t>
      </w:r>
    </w:p>
    <w:p w:rsidR="0028146D" w:rsidRDefault="0028146D" w:rsidP="0028146D">
      <w:pPr>
        <w:spacing w:line="360" w:lineRule="auto"/>
        <w:ind w:firstLine="1440"/>
        <w:rPr>
          <w:sz w:val="26"/>
          <w:szCs w:val="26"/>
        </w:rPr>
      </w:pPr>
    </w:p>
    <w:p w:rsidR="00493D1F" w:rsidRDefault="00356DD6" w:rsidP="00356DD6">
      <w:pPr>
        <w:suppressAutoHyphens/>
        <w:spacing w:line="360" w:lineRule="auto"/>
        <w:ind w:firstLine="1440"/>
        <w:jc w:val="both"/>
        <w:rPr>
          <w:sz w:val="26"/>
          <w:szCs w:val="26"/>
        </w:rPr>
      </w:pPr>
      <w:r w:rsidRPr="00FF22AE">
        <w:rPr>
          <w:color w:val="000000"/>
          <w:sz w:val="26"/>
          <w:szCs w:val="26"/>
          <w:u w:color="000000"/>
        </w:rPr>
        <w:t xml:space="preserve">The tenth factor we may consider is other relevant factors.  </w:t>
      </w:r>
      <w:r w:rsidRPr="00FF22AE">
        <w:rPr>
          <w:sz w:val="26"/>
          <w:szCs w:val="26"/>
        </w:rPr>
        <w:t>52 Pa</w:t>
      </w:r>
      <w:r>
        <w:rPr>
          <w:sz w:val="26"/>
          <w:szCs w:val="26"/>
        </w:rPr>
        <w:t xml:space="preserve">. Code </w:t>
      </w:r>
    </w:p>
    <w:p w:rsidR="00356DD6" w:rsidRDefault="00356DD6" w:rsidP="006E38D1">
      <w:pPr>
        <w:suppressAutoHyphens/>
        <w:spacing w:line="360" w:lineRule="auto"/>
        <w:rPr>
          <w:color w:val="000000"/>
          <w:sz w:val="26"/>
          <w:szCs w:val="26"/>
          <w:u w:color="000000"/>
        </w:rPr>
      </w:pPr>
      <w:r>
        <w:rPr>
          <w:sz w:val="26"/>
          <w:szCs w:val="26"/>
        </w:rPr>
        <w:t>§ 69.1201(c)(10).</w:t>
      </w:r>
      <w:r w:rsidR="000807D2">
        <w:rPr>
          <w:sz w:val="26"/>
          <w:szCs w:val="26"/>
        </w:rPr>
        <w:t xml:space="preserve">  We believe that it is in the public interest to </w:t>
      </w:r>
      <w:r w:rsidR="000C1825">
        <w:rPr>
          <w:sz w:val="26"/>
          <w:szCs w:val="26"/>
        </w:rPr>
        <w:t xml:space="preserve">approve the </w:t>
      </w:r>
      <w:r w:rsidR="000807D2">
        <w:rPr>
          <w:sz w:val="26"/>
          <w:szCs w:val="26"/>
        </w:rPr>
        <w:t>settle</w:t>
      </w:r>
      <w:r w:rsidR="000C1825">
        <w:rPr>
          <w:sz w:val="26"/>
          <w:szCs w:val="26"/>
        </w:rPr>
        <w:t>ment of</w:t>
      </w:r>
      <w:r w:rsidR="000807D2">
        <w:rPr>
          <w:sz w:val="26"/>
          <w:szCs w:val="26"/>
        </w:rPr>
        <w:t xml:space="preserve"> this matter so as to avoid the expense of litigation and the possibility of appeals.  In addition, we believe that the Settlement is in the public interest </w:t>
      </w:r>
      <w:r w:rsidR="00352B78">
        <w:rPr>
          <w:sz w:val="26"/>
          <w:szCs w:val="26"/>
        </w:rPr>
        <w:t xml:space="preserve">because it promotes safety </w:t>
      </w:r>
      <w:r w:rsidR="00F77A75">
        <w:rPr>
          <w:sz w:val="26"/>
          <w:szCs w:val="26"/>
        </w:rPr>
        <w:t xml:space="preserve">through the </w:t>
      </w:r>
      <w:r w:rsidR="00352B78">
        <w:rPr>
          <w:sz w:val="26"/>
          <w:szCs w:val="26"/>
        </w:rPr>
        <w:t xml:space="preserve">implementation of </w:t>
      </w:r>
      <w:r w:rsidR="00970448">
        <w:rPr>
          <w:sz w:val="26"/>
          <w:szCs w:val="26"/>
        </w:rPr>
        <w:t>the Company’s mapping system enhancements which will assist in eliminating risks associated with the Company’s maps and undocumented facilities</w:t>
      </w:r>
      <w:r w:rsidR="00352B78">
        <w:rPr>
          <w:sz w:val="26"/>
          <w:szCs w:val="26"/>
        </w:rPr>
        <w:t>.</w:t>
      </w:r>
      <w:r w:rsidR="00970448">
        <w:rPr>
          <w:sz w:val="26"/>
          <w:szCs w:val="26"/>
        </w:rPr>
        <w:t xml:space="preserve">  </w:t>
      </w:r>
      <w:r w:rsidR="00352B78">
        <w:rPr>
          <w:sz w:val="26"/>
          <w:szCs w:val="26"/>
        </w:rPr>
        <w:t xml:space="preserve">  </w:t>
      </w:r>
    </w:p>
    <w:p w:rsidR="00356DD6" w:rsidRDefault="00356DD6" w:rsidP="00356DD6">
      <w:pPr>
        <w:suppressAutoHyphens/>
        <w:spacing w:line="360" w:lineRule="auto"/>
        <w:ind w:firstLine="1440"/>
        <w:jc w:val="both"/>
        <w:rPr>
          <w:color w:val="000000"/>
          <w:sz w:val="26"/>
          <w:szCs w:val="26"/>
          <w:u w:color="000000"/>
        </w:rPr>
      </w:pPr>
    </w:p>
    <w:p w:rsidR="00356DD6" w:rsidRDefault="00356DD6" w:rsidP="00356DD6">
      <w:pPr>
        <w:spacing w:line="360" w:lineRule="auto"/>
        <w:ind w:firstLine="1440"/>
        <w:rPr>
          <w:sz w:val="26"/>
          <w:szCs w:val="26"/>
        </w:rPr>
      </w:pPr>
      <w:r>
        <w:rPr>
          <w:sz w:val="26"/>
          <w:szCs w:val="26"/>
        </w:rPr>
        <w:t>For the reasons set forth above</w:t>
      </w:r>
      <w:r w:rsidRPr="002B0445">
        <w:rPr>
          <w:sz w:val="26"/>
          <w:szCs w:val="26"/>
        </w:rPr>
        <w:t>, after reviewing the terms of the Settlement Agreement, we</w:t>
      </w:r>
      <w:r>
        <w:rPr>
          <w:sz w:val="26"/>
          <w:szCs w:val="26"/>
        </w:rPr>
        <w:t xml:space="preserve"> find </w:t>
      </w:r>
      <w:r w:rsidR="00352B78">
        <w:rPr>
          <w:sz w:val="26"/>
          <w:szCs w:val="26"/>
        </w:rPr>
        <w:t>that approval of the Settlement is in the public interest and is consistent with the terms of our Policy Statement</w:t>
      </w:r>
      <w:r w:rsidRPr="002B0445">
        <w:rPr>
          <w:sz w:val="26"/>
          <w:szCs w:val="26"/>
        </w:rPr>
        <w:t xml:space="preserve">.  </w:t>
      </w:r>
    </w:p>
    <w:p w:rsidR="00356DD6" w:rsidRPr="002B0445" w:rsidRDefault="00356DD6" w:rsidP="00356DD6">
      <w:pPr>
        <w:spacing w:line="360" w:lineRule="auto"/>
        <w:ind w:firstLine="1440"/>
        <w:rPr>
          <w:color w:val="000000"/>
          <w:sz w:val="26"/>
          <w:szCs w:val="26"/>
          <w:u w:color="000000"/>
        </w:rPr>
      </w:pPr>
    </w:p>
    <w:p w:rsidR="00356DD6" w:rsidRPr="00902F6F" w:rsidRDefault="00356DD6" w:rsidP="00356DD6">
      <w:pPr>
        <w:spacing w:line="360" w:lineRule="auto"/>
        <w:jc w:val="center"/>
        <w:rPr>
          <w:sz w:val="26"/>
          <w:szCs w:val="26"/>
        </w:rPr>
      </w:pPr>
      <w:r w:rsidRPr="006E38D1">
        <w:rPr>
          <w:b/>
          <w:sz w:val="26"/>
          <w:szCs w:val="26"/>
        </w:rPr>
        <w:t>Conclusion</w:t>
      </w:r>
    </w:p>
    <w:p w:rsidR="00356DD6" w:rsidRPr="00FF22AE" w:rsidRDefault="00356DD6" w:rsidP="00356DD6">
      <w:pPr>
        <w:spacing w:line="360" w:lineRule="auto"/>
        <w:ind w:firstLine="1440"/>
        <w:rPr>
          <w:sz w:val="26"/>
          <w:szCs w:val="26"/>
        </w:rPr>
      </w:pPr>
    </w:p>
    <w:p w:rsidR="00356DD6" w:rsidRPr="00FF22AE" w:rsidRDefault="00356DD6" w:rsidP="00356DD6">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to thoroughly consider the terms of the </w:t>
      </w:r>
      <w:r>
        <w:rPr>
          <w:sz w:val="26"/>
          <w:szCs w:val="26"/>
        </w:rPr>
        <w:t xml:space="preserve">proposed </w:t>
      </w:r>
      <w:r w:rsidR="00622C07">
        <w:rPr>
          <w:sz w:val="26"/>
          <w:szCs w:val="26"/>
        </w:rPr>
        <w:t>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w:t>
      </w:r>
      <w:r w:rsidR="0010072F">
        <w:rPr>
          <w:sz w:val="26"/>
          <w:szCs w:val="26"/>
        </w:rPr>
        <w:t xml:space="preserve">Agreement </w:t>
      </w:r>
      <w:r>
        <w:rPr>
          <w:sz w:val="26"/>
          <w:szCs w:val="26"/>
        </w:rPr>
        <w:t>and the Statements in Support thereof,</w:t>
      </w:r>
      <w:r w:rsidRPr="00FF22AE">
        <w:rPr>
          <w:sz w:val="26"/>
          <w:szCs w:val="26"/>
        </w:rPr>
        <w:t xml:space="preserve"> we find that the proposed </w:t>
      </w:r>
      <w:r w:rsidR="0010072F">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 </w:t>
      </w:r>
      <w:r w:rsidRPr="00DA57A9">
        <w:rPr>
          <w:b/>
          <w:sz w:val="26"/>
          <w:szCs w:val="26"/>
        </w:rPr>
        <w:t>THER</w:t>
      </w:r>
      <w:r w:rsidRPr="00FF22AE">
        <w:rPr>
          <w:b/>
          <w:sz w:val="26"/>
          <w:szCs w:val="26"/>
        </w:rPr>
        <w:t>EFORE</w:t>
      </w:r>
      <w:r w:rsidRPr="00FF22AE">
        <w:rPr>
          <w:sz w:val="26"/>
          <w:szCs w:val="26"/>
        </w:rPr>
        <w:t>,</w:t>
      </w:r>
    </w:p>
    <w:p w:rsidR="00356DD6" w:rsidRPr="006E38D1" w:rsidRDefault="00356DD6" w:rsidP="00356DD6">
      <w:pPr>
        <w:spacing w:line="360" w:lineRule="auto"/>
        <w:rPr>
          <w:sz w:val="26"/>
          <w:szCs w:val="26"/>
        </w:rPr>
      </w:pPr>
    </w:p>
    <w:p w:rsidR="0072268B" w:rsidRDefault="0072268B" w:rsidP="00356DD6">
      <w:pPr>
        <w:spacing w:line="360" w:lineRule="auto"/>
        <w:ind w:firstLine="1440"/>
        <w:rPr>
          <w:b/>
          <w:sz w:val="26"/>
          <w:szCs w:val="26"/>
        </w:rPr>
      </w:pPr>
    </w:p>
    <w:p w:rsidR="0072268B" w:rsidRDefault="0072268B" w:rsidP="00356DD6">
      <w:pPr>
        <w:spacing w:line="360" w:lineRule="auto"/>
        <w:ind w:firstLine="1440"/>
        <w:rPr>
          <w:b/>
          <w:sz w:val="26"/>
          <w:szCs w:val="26"/>
        </w:rPr>
      </w:pPr>
    </w:p>
    <w:p w:rsidR="0072268B" w:rsidRDefault="0072268B" w:rsidP="00356DD6">
      <w:pPr>
        <w:spacing w:line="360" w:lineRule="auto"/>
        <w:ind w:firstLine="1440"/>
        <w:rPr>
          <w:b/>
          <w:sz w:val="26"/>
          <w:szCs w:val="26"/>
        </w:rPr>
      </w:pPr>
    </w:p>
    <w:p w:rsidR="00356DD6" w:rsidRPr="00FF22AE" w:rsidRDefault="00356DD6" w:rsidP="00356DD6">
      <w:pPr>
        <w:spacing w:line="360" w:lineRule="auto"/>
        <w:ind w:firstLine="1440"/>
        <w:rPr>
          <w:b/>
          <w:sz w:val="26"/>
          <w:szCs w:val="26"/>
        </w:rPr>
      </w:pPr>
      <w:r w:rsidRPr="00FF22AE">
        <w:rPr>
          <w:b/>
          <w:sz w:val="26"/>
          <w:szCs w:val="26"/>
        </w:rPr>
        <w:t>IT IS ORDERED:</w:t>
      </w:r>
    </w:p>
    <w:p w:rsidR="002E229E" w:rsidRDefault="002E229E" w:rsidP="00AA6F30">
      <w:pPr>
        <w:tabs>
          <w:tab w:val="left" w:pos="-720"/>
        </w:tabs>
        <w:rPr>
          <w:sz w:val="26"/>
        </w:rPr>
      </w:pPr>
    </w:p>
    <w:p w:rsidR="00611E12" w:rsidRDefault="00A63028" w:rsidP="00A63028">
      <w:pPr>
        <w:tabs>
          <w:tab w:val="left" w:pos="-720"/>
        </w:tabs>
        <w:spacing w:line="360" w:lineRule="auto"/>
        <w:ind w:firstLine="1440"/>
        <w:rPr>
          <w:sz w:val="26"/>
        </w:rPr>
      </w:pPr>
      <w:r>
        <w:rPr>
          <w:sz w:val="26"/>
        </w:rPr>
        <w:t>1.</w:t>
      </w:r>
      <w:r>
        <w:rPr>
          <w:sz w:val="26"/>
        </w:rPr>
        <w:tab/>
        <w:t>T</w:t>
      </w:r>
      <w:r w:rsidR="00611E12">
        <w:rPr>
          <w:sz w:val="26"/>
        </w:rPr>
        <w:t xml:space="preserve">hat the </w:t>
      </w:r>
      <w:r w:rsidR="00426681">
        <w:rPr>
          <w:sz w:val="26"/>
        </w:rPr>
        <w:t>Joint Petition for Settlement</w:t>
      </w:r>
      <w:r w:rsidR="002A2D1A">
        <w:rPr>
          <w:sz w:val="26"/>
        </w:rPr>
        <w:t>,</w:t>
      </w:r>
      <w:r w:rsidR="00611E12">
        <w:rPr>
          <w:sz w:val="26"/>
        </w:rPr>
        <w:t xml:space="preserve"> filed on </w:t>
      </w:r>
      <w:r w:rsidR="002A2D1A">
        <w:rPr>
          <w:sz w:val="26"/>
        </w:rPr>
        <w:t>April 8, 2016</w:t>
      </w:r>
      <w:r w:rsidR="00611E12">
        <w:rPr>
          <w:sz w:val="26"/>
        </w:rPr>
        <w:t xml:space="preserve">, by the Commission’s Bureau of Investigation and Enforcement and </w:t>
      </w:r>
      <w:r w:rsidR="002A2D1A">
        <w:rPr>
          <w:sz w:val="26"/>
        </w:rPr>
        <w:t>PECO Energy Company</w:t>
      </w:r>
      <w:r w:rsidR="00611E12">
        <w:rPr>
          <w:sz w:val="26"/>
        </w:rPr>
        <w:t xml:space="preserve"> is approved.</w:t>
      </w:r>
    </w:p>
    <w:p w:rsidR="00A63028" w:rsidRDefault="00A63028" w:rsidP="00611E12">
      <w:pPr>
        <w:tabs>
          <w:tab w:val="left" w:pos="-720"/>
        </w:tabs>
        <w:spacing w:line="360" w:lineRule="auto"/>
        <w:rPr>
          <w:sz w:val="26"/>
        </w:rPr>
      </w:pPr>
    </w:p>
    <w:p w:rsidR="00A63028" w:rsidRPr="00F27520" w:rsidRDefault="00A63028" w:rsidP="00A63028">
      <w:pPr>
        <w:spacing w:line="360" w:lineRule="auto"/>
        <w:ind w:firstLine="1440"/>
        <w:rPr>
          <w:sz w:val="26"/>
          <w:szCs w:val="26"/>
        </w:rPr>
      </w:pPr>
      <w:r>
        <w:rPr>
          <w:sz w:val="26"/>
          <w:szCs w:val="26"/>
        </w:rPr>
        <w:t>2</w:t>
      </w:r>
      <w:r w:rsidRPr="00F27520">
        <w:rPr>
          <w:sz w:val="26"/>
          <w:szCs w:val="26"/>
        </w:rPr>
        <w:t>. </w:t>
      </w:r>
      <w:r w:rsidR="005A7DF2">
        <w:rPr>
          <w:sz w:val="26"/>
          <w:szCs w:val="26"/>
        </w:rPr>
        <w:tab/>
      </w:r>
      <w:r w:rsidRPr="00F27520">
        <w:rPr>
          <w:sz w:val="26"/>
          <w:szCs w:val="26"/>
        </w:rPr>
        <w:t xml:space="preserve">That, within thirty days of </w:t>
      </w:r>
      <w:r w:rsidR="00376DE7">
        <w:rPr>
          <w:sz w:val="26"/>
          <w:szCs w:val="26"/>
        </w:rPr>
        <w:t xml:space="preserve">the entry date of this Opinion and Order, PECO Energy Company shall remit $900,000, payable by certified check or money order, to </w:t>
      </w:r>
      <w:r w:rsidRPr="00F27520">
        <w:rPr>
          <w:sz w:val="26"/>
          <w:szCs w:val="26"/>
        </w:rPr>
        <w:t>“Commonwealth of Pennsylvania” and sent to:</w:t>
      </w:r>
    </w:p>
    <w:p w:rsidR="00A63028" w:rsidRPr="00F27520" w:rsidRDefault="00A63028" w:rsidP="007827A7">
      <w:pPr>
        <w:keepNext/>
        <w:spacing w:before="120"/>
        <w:ind w:firstLine="2160"/>
        <w:rPr>
          <w:sz w:val="26"/>
          <w:szCs w:val="26"/>
        </w:rPr>
      </w:pPr>
      <w:r w:rsidRPr="00F27520">
        <w:rPr>
          <w:sz w:val="26"/>
          <w:szCs w:val="26"/>
        </w:rPr>
        <w:t xml:space="preserve">Secretary </w:t>
      </w:r>
    </w:p>
    <w:p w:rsidR="00A63028" w:rsidRPr="00F27520" w:rsidRDefault="00A63028" w:rsidP="00A63028">
      <w:pPr>
        <w:keepNext/>
        <w:ind w:firstLine="2160"/>
        <w:rPr>
          <w:sz w:val="26"/>
          <w:szCs w:val="26"/>
        </w:rPr>
      </w:pPr>
      <w:r w:rsidRPr="00F27520">
        <w:rPr>
          <w:sz w:val="26"/>
          <w:szCs w:val="26"/>
        </w:rPr>
        <w:t>Pennsylvania Public Utility Commission</w:t>
      </w:r>
    </w:p>
    <w:p w:rsidR="00A63028" w:rsidRPr="00F27520" w:rsidRDefault="00376DE7" w:rsidP="00A63028">
      <w:pPr>
        <w:keepNext/>
        <w:ind w:firstLine="2160"/>
        <w:rPr>
          <w:sz w:val="26"/>
          <w:szCs w:val="26"/>
        </w:rPr>
      </w:pPr>
      <w:r>
        <w:rPr>
          <w:sz w:val="26"/>
          <w:szCs w:val="26"/>
        </w:rPr>
        <w:t xml:space="preserve">400 North Street </w:t>
      </w:r>
    </w:p>
    <w:p w:rsidR="00A63028" w:rsidRDefault="00A63028" w:rsidP="00A63028">
      <w:pPr>
        <w:ind w:firstLine="2160"/>
        <w:rPr>
          <w:sz w:val="26"/>
          <w:szCs w:val="26"/>
        </w:rPr>
      </w:pPr>
      <w:r w:rsidRPr="00F27520">
        <w:rPr>
          <w:sz w:val="26"/>
          <w:szCs w:val="26"/>
        </w:rPr>
        <w:t>Harrisburg, PA  171</w:t>
      </w:r>
      <w:r w:rsidR="00376DE7">
        <w:rPr>
          <w:sz w:val="26"/>
          <w:szCs w:val="26"/>
        </w:rPr>
        <w:t>20</w:t>
      </w:r>
    </w:p>
    <w:p w:rsidR="00A63028" w:rsidRPr="00F27520" w:rsidRDefault="00A63028" w:rsidP="00A63028">
      <w:pPr>
        <w:ind w:firstLine="2160"/>
        <w:rPr>
          <w:sz w:val="26"/>
          <w:szCs w:val="26"/>
        </w:rPr>
      </w:pPr>
    </w:p>
    <w:p w:rsidR="00A63028" w:rsidRDefault="00A63028" w:rsidP="00A63028">
      <w:pPr>
        <w:spacing w:line="360" w:lineRule="auto"/>
        <w:rPr>
          <w:sz w:val="26"/>
          <w:szCs w:val="26"/>
        </w:rPr>
      </w:pPr>
      <w:r w:rsidRPr="00F27520">
        <w:rPr>
          <w:sz w:val="26"/>
          <w:szCs w:val="26"/>
        </w:rPr>
        <w:t xml:space="preserve">  </w:t>
      </w:r>
      <w:r>
        <w:rPr>
          <w:sz w:val="26"/>
          <w:szCs w:val="26"/>
        </w:rPr>
        <w:tab/>
      </w:r>
      <w:r>
        <w:rPr>
          <w:sz w:val="26"/>
          <w:szCs w:val="26"/>
        </w:rPr>
        <w:tab/>
      </w:r>
      <w:r w:rsidR="0005518A">
        <w:rPr>
          <w:sz w:val="26"/>
          <w:szCs w:val="26"/>
        </w:rPr>
        <w:t>3</w:t>
      </w:r>
      <w:r w:rsidR="00C37F69">
        <w:rPr>
          <w:sz w:val="26"/>
          <w:szCs w:val="26"/>
        </w:rPr>
        <w:t>.</w:t>
      </w:r>
      <w:r w:rsidR="00C37F69">
        <w:rPr>
          <w:sz w:val="26"/>
          <w:szCs w:val="26"/>
        </w:rPr>
        <w:tab/>
      </w:r>
      <w:r w:rsidRPr="00F27520">
        <w:rPr>
          <w:sz w:val="26"/>
          <w:szCs w:val="26"/>
        </w:rPr>
        <w:t>That a copy of this Opinion and Order shall be served upon the Financial and Assessment Chief, Office of Administrative Services.</w:t>
      </w:r>
    </w:p>
    <w:p w:rsidR="00A63028" w:rsidRDefault="00A63028" w:rsidP="00A63028">
      <w:pPr>
        <w:spacing w:line="360" w:lineRule="auto"/>
        <w:ind w:firstLine="1440"/>
        <w:rPr>
          <w:sz w:val="26"/>
          <w:szCs w:val="26"/>
        </w:rPr>
      </w:pPr>
    </w:p>
    <w:p w:rsidR="00A63028" w:rsidRPr="00F27520" w:rsidRDefault="0005518A" w:rsidP="00A63028">
      <w:pPr>
        <w:spacing w:line="360" w:lineRule="auto"/>
        <w:ind w:firstLine="1440"/>
        <w:rPr>
          <w:sz w:val="26"/>
          <w:szCs w:val="26"/>
        </w:rPr>
      </w:pPr>
      <w:r>
        <w:rPr>
          <w:sz w:val="26"/>
          <w:szCs w:val="26"/>
        </w:rPr>
        <w:t>4</w:t>
      </w:r>
      <w:r w:rsidR="00A63028">
        <w:rPr>
          <w:sz w:val="26"/>
          <w:szCs w:val="26"/>
        </w:rPr>
        <w:t>.</w:t>
      </w:r>
      <w:r w:rsidR="00A63028">
        <w:rPr>
          <w:sz w:val="26"/>
          <w:szCs w:val="26"/>
        </w:rPr>
        <w:tab/>
      </w:r>
      <w:r w:rsidR="00A63028" w:rsidRPr="0090056F">
        <w:rPr>
          <w:sz w:val="26"/>
        </w:rPr>
        <w:t xml:space="preserve">That </w:t>
      </w:r>
      <w:r w:rsidR="00A63028">
        <w:rPr>
          <w:sz w:val="26"/>
        </w:rPr>
        <w:t xml:space="preserve">the Secretary’s Bureau shall mark </w:t>
      </w:r>
      <w:r w:rsidR="00A63028" w:rsidRPr="0090056F">
        <w:rPr>
          <w:sz w:val="26"/>
        </w:rPr>
        <w:t>this proceeding closed</w:t>
      </w:r>
      <w:r w:rsidR="00A63028">
        <w:rPr>
          <w:sz w:val="26"/>
        </w:rPr>
        <w:t xml:space="preserve"> upon </w:t>
      </w:r>
      <w:r w:rsidR="007827A7">
        <w:rPr>
          <w:sz w:val="26"/>
        </w:rPr>
        <w:t>payment of</w:t>
      </w:r>
      <w:r w:rsidR="00C37F69">
        <w:rPr>
          <w:sz w:val="26"/>
        </w:rPr>
        <w:t xml:space="preserve"> the </w:t>
      </w:r>
      <w:r w:rsidR="007827A7">
        <w:rPr>
          <w:sz w:val="26"/>
        </w:rPr>
        <w:t>civil penalty</w:t>
      </w:r>
      <w:r w:rsidR="00C37F69">
        <w:rPr>
          <w:sz w:val="26"/>
        </w:rPr>
        <w:t xml:space="preserve"> </w:t>
      </w:r>
      <w:r w:rsidR="007827A7">
        <w:rPr>
          <w:sz w:val="26"/>
        </w:rPr>
        <w:t>as set forth</w:t>
      </w:r>
      <w:r w:rsidR="00C37F69">
        <w:rPr>
          <w:sz w:val="26"/>
        </w:rPr>
        <w:t xml:space="preserve"> in Ordering Paragraph No. </w:t>
      </w:r>
      <w:r w:rsidR="007827A7">
        <w:rPr>
          <w:sz w:val="26"/>
        </w:rPr>
        <w:t>2</w:t>
      </w:r>
      <w:r w:rsidR="00A63028">
        <w:rPr>
          <w:sz w:val="26"/>
        </w:rPr>
        <w:t>.</w:t>
      </w:r>
    </w:p>
    <w:p w:rsidR="0005518A" w:rsidRDefault="0005518A" w:rsidP="00611E12">
      <w:pPr>
        <w:tabs>
          <w:tab w:val="left" w:pos="-720"/>
        </w:tabs>
        <w:ind w:left="1440"/>
        <w:rPr>
          <w:sz w:val="26"/>
        </w:rPr>
      </w:pPr>
    </w:p>
    <w:p w:rsidR="0005518A" w:rsidRDefault="0005518A" w:rsidP="00611E12">
      <w:pPr>
        <w:tabs>
          <w:tab w:val="left" w:pos="-720"/>
        </w:tabs>
        <w:ind w:left="1440"/>
        <w:rPr>
          <w:sz w:val="26"/>
        </w:rPr>
      </w:pPr>
    </w:p>
    <w:p w:rsidR="00611E12" w:rsidRDefault="00611E12" w:rsidP="00611E12">
      <w:pPr>
        <w:tabs>
          <w:tab w:val="left" w:pos="-720"/>
        </w:tabs>
        <w:ind w:left="1440"/>
        <w:rPr>
          <w:sz w:val="26"/>
        </w:rPr>
      </w:pPr>
    </w:p>
    <w:p w:rsidR="00E61914" w:rsidRPr="00E61914" w:rsidRDefault="007D28C7" w:rsidP="00AA6F30">
      <w:pPr>
        <w:tabs>
          <w:tab w:val="left" w:pos="-720"/>
        </w:tabs>
        <w:rPr>
          <w:sz w:val="2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3.85pt;margin-top:6.3pt;width:173.25pt;height:6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bookmarkEnd w:id="0"/>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sz w:val="26"/>
        </w:rPr>
        <w:tab/>
      </w:r>
      <w:r w:rsidR="00E61914" w:rsidRPr="00E61914">
        <w:rPr>
          <w:b/>
          <w:sz w:val="26"/>
        </w:rPr>
        <w:t>BY THE COMMISSION,</w:t>
      </w:r>
    </w:p>
    <w:p w:rsidR="00E61914" w:rsidRPr="00E61914" w:rsidRDefault="00E61914" w:rsidP="00AA6F30">
      <w:pPr>
        <w:tabs>
          <w:tab w:val="left" w:pos="-720"/>
        </w:tabs>
        <w:rPr>
          <w:sz w:val="26"/>
        </w:rPr>
      </w:pPr>
    </w:p>
    <w:p w:rsidR="00E61914" w:rsidRDefault="00E61914" w:rsidP="00AA6F30">
      <w:pPr>
        <w:tabs>
          <w:tab w:val="left" w:pos="-720"/>
        </w:tabs>
        <w:rPr>
          <w:sz w:val="26"/>
        </w:rPr>
      </w:pPr>
    </w:p>
    <w:p w:rsidR="00EA321D" w:rsidRDefault="00EA321D"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00950EF9">
        <w:rPr>
          <w:sz w:val="26"/>
        </w:rPr>
        <w:tab/>
      </w:r>
      <w:r w:rsidRPr="00E61914">
        <w:rPr>
          <w:sz w:val="26"/>
        </w:rPr>
        <w:t>Secretary</w:t>
      </w:r>
    </w:p>
    <w:p w:rsidR="006D6827" w:rsidRPr="00E61914" w:rsidRDefault="006D6827"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257BDE" w:rsidRDefault="00257BDE" w:rsidP="00AA6F30">
      <w:pPr>
        <w:tabs>
          <w:tab w:val="left" w:pos="-720"/>
        </w:tabs>
        <w:rPr>
          <w:sz w:val="26"/>
        </w:rPr>
      </w:pPr>
    </w:p>
    <w:p w:rsidR="00E61914" w:rsidRDefault="00D26BA8" w:rsidP="00AA6F30">
      <w:pPr>
        <w:tabs>
          <w:tab w:val="left" w:pos="-720"/>
        </w:tabs>
        <w:rPr>
          <w:sz w:val="26"/>
        </w:rPr>
      </w:pPr>
      <w:r>
        <w:rPr>
          <w:sz w:val="26"/>
        </w:rPr>
        <w:t>ORDER ADOPTED:</w:t>
      </w:r>
      <w:r w:rsidR="0005518A">
        <w:rPr>
          <w:sz w:val="26"/>
        </w:rPr>
        <w:t xml:space="preserve">  October </w:t>
      </w:r>
      <w:r w:rsidR="007827A7">
        <w:rPr>
          <w:sz w:val="26"/>
        </w:rPr>
        <w:t>27</w:t>
      </w:r>
      <w:r w:rsidR="0005518A">
        <w:rPr>
          <w:sz w:val="26"/>
        </w:rPr>
        <w:t>, 2016</w:t>
      </w:r>
      <w:r>
        <w:rPr>
          <w:sz w:val="26"/>
        </w:rPr>
        <w:t xml:space="preserve"> </w:t>
      </w:r>
      <w:r w:rsidR="000234BA">
        <w:rPr>
          <w:sz w:val="26"/>
        </w:rPr>
        <w:t xml:space="preserve"> </w:t>
      </w:r>
      <w:r w:rsidR="00A452F3">
        <w:rPr>
          <w:sz w:val="26"/>
        </w:rPr>
        <w:t xml:space="preserve"> </w:t>
      </w:r>
    </w:p>
    <w:p w:rsidR="00093F1D" w:rsidRDefault="00093F1D" w:rsidP="00292C1A">
      <w:pPr>
        <w:tabs>
          <w:tab w:val="left" w:pos="-720"/>
          <w:tab w:val="center" w:pos="4680"/>
        </w:tabs>
        <w:rPr>
          <w:sz w:val="26"/>
        </w:rPr>
      </w:pP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7D28C7">
        <w:rPr>
          <w:sz w:val="26"/>
        </w:rPr>
        <w:t>October 27, 2016</w:t>
      </w:r>
    </w:p>
    <w:sectPr w:rsidR="00737CA8" w:rsidSect="00851C76">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0A" w:rsidRDefault="00A0320A">
      <w:r>
        <w:separator/>
      </w:r>
    </w:p>
  </w:endnote>
  <w:endnote w:type="continuationSeparator" w:id="0">
    <w:p w:rsidR="00A0320A" w:rsidRDefault="00A0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28" w:rsidRPr="00594567" w:rsidRDefault="00377128">
    <w:pPr>
      <w:pStyle w:val="Footer"/>
      <w:jc w:val="center"/>
      <w:rPr>
        <w:sz w:val="26"/>
        <w:szCs w:val="26"/>
      </w:rPr>
    </w:pPr>
    <w:r w:rsidRPr="00594567">
      <w:rPr>
        <w:sz w:val="26"/>
        <w:szCs w:val="26"/>
      </w:rPr>
      <w:fldChar w:fldCharType="begin"/>
    </w:r>
    <w:r w:rsidRPr="00594567">
      <w:rPr>
        <w:sz w:val="26"/>
        <w:szCs w:val="26"/>
      </w:rPr>
      <w:instrText xml:space="preserve"> PAGE   \* MERGEFORMAT </w:instrText>
    </w:r>
    <w:r w:rsidRPr="00594567">
      <w:rPr>
        <w:sz w:val="26"/>
        <w:szCs w:val="26"/>
      </w:rPr>
      <w:fldChar w:fldCharType="separate"/>
    </w:r>
    <w:r w:rsidR="007D28C7">
      <w:rPr>
        <w:noProof/>
        <w:sz w:val="26"/>
        <w:szCs w:val="26"/>
      </w:rPr>
      <w:t>13</w:t>
    </w:r>
    <w:r w:rsidRPr="00594567">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0A" w:rsidRDefault="00A0320A">
      <w:r>
        <w:separator/>
      </w:r>
    </w:p>
  </w:footnote>
  <w:footnote w:type="continuationSeparator" w:id="0">
    <w:p w:rsidR="00A0320A" w:rsidRDefault="00A0320A">
      <w:r>
        <w:continuationSeparator/>
      </w:r>
    </w:p>
  </w:footnote>
  <w:footnote w:id="1">
    <w:p w:rsidR="007308E9" w:rsidRPr="00C11BA8" w:rsidRDefault="007308E9">
      <w:pPr>
        <w:pStyle w:val="FootnoteText"/>
        <w:rPr>
          <w:sz w:val="26"/>
        </w:rPr>
      </w:pPr>
      <w:r>
        <w:tab/>
      </w:r>
      <w:r w:rsidRPr="00C11BA8">
        <w:rPr>
          <w:rStyle w:val="FootnoteReference"/>
          <w:sz w:val="26"/>
        </w:rPr>
        <w:footnoteRef/>
      </w:r>
      <w:r w:rsidRPr="00C11BA8">
        <w:rPr>
          <w:sz w:val="26"/>
        </w:rPr>
        <w:t xml:space="preserve"> </w:t>
      </w:r>
      <w:r w:rsidRPr="00C11BA8">
        <w:rPr>
          <w:sz w:val="26"/>
        </w:rPr>
        <w:tab/>
        <w:t>Paragraph No. 17 of the Settlement explains th</w:t>
      </w:r>
      <w:r w:rsidR="00C11BA8" w:rsidRPr="00C11BA8">
        <w:rPr>
          <w:sz w:val="26"/>
        </w:rPr>
        <w:t>e costs and estimated future costs</w:t>
      </w:r>
      <w:r w:rsidRPr="00C11BA8">
        <w:rPr>
          <w:sz w:val="26"/>
        </w:rPr>
        <w:t xml:space="preserve"> PECO </w:t>
      </w:r>
      <w:r w:rsidR="00C11BA8" w:rsidRPr="00C11BA8">
        <w:rPr>
          <w:sz w:val="26"/>
        </w:rPr>
        <w:t xml:space="preserve">indicates it </w:t>
      </w:r>
      <w:r w:rsidRPr="00C11BA8">
        <w:rPr>
          <w:sz w:val="26"/>
        </w:rPr>
        <w:t xml:space="preserve">has spent </w:t>
      </w:r>
      <w:r w:rsidR="00C11BA8" w:rsidRPr="00C11BA8">
        <w:rPr>
          <w:sz w:val="26"/>
        </w:rPr>
        <w:t xml:space="preserve">and will spend to </w:t>
      </w:r>
      <w:r w:rsidRPr="00C11BA8">
        <w:rPr>
          <w:sz w:val="26"/>
        </w:rPr>
        <w:t>implement various corrective measures</w:t>
      </w:r>
      <w:r w:rsidR="00C11BA8" w:rsidRPr="00C11BA8">
        <w:rPr>
          <w:sz w:val="26"/>
        </w:rPr>
        <w:t xml:space="preserve"> it began after the July 17, 2014 event.</w:t>
      </w:r>
      <w:r w:rsidR="00C11BA8">
        <w:rPr>
          <w:sz w:val="26"/>
        </w:rPr>
        <w:t xml:space="preserve">  Settlement at 10.</w:t>
      </w:r>
      <w:r w:rsidR="00C11BA8" w:rsidRPr="00C11BA8">
        <w:rPr>
          <w:sz w:val="26"/>
        </w:rPr>
        <w:t xml:space="preserve">   </w:t>
      </w:r>
      <w:r w:rsidRPr="00C11BA8">
        <w:rPr>
          <w:sz w:val="26"/>
        </w:rPr>
        <w:t xml:space="preserve"> </w:t>
      </w:r>
    </w:p>
  </w:footnote>
  <w:footnote w:id="2">
    <w:p w:rsidR="00273A0D" w:rsidRPr="006E38D1" w:rsidRDefault="00273A0D" w:rsidP="00273A0D">
      <w:pPr>
        <w:rPr>
          <w:sz w:val="26"/>
          <w:szCs w:val="26"/>
        </w:rPr>
      </w:pPr>
      <w:r w:rsidRPr="006E38D1">
        <w:rPr>
          <w:sz w:val="26"/>
          <w:szCs w:val="26"/>
        </w:rPr>
        <w:tab/>
      </w:r>
      <w:r w:rsidRPr="006E38D1">
        <w:rPr>
          <w:rStyle w:val="FootnoteReference"/>
          <w:sz w:val="26"/>
          <w:szCs w:val="26"/>
        </w:rPr>
        <w:footnoteRef/>
      </w:r>
      <w:r w:rsidRPr="006E38D1">
        <w:rPr>
          <w:sz w:val="26"/>
          <w:szCs w:val="26"/>
        </w:rPr>
        <w:t xml:space="preserve"> </w:t>
      </w:r>
      <w:r w:rsidRPr="006E38D1">
        <w:rPr>
          <w:sz w:val="26"/>
          <w:szCs w:val="26"/>
        </w:rPr>
        <w:tab/>
        <w:t xml:space="preserve">Section 3301(c) provides the following:  </w:t>
      </w:r>
    </w:p>
    <w:p w:rsidR="00273A0D" w:rsidRPr="006E38D1" w:rsidRDefault="00273A0D" w:rsidP="00273A0D">
      <w:pPr>
        <w:rPr>
          <w:sz w:val="26"/>
          <w:szCs w:val="26"/>
        </w:rPr>
      </w:pPr>
    </w:p>
    <w:p w:rsidR="00273A0D" w:rsidRPr="006E38D1" w:rsidRDefault="00273A0D" w:rsidP="006E38D1">
      <w:pPr>
        <w:ind w:left="1440" w:right="1440"/>
        <w:rPr>
          <w:color w:val="000000"/>
          <w:sz w:val="26"/>
          <w:szCs w:val="26"/>
        </w:rPr>
      </w:pPr>
      <w:r w:rsidRPr="006E38D1">
        <w:rPr>
          <w:b/>
          <w:bCs/>
          <w:color w:val="000000"/>
          <w:sz w:val="26"/>
          <w:szCs w:val="26"/>
        </w:rPr>
        <w:t>(c) Gas pipeline safety violations.</w:t>
      </w:r>
      <w:r w:rsidR="00347250">
        <w:rPr>
          <w:b/>
          <w:bCs/>
          <w:color w:val="000000"/>
          <w:sz w:val="26"/>
          <w:szCs w:val="26"/>
        </w:rPr>
        <w:t>—</w:t>
      </w:r>
      <w:r w:rsidRPr="006E38D1">
        <w:rPr>
          <w:color w:val="000000"/>
          <w:sz w:val="26"/>
          <w:szCs w:val="26"/>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rsidR="00273A0D" w:rsidRDefault="00273A0D">
      <w:pPr>
        <w:pStyle w:val="FootnoteText"/>
      </w:pPr>
    </w:p>
  </w:footnote>
  <w:footnote w:id="3">
    <w:p w:rsidR="00D024BD" w:rsidRPr="00D024BD" w:rsidRDefault="00D024BD">
      <w:pPr>
        <w:pStyle w:val="FootnoteText"/>
        <w:rPr>
          <w:sz w:val="26"/>
        </w:rPr>
      </w:pPr>
      <w:r>
        <w:tab/>
      </w:r>
      <w:r w:rsidRPr="00D024BD">
        <w:rPr>
          <w:rStyle w:val="FootnoteReference"/>
          <w:sz w:val="26"/>
        </w:rPr>
        <w:footnoteRef/>
      </w:r>
      <w:r w:rsidRPr="00D024BD">
        <w:rPr>
          <w:sz w:val="26"/>
        </w:rPr>
        <w:t xml:space="preserve"> </w:t>
      </w:r>
      <w:r>
        <w:rPr>
          <w:sz w:val="26"/>
        </w:rPr>
        <w:tab/>
      </w:r>
      <w:r w:rsidRPr="00D024BD">
        <w:rPr>
          <w:sz w:val="26"/>
        </w:rPr>
        <w:t>Non-standard service is a PECO term, which the Company defines as being located outside of the designated work zone/affected project area.  The work zone/affected project area includes all buildings/structures along the main and corner properties.</w:t>
      </w:r>
      <w:r w:rsidR="0072268B">
        <w:rPr>
          <w:sz w:val="26"/>
        </w:rPr>
        <w:t xml:space="preserve">  Settlement at 10 n.3.  </w:t>
      </w:r>
      <w:r w:rsidRPr="00D024BD">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CE"/>
    <w:multiLevelType w:val="hybridMultilevel"/>
    <w:tmpl w:val="DC3459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DB580D"/>
    <w:multiLevelType w:val="hybridMultilevel"/>
    <w:tmpl w:val="84E4A98E"/>
    <w:lvl w:ilvl="0" w:tplc="7A187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38779E"/>
    <w:multiLevelType w:val="hybridMultilevel"/>
    <w:tmpl w:val="D6587574"/>
    <w:lvl w:ilvl="0" w:tplc="0CEE7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6E62CA"/>
    <w:multiLevelType w:val="hybridMultilevel"/>
    <w:tmpl w:val="01D21EAA"/>
    <w:lvl w:ilvl="0" w:tplc="D1A8C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6D2773"/>
    <w:multiLevelType w:val="hybridMultilevel"/>
    <w:tmpl w:val="3FA4F5B4"/>
    <w:lvl w:ilvl="0" w:tplc="D1A8CD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D805C8"/>
    <w:multiLevelType w:val="hybridMultilevel"/>
    <w:tmpl w:val="C6DC9ACC"/>
    <w:lvl w:ilvl="0" w:tplc="D7FEC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E4F89"/>
    <w:multiLevelType w:val="hybridMultilevel"/>
    <w:tmpl w:val="DDB4C2E8"/>
    <w:lvl w:ilvl="0" w:tplc="9DD47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AD5448"/>
    <w:multiLevelType w:val="hybridMultilevel"/>
    <w:tmpl w:val="AB2E9224"/>
    <w:lvl w:ilvl="0" w:tplc="107E2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3"/>
  </w:num>
  <w:num w:numId="10">
    <w:abstractNumId w:val="12"/>
  </w:num>
  <w:num w:numId="11">
    <w:abstractNumId w:val="9"/>
  </w:num>
  <w:num w:numId="12">
    <w:abstractNumId w:val="4"/>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9A"/>
    <w:rsid w:val="00004E5B"/>
    <w:rsid w:val="00005617"/>
    <w:rsid w:val="000060F9"/>
    <w:rsid w:val="000234BA"/>
    <w:rsid w:val="00023CC8"/>
    <w:rsid w:val="00023D3C"/>
    <w:rsid w:val="000242CA"/>
    <w:rsid w:val="0002495C"/>
    <w:rsid w:val="000270E2"/>
    <w:rsid w:val="00032210"/>
    <w:rsid w:val="00041536"/>
    <w:rsid w:val="000439B2"/>
    <w:rsid w:val="000440CB"/>
    <w:rsid w:val="00046321"/>
    <w:rsid w:val="00046C0C"/>
    <w:rsid w:val="00046CAE"/>
    <w:rsid w:val="0004783E"/>
    <w:rsid w:val="0005518A"/>
    <w:rsid w:val="00062E18"/>
    <w:rsid w:val="000677DF"/>
    <w:rsid w:val="00067CB6"/>
    <w:rsid w:val="00067EA4"/>
    <w:rsid w:val="000710CE"/>
    <w:rsid w:val="0007174A"/>
    <w:rsid w:val="00074092"/>
    <w:rsid w:val="000741D7"/>
    <w:rsid w:val="00075DE1"/>
    <w:rsid w:val="000807D2"/>
    <w:rsid w:val="00084C71"/>
    <w:rsid w:val="000914BD"/>
    <w:rsid w:val="00091C5A"/>
    <w:rsid w:val="00092977"/>
    <w:rsid w:val="000934CC"/>
    <w:rsid w:val="0009353E"/>
    <w:rsid w:val="00093F1D"/>
    <w:rsid w:val="000976E2"/>
    <w:rsid w:val="00097FA0"/>
    <w:rsid w:val="000A27D2"/>
    <w:rsid w:val="000A2B74"/>
    <w:rsid w:val="000A30AE"/>
    <w:rsid w:val="000A507C"/>
    <w:rsid w:val="000A5A04"/>
    <w:rsid w:val="000A6775"/>
    <w:rsid w:val="000B1F71"/>
    <w:rsid w:val="000B30F4"/>
    <w:rsid w:val="000B3E0C"/>
    <w:rsid w:val="000C1561"/>
    <w:rsid w:val="000C1825"/>
    <w:rsid w:val="000C47CD"/>
    <w:rsid w:val="000C6FAA"/>
    <w:rsid w:val="000D017E"/>
    <w:rsid w:val="000D14CA"/>
    <w:rsid w:val="000D5CD2"/>
    <w:rsid w:val="000E35BD"/>
    <w:rsid w:val="000E4412"/>
    <w:rsid w:val="000E4EA1"/>
    <w:rsid w:val="000E6D8B"/>
    <w:rsid w:val="000E7968"/>
    <w:rsid w:val="000F1CD4"/>
    <w:rsid w:val="000F5C8F"/>
    <w:rsid w:val="000F690F"/>
    <w:rsid w:val="0010072F"/>
    <w:rsid w:val="00100F45"/>
    <w:rsid w:val="001018F8"/>
    <w:rsid w:val="00102F54"/>
    <w:rsid w:val="00103D93"/>
    <w:rsid w:val="001045C5"/>
    <w:rsid w:val="00104FB3"/>
    <w:rsid w:val="00105F3D"/>
    <w:rsid w:val="001102FF"/>
    <w:rsid w:val="00112E23"/>
    <w:rsid w:val="00120F27"/>
    <w:rsid w:val="001211B4"/>
    <w:rsid w:val="00121C0D"/>
    <w:rsid w:val="0012288D"/>
    <w:rsid w:val="00123FA5"/>
    <w:rsid w:val="00125E1D"/>
    <w:rsid w:val="00126D45"/>
    <w:rsid w:val="00130638"/>
    <w:rsid w:val="00130A58"/>
    <w:rsid w:val="00130F1A"/>
    <w:rsid w:val="00135157"/>
    <w:rsid w:val="00137573"/>
    <w:rsid w:val="00141946"/>
    <w:rsid w:val="00142718"/>
    <w:rsid w:val="00142E8F"/>
    <w:rsid w:val="00145C8B"/>
    <w:rsid w:val="001506F9"/>
    <w:rsid w:val="00150845"/>
    <w:rsid w:val="001512D0"/>
    <w:rsid w:val="0015190E"/>
    <w:rsid w:val="0015457C"/>
    <w:rsid w:val="0015467F"/>
    <w:rsid w:val="00155A51"/>
    <w:rsid w:val="001562E0"/>
    <w:rsid w:val="001572FC"/>
    <w:rsid w:val="00157EA0"/>
    <w:rsid w:val="0016014A"/>
    <w:rsid w:val="0016172D"/>
    <w:rsid w:val="00164E4D"/>
    <w:rsid w:val="00165A3B"/>
    <w:rsid w:val="00170098"/>
    <w:rsid w:val="00173B03"/>
    <w:rsid w:val="00175193"/>
    <w:rsid w:val="00175926"/>
    <w:rsid w:val="001765B0"/>
    <w:rsid w:val="001806A9"/>
    <w:rsid w:val="0018781A"/>
    <w:rsid w:val="0019024F"/>
    <w:rsid w:val="001914DF"/>
    <w:rsid w:val="00193936"/>
    <w:rsid w:val="00193D9A"/>
    <w:rsid w:val="001A1D90"/>
    <w:rsid w:val="001A2ACC"/>
    <w:rsid w:val="001A2FD3"/>
    <w:rsid w:val="001A338D"/>
    <w:rsid w:val="001A3868"/>
    <w:rsid w:val="001A6110"/>
    <w:rsid w:val="001A64BF"/>
    <w:rsid w:val="001A68BB"/>
    <w:rsid w:val="001A7E52"/>
    <w:rsid w:val="001B0BA4"/>
    <w:rsid w:val="001B1A87"/>
    <w:rsid w:val="001B4CAC"/>
    <w:rsid w:val="001B4DA4"/>
    <w:rsid w:val="001B6E7B"/>
    <w:rsid w:val="001C0BC1"/>
    <w:rsid w:val="001C1244"/>
    <w:rsid w:val="001C5764"/>
    <w:rsid w:val="001C5F7A"/>
    <w:rsid w:val="001D1A0B"/>
    <w:rsid w:val="001D1B4F"/>
    <w:rsid w:val="001D4A42"/>
    <w:rsid w:val="001D6489"/>
    <w:rsid w:val="001E1174"/>
    <w:rsid w:val="001E2818"/>
    <w:rsid w:val="001E6B70"/>
    <w:rsid w:val="001E7BF6"/>
    <w:rsid w:val="001F2899"/>
    <w:rsid w:val="001F2CC8"/>
    <w:rsid w:val="001F405E"/>
    <w:rsid w:val="002035AF"/>
    <w:rsid w:val="002124F5"/>
    <w:rsid w:val="00212DC1"/>
    <w:rsid w:val="00214083"/>
    <w:rsid w:val="00215069"/>
    <w:rsid w:val="00215EE6"/>
    <w:rsid w:val="00216C76"/>
    <w:rsid w:val="0022554C"/>
    <w:rsid w:val="00225907"/>
    <w:rsid w:val="00227C2C"/>
    <w:rsid w:val="00230D76"/>
    <w:rsid w:val="00232CBE"/>
    <w:rsid w:val="002345DE"/>
    <w:rsid w:val="002366D6"/>
    <w:rsid w:val="00236CA8"/>
    <w:rsid w:val="00237CD5"/>
    <w:rsid w:val="00241CFE"/>
    <w:rsid w:val="00241D7D"/>
    <w:rsid w:val="00242F7D"/>
    <w:rsid w:val="002455AB"/>
    <w:rsid w:val="00245F31"/>
    <w:rsid w:val="0024751C"/>
    <w:rsid w:val="002510A4"/>
    <w:rsid w:val="0025162D"/>
    <w:rsid w:val="002517B6"/>
    <w:rsid w:val="00253939"/>
    <w:rsid w:val="002550F1"/>
    <w:rsid w:val="00255F4B"/>
    <w:rsid w:val="0025666E"/>
    <w:rsid w:val="00257BDE"/>
    <w:rsid w:val="002619C1"/>
    <w:rsid w:val="00263371"/>
    <w:rsid w:val="002641B9"/>
    <w:rsid w:val="00266481"/>
    <w:rsid w:val="00270EA8"/>
    <w:rsid w:val="002718B5"/>
    <w:rsid w:val="00271E42"/>
    <w:rsid w:val="00273A0D"/>
    <w:rsid w:val="00273D32"/>
    <w:rsid w:val="00274FEA"/>
    <w:rsid w:val="00275CDD"/>
    <w:rsid w:val="0028146D"/>
    <w:rsid w:val="00281DC7"/>
    <w:rsid w:val="002839FE"/>
    <w:rsid w:val="0028479A"/>
    <w:rsid w:val="00284A45"/>
    <w:rsid w:val="00285296"/>
    <w:rsid w:val="00286B84"/>
    <w:rsid w:val="002878A3"/>
    <w:rsid w:val="00292C1A"/>
    <w:rsid w:val="002971E9"/>
    <w:rsid w:val="00297C5D"/>
    <w:rsid w:val="002A18A7"/>
    <w:rsid w:val="002A2BE9"/>
    <w:rsid w:val="002A2D1A"/>
    <w:rsid w:val="002A700C"/>
    <w:rsid w:val="002B0123"/>
    <w:rsid w:val="002B0C62"/>
    <w:rsid w:val="002B138F"/>
    <w:rsid w:val="002B36D8"/>
    <w:rsid w:val="002B4515"/>
    <w:rsid w:val="002B4B77"/>
    <w:rsid w:val="002C299E"/>
    <w:rsid w:val="002C4D08"/>
    <w:rsid w:val="002C7C9B"/>
    <w:rsid w:val="002D15B4"/>
    <w:rsid w:val="002D168C"/>
    <w:rsid w:val="002D2AE2"/>
    <w:rsid w:val="002D350F"/>
    <w:rsid w:val="002D40CD"/>
    <w:rsid w:val="002D46D8"/>
    <w:rsid w:val="002D57CE"/>
    <w:rsid w:val="002D5A09"/>
    <w:rsid w:val="002E1C19"/>
    <w:rsid w:val="002E1DC9"/>
    <w:rsid w:val="002E229E"/>
    <w:rsid w:val="002E3632"/>
    <w:rsid w:val="002E7FA1"/>
    <w:rsid w:val="002F45D4"/>
    <w:rsid w:val="002F5B09"/>
    <w:rsid w:val="002F63EA"/>
    <w:rsid w:val="002F784C"/>
    <w:rsid w:val="002F7EA0"/>
    <w:rsid w:val="00302B62"/>
    <w:rsid w:val="00302DC2"/>
    <w:rsid w:val="00303D41"/>
    <w:rsid w:val="00303FD8"/>
    <w:rsid w:val="00305487"/>
    <w:rsid w:val="00305EBA"/>
    <w:rsid w:val="0030687E"/>
    <w:rsid w:val="0031193B"/>
    <w:rsid w:val="003152BB"/>
    <w:rsid w:val="0032297A"/>
    <w:rsid w:val="003238A6"/>
    <w:rsid w:val="00324938"/>
    <w:rsid w:val="00326360"/>
    <w:rsid w:val="00326D2C"/>
    <w:rsid w:val="00327F21"/>
    <w:rsid w:val="0033283E"/>
    <w:rsid w:val="00332D79"/>
    <w:rsid w:val="003340D5"/>
    <w:rsid w:val="00335EAA"/>
    <w:rsid w:val="00340068"/>
    <w:rsid w:val="0034059B"/>
    <w:rsid w:val="0034368F"/>
    <w:rsid w:val="003438C0"/>
    <w:rsid w:val="00344891"/>
    <w:rsid w:val="00345AF4"/>
    <w:rsid w:val="00347250"/>
    <w:rsid w:val="003500E8"/>
    <w:rsid w:val="0035075F"/>
    <w:rsid w:val="00352B78"/>
    <w:rsid w:val="00355828"/>
    <w:rsid w:val="00356DD6"/>
    <w:rsid w:val="0036020C"/>
    <w:rsid w:val="00363D4E"/>
    <w:rsid w:val="003640BA"/>
    <w:rsid w:val="00365784"/>
    <w:rsid w:val="00365965"/>
    <w:rsid w:val="00365D5E"/>
    <w:rsid w:val="0037055E"/>
    <w:rsid w:val="0037640A"/>
    <w:rsid w:val="00376DE7"/>
    <w:rsid w:val="00377128"/>
    <w:rsid w:val="003846FF"/>
    <w:rsid w:val="003851BB"/>
    <w:rsid w:val="00385E27"/>
    <w:rsid w:val="003869D5"/>
    <w:rsid w:val="00390F97"/>
    <w:rsid w:val="00392270"/>
    <w:rsid w:val="00392598"/>
    <w:rsid w:val="003928CE"/>
    <w:rsid w:val="00393908"/>
    <w:rsid w:val="00394CCC"/>
    <w:rsid w:val="003951A5"/>
    <w:rsid w:val="003A1279"/>
    <w:rsid w:val="003A429E"/>
    <w:rsid w:val="003A50F2"/>
    <w:rsid w:val="003A5E2E"/>
    <w:rsid w:val="003A6032"/>
    <w:rsid w:val="003A6724"/>
    <w:rsid w:val="003A673E"/>
    <w:rsid w:val="003A6BBA"/>
    <w:rsid w:val="003A7D26"/>
    <w:rsid w:val="003B7515"/>
    <w:rsid w:val="003C018D"/>
    <w:rsid w:val="003C1BDB"/>
    <w:rsid w:val="003C1D21"/>
    <w:rsid w:val="003C3AD0"/>
    <w:rsid w:val="003C64A3"/>
    <w:rsid w:val="003C7EF2"/>
    <w:rsid w:val="003D10C0"/>
    <w:rsid w:val="003D2610"/>
    <w:rsid w:val="003D6941"/>
    <w:rsid w:val="003D7160"/>
    <w:rsid w:val="003E05B6"/>
    <w:rsid w:val="003E0DAB"/>
    <w:rsid w:val="003E3935"/>
    <w:rsid w:val="003E49F5"/>
    <w:rsid w:val="003E4CD1"/>
    <w:rsid w:val="003E73AC"/>
    <w:rsid w:val="003F03AA"/>
    <w:rsid w:val="003F1834"/>
    <w:rsid w:val="003F6177"/>
    <w:rsid w:val="003F7580"/>
    <w:rsid w:val="004010B2"/>
    <w:rsid w:val="004024FF"/>
    <w:rsid w:val="004035B8"/>
    <w:rsid w:val="00403961"/>
    <w:rsid w:val="0040401A"/>
    <w:rsid w:val="004046F5"/>
    <w:rsid w:val="00405BF2"/>
    <w:rsid w:val="00405EB9"/>
    <w:rsid w:val="004118DB"/>
    <w:rsid w:val="00411EF9"/>
    <w:rsid w:val="004126BC"/>
    <w:rsid w:val="00412B14"/>
    <w:rsid w:val="0041527A"/>
    <w:rsid w:val="00415CE3"/>
    <w:rsid w:val="00416195"/>
    <w:rsid w:val="0042008E"/>
    <w:rsid w:val="004219FD"/>
    <w:rsid w:val="004220FF"/>
    <w:rsid w:val="00423597"/>
    <w:rsid w:val="00424D8C"/>
    <w:rsid w:val="00425F1C"/>
    <w:rsid w:val="00426681"/>
    <w:rsid w:val="004272BB"/>
    <w:rsid w:val="004273F1"/>
    <w:rsid w:val="00432186"/>
    <w:rsid w:val="00432763"/>
    <w:rsid w:val="00443D19"/>
    <w:rsid w:val="00444EC0"/>
    <w:rsid w:val="00446E16"/>
    <w:rsid w:val="00446E67"/>
    <w:rsid w:val="0045232D"/>
    <w:rsid w:val="00453BC1"/>
    <w:rsid w:val="0045661F"/>
    <w:rsid w:val="004567D3"/>
    <w:rsid w:val="00456A33"/>
    <w:rsid w:val="00466ACD"/>
    <w:rsid w:val="00467290"/>
    <w:rsid w:val="00471F1E"/>
    <w:rsid w:val="00475475"/>
    <w:rsid w:val="0048262B"/>
    <w:rsid w:val="00484053"/>
    <w:rsid w:val="004900DD"/>
    <w:rsid w:val="0049115C"/>
    <w:rsid w:val="00493D1F"/>
    <w:rsid w:val="00495247"/>
    <w:rsid w:val="00496A4F"/>
    <w:rsid w:val="00497BC7"/>
    <w:rsid w:val="004A2B26"/>
    <w:rsid w:val="004A4372"/>
    <w:rsid w:val="004B676B"/>
    <w:rsid w:val="004B7FDB"/>
    <w:rsid w:val="004C165C"/>
    <w:rsid w:val="004C1754"/>
    <w:rsid w:val="004C2D8B"/>
    <w:rsid w:val="004C622F"/>
    <w:rsid w:val="004C6AA9"/>
    <w:rsid w:val="004C6BF0"/>
    <w:rsid w:val="004C6FF2"/>
    <w:rsid w:val="004C7599"/>
    <w:rsid w:val="004D3656"/>
    <w:rsid w:val="004D408A"/>
    <w:rsid w:val="004D70B2"/>
    <w:rsid w:val="004E0F31"/>
    <w:rsid w:val="004E515D"/>
    <w:rsid w:val="004E5314"/>
    <w:rsid w:val="004E764F"/>
    <w:rsid w:val="004E7C41"/>
    <w:rsid w:val="004F03F8"/>
    <w:rsid w:val="004F0750"/>
    <w:rsid w:val="004F221D"/>
    <w:rsid w:val="004F23A7"/>
    <w:rsid w:val="004F6B33"/>
    <w:rsid w:val="00502E1E"/>
    <w:rsid w:val="0050303E"/>
    <w:rsid w:val="0050360E"/>
    <w:rsid w:val="005043B7"/>
    <w:rsid w:val="0050526F"/>
    <w:rsid w:val="0050545F"/>
    <w:rsid w:val="00507EEA"/>
    <w:rsid w:val="00510BFB"/>
    <w:rsid w:val="00516CF6"/>
    <w:rsid w:val="00520ABD"/>
    <w:rsid w:val="005211A6"/>
    <w:rsid w:val="00525887"/>
    <w:rsid w:val="00531924"/>
    <w:rsid w:val="0053254C"/>
    <w:rsid w:val="00533780"/>
    <w:rsid w:val="00536F76"/>
    <w:rsid w:val="0053711C"/>
    <w:rsid w:val="0054353C"/>
    <w:rsid w:val="0054543D"/>
    <w:rsid w:val="005454BA"/>
    <w:rsid w:val="005458C8"/>
    <w:rsid w:val="005464BD"/>
    <w:rsid w:val="00546E57"/>
    <w:rsid w:val="005503C0"/>
    <w:rsid w:val="0055132A"/>
    <w:rsid w:val="005513E8"/>
    <w:rsid w:val="00551525"/>
    <w:rsid w:val="00552CA2"/>
    <w:rsid w:val="00555877"/>
    <w:rsid w:val="005606BD"/>
    <w:rsid w:val="005638B3"/>
    <w:rsid w:val="00564AE9"/>
    <w:rsid w:val="00566882"/>
    <w:rsid w:val="00566B47"/>
    <w:rsid w:val="005675FC"/>
    <w:rsid w:val="00572C72"/>
    <w:rsid w:val="00573CF8"/>
    <w:rsid w:val="00574C46"/>
    <w:rsid w:val="00576441"/>
    <w:rsid w:val="00576481"/>
    <w:rsid w:val="00577B24"/>
    <w:rsid w:val="005814A9"/>
    <w:rsid w:val="00581AE8"/>
    <w:rsid w:val="0058343A"/>
    <w:rsid w:val="005871BD"/>
    <w:rsid w:val="00590E67"/>
    <w:rsid w:val="00592C7A"/>
    <w:rsid w:val="00593B6E"/>
    <w:rsid w:val="00594567"/>
    <w:rsid w:val="005A0A6B"/>
    <w:rsid w:val="005A2731"/>
    <w:rsid w:val="005A57D6"/>
    <w:rsid w:val="005A6C3D"/>
    <w:rsid w:val="005A7DF2"/>
    <w:rsid w:val="005B1740"/>
    <w:rsid w:val="005B3F4E"/>
    <w:rsid w:val="005B5B5D"/>
    <w:rsid w:val="005B630F"/>
    <w:rsid w:val="005C03A3"/>
    <w:rsid w:val="005C17D0"/>
    <w:rsid w:val="005C4C8B"/>
    <w:rsid w:val="005C53D4"/>
    <w:rsid w:val="005D01F0"/>
    <w:rsid w:val="005D2032"/>
    <w:rsid w:val="005D32BA"/>
    <w:rsid w:val="005D4135"/>
    <w:rsid w:val="005D54E9"/>
    <w:rsid w:val="005D6081"/>
    <w:rsid w:val="005E3F11"/>
    <w:rsid w:val="005E4500"/>
    <w:rsid w:val="005E510B"/>
    <w:rsid w:val="005F04CF"/>
    <w:rsid w:val="005F3774"/>
    <w:rsid w:val="005F58D8"/>
    <w:rsid w:val="005F7949"/>
    <w:rsid w:val="005F7D32"/>
    <w:rsid w:val="006020DA"/>
    <w:rsid w:val="00604D9C"/>
    <w:rsid w:val="0060639C"/>
    <w:rsid w:val="006072C6"/>
    <w:rsid w:val="00610580"/>
    <w:rsid w:val="006119D1"/>
    <w:rsid w:val="00611DA5"/>
    <w:rsid w:val="00611E12"/>
    <w:rsid w:val="00617013"/>
    <w:rsid w:val="006211FB"/>
    <w:rsid w:val="00622C07"/>
    <w:rsid w:val="0062406F"/>
    <w:rsid w:val="00624A73"/>
    <w:rsid w:val="00624DB9"/>
    <w:rsid w:val="00624FB8"/>
    <w:rsid w:val="006255A2"/>
    <w:rsid w:val="00625F6D"/>
    <w:rsid w:val="006269AC"/>
    <w:rsid w:val="006278C5"/>
    <w:rsid w:val="006360F8"/>
    <w:rsid w:val="00636197"/>
    <w:rsid w:val="00636A38"/>
    <w:rsid w:val="00637EF2"/>
    <w:rsid w:val="00642B10"/>
    <w:rsid w:val="00650EFB"/>
    <w:rsid w:val="00653070"/>
    <w:rsid w:val="00654897"/>
    <w:rsid w:val="00655429"/>
    <w:rsid w:val="006556B1"/>
    <w:rsid w:val="00655867"/>
    <w:rsid w:val="00655D8B"/>
    <w:rsid w:val="0065713F"/>
    <w:rsid w:val="00660945"/>
    <w:rsid w:val="00660F43"/>
    <w:rsid w:val="00662110"/>
    <w:rsid w:val="006649D6"/>
    <w:rsid w:val="00671EE5"/>
    <w:rsid w:val="00672A96"/>
    <w:rsid w:val="006770B9"/>
    <w:rsid w:val="00686476"/>
    <w:rsid w:val="00692513"/>
    <w:rsid w:val="00693D3B"/>
    <w:rsid w:val="00697BA4"/>
    <w:rsid w:val="006A1BAF"/>
    <w:rsid w:val="006A722A"/>
    <w:rsid w:val="006B032B"/>
    <w:rsid w:val="006B47DF"/>
    <w:rsid w:val="006B4DF7"/>
    <w:rsid w:val="006C1A1B"/>
    <w:rsid w:val="006C5042"/>
    <w:rsid w:val="006C78C7"/>
    <w:rsid w:val="006D1361"/>
    <w:rsid w:val="006D21F2"/>
    <w:rsid w:val="006D35FF"/>
    <w:rsid w:val="006D50D0"/>
    <w:rsid w:val="006D5854"/>
    <w:rsid w:val="006D6827"/>
    <w:rsid w:val="006D6939"/>
    <w:rsid w:val="006D7522"/>
    <w:rsid w:val="006E20FA"/>
    <w:rsid w:val="006E38D1"/>
    <w:rsid w:val="006E69E3"/>
    <w:rsid w:val="006F007A"/>
    <w:rsid w:val="006F088D"/>
    <w:rsid w:val="006F1312"/>
    <w:rsid w:val="006F19E5"/>
    <w:rsid w:val="006F21EE"/>
    <w:rsid w:val="006F3748"/>
    <w:rsid w:val="006F382C"/>
    <w:rsid w:val="006F41DB"/>
    <w:rsid w:val="006F48A7"/>
    <w:rsid w:val="006F4A40"/>
    <w:rsid w:val="00701934"/>
    <w:rsid w:val="0070239D"/>
    <w:rsid w:val="0070624A"/>
    <w:rsid w:val="007105D2"/>
    <w:rsid w:val="00710A5A"/>
    <w:rsid w:val="00714CDB"/>
    <w:rsid w:val="007161ED"/>
    <w:rsid w:val="0072268B"/>
    <w:rsid w:val="007240A6"/>
    <w:rsid w:val="007248E9"/>
    <w:rsid w:val="007261C5"/>
    <w:rsid w:val="00726649"/>
    <w:rsid w:val="007308E9"/>
    <w:rsid w:val="00731762"/>
    <w:rsid w:val="00731F16"/>
    <w:rsid w:val="00732CE3"/>
    <w:rsid w:val="007354D1"/>
    <w:rsid w:val="00737CA8"/>
    <w:rsid w:val="007401B5"/>
    <w:rsid w:val="00741748"/>
    <w:rsid w:val="00743518"/>
    <w:rsid w:val="007465D5"/>
    <w:rsid w:val="00746B93"/>
    <w:rsid w:val="00753EA6"/>
    <w:rsid w:val="007549FF"/>
    <w:rsid w:val="007631A1"/>
    <w:rsid w:val="00764375"/>
    <w:rsid w:val="00765429"/>
    <w:rsid w:val="007673D6"/>
    <w:rsid w:val="007706CC"/>
    <w:rsid w:val="0077261B"/>
    <w:rsid w:val="00773260"/>
    <w:rsid w:val="007772A1"/>
    <w:rsid w:val="007827A7"/>
    <w:rsid w:val="00782D38"/>
    <w:rsid w:val="00783D49"/>
    <w:rsid w:val="007866B0"/>
    <w:rsid w:val="00787BC3"/>
    <w:rsid w:val="00791520"/>
    <w:rsid w:val="007A2649"/>
    <w:rsid w:val="007A5442"/>
    <w:rsid w:val="007A6643"/>
    <w:rsid w:val="007A68A4"/>
    <w:rsid w:val="007B18F5"/>
    <w:rsid w:val="007B63D0"/>
    <w:rsid w:val="007B678B"/>
    <w:rsid w:val="007C315E"/>
    <w:rsid w:val="007C6562"/>
    <w:rsid w:val="007D131E"/>
    <w:rsid w:val="007D1895"/>
    <w:rsid w:val="007D1DBB"/>
    <w:rsid w:val="007D28C7"/>
    <w:rsid w:val="007D4D17"/>
    <w:rsid w:val="007D5A3A"/>
    <w:rsid w:val="007D6A06"/>
    <w:rsid w:val="007D7016"/>
    <w:rsid w:val="007E1357"/>
    <w:rsid w:val="007E1E62"/>
    <w:rsid w:val="007E770C"/>
    <w:rsid w:val="007F083B"/>
    <w:rsid w:val="007F1CB6"/>
    <w:rsid w:val="007F2C48"/>
    <w:rsid w:val="007F5D41"/>
    <w:rsid w:val="00802707"/>
    <w:rsid w:val="00803C41"/>
    <w:rsid w:val="00805FD5"/>
    <w:rsid w:val="0080672D"/>
    <w:rsid w:val="008156DF"/>
    <w:rsid w:val="00816356"/>
    <w:rsid w:val="00816C44"/>
    <w:rsid w:val="008177CC"/>
    <w:rsid w:val="00817CED"/>
    <w:rsid w:val="00820B0F"/>
    <w:rsid w:val="00823190"/>
    <w:rsid w:val="0082347A"/>
    <w:rsid w:val="00823BD9"/>
    <w:rsid w:val="00825092"/>
    <w:rsid w:val="0083081A"/>
    <w:rsid w:val="0083116D"/>
    <w:rsid w:val="00831F52"/>
    <w:rsid w:val="00832CD3"/>
    <w:rsid w:val="008337E4"/>
    <w:rsid w:val="00834147"/>
    <w:rsid w:val="008348AF"/>
    <w:rsid w:val="008359BB"/>
    <w:rsid w:val="008374C7"/>
    <w:rsid w:val="00840AF9"/>
    <w:rsid w:val="00841643"/>
    <w:rsid w:val="00842234"/>
    <w:rsid w:val="00842D8B"/>
    <w:rsid w:val="00843091"/>
    <w:rsid w:val="008431DD"/>
    <w:rsid w:val="008434E2"/>
    <w:rsid w:val="00843F34"/>
    <w:rsid w:val="00844BFC"/>
    <w:rsid w:val="00844FCA"/>
    <w:rsid w:val="0084552E"/>
    <w:rsid w:val="008477A5"/>
    <w:rsid w:val="00847DB3"/>
    <w:rsid w:val="00851C76"/>
    <w:rsid w:val="00852A2B"/>
    <w:rsid w:val="00854615"/>
    <w:rsid w:val="00854B3C"/>
    <w:rsid w:val="00854C10"/>
    <w:rsid w:val="00854E09"/>
    <w:rsid w:val="008552B4"/>
    <w:rsid w:val="0085583E"/>
    <w:rsid w:val="00856D2A"/>
    <w:rsid w:val="0085772C"/>
    <w:rsid w:val="0086248F"/>
    <w:rsid w:val="00863F03"/>
    <w:rsid w:val="00864794"/>
    <w:rsid w:val="008651CF"/>
    <w:rsid w:val="00872DDB"/>
    <w:rsid w:val="00873119"/>
    <w:rsid w:val="00873D4D"/>
    <w:rsid w:val="0087600C"/>
    <w:rsid w:val="00876F31"/>
    <w:rsid w:val="008779A2"/>
    <w:rsid w:val="00882045"/>
    <w:rsid w:val="00887DCE"/>
    <w:rsid w:val="0089044D"/>
    <w:rsid w:val="00890FE4"/>
    <w:rsid w:val="00892ED4"/>
    <w:rsid w:val="00892FB8"/>
    <w:rsid w:val="008947B0"/>
    <w:rsid w:val="00896943"/>
    <w:rsid w:val="00897BF0"/>
    <w:rsid w:val="008A025B"/>
    <w:rsid w:val="008A11DB"/>
    <w:rsid w:val="008A1696"/>
    <w:rsid w:val="008A2714"/>
    <w:rsid w:val="008A3713"/>
    <w:rsid w:val="008B0076"/>
    <w:rsid w:val="008B070D"/>
    <w:rsid w:val="008B250A"/>
    <w:rsid w:val="008B343E"/>
    <w:rsid w:val="008B3EDF"/>
    <w:rsid w:val="008B4F3A"/>
    <w:rsid w:val="008B60B1"/>
    <w:rsid w:val="008B65DD"/>
    <w:rsid w:val="008B662D"/>
    <w:rsid w:val="008B6D35"/>
    <w:rsid w:val="008B745E"/>
    <w:rsid w:val="008B7C40"/>
    <w:rsid w:val="008C06F1"/>
    <w:rsid w:val="008C148A"/>
    <w:rsid w:val="008C14A3"/>
    <w:rsid w:val="008C161D"/>
    <w:rsid w:val="008C1A57"/>
    <w:rsid w:val="008C2853"/>
    <w:rsid w:val="008C4D25"/>
    <w:rsid w:val="008C78B8"/>
    <w:rsid w:val="008D1C8B"/>
    <w:rsid w:val="008D42C6"/>
    <w:rsid w:val="008D49FE"/>
    <w:rsid w:val="008D4A2F"/>
    <w:rsid w:val="008D77F5"/>
    <w:rsid w:val="008D7D18"/>
    <w:rsid w:val="008E38CB"/>
    <w:rsid w:val="008E39A1"/>
    <w:rsid w:val="008E3AA0"/>
    <w:rsid w:val="008E3E79"/>
    <w:rsid w:val="00902F6F"/>
    <w:rsid w:val="0090418B"/>
    <w:rsid w:val="009047A1"/>
    <w:rsid w:val="00905392"/>
    <w:rsid w:val="00905779"/>
    <w:rsid w:val="00905DE8"/>
    <w:rsid w:val="00906150"/>
    <w:rsid w:val="009061CE"/>
    <w:rsid w:val="0090728F"/>
    <w:rsid w:val="009136E0"/>
    <w:rsid w:val="00915140"/>
    <w:rsid w:val="009162EF"/>
    <w:rsid w:val="0091726D"/>
    <w:rsid w:val="00917CE7"/>
    <w:rsid w:val="00922A20"/>
    <w:rsid w:val="009274CF"/>
    <w:rsid w:val="00930B71"/>
    <w:rsid w:val="00931FBF"/>
    <w:rsid w:val="0093312A"/>
    <w:rsid w:val="009336B6"/>
    <w:rsid w:val="0093724E"/>
    <w:rsid w:val="00937292"/>
    <w:rsid w:val="009428C0"/>
    <w:rsid w:val="00943F3B"/>
    <w:rsid w:val="00945770"/>
    <w:rsid w:val="00945DB2"/>
    <w:rsid w:val="00945E7D"/>
    <w:rsid w:val="0094757C"/>
    <w:rsid w:val="00950EF9"/>
    <w:rsid w:val="00956979"/>
    <w:rsid w:val="00960BFB"/>
    <w:rsid w:val="0096170D"/>
    <w:rsid w:val="00963F82"/>
    <w:rsid w:val="00966F17"/>
    <w:rsid w:val="00970448"/>
    <w:rsid w:val="00971939"/>
    <w:rsid w:val="0097306C"/>
    <w:rsid w:val="00973A5C"/>
    <w:rsid w:val="00973C3C"/>
    <w:rsid w:val="00974381"/>
    <w:rsid w:val="009760A8"/>
    <w:rsid w:val="009768BA"/>
    <w:rsid w:val="0098167D"/>
    <w:rsid w:val="0098198A"/>
    <w:rsid w:val="00982671"/>
    <w:rsid w:val="009842AD"/>
    <w:rsid w:val="009855F4"/>
    <w:rsid w:val="00985603"/>
    <w:rsid w:val="0099382B"/>
    <w:rsid w:val="009941F8"/>
    <w:rsid w:val="009965D4"/>
    <w:rsid w:val="0099774D"/>
    <w:rsid w:val="009A4486"/>
    <w:rsid w:val="009B090E"/>
    <w:rsid w:val="009B168D"/>
    <w:rsid w:val="009B22A7"/>
    <w:rsid w:val="009B3F83"/>
    <w:rsid w:val="009B4438"/>
    <w:rsid w:val="009C0486"/>
    <w:rsid w:val="009C2690"/>
    <w:rsid w:val="009C767A"/>
    <w:rsid w:val="009D280E"/>
    <w:rsid w:val="009D5497"/>
    <w:rsid w:val="009D69BD"/>
    <w:rsid w:val="009E042C"/>
    <w:rsid w:val="009E464A"/>
    <w:rsid w:val="009E46B5"/>
    <w:rsid w:val="009E4E4E"/>
    <w:rsid w:val="009E6663"/>
    <w:rsid w:val="009F5AA2"/>
    <w:rsid w:val="009F77E5"/>
    <w:rsid w:val="00A0023E"/>
    <w:rsid w:val="00A01E19"/>
    <w:rsid w:val="00A02F36"/>
    <w:rsid w:val="00A0320A"/>
    <w:rsid w:val="00A07175"/>
    <w:rsid w:val="00A14ACC"/>
    <w:rsid w:val="00A23408"/>
    <w:rsid w:val="00A37812"/>
    <w:rsid w:val="00A3782D"/>
    <w:rsid w:val="00A442BC"/>
    <w:rsid w:val="00A446F5"/>
    <w:rsid w:val="00A44CF8"/>
    <w:rsid w:val="00A452F3"/>
    <w:rsid w:val="00A45BEB"/>
    <w:rsid w:val="00A46A90"/>
    <w:rsid w:val="00A60A21"/>
    <w:rsid w:val="00A60AD5"/>
    <w:rsid w:val="00A60BE7"/>
    <w:rsid w:val="00A61DB8"/>
    <w:rsid w:val="00A63028"/>
    <w:rsid w:val="00A71E2C"/>
    <w:rsid w:val="00A73E46"/>
    <w:rsid w:val="00A74381"/>
    <w:rsid w:val="00A7522F"/>
    <w:rsid w:val="00A76719"/>
    <w:rsid w:val="00A80A49"/>
    <w:rsid w:val="00A80C49"/>
    <w:rsid w:val="00A81427"/>
    <w:rsid w:val="00A8344B"/>
    <w:rsid w:val="00A8579F"/>
    <w:rsid w:val="00A85ABE"/>
    <w:rsid w:val="00A87A53"/>
    <w:rsid w:val="00A9426C"/>
    <w:rsid w:val="00A95362"/>
    <w:rsid w:val="00A96247"/>
    <w:rsid w:val="00AA373B"/>
    <w:rsid w:val="00AA3765"/>
    <w:rsid w:val="00AA5243"/>
    <w:rsid w:val="00AA5C8E"/>
    <w:rsid w:val="00AA6266"/>
    <w:rsid w:val="00AA6F30"/>
    <w:rsid w:val="00AA7128"/>
    <w:rsid w:val="00AA7948"/>
    <w:rsid w:val="00AB1FD3"/>
    <w:rsid w:val="00AB3DEE"/>
    <w:rsid w:val="00AC089C"/>
    <w:rsid w:val="00AC0A53"/>
    <w:rsid w:val="00AC21ED"/>
    <w:rsid w:val="00AC308E"/>
    <w:rsid w:val="00AC4615"/>
    <w:rsid w:val="00AD72F9"/>
    <w:rsid w:val="00AE08C9"/>
    <w:rsid w:val="00AE4AE8"/>
    <w:rsid w:val="00AF39E2"/>
    <w:rsid w:val="00AF4335"/>
    <w:rsid w:val="00AF547F"/>
    <w:rsid w:val="00B012ED"/>
    <w:rsid w:val="00B01E44"/>
    <w:rsid w:val="00B023E1"/>
    <w:rsid w:val="00B0483E"/>
    <w:rsid w:val="00B12EA7"/>
    <w:rsid w:val="00B14DCB"/>
    <w:rsid w:val="00B15DE7"/>
    <w:rsid w:val="00B16EA7"/>
    <w:rsid w:val="00B237A0"/>
    <w:rsid w:val="00B23B05"/>
    <w:rsid w:val="00B25E59"/>
    <w:rsid w:val="00B26D5E"/>
    <w:rsid w:val="00B318BF"/>
    <w:rsid w:val="00B32F16"/>
    <w:rsid w:val="00B36E9A"/>
    <w:rsid w:val="00B36F31"/>
    <w:rsid w:val="00B40038"/>
    <w:rsid w:val="00B40DC4"/>
    <w:rsid w:val="00B4183C"/>
    <w:rsid w:val="00B44AB6"/>
    <w:rsid w:val="00B4689B"/>
    <w:rsid w:val="00B47701"/>
    <w:rsid w:val="00B5089A"/>
    <w:rsid w:val="00B5284D"/>
    <w:rsid w:val="00B535F9"/>
    <w:rsid w:val="00B576DE"/>
    <w:rsid w:val="00B6320E"/>
    <w:rsid w:val="00B638D2"/>
    <w:rsid w:val="00B652D8"/>
    <w:rsid w:val="00B66110"/>
    <w:rsid w:val="00B70F5B"/>
    <w:rsid w:val="00B71A70"/>
    <w:rsid w:val="00B725E3"/>
    <w:rsid w:val="00B72960"/>
    <w:rsid w:val="00B76AC6"/>
    <w:rsid w:val="00B8008A"/>
    <w:rsid w:val="00B85CEB"/>
    <w:rsid w:val="00B85F7E"/>
    <w:rsid w:val="00B8656A"/>
    <w:rsid w:val="00B8713A"/>
    <w:rsid w:val="00B90AC8"/>
    <w:rsid w:val="00B9258B"/>
    <w:rsid w:val="00B92FA4"/>
    <w:rsid w:val="00B93E13"/>
    <w:rsid w:val="00B97B53"/>
    <w:rsid w:val="00BA19F2"/>
    <w:rsid w:val="00BA2BC7"/>
    <w:rsid w:val="00BA41C3"/>
    <w:rsid w:val="00BA5985"/>
    <w:rsid w:val="00BB1349"/>
    <w:rsid w:val="00BB1BE3"/>
    <w:rsid w:val="00BB2492"/>
    <w:rsid w:val="00BB2B2D"/>
    <w:rsid w:val="00BC15CD"/>
    <w:rsid w:val="00BC48F5"/>
    <w:rsid w:val="00BC62C3"/>
    <w:rsid w:val="00BC7FBB"/>
    <w:rsid w:val="00BD1C6B"/>
    <w:rsid w:val="00BD5C50"/>
    <w:rsid w:val="00BD5E8D"/>
    <w:rsid w:val="00BD5EF9"/>
    <w:rsid w:val="00BD6A82"/>
    <w:rsid w:val="00BD75B9"/>
    <w:rsid w:val="00BE135C"/>
    <w:rsid w:val="00BE1B9E"/>
    <w:rsid w:val="00BE2FB7"/>
    <w:rsid w:val="00BE4183"/>
    <w:rsid w:val="00BE552B"/>
    <w:rsid w:val="00BE71E9"/>
    <w:rsid w:val="00BE768A"/>
    <w:rsid w:val="00BF0F0E"/>
    <w:rsid w:val="00BF1E61"/>
    <w:rsid w:val="00BF4FBE"/>
    <w:rsid w:val="00BF66C8"/>
    <w:rsid w:val="00BF6F51"/>
    <w:rsid w:val="00C0031E"/>
    <w:rsid w:val="00C00719"/>
    <w:rsid w:val="00C017D4"/>
    <w:rsid w:val="00C02115"/>
    <w:rsid w:val="00C0384D"/>
    <w:rsid w:val="00C0727C"/>
    <w:rsid w:val="00C11BA8"/>
    <w:rsid w:val="00C12B3C"/>
    <w:rsid w:val="00C1349D"/>
    <w:rsid w:val="00C14AB7"/>
    <w:rsid w:val="00C17461"/>
    <w:rsid w:val="00C240F7"/>
    <w:rsid w:val="00C3214F"/>
    <w:rsid w:val="00C3553B"/>
    <w:rsid w:val="00C35EEC"/>
    <w:rsid w:val="00C37F69"/>
    <w:rsid w:val="00C50314"/>
    <w:rsid w:val="00C52847"/>
    <w:rsid w:val="00C540E7"/>
    <w:rsid w:val="00C636F3"/>
    <w:rsid w:val="00C64983"/>
    <w:rsid w:val="00C668C7"/>
    <w:rsid w:val="00C6695B"/>
    <w:rsid w:val="00C67FCA"/>
    <w:rsid w:val="00C706BB"/>
    <w:rsid w:val="00C72C0A"/>
    <w:rsid w:val="00C74921"/>
    <w:rsid w:val="00C757A4"/>
    <w:rsid w:val="00C771A5"/>
    <w:rsid w:val="00C777F2"/>
    <w:rsid w:val="00C8029D"/>
    <w:rsid w:val="00C84EEE"/>
    <w:rsid w:val="00C86C67"/>
    <w:rsid w:val="00C87377"/>
    <w:rsid w:val="00C90E63"/>
    <w:rsid w:val="00C93516"/>
    <w:rsid w:val="00C93590"/>
    <w:rsid w:val="00C9553C"/>
    <w:rsid w:val="00CA0C4E"/>
    <w:rsid w:val="00CA0D34"/>
    <w:rsid w:val="00CA1856"/>
    <w:rsid w:val="00CA195E"/>
    <w:rsid w:val="00CA27E1"/>
    <w:rsid w:val="00CA4B3B"/>
    <w:rsid w:val="00CA6087"/>
    <w:rsid w:val="00CA62E6"/>
    <w:rsid w:val="00CA7C34"/>
    <w:rsid w:val="00CB2092"/>
    <w:rsid w:val="00CB29A0"/>
    <w:rsid w:val="00CB41B1"/>
    <w:rsid w:val="00CC6EA7"/>
    <w:rsid w:val="00CC7505"/>
    <w:rsid w:val="00CD1594"/>
    <w:rsid w:val="00CD1602"/>
    <w:rsid w:val="00CD61D4"/>
    <w:rsid w:val="00CD62F5"/>
    <w:rsid w:val="00CD7941"/>
    <w:rsid w:val="00CE091D"/>
    <w:rsid w:val="00CE1D7A"/>
    <w:rsid w:val="00CE4963"/>
    <w:rsid w:val="00CE5873"/>
    <w:rsid w:val="00CE5FB8"/>
    <w:rsid w:val="00CE65AC"/>
    <w:rsid w:val="00CE7264"/>
    <w:rsid w:val="00CF0A93"/>
    <w:rsid w:val="00CF2F3D"/>
    <w:rsid w:val="00CF6879"/>
    <w:rsid w:val="00CF7DE4"/>
    <w:rsid w:val="00D013B2"/>
    <w:rsid w:val="00D02015"/>
    <w:rsid w:val="00D024BD"/>
    <w:rsid w:val="00D0763B"/>
    <w:rsid w:val="00D138BF"/>
    <w:rsid w:val="00D16118"/>
    <w:rsid w:val="00D16A49"/>
    <w:rsid w:val="00D1728D"/>
    <w:rsid w:val="00D17307"/>
    <w:rsid w:val="00D22EC4"/>
    <w:rsid w:val="00D233B6"/>
    <w:rsid w:val="00D24AE1"/>
    <w:rsid w:val="00D25FDB"/>
    <w:rsid w:val="00D26BA8"/>
    <w:rsid w:val="00D276D4"/>
    <w:rsid w:val="00D3323A"/>
    <w:rsid w:val="00D33433"/>
    <w:rsid w:val="00D34C7A"/>
    <w:rsid w:val="00D36FFA"/>
    <w:rsid w:val="00D40194"/>
    <w:rsid w:val="00D41AB9"/>
    <w:rsid w:val="00D4229A"/>
    <w:rsid w:val="00D44314"/>
    <w:rsid w:val="00D45D98"/>
    <w:rsid w:val="00D53341"/>
    <w:rsid w:val="00D60DCB"/>
    <w:rsid w:val="00D7100B"/>
    <w:rsid w:val="00D7618F"/>
    <w:rsid w:val="00D83ED9"/>
    <w:rsid w:val="00D8599E"/>
    <w:rsid w:val="00D85D8C"/>
    <w:rsid w:val="00D879C3"/>
    <w:rsid w:val="00D94500"/>
    <w:rsid w:val="00D94F4D"/>
    <w:rsid w:val="00D95A86"/>
    <w:rsid w:val="00DA16E1"/>
    <w:rsid w:val="00DA3901"/>
    <w:rsid w:val="00DA4FB5"/>
    <w:rsid w:val="00DB0342"/>
    <w:rsid w:val="00DB27E9"/>
    <w:rsid w:val="00DB4CD4"/>
    <w:rsid w:val="00DB5C93"/>
    <w:rsid w:val="00DB7930"/>
    <w:rsid w:val="00DC15D6"/>
    <w:rsid w:val="00DC340B"/>
    <w:rsid w:val="00DC556C"/>
    <w:rsid w:val="00DC73F6"/>
    <w:rsid w:val="00DC7448"/>
    <w:rsid w:val="00DC7F0B"/>
    <w:rsid w:val="00DD03D8"/>
    <w:rsid w:val="00DD040D"/>
    <w:rsid w:val="00DD05A8"/>
    <w:rsid w:val="00DD3A55"/>
    <w:rsid w:val="00DD57C0"/>
    <w:rsid w:val="00DD7C6E"/>
    <w:rsid w:val="00DE509B"/>
    <w:rsid w:val="00DE606B"/>
    <w:rsid w:val="00DE7401"/>
    <w:rsid w:val="00DE7E1A"/>
    <w:rsid w:val="00DF4A5B"/>
    <w:rsid w:val="00DF5544"/>
    <w:rsid w:val="00DF5585"/>
    <w:rsid w:val="00DF5F6D"/>
    <w:rsid w:val="00DF6504"/>
    <w:rsid w:val="00DF67DD"/>
    <w:rsid w:val="00E01A34"/>
    <w:rsid w:val="00E01EE6"/>
    <w:rsid w:val="00E10A23"/>
    <w:rsid w:val="00E14FDA"/>
    <w:rsid w:val="00E15111"/>
    <w:rsid w:val="00E1615D"/>
    <w:rsid w:val="00E2083C"/>
    <w:rsid w:val="00E20DE7"/>
    <w:rsid w:val="00E226CD"/>
    <w:rsid w:val="00E274B8"/>
    <w:rsid w:val="00E30304"/>
    <w:rsid w:val="00E30A7C"/>
    <w:rsid w:val="00E40297"/>
    <w:rsid w:val="00E40A3F"/>
    <w:rsid w:val="00E44210"/>
    <w:rsid w:val="00E442AC"/>
    <w:rsid w:val="00E443DC"/>
    <w:rsid w:val="00E44DF3"/>
    <w:rsid w:val="00E46188"/>
    <w:rsid w:val="00E47603"/>
    <w:rsid w:val="00E510F3"/>
    <w:rsid w:val="00E5266B"/>
    <w:rsid w:val="00E52C09"/>
    <w:rsid w:val="00E56EEE"/>
    <w:rsid w:val="00E61914"/>
    <w:rsid w:val="00E61C47"/>
    <w:rsid w:val="00E61ED3"/>
    <w:rsid w:val="00E622A5"/>
    <w:rsid w:val="00E62396"/>
    <w:rsid w:val="00E65F28"/>
    <w:rsid w:val="00E66713"/>
    <w:rsid w:val="00E719B9"/>
    <w:rsid w:val="00E72925"/>
    <w:rsid w:val="00E738AB"/>
    <w:rsid w:val="00E7426A"/>
    <w:rsid w:val="00E750B4"/>
    <w:rsid w:val="00E76AE3"/>
    <w:rsid w:val="00E81674"/>
    <w:rsid w:val="00E83901"/>
    <w:rsid w:val="00E83D6E"/>
    <w:rsid w:val="00E84436"/>
    <w:rsid w:val="00E878EA"/>
    <w:rsid w:val="00E910B3"/>
    <w:rsid w:val="00EA11A7"/>
    <w:rsid w:val="00EA126A"/>
    <w:rsid w:val="00EA1620"/>
    <w:rsid w:val="00EA321D"/>
    <w:rsid w:val="00EA5D8A"/>
    <w:rsid w:val="00EB0F45"/>
    <w:rsid w:val="00EB354A"/>
    <w:rsid w:val="00EB35CF"/>
    <w:rsid w:val="00EB696E"/>
    <w:rsid w:val="00EB6B4F"/>
    <w:rsid w:val="00EC3E3C"/>
    <w:rsid w:val="00EC4FD8"/>
    <w:rsid w:val="00EC6332"/>
    <w:rsid w:val="00EC7FBC"/>
    <w:rsid w:val="00ED00D7"/>
    <w:rsid w:val="00ED1A7E"/>
    <w:rsid w:val="00ED1F9A"/>
    <w:rsid w:val="00ED284D"/>
    <w:rsid w:val="00ED2EBA"/>
    <w:rsid w:val="00ED598A"/>
    <w:rsid w:val="00EE5496"/>
    <w:rsid w:val="00EE556E"/>
    <w:rsid w:val="00EE5AC5"/>
    <w:rsid w:val="00EF183F"/>
    <w:rsid w:val="00EF1A7D"/>
    <w:rsid w:val="00EF1CD0"/>
    <w:rsid w:val="00EF4EDD"/>
    <w:rsid w:val="00EF7700"/>
    <w:rsid w:val="00F05527"/>
    <w:rsid w:val="00F058E8"/>
    <w:rsid w:val="00F06394"/>
    <w:rsid w:val="00F13ACA"/>
    <w:rsid w:val="00F13CB5"/>
    <w:rsid w:val="00F16092"/>
    <w:rsid w:val="00F16155"/>
    <w:rsid w:val="00F161FC"/>
    <w:rsid w:val="00F20135"/>
    <w:rsid w:val="00F2275A"/>
    <w:rsid w:val="00F23E94"/>
    <w:rsid w:val="00F25CEF"/>
    <w:rsid w:val="00F26FD8"/>
    <w:rsid w:val="00F32EC2"/>
    <w:rsid w:val="00F349A2"/>
    <w:rsid w:val="00F34FBA"/>
    <w:rsid w:val="00F35B47"/>
    <w:rsid w:val="00F377BD"/>
    <w:rsid w:val="00F40556"/>
    <w:rsid w:val="00F4093E"/>
    <w:rsid w:val="00F45995"/>
    <w:rsid w:val="00F45A00"/>
    <w:rsid w:val="00F50F7F"/>
    <w:rsid w:val="00F5190E"/>
    <w:rsid w:val="00F52EF3"/>
    <w:rsid w:val="00F541DF"/>
    <w:rsid w:val="00F545C1"/>
    <w:rsid w:val="00F560A3"/>
    <w:rsid w:val="00F571F8"/>
    <w:rsid w:val="00F577F1"/>
    <w:rsid w:val="00F604BE"/>
    <w:rsid w:val="00F60BDB"/>
    <w:rsid w:val="00F60F4C"/>
    <w:rsid w:val="00F619BD"/>
    <w:rsid w:val="00F64D1E"/>
    <w:rsid w:val="00F673BA"/>
    <w:rsid w:val="00F717E3"/>
    <w:rsid w:val="00F72CF1"/>
    <w:rsid w:val="00F74B85"/>
    <w:rsid w:val="00F75D1D"/>
    <w:rsid w:val="00F77A75"/>
    <w:rsid w:val="00F80855"/>
    <w:rsid w:val="00F80CD7"/>
    <w:rsid w:val="00F81EA0"/>
    <w:rsid w:val="00F82393"/>
    <w:rsid w:val="00F8414E"/>
    <w:rsid w:val="00F864E0"/>
    <w:rsid w:val="00F9492C"/>
    <w:rsid w:val="00F9581A"/>
    <w:rsid w:val="00F96104"/>
    <w:rsid w:val="00FA264F"/>
    <w:rsid w:val="00FA66AE"/>
    <w:rsid w:val="00FA7826"/>
    <w:rsid w:val="00FB0E1F"/>
    <w:rsid w:val="00FB1331"/>
    <w:rsid w:val="00FB24F6"/>
    <w:rsid w:val="00FB27C4"/>
    <w:rsid w:val="00FB345B"/>
    <w:rsid w:val="00FB6BD8"/>
    <w:rsid w:val="00FB7BB8"/>
    <w:rsid w:val="00FC4645"/>
    <w:rsid w:val="00FC59DD"/>
    <w:rsid w:val="00FC7FA0"/>
    <w:rsid w:val="00FD21D7"/>
    <w:rsid w:val="00FD330B"/>
    <w:rsid w:val="00FD4AA8"/>
    <w:rsid w:val="00FD6628"/>
    <w:rsid w:val="00FD6E8E"/>
    <w:rsid w:val="00FE4F2E"/>
    <w:rsid w:val="00FE651C"/>
    <w:rsid w:val="00FE775F"/>
    <w:rsid w:val="00FE7AFF"/>
    <w:rsid w:val="00FE7E77"/>
    <w:rsid w:val="00FF0D22"/>
    <w:rsid w:val="00FF2ED6"/>
    <w:rsid w:val="00FF5A9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196">
      <w:bodyDiv w:val="1"/>
      <w:marLeft w:val="0"/>
      <w:marRight w:val="0"/>
      <w:marTop w:val="0"/>
      <w:marBottom w:val="0"/>
      <w:divBdr>
        <w:top w:val="none" w:sz="0" w:space="0" w:color="auto"/>
        <w:left w:val="none" w:sz="0" w:space="0" w:color="auto"/>
        <w:bottom w:val="none" w:sz="0" w:space="0" w:color="auto"/>
        <w:right w:val="none" w:sz="0" w:space="0" w:color="auto"/>
      </w:divBdr>
    </w:div>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2ACA-74C4-46F6-A806-5972663E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92</cp:revision>
  <cp:lastPrinted>2016-10-27T18:00:00Z</cp:lastPrinted>
  <dcterms:created xsi:type="dcterms:W3CDTF">2016-08-31T15:52:00Z</dcterms:created>
  <dcterms:modified xsi:type="dcterms:W3CDTF">2016-10-27T18:00:00Z</dcterms:modified>
</cp:coreProperties>
</file>