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90" w:type="dxa"/>
        <w:tblInd w:w="-702" w:type="dxa"/>
        <w:tblLayout w:type="fixed"/>
        <w:tblLook w:val="0000" w:firstRow="0" w:lastRow="0" w:firstColumn="0" w:lastColumn="0" w:noHBand="0" w:noVBand="0"/>
      </w:tblPr>
      <w:tblGrid>
        <w:gridCol w:w="1363"/>
        <w:gridCol w:w="7817"/>
        <w:gridCol w:w="1710"/>
      </w:tblGrid>
      <w:tr w:rsidR="005C5D56" w:rsidRPr="005C5D56" w:rsidTr="00B87787">
        <w:trPr>
          <w:trHeight w:val="990"/>
        </w:trPr>
        <w:tc>
          <w:tcPr>
            <w:tcW w:w="1363" w:type="dxa"/>
          </w:tcPr>
          <w:p w:rsidR="005C5D56" w:rsidRPr="005C5D56" w:rsidRDefault="005C5D56" w:rsidP="005C5D56">
            <w:pPr>
              <w:rPr>
                <w:rFonts w:ascii="Times New Roman" w:eastAsia="Times New Roman" w:hAnsi="Times New Roman" w:cs="Times New Roman"/>
                <w:sz w:val="24"/>
                <w:szCs w:val="24"/>
              </w:rPr>
            </w:pPr>
            <w:r w:rsidRPr="005C5D56">
              <w:rPr>
                <w:rFonts w:ascii="Times New Roman" w:eastAsia="Times New Roman" w:hAnsi="Times New Roman" w:cs="Times New Roman"/>
                <w:noProof/>
                <w:spacing w:val="-2"/>
                <w:sz w:val="24"/>
                <w:szCs w:val="24"/>
              </w:rPr>
              <w:drawing>
                <wp:inline distT="0" distB="0" distL="0" distR="0" wp14:anchorId="410F5C96" wp14:editId="055FC74E">
                  <wp:extent cx="723900" cy="72390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7817" w:type="dxa"/>
          </w:tcPr>
          <w:p w:rsidR="005C5D56" w:rsidRPr="005C5D56" w:rsidRDefault="005C5D56" w:rsidP="005C5D56">
            <w:pPr>
              <w:suppressAutoHyphens/>
              <w:spacing w:line="204" w:lineRule="auto"/>
              <w:jc w:val="center"/>
              <w:rPr>
                <w:rFonts w:ascii="Arial" w:eastAsia="Times New Roman" w:hAnsi="Arial" w:cs="Times New Roman"/>
                <w:color w:val="000080"/>
                <w:spacing w:val="-3"/>
                <w:sz w:val="26"/>
                <w:szCs w:val="24"/>
              </w:rPr>
            </w:pPr>
          </w:p>
          <w:p w:rsidR="005C5D56" w:rsidRPr="005C5D56" w:rsidRDefault="005C5D56" w:rsidP="005C5D56">
            <w:pPr>
              <w:suppressAutoHyphens/>
              <w:spacing w:line="204" w:lineRule="auto"/>
              <w:jc w:val="center"/>
              <w:rPr>
                <w:rFonts w:ascii="Arial" w:eastAsia="Times New Roman" w:hAnsi="Arial" w:cs="Times New Roman"/>
                <w:color w:val="000080"/>
                <w:spacing w:val="-3"/>
                <w:sz w:val="26"/>
                <w:szCs w:val="24"/>
              </w:rPr>
            </w:pPr>
            <w:smartTag w:uri="urn:schemas-microsoft-com:office:smarttags" w:element="place">
              <w:smartTag w:uri="urn:schemas-microsoft-com:office:smarttags" w:element="PlaceType">
                <w:r w:rsidRPr="005C5D56">
                  <w:rPr>
                    <w:rFonts w:ascii="Arial" w:eastAsia="Times New Roman" w:hAnsi="Arial" w:cs="Times New Roman"/>
                    <w:color w:val="000080"/>
                    <w:spacing w:val="-3"/>
                    <w:sz w:val="26"/>
                    <w:szCs w:val="24"/>
                  </w:rPr>
                  <w:t>COMMONWEALTH</w:t>
                </w:r>
              </w:smartTag>
              <w:r w:rsidRPr="005C5D56">
                <w:rPr>
                  <w:rFonts w:ascii="Arial" w:eastAsia="Times New Roman" w:hAnsi="Arial" w:cs="Times New Roman"/>
                  <w:color w:val="000080"/>
                  <w:spacing w:val="-3"/>
                  <w:sz w:val="26"/>
                  <w:szCs w:val="24"/>
                </w:rPr>
                <w:t xml:space="preserve"> OF </w:t>
              </w:r>
              <w:smartTag w:uri="urn:schemas-microsoft-com:office:smarttags" w:element="PlaceName">
                <w:r w:rsidRPr="005C5D56">
                  <w:rPr>
                    <w:rFonts w:ascii="Arial" w:eastAsia="Times New Roman" w:hAnsi="Arial" w:cs="Times New Roman"/>
                    <w:color w:val="000080"/>
                    <w:spacing w:val="-3"/>
                    <w:sz w:val="26"/>
                    <w:szCs w:val="24"/>
                  </w:rPr>
                  <w:t>PENNSYLVANIA</w:t>
                </w:r>
              </w:smartTag>
            </w:smartTag>
          </w:p>
          <w:p w:rsidR="005C5D56" w:rsidRPr="005C5D56" w:rsidRDefault="005C5D56" w:rsidP="005C5D56">
            <w:pPr>
              <w:suppressAutoHyphens/>
              <w:spacing w:line="204" w:lineRule="auto"/>
              <w:jc w:val="center"/>
              <w:rPr>
                <w:rFonts w:ascii="Arial" w:eastAsia="Times New Roman" w:hAnsi="Arial" w:cs="Times New Roman"/>
                <w:color w:val="000080"/>
                <w:spacing w:val="-3"/>
                <w:sz w:val="26"/>
                <w:szCs w:val="24"/>
              </w:rPr>
            </w:pPr>
            <w:smartTag w:uri="urn:schemas-microsoft-com:office:smarttags" w:element="place">
              <w:smartTag w:uri="urn:schemas-microsoft-com:office:smarttags" w:element="State">
                <w:r w:rsidRPr="005C5D56">
                  <w:rPr>
                    <w:rFonts w:ascii="Arial" w:eastAsia="Times New Roman" w:hAnsi="Arial" w:cs="Times New Roman"/>
                    <w:color w:val="000080"/>
                    <w:spacing w:val="-3"/>
                    <w:sz w:val="26"/>
                    <w:szCs w:val="24"/>
                  </w:rPr>
                  <w:t>PENNSYLVANIA</w:t>
                </w:r>
              </w:smartTag>
            </w:smartTag>
            <w:r w:rsidRPr="005C5D56">
              <w:rPr>
                <w:rFonts w:ascii="Arial" w:eastAsia="Times New Roman" w:hAnsi="Arial" w:cs="Times New Roman"/>
                <w:color w:val="000080"/>
                <w:spacing w:val="-3"/>
                <w:sz w:val="26"/>
                <w:szCs w:val="24"/>
              </w:rPr>
              <w:t xml:space="preserve"> PUBLIC UTILITY COMMISSION</w:t>
            </w:r>
          </w:p>
          <w:p w:rsidR="005C5D56" w:rsidRPr="005C5D56" w:rsidRDefault="005C5D56" w:rsidP="005C5D56">
            <w:pPr>
              <w:jc w:val="center"/>
              <w:rPr>
                <w:rFonts w:ascii="Arial" w:eastAsia="Times New Roman" w:hAnsi="Arial" w:cs="Times New Roman"/>
                <w:sz w:val="12"/>
                <w:szCs w:val="24"/>
              </w:rPr>
            </w:pPr>
            <w:r w:rsidRPr="005C5D56">
              <w:rPr>
                <w:rFonts w:ascii="Arial" w:eastAsia="Times New Roman" w:hAnsi="Arial" w:cs="Times New Roman"/>
                <w:color w:val="000080"/>
                <w:spacing w:val="-3"/>
                <w:sz w:val="26"/>
                <w:szCs w:val="24"/>
              </w:rPr>
              <w:t xml:space="preserve">P.O. </w:t>
            </w:r>
            <w:smartTag w:uri="urn:schemas-microsoft-com:office:smarttags" w:element="address">
              <w:smartTag w:uri="urn:schemas-microsoft-com:office:smarttags" w:element="Street">
                <w:r w:rsidRPr="005C5D56">
                  <w:rPr>
                    <w:rFonts w:ascii="Arial" w:eastAsia="Times New Roman" w:hAnsi="Arial" w:cs="Times New Roman"/>
                    <w:color w:val="000080"/>
                    <w:spacing w:val="-3"/>
                    <w:sz w:val="26"/>
                    <w:szCs w:val="24"/>
                  </w:rPr>
                  <w:t>BOX 3265</w:t>
                </w:r>
              </w:smartTag>
              <w:r w:rsidRPr="005C5D56">
                <w:rPr>
                  <w:rFonts w:ascii="Arial" w:eastAsia="Times New Roman" w:hAnsi="Arial" w:cs="Times New Roman"/>
                  <w:color w:val="000080"/>
                  <w:spacing w:val="-3"/>
                  <w:sz w:val="26"/>
                  <w:szCs w:val="24"/>
                </w:rPr>
                <w:t xml:space="preserve">, </w:t>
              </w:r>
              <w:smartTag w:uri="urn:schemas-microsoft-com:office:smarttags" w:element="City">
                <w:r w:rsidRPr="005C5D56">
                  <w:rPr>
                    <w:rFonts w:ascii="Arial" w:eastAsia="Times New Roman" w:hAnsi="Arial" w:cs="Times New Roman"/>
                    <w:color w:val="000080"/>
                    <w:spacing w:val="-3"/>
                    <w:sz w:val="26"/>
                    <w:szCs w:val="24"/>
                  </w:rPr>
                  <w:t>HARRISBURG</w:t>
                </w:r>
              </w:smartTag>
              <w:r w:rsidRPr="005C5D56">
                <w:rPr>
                  <w:rFonts w:ascii="Arial" w:eastAsia="Times New Roman" w:hAnsi="Arial" w:cs="Times New Roman"/>
                  <w:color w:val="000080"/>
                  <w:spacing w:val="-3"/>
                  <w:sz w:val="26"/>
                  <w:szCs w:val="24"/>
                </w:rPr>
                <w:t xml:space="preserve">, </w:t>
              </w:r>
              <w:smartTag w:uri="urn:schemas-microsoft-com:office:smarttags" w:element="State">
                <w:r w:rsidRPr="005C5D56">
                  <w:rPr>
                    <w:rFonts w:ascii="Arial" w:eastAsia="Times New Roman" w:hAnsi="Arial" w:cs="Times New Roman"/>
                    <w:color w:val="000080"/>
                    <w:spacing w:val="-3"/>
                    <w:sz w:val="26"/>
                    <w:szCs w:val="24"/>
                  </w:rPr>
                  <w:t>PA</w:t>
                </w:r>
              </w:smartTag>
              <w:r w:rsidRPr="005C5D56">
                <w:rPr>
                  <w:rFonts w:ascii="Arial" w:eastAsia="Times New Roman" w:hAnsi="Arial" w:cs="Times New Roman"/>
                  <w:color w:val="000080"/>
                  <w:spacing w:val="-3"/>
                  <w:sz w:val="26"/>
                  <w:szCs w:val="24"/>
                </w:rPr>
                <w:t xml:space="preserve"> </w:t>
              </w:r>
              <w:smartTag w:uri="urn:schemas-microsoft-com:office:smarttags" w:element="PostalCode">
                <w:r w:rsidRPr="005C5D56">
                  <w:rPr>
                    <w:rFonts w:ascii="Arial" w:eastAsia="Times New Roman" w:hAnsi="Arial" w:cs="Times New Roman"/>
                    <w:color w:val="000080"/>
                    <w:spacing w:val="-3"/>
                    <w:sz w:val="26"/>
                    <w:szCs w:val="24"/>
                  </w:rPr>
                  <w:t>17105-3265</w:t>
                </w:r>
              </w:smartTag>
            </w:smartTag>
          </w:p>
        </w:tc>
        <w:tc>
          <w:tcPr>
            <w:tcW w:w="1710" w:type="dxa"/>
          </w:tcPr>
          <w:p w:rsidR="005C5D56" w:rsidRPr="005C5D56" w:rsidRDefault="005C5D56" w:rsidP="005C5D56">
            <w:pPr>
              <w:rPr>
                <w:rFonts w:ascii="Arial" w:eastAsia="Times New Roman" w:hAnsi="Arial" w:cs="Times New Roman"/>
                <w:sz w:val="12"/>
                <w:szCs w:val="24"/>
              </w:rPr>
            </w:pPr>
          </w:p>
          <w:p w:rsidR="005C5D56" w:rsidRPr="005C5D56" w:rsidRDefault="005C5D56" w:rsidP="005C5D56">
            <w:pPr>
              <w:rPr>
                <w:rFonts w:ascii="Arial" w:eastAsia="Times New Roman" w:hAnsi="Arial" w:cs="Times New Roman"/>
                <w:sz w:val="12"/>
                <w:szCs w:val="24"/>
              </w:rPr>
            </w:pPr>
          </w:p>
          <w:p w:rsidR="005C5D56" w:rsidRDefault="005C5D56" w:rsidP="005C5D56">
            <w:pPr>
              <w:jc w:val="right"/>
              <w:rPr>
                <w:rFonts w:ascii="Arial" w:eastAsia="Times New Roman" w:hAnsi="Arial" w:cs="Times New Roman"/>
                <w:b/>
                <w:spacing w:val="-1"/>
                <w:sz w:val="12"/>
                <w:szCs w:val="24"/>
              </w:rPr>
            </w:pPr>
            <w:r w:rsidRPr="005C5D56">
              <w:rPr>
                <w:rFonts w:ascii="Arial" w:eastAsia="Times New Roman" w:hAnsi="Arial" w:cs="Times New Roman"/>
                <w:b/>
                <w:spacing w:val="-1"/>
                <w:sz w:val="12"/>
                <w:szCs w:val="24"/>
              </w:rPr>
              <w:t>IN REPLY PLEASE REFER TO OUR FILE</w:t>
            </w:r>
          </w:p>
          <w:p w:rsidR="00B87787" w:rsidRDefault="00B87787" w:rsidP="005C5D56">
            <w:pPr>
              <w:jc w:val="right"/>
              <w:rPr>
                <w:rFonts w:ascii="Arial" w:eastAsia="Times New Roman" w:hAnsi="Arial" w:cs="Times New Roman"/>
                <w:b/>
                <w:spacing w:val="-1"/>
                <w:sz w:val="12"/>
                <w:szCs w:val="24"/>
              </w:rPr>
            </w:pPr>
          </w:p>
          <w:p w:rsidR="00B87787" w:rsidRPr="00B05908" w:rsidRDefault="00B87787" w:rsidP="005C5D56">
            <w:pPr>
              <w:jc w:val="right"/>
              <w:rPr>
                <w:rFonts w:ascii="Arial" w:eastAsia="Times New Roman" w:hAnsi="Arial" w:cs="Times New Roman"/>
                <w:b/>
                <w:spacing w:val="-1"/>
                <w:sz w:val="16"/>
                <w:szCs w:val="24"/>
              </w:rPr>
            </w:pPr>
            <w:r w:rsidRPr="00B05908">
              <w:rPr>
                <w:rFonts w:ascii="Arial" w:eastAsia="Times New Roman" w:hAnsi="Arial" w:cs="Times New Roman"/>
                <w:b/>
                <w:spacing w:val="-1"/>
                <w:sz w:val="16"/>
                <w:szCs w:val="24"/>
              </w:rPr>
              <w:t>M-2012-2317272</w:t>
            </w:r>
          </w:p>
          <w:p w:rsidR="00B87787" w:rsidRPr="005C5D56" w:rsidRDefault="00B87787" w:rsidP="005C5D56">
            <w:pPr>
              <w:jc w:val="right"/>
              <w:rPr>
                <w:rFonts w:ascii="Arial" w:eastAsia="Times New Roman" w:hAnsi="Arial" w:cs="Times New Roman"/>
                <w:sz w:val="12"/>
                <w:szCs w:val="24"/>
              </w:rPr>
            </w:pPr>
            <w:r w:rsidRPr="00B05908">
              <w:rPr>
                <w:rFonts w:ascii="Arial" w:eastAsia="Times New Roman" w:hAnsi="Arial" w:cs="Times New Roman"/>
                <w:b/>
                <w:spacing w:val="-1"/>
                <w:sz w:val="16"/>
                <w:szCs w:val="24"/>
              </w:rPr>
              <w:t>M-2012-2293611</w:t>
            </w:r>
          </w:p>
        </w:tc>
      </w:tr>
    </w:tbl>
    <w:p w:rsidR="005C5D56" w:rsidRDefault="000D7EE6" w:rsidP="00682519">
      <w:pPr>
        <w:jc w:val="center"/>
        <w:rPr>
          <w:rFonts w:ascii="Times New Roman" w:hAnsi="Times New Roman" w:cs="Times New Roman"/>
          <w:b/>
          <w:sz w:val="24"/>
          <w:szCs w:val="24"/>
        </w:rPr>
      </w:pPr>
      <w:r>
        <w:rPr>
          <w:rFonts w:ascii="Times New Roman" w:hAnsi="Times New Roman" w:cs="Times New Roman"/>
          <w:b/>
          <w:sz w:val="24"/>
          <w:szCs w:val="24"/>
        </w:rPr>
        <w:t>November 27, 2017</w:t>
      </w:r>
    </w:p>
    <w:p w:rsidR="005C5D56" w:rsidRDefault="005C5D56">
      <w:pPr>
        <w:rPr>
          <w:rFonts w:ascii="Times New Roman" w:hAnsi="Times New Roman" w:cs="Times New Roman"/>
          <w:b/>
          <w:sz w:val="24"/>
          <w:szCs w:val="24"/>
        </w:rPr>
      </w:pPr>
    </w:p>
    <w:p w:rsidR="00B87787" w:rsidRDefault="00B87787">
      <w:pPr>
        <w:rPr>
          <w:rFonts w:ascii="Times New Roman" w:hAnsi="Times New Roman" w:cs="Times New Roman"/>
          <w:b/>
          <w:sz w:val="24"/>
          <w:szCs w:val="24"/>
        </w:rPr>
      </w:pPr>
    </w:p>
    <w:p w:rsidR="00B87787" w:rsidRDefault="00B87787">
      <w:pPr>
        <w:rPr>
          <w:rFonts w:ascii="Times New Roman" w:hAnsi="Times New Roman" w:cs="Times New Roman"/>
          <w:b/>
          <w:sz w:val="24"/>
          <w:szCs w:val="24"/>
        </w:rPr>
      </w:pPr>
    </w:p>
    <w:p w:rsidR="00D94552" w:rsidRDefault="007E1188">
      <w:pPr>
        <w:rPr>
          <w:rFonts w:ascii="Times New Roman" w:hAnsi="Times New Roman" w:cs="Times New Roman"/>
          <w:b/>
          <w:sz w:val="24"/>
          <w:szCs w:val="24"/>
        </w:rPr>
      </w:pPr>
      <w:r w:rsidRPr="007E1188">
        <w:rPr>
          <w:rFonts w:ascii="Times New Roman" w:hAnsi="Times New Roman" w:cs="Times New Roman"/>
          <w:b/>
          <w:sz w:val="24"/>
          <w:szCs w:val="24"/>
        </w:rPr>
        <w:t>TO ALL INTERESTED PARTIES</w:t>
      </w:r>
      <w:r w:rsidR="00B87787">
        <w:rPr>
          <w:rFonts w:ascii="Times New Roman" w:hAnsi="Times New Roman" w:cs="Times New Roman"/>
          <w:b/>
          <w:sz w:val="24"/>
          <w:szCs w:val="24"/>
        </w:rPr>
        <w:t>:</w:t>
      </w:r>
    </w:p>
    <w:p w:rsidR="00D94552" w:rsidRDefault="00D94552">
      <w:pPr>
        <w:rPr>
          <w:rFonts w:ascii="Times New Roman" w:hAnsi="Times New Roman" w:cs="Times New Roman"/>
          <w:b/>
          <w:sz w:val="24"/>
          <w:szCs w:val="24"/>
        </w:rPr>
      </w:pPr>
    </w:p>
    <w:p w:rsidR="00D94552" w:rsidRDefault="00D94552">
      <w:pPr>
        <w:rPr>
          <w:rFonts w:ascii="Times New Roman" w:hAnsi="Times New Roman" w:cs="Times New Roman"/>
          <w:b/>
          <w:sz w:val="24"/>
          <w:szCs w:val="24"/>
        </w:rPr>
      </w:pPr>
    </w:p>
    <w:p w:rsidR="00B87787" w:rsidRDefault="00B87787">
      <w:pPr>
        <w:rPr>
          <w:rFonts w:ascii="Times New Roman" w:hAnsi="Times New Roman" w:cs="Times New Roman"/>
          <w:b/>
          <w:sz w:val="24"/>
          <w:szCs w:val="24"/>
        </w:rPr>
      </w:pPr>
      <w:r>
        <w:rPr>
          <w:rFonts w:ascii="Times New Roman" w:hAnsi="Times New Roman" w:cs="Times New Roman"/>
          <w:b/>
          <w:sz w:val="24"/>
          <w:szCs w:val="24"/>
        </w:rPr>
        <w:tab/>
        <w:t>Re:</w:t>
      </w:r>
      <w:r>
        <w:rPr>
          <w:rFonts w:ascii="Times New Roman" w:hAnsi="Times New Roman" w:cs="Times New Roman"/>
          <w:b/>
          <w:sz w:val="24"/>
          <w:szCs w:val="24"/>
        </w:rPr>
        <w:tab/>
        <w:t>ROE Working Group, M-2012-22</w:t>
      </w:r>
      <w:r w:rsidR="000B5CE9">
        <w:rPr>
          <w:rFonts w:ascii="Times New Roman" w:hAnsi="Times New Roman" w:cs="Times New Roman"/>
          <w:b/>
          <w:sz w:val="24"/>
          <w:szCs w:val="24"/>
        </w:rPr>
        <w:t>9</w:t>
      </w:r>
      <w:r>
        <w:rPr>
          <w:rFonts w:ascii="Times New Roman" w:hAnsi="Times New Roman" w:cs="Times New Roman"/>
          <w:b/>
          <w:sz w:val="24"/>
          <w:szCs w:val="24"/>
        </w:rPr>
        <w:t>3611</w:t>
      </w:r>
    </w:p>
    <w:p w:rsidR="00B87787" w:rsidRDefault="00B87787">
      <w:pP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 xml:space="preserve">Act </w:t>
      </w:r>
      <w:r w:rsidR="00662F39">
        <w:rPr>
          <w:rFonts w:ascii="Times New Roman" w:hAnsi="Times New Roman" w:cs="Times New Roman"/>
          <w:b/>
          <w:sz w:val="24"/>
          <w:szCs w:val="24"/>
        </w:rPr>
        <w:t>11</w:t>
      </w:r>
      <w:r>
        <w:rPr>
          <w:rFonts w:ascii="Times New Roman" w:hAnsi="Times New Roman" w:cs="Times New Roman"/>
          <w:b/>
          <w:sz w:val="24"/>
          <w:szCs w:val="24"/>
        </w:rPr>
        <w:t xml:space="preserve"> Final Implementation Order, M-2012-2317272 </w:t>
      </w:r>
    </w:p>
    <w:p w:rsidR="00B87787" w:rsidRDefault="00B87787">
      <w:pPr>
        <w:rPr>
          <w:rFonts w:ascii="Times New Roman" w:hAnsi="Times New Roman" w:cs="Times New Roman"/>
          <w:b/>
          <w:sz w:val="24"/>
          <w:szCs w:val="24"/>
        </w:rPr>
      </w:pPr>
    </w:p>
    <w:p w:rsidR="00D21D12" w:rsidRDefault="00B87787" w:rsidP="00270023">
      <w:pPr>
        <w:ind w:firstLine="720"/>
        <w:rPr>
          <w:rFonts w:ascii="Times New Roman" w:hAnsi="Times New Roman" w:cs="Times New Roman"/>
          <w:sz w:val="24"/>
          <w:szCs w:val="24"/>
        </w:rPr>
      </w:pPr>
      <w:r w:rsidRPr="00B87787">
        <w:rPr>
          <w:rFonts w:ascii="Times New Roman" w:hAnsi="Times New Roman" w:cs="Times New Roman"/>
          <w:sz w:val="24"/>
          <w:szCs w:val="24"/>
        </w:rPr>
        <w:t>Act 11 of 2012</w:t>
      </w:r>
      <w:r w:rsidR="00401636" w:rsidRPr="00574EC4">
        <w:rPr>
          <w:rStyle w:val="FootnoteReference"/>
        </w:rPr>
        <w:footnoteReference w:id="1"/>
      </w:r>
      <w:r w:rsidR="00214AAA">
        <w:rPr>
          <w:rFonts w:ascii="Times New Roman" w:hAnsi="Times New Roman" w:cs="Times New Roman"/>
          <w:sz w:val="24"/>
          <w:szCs w:val="24"/>
        </w:rPr>
        <w:t xml:space="preserve"> (Act 11)</w:t>
      </w:r>
      <w:r w:rsidRPr="00B87787">
        <w:rPr>
          <w:rFonts w:ascii="Times New Roman" w:hAnsi="Times New Roman" w:cs="Times New Roman"/>
          <w:sz w:val="24"/>
          <w:szCs w:val="24"/>
        </w:rPr>
        <w:t xml:space="preserve">, </w:t>
      </w:r>
      <w:r w:rsidRPr="00B87787">
        <w:rPr>
          <w:rFonts w:ascii="Times New Roman" w:hAnsi="Times New Roman" w:cs="Times New Roman"/>
          <w:i/>
          <w:sz w:val="24"/>
          <w:szCs w:val="24"/>
        </w:rPr>
        <w:t>inter alia</w:t>
      </w:r>
      <w:r w:rsidRPr="00B87787">
        <w:rPr>
          <w:rFonts w:ascii="Times New Roman" w:hAnsi="Times New Roman" w:cs="Times New Roman"/>
          <w:sz w:val="24"/>
          <w:szCs w:val="24"/>
        </w:rPr>
        <w:t>, allows jurisdictional water and wastewater utilities, electric distribution companies (EDCs), natural gas distribution companies (NGDCs)</w:t>
      </w:r>
      <w:r w:rsidR="00B05908">
        <w:rPr>
          <w:rFonts w:ascii="Times New Roman" w:hAnsi="Times New Roman" w:cs="Times New Roman"/>
          <w:sz w:val="24"/>
          <w:szCs w:val="24"/>
        </w:rPr>
        <w:t xml:space="preserve">, and a </w:t>
      </w:r>
      <w:r w:rsidRPr="00B87787">
        <w:rPr>
          <w:rFonts w:ascii="Times New Roman" w:hAnsi="Times New Roman" w:cs="Times New Roman"/>
          <w:sz w:val="24"/>
          <w:szCs w:val="24"/>
        </w:rPr>
        <w:t xml:space="preserve">city natural gas distribution operation </w:t>
      </w:r>
      <w:r>
        <w:rPr>
          <w:rFonts w:ascii="Times New Roman" w:hAnsi="Times New Roman" w:cs="Times New Roman"/>
          <w:sz w:val="24"/>
          <w:szCs w:val="24"/>
        </w:rPr>
        <w:t xml:space="preserve">(CNGDO) </w:t>
      </w:r>
      <w:r w:rsidRPr="00B87787">
        <w:rPr>
          <w:rFonts w:ascii="Times New Roman" w:hAnsi="Times New Roman" w:cs="Times New Roman"/>
          <w:sz w:val="24"/>
          <w:szCs w:val="24"/>
        </w:rPr>
        <w:t>to petition for a di</w:t>
      </w:r>
      <w:r w:rsidRPr="00B87787">
        <w:rPr>
          <w:rFonts w:ascii="Times New Roman" w:hAnsi="Times New Roman" w:cs="Times New Roman"/>
          <w:bCs/>
          <w:sz w:val="24"/>
          <w:szCs w:val="24"/>
        </w:rPr>
        <w:t>stribution system improvement charge (DSIC).</w:t>
      </w:r>
      <w:r w:rsidR="00D21D12">
        <w:rPr>
          <w:rFonts w:ascii="Times New Roman" w:hAnsi="Times New Roman" w:cs="Times New Roman"/>
          <w:bCs/>
          <w:sz w:val="24"/>
          <w:szCs w:val="24"/>
        </w:rPr>
        <w:t xml:space="preserve">  </w:t>
      </w:r>
      <w:r w:rsidR="00E02F6C">
        <w:rPr>
          <w:rFonts w:ascii="Times New Roman" w:hAnsi="Times New Roman" w:cs="Times New Roman"/>
          <w:sz w:val="24"/>
          <w:szCs w:val="24"/>
        </w:rPr>
        <w:t xml:space="preserve">A </w:t>
      </w:r>
      <w:r w:rsidR="00270023">
        <w:rPr>
          <w:rFonts w:ascii="Times New Roman" w:hAnsi="Times New Roman" w:cs="Times New Roman"/>
          <w:sz w:val="24"/>
          <w:szCs w:val="24"/>
        </w:rPr>
        <w:t xml:space="preserve">DSIC </w:t>
      </w:r>
      <w:r w:rsidR="00D21D12">
        <w:rPr>
          <w:rFonts w:ascii="Times New Roman" w:hAnsi="Times New Roman" w:cs="Times New Roman"/>
          <w:sz w:val="24"/>
          <w:szCs w:val="24"/>
        </w:rPr>
        <w:t>will allow utilities to timely recover “the reasonable and prudent costs incurred to repair, improve or replace eligible property in order to ensure and maintain adequate, efficient, safe, reliable and reasonable service.”  66 Pa. C.S. §</w:t>
      </w:r>
      <w:r w:rsidR="0078373D">
        <w:rPr>
          <w:rFonts w:ascii="Times New Roman" w:hAnsi="Times New Roman" w:cs="Times New Roman"/>
          <w:sz w:val="24"/>
          <w:szCs w:val="24"/>
        </w:rPr>
        <w:t xml:space="preserve"> </w:t>
      </w:r>
      <w:r w:rsidR="00D21D12">
        <w:rPr>
          <w:rFonts w:ascii="Times New Roman" w:hAnsi="Times New Roman" w:cs="Times New Roman"/>
          <w:sz w:val="24"/>
          <w:szCs w:val="24"/>
        </w:rPr>
        <w:t xml:space="preserve">1353(a).  </w:t>
      </w:r>
    </w:p>
    <w:p w:rsidR="00D21D12" w:rsidRDefault="00D21D12" w:rsidP="00270023">
      <w:pPr>
        <w:ind w:firstLine="720"/>
        <w:rPr>
          <w:rFonts w:ascii="Times New Roman" w:hAnsi="Times New Roman" w:cs="Times New Roman"/>
          <w:sz w:val="24"/>
          <w:szCs w:val="24"/>
        </w:rPr>
      </w:pPr>
    </w:p>
    <w:p w:rsidR="00D21D12" w:rsidRDefault="00D21D12" w:rsidP="00270023">
      <w:pPr>
        <w:ind w:firstLine="720"/>
        <w:rPr>
          <w:rFonts w:ascii="Times New Roman" w:hAnsi="Times New Roman" w:cs="Times New Roman"/>
          <w:sz w:val="24"/>
          <w:szCs w:val="24"/>
        </w:rPr>
      </w:pPr>
      <w:r>
        <w:rPr>
          <w:rFonts w:ascii="Times New Roman" w:hAnsi="Times New Roman" w:cs="Times New Roman"/>
          <w:sz w:val="24"/>
          <w:szCs w:val="24"/>
        </w:rPr>
        <w:t xml:space="preserve">A key component in the DSIC recovery calculation is the </w:t>
      </w:r>
      <w:r w:rsidR="00E02F6C">
        <w:rPr>
          <w:rFonts w:ascii="Times New Roman" w:hAnsi="Times New Roman" w:cs="Times New Roman"/>
          <w:sz w:val="24"/>
          <w:szCs w:val="24"/>
        </w:rPr>
        <w:t>return on equity (</w:t>
      </w:r>
      <w:r w:rsidR="00270023">
        <w:rPr>
          <w:rFonts w:ascii="Times New Roman" w:hAnsi="Times New Roman" w:cs="Times New Roman"/>
          <w:sz w:val="24"/>
          <w:szCs w:val="24"/>
        </w:rPr>
        <w:t>ROE</w:t>
      </w:r>
      <w:r w:rsidR="00E02F6C">
        <w:rPr>
          <w:rFonts w:ascii="Times New Roman" w:hAnsi="Times New Roman" w:cs="Times New Roman"/>
          <w:sz w:val="24"/>
          <w:szCs w:val="24"/>
        </w:rPr>
        <w:t>)</w:t>
      </w:r>
      <w:r>
        <w:rPr>
          <w:rFonts w:ascii="Times New Roman" w:hAnsi="Times New Roman" w:cs="Times New Roman"/>
          <w:sz w:val="24"/>
          <w:szCs w:val="24"/>
        </w:rPr>
        <w:t>.  The ROE</w:t>
      </w:r>
      <w:r w:rsidR="00270023">
        <w:rPr>
          <w:rFonts w:ascii="Times New Roman" w:hAnsi="Times New Roman" w:cs="Times New Roman"/>
          <w:sz w:val="24"/>
          <w:szCs w:val="24"/>
        </w:rPr>
        <w:t xml:space="preserve"> </w:t>
      </w:r>
      <w:r w:rsidR="00B87787">
        <w:rPr>
          <w:rFonts w:ascii="Times New Roman" w:hAnsi="Times New Roman" w:cs="Times New Roman"/>
          <w:sz w:val="24"/>
          <w:szCs w:val="24"/>
        </w:rPr>
        <w:t xml:space="preserve">should </w:t>
      </w:r>
      <w:r w:rsidR="00270023">
        <w:rPr>
          <w:rFonts w:ascii="Times New Roman" w:hAnsi="Times New Roman" w:cs="Times New Roman"/>
          <w:sz w:val="24"/>
          <w:szCs w:val="24"/>
        </w:rPr>
        <w:t xml:space="preserve">balance the </w:t>
      </w:r>
      <w:r w:rsidR="00B43034">
        <w:rPr>
          <w:rFonts w:ascii="Times New Roman" w:hAnsi="Times New Roman" w:cs="Times New Roman"/>
          <w:sz w:val="24"/>
          <w:szCs w:val="24"/>
        </w:rPr>
        <w:t>interests</w:t>
      </w:r>
      <w:r w:rsidR="00270023">
        <w:rPr>
          <w:rFonts w:ascii="Times New Roman" w:hAnsi="Times New Roman" w:cs="Times New Roman"/>
          <w:sz w:val="24"/>
          <w:szCs w:val="24"/>
        </w:rPr>
        <w:t xml:space="preserve"> of consumers and utilities</w:t>
      </w:r>
      <w:r>
        <w:rPr>
          <w:rFonts w:ascii="Times New Roman" w:hAnsi="Times New Roman" w:cs="Times New Roman"/>
          <w:sz w:val="24"/>
          <w:szCs w:val="24"/>
        </w:rPr>
        <w:t xml:space="preserve">, and be </w:t>
      </w:r>
      <w:r w:rsidR="00E02F6C">
        <w:rPr>
          <w:rFonts w:ascii="Times New Roman" w:hAnsi="Times New Roman" w:cs="Times New Roman"/>
          <w:sz w:val="24"/>
          <w:szCs w:val="24"/>
        </w:rPr>
        <w:t>sufficient to attract</w:t>
      </w:r>
      <w:r>
        <w:rPr>
          <w:rFonts w:ascii="Times New Roman" w:hAnsi="Times New Roman" w:cs="Times New Roman"/>
          <w:sz w:val="24"/>
          <w:szCs w:val="24"/>
        </w:rPr>
        <w:t>, at reasonable rates,</w:t>
      </w:r>
      <w:r w:rsidR="00E02F6C">
        <w:rPr>
          <w:rFonts w:ascii="Times New Roman" w:hAnsi="Times New Roman" w:cs="Times New Roman"/>
          <w:sz w:val="24"/>
          <w:szCs w:val="24"/>
        </w:rPr>
        <w:t xml:space="preserve"> the capital needed to maintain and improve a utility’s infrastructure</w:t>
      </w:r>
      <w:r w:rsidR="00270023">
        <w:rPr>
          <w:rFonts w:ascii="Times New Roman" w:hAnsi="Times New Roman" w:cs="Times New Roman"/>
          <w:sz w:val="24"/>
          <w:szCs w:val="24"/>
        </w:rPr>
        <w:t xml:space="preserve">. </w:t>
      </w:r>
      <w:r w:rsidR="004E487C">
        <w:rPr>
          <w:rFonts w:ascii="Times New Roman" w:hAnsi="Times New Roman" w:cs="Times New Roman"/>
          <w:sz w:val="24"/>
          <w:szCs w:val="24"/>
        </w:rPr>
        <w:t xml:space="preserve"> </w:t>
      </w:r>
      <w:r>
        <w:rPr>
          <w:rFonts w:ascii="Times New Roman" w:hAnsi="Times New Roman" w:cs="Times New Roman"/>
          <w:bCs/>
          <w:sz w:val="24"/>
          <w:szCs w:val="24"/>
        </w:rPr>
        <w:t xml:space="preserve">Act 11 provides that the ROE shall be the equity return rate approved in the utility’s most recent fully litigated rate case.  </w:t>
      </w:r>
      <w:r w:rsidR="00B43034">
        <w:rPr>
          <w:rFonts w:ascii="Times New Roman" w:hAnsi="Times New Roman" w:cs="Times New Roman"/>
          <w:bCs/>
          <w:sz w:val="24"/>
          <w:szCs w:val="24"/>
        </w:rPr>
        <w:t xml:space="preserve">66 Pa. C.S. § 1357(b)(2).  </w:t>
      </w:r>
      <w:r>
        <w:rPr>
          <w:rFonts w:ascii="Times New Roman" w:hAnsi="Times New Roman" w:cs="Times New Roman"/>
          <w:bCs/>
          <w:sz w:val="24"/>
          <w:szCs w:val="24"/>
        </w:rPr>
        <w:t>However, f</w:t>
      </w:r>
      <w:r w:rsidR="00E02F6C" w:rsidRPr="00B87787">
        <w:rPr>
          <w:rFonts w:ascii="Times New Roman" w:hAnsi="Times New Roman" w:cs="Times New Roman"/>
          <w:sz w:val="24"/>
          <w:szCs w:val="24"/>
        </w:rPr>
        <w:t xml:space="preserve">or utilities that do not have </w:t>
      </w:r>
      <w:r w:rsidR="00662F39">
        <w:rPr>
          <w:rFonts w:ascii="Times New Roman" w:hAnsi="Times New Roman" w:cs="Times New Roman"/>
          <w:sz w:val="24"/>
          <w:szCs w:val="24"/>
        </w:rPr>
        <w:t xml:space="preserve">an </w:t>
      </w:r>
      <w:r w:rsidR="00E02F6C" w:rsidRPr="00B87787">
        <w:rPr>
          <w:rFonts w:ascii="Times New Roman" w:hAnsi="Times New Roman" w:cs="Times New Roman"/>
          <w:sz w:val="24"/>
          <w:szCs w:val="24"/>
        </w:rPr>
        <w:t xml:space="preserve">ROE from </w:t>
      </w:r>
      <w:r w:rsidR="00662F39">
        <w:rPr>
          <w:rFonts w:ascii="Times New Roman" w:hAnsi="Times New Roman" w:cs="Times New Roman"/>
          <w:sz w:val="24"/>
          <w:szCs w:val="24"/>
        </w:rPr>
        <w:t xml:space="preserve">a </w:t>
      </w:r>
      <w:r w:rsidR="00E02F6C" w:rsidRPr="00B87787">
        <w:rPr>
          <w:rFonts w:ascii="Times New Roman" w:hAnsi="Times New Roman" w:cs="Times New Roman"/>
          <w:sz w:val="24"/>
          <w:szCs w:val="24"/>
        </w:rPr>
        <w:t>recent rate case</w:t>
      </w:r>
      <w:r w:rsidR="00E02F6C">
        <w:rPr>
          <w:rFonts w:ascii="Times New Roman" w:hAnsi="Times New Roman" w:cs="Times New Roman"/>
          <w:sz w:val="24"/>
          <w:szCs w:val="24"/>
        </w:rPr>
        <w:t>,</w:t>
      </w:r>
      <w:r w:rsidR="00E02F6C">
        <w:rPr>
          <w:rFonts w:ascii="Times New Roman" w:hAnsi="Times New Roman" w:cs="Times New Roman"/>
          <w:bCs/>
          <w:sz w:val="24"/>
          <w:szCs w:val="24"/>
        </w:rPr>
        <w:t xml:space="preserve"> Act 11 provides that</w:t>
      </w:r>
      <w:r>
        <w:rPr>
          <w:rFonts w:ascii="Times New Roman" w:hAnsi="Times New Roman" w:cs="Times New Roman"/>
          <w:bCs/>
          <w:sz w:val="24"/>
          <w:szCs w:val="24"/>
        </w:rPr>
        <w:t xml:space="preserve"> the ROE shall be the equity return rate calculated by the Commission in the most recent</w:t>
      </w:r>
      <w:r w:rsidR="00E02F6C">
        <w:rPr>
          <w:rFonts w:ascii="Times New Roman" w:hAnsi="Times New Roman" w:cs="Times New Roman"/>
          <w:bCs/>
          <w:sz w:val="24"/>
          <w:szCs w:val="24"/>
        </w:rPr>
        <w:t xml:space="preserve"> </w:t>
      </w:r>
      <w:r w:rsidR="00E02F6C" w:rsidRPr="00B87787">
        <w:rPr>
          <w:rFonts w:ascii="Times New Roman" w:hAnsi="Times New Roman" w:cs="Times New Roman"/>
          <w:bCs/>
          <w:sz w:val="24"/>
          <w:szCs w:val="24"/>
        </w:rPr>
        <w:t>Quarterly Earnings Report (QER)</w:t>
      </w:r>
      <w:r>
        <w:rPr>
          <w:rFonts w:ascii="Times New Roman" w:hAnsi="Times New Roman" w:cs="Times New Roman"/>
          <w:bCs/>
          <w:sz w:val="24"/>
          <w:szCs w:val="24"/>
        </w:rPr>
        <w:t xml:space="preserve">.  66 Pa. C.S. § 1357(b)(3).  </w:t>
      </w:r>
    </w:p>
    <w:p w:rsidR="00D21D12" w:rsidRDefault="00D21D12" w:rsidP="00270023">
      <w:pPr>
        <w:ind w:firstLine="720"/>
        <w:rPr>
          <w:rFonts w:ascii="Times New Roman" w:hAnsi="Times New Roman" w:cs="Times New Roman"/>
          <w:sz w:val="24"/>
          <w:szCs w:val="24"/>
        </w:rPr>
      </w:pPr>
    </w:p>
    <w:p w:rsidR="00967DFC" w:rsidRDefault="00E02F6C" w:rsidP="00967DFC">
      <w:pPr>
        <w:ind w:firstLine="720"/>
        <w:rPr>
          <w:rFonts w:ascii="Times New Roman" w:hAnsi="Times New Roman" w:cs="Times New Roman"/>
          <w:bCs/>
          <w:sz w:val="24"/>
          <w:szCs w:val="24"/>
        </w:rPr>
      </w:pPr>
      <w:r w:rsidRPr="00B87787">
        <w:rPr>
          <w:rFonts w:ascii="Times New Roman" w:hAnsi="Times New Roman" w:cs="Times New Roman"/>
          <w:bCs/>
          <w:sz w:val="24"/>
          <w:szCs w:val="24"/>
        </w:rPr>
        <w:t>To prepare for implementation of Act 11, the Commission convened a working group of stakeholders</w:t>
      </w:r>
      <w:r w:rsidR="00F160CD" w:rsidRPr="00574EC4">
        <w:rPr>
          <w:rStyle w:val="FootnoteReference"/>
        </w:rPr>
        <w:footnoteReference w:id="2"/>
      </w:r>
      <w:r w:rsidRPr="00B87787">
        <w:rPr>
          <w:rFonts w:ascii="Times New Roman" w:hAnsi="Times New Roman" w:cs="Times New Roman"/>
          <w:bCs/>
          <w:sz w:val="24"/>
          <w:szCs w:val="24"/>
        </w:rPr>
        <w:t xml:space="preserve"> to review the Commission’s QER process</w:t>
      </w:r>
      <w:r w:rsidR="00B43034">
        <w:rPr>
          <w:rFonts w:ascii="Times New Roman" w:hAnsi="Times New Roman" w:cs="Times New Roman"/>
          <w:bCs/>
          <w:sz w:val="24"/>
          <w:szCs w:val="24"/>
        </w:rPr>
        <w:t xml:space="preserve"> and, in particular, the parameters currently used to determine the market-based ROE for each of the major industry groups.</w:t>
      </w:r>
      <w:r w:rsidRPr="00B87787">
        <w:rPr>
          <w:rFonts w:ascii="Times New Roman" w:hAnsi="Times New Roman" w:cs="Times New Roman"/>
          <w:bCs/>
          <w:sz w:val="24"/>
          <w:szCs w:val="24"/>
        </w:rPr>
        <w:t xml:space="preserve"> </w:t>
      </w:r>
      <w:r w:rsidR="00B43034">
        <w:rPr>
          <w:rFonts w:ascii="Times New Roman" w:hAnsi="Times New Roman" w:cs="Times New Roman"/>
          <w:bCs/>
          <w:sz w:val="24"/>
          <w:szCs w:val="24"/>
        </w:rPr>
        <w:t xml:space="preserve"> The key issue areas were:  </w:t>
      </w:r>
      <w:r w:rsidR="00144E3A">
        <w:rPr>
          <w:rFonts w:ascii="Times New Roman" w:hAnsi="Times New Roman" w:cs="Times New Roman"/>
          <w:bCs/>
          <w:sz w:val="24"/>
          <w:szCs w:val="24"/>
        </w:rPr>
        <w:t>B</w:t>
      </w:r>
      <w:r w:rsidR="00B43034">
        <w:rPr>
          <w:rFonts w:ascii="Times New Roman" w:hAnsi="Times New Roman" w:cs="Times New Roman"/>
          <w:bCs/>
          <w:sz w:val="24"/>
          <w:szCs w:val="24"/>
        </w:rPr>
        <w:t xml:space="preserve">arometer </w:t>
      </w:r>
      <w:r w:rsidR="00144E3A">
        <w:rPr>
          <w:rFonts w:ascii="Times New Roman" w:hAnsi="Times New Roman" w:cs="Times New Roman"/>
          <w:bCs/>
          <w:sz w:val="24"/>
          <w:szCs w:val="24"/>
        </w:rPr>
        <w:t>G</w:t>
      </w:r>
      <w:r w:rsidR="00B43034">
        <w:rPr>
          <w:rFonts w:ascii="Times New Roman" w:hAnsi="Times New Roman" w:cs="Times New Roman"/>
          <w:bCs/>
          <w:sz w:val="24"/>
          <w:szCs w:val="24"/>
        </w:rPr>
        <w:t xml:space="preserve">roups, ROE </w:t>
      </w:r>
      <w:r w:rsidR="00144E3A">
        <w:rPr>
          <w:rFonts w:ascii="Times New Roman" w:hAnsi="Times New Roman" w:cs="Times New Roman"/>
          <w:bCs/>
          <w:sz w:val="24"/>
          <w:szCs w:val="24"/>
        </w:rPr>
        <w:t>M</w:t>
      </w:r>
      <w:r w:rsidR="00B43034">
        <w:rPr>
          <w:rFonts w:ascii="Times New Roman" w:hAnsi="Times New Roman" w:cs="Times New Roman"/>
          <w:bCs/>
          <w:sz w:val="24"/>
          <w:szCs w:val="24"/>
        </w:rPr>
        <w:t xml:space="preserve">odels and </w:t>
      </w:r>
      <w:r w:rsidR="00144E3A">
        <w:rPr>
          <w:rFonts w:ascii="Times New Roman" w:hAnsi="Times New Roman" w:cs="Times New Roman"/>
          <w:bCs/>
          <w:sz w:val="24"/>
          <w:szCs w:val="24"/>
        </w:rPr>
        <w:t>W</w:t>
      </w:r>
      <w:r w:rsidR="00B43034">
        <w:rPr>
          <w:rFonts w:ascii="Times New Roman" w:hAnsi="Times New Roman" w:cs="Times New Roman"/>
          <w:bCs/>
          <w:sz w:val="24"/>
          <w:szCs w:val="24"/>
        </w:rPr>
        <w:t xml:space="preserve">eighting, </w:t>
      </w:r>
      <w:r w:rsidR="00144E3A">
        <w:rPr>
          <w:rFonts w:ascii="Times New Roman" w:hAnsi="Times New Roman" w:cs="Times New Roman"/>
          <w:bCs/>
          <w:sz w:val="24"/>
          <w:szCs w:val="24"/>
        </w:rPr>
        <w:t>R</w:t>
      </w:r>
      <w:r w:rsidR="00B43034">
        <w:rPr>
          <w:rFonts w:ascii="Times New Roman" w:hAnsi="Times New Roman" w:cs="Times New Roman"/>
          <w:bCs/>
          <w:sz w:val="24"/>
          <w:szCs w:val="24"/>
        </w:rPr>
        <w:t xml:space="preserve">ange of </w:t>
      </w:r>
      <w:r w:rsidR="00144E3A">
        <w:rPr>
          <w:rFonts w:ascii="Times New Roman" w:hAnsi="Times New Roman" w:cs="Times New Roman"/>
          <w:bCs/>
          <w:sz w:val="24"/>
          <w:szCs w:val="24"/>
        </w:rPr>
        <w:t>R</w:t>
      </w:r>
      <w:r w:rsidR="00B43034">
        <w:rPr>
          <w:rFonts w:ascii="Times New Roman" w:hAnsi="Times New Roman" w:cs="Times New Roman"/>
          <w:bCs/>
          <w:sz w:val="24"/>
          <w:szCs w:val="24"/>
        </w:rPr>
        <w:t>easonableness</w:t>
      </w:r>
      <w:r w:rsidR="00144E3A">
        <w:rPr>
          <w:rFonts w:ascii="Times New Roman" w:hAnsi="Times New Roman" w:cs="Times New Roman"/>
          <w:bCs/>
          <w:sz w:val="24"/>
          <w:szCs w:val="24"/>
        </w:rPr>
        <w:t>,</w:t>
      </w:r>
      <w:r w:rsidR="00B43034">
        <w:rPr>
          <w:rFonts w:ascii="Times New Roman" w:hAnsi="Times New Roman" w:cs="Times New Roman"/>
          <w:bCs/>
          <w:sz w:val="24"/>
          <w:szCs w:val="24"/>
        </w:rPr>
        <w:t xml:space="preserve"> and </w:t>
      </w:r>
      <w:r w:rsidR="00144E3A">
        <w:rPr>
          <w:rFonts w:ascii="Times New Roman" w:hAnsi="Times New Roman" w:cs="Times New Roman"/>
          <w:bCs/>
          <w:sz w:val="24"/>
          <w:szCs w:val="24"/>
        </w:rPr>
        <w:t>O</w:t>
      </w:r>
      <w:r w:rsidR="00B43034">
        <w:rPr>
          <w:rFonts w:ascii="Times New Roman" w:hAnsi="Times New Roman" w:cs="Times New Roman"/>
          <w:bCs/>
          <w:sz w:val="24"/>
          <w:szCs w:val="24"/>
        </w:rPr>
        <w:t xml:space="preserve">ther </w:t>
      </w:r>
      <w:r w:rsidR="00144E3A">
        <w:rPr>
          <w:rFonts w:ascii="Times New Roman" w:hAnsi="Times New Roman" w:cs="Times New Roman"/>
          <w:bCs/>
          <w:sz w:val="24"/>
          <w:szCs w:val="24"/>
        </w:rPr>
        <w:t>F</w:t>
      </w:r>
      <w:r w:rsidR="00967DFC">
        <w:rPr>
          <w:rFonts w:ascii="Times New Roman" w:hAnsi="Times New Roman" w:cs="Times New Roman"/>
          <w:bCs/>
          <w:sz w:val="24"/>
          <w:szCs w:val="24"/>
        </w:rPr>
        <w:t>actors.  B</w:t>
      </w:r>
      <w:r w:rsidR="00967DFC" w:rsidRPr="00967DFC">
        <w:rPr>
          <w:rFonts w:ascii="Times New Roman" w:hAnsi="Times New Roman" w:cs="Times New Roman"/>
          <w:bCs/>
          <w:sz w:val="24"/>
          <w:szCs w:val="24"/>
        </w:rPr>
        <w:t xml:space="preserve">ased on our consideration of the input provided by the </w:t>
      </w:r>
      <w:r w:rsidR="00967DFC" w:rsidRPr="00967DFC">
        <w:rPr>
          <w:rFonts w:ascii="Times New Roman" w:hAnsi="Times New Roman" w:cs="Times New Roman"/>
          <w:bCs/>
          <w:sz w:val="24"/>
          <w:szCs w:val="24"/>
        </w:rPr>
        <w:lastRenderedPageBreak/>
        <w:t xml:space="preserve">stakeholders and our staff, </w:t>
      </w:r>
      <w:r w:rsidR="00967DFC">
        <w:rPr>
          <w:rFonts w:ascii="Times New Roman" w:hAnsi="Times New Roman" w:cs="Times New Roman"/>
          <w:bCs/>
          <w:sz w:val="24"/>
          <w:szCs w:val="24"/>
        </w:rPr>
        <w:t>the Commission</w:t>
      </w:r>
      <w:r w:rsidR="00967DFC" w:rsidRPr="00967DFC">
        <w:rPr>
          <w:rFonts w:ascii="Times New Roman" w:hAnsi="Times New Roman" w:cs="Times New Roman"/>
          <w:bCs/>
          <w:sz w:val="24"/>
          <w:szCs w:val="24"/>
        </w:rPr>
        <w:t xml:space="preserve"> adop</w:t>
      </w:r>
      <w:r w:rsidR="00967DFC">
        <w:rPr>
          <w:rFonts w:ascii="Times New Roman" w:hAnsi="Times New Roman" w:cs="Times New Roman"/>
          <w:bCs/>
          <w:sz w:val="24"/>
          <w:szCs w:val="24"/>
        </w:rPr>
        <w:t>te</w:t>
      </w:r>
      <w:r w:rsidR="00967DFC" w:rsidRPr="00967DFC">
        <w:rPr>
          <w:rFonts w:ascii="Times New Roman" w:hAnsi="Times New Roman" w:cs="Times New Roman"/>
          <w:bCs/>
          <w:sz w:val="24"/>
          <w:szCs w:val="24"/>
        </w:rPr>
        <w:t>d the following</w:t>
      </w:r>
      <w:r w:rsidR="00967DFC">
        <w:rPr>
          <w:rFonts w:ascii="Times New Roman" w:hAnsi="Times New Roman" w:cs="Times New Roman"/>
          <w:bCs/>
          <w:sz w:val="24"/>
          <w:szCs w:val="24"/>
        </w:rPr>
        <w:t xml:space="preserve"> parameters for the QER process:</w:t>
      </w:r>
    </w:p>
    <w:p w:rsidR="00967DFC" w:rsidRDefault="00967DFC" w:rsidP="00967DF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Industry-specific barometer group companies will be reviewed by staff on a quarterly basis;  </w:t>
      </w:r>
    </w:p>
    <w:p w:rsidR="00967DFC" w:rsidRDefault="00967DFC" w:rsidP="00967DF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50% or more of the company’s assets must be related to the jurisdictional utility industry;</w:t>
      </w:r>
    </w:p>
    <w:p w:rsidR="00967DFC" w:rsidRDefault="00967DFC" w:rsidP="00967DF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Company stock must be </w:t>
      </w:r>
      <w:r w:rsidR="00D4581A">
        <w:rPr>
          <w:rFonts w:ascii="Times New Roman" w:hAnsi="Times New Roman" w:cs="Times New Roman"/>
          <w:sz w:val="24"/>
          <w:szCs w:val="24"/>
        </w:rPr>
        <w:t>publicly</w:t>
      </w:r>
      <w:r>
        <w:rPr>
          <w:rFonts w:ascii="Times New Roman" w:hAnsi="Times New Roman" w:cs="Times New Roman"/>
          <w:sz w:val="24"/>
          <w:szCs w:val="24"/>
        </w:rPr>
        <w:t xml:space="preserve"> traded and must have at least three years of earnings history;</w:t>
      </w:r>
    </w:p>
    <w:p w:rsidR="00967DFC" w:rsidRDefault="00967DFC" w:rsidP="00967DF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Companies targeted by merger and acquisition (M&amp;A) activity will be excluded; companies involved in M&amp;A activity may be excluded;</w:t>
      </w:r>
    </w:p>
    <w:p w:rsidR="00967DFC" w:rsidRDefault="00967DFC" w:rsidP="00967DF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Investment information for company must be available to the Commission from more than one source, where more than one source exists, particularly earnings growth projections; </w:t>
      </w:r>
    </w:p>
    <w:p w:rsidR="00967DFC" w:rsidRDefault="00967DFC" w:rsidP="00967DF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Company must have an investment grade credit rating (S&amp;P BBB- or better, </w:t>
      </w:r>
      <w:r w:rsidRPr="00596E1D">
        <w:rPr>
          <w:rFonts w:ascii="Times New Roman" w:hAnsi="Times New Roman" w:cs="Times New Roman"/>
          <w:sz w:val="24"/>
          <w:szCs w:val="24"/>
        </w:rPr>
        <w:t>Moody’s B</w:t>
      </w:r>
      <w:r>
        <w:rPr>
          <w:rFonts w:ascii="Times New Roman" w:hAnsi="Times New Roman" w:cs="Times New Roman"/>
          <w:sz w:val="24"/>
          <w:szCs w:val="24"/>
        </w:rPr>
        <w:t>aa3 or better; and</w:t>
      </w:r>
    </w:p>
    <w:p w:rsidR="00967DFC" w:rsidRDefault="00967DFC" w:rsidP="00967DF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Companies will be selected based on geographic regions:</w:t>
      </w:r>
    </w:p>
    <w:p w:rsidR="00967DFC" w:rsidRDefault="00967DFC" w:rsidP="00967DFC">
      <w:pPr>
        <w:ind w:left="2160" w:hanging="360"/>
        <w:rPr>
          <w:rFonts w:ascii="Times New Roman" w:hAnsi="Times New Roman" w:cs="Times New Roman"/>
          <w:sz w:val="24"/>
          <w:szCs w:val="24"/>
        </w:rPr>
      </w:pPr>
      <w:r>
        <w:rPr>
          <w:rFonts w:ascii="Times New Roman" w:hAnsi="Times New Roman" w:cs="Times New Roman"/>
          <w:sz w:val="24"/>
          <w:szCs w:val="24"/>
        </w:rPr>
        <w:t xml:space="preserve">EDCs:  </w:t>
      </w:r>
      <w:r w:rsidRPr="00596E1D">
        <w:rPr>
          <w:rFonts w:ascii="Times New Roman" w:hAnsi="Times New Roman" w:cs="Times New Roman"/>
          <w:i/>
          <w:sz w:val="24"/>
          <w:szCs w:val="24"/>
        </w:rPr>
        <w:t>Value Line</w:t>
      </w:r>
      <w:r>
        <w:rPr>
          <w:rFonts w:ascii="Times New Roman" w:hAnsi="Times New Roman" w:cs="Times New Roman"/>
          <w:sz w:val="24"/>
          <w:szCs w:val="24"/>
        </w:rPr>
        <w:t xml:space="preserve"> East Group Electric Utility companies;</w:t>
      </w:r>
    </w:p>
    <w:p w:rsidR="00967DFC" w:rsidRDefault="00967DFC" w:rsidP="00967DFC">
      <w:pPr>
        <w:ind w:left="2160" w:hanging="360"/>
        <w:rPr>
          <w:rFonts w:ascii="Times New Roman" w:hAnsi="Times New Roman" w:cs="Times New Roman"/>
          <w:sz w:val="24"/>
          <w:szCs w:val="24"/>
        </w:rPr>
      </w:pPr>
      <w:r>
        <w:rPr>
          <w:rFonts w:ascii="Times New Roman" w:hAnsi="Times New Roman" w:cs="Times New Roman"/>
          <w:sz w:val="24"/>
          <w:szCs w:val="24"/>
        </w:rPr>
        <w:t xml:space="preserve">NGDCs and CNGDO:  </w:t>
      </w:r>
      <w:r w:rsidRPr="00596E1D">
        <w:rPr>
          <w:rFonts w:ascii="Times New Roman" w:hAnsi="Times New Roman" w:cs="Times New Roman"/>
          <w:i/>
          <w:sz w:val="24"/>
          <w:szCs w:val="24"/>
        </w:rPr>
        <w:t>Value Line</w:t>
      </w:r>
      <w:r>
        <w:rPr>
          <w:rFonts w:ascii="Times New Roman" w:hAnsi="Times New Roman" w:cs="Times New Roman"/>
          <w:sz w:val="24"/>
          <w:szCs w:val="24"/>
        </w:rPr>
        <w:t xml:space="preserve"> Natural Gas Utility industry group companies; and </w:t>
      </w:r>
    </w:p>
    <w:p w:rsidR="00967DFC" w:rsidRDefault="00967DFC" w:rsidP="00967DFC">
      <w:pPr>
        <w:ind w:firstLine="720"/>
        <w:rPr>
          <w:rFonts w:ascii="Times New Roman" w:hAnsi="Times New Roman" w:cs="Times New Roman"/>
          <w:bCs/>
          <w:sz w:val="24"/>
          <w:szCs w:val="24"/>
        </w:rPr>
      </w:pPr>
      <w:r>
        <w:rPr>
          <w:rFonts w:ascii="Times New Roman" w:hAnsi="Times New Roman" w:cs="Times New Roman"/>
          <w:sz w:val="24"/>
          <w:szCs w:val="24"/>
        </w:rPr>
        <w:t xml:space="preserve">Water/Waste water:  </w:t>
      </w:r>
      <w:r w:rsidRPr="00596E1D">
        <w:rPr>
          <w:rFonts w:ascii="Times New Roman" w:hAnsi="Times New Roman" w:cs="Times New Roman"/>
          <w:i/>
          <w:sz w:val="24"/>
          <w:szCs w:val="24"/>
        </w:rPr>
        <w:t>Value Line</w:t>
      </w:r>
      <w:r>
        <w:rPr>
          <w:rFonts w:ascii="Times New Roman" w:hAnsi="Times New Roman" w:cs="Times New Roman"/>
          <w:sz w:val="24"/>
          <w:szCs w:val="24"/>
        </w:rPr>
        <w:t xml:space="preserve"> Water Utility industry group companies.</w:t>
      </w:r>
      <w:r>
        <w:rPr>
          <w:rFonts w:ascii="Times New Roman" w:hAnsi="Times New Roman" w:cs="Times New Roman"/>
          <w:bCs/>
          <w:sz w:val="24"/>
          <w:szCs w:val="24"/>
        </w:rPr>
        <w:t xml:space="preserve"> </w:t>
      </w:r>
    </w:p>
    <w:p w:rsidR="00967DFC" w:rsidRDefault="00967DFC" w:rsidP="00967DFC">
      <w:pPr>
        <w:ind w:firstLine="720"/>
        <w:rPr>
          <w:rFonts w:ascii="Times New Roman" w:hAnsi="Times New Roman" w:cs="Times New Roman"/>
          <w:bCs/>
          <w:sz w:val="24"/>
          <w:szCs w:val="24"/>
        </w:rPr>
      </w:pPr>
    </w:p>
    <w:p w:rsidR="00814243" w:rsidRDefault="00967DFC" w:rsidP="00270023">
      <w:pPr>
        <w:ind w:firstLine="720"/>
        <w:rPr>
          <w:rFonts w:ascii="Times New Roman" w:hAnsi="Times New Roman" w:cs="Times New Roman"/>
          <w:sz w:val="24"/>
          <w:szCs w:val="24"/>
        </w:rPr>
      </w:pPr>
      <w:r>
        <w:rPr>
          <w:rFonts w:ascii="Times New Roman" w:hAnsi="Times New Roman" w:cs="Times New Roman"/>
          <w:bCs/>
          <w:sz w:val="24"/>
          <w:szCs w:val="24"/>
        </w:rPr>
        <w:t xml:space="preserve">It is apparent the EDC barometer group selection criteria is too selective.  </w:t>
      </w:r>
      <w:r w:rsidR="00A2016E">
        <w:rPr>
          <w:rFonts w:ascii="Times New Roman" w:hAnsi="Times New Roman" w:cs="Times New Roman"/>
          <w:bCs/>
          <w:sz w:val="24"/>
          <w:szCs w:val="24"/>
        </w:rPr>
        <w:t xml:space="preserve">Commission </w:t>
      </w:r>
      <w:r>
        <w:rPr>
          <w:rFonts w:ascii="Times New Roman" w:hAnsi="Times New Roman" w:cs="Times New Roman"/>
          <w:bCs/>
          <w:sz w:val="24"/>
          <w:szCs w:val="24"/>
        </w:rPr>
        <w:t xml:space="preserve">Staff is unable </w:t>
      </w:r>
      <w:r w:rsidR="00B65693">
        <w:rPr>
          <w:rFonts w:ascii="Times New Roman" w:hAnsi="Times New Roman" w:cs="Times New Roman"/>
          <w:bCs/>
          <w:sz w:val="24"/>
          <w:szCs w:val="24"/>
        </w:rPr>
        <w:t xml:space="preserve">to consistently select EDC barometer group companies restricted to the </w:t>
      </w:r>
      <w:r w:rsidR="00B65693" w:rsidRPr="00596E1D">
        <w:rPr>
          <w:rFonts w:ascii="Times New Roman" w:hAnsi="Times New Roman" w:cs="Times New Roman"/>
          <w:i/>
          <w:sz w:val="24"/>
          <w:szCs w:val="24"/>
        </w:rPr>
        <w:t>Value Line</w:t>
      </w:r>
      <w:r w:rsidR="00B65693">
        <w:rPr>
          <w:rFonts w:ascii="Times New Roman" w:hAnsi="Times New Roman" w:cs="Times New Roman"/>
          <w:sz w:val="24"/>
          <w:szCs w:val="24"/>
        </w:rPr>
        <w:t xml:space="preserve"> East Group Electric Utilities geographic region.  </w:t>
      </w:r>
      <w:r w:rsidR="0024007A" w:rsidRPr="00A2016E">
        <w:rPr>
          <w:rFonts w:ascii="Times New Roman" w:hAnsi="Times New Roman" w:cs="Times New Roman"/>
          <w:b/>
          <w:sz w:val="24"/>
          <w:szCs w:val="24"/>
        </w:rPr>
        <w:t xml:space="preserve">The Commission </w:t>
      </w:r>
      <w:r w:rsidR="00B65693" w:rsidRPr="00A2016E">
        <w:rPr>
          <w:rFonts w:ascii="Times New Roman" w:hAnsi="Times New Roman" w:cs="Times New Roman"/>
          <w:b/>
          <w:sz w:val="24"/>
          <w:szCs w:val="24"/>
        </w:rPr>
        <w:t xml:space="preserve">asks for </w:t>
      </w:r>
      <w:r w:rsidR="007A2F41" w:rsidRPr="00A2016E">
        <w:rPr>
          <w:rFonts w:ascii="Times New Roman" w:hAnsi="Times New Roman" w:cs="Times New Roman"/>
          <w:b/>
          <w:sz w:val="24"/>
          <w:szCs w:val="24"/>
        </w:rPr>
        <w:t xml:space="preserve">input and guidance </w:t>
      </w:r>
      <w:r w:rsidR="00B65693" w:rsidRPr="00A2016E">
        <w:rPr>
          <w:rFonts w:ascii="Times New Roman" w:hAnsi="Times New Roman" w:cs="Times New Roman"/>
          <w:b/>
          <w:sz w:val="24"/>
          <w:szCs w:val="24"/>
        </w:rPr>
        <w:t xml:space="preserve">to eliminate the geographic restriction of only selecting companies based on </w:t>
      </w:r>
      <w:r w:rsidR="00B65693" w:rsidRPr="00A2016E">
        <w:rPr>
          <w:rFonts w:ascii="Times New Roman" w:hAnsi="Times New Roman" w:cs="Times New Roman"/>
          <w:b/>
          <w:i/>
          <w:sz w:val="24"/>
          <w:szCs w:val="24"/>
        </w:rPr>
        <w:t>Value Line</w:t>
      </w:r>
      <w:r w:rsidR="00B65693" w:rsidRPr="00A2016E">
        <w:rPr>
          <w:rFonts w:ascii="Times New Roman" w:hAnsi="Times New Roman" w:cs="Times New Roman"/>
          <w:b/>
          <w:sz w:val="24"/>
          <w:szCs w:val="24"/>
        </w:rPr>
        <w:t xml:space="preserve"> East Group Electric Utility companies</w:t>
      </w:r>
      <w:r w:rsidR="00A2016E" w:rsidRPr="00A2016E">
        <w:rPr>
          <w:rFonts w:ascii="Times New Roman" w:hAnsi="Times New Roman" w:cs="Times New Roman"/>
          <w:b/>
          <w:sz w:val="24"/>
          <w:szCs w:val="24"/>
        </w:rPr>
        <w:t xml:space="preserve"> and</w:t>
      </w:r>
      <w:r w:rsidR="00563206" w:rsidRPr="00A2016E">
        <w:rPr>
          <w:rFonts w:ascii="Times New Roman" w:hAnsi="Times New Roman" w:cs="Times New Roman"/>
          <w:b/>
          <w:sz w:val="24"/>
          <w:szCs w:val="24"/>
        </w:rPr>
        <w:t xml:space="preserve"> permit </w:t>
      </w:r>
      <w:r w:rsidR="00A2016E" w:rsidRPr="00A2016E">
        <w:rPr>
          <w:rFonts w:ascii="Times New Roman" w:hAnsi="Times New Roman" w:cs="Times New Roman"/>
          <w:b/>
          <w:sz w:val="24"/>
          <w:szCs w:val="24"/>
        </w:rPr>
        <w:t>Commission Staff</w:t>
      </w:r>
      <w:r w:rsidR="00563206" w:rsidRPr="00A2016E">
        <w:rPr>
          <w:rFonts w:ascii="Times New Roman" w:hAnsi="Times New Roman" w:cs="Times New Roman"/>
          <w:b/>
          <w:sz w:val="24"/>
          <w:szCs w:val="24"/>
        </w:rPr>
        <w:t xml:space="preserve"> to include EDCs from </w:t>
      </w:r>
      <w:r w:rsidR="00563206" w:rsidRPr="00A2016E">
        <w:rPr>
          <w:rFonts w:ascii="Times New Roman" w:hAnsi="Times New Roman" w:cs="Times New Roman"/>
          <w:b/>
          <w:i/>
          <w:sz w:val="24"/>
          <w:szCs w:val="24"/>
        </w:rPr>
        <w:t>Value Line</w:t>
      </w:r>
      <w:r w:rsidR="00563206" w:rsidRPr="00A2016E">
        <w:rPr>
          <w:rFonts w:ascii="Times New Roman" w:hAnsi="Times New Roman" w:cs="Times New Roman"/>
          <w:b/>
          <w:sz w:val="24"/>
          <w:szCs w:val="24"/>
        </w:rPr>
        <w:t xml:space="preserve"> Central and West Group of Electric Utility </w:t>
      </w:r>
      <w:r w:rsidR="00A2016E" w:rsidRPr="00A2016E">
        <w:rPr>
          <w:rFonts w:ascii="Times New Roman" w:hAnsi="Times New Roman" w:cs="Times New Roman"/>
          <w:b/>
          <w:sz w:val="24"/>
          <w:szCs w:val="24"/>
        </w:rPr>
        <w:t xml:space="preserve">group of </w:t>
      </w:r>
      <w:r w:rsidR="00563206" w:rsidRPr="00A2016E">
        <w:rPr>
          <w:rFonts w:ascii="Times New Roman" w:hAnsi="Times New Roman" w:cs="Times New Roman"/>
          <w:b/>
          <w:sz w:val="24"/>
          <w:szCs w:val="24"/>
        </w:rPr>
        <w:t>companies.  No other change to our barometer group selection criteria is being proposed at this time</w:t>
      </w:r>
      <w:r w:rsidR="00563206">
        <w:rPr>
          <w:rFonts w:ascii="Times New Roman" w:hAnsi="Times New Roman" w:cs="Times New Roman"/>
          <w:sz w:val="24"/>
          <w:szCs w:val="24"/>
        </w:rPr>
        <w:t>.</w:t>
      </w:r>
      <w:r w:rsidR="00A2016E">
        <w:rPr>
          <w:rFonts w:ascii="Times New Roman" w:hAnsi="Times New Roman" w:cs="Times New Roman"/>
          <w:sz w:val="24"/>
          <w:szCs w:val="24"/>
        </w:rPr>
        <w:t xml:space="preserve">  </w:t>
      </w:r>
    </w:p>
    <w:p w:rsidR="00416629" w:rsidRDefault="00416629" w:rsidP="00270023">
      <w:pPr>
        <w:ind w:firstLine="720"/>
        <w:rPr>
          <w:rFonts w:ascii="Times New Roman" w:hAnsi="Times New Roman" w:cs="Times New Roman"/>
          <w:sz w:val="24"/>
          <w:szCs w:val="24"/>
        </w:rPr>
      </w:pPr>
    </w:p>
    <w:p w:rsidR="00416629" w:rsidRDefault="00416629" w:rsidP="00270023">
      <w:pPr>
        <w:ind w:firstLine="720"/>
        <w:rPr>
          <w:rFonts w:ascii="Times New Roman" w:hAnsi="Times New Roman" w:cs="Times New Roman"/>
          <w:sz w:val="24"/>
          <w:szCs w:val="24"/>
        </w:rPr>
      </w:pPr>
      <w:r>
        <w:rPr>
          <w:rFonts w:ascii="Times New Roman" w:hAnsi="Times New Roman" w:cs="Times New Roman"/>
          <w:sz w:val="24"/>
          <w:szCs w:val="24"/>
        </w:rPr>
        <w:t xml:space="preserve">Please send your comments regarding this proposed change to </w:t>
      </w:r>
      <w:hyperlink r:id="rId9" w:history="1">
        <w:r w:rsidRPr="005C353D">
          <w:rPr>
            <w:rStyle w:val="Hyperlink"/>
            <w:rFonts w:ascii="Times New Roman" w:hAnsi="Times New Roman" w:cs="Times New Roman"/>
            <w:sz w:val="24"/>
            <w:szCs w:val="24"/>
          </w:rPr>
          <w:t>aherster@pa.gov</w:t>
        </w:r>
      </w:hyperlink>
      <w:r w:rsidR="009D3165">
        <w:rPr>
          <w:rFonts w:ascii="Times New Roman" w:hAnsi="Times New Roman" w:cs="Times New Roman"/>
          <w:sz w:val="24"/>
          <w:szCs w:val="24"/>
        </w:rPr>
        <w:t xml:space="preserve"> by January</w:t>
      </w:r>
      <w:r>
        <w:rPr>
          <w:rFonts w:ascii="Times New Roman" w:hAnsi="Times New Roman" w:cs="Times New Roman"/>
          <w:sz w:val="24"/>
          <w:szCs w:val="24"/>
        </w:rPr>
        <w:t xml:space="preserve"> 8, 201</w:t>
      </w:r>
      <w:r w:rsidR="009D3165">
        <w:rPr>
          <w:rFonts w:ascii="Times New Roman" w:hAnsi="Times New Roman" w:cs="Times New Roman"/>
          <w:sz w:val="24"/>
          <w:szCs w:val="24"/>
        </w:rPr>
        <w:t>8</w:t>
      </w:r>
      <w:r>
        <w:rPr>
          <w:rFonts w:ascii="Times New Roman" w:hAnsi="Times New Roman" w:cs="Times New Roman"/>
          <w:sz w:val="24"/>
          <w:szCs w:val="24"/>
        </w:rPr>
        <w:t>.</w:t>
      </w:r>
    </w:p>
    <w:p w:rsidR="00B05908" w:rsidRDefault="000D7EE6" w:rsidP="008E1CB4">
      <w:pPr>
        <w:rPr>
          <w:rFonts w:ascii="Times New Roman" w:hAnsi="Times New Roman" w:cs="Times New Roman"/>
          <w:sz w:val="24"/>
          <w:szCs w:val="24"/>
        </w:rPr>
      </w:pPr>
      <w:r>
        <w:rPr>
          <w:noProof/>
        </w:rPr>
        <w:drawing>
          <wp:anchor distT="0" distB="0" distL="114300" distR="114300" simplePos="0" relativeHeight="251659264" behindDoc="1" locked="0" layoutInCell="1" allowOverlap="1" wp14:anchorId="2348EA13" wp14:editId="3F48AF7F">
            <wp:simplePos x="0" y="0"/>
            <wp:positionH relativeFrom="column">
              <wp:posOffset>3156439</wp:posOffset>
            </wp:positionH>
            <wp:positionV relativeFrom="paragraph">
              <wp:posOffset>80254</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F41BD" w:rsidRDefault="00FF41BD" w:rsidP="008E1CB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bookmarkStart w:id="0" w:name="_GoBack"/>
      <w:bookmarkEnd w:id="0"/>
      <w:r>
        <w:rPr>
          <w:rFonts w:ascii="Times New Roman" w:hAnsi="Times New Roman" w:cs="Times New Roman"/>
          <w:sz w:val="24"/>
          <w:szCs w:val="24"/>
        </w:rPr>
        <w:tab/>
      </w:r>
      <w:r>
        <w:rPr>
          <w:rFonts w:ascii="Times New Roman" w:hAnsi="Times New Roman" w:cs="Times New Roman"/>
          <w:sz w:val="24"/>
          <w:szCs w:val="24"/>
        </w:rPr>
        <w:tab/>
        <w:t>Sincerely</w:t>
      </w:r>
      <w:r w:rsidR="008A0D5E">
        <w:rPr>
          <w:rFonts w:ascii="Times New Roman" w:hAnsi="Times New Roman" w:cs="Times New Roman"/>
          <w:sz w:val="24"/>
          <w:szCs w:val="24"/>
        </w:rPr>
        <w:t>,</w:t>
      </w:r>
    </w:p>
    <w:p w:rsidR="00FF41BD" w:rsidRDefault="00FF41BD" w:rsidP="008E1CB4">
      <w:pPr>
        <w:rPr>
          <w:rFonts w:ascii="Times New Roman" w:hAnsi="Times New Roman" w:cs="Times New Roman"/>
          <w:sz w:val="24"/>
          <w:szCs w:val="24"/>
        </w:rPr>
      </w:pPr>
    </w:p>
    <w:p w:rsidR="00B05908" w:rsidRDefault="00B05908" w:rsidP="008E1CB4">
      <w:pPr>
        <w:rPr>
          <w:rFonts w:ascii="Times New Roman" w:hAnsi="Times New Roman" w:cs="Times New Roman"/>
          <w:sz w:val="24"/>
          <w:szCs w:val="24"/>
        </w:rPr>
      </w:pPr>
    </w:p>
    <w:p w:rsidR="00FF41BD" w:rsidRDefault="00FF41BD" w:rsidP="008E1CB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Rosemary Chiavetta</w:t>
      </w:r>
    </w:p>
    <w:p w:rsidR="00FF41BD" w:rsidRDefault="00FF41BD" w:rsidP="008E1CB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Secretary</w:t>
      </w:r>
    </w:p>
    <w:p w:rsidR="0083527E" w:rsidRDefault="0083527E" w:rsidP="008E1CB4">
      <w:pPr>
        <w:rPr>
          <w:rFonts w:ascii="Times New Roman" w:hAnsi="Times New Roman" w:cs="Times New Roman"/>
          <w:sz w:val="24"/>
          <w:szCs w:val="24"/>
        </w:rPr>
      </w:pPr>
    </w:p>
    <w:p w:rsidR="0083527E" w:rsidRDefault="0078373D" w:rsidP="008E1CB4">
      <w:pPr>
        <w:rPr>
          <w:rFonts w:ascii="Times New Roman" w:hAnsi="Times New Roman" w:cs="Times New Roman"/>
          <w:sz w:val="24"/>
          <w:szCs w:val="24"/>
        </w:rPr>
      </w:pPr>
      <w:r>
        <w:rPr>
          <w:rFonts w:ascii="Times New Roman" w:hAnsi="Times New Roman" w:cs="Times New Roman"/>
          <w:sz w:val="24"/>
          <w:szCs w:val="24"/>
        </w:rPr>
        <w:t>cc</w:t>
      </w:r>
      <w:r w:rsidR="0083527E">
        <w:rPr>
          <w:rFonts w:ascii="Times New Roman" w:hAnsi="Times New Roman" w:cs="Times New Roman"/>
          <w:sz w:val="24"/>
          <w:szCs w:val="24"/>
        </w:rPr>
        <w:t>:</w:t>
      </w:r>
      <w:r w:rsidR="0083527E">
        <w:rPr>
          <w:rFonts w:ascii="Times New Roman" w:hAnsi="Times New Roman" w:cs="Times New Roman"/>
          <w:sz w:val="24"/>
          <w:szCs w:val="24"/>
        </w:rPr>
        <w:tab/>
        <w:t>Paul Diskin, Director, TUS</w:t>
      </w:r>
    </w:p>
    <w:p w:rsidR="00603660" w:rsidRDefault="0083527E" w:rsidP="008E1CB4">
      <w:pPr>
        <w:rPr>
          <w:rFonts w:ascii="Times New Roman" w:hAnsi="Times New Roman" w:cs="Times New Roman"/>
          <w:sz w:val="24"/>
          <w:szCs w:val="24"/>
        </w:rPr>
      </w:pPr>
      <w:r>
        <w:rPr>
          <w:rFonts w:ascii="Times New Roman" w:hAnsi="Times New Roman" w:cs="Times New Roman"/>
          <w:sz w:val="24"/>
          <w:szCs w:val="24"/>
        </w:rPr>
        <w:tab/>
        <w:t>Bohdan R. Pankiw, Chief Counsel</w:t>
      </w:r>
      <w:r w:rsidR="00603660">
        <w:rPr>
          <w:rFonts w:ascii="Times New Roman" w:hAnsi="Times New Roman" w:cs="Times New Roman"/>
          <w:sz w:val="24"/>
          <w:szCs w:val="24"/>
        </w:rPr>
        <w:br/>
      </w:r>
      <w:r w:rsidR="00603660">
        <w:rPr>
          <w:rFonts w:ascii="Times New Roman" w:hAnsi="Times New Roman" w:cs="Times New Roman"/>
          <w:sz w:val="24"/>
          <w:szCs w:val="24"/>
        </w:rPr>
        <w:tab/>
      </w:r>
      <w:r w:rsidR="00A2016E">
        <w:rPr>
          <w:rFonts w:ascii="Times New Roman" w:hAnsi="Times New Roman" w:cs="Times New Roman"/>
          <w:sz w:val="24"/>
          <w:szCs w:val="24"/>
        </w:rPr>
        <w:t>Robert Young</w:t>
      </w:r>
      <w:r w:rsidR="00603660">
        <w:rPr>
          <w:rFonts w:ascii="Times New Roman" w:hAnsi="Times New Roman" w:cs="Times New Roman"/>
          <w:sz w:val="24"/>
          <w:szCs w:val="24"/>
        </w:rPr>
        <w:t>, Law Bureau</w:t>
      </w:r>
    </w:p>
    <w:p w:rsidR="00603660" w:rsidRDefault="00603660" w:rsidP="008E1CB4">
      <w:pPr>
        <w:rPr>
          <w:rFonts w:ascii="Times New Roman" w:hAnsi="Times New Roman" w:cs="Times New Roman"/>
          <w:sz w:val="24"/>
          <w:szCs w:val="24"/>
        </w:rPr>
      </w:pPr>
      <w:r>
        <w:rPr>
          <w:rFonts w:ascii="Times New Roman" w:hAnsi="Times New Roman" w:cs="Times New Roman"/>
          <w:sz w:val="24"/>
          <w:szCs w:val="24"/>
        </w:rPr>
        <w:tab/>
        <w:t>Erin Laudenslager, TUS</w:t>
      </w:r>
    </w:p>
    <w:p w:rsidR="00603660" w:rsidRDefault="00603660" w:rsidP="008E1CB4">
      <w:pPr>
        <w:rPr>
          <w:rFonts w:ascii="Times New Roman" w:hAnsi="Times New Roman" w:cs="Times New Roman"/>
          <w:sz w:val="24"/>
          <w:szCs w:val="24"/>
        </w:rPr>
      </w:pPr>
      <w:r>
        <w:rPr>
          <w:rFonts w:ascii="Times New Roman" w:hAnsi="Times New Roman" w:cs="Times New Roman"/>
          <w:sz w:val="24"/>
          <w:szCs w:val="24"/>
        </w:rPr>
        <w:tab/>
        <w:t>Andrew Herster, TUS</w:t>
      </w:r>
    </w:p>
    <w:p w:rsidR="00603660" w:rsidRDefault="00603660" w:rsidP="008E1CB4">
      <w:pPr>
        <w:rPr>
          <w:rFonts w:ascii="Times New Roman" w:hAnsi="Times New Roman" w:cs="Times New Roman"/>
          <w:sz w:val="24"/>
          <w:szCs w:val="24"/>
        </w:rPr>
      </w:pPr>
      <w:r>
        <w:rPr>
          <w:rFonts w:ascii="Times New Roman" w:hAnsi="Times New Roman" w:cs="Times New Roman"/>
          <w:sz w:val="24"/>
          <w:szCs w:val="24"/>
        </w:rPr>
        <w:tab/>
        <w:t>David Huff, TUS</w:t>
      </w:r>
    </w:p>
    <w:p w:rsidR="0083527E" w:rsidRDefault="00603660" w:rsidP="00603660">
      <w:pPr>
        <w:ind w:firstLine="720"/>
        <w:rPr>
          <w:rFonts w:ascii="Times New Roman" w:hAnsi="Times New Roman" w:cs="Times New Roman"/>
          <w:sz w:val="24"/>
          <w:szCs w:val="24"/>
        </w:rPr>
      </w:pPr>
      <w:r>
        <w:rPr>
          <w:rFonts w:ascii="Times New Roman" w:hAnsi="Times New Roman" w:cs="Times New Roman"/>
          <w:sz w:val="24"/>
          <w:szCs w:val="24"/>
        </w:rPr>
        <w:t>Electronic List</w:t>
      </w:r>
    </w:p>
    <w:sectPr w:rsidR="0083527E" w:rsidSect="006557D4">
      <w:footerReference w:type="defaul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73FC" w:rsidRDefault="00DA73FC" w:rsidP="00214AAA">
      <w:r>
        <w:separator/>
      </w:r>
    </w:p>
  </w:endnote>
  <w:endnote w:type="continuationSeparator" w:id="0">
    <w:p w:rsidR="00DA73FC" w:rsidRDefault="00DA73FC" w:rsidP="00214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6334080"/>
      <w:docPartObj>
        <w:docPartGallery w:val="Page Numbers (Bottom of Page)"/>
        <w:docPartUnique/>
      </w:docPartObj>
    </w:sdtPr>
    <w:sdtEndPr>
      <w:rPr>
        <w:rFonts w:ascii="Times New Roman" w:hAnsi="Times New Roman" w:cs="Times New Roman"/>
        <w:noProof/>
      </w:rPr>
    </w:sdtEndPr>
    <w:sdtContent>
      <w:p w:rsidR="0078373D" w:rsidRPr="006557D4" w:rsidRDefault="0078373D" w:rsidP="006557D4">
        <w:pPr>
          <w:pStyle w:val="Footer"/>
          <w:jc w:val="center"/>
          <w:rPr>
            <w:rFonts w:ascii="Times New Roman" w:hAnsi="Times New Roman" w:cs="Times New Roman"/>
          </w:rPr>
        </w:pPr>
        <w:r w:rsidRPr="006557D4">
          <w:rPr>
            <w:rFonts w:ascii="Times New Roman" w:hAnsi="Times New Roman" w:cs="Times New Roman"/>
          </w:rPr>
          <w:fldChar w:fldCharType="begin"/>
        </w:r>
        <w:r w:rsidRPr="006557D4">
          <w:rPr>
            <w:rFonts w:ascii="Times New Roman" w:hAnsi="Times New Roman" w:cs="Times New Roman"/>
          </w:rPr>
          <w:instrText xml:space="preserve"> PAGE   \* MERGEFORMAT </w:instrText>
        </w:r>
        <w:r w:rsidRPr="006557D4">
          <w:rPr>
            <w:rFonts w:ascii="Times New Roman" w:hAnsi="Times New Roman" w:cs="Times New Roman"/>
          </w:rPr>
          <w:fldChar w:fldCharType="separate"/>
        </w:r>
        <w:r w:rsidR="009D3165">
          <w:rPr>
            <w:rFonts w:ascii="Times New Roman" w:hAnsi="Times New Roman" w:cs="Times New Roman"/>
            <w:noProof/>
          </w:rPr>
          <w:t>2</w:t>
        </w:r>
        <w:r w:rsidRPr="006557D4">
          <w:rPr>
            <w:rFonts w:ascii="Times New Roman" w:hAnsi="Times New Roman" w:cs="Times New Roman"/>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57D4" w:rsidRDefault="006557D4">
    <w:pPr>
      <w:pStyle w:val="Footer"/>
      <w:jc w:val="center"/>
    </w:pPr>
  </w:p>
  <w:p w:rsidR="006557D4" w:rsidRDefault="006557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73FC" w:rsidRDefault="00DA73FC" w:rsidP="00214AAA">
      <w:r>
        <w:separator/>
      </w:r>
    </w:p>
  </w:footnote>
  <w:footnote w:type="continuationSeparator" w:id="0">
    <w:p w:rsidR="00DA73FC" w:rsidRDefault="00DA73FC" w:rsidP="00214AAA">
      <w:r>
        <w:continuationSeparator/>
      </w:r>
    </w:p>
  </w:footnote>
  <w:footnote w:id="1">
    <w:p w:rsidR="00401636" w:rsidRPr="00385DE2" w:rsidRDefault="00401636" w:rsidP="00401636">
      <w:pPr>
        <w:pStyle w:val="FootnoteText"/>
      </w:pPr>
      <w:r w:rsidRPr="00CA6257">
        <w:rPr>
          <w:rStyle w:val="FootnoteReference"/>
        </w:rPr>
        <w:footnoteRef/>
      </w:r>
      <w:r w:rsidRPr="00CA6257">
        <w:t xml:space="preserve"> </w:t>
      </w:r>
      <w:r w:rsidR="00385DE2">
        <w:t xml:space="preserve"> </w:t>
      </w:r>
      <w:hyperlink r:id="rId1" w:history="1">
        <w:r w:rsidRPr="00385DE2">
          <w:rPr>
            <w:rStyle w:val="Hyperlink"/>
          </w:rPr>
          <w:t>http://www.legis.state.pa.us/WU01/LI/LI/US/HTM/2012/0/0011..HTM</w:t>
        </w:r>
      </w:hyperlink>
      <w:r w:rsidRPr="00385DE2">
        <w:t>.</w:t>
      </w:r>
    </w:p>
  </w:footnote>
  <w:footnote w:id="2">
    <w:p w:rsidR="00F160CD" w:rsidRPr="00CA6257" w:rsidRDefault="00F160CD" w:rsidP="00F160CD">
      <w:pPr>
        <w:rPr>
          <w:rFonts w:ascii="Times New Roman" w:hAnsi="Times New Roman" w:cs="Times New Roman"/>
          <w:sz w:val="20"/>
          <w:szCs w:val="20"/>
        </w:rPr>
      </w:pPr>
      <w:r w:rsidRPr="00CA6257">
        <w:rPr>
          <w:rStyle w:val="FootnoteReference"/>
          <w:rFonts w:ascii="Times New Roman" w:hAnsi="Times New Roman" w:cs="Times New Roman"/>
          <w:sz w:val="20"/>
          <w:szCs w:val="20"/>
        </w:rPr>
        <w:footnoteRef/>
      </w:r>
      <w:r w:rsidRPr="00CA6257">
        <w:rPr>
          <w:rFonts w:ascii="Times New Roman" w:hAnsi="Times New Roman" w:cs="Times New Roman"/>
          <w:sz w:val="20"/>
          <w:szCs w:val="20"/>
        </w:rPr>
        <w:t xml:space="preserve">  </w:t>
      </w:r>
      <w:r w:rsidR="007B791D" w:rsidRPr="00CA6257">
        <w:rPr>
          <w:rFonts w:ascii="Times New Roman" w:hAnsi="Times New Roman" w:cs="Times New Roman"/>
          <w:sz w:val="20"/>
          <w:szCs w:val="20"/>
        </w:rPr>
        <w:t xml:space="preserve">The following entities participated in </w:t>
      </w:r>
      <w:r w:rsidRPr="00CA6257">
        <w:rPr>
          <w:rFonts w:ascii="Times New Roman" w:hAnsi="Times New Roman" w:cs="Times New Roman"/>
          <w:sz w:val="20"/>
          <w:szCs w:val="20"/>
        </w:rPr>
        <w:t xml:space="preserve">stakeholder </w:t>
      </w:r>
      <w:r w:rsidR="007B791D" w:rsidRPr="00CA6257">
        <w:rPr>
          <w:rFonts w:ascii="Times New Roman" w:hAnsi="Times New Roman" w:cs="Times New Roman"/>
          <w:sz w:val="20"/>
          <w:szCs w:val="20"/>
        </w:rPr>
        <w:t>discussions</w:t>
      </w:r>
      <w:r w:rsidRPr="00CA6257">
        <w:rPr>
          <w:rFonts w:ascii="Times New Roman" w:hAnsi="Times New Roman" w:cs="Times New Roman"/>
          <w:sz w:val="20"/>
          <w:szCs w:val="20"/>
        </w:rPr>
        <w:t xml:space="preserve">:  </w:t>
      </w:r>
      <w:r w:rsidRPr="00CA6257">
        <w:rPr>
          <w:rFonts w:ascii="Times New Roman" w:hAnsi="Times New Roman" w:cs="Times New Roman"/>
          <w:color w:val="000000"/>
          <w:sz w:val="20"/>
          <w:szCs w:val="20"/>
        </w:rPr>
        <w:t xml:space="preserve">Aqua Pennsylvania; Columbia Gas of PA; Duquesne Light; Energy Association of PA (EAP); Equitable Gas; FirstEnergy; various Industrial Customer Groups; National Fuel Gas; </w:t>
      </w:r>
      <w:r w:rsidR="007B791D" w:rsidRPr="00CA6257">
        <w:rPr>
          <w:rFonts w:ascii="Times New Roman" w:hAnsi="Times New Roman" w:cs="Times New Roman"/>
          <w:color w:val="000000"/>
          <w:sz w:val="20"/>
          <w:szCs w:val="20"/>
        </w:rPr>
        <w:t xml:space="preserve">Pennsylvania Chapter of the National Association of Water Companies (PNAWC); </w:t>
      </w:r>
      <w:r w:rsidRPr="00CA6257">
        <w:rPr>
          <w:rFonts w:ascii="Times New Roman" w:hAnsi="Times New Roman" w:cs="Times New Roman"/>
          <w:color w:val="000000"/>
          <w:sz w:val="20"/>
          <w:szCs w:val="20"/>
        </w:rPr>
        <w:t>PECO Energy Company; Peoples Natural Gas LLC; Pike County L&amp;P; PPL Electric Utilities; Superior Water; UGI; United Water; York Water Company</w:t>
      </w:r>
      <w:r w:rsidR="007B791D" w:rsidRPr="00CA6257">
        <w:rPr>
          <w:rFonts w:ascii="Times New Roman" w:hAnsi="Times New Roman" w:cs="Times New Roman"/>
          <w:color w:val="000000"/>
          <w:sz w:val="20"/>
          <w:szCs w:val="20"/>
        </w:rPr>
        <w:t>; the Office of Consumer Advocate (OCA); the Office of Small Business Advocate (OSBA); the Bureau of Investigation and Enforcement (BI&amp;E); and other Commission staff</w:t>
      </w:r>
      <w:r w:rsidRPr="00CA6257">
        <w:rPr>
          <w:rFonts w:ascii="Times New Roman" w:hAnsi="Times New Roman" w:cs="Times New Roman"/>
          <w:color w:val="000000"/>
          <w:sz w:val="20"/>
          <w:szCs w:val="20"/>
        </w:rPr>
        <w:t>.</w:t>
      </w:r>
      <w:r w:rsidRPr="00CA6257">
        <w:rPr>
          <w:rFonts w:ascii="Times New Roman" w:hAnsi="Times New Roman" w:cs="Times New Roman"/>
          <w:sz w:val="20"/>
          <w:szCs w:val="20"/>
        </w:rPr>
        <w:t xml:space="preserve">  EAP member utilities include:  Citizens’ Electric Company; Columbia Gas of PA; Duquesne Light Company; Equitable Gas Company; Metropolitan Edison Company; Pennsylvania Electric Company; Pennsylvania Power Company; Pike County Light &amp; Power Company; National Fuel Gas Distribution Corp.; PECO Energy Company; Peoples Natural Gas Company; Peoples TWP LLC; Philadelphia Gas Works; PPL Electric Utilities; UGI Central Penn Gas; UGI Penn Natural Gas; UGI Utilities, Inc.; Valley Energy; Wellsboro Electric Company; and West Penn Power Company.</w:t>
      </w:r>
      <w:r w:rsidR="007B791D" w:rsidRPr="00CA6257">
        <w:rPr>
          <w:rFonts w:ascii="Times New Roman" w:hAnsi="Times New Roman" w:cs="Times New Roman"/>
          <w:sz w:val="20"/>
          <w:szCs w:val="20"/>
        </w:rPr>
        <w:t xml:space="preserve">  PNAWC member utilities include:  P</w:t>
      </w:r>
      <w:r w:rsidR="00CA6257">
        <w:rPr>
          <w:rFonts w:ascii="Times New Roman" w:hAnsi="Times New Roman" w:cs="Times New Roman"/>
          <w:sz w:val="20"/>
          <w:szCs w:val="20"/>
        </w:rPr>
        <w:t xml:space="preserve">ennsylvania </w:t>
      </w:r>
      <w:r w:rsidR="007B791D" w:rsidRPr="00CA6257">
        <w:rPr>
          <w:rFonts w:ascii="Times New Roman" w:hAnsi="Times New Roman" w:cs="Times New Roman"/>
          <w:sz w:val="20"/>
          <w:szCs w:val="20"/>
        </w:rPr>
        <w:t>A</w:t>
      </w:r>
      <w:r w:rsidR="00CA6257">
        <w:rPr>
          <w:rFonts w:ascii="Times New Roman" w:hAnsi="Times New Roman" w:cs="Times New Roman"/>
          <w:sz w:val="20"/>
          <w:szCs w:val="20"/>
        </w:rPr>
        <w:t xml:space="preserve">merican </w:t>
      </w:r>
      <w:r w:rsidR="007B791D" w:rsidRPr="00CA6257">
        <w:rPr>
          <w:rFonts w:ascii="Times New Roman" w:hAnsi="Times New Roman" w:cs="Times New Roman"/>
          <w:sz w:val="20"/>
          <w:szCs w:val="20"/>
        </w:rPr>
        <w:t>W</w:t>
      </w:r>
      <w:r w:rsidR="00CA6257">
        <w:rPr>
          <w:rFonts w:ascii="Times New Roman" w:hAnsi="Times New Roman" w:cs="Times New Roman"/>
          <w:sz w:val="20"/>
          <w:szCs w:val="20"/>
        </w:rPr>
        <w:t xml:space="preserve">ater </w:t>
      </w:r>
      <w:r w:rsidR="007B791D" w:rsidRPr="00CA6257">
        <w:rPr>
          <w:rFonts w:ascii="Times New Roman" w:hAnsi="Times New Roman" w:cs="Times New Roman"/>
          <w:sz w:val="20"/>
          <w:szCs w:val="20"/>
        </w:rPr>
        <w:t>C</w:t>
      </w:r>
      <w:r w:rsidR="00CA6257">
        <w:rPr>
          <w:rFonts w:ascii="Times New Roman" w:hAnsi="Times New Roman" w:cs="Times New Roman"/>
          <w:sz w:val="20"/>
          <w:szCs w:val="20"/>
        </w:rPr>
        <w:t>ompany;</w:t>
      </w:r>
      <w:r w:rsidR="007B791D" w:rsidRPr="00CA6257">
        <w:rPr>
          <w:rFonts w:ascii="Times New Roman" w:hAnsi="Times New Roman" w:cs="Times New Roman"/>
          <w:sz w:val="20"/>
          <w:szCs w:val="20"/>
        </w:rPr>
        <w:t xml:space="preserve"> York Water Company, United Water Pennsylvania, Superior Water, and “other smaller water utilities.”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804A6"/>
    <w:multiLevelType w:val="hybridMultilevel"/>
    <w:tmpl w:val="28FEE2F8"/>
    <w:lvl w:ilvl="0" w:tplc="D91ED02C">
      <w:numFmt w:val="bullet"/>
      <w:lvlText w:val="•"/>
      <w:lvlJc w:val="left"/>
      <w:pPr>
        <w:ind w:left="1800" w:hanging="72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4494C4A"/>
    <w:multiLevelType w:val="hybridMultilevel"/>
    <w:tmpl w:val="124C59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3573284"/>
    <w:multiLevelType w:val="hybridMultilevel"/>
    <w:tmpl w:val="57523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CB4"/>
    <w:rsid w:val="00025843"/>
    <w:rsid w:val="00066A04"/>
    <w:rsid w:val="00067DE1"/>
    <w:rsid w:val="000731CD"/>
    <w:rsid w:val="000B5CE9"/>
    <w:rsid w:val="000D7EE6"/>
    <w:rsid w:val="00135322"/>
    <w:rsid w:val="00144E3A"/>
    <w:rsid w:val="00154A96"/>
    <w:rsid w:val="00173D03"/>
    <w:rsid w:val="00193220"/>
    <w:rsid w:val="001A55B5"/>
    <w:rsid w:val="001D3260"/>
    <w:rsid w:val="00202550"/>
    <w:rsid w:val="002072E1"/>
    <w:rsid w:val="00213091"/>
    <w:rsid w:val="00214AAA"/>
    <w:rsid w:val="00227E9F"/>
    <w:rsid w:val="0024007A"/>
    <w:rsid w:val="00270023"/>
    <w:rsid w:val="002B1948"/>
    <w:rsid w:val="00321D4E"/>
    <w:rsid w:val="00344609"/>
    <w:rsid w:val="003832BD"/>
    <w:rsid w:val="00385DE2"/>
    <w:rsid w:val="003C68D9"/>
    <w:rsid w:val="00401636"/>
    <w:rsid w:val="004138FC"/>
    <w:rsid w:val="00416629"/>
    <w:rsid w:val="00440C54"/>
    <w:rsid w:val="0048168C"/>
    <w:rsid w:val="00482FE4"/>
    <w:rsid w:val="004C5E6D"/>
    <w:rsid w:val="004D27E7"/>
    <w:rsid w:val="004E487C"/>
    <w:rsid w:val="004F439E"/>
    <w:rsid w:val="00563206"/>
    <w:rsid w:val="00596E1D"/>
    <w:rsid w:val="005B1D34"/>
    <w:rsid w:val="005C5D56"/>
    <w:rsid w:val="005D3D4C"/>
    <w:rsid w:val="005F1987"/>
    <w:rsid w:val="00603660"/>
    <w:rsid w:val="00607ECD"/>
    <w:rsid w:val="00626231"/>
    <w:rsid w:val="006557D4"/>
    <w:rsid w:val="00662F39"/>
    <w:rsid w:val="00682519"/>
    <w:rsid w:val="006A1979"/>
    <w:rsid w:val="006A266E"/>
    <w:rsid w:val="006C1B0E"/>
    <w:rsid w:val="006C22B4"/>
    <w:rsid w:val="0078373D"/>
    <w:rsid w:val="007A2F41"/>
    <w:rsid w:val="007B791D"/>
    <w:rsid w:val="007E1188"/>
    <w:rsid w:val="00814243"/>
    <w:rsid w:val="0083527E"/>
    <w:rsid w:val="00880862"/>
    <w:rsid w:val="008A0D5E"/>
    <w:rsid w:val="008D2A8A"/>
    <w:rsid w:val="008E1CB4"/>
    <w:rsid w:val="008E42F9"/>
    <w:rsid w:val="00913EC5"/>
    <w:rsid w:val="00967DFC"/>
    <w:rsid w:val="009731FA"/>
    <w:rsid w:val="009B3DB8"/>
    <w:rsid w:val="009D3165"/>
    <w:rsid w:val="009F3B4B"/>
    <w:rsid w:val="00A2016E"/>
    <w:rsid w:val="00A240C0"/>
    <w:rsid w:val="00A26DBA"/>
    <w:rsid w:val="00A271BC"/>
    <w:rsid w:val="00A86CE4"/>
    <w:rsid w:val="00AA01A4"/>
    <w:rsid w:val="00AA4D7F"/>
    <w:rsid w:val="00AB161A"/>
    <w:rsid w:val="00AB6EAD"/>
    <w:rsid w:val="00AF4047"/>
    <w:rsid w:val="00B05908"/>
    <w:rsid w:val="00B17D37"/>
    <w:rsid w:val="00B2020F"/>
    <w:rsid w:val="00B43034"/>
    <w:rsid w:val="00B65693"/>
    <w:rsid w:val="00B87787"/>
    <w:rsid w:val="00B915E5"/>
    <w:rsid w:val="00BD1195"/>
    <w:rsid w:val="00BD4357"/>
    <w:rsid w:val="00CA6257"/>
    <w:rsid w:val="00D21D12"/>
    <w:rsid w:val="00D30E39"/>
    <w:rsid w:val="00D4581A"/>
    <w:rsid w:val="00D52715"/>
    <w:rsid w:val="00D94552"/>
    <w:rsid w:val="00DA73FC"/>
    <w:rsid w:val="00DD57E8"/>
    <w:rsid w:val="00E02F6C"/>
    <w:rsid w:val="00E0565B"/>
    <w:rsid w:val="00E074EA"/>
    <w:rsid w:val="00E17BA3"/>
    <w:rsid w:val="00E3569B"/>
    <w:rsid w:val="00E402A0"/>
    <w:rsid w:val="00E636FD"/>
    <w:rsid w:val="00E70300"/>
    <w:rsid w:val="00F160CD"/>
    <w:rsid w:val="00F6461B"/>
    <w:rsid w:val="00F73472"/>
    <w:rsid w:val="00FB0FB7"/>
    <w:rsid w:val="00FB497E"/>
    <w:rsid w:val="00FF4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PostalCode"/>
  <w:smartTagType w:namespaceuri="urn:schemas-microsoft-com:office:smarttags" w:name="address"/>
  <w:shapeDefaults>
    <o:shapedefaults v:ext="edit" spidmax="1026"/>
    <o:shapelayout v:ext="edit">
      <o:idmap v:ext="edit" data="1"/>
    </o:shapelayout>
  </w:shapeDefaults>
  <w:decimalSymbol w:val="."/>
  <w:listSeparator w:val=","/>
  <w14:docId w14:val="1727095E"/>
  <w15:docId w15:val="{E18DAA3C-89F2-4241-9B24-5EDD75205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30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1CB4"/>
    <w:pPr>
      <w:ind w:left="720"/>
      <w:contextualSpacing/>
    </w:pPr>
  </w:style>
  <w:style w:type="paragraph" w:styleId="BalloonText">
    <w:name w:val="Balloon Text"/>
    <w:basedOn w:val="Normal"/>
    <w:link w:val="BalloonTextChar"/>
    <w:uiPriority w:val="99"/>
    <w:semiHidden/>
    <w:unhideWhenUsed/>
    <w:rsid w:val="005C5D56"/>
    <w:rPr>
      <w:rFonts w:ascii="Tahoma" w:hAnsi="Tahoma" w:cs="Tahoma"/>
      <w:sz w:val="16"/>
      <w:szCs w:val="16"/>
    </w:rPr>
  </w:style>
  <w:style w:type="character" w:customStyle="1" w:styleId="BalloonTextChar">
    <w:name w:val="Balloon Text Char"/>
    <w:basedOn w:val="DefaultParagraphFont"/>
    <w:link w:val="BalloonText"/>
    <w:uiPriority w:val="99"/>
    <w:semiHidden/>
    <w:rsid w:val="005C5D56"/>
    <w:rPr>
      <w:rFonts w:ascii="Tahoma" w:hAnsi="Tahoma" w:cs="Tahoma"/>
      <w:sz w:val="16"/>
      <w:szCs w:val="16"/>
    </w:rPr>
  </w:style>
  <w:style w:type="paragraph" w:styleId="FootnoteText">
    <w:name w:val="footnote text"/>
    <w:basedOn w:val="Normal"/>
    <w:link w:val="FootnoteTextChar"/>
    <w:uiPriority w:val="99"/>
    <w:semiHidden/>
    <w:unhideWhenUsed/>
    <w:rsid w:val="00214AAA"/>
    <w:pPr>
      <w:overflowPunct w:val="0"/>
      <w:autoSpaceDE w:val="0"/>
      <w:autoSpaceDN w:val="0"/>
      <w:adjustRightInd w:val="0"/>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214AA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14AAA"/>
    <w:rPr>
      <w:vertAlign w:val="superscript"/>
    </w:rPr>
  </w:style>
  <w:style w:type="character" w:styleId="Hyperlink">
    <w:name w:val="Hyperlink"/>
    <w:basedOn w:val="DefaultParagraphFont"/>
    <w:uiPriority w:val="99"/>
    <w:unhideWhenUsed/>
    <w:rsid w:val="00214AAA"/>
    <w:rPr>
      <w:color w:val="0000FF" w:themeColor="hyperlink"/>
      <w:u w:val="single"/>
    </w:rPr>
  </w:style>
  <w:style w:type="character" w:styleId="FollowedHyperlink">
    <w:name w:val="FollowedHyperlink"/>
    <w:basedOn w:val="DefaultParagraphFont"/>
    <w:uiPriority w:val="99"/>
    <w:semiHidden/>
    <w:unhideWhenUsed/>
    <w:rsid w:val="00401636"/>
    <w:rPr>
      <w:color w:val="800080" w:themeColor="followedHyperlink"/>
      <w:u w:val="single"/>
    </w:rPr>
  </w:style>
  <w:style w:type="paragraph" w:styleId="Header">
    <w:name w:val="header"/>
    <w:basedOn w:val="Normal"/>
    <w:link w:val="HeaderChar"/>
    <w:uiPriority w:val="99"/>
    <w:unhideWhenUsed/>
    <w:rsid w:val="00BD4357"/>
    <w:pPr>
      <w:tabs>
        <w:tab w:val="center" w:pos="4680"/>
        <w:tab w:val="right" w:pos="9360"/>
      </w:tabs>
    </w:pPr>
  </w:style>
  <w:style w:type="character" w:customStyle="1" w:styleId="HeaderChar">
    <w:name w:val="Header Char"/>
    <w:basedOn w:val="DefaultParagraphFont"/>
    <w:link w:val="Header"/>
    <w:uiPriority w:val="99"/>
    <w:rsid w:val="00BD4357"/>
  </w:style>
  <w:style w:type="paragraph" w:styleId="Footer">
    <w:name w:val="footer"/>
    <w:basedOn w:val="Normal"/>
    <w:link w:val="FooterChar"/>
    <w:uiPriority w:val="99"/>
    <w:unhideWhenUsed/>
    <w:rsid w:val="00BD4357"/>
    <w:pPr>
      <w:tabs>
        <w:tab w:val="center" w:pos="4680"/>
        <w:tab w:val="right" w:pos="9360"/>
      </w:tabs>
    </w:pPr>
  </w:style>
  <w:style w:type="character" w:customStyle="1" w:styleId="FooterChar">
    <w:name w:val="Footer Char"/>
    <w:basedOn w:val="DefaultParagraphFont"/>
    <w:link w:val="Footer"/>
    <w:uiPriority w:val="99"/>
    <w:rsid w:val="00BD43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aherster@pa.gov"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legis.state.pa.us/WU01/LI/LI/US/HTM/2012/0/001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C76569-8760-48F2-9001-F7EA8835B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599</Words>
  <Characters>3418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elaudensla</dc:creator>
  <cp:lastModifiedBy>Wagner, Nathan R</cp:lastModifiedBy>
  <cp:revision>7</cp:revision>
  <cp:lastPrinted>2016-04-25T17:40:00Z</cp:lastPrinted>
  <dcterms:created xsi:type="dcterms:W3CDTF">2017-11-06T15:39:00Z</dcterms:created>
  <dcterms:modified xsi:type="dcterms:W3CDTF">2017-11-27T16:43:00Z</dcterms:modified>
</cp:coreProperties>
</file>