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D55644" w14:paraId="4B82B2D5" w14:textId="77777777">
        <w:tc>
          <w:tcPr>
            <w:tcW w:w="2448" w:type="dxa"/>
          </w:tcPr>
          <w:p w14:paraId="2159C18C" w14:textId="77777777" w:rsidR="00D850D4" w:rsidRPr="00D55644" w:rsidRDefault="00D850D4" w:rsidP="00092C0A">
            <w:pPr>
              <w:pStyle w:val="Heading3"/>
              <w:rPr>
                <w:rFonts w:ascii="Times New Roman" w:hAnsi="Times New Roman" w:cs="Times New Roman"/>
              </w:rPr>
            </w:pPr>
          </w:p>
        </w:tc>
        <w:tc>
          <w:tcPr>
            <w:tcW w:w="5130" w:type="dxa"/>
          </w:tcPr>
          <w:p w14:paraId="0B62E6C3" w14:textId="77777777" w:rsidR="00D850D4" w:rsidRPr="00D55644" w:rsidRDefault="00D850D4">
            <w:pPr>
              <w:jc w:val="center"/>
              <w:rPr>
                <w:b/>
                <w:sz w:val="26"/>
                <w:szCs w:val="26"/>
              </w:rPr>
            </w:pPr>
            <w:r w:rsidRPr="00D55644">
              <w:rPr>
                <w:b/>
                <w:sz w:val="26"/>
                <w:szCs w:val="26"/>
              </w:rPr>
              <w:t>PENNSYLVANIA</w:t>
            </w:r>
          </w:p>
          <w:p w14:paraId="6C3B8494" w14:textId="77777777" w:rsidR="00D850D4" w:rsidRPr="00D55644" w:rsidRDefault="00D850D4">
            <w:pPr>
              <w:jc w:val="center"/>
              <w:rPr>
                <w:b/>
                <w:sz w:val="26"/>
                <w:szCs w:val="26"/>
              </w:rPr>
            </w:pPr>
            <w:r w:rsidRPr="00D55644">
              <w:rPr>
                <w:b/>
                <w:sz w:val="26"/>
                <w:szCs w:val="26"/>
              </w:rPr>
              <w:t>PUBLIC UTILITY COMMISSION</w:t>
            </w:r>
          </w:p>
          <w:p w14:paraId="425A1561" w14:textId="77777777" w:rsidR="00D850D4" w:rsidRPr="00D55644" w:rsidRDefault="00D850D4" w:rsidP="00092C0A">
            <w:pPr>
              <w:pStyle w:val="StyleCentered"/>
              <w:rPr>
                <w:b/>
                <w:sz w:val="26"/>
                <w:szCs w:val="26"/>
              </w:rPr>
            </w:pPr>
            <w:r w:rsidRPr="00D55644">
              <w:rPr>
                <w:b/>
                <w:sz w:val="26"/>
                <w:szCs w:val="26"/>
              </w:rPr>
              <w:t>Harrisburg</w:t>
            </w:r>
            <w:r w:rsidR="006048E2" w:rsidRPr="00D55644">
              <w:rPr>
                <w:b/>
                <w:sz w:val="26"/>
                <w:szCs w:val="26"/>
              </w:rPr>
              <w:t>, PA</w:t>
            </w:r>
            <w:r w:rsidRPr="00D55644">
              <w:rPr>
                <w:b/>
                <w:sz w:val="26"/>
                <w:szCs w:val="26"/>
              </w:rPr>
              <w:t xml:space="preserve">  17105-3265</w:t>
            </w:r>
          </w:p>
        </w:tc>
        <w:tc>
          <w:tcPr>
            <w:tcW w:w="2700" w:type="dxa"/>
          </w:tcPr>
          <w:p w14:paraId="14F30E92" w14:textId="77777777" w:rsidR="00D850D4" w:rsidRPr="00D55644" w:rsidRDefault="00D850D4">
            <w:pPr>
              <w:rPr>
                <w:sz w:val="26"/>
                <w:szCs w:val="26"/>
              </w:rPr>
            </w:pPr>
          </w:p>
        </w:tc>
      </w:tr>
    </w:tbl>
    <w:p w14:paraId="70136D44" w14:textId="77777777" w:rsidR="00D850D4" w:rsidRPr="00D55644"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55644" w:rsidRPr="00D55644" w14:paraId="2ADA026C" w14:textId="77777777">
        <w:tc>
          <w:tcPr>
            <w:tcW w:w="5148" w:type="dxa"/>
          </w:tcPr>
          <w:p w14:paraId="3453CC61" w14:textId="77777777" w:rsidR="00D850D4" w:rsidRPr="00D55644" w:rsidRDefault="00D850D4">
            <w:pPr>
              <w:rPr>
                <w:sz w:val="26"/>
                <w:szCs w:val="26"/>
              </w:rPr>
            </w:pPr>
          </w:p>
        </w:tc>
        <w:tc>
          <w:tcPr>
            <w:tcW w:w="5148" w:type="dxa"/>
          </w:tcPr>
          <w:p w14:paraId="0DD476B0" w14:textId="77777777" w:rsidR="00D850D4" w:rsidRPr="00D55644" w:rsidRDefault="00D850D4" w:rsidP="00222387">
            <w:pPr>
              <w:ind w:firstLine="612"/>
              <w:rPr>
                <w:sz w:val="26"/>
                <w:szCs w:val="26"/>
              </w:rPr>
            </w:pPr>
            <w:r w:rsidRPr="00D55644">
              <w:rPr>
                <w:sz w:val="26"/>
                <w:szCs w:val="26"/>
              </w:rPr>
              <w:t xml:space="preserve">Public Meeting held </w:t>
            </w:r>
            <w:r w:rsidR="00345386">
              <w:rPr>
                <w:sz w:val="26"/>
                <w:szCs w:val="26"/>
              </w:rPr>
              <w:t>January 18, 2018</w:t>
            </w:r>
            <w:r w:rsidR="005551D7" w:rsidRPr="00D55644">
              <w:rPr>
                <w:sz w:val="26"/>
                <w:szCs w:val="26"/>
              </w:rPr>
              <w:t xml:space="preserve"> </w:t>
            </w:r>
          </w:p>
        </w:tc>
      </w:tr>
      <w:tr w:rsidR="00D850D4" w:rsidRPr="00D55644" w14:paraId="5012E0B3" w14:textId="77777777">
        <w:tc>
          <w:tcPr>
            <w:tcW w:w="5148" w:type="dxa"/>
          </w:tcPr>
          <w:p w14:paraId="089BC3D4" w14:textId="77777777" w:rsidR="00D850D4" w:rsidRPr="00D55644" w:rsidRDefault="00D850D4">
            <w:pPr>
              <w:rPr>
                <w:sz w:val="26"/>
                <w:szCs w:val="26"/>
              </w:rPr>
            </w:pPr>
            <w:r w:rsidRPr="00D55644">
              <w:rPr>
                <w:sz w:val="26"/>
                <w:szCs w:val="26"/>
              </w:rPr>
              <w:t>Commissioners Present:</w:t>
            </w:r>
          </w:p>
        </w:tc>
        <w:tc>
          <w:tcPr>
            <w:tcW w:w="5148" w:type="dxa"/>
          </w:tcPr>
          <w:p w14:paraId="5AB44048" w14:textId="77777777" w:rsidR="00D850D4" w:rsidRPr="00D55644" w:rsidRDefault="00D850D4">
            <w:pPr>
              <w:rPr>
                <w:sz w:val="26"/>
                <w:szCs w:val="26"/>
              </w:rPr>
            </w:pPr>
          </w:p>
        </w:tc>
      </w:tr>
    </w:tbl>
    <w:p w14:paraId="7F4304FF" w14:textId="77777777" w:rsidR="00D850D4" w:rsidRPr="00D55644" w:rsidRDefault="00D850D4">
      <w:pPr>
        <w:rPr>
          <w:sz w:val="26"/>
          <w:szCs w:val="26"/>
        </w:rPr>
      </w:pPr>
    </w:p>
    <w:tbl>
      <w:tblPr>
        <w:tblW w:w="10296" w:type="dxa"/>
        <w:tblLayout w:type="fixed"/>
        <w:tblLook w:val="0000" w:firstRow="0" w:lastRow="0" w:firstColumn="0" w:lastColumn="0" w:noHBand="0" w:noVBand="0"/>
      </w:tblPr>
      <w:tblGrid>
        <w:gridCol w:w="5310"/>
        <w:gridCol w:w="4068"/>
        <w:gridCol w:w="720"/>
        <w:gridCol w:w="198"/>
      </w:tblGrid>
      <w:tr w:rsidR="00D55644" w:rsidRPr="00D55644" w14:paraId="5D39E684" w14:textId="77777777" w:rsidTr="00107AB8">
        <w:tc>
          <w:tcPr>
            <w:tcW w:w="9378" w:type="dxa"/>
            <w:gridSpan w:val="2"/>
          </w:tcPr>
          <w:p w14:paraId="49239FE6" w14:textId="77777777" w:rsidR="004E58A5" w:rsidRPr="00D55644" w:rsidRDefault="005426BD" w:rsidP="00AB738E">
            <w:pPr>
              <w:overflowPunct/>
              <w:ind w:left="720"/>
              <w:textAlignment w:val="auto"/>
              <w:rPr>
                <w:sz w:val="26"/>
                <w:szCs w:val="26"/>
              </w:rPr>
            </w:pPr>
            <w:r w:rsidRPr="00D55644">
              <w:rPr>
                <w:sz w:val="26"/>
                <w:szCs w:val="26"/>
              </w:rPr>
              <w:t>Gladys M. Brown</w:t>
            </w:r>
            <w:r w:rsidR="00E15458" w:rsidRPr="00D55644">
              <w:rPr>
                <w:sz w:val="26"/>
                <w:szCs w:val="26"/>
              </w:rPr>
              <w:t>, Chairman</w:t>
            </w:r>
          </w:p>
        </w:tc>
        <w:tc>
          <w:tcPr>
            <w:tcW w:w="918" w:type="dxa"/>
            <w:gridSpan w:val="2"/>
          </w:tcPr>
          <w:p w14:paraId="76BA1EBB" w14:textId="77777777" w:rsidR="004E58A5" w:rsidRPr="00D55644" w:rsidRDefault="004E58A5">
            <w:pPr>
              <w:rPr>
                <w:sz w:val="26"/>
                <w:szCs w:val="26"/>
              </w:rPr>
            </w:pPr>
          </w:p>
        </w:tc>
      </w:tr>
      <w:tr w:rsidR="00D55644" w:rsidRPr="00D55644" w14:paraId="77611398" w14:textId="77777777" w:rsidTr="00107AB8">
        <w:tc>
          <w:tcPr>
            <w:tcW w:w="9378" w:type="dxa"/>
            <w:gridSpan w:val="2"/>
          </w:tcPr>
          <w:p w14:paraId="114D3617" w14:textId="77777777" w:rsidR="0030096E" w:rsidRPr="00D55644" w:rsidRDefault="00014625" w:rsidP="00014625">
            <w:pPr>
              <w:overflowPunct/>
              <w:ind w:left="720"/>
              <w:textAlignment w:val="auto"/>
              <w:rPr>
                <w:sz w:val="26"/>
                <w:szCs w:val="26"/>
              </w:rPr>
            </w:pPr>
            <w:r w:rsidRPr="00D55644">
              <w:rPr>
                <w:sz w:val="26"/>
                <w:szCs w:val="26"/>
              </w:rPr>
              <w:t>Andrew G. Place</w:t>
            </w:r>
            <w:r w:rsidR="00AB2CF1" w:rsidRPr="00D55644">
              <w:rPr>
                <w:sz w:val="26"/>
                <w:szCs w:val="26"/>
              </w:rPr>
              <w:t xml:space="preserve">, </w:t>
            </w:r>
            <w:r w:rsidR="004E58A5" w:rsidRPr="00D55644">
              <w:rPr>
                <w:sz w:val="26"/>
                <w:szCs w:val="26"/>
              </w:rPr>
              <w:t>Vice Chairman</w:t>
            </w:r>
          </w:p>
          <w:p w14:paraId="5A20C58E" w14:textId="77777777" w:rsidR="004E58A5" w:rsidRPr="00D55644" w:rsidRDefault="0030096E" w:rsidP="00014625">
            <w:pPr>
              <w:overflowPunct/>
              <w:ind w:left="720"/>
              <w:textAlignment w:val="auto"/>
              <w:rPr>
                <w:sz w:val="26"/>
                <w:szCs w:val="26"/>
              </w:rPr>
            </w:pPr>
            <w:r w:rsidRPr="00D55644">
              <w:rPr>
                <w:sz w:val="26"/>
                <w:szCs w:val="26"/>
              </w:rPr>
              <w:t>Norman J. Kennard</w:t>
            </w:r>
          </w:p>
        </w:tc>
        <w:tc>
          <w:tcPr>
            <w:tcW w:w="918" w:type="dxa"/>
            <w:gridSpan w:val="2"/>
          </w:tcPr>
          <w:p w14:paraId="3647B114" w14:textId="77777777" w:rsidR="004E58A5" w:rsidRPr="00D55644" w:rsidRDefault="004E58A5">
            <w:pPr>
              <w:rPr>
                <w:sz w:val="26"/>
                <w:szCs w:val="26"/>
              </w:rPr>
            </w:pPr>
          </w:p>
        </w:tc>
      </w:tr>
      <w:tr w:rsidR="00D55644" w:rsidRPr="00D55644" w14:paraId="0E7A8FEB" w14:textId="77777777" w:rsidTr="00107AB8">
        <w:tc>
          <w:tcPr>
            <w:tcW w:w="9378" w:type="dxa"/>
            <w:gridSpan w:val="2"/>
          </w:tcPr>
          <w:p w14:paraId="6239AB6C" w14:textId="188A0D08" w:rsidR="004E58A5" w:rsidRPr="00D55644" w:rsidRDefault="00DE515A" w:rsidP="00AB738E">
            <w:pPr>
              <w:overflowPunct/>
              <w:ind w:left="720"/>
              <w:textAlignment w:val="auto"/>
              <w:rPr>
                <w:sz w:val="26"/>
                <w:szCs w:val="26"/>
              </w:rPr>
            </w:pPr>
            <w:r w:rsidRPr="00D55644">
              <w:rPr>
                <w:sz w:val="26"/>
                <w:szCs w:val="26"/>
              </w:rPr>
              <w:t>David W. Sweet</w:t>
            </w:r>
            <w:r w:rsidR="00DC22D6">
              <w:rPr>
                <w:sz w:val="26"/>
                <w:szCs w:val="26"/>
              </w:rPr>
              <w:t>, concurring in result only</w:t>
            </w:r>
          </w:p>
        </w:tc>
        <w:tc>
          <w:tcPr>
            <w:tcW w:w="918" w:type="dxa"/>
            <w:gridSpan w:val="2"/>
          </w:tcPr>
          <w:p w14:paraId="59723C27" w14:textId="77777777" w:rsidR="004E58A5" w:rsidRPr="00D55644" w:rsidRDefault="004E58A5">
            <w:pPr>
              <w:rPr>
                <w:sz w:val="26"/>
                <w:szCs w:val="26"/>
              </w:rPr>
            </w:pPr>
          </w:p>
        </w:tc>
      </w:tr>
      <w:tr w:rsidR="00D55644" w:rsidRPr="00D55644" w14:paraId="5C710D85" w14:textId="77777777" w:rsidTr="00107AB8">
        <w:tc>
          <w:tcPr>
            <w:tcW w:w="9378" w:type="dxa"/>
            <w:gridSpan w:val="2"/>
          </w:tcPr>
          <w:p w14:paraId="0EEFE57E" w14:textId="77777777" w:rsidR="004E58A5" w:rsidRPr="00D55644" w:rsidRDefault="00DE515A" w:rsidP="00AB738E">
            <w:pPr>
              <w:overflowPunct/>
              <w:ind w:left="720"/>
              <w:textAlignment w:val="auto"/>
              <w:rPr>
                <w:sz w:val="26"/>
                <w:szCs w:val="26"/>
              </w:rPr>
            </w:pPr>
            <w:r w:rsidRPr="00D55644">
              <w:rPr>
                <w:sz w:val="26"/>
                <w:szCs w:val="26"/>
              </w:rPr>
              <w:t>John F. Coleman, Jr.</w:t>
            </w:r>
          </w:p>
          <w:p w14:paraId="2443D251" w14:textId="77777777" w:rsidR="00DE515A" w:rsidRPr="00D55644" w:rsidRDefault="00DE515A" w:rsidP="00AB738E">
            <w:pPr>
              <w:overflowPunct/>
              <w:ind w:left="720"/>
              <w:textAlignment w:val="auto"/>
              <w:rPr>
                <w:sz w:val="26"/>
                <w:szCs w:val="26"/>
              </w:rPr>
            </w:pPr>
          </w:p>
        </w:tc>
        <w:tc>
          <w:tcPr>
            <w:tcW w:w="918" w:type="dxa"/>
            <w:gridSpan w:val="2"/>
          </w:tcPr>
          <w:p w14:paraId="58E82219" w14:textId="77777777" w:rsidR="004E58A5" w:rsidRPr="00D55644" w:rsidRDefault="004E58A5">
            <w:pPr>
              <w:rPr>
                <w:sz w:val="26"/>
                <w:szCs w:val="26"/>
              </w:rPr>
            </w:pPr>
          </w:p>
        </w:tc>
      </w:tr>
      <w:tr w:rsidR="00107AB8" w:rsidRPr="00D55644" w14:paraId="3D819231" w14:textId="77777777" w:rsidTr="006E0EAA">
        <w:trPr>
          <w:gridAfter w:val="1"/>
          <w:wAfter w:w="198" w:type="dxa"/>
        </w:trPr>
        <w:tc>
          <w:tcPr>
            <w:tcW w:w="5310" w:type="dxa"/>
          </w:tcPr>
          <w:p w14:paraId="78208B7E" w14:textId="77777777" w:rsidR="00E311FE" w:rsidRPr="00D55644" w:rsidRDefault="002F1036" w:rsidP="002F1036">
            <w:pPr>
              <w:tabs>
                <w:tab w:val="left" w:pos="540"/>
              </w:tabs>
              <w:rPr>
                <w:sz w:val="26"/>
                <w:szCs w:val="26"/>
              </w:rPr>
            </w:pPr>
            <w:r w:rsidRPr="00D55644">
              <w:rPr>
                <w:sz w:val="26"/>
                <w:szCs w:val="26"/>
              </w:rPr>
              <w:t>Petition</w:t>
            </w:r>
            <w:r w:rsidR="002A24C6" w:rsidRPr="00D55644">
              <w:rPr>
                <w:sz w:val="26"/>
                <w:szCs w:val="26"/>
              </w:rPr>
              <w:t xml:space="preserve"> </w:t>
            </w:r>
            <w:r w:rsidR="00D701F5" w:rsidRPr="00D55644">
              <w:rPr>
                <w:sz w:val="26"/>
                <w:szCs w:val="26"/>
              </w:rPr>
              <w:t>of NRG Energy, Inc. for Implementation of Electric Generation Supplier Consolidated Billing</w:t>
            </w:r>
          </w:p>
        </w:tc>
        <w:tc>
          <w:tcPr>
            <w:tcW w:w="4788" w:type="dxa"/>
            <w:gridSpan w:val="2"/>
          </w:tcPr>
          <w:p w14:paraId="13945B5C" w14:textId="77777777" w:rsidR="00107AB8" w:rsidRPr="00D55644" w:rsidRDefault="002A24C6" w:rsidP="006E0EAA">
            <w:pPr>
              <w:jc w:val="center"/>
              <w:rPr>
                <w:sz w:val="26"/>
                <w:szCs w:val="26"/>
              </w:rPr>
            </w:pPr>
            <w:r w:rsidRPr="00D55644">
              <w:rPr>
                <w:sz w:val="26"/>
                <w:szCs w:val="26"/>
              </w:rPr>
              <w:t>P-2016</w:t>
            </w:r>
            <w:r w:rsidR="00E311FE" w:rsidRPr="00D55644">
              <w:rPr>
                <w:sz w:val="26"/>
                <w:szCs w:val="26"/>
              </w:rPr>
              <w:t>-</w:t>
            </w:r>
            <w:bookmarkStart w:id="0" w:name="_GoBack"/>
            <w:r w:rsidR="00E311FE" w:rsidRPr="00D55644">
              <w:rPr>
                <w:sz w:val="26"/>
                <w:szCs w:val="26"/>
              </w:rPr>
              <w:t>2</w:t>
            </w:r>
            <w:r w:rsidRPr="00D55644">
              <w:rPr>
                <w:sz w:val="26"/>
                <w:szCs w:val="26"/>
              </w:rPr>
              <w:t>579249</w:t>
            </w:r>
            <w:bookmarkEnd w:id="0"/>
          </w:p>
        </w:tc>
      </w:tr>
    </w:tbl>
    <w:p w14:paraId="2ED23D5D" w14:textId="77777777" w:rsidR="00D850D4" w:rsidRPr="00D55644" w:rsidRDefault="00D850D4">
      <w:pPr>
        <w:jc w:val="center"/>
        <w:rPr>
          <w:b/>
          <w:sz w:val="26"/>
          <w:szCs w:val="26"/>
        </w:rPr>
      </w:pPr>
    </w:p>
    <w:p w14:paraId="5288F146" w14:textId="77777777" w:rsidR="00D05928" w:rsidRPr="00D55644" w:rsidRDefault="00D05928">
      <w:pPr>
        <w:jc w:val="center"/>
        <w:rPr>
          <w:b/>
          <w:sz w:val="26"/>
          <w:szCs w:val="26"/>
        </w:rPr>
      </w:pPr>
    </w:p>
    <w:p w14:paraId="6A9CF81F" w14:textId="77777777" w:rsidR="00777484" w:rsidRPr="00D55644" w:rsidRDefault="000C6D0E" w:rsidP="00777484">
      <w:pPr>
        <w:jc w:val="center"/>
        <w:rPr>
          <w:b/>
          <w:sz w:val="26"/>
          <w:szCs w:val="26"/>
        </w:rPr>
      </w:pPr>
      <w:r w:rsidRPr="00D55644">
        <w:rPr>
          <w:b/>
          <w:sz w:val="26"/>
          <w:szCs w:val="26"/>
        </w:rPr>
        <w:t xml:space="preserve">OPINION AND </w:t>
      </w:r>
      <w:r w:rsidR="00803ACB" w:rsidRPr="00D55644">
        <w:rPr>
          <w:b/>
          <w:sz w:val="26"/>
          <w:szCs w:val="26"/>
        </w:rPr>
        <w:t>ORDER</w:t>
      </w:r>
    </w:p>
    <w:p w14:paraId="22E7BA78" w14:textId="77777777" w:rsidR="00FC6073" w:rsidRPr="00D55644" w:rsidRDefault="00FC6073" w:rsidP="00FC6073">
      <w:pPr>
        <w:jc w:val="center"/>
        <w:rPr>
          <w:b/>
          <w:sz w:val="26"/>
          <w:szCs w:val="26"/>
        </w:rPr>
      </w:pPr>
    </w:p>
    <w:p w14:paraId="2EE95514" w14:textId="77777777" w:rsidR="008976A4" w:rsidRPr="00D55644" w:rsidRDefault="008976A4" w:rsidP="00FC6073">
      <w:pPr>
        <w:jc w:val="center"/>
        <w:rPr>
          <w:b/>
          <w:sz w:val="26"/>
          <w:szCs w:val="26"/>
        </w:rPr>
      </w:pPr>
    </w:p>
    <w:p w14:paraId="48719EAE" w14:textId="77777777" w:rsidR="00FC6073" w:rsidRPr="00B76DD7" w:rsidRDefault="00FC6073" w:rsidP="00FC6073">
      <w:pPr>
        <w:spacing w:line="480" w:lineRule="auto"/>
        <w:rPr>
          <w:b/>
          <w:sz w:val="26"/>
          <w:szCs w:val="26"/>
        </w:rPr>
      </w:pPr>
      <w:r w:rsidRPr="00B76DD7">
        <w:rPr>
          <w:b/>
          <w:sz w:val="26"/>
          <w:szCs w:val="26"/>
        </w:rPr>
        <w:t>BY THE COMMISSION:</w:t>
      </w:r>
    </w:p>
    <w:p w14:paraId="49E15ED0" w14:textId="77777777" w:rsidR="005B4C5C" w:rsidRPr="00D55644" w:rsidRDefault="00AA5A11" w:rsidP="0063097F">
      <w:pPr>
        <w:spacing w:line="360" w:lineRule="auto"/>
        <w:rPr>
          <w:sz w:val="26"/>
          <w:szCs w:val="26"/>
        </w:rPr>
      </w:pPr>
      <w:r w:rsidRPr="00D55644">
        <w:rPr>
          <w:b/>
          <w:sz w:val="26"/>
          <w:szCs w:val="26"/>
        </w:rPr>
        <w:tab/>
      </w:r>
      <w:r w:rsidR="001E7766" w:rsidRPr="00D55644">
        <w:rPr>
          <w:sz w:val="26"/>
          <w:szCs w:val="26"/>
        </w:rPr>
        <w:t xml:space="preserve">Before the </w:t>
      </w:r>
      <w:r w:rsidR="00584B1B" w:rsidRPr="00D55644">
        <w:rPr>
          <w:sz w:val="26"/>
          <w:szCs w:val="26"/>
        </w:rPr>
        <w:t xml:space="preserve">Public Utility </w:t>
      </w:r>
      <w:r w:rsidR="001E7766" w:rsidRPr="00D55644">
        <w:rPr>
          <w:sz w:val="26"/>
          <w:szCs w:val="26"/>
        </w:rPr>
        <w:t>Commission</w:t>
      </w:r>
      <w:r w:rsidR="00584B1B" w:rsidRPr="00D55644">
        <w:rPr>
          <w:sz w:val="26"/>
          <w:szCs w:val="26"/>
        </w:rPr>
        <w:t xml:space="preserve"> (Commission)</w:t>
      </w:r>
      <w:r w:rsidR="002A24C6" w:rsidRPr="00D55644">
        <w:rPr>
          <w:sz w:val="26"/>
          <w:szCs w:val="26"/>
        </w:rPr>
        <w:t xml:space="preserve"> for consideration is the Petition </w:t>
      </w:r>
      <w:r w:rsidR="00D701F5" w:rsidRPr="00D55644">
        <w:rPr>
          <w:sz w:val="26"/>
          <w:szCs w:val="26"/>
        </w:rPr>
        <w:t>of NRG Energy, Inc</w:t>
      </w:r>
      <w:r w:rsidR="004A70D5" w:rsidRPr="00D55644">
        <w:rPr>
          <w:sz w:val="26"/>
          <w:szCs w:val="26"/>
        </w:rPr>
        <w:t>.</w:t>
      </w:r>
      <w:r w:rsidR="001D3EB5" w:rsidRPr="00D55644">
        <w:rPr>
          <w:sz w:val="26"/>
          <w:szCs w:val="26"/>
        </w:rPr>
        <w:t xml:space="preserve"> (NRG)</w:t>
      </w:r>
      <w:r w:rsidR="00D701F5" w:rsidRPr="00D55644">
        <w:rPr>
          <w:sz w:val="26"/>
          <w:szCs w:val="26"/>
        </w:rPr>
        <w:t xml:space="preserve"> for Implementation of Electric Generation Supplier Consolidated Billing</w:t>
      </w:r>
      <w:r w:rsidR="005D0370" w:rsidRPr="00D55644">
        <w:rPr>
          <w:sz w:val="26"/>
          <w:szCs w:val="26"/>
        </w:rPr>
        <w:t>.</w:t>
      </w:r>
      <w:r w:rsidR="00C63A72" w:rsidRPr="00D55644">
        <w:rPr>
          <w:sz w:val="26"/>
          <w:szCs w:val="26"/>
        </w:rPr>
        <w:t xml:space="preserve">  Through its Petition, NRG requests that the Commission permit electric generation suppliers (EGSs) to implement supplier consolidated </w:t>
      </w:r>
      <w:r w:rsidR="00127415" w:rsidRPr="00D55644">
        <w:rPr>
          <w:sz w:val="26"/>
          <w:szCs w:val="26"/>
        </w:rPr>
        <w:t xml:space="preserve">billing (SCB), a </w:t>
      </w:r>
      <w:r w:rsidR="00C63A72" w:rsidRPr="00D55644">
        <w:rPr>
          <w:sz w:val="26"/>
          <w:szCs w:val="26"/>
        </w:rPr>
        <w:t>method</w:t>
      </w:r>
      <w:r w:rsidR="00127415" w:rsidRPr="00D55644">
        <w:rPr>
          <w:sz w:val="26"/>
          <w:szCs w:val="26"/>
        </w:rPr>
        <w:t xml:space="preserve"> of billing customers for electric service</w:t>
      </w:r>
      <w:r w:rsidR="00C63A72" w:rsidRPr="00D55644">
        <w:rPr>
          <w:sz w:val="26"/>
          <w:szCs w:val="26"/>
        </w:rPr>
        <w:t xml:space="preserve"> which </w:t>
      </w:r>
      <w:r w:rsidR="000A0802" w:rsidRPr="00D55644">
        <w:rPr>
          <w:sz w:val="26"/>
          <w:szCs w:val="26"/>
        </w:rPr>
        <w:t xml:space="preserve">has </w:t>
      </w:r>
      <w:r w:rsidR="00C63A72" w:rsidRPr="00D55644">
        <w:rPr>
          <w:sz w:val="26"/>
          <w:szCs w:val="26"/>
        </w:rPr>
        <w:t>previously been considered by the Commission but never implemented.</w:t>
      </w:r>
      <w:r w:rsidR="00AD2AE1" w:rsidRPr="00D55644">
        <w:rPr>
          <w:sz w:val="26"/>
          <w:szCs w:val="26"/>
        </w:rPr>
        <w:t xml:space="preserve">  NRG believes that the time is right to implement SCB and that implementation is a necessary step to </w:t>
      </w:r>
      <w:r w:rsidR="000A0802" w:rsidRPr="00D55644">
        <w:rPr>
          <w:sz w:val="26"/>
          <w:szCs w:val="26"/>
        </w:rPr>
        <w:t xml:space="preserve">further </w:t>
      </w:r>
      <w:r w:rsidR="00356E17" w:rsidRPr="00D55644">
        <w:rPr>
          <w:sz w:val="26"/>
          <w:szCs w:val="26"/>
        </w:rPr>
        <w:t>promote</w:t>
      </w:r>
      <w:r w:rsidR="00AD2AE1" w:rsidRPr="00D55644">
        <w:rPr>
          <w:sz w:val="26"/>
          <w:szCs w:val="26"/>
        </w:rPr>
        <w:t xml:space="preserve"> competition in Pennsylvania’s retail electric market.</w:t>
      </w:r>
    </w:p>
    <w:p w14:paraId="65FF3717" w14:textId="77777777" w:rsidR="002E73DC" w:rsidRPr="00D55644" w:rsidRDefault="002E73DC" w:rsidP="0063097F">
      <w:pPr>
        <w:spacing w:line="360" w:lineRule="auto"/>
        <w:rPr>
          <w:sz w:val="26"/>
          <w:szCs w:val="26"/>
        </w:rPr>
      </w:pPr>
    </w:p>
    <w:p w14:paraId="0AF14BEB" w14:textId="09013920" w:rsidR="00222387" w:rsidRPr="00D55644" w:rsidRDefault="002E73DC" w:rsidP="00222387">
      <w:pPr>
        <w:spacing w:line="360" w:lineRule="auto"/>
        <w:rPr>
          <w:sz w:val="26"/>
          <w:szCs w:val="26"/>
        </w:rPr>
      </w:pPr>
      <w:r w:rsidRPr="00D55644">
        <w:rPr>
          <w:sz w:val="26"/>
          <w:szCs w:val="26"/>
        </w:rPr>
        <w:tab/>
      </w:r>
      <w:r w:rsidR="00222387" w:rsidRPr="00D55644">
        <w:rPr>
          <w:sz w:val="26"/>
          <w:szCs w:val="26"/>
        </w:rPr>
        <w:t xml:space="preserve">Two billing methods are currently available to retail electric customers in the Commonwealth: (1) dual billing and (2) utility consolidated billing (UCB).  Under dual billing, a customer receives two separate bills for electric services—one from the electric distribution company (EDC) for its distribution charges and another from the EGS for its </w:t>
      </w:r>
      <w:r w:rsidR="00222387" w:rsidRPr="00D55644">
        <w:rPr>
          <w:sz w:val="26"/>
          <w:szCs w:val="26"/>
        </w:rPr>
        <w:lastRenderedPageBreak/>
        <w:t xml:space="preserve">generation </w:t>
      </w:r>
      <w:r w:rsidR="00687958">
        <w:rPr>
          <w:sz w:val="26"/>
          <w:szCs w:val="26"/>
        </w:rPr>
        <w:t xml:space="preserve">and transmission </w:t>
      </w:r>
      <w:r w:rsidR="00222387" w:rsidRPr="00D55644">
        <w:rPr>
          <w:sz w:val="26"/>
          <w:szCs w:val="26"/>
        </w:rPr>
        <w:t xml:space="preserve">charges.  Under UCB, a customer receives one consolidated bill from the EDC, which covers the EDC’s distribution charges </w:t>
      </w:r>
      <w:r w:rsidR="00222387" w:rsidRPr="00D55644">
        <w:rPr>
          <w:i/>
          <w:sz w:val="26"/>
          <w:szCs w:val="26"/>
        </w:rPr>
        <w:t xml:space="preserve">and </w:t>
      </w:r>
      <w:r w:rsidR="00222387" w:rsidRPr="00D55644">
        <w:rPr>
          <w:sz w:val="26"/>
          <w:szCs w:val="26"/>
        </w:rPr>
        <w:t>the EGS’s generation charges.  According to NRG, most residential electric customers in Pennsylvania are billed under UCB.</w:t>
      </w:r>
      <w:r w:rsidR="00222387" w:rsidRPr="00D55644">
        <w:rPr>
          <w:sz w:val="26"/>
          <w:szCs w:val="26"/>
          <w:vertAlign w:val="superscript"/>
        </w:rPr>
        <w:footnoteReference w:id="1"/>
      </w:r>
    </w:p>
    <w:p w14:paraId="65FA32B0" w14:textId="77777777" w:rsidR="00222387" w:rsidRPr="00D55644" w:rsidRDefault="00222387" w:rsidP="00222387">
      <w:pPr>
        <w:spacing w:line="360" w:lineRule="auto"/>
        <w:rPr>
          <w:sz w:val="26"/>
          <w:szCs w:val="26"/>
        </w:rPr>
      </w:pPr>
    </w:p>
    <w:p w14:paraId="4A776C3E" w14:textId="752B81BF" w:rsidR="00222387" w:rsidRPr="00D55644" w:rsidRDefault="00222387" w:rsidP="00222387">
      <w:pPr>
        <w:spacing w:line="360" w:lineRule="auto"/>
        <w:rPr>
          <w:sz w:val="26"/>
          <w:szCs w:val="26"/>
        </w:rPr>
      </w:pPr>
      <w:r w:rsidRPr="00D55644">
        <w:rPr>
          <w:sz w:val="26"/>
          <w:szCs w:val="26"/>
        </w:rPr>
        <w:tab/>
        <w:t xml:space="preserve">NRG, through its Petition, proposes to add a third billing option, SCB.  Under SCB, customers would receive one consolidated bill; however, that bill would come from the customers’ EGS rather than their EDC.  Under SCB, the EGS would bill customers for both the EDC’s distribution charges as well as the EGS’s generation </w:t>
      </w:r>
      <w:r w:rsidR="00687958">
        <w:rPr>
          <w:sz w:val="26"/>
          <w:szCs w:val="26"/>
        </w:rPr>
        <w:t xml:space="preserve">and transmission </w:t>
      </w:r>
      <w:r w:rsidRPr="00D55644">
        <w:rPr>
          <w:sz w:val="26"/>
          <w:szCs w:val="26"/>
        </w:rPr>
        <w:t>charges, and customers would no longer receive a bill from their EDC.</w:t>
      </w:r>
    </w:p>
    <w:p w14:paraId="62806C59" w14:textId="77777777" w:rsidR="00222387" w:rsidRPr="00D55644" w:rsidRDefault="00222387" w:rsidP="00222387">
      <w:pPr>
        <w:spacing w:line="360" w:lineRule="auto"/>
        <w:rPr>
          <w:sz w:val="26"/>
          <w:szCs w:val="26"/>
        </w:rPr>
      </w:pPr>
    </w:p>
    <w:p w14:paraId="73C98CC3" w14:textId="4C24E957" w:rsidR="00AA5A11" w:rsidRPr="00D55644" w:rsidRDefault="00AA5A11" w:rsidP="00AA5A11">
      <w:pPr>
        <w:spacing w:line="360" w:lineRule="auto"/>
        <w:ind w:firstLine="720"/>
        <w:rPr>
          <w:sz w:val="26"/>
          <w:szCs w:val="26"/>
        </w:rPr>
      </w:pPr>
      <w:r w:rsidRPr="00D55644">
        <w:rPr>
          <w:sz w:val="26"/>
          <w:szCs w:val="26"/>
        </w:rPr>
        <w:t>A SCB bill could also include charges for any additional value-added services</w:t>
      </w:r>
      <w:r w:rsidR="00BD5162">
        <w:rPr>
          <w:sz w:val="26"/>
          <w:szCs w:val="26"/>
        </w:rPr>
        <w:t xml:space="preserve"> (VAS), </w:t>
      </w:r>
      <w:r w:rsidRPr="00D55644">
        <w:rPr>
          <w:sz w:val="26"/>
          <w:szCs w:val="26"/>
        </w:rPr>
        <w:t>such as home security, HVAC maintenance, or surge protection</w:t>
      </w:r>
      <w:r w:rsidR="00BD5162">
        <w:rPr>
          <w:sz w:val="26"/>
          <w:szCs w:val="26"/>
        </w:rPr>
        <w:t xml:space="preserve">, </w:t>
      </w:r>
      <w:r w:rsidRPr="00D55644">
        <w:rPr>
          <w:sz w:val="26"/>
          <w:szCs w:val="26"/>
        </w:rPr>
        <w:t xml:space="preserve">purchased by the customer.  Charges for </w:t>
      </w:r>
      <w:r w:rsidR="00BD5162">
        <w:rPr>
          <w:sz w:val="26"/>
          <w:szCs w:val="26"/>
        </w:rPr>
        <w:t>VAS</w:t>
      </w:r>
      <w:r w:rsidRPr="00D55644">
        <w:rPr>
          <w:sz w:val="26"/>
          <w:szCs w:val="26"/>
        </w:rPr>
        <w:t xml:space="preserve"> provided by an EGS cannot</w:t>
      </w:r>
      <w:r w:rsidR="008A6FFB">
        <w:rPr>
          <w:sz w:val="26"/>
          <w:szCs w:val="26"/>
        </w:rPr>
        <w:t xml:space="preserve"> presently</w:t>
      </w:r>
      <w:r w:rsidRPr="00D55644">
        <w:rPr>
          <w:sz w:val="26"/>
          <w:szCs w:val="26"/>
        </w:rPr>
        <w:t xml:space="preserve"> be included on a UCB bill</w:t>
      </w:r>
      <w:r w:rsidR="008A6FFB">
        <w:rPr>
          <w:sz w:val="26"/>
          <w:szCs w:val="26"/>
        </w:rPr>
        <w:t xml:space="preserve"> when an EGS is utilizing the EDC’s purchase of receivables </w:t>
      </w:r>
      <w:r w:rsidR="00D23688">
        <w:rPr>
          <w:sz w:val="26"/>
          <w:szCs w:val="26"/>
        </w:rPr>
        <w:t xml:space="preserve">(POR) </w:t>
      </w:r>
      <w:r w:rsidR="008A6FFB">
        <w:rPr>
          <w:sz w:val="26"/>
          <w:szCs w:val="26"/>
        </w:rPr>
        <w:t>program</w:t>
      </w:r>
      <w:r w:rsidRPr="00D55644">
        <w:rPr>
          <w:sz w:val="26"/>
          <w:szCs w:val="26"/>
        </w:rPr>
        <w:t xml:space="preserve">.  NRG asserts that EGSs do not offer </w:t>
      </w:r>
      <w:r w:rsidR="00BD5162">
        <w:rPr>
          <w:sz w:val="26"/>
          <w:szCs w:val="26"/>
        </w:rPr>
        <w:t>VAS</w:t>
      </w:r>
      <w:r w:rsidRPr="00D55644">
        <w:rPr>
          <w:sz w:val="26"/>
          <w:szCs w:val="26"/>
        </w:rPr>
        <w:t xml:space="preserve"> now because they cannot bill for them on a UCB bill.  Because SCB would allow EGSs to bill for these additional services on the customer’s normal monthly electric bill, NRG believes that its implementation would encourage</w:t>
      </w:r>
      <w:r w:rsidR="00D55644">
        <w:rPr>
          <w:sz w:val="26"/>
          <w:szCs w:val="26"/>
        </w:rPr>
        <w:t xml:space="preserve"> more</w:t>
      </w:r>
      <w:r w:rsidRPr="00D55644">
        <w:rPr>
          <w:sz w:val="26"/>
          <w:szCs w:val="26"/>
        </w:rPr>
        <w:t xml:space="preserve"> EGSs to enter the market in Pennsylvania and offer a wide array of </w:t>
      </w:r>
      <w:r w:rsidR="00BD5162">
        <w:rPr>
          <w:sz w:val="26"/>
          <w:szCs w:val="26"/>
        </w:rPr>
        <w:t>VAS</w:t>
      </w:r>
      <w:r w:rsidRPr="00D55644">
        <w:rPr>
          <w:sz w:val="26"/>
          <w:szCs w:val="26"/>
        </w:rPr>
        <w:t xml:space="preserve"> from which customers could choose.</w:t>
      </w:r>
    </w:p>
    <w:p w14:paraId="162A0D67" w14:textId="77777777" w:rsidR="00AA5A11" w:rsidRPr="00D55644" w:rsidRDefault="00AA5A11" w:rsidP="000C1972">
      <w:pPr>
        <w:spacing w:line="360" w:lineRule="auto"/>
        <w:rPr>
          <w:sz w:val="26"/>
          <w:szCs w:val="26"/>
        </w:rPr>
      </w:pPr>
    </w:p>
    <w:p w14:paraId="6650E5EF" w14:textId="77777777" w:rsidR="00AA5A11" w:rsidRPr="00D55644" w:rsidRDefault="00AA5A11" w:rsidP="00AA5A11">
      <w:pPr>
        <w:spacing w:line="360" w:lineRule="auto"/>
        <w:ind w:firstLine="720"/>
        <w:rPr>
          <w:sz w:val="26"/>
          <w:szCs w:val="26"/>
        </w:rPr>
      </w:pPr>
      <w:r w:rsidRPr="00D55644">
        <w:rPr>
          <w:sz w:val="26"/>
          <w:szCs w:val="26"/>
        </w:rPr>
        <w:t xml:space="preserve">According to NRG, the </w:t>
      </w:r>
      <w:proofErr w:type="gramStart"/>
      <w:r w:rsidRPr="00D55644">
        <w:rPr>
          <w:sz w:val="26"/>
          <w:szCs w:val="26"/>
        </w:rPr>
        <w:t>ultimate goal</w:t>
      </w:r>
      <w:proofErr w:type="gramEnd"/>
      <w:r w:rsidRPr="00D55644">
        <w:rPr>
          <w:sz w:val="26"/>
          <w:szCs w:val="26"/>
        </w:rPr>
        <w:t xml:space="preserve"> of electric industry restructuring was to foster competition in Pennsylvania’s retail electric market for the benefit of consumers.  NRG asserts that implementing SCB would entice more EGSs to operate in the Commonwealth, thereby increasing competition in the market.  NRG contends that consumers would benefit first by the lower prices resulting from increased competition and second by having a multitude of choices for their EGSs, each offering </w:t>
      </w:r>
      <w:proofErr w:type="gramStart"/>
      <w:r w:rsidRPr="00D55644">
        <w:rPr>
          <w:sz w:val="26"/>
          <w:szCs w:val="26"/>
        </w:rPr>
        <w:t>a number of</w:t>
      </w:r>
      <w:proofErr w:type="gramEnd"/>
      <w:r w:rsidRPr="00D55644">
        <w:rPr>
          <w:sz w:val="26"/>
          <w:szCs w:val="26"/>
        </w:rPr>
        <w:t xml:space="preserve"> additional services that could be bundled with their generation service.</w:t>
      </w:r>
    </w:p>
    <w:p w14:paraId="4891E089" w14:textId="77777777" w:rsidR="00746719" w:rsidRPr="00D55644" w:rsidRDefault="00746719" w:rsidP="00AA5A11">
      <w:pPr>
        <w:spacing w:line="360" w:lineRule="auto"/>
        <w:ind w:firstLine="720"/>
        <w:rPr>
          <w:sz w:val="26"/>
          <w:szCs w:val="26"/>
        </w:rPr>
      </w:pPr>
    </w:p>
    <w:p w14:paraId="1F5FB207" w14:textId="5E82879E" w:rsidR="00746719" w:rsidRPr="00D55644" w:rsidRDefault="00746719" w:rsidP="00746719">
      <w:pPr>
        <w:spacing w:line="360" w:lineRule="auto"/>
        <w:ind w:firstLine="720"/>
        <w:rPr>
          <w:sz w:val="26"/>
          <w:szCs w:val="26"/>
        </w:rPr>
      </w:pPr>
      <w:r w:rsidRPr="00D55644">
        <w:rPr>
          <w:sz w:val="26"/>
          <w:szCs w:val="26"/>
        </w:rPr>
        <w:t xml:space="preserve">The NRG petition represents a definitive proposal for the implementation of </w:t>
      </w:r>
      <w:r w:rsidR="00687958">
        <w:rPr>
          <w:sz w:val="26"/>
          <w:szCs w:val="26"/>
        </w:rPr>
        <w:t>SCB</w:t>
      </w:r>
      <w:r w:rsidRPr="00D55644">
        <w:rPr>
          <w:sz w:val="26"/>
          <w:szCs w:val="26"/>
        </w:rPr>
        <w:t xml:space="preserve">.  As such, the Commission must review the legal and policy implications of NRG’s proposal and decide </w:t>
      </w:r>
      <w:proofErr w:type="gramStart"/>
      <w:r w:rsidRPr="00D55644">
        <w:rPr>
          <w:sz w:val="26"/>
          <w:szCs w:val="26"/>
        </w:rPr>
        <w:t>whether or not</w:t>
      </w:r>
      <w:proofErr w:type="gramEnd"/>
      <w:r w:rsidRPr="00D55644">
        <w:rPr>
          <w:sz w:val="26"/>
          <w:szCs w:val="26"/>
        </w:rPr>
        <w:t xml:space="preserve"> to implement </w:t>
      </w:r>
      <w:r w:rsidR="00687958">
        <w:rPr>
          <w:sz w:val="26"/>
          <w:szCs w:val="26"/>
        </w:rPr>
        <w:t>SCB</w:t>
      </w:r>
      <w:r w:rsidRPr="00D55644">
        <w:rPr>
          <w:sz w:val="26"/>
          <w:szCs w:val="26"/>
        </w:rPr>
        <w:t xml:space="preserve">.  Numerous parties filed Answers in support and in opposition to the NRG Petition.  </w:t>
      </w:r>
      <w:r w:rsidR="002328D6" w:rsidRPr="00D55644">
        <w:rPr>
          <w:sz w:val="26"/>
          <w:szCs w:val="26"/>
        </w:rPr>
        <w:t>Other</w:t>
      </w:r>
      <w:r w:rsidRPr="00D55644">
        <w:rPr>
          <w:sz w:val="26"/>
          <w:szCs w:val="26"/>
        </w:rPr>
        <w:t xml:space="preserve"> parties recommended the Commission remand the NRG Petition to the Office of Administrative Law Judge for evidentiary hearings.  </w:t>
      </w:r>
    </w:p>
    <w:p w14:paraId="353D6A3F" w14:textId="77777777" w:rsidR="00AA5A11" w:rsidRPr="00B76DD7" w:rsidRDefault="00AA5A11" w:rsidP="002328D6">
      <w:pPr>
        <w:spacing w:line="360" w:lineRule="auto"/>
        <w:rPr>
          <w:sz w:val="26"/>
          <w:szCs w:val="26"/>
        </w:rPr>
      </w:pPr>
    </w:p>
    <w:p w14:paraId="1021B31A" w14:textId="77777777" w:rsidR="00972D62" w:rsidRPr="006C5132" w:rsidRDefault="00972D62" w:rsidP="006C5132">
      <w:pPr>
        <w:spacing w:line="360" w:lineRule="auto"/>
        <w:jc w:val="center"/>
        <w:rPr>
          <w:b/>
          <w:sz w:val="26"/>
          <w:szCs w:val="26"/>
        </w:rPr>
      </w:pPr>
      <w:r w:rsidRPr="006C5132">
        <w:rPr>
          <w:b/>
          <w:sz w:val="26"/>
          <w:szCs w:val="26"/>
        </w:rPr>
        <w:t>BACKGROUND</w:t>
      </w:r>
    </w:p>
    <w:p w14:paraId="77E0B978" w14:textId="77777777" w:rsidR="006066F6" w:rsidRPr="00D55644" w:rsidRDefault="006066F6" w:rsidP="006A2DFB">
      <w:pPr>
        <w:spacing w:line="360" w:lineRule="auto"/>
        <w:rPr>
          <w:sz w:val="26"/>
          <w:szCs w:val="26"/>
        </w:rPr>
      </w:pPr>
      <w:r w:rsidRPr="00D55644">
        <w:rPr>
          <w:sz w:val="26"/>
          <w:szCs w:val="26"/>
        </w:rPr>
        <w:tab/>
        <w:t xml:space="preserve">In 1996, the Pennsylvania General Assembly passed the Electricity Generation Customer Choice and Competition Act (Competition Act), 66 Pa. C.S. §§ 2801 – 2815.  The Competition Act </w:t>
      </w:r>
      <w:r w:rsidR="00BD2097" w:rsidRPr="00D55644">
        <w:rPr>
          <w:sz w:val="26"/>
          <w:szCs w:val="26"/>
        </w:rPr>
        <w:t>restructured</w:t>
      </w:r>
      <w:r w:rsidRPr="00D55644">
        <w:rPr>
          <w:sz w:val="26"/>
          <w:szCs w:val="26"/>
        </w:rPr>
        <w:t xml:space="preserve"> the electric industry</w:t>
      </w:r>
      <w:r w:rsidR="00BD2097" w:rsidRPr="00D55644">
        <w:rPr>
          <w:sz w:val="26"/>
          <w:szCs w:val="26"/>
        </w:rPr>
        <w:t xml:space="preserve"> in Pennsylvania and allowed</w:t>
      </w:r>
      <w:r w:rsidRPr="00D55644">
        <w:rPr>
          <w:sz w:val="26"/>
          <w:szCs w:val="26"/>
        </w:rPr>
        <w:t xml:space="preserve"> customers—re</w:t>
      </w:r>
      <w:r w:rsidR="00D268D0" w:rsidRPr="00D55644">
        <w:rPr>
          <w:sz w:val="26"/>
          <w:szCs w:val="26"/>
        </w:rPr>
        <w:t>sidential, commercial</w:t>
      </w:r>
      <w:r w:rsidRPr="00D55644">
        <w:rPr>
          <w:sz w:val="26"/>
          <w:szCs w:val="26"/>
        </w:rPr>
        <w:t xml:space="preserve">, and industrial—to choose their </w:t>
      </w:r>
      <w:r w:rsidR="0008513C" w:rsidRPr="00D55644">
        <w:rPr>
          <w:sz w:val="26"/>
          <w:szCs w:val="26"/>
        </w:rPr>
        <w:t xml:space="preserve">electric </w:t>
      </w:r>
      <w:r w:rsidRPr="00D55644">
        <w:rPr>
          <w:sz w:val="26"/>
          <w:szCs w:val="26"/>
        </w:rPr>
        <w:t xml:space="preserve">generation supplier (EGS).  </w:t>
      </w:r>
      <w:r w:rsidR="00BD2097" w:rsidRPr="00D55644">
        <w:rPr>
          <w:sz w:val="26"/>
          <w:szCs w:val="26"/>
        </w:rPr>
        <w:t xml:space="preserve">The </w:t>
      </w:r>
      <w:r w:rsidR="00923436" w:rsidRPr="00D55644">
        <w:rPr>
          <w:sz w:val="26"/>
          <w:szCs w:val="26"/>
        </w:rPr>
        <w:t>goal</w:t>
      </w:r>
      <w:r w:rsidR="00BD2097" w:rsidRPr="00D55644">
        <w:rPr>
          <w:sz w:val="26"/>
          <w:szCs w:val="26"/>
        </w:rPr>
        <w:t xml:space="preserve"> of the </w:t>
      </w:r>
      <w:r w:rsidR="00D268D0" w:rsidRPr="00D55644">
        <w:rPr>
          <w:sz w:val="26"/>
          <w:szCs w:val="26"/>
        </w:rPr>
        <w:t xml:space="preserve">Competition </w:t>
      </w:r>
      <w:r w:rsidR="00BD2097" w:rsidRPr="00D55644">
        <w:rPr>
          <w:sz w:val="26"/>
          <w:szCs w:val="26"/>
        </w:rPr>
        <w:t>Act</w:t>
      </w:r>
      <w:r w:rsidR="00923436" w:rsidRPr="00D55644">
        <w:rPr>
          <w:sz w:val="26"/>
          <w:szCs w:val="26"/>
        </w:rPr>
        <w:t xml:space="preserve"> </w:t>
      </w:r>
      <w:r w:rsidR="000A0802" w:rsidRPr="00D55644">
        <w:rPr>
          <w:sz w:val="26"/>
          <w:szCs w:val="26"/>
        </w:rPr>
        <w:t xml:space="preserve">is </w:t>
      </w:r>
      <w:r w:rsidR="00923436" w:rsidRPr="00D55644">
        <w:rPr>
          <w:sz w:val="26"/>
          <w:szCs w:val="26"/>
        </w:rPr>
        <w:t>to lower electricity prices for customers by introducing competition into the retail electric market.</w:t>
      </w:r>
      <w:r w:rsidR="004B259A" w:rsidRPr="00D55644">
        <w:rPr>
          <w:sz w:val="26"/>
          <w:szCs w:val="26"/>
        </w:rPr>
        <w:t xml:space="preserve">  The General Assembly declared its polic</w:t>
      </w:r>
      <w:r w:rsidR="004E62BF" w:rsidRPr="00D55644">
        <w:rPr>
          <w:sz w:val="26"/>
          <w:szCs w:val="26"/>
        </w:rPr>
        <w:t>i</w:t>
      </w:r>
      <w:r w:rsidR="004B259A" w:rsidRPr="00D55644">
        <w:rPr>
          <w:sz w:val="26"/>
          <w:szCs w:val="26"/>
        </w:rPr>
        <w:t>es in passing the</w:t>
      </w:r>
      <w:r w:rsidR="00BD2097" w:rsidRPr="00D55644">
        <w:rPr>
          <w:sz w:val="26"/>
          <w:szCs w:val="26"/>
        </w:rPr>
        <w:t xml:space="preserve"> Competition</w:t>
      </w:r>
      <w:r w:rsidR="004B259A" w:rsidRPr="00D55644">
        <w:rPr>
          <w:sz w:val="26"/>
          <w:szCs w:val="26"/>
        </w:rPr>
        <w:t xml:space="preserve"> Ac</w:t>
      </w:r>
      <w:r w:rsidR="00D268D0" w:rsidRPr="00D55644">
        <w:rPr>
          <w:sz w:val="26"/>
          <w:szCs w:val="26"/>
        </w:rPr>
        <w:t>t to be, among other things, (1)</w:t>
      </w:r>
      <w:r w:rsidR="000A0802" w:rsidRPr="00D55644">
        <w:rPr>
          <w:sz w:val="26"/>
          <w:szCs w:val="26"/>
        </w:rPr>
        <w:t> </w:t>
      </w:r>
      <w:r w:rsidR="004B259A" w:rsidRPr="00D55644">
        <w:rPr>
          <w:sz w:val="26"/>
          <w:szCs w:val="26"/>
        </w:rPr>
        <w:t>foster</w:t>
      </w:r>
      <w:r w:rsidR="00D268D0" w:rsidRPr="00D55644">
        <w:rPr>
          <w:sz w:val="26"/>
          <w:szCs w:val="26"/>
        </w:rPr>
        <w:t>ing</w:t>
      </w:r>
      <w:r w:rsidR="004B259A" w:rsidRPr="00D55644">
        <w:rPr>
          <w:sz w:val="26"/>
          <w:szCs w:val="26"/>
        </w:rPr>
        <w:t xml:space="preserve"> competition in the retail electric market</w:t>
      </w:r>
      <w:r w:rsidR="00D55644">
        <w:rPr>
          <w:sz w:val="26"/>
          <w:szCs w:val="26"/>
        </w:rPr>
        <w:t xml:space="preserve"> for generation and supply</w:t>
      </w:r>
      <w:r w:rsidR="004B259A" w:rsidRPr="00D55644">
        <w:rPr>
          <w:sz w:val="26"/>
          <w:szCs w:val="26"/>
        </w:rPr>
        <w:t xml:space="preserve"> to benefit consumers in the form of lower prices while at the same time ensuring the safety and reliability of electric </w:t>
      </w:r>
      <w:r w:rsidR="00D55644">
        <w:rPr>
          <w:sz w:val="26"/>
          <w:szCs w:val="26"/>
        </w:rPr>
        <w:t xml:space="preserve">distribution </w:t>
      </w:r>
      <w:r w:rsidR="004B259A" w:rsidRPr="00D55644">
        <w:rPr>
          <w:sz w:val="26"/>
          <w:szCs w:val="26"/>
        </w:rPr>
        <w:t xml:space="preserve">service </w:t>
      </w:r>
      <w:r w:rsidR="00D02409" w:rsidRPr="00D55644">
        <w:rPr>
          <w:sz w:val="26"/>
          <w:szCs w:val="26"/>
        </w:rPr>
        <w:t xml:space="preserve">and </w:t>
      </w:r>
      <w:r w:rsidR="00D268D0" w:rsidRPr="00D55644">
        <w:rPr>
          <w:sz w:val="26"/>
          <w:szCs w:val="26"/>
        </w:rPr>
        <w:t>(2)</w:t>
      </w:r>
      <w:r w:rsidR="000A0802" w:rsidRPr="00D55644">
        <w:rPr>
          <w:sz w:val="26"/>
          <w:szCs w:val="26"/>
        </w:rPr>
        <w:t> </w:t>
      </w:r>
      <w:r w:rsidR="00D02409" w:rsidRPr="00D55644">
        <w:rPr>
          <w:sz w:val="26"/>
          <w:szCs w:val="26"/>
        </w:rPr>
        <w:t>continuing to extend protection</w:t>
      </w:r>
      <w:r w:rsidR="004E62BF" w:rsidRPr="00D55644">
        <w:rPr>
          <w:sz w:val="26"/>
          <w:szCs w:val="26"/>
        </w:rPr>
        <w:t>s</w:t>
      </w:r>
      <w:r w:rsidR="00D02409" w:rsidRPr="00D55644">
        <w:rPr>
          <w:sz w:val="26"/>
          <w:szCs w:val="26"/>
        </w:rPr>
        <w:t xml:space="preserve"> to </w:t>
      </w:r>
      <w:r w:rsidR="00170473" w:rsidRPr="00D55644">
        <w:rPr>
          <w:sz w:val="26"/>
          <w:szCs w:val="26"/>
        </w:rPr>
        <w:t xml:space="preserve">assist </w:t>
      </w:r>
      <w:r w:rsidR="00D02409" w:rsidRPr="00D55644">
        <w:rPr>
          <w:sz w:val="26"/>
          <w:szCs w:val="26"/>
        </w:rPr>
        <w:t xml:space="preserve">low-income customers </w:t>
      </w:r>
      <w:r w:rsidR="00170473" w:rsidRPr="00D55644">
        <w:rPr>
          <w:sz w:val="26"/>
          <w:szCs w:val="26"/>
        </w:rPr>
        <w:t xml:space="preserve">to afford electric service.  </w:t>
      </w:r>
      <w:r w:rsidR="00170473" w:rsidRPr="00D55644">
        <w:rPr>
          <w:i/>
          <w:sz w:val="26"/>
          <w:szCs w:val="26"/>
        </w:rPr>
        <w:t>See</w:t>
      </w:r>
      <w:r w:rsidR="00170473" w:rsidRPr="00D55644">
        <w:rPr>
          <w:sz w:val="26"/>
          <w:szCs w:val="26"/>
        </w:rPr>
        <w:t xml:space="preserve"> 66 Pa. C.S. § 2802.</w:t>
      </w:r>
    </w:p>
    <w:p w14:paraId="0338264F" w14:textId="77777777" w:rsidR="00FC21A8" w:rsidRPr="00D55644" w:rsidRDefault="00FC21A8" w:rsidP="006A2DFB">
      <w:pPr>
        <w:spacing w:line="360" w:lineRule="auto"/>
        <w:rPr>
          <w:sz w:val="26"/>
          <w:szCs w:val="26"/>
        </w:rPr>
      </w:pPr>
    </w:p>
    <w:p w14:paraId="1C2265F7" w14:textId="3EC09B15" w:rsidR="003F3FF4" w:rsidRPr="00D55644" w:rsidRDefault="003F3FF4" w:rsidP="006A2DFB">
      <w:pPr>
        <w:spacing w:line="360" w:lineRule="auto"/>
        <w:rPr>
          <w:sz w:val="26"/>
          <w:szCs w:val="26"/>
        </w:rPr>
      </w:pPr>
      <w:r w:rsidRPr="00D55644">
        <w:rPr>
          <w:sz w:val="26"/>
          <w:szCs w:val="26"/>
        </w:rPr>
        <w:tab/>
        <w:t>Section 2802 of the Competition Act demonstrates the General Assembly’s intent to end regulation of electric generation.</w:t>
      </w:r>
      <w:r w:rsidR="00394141" w:rsidRPr="00D55644">
        <w:rPr>
          <w:sz w:val="26"/>
          <w:szCs w:val="26"/>
        </w:rPr>
        <w:t xml:space="preserve">  66 Pa. C.S. § 2802(14).  At the same time, the General Assembly made clear its intent that </w:t>
      </w:r>
      <w:r w:rsidR="00D55644">
        <w:rPr>
          <w:sz w:val="26"/>
          <w:szCs w:val="26"/>
        </w:rPr>
        <w:t xml:space="preserve">the transmission and distribution service provided by </w:t>
      </w:r>
      <w:r w:rsidR="00394141" w:rsidRPr="00D55644">
        <w:rPr>
          <w:sz w:val="26"/>
          <w:szCs w:val="26"/>
        </w:rPr>
        <w:t>EDCs “continue to be regulated as a natural monopoly subject to the jurisdiction and active supervision of the Commission.”  66 Pa. C.S. § 2802(16).</w:t>
      </w:r>
    </w:p>
    <w:p w14:paraId="6EAE7039" w14:textId="77777777" w:rsidR="003F3FF4" w:rsidRPr="00D55644" w:rsidRDefault="003F3FF4" w:rsidP="006A2DFB">
      <w:pPr>
        <w:spacing w:line="360" w:lineRule="auto"/>
        <w:rPr>
          <w:sz w:val="26"/>
          <w:szCs w:val="26"/>
        </w:rPr>
      </w:pPr>
    </w:p>
    <w:p w14:paraId="35143418" w14:textId="77777777" w:rsidR="00AE56C8" w:rsidRPr="00D55644" w:rsidRDefault="00AE56C8" w:rsidP="006A2DFB">
      <w:pPr>
        <w:spacing w:line="360" w:lineRule="auto"/>
        <w:rPr>
          <w:sz w:val="26"/>
          <w:szCs w:val="26"/>
        </w:rPr>
      </w:pPr>
      <w:r w:rsidRPr="00D55644">
        <w:rPr>
          <w:sz w:val="26"/>
          <w:szCs w:val="26"/>
        </w:rPr>
        <w:tab/>
      </w:r>
      <w:r w:rsidR="005962ED" w:rsidRPr="00D55644">
        <w:rPr>
          <w:sz w:val="26"/>
          <w:szCs w:val="26"/>
        </w:rPr>
        <w:t>Since electric restructuring occurred, t</w:t>
      </w:r>
      <w:r w:rsidR="002B757C" w:rsidRPr="00D55644">
        <w:rPr>
          <w:sz w:val="26"/>
          <w:szCs w:val="26"/>
        </w:rPr>
        <w:t>he Commission has remained committed to the successful development of the</w:t>
      </w:r>
      <w:r w:rsidR="001F6D82" w:rsidRPr="00D55644">
        <w:rPr>
          <w:sz w:val="26"/>
          <w:szCs w:val="26"/>
        </w:rPr>
        <w:t xml:space="preserve"> competitive</w:t>
      </w:r>
      <w:r w:rsidR="002B757C" w:rsidRPr="00D55644">
        <w:rPr>
          <w:sz w:val="26"/>
          <w:szCs w:val="26"/>
        </w:rPr>
        <w:t xml:space="preserve"> retail e</w:t>
      </w:r>
      <w:r w:rsidR="002017DB" w:rsidRPr="00D55644">
        <w:rPr>
          <w:sz w:val="26"/>
          <w:szCs w:val="26"/>
        </w:rPr>
        <w:t>lectric market in Pennsylvania and has recognized</w:t>
      </w:r>
      <w:r w:rsidR="002B757C" w:rsidRPr="00D55644">
        <w:rPr>
          <w:sz w:val="26"/>
          <w:szCs w:val="26"/>
        </w:rPr>
        <w:t xml:space="preserve"> the need to balance regulatory requirements aimed at consumer protection against policies designed to facilitate entry and participation in the market by EGSs.  </w:t>
      </w:r>
      <w:r w:rsidR="00B24F39" w:rsidRPr="00D55644">
        <w:rPr>
          <w:sz w:val="26"/>
          <w:szCs w:val="26"/>
        </w:rPr>
        <w:t>As part of this ongoing commitment, in 2011 the Commission launched an investigation into Pennsylvania’s retail electricity marke</w:t>
      </w:r>
      <w:r w:rsidR="0018336F" w:rsidRPr="00D55644">
        <w:rPr>
          <w:sz w:val="26"/>
          <w:szCs w:val="26"/>
        </w:rPr>
        <w:t xml:space="preserve">t to assess the </w:t>
      </w:r>
      <w:r w:rsidR="00C46DC2" w:rsidRPr="00D55644">
        <w:rPr>
          <w:sz w:val="26"/>
          <w:szCs w:val="26"/>
        </w:rPr>
        <w:t>status</w:t>
      </w:r>
      <w:r w:rsidR="0018336F" w:rsidRPr="00D55644">
        <w:rPr>
          <w:sz w:val="26"/>
          <w:szCs w:val="26"/>
        </w:rPr>
        <w:t xml:space="preserve"> of the market and to determine whether any </w:t>
      </w:r>
      <w:r w:rsidR="00DD1ED3" w:rsidRPr="00D55644">
        <w:rPr>
          <w:sz w:val="26"/>
          <w:szCs w:val="26"/>
        </w:rPr>
        <w:t>changes could be made to improve</w:t>
      </w:r>
      <w:r w:rsidR="0018336F" w:rsidRPr="00D55644">
        <w:rPr>
          <w:sz w:val="26"/>
          <w:szCs w:val="26"/>
        </w:rPr>
        <w:t xml:space="preserve"> competition in </w:t>
      </w:r>
      <w:r w:rsidR="004B7235" w:rsidRPr="00D55644">
        <w:rPr>
          <w:sz w:val="26"/>
          <w:szCs w:val="26"/>
        </w:rPr>
        <w:t>the</w:t>
      </w:r>
      <w:r w:rsidR="0018336F" w:rsidRPr="00D55644">
        <w:rPr>
          <w:sz w:val="26"/>
          <w:szCs w:val="26"/>
        </w:rPr>
        <w:t xml:space="preserve"> market</w:t>
      </w:r>
      <w:r w:rsidR="00B24F39" w:rsidRPr="00D55644">
        <w:rPr>
          <w:sz w:val="26"/>
          <w:szCs w:val="26"/>
        </w:rPr>
        <w:t xml:space="preserve">.  </w:t>
      </w:r>
      <w:r w:rsidR="00B24F39" w:rsidRPr="00D55644">
        <w:rPr>
          <w:i/>
          <w:sz w:val="26"/>
          <w:szCs w:val="26"/>
        </w:rPr>
        <w:t>See Investigation of Pennsylvania’s Retail Electricity Market</w:t>
      </w:r>
      <w:r w:rsidR="00B24F39" w:rsidRPr="00D55644">
        <w:rPr>
          <w:sz w:val="26"/>
          <w:szCs w:val="26"/>
        </w:rPr>
        <w:t>, Docket No. I-2011-2237952</w:t>
      </w:r>
      <w:r w:rsidR="00382B8F" w:rsidRPr="00D55644">
        <w:rPr>
          <w:sz w:val="26"/>
          <w:szCs w:val="26"/>
        </w:rPr>
        <w:t>.</w:t>
      </w:r>
    </w:p>
    <w:p w14:paraId="631F3A15" w14:textId="77777777" w:rsidR="001D5F2E" w:rsidRPr="00D55644" w:rsidRDefault="001D5F2E" w:rsidP="006A2DFB">
      <w:pPr>
        <w:spacing w:line="360" w:lineRule="auto"/>
        <w:rPr>
          <w:sz w:val="26"/>
          <w:szCs w:val="26"/>
        </w:rPr>
      </w:pPr>
    </w:p>
    <w:p w14:paraId="40042EC4" w14:textId="77777777" w:rsidR="00363C2D" w:rsidRPr="00D55644" w:rsidRDefault="00363C2D" w:rsidP="006A2DFB">
      <w:pPr>
        <w:spacing w:line="360" w:lineRule="auto"/>
        <w:rPr>
          <w:sz w:val="26"/>
          <w:szCs w:val="26"/>
        </w:rPr>
      </w:pPr>
      <w:r w:rsidRPr="00D55644">
        <w:rPr>
          <w:sz w:val="26"/>
          <w:szCs w:val="26"/>
        </w:rPr>
        <w:tab/>
      </w:r>
      <w:r w:rsidR="00483EAE" w:rsidRPr="00D55644">
        <w:rPr>
          <w:sz w:val="26"/>
          <w:szCs w:val="26"/>
        </w:rPr>
        <w:t>During the early stages of the investigation, the Commission determined that changes were required “to bring about the robust competitive market envisioned by the General Assembly when it passed” the Competition Act.</w:t>
      </w:r>
      <w:r w:rsidR="001E61C7" w:rsidRPr="00D55644">
        <w:rPr>
          <w:sz w:val="26"/>
          <w:szCs w:val="26"/>
        </w:rPr>
        <w:t xml:space="preserve">  </w:t>
      </w:r>
      <w:r w:rsidR="009273B5" w:rsidRPr="00D55644">
        <w:rPr>
          <w:sz w:val="26"/>
          <w:szCs w:val="26"/>
        </w:rPr>
        <w:t xml:space="preserve">The Commission noted that many </w:t>
      </w:r>
      <w:r w:rsidR="00D31E4E" w:rsidRPr="00D55644">
        <w:rPr>
          <w:sz w:val="26"/>
          <w:szCs w:val="26"/>
        </w:rPr>
        <w:t xml:space="preserve">price </w:t>
      </w:r>
      <w:r w:rsidR="009273B5" w:rsidRPr="00D55644">
        <w:rPr>
          <w:sz w:val="26"/>
          <w:szCs w:val="26"/>
        </w:rPr>
        <w:t xml:space="preserve">offers made by EGSs were only slightly below the </w:t>
      </w:r>
      <w:r w:rsidR="00262B26" w:rsidRPr="00D55644">
        <w:rPr>
          <w:sz w:val="26"/>
          <w:szCs w:val="26"/>
        </w:rPr>
        <w:t>EDC’s</w:t>
      </w:r>
      <w:r w:rsidR="009273B5" w:rsidRPr="00D55644">
        <w:rPr>
          <w:sz w:val="26"/>
          <w:szCs w:val="26"/>
        </w:rPr>
        <w:t xml:space="preserve"> price to compare (PTC) and that few innovative products had been offered by EGSs, so there was little incentive for residential and small commercial customers to shop for electricity.</w:t>
      </w:r>
      <w:r w:rsidR="00E61511" w:rsidRPr="00D55644">
        <w:rPr>
          <w:sz w:val="26"/>
          <w:szCs w:val="26"/>
        </w:rPr>
        <w:t xml:space="preserve">  </w:t>
      </w:r>
      <w:r w:rsidR="00606289" w:rsidRPr="00D55644">
        <w:rPr>
          <w:sz w:val="26"/>
          <w:szCs w:val="26"/>
        </w:rPr>
        <w:t xml:space="preserve">Other factors identified by the Commission, including the inability of EGSs to issue consolidated bills to customers, served to </w:t>
      </w:r>
      <w:r w:rsidR="00BD23EA" w:rsidRPr="00D55644">
        <w:rPr>
          <w:sz w:val="26"/>
          <w:szCs w:val="26"/>
        </w:rPr>
        <w:t>limit</w:t>
      </w:r>
      <w:r w:rsidR="00606289" w:rsidRPr="00D55644">
        <w:rPr>
          <w:sz w:val="26"/>
          <w:szCs w:val="26"/>
        </w:rPr>
        <w:t xml:space="preserve"> the relationship between EGSs and their customers.  The Commission felt that the tenuous relationship between EGSs and their customers</w:t>
      </w:r>
      <w:r w:rsidR="00FC1B43" w:rsidRPr="00D55644">
        <w:rPr>
          <w:sz w:val="26"/>
          <w:szCs w:val="26"/>
        </w:rPr>
        <w:t xml:space="preserve"> led to confusion </w:t>
      </w:r>
      <w:r w:rsidR="00606289" w:rsidRPr="00D55644">
        <w:rPr>
          <w:sz w:val="26"/>
          <w:szCs w:val="26"/>
        </w:rPr>
        <w:t>and discouraged EGSs from investing more resources in Pennsylvania, which clearly did not serve</w:t>
      </w:r>
      <w:r w:rsidR="00BD23EA" w:rsidRPr="00D55644">
        <w:rPr>
          <w:sz w:val="26"/>
          <w:szCs w:val="26"/>
        </w:rPr>
        <w:t xml:space="preserve"> the Commonwealth’s interest in</w:t>
      </w:r>
      <w:r w:rsidR="00606289" w:rsidRPr="00D55644">
        <w:rPr>
          <w:sz w:val="26"/>
          <w:szCs w:val="26"/>
        </w:rPr>
        <w:t xml:space="preserve"> foster</w:t>
      </w:r>
      <w:r w:rsidR="00BD23EA" w:rsidRPr="00D55644">
        <w:rPr>
          <w:sz w:val="26"/>
          <w:szCs w:val="26"/>
        </w:rPr>
        <w:t>ing</w:t>
      </w:r>
      <w:r w:rsidR="00606289" w:rsidRPr="00D55644">
        <w:rPr>
          <w:sz w:val="26"/>
          <w:szCs w:val="26"/>
        </w:rPr>
        <w:t xml:space="preserve"> a robust competitive electric market.</w:t>
      </w:r>
      <w:r w:rsidR="00384740" w:rsidRPr="00D55644">
        <w:rPr>
          <w:rStyle w:val="FootnoteReference"/>
          <w:sz w:val="26"/>
          <w:szCs w:val="26"/>
        </w:rPr>
        <w:footnoteReference w:id="2"/>
      </w:r>
    </w:p>
    <w:p w14:paraId="7B82E7B2" w14:textId="77777777" w:rsidR="00A04B76" w:rsidRPr="00D55644" w:rsidRDefault="00A04B76" w:rsidP="006A2DFB">
      <w:pPr>
        <w:spacing w:line="360" w:lineRule="auto"/>
        <w:rPr>
          <w:sz w:val="26"/>
          <w:szCs w:val="26"/>
        </w:rPr>
      </w:pPr>
    </w:p>
    <w:p w14:paraId="67FF9757" w14:textId="77777777" w:rsidR="00A04B76" w:rsidRPr="00D55644" w:rsidRDefault="00A04B76" w:rsidP="006A2DFB">
      <w:pPr>
        <w:spacing w:line="360" w:lineRule="auto"/>
        <w:rPr>
          <w:sz w:val="26"/>
          <w:szCs w:val="26"/>
        </w:rPr>
      </w:pPr>
      <w:r w:rsidRPr="00D55644">
        <w:rPr>
          <w:sz w:val="26"/>
          <w:szCs w:val="26"/>
        </w:rPr>
        <w:tab/>
        <w:t>On Februa</w:t>
      </w:r>
      <w:r w:rsidR="00DD001A" w:rsidRPr="00D55644">
        <w:rPr>
          <w:sz w:val="26"/>
          <w:szCs w:val="26"/>
        </w:rPr>
        <w:t>ry 15, 2013, the Commission enter</w:t>
      </w:r>
      <w:r w:rsidRPr="00D55644">
        <w:rPr>
          <w:sz w:val="26"/>
          <w:szCs w:val="26"/>
        </w:rPr>
        <w:t xml:space="preserve">ed its </w:t>
      </w:r>
      <w:r w:rsidRPr="00D55644">
        <w:rPr>
          <w:i/>
          <w:sz w:val="26"/>
          <w:szCs w:val="26"/>
        </w:rPr>
        <w:t>Investigation of Pennsylvania’s Retail Electric Market: End State of Default Service</w:t>
      </w:r>
      <w:r w:rsidRPr="00D55644">
        <w:rPr>
          <w:sz w:val="26"/>
          <w:szCs w:val="26"/>
        </w:rPr>
        <w:t xml:space="preserve"> Final Order (</w:t>
      </w:r>
      <w:r w:rsidRPr="00D55644">
        <w:rPr>
          <w:i/>
          <w:sz w:val="26"/>
          <w:szCs w:val="26"/>
        </w:rPr>
        <w:t>End State Final Order</w:t>
      </w:r>
      <w:r w:rsidRPr="00D55644">
        <w:rPr>
          <w:sz w:val="26"/>
          <w:szCs w:val="26"/>
        </w:rPr>
        <w:t>)</w:t>
      </w:r>
      <w:r w:rsidR="006922FF" w:rsidRPr="00D55644">
        <w:rPr>
          <w:sz w:val="26"/>
          <w:szCs w:val="26"/>
        </w:rPr>
        <w:t xml:space="preserve"> recommending fundamental changes to the default service product so that it would more closely resemble</w:t>
      </w:r>
      <w:r w:rsidR="00F72F10" w:rsidRPr="00D55644">
        <w:rPr>
          <w:sz w:val="26"/>
          <w:szCs w:val="26"/>
        </w:rPr>
        <w:t xml:space="preserve"> current</w:t>
      </w:r>
      <w:r w:rsidR="006922FF" w:rsidRPr="00D55644">
        <w:rPr>
          <w:sz w:val="26"/>
          <w:szCs w:val="26"/>
        </w:rPr>
        <w:t xml:space="preserve"> market conditions</w:t>
      </w:r>
      <w:r w:rsidR="00F72F10" w:rsidRPr="00D55644">
        <w:rPr>
          <w:sz w:val="26"/>
          <w:szCs w:val="26"/>
        </w:rPr>
        <w:t>, rather than historical market conditions</w:t>
      </w:r>
      <w:r w:rsidRPr="00D55644">
        <w:rPr>
          <w:sz w:val="26"/>
          <w:szCs w:val="26"/>
        </w:rPr>
        <w:t xml:space="preserve">.  </w:t>
      </w:r>
      <w:r w:rsidR="001A4668" w:rsidRPr="00D55644">
        <w:rPr>
          <w:sz w:val="26"/>
          <w:szCs w:val="26"/>
        </w:rPr>
        <w:t xml:space="preserve">The Commission’s goal was to create a structure where the </w:t>
      </w:r>
      <w:r w:rsidR="00F72F10" w:rsidRPr="00D55644">
        <w:rPr>
          <w:sz w:val="26"/>
          <w:szCs w:val="26"/>
        </w:rPr>
        <w:t xml:space="preserve">current </w:t>
      </w:r>
      <w:r w:rsidR="001A4668" w:rsidRPr="00D55644">
        <w:rPr>
          <w:sz w:val="26"/>
          <w:szCs w:val="26"/>
        </w:rPr>
        <w:t>market drives</w:t>
      </w:r>
      <w:r w:rsidR="002874DE" w:rsidRPr="00D55644">
        <w:rPr>
          <w:sz w:val="26"/>
          <w:szCs w:val="26"/>
        </w:rPr>
        <w:t xml:space="preserve"> prices charged by EGSs, lead</w:t>
      </w:r>
      <w:r w:rsidR="00B01496" w:rsidRPr="00D55644">
        <w:rPr>
          <w:sz w:val="26"/>
          <w:szCs w:val="26"/>
        </w:rPr>
        <w:t>ing</w:t>
      </w:r>
      <w:r w:rsidR="001A4668" w:rsidRPr="00D55644">
        <w:rPr>
          <w:sz w:val="26"/>
          <w:szCs w:val="26"/>
        </w:rPr>
        <w:t xml:space="preserve"> to</w:t>
      </w:r>
      <w:r w:rsidR="002874DE" w:rsidRPr="00D55644">
        <w:rPr>
          <w:sz w:val="26"/>
          <w:szCs w:val="26"/>
        </w:rPr>
        <w:t xml:space="preserve"> greater</w:t>
      </w:r>
      <w:r w:rsidR="001A4668" w:rsidRPr="00D55644">
        <w:rPr>
          <w:sz w:val="26"/>
          <w:szCs w:val="26"/>
        </w:rPr>
        <w:t xml:space="preserve"> certainty and a more level playing field with EDCs, thereby encouraging EGSs to expand their investment in Pennsylvania</w:t>
      </w:r>
      <w:r w:rsidR="005A209A" w:rsidRPr="00D55644">
        <w:rPr>
          <w:sz w:val="26"/>
          <w:szCs w:val="26"/>
        </w:rPr>
        <w:t xml:space="preserve"> and increasing competition in the market.</w:t>
      </w:r>
      <w:r w:rsidR="007D28BB" w:rsidRPr="00D55644">
        <w:rPr>
          <w:rStyle w:val="FootnoteReference"/>
          <w:sz w:val="26"/>
          <w:szCs w:val="26"/>
        </w:rPr>
        <w:footnoteReference w:id="3"/>
      </w:r>
    </w:p>
    <w:p w14:paraId="535DD23A" w14:textId="77777777" w:rsidR="00846079" w:rsidRPr="00D55644" w:rsidRDefault="00846079" w:rsidP="006A2DFB">
      <w:pPr>
        <w:spacing w:line="360" w:lineRule="auto"/>
        <w:rPr>
          <w:sz w:val="26"/>
          <w:szCs w:val="26"/>
        </w:rPr>
      </w:pPr>
    </w:p>
    <w:p w14:paraId="5156CAF1" w14:textId="77777777" w:rsidR="00846079" w:rsidRPr="00D55644" w:rsidRDefault="00846079" w:rsidP="006A2DFB">
      <w:pPr>
        <w:spacing w:line="360" w:lineRule="auto"/>
        <w:rPr>
          <w:sz w:val="26"/>
          <w:szCs w:val="26"/>
        </w:rPr>
      </w:pPr>
      <w:r w:rsidRPr="00D55644">
        <w:rPr>
          <w:sz w:val="26"/>
          <w:szCs w:val="26"/>
        </w:rPr>
        <w:tab/>
        <w:t>As part of</w:t>
      </w:r>
      <w:r w:rsidR="00EC0A08" w:rsidRPr="00D55644">
        <w:rPr>
          <w:sz w:val="26"/>
          <w:szCs w:val="26"/>
        </w:rPr>
        <w:t xml:space="preserve"> the investigation that led to the </w:t>
      </w:r>
      <w:r w:rsidR="00EC0A08" w:rsidRPr="00D55644">
        <w:rPr>
          <w:i/>
          <w:sz w:val="26"/>
          <w:szCs w:val="26"/>
        </w:rPr>
        <w:t>End State Final Order</w:t>
      </w:r>
      <w:r w:rsidR="00FB5220" w:rsidRPr="00D55644">
        <w:rPr>
          <w:sz w:val="26"/>
          <w:szCs w:val="26"/>
        </w:rPr>
        <w:t>, the Commission</w:t>
      </w:r>
      <w:r w:rsidR="008642E6" w:rsidRPr="00D55644">
        <w:rPr>
          <w:sz w:val="26"/>
          <w:szCs w:val="26"/>
        </w:rPr>
        <w:t xml:space="preserve"> examined</w:t>
      </w:r>
      <w:r w:rsidR="00FB5220" w:rsidRPr="00D55644">
        <w:rPr>
          <w:sz w:val="26"/>
          <w:szCs w:val="26"/>
        </w:rPr>
        <w:t xml:space="preserve"> </w:t>
      </w:r>
      <w:proofErr w:type="gramStart"/>
      <w:r w:rsidR="00FB5220" w:rsidRPr="00D55644">
        <w:rPr>
          <w:sz w:val="26"/>
          <w:szCs w:val="26"/>
        </w:rPr>
        <w:t>a number of</w:t>
      </w:r>
      <w:proofErr w:type="gramEnd"/>
      <w:r w:rsidR="00FB5220" w:rsidRPr="00D55644">
        <w:rPr>
          <w:sz w:val="26"/>
          <w:szCs w:val="26"/>
        </w:rPr>
        <w:t xml:space="preserve"> changes proposed to enhance competition in Pennsylvania’s retail electric market</w:t>
      </w:r>
      <w:r w:rsidR="00B4764A" w:rsidRPr="00D55644">
        <w:rPr>
          <w:sz w:val="26"/>
          <w:szCs w:val="26"/>
        </w:rPr>
        <w:t xml:space="preserve">.  One </w:t>
      </w:r>
      <w:r w:rsidR="00EC0A08" w:rsidRPr="00D55644">
        <w:rPr>
          <w:sz w:val="26"/>
          <w:szCs w:val="26"/>
        </w:rPr>
        <w:t>such</w:t>
      </w:r>
      <w:r w:rsidR="00B4764A" w:rsidRPr="00D55644">
        <w:rPr>
          <w:sz w:val="26"/>
          <w:szCs w:val="26"/>
        </w:rPr>
        <w:t xml:space="preserve"> </w:t>
      </w:r>
      <w:r w:rsidR="00EC0A08" w:rsidRPr="00D55644">
        <w:rPr>
          <w:sz w:val="26"/>
          <w:szCs w:val="26"/>
        </w:rPr>
        <w:t>proposal</w:t>
      </w:r>
      <w:r w:rsidR="004134C7" w:rsidRPr="00D55644">
        <w:rPr>
          <w:sz w:val="26"/>
          <w:szCs w:val="26"/>
        </w:rPr>
        <w:t xml:space="preserve"> was the implementation of SCB.</w:t>
      </w:r>
    </w:p>
    <w:p w14:paraId="09B47185" w14:textId="77777777" w:rsidR="004134C7" w:rsidRPr="00D55644" w:rsidRDefault="004134C7" w:rsidP="006A2DFB">
      <w:pPr>
        <w:spacing w:line="360" w:lineRule="auto"/>
        <w:rPr>
          <w:sz w:val="26"/>
          <w:szCs w:val="26"/>
        </w:rPr>
      </w:pPr>
    </w:p>
    <w:p w14:paraId="255B0246" w14:textId="68F5F509" w:rsidR="007650FE" w:rsidRDefault="004134C7" w:rsidP="006A2DFB">
      <w:pPr>
        <w:spacing w:line="360" w:lineRule="auto"/>
        <w:rPr>
          <w:sz w:val="26"/>
          <w:szCs w:val="26"/>
        </w:rPr>
      </w:pPr>
      <w:r w:rsidRPr="00D55644">
        <w:rPr>
          <w:sz w:val="26"/>
          <w:szCs w:val="26"/>
        </w:rPr>
        <w:tab/>
      </w:r>
      <w:r w:rsidR="00DD001A" w:rsidRPr="00D55644">
        <w:rPr>
          <w:sz w:val="26"/>
          <w:szCs w:val="26"/>
        </w:rPr>
        <w:t xml:space="preserve">The Commission noted that SCB was a billing option established by some of the EDCs’ restructuring settlements in the </w:t>
      </w:r>
      <w:proofErr w:type="gramStart"/>
      <w:r w:rsidR="00DD001A" w:rsidRPr="00D55644">
        <w:rPr>
          <w:sz w:val="26"/>
          <w:szCs w:val="26"/>
        </w:rPr>
        <w:t>1990</w:t>
      </w:r>
      <w:r w:rsidR="00461119" w:rsidRPr="00D55644">
        <w:rPr>
          <w:sz w:val="26"/>
          <w:szCs w:val="26"/>
        </w:rPr>
        <w:t>s</w:t>
      </w:r>
      <w:r w:rsidR="007650FE">
        <w:rPr>
          <w:sz w:val="26"/>
          <w:szCs w:val="26"/>
        </w:rPr>
        <w:t>, but</w:t>
      </w:r>
      <w:proofErr w:type="gramEnd"/>
      <w:r w:rsidR="007650FE">
        <w:rPr>
          <w:sz w:val="26"/>
          <w:szCs w:val="26"/>
        </w:rPr>
        <w:t xml:space="preserve"> was not utilized at that time</w:t>
      </w:r>
      <w:r w:rsidR="00461119" w:rsidRPr="00D55644">
        <w:rPr>
          <w:sz w:val="26"/>
          <w:szCs w:val="26"/>
        </w:rPr>
        <w:t xml:space="preserve">.  </w:t>
      </w:r>
      <w:r w:rsidR="007650FE">
        <w:rPr>
          <w:sz w:val="26"/>
          <w:szCs w:val="26"/>
        </w:rPr>
        <w:t xml:space="preserve">In 2010, PPL Electric Utilities (PPL) worked with an individual EGS to design a manually processed SCB platform.  Presently, </w:t>
      </w:r>
      <w:r w:rsidR="0007458E" w:rsidRPr="00013160">
        <w:rPr>
          <w:sz w:val="26"/>
          <w:szCs w:val="26"/>
        </w:rPr>
        <w:t>the Competitive Billing Specifications Rider section of PPL</w:t>
      </w:r>
      <w:r w:rsidR="007650FE">
        <w:rPr>
          <w:sz w:val="26"/>
          <w:szCs w:val="26"/>
        </w:rPr>
        <w:t xml:space="preserve">’s </w:t>
      </w:r>
      <w:r w:rsidR="0007458E" w:rsidRPr="00013160">
        <w:rPr>
          <w:sz w:val="26"/>
          <w:szCs w:val="26"/>
        </w:rPr>
        <w:t>Supplier Coordination Tariff includes language referring to SCB.</w:t>
      </w:r>
      <w:r w:rsidR="0007458E" w:rsidRPr="00013160">
        <w:rPr>
          <w:rStyle w:val="FootnoteReference"/>
          <w:sz w:val="26"/>
          <w:szCs w:val="26"/>
        </w:rPr>
        <w:footnoteReference w:id="4"/>
      </w:r>
      <w:r w:rsidR="0007458E" w:rsidRPr="00013160">
        <w:rPr>
          <w:sz w:val="26"/>
          <w:szCs w:val="26"/>
        </w:rPr>
        <w:t xml:space="preserve"> </w:t>
      </w:r>
    </w:p>
    <w:p w14:paraId="3634F832" w14:textId="77777777" w:rsidR="007650FE" w:rsidRDefault="007650FE" w:rsidP="006A2DFB">
      <w:pPr>
        <w:spacing w:line="360" w:lineRule="auto"/>
        <w:rPr>
          <w:sz w:val="26"/>
          <w:szCs w:val="26"/>
        </w:rPr>
      </w:pPr>
    </w:p>
    <w:p w14:paraId="6A73B95B" w14:textId="3829C9F1" w:rsidR="004134C7" w:rsidRPr="00D55644" w:rsidRDefault="00461119" w:rsidP="007650FE">
      <w:pPr>
        <w:spacing w:line="360" w:lineRule="auto"/>
        <w:ind w:firstLine="720"/>
        <w:rPr>
          <w:sz w:val="26"/>
          <w:szCs w:val="26"/>
        </w:rPr>
      </w:pPr>
      <w:r w:rsidRPr="00D55644">
        <w:rPr>
          <w:sz w:val="26"/>
          <w:szCs w:val="26"/>
        </w:rPr>
        <w:t xml:space="preserve">In April 2010, the Electronic Data Exchange Working Group (EDEWG) created a subgroup to study the technical and legal questions associated with implementation of SCB.  </w:t>
      </w:r>
      <w:r w:rsidR="007B794A" w:rsidRPr="00D55644">
        <w:rPr>
          <w:sz w:val="26"/>
          <w:szCs w:val="26"/>
        </w:rPr>
        <w:t xml:space="preserve">The </w:t>
      </w:r>
      <w:r w:rsidRPr="00D55644">
        <w:rPr>
          <w:sz w:val="26"/>
          <w:szCs w:val="26"/>
        </w:rPr>
        <w:t>SCB working group reported in August 2010 that a consensus was reached on some issues, but many other issues remained unresolved</w:t>
      </w:r>
      <w:r w:rsidR="00465AFE" w:rsidRPr="00D55644">
        <w:rPr>
          <w:sz w:val="26"/>
          <w:szCs w:val="26"/>
        </w:rPr>
        <w:t>.  The EDEWG</w:t>
      </w:r>
      <w:r w:rsidRPr="00D55644">
        <w:rPr>
          <w:sz w:val="26"/>
          <w:szCs w:val="26"/>
        </w:rPr>
        <w:t xml:space="preserve"> </w:t>
      </w:r>
      <w:r w:rsidR="00465AFE" w:rsidRPr="00D55644">
        <w:rPr>
          <w:sz w:val="26"/>
          <w:szCs w:val="26"/>
        </w:rPr>
        <w:t>sub</w:t>
      </w:r>
      <w:r w:rsidRPr="00D55644">
        <w:rPr>
          <w:sz w:val="26"/>
          <w:szCs w:val="26"/>
        </w:rPr>
        <w:t xml:space="preserve">group recommended that </w:t>
      </w:r>
      <w:r w:rsidR="00F05A6F" w:rsidRPr="00D55644">
        <w:rPr>
          <w:sz w:val="26"/>
          <w:szCs w:val="26"/>
        </w:rPr>
        <w:t xml:space="preserve">those </w:t>
      </w:r>
      <w:r w:rsidR="002150C1" w:rsidRPr="00D55644">
        <w:rPr>
          <w:sz w:val="26"/>
          <w:szCs w:val="26"/>
        </w:rPr>
        <w:t xml:space="preserve">unresolved </w:t>
      </w:r>
      <w:r w:rsidR="00F05A6F" w:rsidRPr="00D55644">
        <w:rPr>
          <w:sz w:val="26"/>
          <w:szCs w:val="26"/>
        </w:rPr>
        <w:t xml:space="preserve">issues </w:t>
      </w:r>
      <w:r w:rsidRPr="00D55644">
        <w:rPr>
          <w:sz w:val="26"/>
          <w:szCs w:val="26"/>
        </w:rPr>
        <w:t>be referred to the Commission</w:t>
      </w:r>
      <w:r w:rsidR="00EB37F2" w:rsidRPr="00D55644">
        <w:rPr>
          <w:sz w:val="26"/>
          <w:szCs w:val="26"/>
        </w:rPr>
        <w:t>’s</w:t>
      </w:r>
      <w:r w:rsidRPr="00D55644">
        <w:rPr>
          <w:sz w:val="26"/>
          <w:szCs w:val="26"/>
        </w:rPr>
        <w:t xml:space="preserve"> Office of Competitive Market Oversight (OCMO) </w:t>
      </w:r>
      <w:r w:rsidR="00552DDB" w:rsidRPr="00D55644">
        <w:rPr>
          <w:sz w:val="26"/>
          <w:szCs w:val="26"/>
        </w:rPr>
        <w:t>and the Committee Handling Activities for Retail Growth in Electricity (CHARGE) for further review.</w:t>
      </w:r>
      <w:r w:rsidR="007D28BB" w:rsidRPr="00D55644">
        <w:rPr>
          <w:rStyle w:val="FootnoteReference"/>
          <w:sz w:val="26"/>
          <w:szCs w:val="26"/>
        </w:rPr>
        <w:footnoteReference w:id="5"/>
      </w:r>
    </w:p>
    <w:p w14:paraId="749AC12E" w14:textId="77777777" w:rsidR="00552DDB" w:rsidRPr="00D55644" w:rsidRDefault="00552DDB" w:rsidP="006A2DFB">
      <w:pPr>
        <w:spacing w:line="360" w:lineRule="auto"/>
        <w:rPr>
          <w:sz w:val="26"/>
          <w:szCs w:val="26"/>
        </w:rPr>
      </w:pPr>
    </w:p>
    <w:p w14:paraId="6FF1FBD7" w14:textId="4F8FB813" w:rsidR="00552DDB" w:rsidRDefault="00552DDB" w:rsidP="006A2DFB">
      <w:pPr>
        <w:spacing w:line="360" w:lineRule="auto"/>
        <w:rPr>
          <w:sz w:val="26"/>
          <w:szCs w:val="26"/>
        </w:rPr>
      </w:pPr>
      <w:r w:rsidRPr="00D55644">
        <w:rPr>
          <w:sz w:val="26"/>
          <w:szCs w:val="26"/>
        </w:rPr>
        <w:tab/>
      </w:r>
      <w:r w:rsidR="00EB37F2" w:rsidRPr="00D55644">
        <w:rPr>
          <w:sz w:val="26"/>
          <w:szCs w:val="26"/>
        </w:rPr>
        <w:t>Given the complexity of and controversy over those outstanding issues, OCMO, after consulting with the Commission, decided that SCB could not be properly addre</w:t>
      </w:r>
      <w:r w:rsidR="0072763E" w:rsidRPr="00D55644">
        <w:rPr>
          <w:sz w:val="26"/>
          <w:szCs w:val="26"/>
        </w:rPr>
        <w:t>ssed through an informal working group</w:t>
      </w:r>
      <w:r w:rsidR="00EB37F2" w:rsidRPr="00D55644">
        <w:rPr>
          <w:sz w:val="26"/>
          <w:szCs w:val="26"/>
        </w:rPr>
        <w:t xml:space="preserve">.  </w:t>
      </w:r>
      <w:r w:rsidR="00EC7CA6" w:rsidRPr="00D55644">
        <w:rPr>
          <w:sz w:val="26"/>
          <w:szCs w:val="26"/>
        </w:rPr>
        <w:t>As such, the</w:t>
      </w:r>
      <w:r w:rsidR="004D11D3" w:rsidRPr="00D55644">
        <w:rPr>
          <w:sz w:val="26"/>
          <w:szCs w:val="26"/>
        </w:rPr>
        <w:t xml:space="preserve"> Commission decided to add</w:t>
      </w:r>
      <w:r w:rsidR="0072763E" w:rsidRPr="00D55644">
        <w:rPr>
          <w:sz w:val="26"/>
          <w:szCs w:val="26"/>
        </w:rPr>
        <w:t>ress</w:t>
      </w:r>
      <w:r w:rsidR="00EC7CA6" w:rsidRPr="00D55644">
        <w:rPr>
          <w:sz w:val="26"/>
          <w:szCs w:val="26"/>
        </w:rPr>
        <w:t xml:space="preserve"> SCB as part of its 2011 investigation into Pennsylvania’s retail electric market.  </w:t>
      </w:r>
      <w:r w:rsidR="006248E8" w:rsidRPr="00D55644">
        <w:rPr>
          <w:sz w:val="26"/>
          <w:szCs w:val="26"/>
        </w:rPr>
        <w:t xml:space="preserve">The Commission did not believe that any of the outstanding issues presented an insurmountable obstacle to making SCB available as a billing </w:t>
      </w:r>
      <w:r w:rsidR="006248E8" w:rsidRPr="00D55644">
        <w:rPr>
          <w:i/>
          <w:sz w:val="26"/>
          <w:szCs w:val="26"/>
        </w:rPr>
        <w:t>option</w:t>
      </w:r>
      <w:r w:rsidR="006248E8" w:rsidRPr="00D55644">
        <w:rPr>
          <w:sz w:val="26"/>
          <w:szCs w:val="26"/>
        </w:rPr>
        <w:t>—to join, not replace, dual billing and UCB—</w:t>
      </w:r>
      <w:r w:rsidR="007B794A" w:rsidRPr="00D55644">
        <w:rPr>
          <w:sz w:val="26"/>
          <w:szCs w:val="26"/>
        </w:rPr>
        <w:t>and</w:t>
      </w:r>
      <w:r w:rsidR="006248E8" w:rsidRPr="00D55644">
        <w:rPr>
          <w:sz w:val="26"/>
          <w:szCs w:val="26"/>
        </w:rPr>
        <w:t xml:space="preserve"> ordered OCMO to provide a recommendation regarding how to proceed with making SCB available as a billing option.</w:t>
      </w:r>
      <w:r w:rsidR="008D7EDF" w:rsidRPr="00D55644">
        <w:rPr>
          <w:rStyle w:val="FootnoteReference"/>
          <w:sz w:val="26"/>
          <w:szCs w:val="26"/>
        </w:rPr>
        <w:footnoteReference w:id="6"/>
      </w:r>
    </w:p>
    <w:p w14:paraId="57959D79" w14:textId="77777777" w:rsidR="003A4157" w:rsidRPr="00D55644" w:rsidRDefault="003A4157" w:rsidP="006A2DFB">
      <w:pPr>
        <w:spacing w:line="360" w:lineRule="auto"/>
        <w:rPr>
          <w:sz w:val="26"/>
          <w:szCs w:val="26"/>
        </w:rPr>
      </w:pPr>
    </w:p>
    <w:p w14:paraId="31576A4E" w14:textId="77777777" w:rsidR="00BE46C8" w:rsidRPr="00D55644" w:rsidRDefault="00703FC8" w:rsidP="006A2DFB">
      <w:pPr>
        <w:spacing w:line="360" w:lineRule="auto"/>
        <w:rPr>
          <w:sz w:val="26"/>
          <w:szCs w:val="26"/>
        </w:rPr>
      </w:pPr>
      <w:r w:rsidRPr="00D55644">
        <w:rPr>
          <w:sz w:val="26"/>
          <w:szCs w:val="26"/>
        </w:rPr>
        <w:tab/>
        <w:t>After reviewing</w:t>
      </w:r>
      <w:r w:rsidR="00BE46C8" w:rsidRPr="00D55644">
        <w:rPr>
          <w:sz w:val="26"/>
          <w:szCs w:val="26"/>
        </w:rPr>
        <w:t xml:space="preserve"> </w:t>
      </w:r>
      <w:r w:rsidRPr="00D55644">
        <w:rPr>
          <w:sz w:val="26"/>
          <w:szCs w:val="26"/>
        </w:rPr>
        <w:t>comments from interested stakeholders</w:t>
      </w:r>
      <w:r w:rsidR="00BE46C8" w:rsidRPr="00D55644">
        <w:rPr>
          <w:sz w:val="26"/>
          <w:szCs w:val="26"/>
        </w:rPr>
        <w:t>, the Commission concluded that it was not prepa</w:t>
      </w:r>
      <w:r w:rsidRPr="00D55644">
        <w:rPr>
          <w:sz w:val="26"/>
          <w:szCs w:val="26"/>
        </w:rPr>
        <w:t>red to implement SCB</w:t>
      </w:r>
      <w:r w:rsidR="00BE46C8" w:rsidRPr="00D55644">
        <w:rPr>
          <w:sz w:val="26"/>
          <w:szCs w:val="26"/>
        </w:rPr>
        <w:t>.</w:t>
      </w:r>
      <w:r w:rsidR="009A2676" w:rsidRPr="00D55644">
        <w:rPr>
          <w:sz w:val="26"/>
          <w:szCs w:val="26"/>
        </w:rPr>
        <w:t xml:space="preserve">  </w:t>
      </w:r>
      <w:r w:rsidR="00D02443" w:rsidRPr="00D55644">
        <w:rPr>
          <w:sz w:val="26"/>
          <w:szCs w:val="26"/>
        </w:rPr>
        <w:t>T</w:t>
      </w:r>
      <w:r w:rsidRPr="00D55644">
        <w:rPr>
          <w:sz w:val="26"/>
          <w:szCs w:val="26"/>
        </w:rPr>
        <w:t>he Commission determined</w:t>
      </w:r>
      <w:r w:rsidR="00BE46C8" w:rsidRPr="00D55644">
        <w:rPr>
          <w:sz w:val="26"/>
          <w:szCs w:val="26"/>
        </w:rPr>
        <w:t xml:space="preserve"> that SCB could</w:t>
      </w:r>
      <w:r w:rsidRPr="00D55644">
        <w:rPr>
          <w:sz w:val="26"/>
          <w:szCs w:val="26"/>
        </w:rPr>
        <w:t xml:space="preserve"> at some point</w:t>
      </w:r>
      <w:r w:rsidR="0020031B" w:rsidRPr="00D55644">
        <w:rPr>
          <w:sz w:val="26"/>
          <w:szCs w:val="26"/>
        </w:rPr>
        <w:t xml:space="preserve"> (</w:t>
      </w:r>
      <w:r w:rsidR="00D02443" w:rsidRPr="00D55644">
        <w:rPr>
          <w:sz w:val="26"/>
          <w:szCs w:val="26"/>
        </w:rPr>
        <w:t>1)</w:t>
      </w:r>
      <w:r w:rsidR="007B794A" w:rsidRPr="00D55644">
        <w:rPr>
          <w:sz w:val="26"/>
          <w:szCs w:val="26"/>
        </w:rPr>
        <w:t> </w:t>
      </w:r>
      <w:r w:rsidR="00BE46C8" w:rsidRPr="00D55644">
        <w:rPr>
          <w:sz w:val="26"/>
          <w:szCs w:val="26"/>
        </w:rPr>
        <w:t xml:space="preserve">play a role as a billing option in the competitive retail electric market; </w:t>
      </w:r>
      <w:r w:rsidR="00D02443" w:rsidRPr="00D55644">
        <w:rPr>
          <w:sz w:val="26"/>
          <w:szCs w:val="26"/>
        </w:rPr>
        <w:t>(2)</w:t>
      </w:r>
      <w:r w:rsidR="007B794A" w:rsidRPr="00D55644">
        <w:rPr>
          <w:sz w:val="26"/>
          <w:szCs w:val="26"/>
        </w:rPr>
        <w:t> </w:t>
      </w:r>
      <w:r w:rsidR="00BE46C8" w:rsidRPr="00D55644">
        <w:rPr>
          <w:sz w:val="26"/>
          <w:szCs w:val="26"/>
        </w:rPr>
        <w:t>help EGSs establish a brand identity</w:t>
      </w:r>
      <w:r w:rsidR="00D02443" w:rsidRPr="00D55644">
        <w:rPr>
          <w:sz w:val="26"/>
          <w:szCs w:val="26"/>
        </w:rPr>
        <w:t xml:space="preserve"> with their customers; and (3)</w:t>
      </w:r>
      <w:r w:rsidR="007B794A" w:rsidRPr="00D55644">
        <w:rPr>
          <w:sz w:val="26"/>
          <w:szCs w:val="26"/>
        </w:rPr>
        <w:t> </w:t>
      </w:r>
      <w:r w:rsidR="00BE46C8" w:rsidRPr="00D55644">
        <w:rPr>
          <w:sz w:val="26"/>
          <w:szCs w:val="26"/>
        </w:rPr>
        <w:t>help facilitate the offering of i</w:t>
      </w:r>
      <w:r w:rsidR="00D02443" w:rsidRPr="00D55644">
        <w:rPr>
          <w:sz w:val="26"/>
          <w:szCs w:val="26"/>
        </w:rPr>
        <w:t>nnovative products and services</w:t>
      </w:r>
      <w:r w:rsidR="00B81C0D" w:rsidRPr="00D55644">
        <w:rPr>
          <w:sz w:val="26"/>
          <w:szCs w:val="26"/>
        </w:rPr>
        <w:t>.  H</w:t>
      </w:r>
      <w:r w:rsidR="00D02443" w:rsidRPr="00D55644">
        <w:rPr>
          <w:sz w:val="26"/>
          <w:szCs w:val="26"/>
        </w:rPr>
        <w:t>owever,</w:t>
      </w:r>
      <w:r w:rsidR="00BE46C8" w:rsidRPr="00D55644">
        <w:rPr>
          <w:sz w:val="26"/>
          <w:szCs w:val="26"/>
        </w:rPr>
        <w:t xml:space="preserve"> the extensive work and expense necessary to implement SCB could not be justified given the multitude of other, more critical, changes</w:t>
      </w:r>
      <w:r w:rsidR="00C13187" w:rsidRPr="00D55644">
        <w:rPr>
          <w:sz w:val="26"/>
          <w:szCs w:val="26"/>
        </w:rPr>
        <w:t xml:space="preserve">—such </w:t>
      </w:r>
      <w:r w:rsidR="00AC065B" w:rsidRPr="00D55644">
        <w:rPr>
          <w:sz w:val="26"/>
          <w:szCs w:val="26"/>
        </w:rPr>
        <w:t>as accelerated switching and changes to the default service product</w:t>
      </w:r>
      <w:r w:rsidR="00C13187" w:rsidRPr="00D55644">
        <w:rPr>
          <w:sz w:val="26"/>
          <w:szCs w:val="26"/>
        </w:rPr>
        <w:t>—</w:t>
      </w:r>
      <w:r w:rsidR="00AC240C" w:rsidRPr="00D55644">
        <w:rPr>
          <w:sz w:val="26"/>
          <w:szCs w:val="26"/>
        </w:rPr>
        <w:t>being ordered as part of the investigation.</w:t>
      </w:r>
      <w:r w:rsidR="009A2676" w:rsidRPr="00D55644">
        <w:rPr>
          <w:rStyle w:val="FootnoteReference"/>
          <w:sz w:val="26"/>
          <w:szCs w:val="26"/>
        </w:rPr>
        <w:footnoteReference w:id="7"/>
      </w:r>
    </w:p>
    <w:p w14:paraId="01960E47" w14:textId="77777777" w:rsidR="00366694" w:rsidRPr="00D55644" w:rsidRDefault="00366694" w:rsidP="006A2DFB">
      <w:pPr>
        <w:spacing w:line="360" w:lineRule="auto"/>
        <w:rPr>
          <w:sz w:val="26"/>
          <w:szCs w:val="26"/>
        </w:rPr>
      </w:pPr>
    </w:p>
    <w:p w14:paraId="74AE6865" w14:textId="287926B2" w:rsidR="00366694" w:rsidRPr="00D55644" w:rsidRDefault="00AE3FCE" w:rsidP="006A2DFB">
      <w:pPr>
        <w:spacing w:line="360" w:lineRule="auto"/>
        <w:rPr>
          <w:sz w:val="26"/>
          <w:szCs w:val="26"/>
        </w:rPr>
      </w:pPr>
      <w:r w:rsidRPr="00D55644">
        <w:rPr>
          <w:sz w:val="26"/>
          <w:szCs w:val="26"/>
        </w:rPr>
        <w:tab/>
        <w:t>The Commission was also concerned that too few EGSs would</w:t>
      </w:r>
      <w:r w:rsidR="0027422B" w:rsidRPr="00D55644">
        <w:rPr>
          <w:sz w:val="26"/>
          <w:szCs w:val="26"/>
        </w:rPr>
        <w:t xml:space="preserve"> </w:t>
      </w:r>
      <w:r w:rsidRPr="00D55644">
        <w:rPr>
          <w:sz w:val="26"/>
          <w:szCs w:val="26"/>
        </w:rPr>
        <w:t>opt to use SCB to justify the extensive work and expense required to implement it, especially considering the availability of POR programs.</w:t>
      </w:r>
      <w:r w:rsidR="008C73E9" w:rsidRPr="00D55644">
        <w:rPr>
          <w:sz w:val="26"/>
          <w:szCs w:val="26"/>
        </w:rPr>
        <w:t xml:space="preserve">  Under POR programs, which are tied to UCB, </w:t>
      </w:r>
      <w:r w:rsidR="00D55644">
        <w:rPr>
          <w:sz w:val="26"/>
          <w:szCs w:val="26"/>
        </w:rPr>
        <w:t xml:space="preserve">the </w:t>
      </w:r>
      <w:r w:rsidR="008C73E9" w:rsidRPr="00D55644">
        <w:rPr>
          <w:sz w:val="26"/>
          <w:szCs w:val="26"/>
        </w:rPr>
        <w:t xml:space="preserve">EDCs purchase </w:t>
      </w:r>
      <w:r w:rsidR="007B794A" w:rsidRPr="00D55644">
        <w:rPr>
          <w:sz w:val="26"/>
          <w:szCs w:val="26"/>
        </w:rPr>
        <w:t>an EGS’s</w:t>
      </w:r>
      <w:r w:rsidR="008C73E9" w:rsidRPr="00D55644">
        <w:rPr>
          <w:sz w:val="26"/>
          <w:szCs w:val="26"/>
        </w:rPr>
        <w:t xml:space="preserve"> receivables</w:t>
      </w:r>
      <w:r w:rsidR="007B794A" w:rsidRPr="00D55644">
        <w:rPr>
          <w:sz w:val="26"/>
          <w:szCs w:val="26"/>
        </w:rPr>
        <w:t xml:space="preserve"> directly</w:t>
      </w:r>
      <w:r w:rsidR="008C73E9" w:rsidRPr="00D55644">
        <w:rPr>
          <w:sz w:val="26"/>
          <w:szCs w:val="26"/>
        </w:rPr>
        <w:t xml:space="preserve">—the generation </w:t>
      </w:r>
      <w:r w:rsidR="004168C9">
        <w:rPr>
          <w:sz w:val="26"/>
          <w:szCs w:val="26"/>
        </w:rPr>
        <w:t xml:space="preserve">and transmission </w:t>
      </w:r>
      <w:r w:rsidR="008C73E9" w:rsidRPr="00D55644">
        <w:rPr>
          <w:sz w:val="26"/>
          <w:szCs w:val="26"/>
        </w:rPr>
        <w:t xml:space="preserve">charges EGSs are owed by </w:t>
      </w:r>
      <w:r w:rsidR="004751A1" w:rsidRPr="00D55644">
        <w:rPr>
          <w:sz w:val="26"/>
          <w:szCs w:val="26"/>
        </w:rPr>
        <w:t xml:space="preserve">their </w:t>
      </w:r>
      <w:r w:rsidR="008C73E9" w:rsidRPr="00D55644">
        <w:rPr>
          <w:sz w:val="26"/>
          <w:szCs w:val="26"/>
        </w:rPr>
        <w:t xml:space="preserve">customers—and then are responsible for collecting </w:t>
      </w:r>
      <w:r w:rsidR="008C73E9" w:rsidRPr="00D55644">
        <w:rPr>
          <w:i/>
          <w:sz w:val="26"/>
          <w:szCs w:val="26"/>
        </w:rPr>
        <w:t>all</w:t>
      </w:r>
      <w:r w:rsidR="008C73E9" w:rsidRPr="00D55644">
        <w:rPr>
          <w:sz w:val="26"/>
          <w:szCs w:val="26"/>
        </w:rPr>
        <w:t xml:space="preserve"> electric service charges from customers.  </w:t>
      </w:r>
      <w:r w:rsidRPr="00D1498C">
        <w:rPr>
          <w:sz w:val="26"/>
          <w:szCs w:val="26"/>
        </w:rPr>
        <w:t xml:space="preserve">An EGS would have to forgo those programs to </w:t>
      </w:r>
      <w:r w:rsidR="004751A1" w:rsidRPr="00D1498C">
        <w:rPr>
          <w:sz w:val="26"/>
          <w:szCs w:val="26"/>
        </w:rPr>
        <w:t>offer</w:t>
      </w:r>
      <w:r w:rsidRPr="00D1498C">
        <w:rPr>
          <w:sz w:val="26"/>
          <w:szCs w:val="26"/>
        </w:rPr>
        <w:t xml:space="preserve"> SCB and assume the burdens of billing, collecting on those bills, and any associated bad debts</w:t>
      </w:r>
      <w:r w:rsidR="004751A1" w:rsidRPr="00D1498C">
        <w:rPr>
          <w:sz w:val="26"/>
          <w:szCs w:val="26"/>
        </w:rPr>
        <w:t xml:space="preserve"> currently</w:t>
      </w:r>
      <w:r w:rsidR="009B2865" w:rsidRPr="00D1498C">
        <w:rPr>
          <w:sz w:val="26"/>
          <w:szCs w:val="26"/>
        </w:rPr>
        <w:t xml:space="preserve"> undertaken by EDCs.</w:t>
      </w:r>
      <w:r w:rsidR="009B2865" w:rsidRPr="00D55644">
        <w:rPr>
          <w:sz w:val="26"/>
          <w:szCs w:val="26"/>
        </w:rPr>
        <w:t xml:space="preserve">  The Commission also noted th</w:t>
      </w:r>
      <w:r w:rsidR="004751A1" w:rsidRPr="00D55644">
        <w:rPr>
          <w:sz w:val="26"/>
          <w:szCs w:val="26"/>
        </w:rPr>
        <w:t xml:space="preserve">at EGSs already have the option of dual billing, which allows EGSs </w:t>
      </w:r>
      <w:r w:rsidR="009B2865" w:rsidRPr="00D55644">
        <w:rPr>
          <w:sz w:val="26"/>
          <w:szCs w:val="26"/>
        </w:rPr>
        <w:t>to issue a separate bill to their customers if they do not find UCB conducive to their business model.</w:t>
      </w:r>
      <w:r w:rsidR="009A2676" w:rsidRPr="00D55644">
        <w:rPr>
          <w:rStyle w:val="FootnoteReference"/>
          <w:sz w:val="26"/>
          <w:szCs w:val="26"/>
        </w:rPr>
        <w:footnoteReference w:id="8"/>
      </w:r>
    </w:p>
    <w:p w14:paraId="61E7EA25" w14:textId="77777777" w:rsidR="00337769" w:rsidRPr="00D55644" w:rsidRDefault="00337769" w:rsidP="006A2DFB">
      <w:pPr>
        <w:spacing w:line="360" w:lineRule="auto"/>
        <w:rPr>
          <w:sz w:val="26"/>
          <w:szCs w:val="26"/>
        </w:rPr>
      </w:pPr>
    </w:p>
    <w:p w14:paraId="190E71C6" w14:textId="77777777" w:rsidR="00337769" w:rsidRPr="00D55644" w:rsidRDefault="00337769" w:rsidP="006A2DFB">
      <w:pPr>
        <w:spacing w:line="360" w:lineRule="auto"/>
        <w:rPr>
          <w:sz w:val="26"/>
          <w:szCs w:val="26"/>
        </w:rPr>
      </w:pPr>
      <w:r w:rsidRPr="00D55644">
        <w:rPr>
          <w:sz w:val="26"/>
          <w:szCs w:val="26"/>
        </w:rPr>
        <w:tab/>
      </w:r>
      <w:r w:rsidR="00C46DC2" w:rsidRPr="00D55644">
        <w:rPr>
          <w:sz w:val="26"/>
          <w:szCs w:val="26"/>
        </w:rPr>
        <w:t>Based on</w:t>
      </w:r>
      <w:r w:rsidR="009254B2" w:rsidRPr="00D55644">
        <w:rPr>
          <w:sz w:val="26"/>
          <w:szCs w:val="26"/>
        </w:rPr>
        <w:t xml:space="preserve"> its review</w:t>
      </w:r>
      <w:r w:rsidR="00E13EFE" w:rsidRPr="00D55644">
        <w:rPr>
          <w:sz w:val="26"/>
          <w:szCs w:val="26"/>
        </w:rPr>
        <w:t xml:space="preserve">, the Commission rescinded its prior order that OCMO submit recommendations as to how to proceed with SCB.  Instead, the Commission directed OCMO to explore a simpler, </w:t>
      </w:r>
      <w:r w:rsidR="00EF43F4" w:rsidRPr="00D55644">
        <w:rPr>
          <w:sz w:val="26"/>
          <w:szCs w:val="26"/>
        </w:rPr>
        <w:t>m</w:t>
      </w:r>
      <w:r w:rsidR="00C561FB" w:rsidRPr="00D55644">
        <w:rPr>
          <w:sz w:val="26"/>
          <w:szCs w:val="26"/>
        </w:rPr>
        <w:t xml:space="preserve">ore cost-effective solution:  </w:t>
      </w:r>
      <w:r w:rsidR="00EF43F4" w:rsidRPr="00D55644">
        <w:rPr>
          <w:sz w:val="26"/>
          <w:szCs w:val="26"/>
        </w:rPr>
        <w:t>t</w:t>
      </w:r>
      <w:r w:rsidR="00E13EFE" w:rsidRPr="00D55644">
        <w:rPr>
          <w:sz w:val="26"/>
          <w:szCs w:val="26"/>
        </w:rPr>
        <w:t>o submit</w:t>
      </w:r>
      <w:r w:rsidR="007E69C3" w:rsidRPr="00D55644">
        <w:rPr>
          <w:sz w:val="26"/>
          <w:szCs w:val="26"/>
        </w:rPr>
        <w:t xml:space="preserve"> </w:t>
      </w:r>
      <w:r w:rsidR="00E13EFE" w:rsidRPr="00D55644">
        <w:rPr>
          <w:sz w:val="26"/>
          <w:szCs w:val="26"/>
        </w:rPr>
        <w:t>recommendations to make the UCB bills i</w:t>
      </w:r>
      <w:r w:rsidR="00C561FB" w:rsidRPr="00D55644">
        <w:rPr>
          <w:sz w:val="26"/>
          <w:szCs w:val="26"/>
        </w:rPr>
        <w:t xml:space="preserve">ssued by </w:t>
      </w:r>
      <w:r w:rsidR="002B4B52" w:rsidRPr="00D55644">
        <w:rPr>
          <w:sz w:val="26"/>
          <w:szCs w:val="26"/>
        </w:rPr>
        <w:t>EDCs more EGS-oriented by featuring</w:t>
      </w:r>
      <w:r w:rsidR="00C561FB" w:rsidRPr="00D55644">
        <w:rPr>
          <w:sz w:val="26"/>
          <w:szCs w:val="26"/>
        </w:rPr>
        <w:t xml:space="preserve"> the EGS’s charges and information more prominent</w:t>
      </w:r>
      <w:r w:rsidR="002B4B52" w:rsidRPr="00D55644">
        <w:rPr>
          <w:sz w:val="26"/>
          <w:szCs w:val="26"/>
        </w:rPr>
        <w:t>ly on the customer’s bill</w:t>
      </w:r>
      <w:r w:rsidR="00C561FB" w:rsidRPr="00D55644">
        <w:rPr>
          <w:sz w:val="26"/>
          <w:szCs w:val="26"/>
        </w:rPr>
        <w:t>.  Ultimately, the Commission expected that the new UCB would look more like a joint EDC-EGS bill.</w:t>
      </w:r>
      <w:r w:rsidR="00DE516C" w:rsidRPr="00D55644">
        <w:rPr>
          <w:sz w:val="26"/>
          <w:szCs w:val="26"/>
        </w:rPr>
        <w:t xml:space="preserve">  </w:t>
      </w:r>
      <w:r w:rsidR="007E69C3" w:rsidRPr="00D55644">
        <w:rPr>
          <w:sz w:val="26"/>
          <w:szCs w:val="26"/>
        </w:rPr>
        <w:t>Creating this “supplier-friendly” utility consolidated bill would be</w:t>
      </w:r>
      <w:r w:rsidR="00DE516C" w:rsidRPr="00D55644">
        <w:rPr>
          <w:sz w:val="26"/>
          <w:szCs w:val="26"/>
        </w:rPr>
        <w:t xml:space="preserve"> a less expensive and </w:t>
      </w:r>
      <w:r w:rsidR="007E69C3" w:rsidRPr="00D55644">
        <w:rPr>
          <w:sz w:val="26"/>
          <w:szCs w:val="26"/>
        </w:rPr>
        <w:t xml:space="preserve">less </w:t>
      </w:r>
      <w:r w:rsidR="00C86D7C" w:rsidRPr="00D55644">
        <w:rPr>
          <w:sz w:val="26"/>
          <w:szCs w:val="26"/>
        </w:rPr>
        <w:t>time-consuming</w:t>
      </w:r>
      <w:r w:rsidR="00DE516C" w:rsidRPr="00D55644">
        <w:rPr>
          <w:sz w:val="26"/>
          <w:szCs w:val="26"/>
        </w:rPr>
        <w:t xml:space="preserve"> method to facilitate an EGS’s relationship with its customers compared to implementation</w:t>
      </w:r>
      <w:r w:rsidR="007E69C3" w:rsidRPr="00D55644">
        <w:rPr>
          <w:sz w:val="26"/>
          <w:szCs w:val="26"/>
        </w:rPr>
        <w:t xml:space="preserve"> of SCB and</w:t>
      </w:r>
      <w:r w:rsidR="00DE516C" w:rsidRPr="00D55644">
        <w:rPr>
          <w:sz w:val="26"/>
          <w:szCs w:val="26"/>
        </w:rPr>
        <w:t xml:space="preserve"> would not raise the consumer protection concerns that would come from EGS billing under SCB.</w:t>
      </w:r>
      <w:r w:rsidR="009A2676" w:rsidRPr="00D55644">
        <w:rPr>
          <w:rStyle w:val="FootnoteReference"/>
          <w:sz w:val="26"/>
          <w:szCs w:val="26"/>
        </w:rPr>
        <w:footnoteReference w:id="9"/>
      </w:r>
    </w:p>
    <w:p w14:paraId="5A2F74B9" w14:textId="77777777" w:rsidR="00C561FB" w:rsidRPr="00D55644" w:rsidRDefault="00C561FB" w:rsidP="006A2DFB">
      <w:pPr>
        <w:spacing w:line="360" w:lineRule="auto"/>
        <w:rPr>
          <w:sz w:val="26"/>
          <w:szCs w:val="26"/>
        </w:rPr>
      </w:pPr>
    </w:p>
    <w:p w14:paraId="699DB519" w14:textId="77777777" w:rsidR="00C561FB" w:rsidRPr="00D55644" w:rsidRDefault="00C561FB" w:rsidP="006A2DFB">
      <w:pPr>
        <w:spacing w:line="360" w:lineRule="auto"/>
        <w:rPr>
          <w:sz w:val="26"/>
          <w:szCs w:val="26"/>
        </w:rPr>
      </w:pPr>
      <w:r w:rsidRPr="00D55644">
        <w:rPr>
          <w:sz w:val="26"/>
          <w:szCs w:val="26"/>
        </w:rPr>
        <w:tab/>
      </w:r>
      <w:r w:rsidR="00FD2B4D" w:rsidRPr="00D55644">
        <w:rPr>
          <w:sz w:val="26"/>
          <w:szCs w:val="26"/>
        </w:rPr>
        <w:t>The Commission ended by noting that it was not dismissing SCB outright</w:t>
      </w:r>
      <w:r w:rsidR="00207733" w:rsidRPr="00D55644">
        <w:rPr>
          <w:sz w:val="26"/>
          <w:szCs w:val="26"/>
        </w:rPr>
        <w:t>,</w:t>
      </w:r>
      <w:r w:rsidR="00FD2B4D" w:rsidRPr="00D55644">
        <w:rPr>
          <w:sz w:val="26"/>
          <w:szCs w:val="26"/>
        </w:rPr>
        <w:t xml:space="preserve"> that it believed SCB could play a role in the competitive energy market</w:t>
      </w:r>
      <w:r w:rsidR="00207733" w:rsidRPr="00D55644">
        <w:rPr>
          <w:sz w:val="26"/>
          <w:szCs w:val="26"/>
        </w:rPr>
        <w:t>,</w:t>
      </w:r>
      <w:r w:rsidR="00FD2B4D" w:rsidRPr="00D55644">
        <w:rPr>
          <w:sz w:val="26"/>
          <w:szCs w:val="26"/>
        </w:rPr>
        <w:t xml:space="preserve"> and that it would reconsider SCB at some point in the future.  However, the Commission </w:t>
      </w:r>
      <w:r w:rsidR="00207733" w:rsidRPr="00D55644">
        <w:rPr>
          <w:sz w:val="26"/>
          <w:szCs w:val="26"/>
        </w:rPr>
        <w:t xml:space="preserve">determined </w:t>
      </w:r>
      <w:r w:rsidR="00FD2B4D" w:rsidRPr="00D55644">
        <w:rPr>
          <w:sz w:val="26"/>
          <w:szCs w:val="26"/>
        </w:rPr>
        <w:t>that th</w:t>
      </w:r>
      <w:r w:rsidR="00082051" w:rsidRPr="00D55644">
        <w:rPr>
          <w:sz w:val="26"/>
          <w:szCs w:val="26"/>
        </w:rPr>
        <w:t>ere were</w:t>
      </w:r>
      <w:r w:rsidR="00FD2B4D" w:rsidRPr="00D55644">
        <w:rPr>
          <w:sz w:val="26"/>
          <w:szCs w:val="26"/>
        </w:rPr>
        <w:t xml:space="preserve"> more pressing priorities </w:t>
      </w:r>
      <w:r w:rsidR="00207733" w:rsidRPr="00D55644">
        <w:rPr>
          <w:sz w:val="26"/>
          <w:szCs w:val="26"/>
        </w:rPr>
        <w:t>to address</w:t>
      </w:r>
      <w:r w:rsidR="00FD2B4D" w:rsidRPr="00D55644">
        <w:rPr>
          <w:sz w:val="26"/>
          <w:szCs w:val="26"/>
        </w:rPr>
        <w:t xml:space="preserve"> before SCB.  When and how the Commission would proceed with SCB in the future would depend, in part, on the re</w:t>
      </w:r>
      <w:r w:rsidR="00E41BDD" w:rsidRPr="00D55644">
        <w:rPr>
          <w:sz w:val="26"/>
          <w:szCs w:val="26"/>
        </w:rPr>
        <w:t>sults of the implementation of the</w:t>
      </w:r>
      <w:r w:rsidR="00FD2B4D" w:rsidRPr="00D55644">
        <w:rPr>
          <w:sz w:val="26"/>
          <w:szCs w:val="26"/>
        </w:rPr>
        <w:t xml:space="preserve"> more supplier-oriented utility consolidate</w:t>
      </w:r>
      <w:r w:rsidR="006E5E11" w:rsidRPr="00D55644">
        <w:rPr>
          <w:sz w:val="26"/>
          <w:szCs w:val="26"/>
        </w:rPr>
        <w:t>d</w:t>
      </w:r>
      <w:r w:rsidR="00FD2B4D" w:rsidRPr="00D55644">
        <w:rPr>
          <w:sz w:val="26"/>
          <w:szCs w:val="26"/>
        </w:rPr>
        <w:t xml:space="preserve"> bill</w:t>
      </w:r>
      <w:r w:rsidR="00E41BDD" w:rsidRPr="00D55644">
        <w:rPr>
          <w:sz w:val="26"/>
          <w:szCs w:val="26"/>
        </w:rPr>
        <w:t xml:space="preserve"> (joint bill)</w:t>
      </w:r>
      <w:r w:rsidR="00FD2B4D" w:rsidRPr="00D55644">
        <w:rPr>
          <w:sz w:val="26"/>
          <w:szCs w:val="26"/>
        </w:rPr>
        <w:t>.</w:t>
      </w:r>
      <w:r w:rsidR="009A2676" w:rsidRPr="00D55644">
        <w:rPr>
          <w:rStyle w:val="FootnoteReference"/>
          <w:sz w:val="26"/>
          <w:szCs w:val="26"/>
        </w:rPr>
        <w:footnoteReference w:id="10"/>
      </w:r>
    </w:p>
    <w:p w14:paraId="62395C64" w14:textId="77777777" w:rsidR="00FD2B4D" w:rsidRPr="00D55644" w:rsidRDefault="00FD2B4D" w:rsidP="006A2DFB">
      <w:pPr>
        <w:spacing w:line="360" w:lineRule="auto"/>
        <w:rPr>
          <w:sz w:val="26"/>
          <w:szCs w:val="26"/>
        </w:rPr>
      </w:pPr>
    </w:p>
    <w:p w14:paraId="4D9A6023" w14:textId="77777777" w:rsidR="00BE2437" w:rsidRPr="00D55644" w:rsidRDefault="00FD2B4D" w:rsidP="006A2DFB">
      <w:pPr>
        <w:spacing w:line="360" w:lineRule="auto"/>
        <w:rPr>
          <w:sz w:val="26"/>
          <w:szCs w:val="26"/>
        </w:rPr>
      </w:pPr>
      <w:r w:rsidRPr="00D55644">
        <w:rPr>
          <w:sz w:val="26"/>
          <w:szCs w:val="26"/>
        </w:rPr>
        <w:tab/>
      </w:r>
      <w:r w:rsidR="00843B27" w:rsidRPr="00D55644">
        <w:rPr>
          <w:sz w:val="26"/>
          <w:szCs w:val="26"/>
        </w:rPr>
        <w:t>During 2013, OCMO</w:t>
      </w:r>
      <w:r w:rsidR="00B65540" w:rsidRPr="00D55644">
        <w:rPr>
          <w:sz w:val="26"/>
          <w:szCs w:val="26"/>
        </w:rPr>
        <w:t xml:space="preserve"> </w:t>
      </w:r>
      <w:r w:rsidR="002B4B52" w:rsidRPr="00D55644">
        <w:rPr>
          <w:sz w:val="26"/>
          <w:szCs w:val="26"/>
        </w:rPr>
        <w:t>studied</w:t>
      </w:r>
      <w:r w:rsidR="00B65540" w:rsidRPr="00D55644">
        <w:rPr>
          <w:sz w:val="26"/>
          <w:szCs w:val="26"/>
        </w:rPr>
        <w:t xml:space="preserve"> ways to make UCB bills more supplier-oriented</w:t>
      </w:r>
      <w:r w:rsidR="00843B27" w:rsidRPr="00D55644">
        <w:rPr>
          <w:sz w:val="26"/>
          <w:szCs w:val="26"/>
        </w:rPr>
        <w:t>, soliciting comments and suggestions from interested parties and later holding a stakeholder conference call to further discuss some of those recommendations.  After receiving OCMO’s recommendations, the Commission issued a Tentative Order on February 6, 2014, seeking comments on the recommendations.</w:t>
      </w:r>
      <w:r w:rsidR="0033398F" w:rsidRPr="00D55644">
        <w:rPr>
          <w:rStyle w:val="FootnoteReference"/>
          <w:sz w:val="26"/>
          <w:szCs w:val="26"/>
        </w:rPr>
        <w:footnoteReference w:id="11"/>
      </w:r>
    </w:p>
    <w:p w14:paraId="36670990" w14:textId="77777777" w:rsidR="00BE2437" w:rsidRPr="00D55644" w:rsidRDefault="00BE2437" w:rsidP="006A2DFB">
      <w:pPr>
        <w:spacing w:line="360" w:lineRule="auto"/>
        <w:rPr>
          <w:sz w:val="26"/>
          <w:szCs w:val="26"/>
        </w:rPr>
      </w:pPr>
    </w:p>
    <w:p w14:paraId="29E6B3E7" w14:textId="3EACCA03" w:rsidR="00E866AD" w:rsidRDefault="00BE2437" w:rsidP="006A2DFB">
      <w:pPr>
        <w:spacing w:line="360" w:lineRule="auto"/>
        <w:rPr>
          <w:sz w:val="26"/>
          <w:szCs w:val="26"/>
        </w:rPr>
      </w:pPr>
      <w:r w:rsidRPr="00D55644">
        <w:rPr>
          <w:sz w:val="26"/>
          <w:szCs w:val="26"/>
        </w:rPr>
        <w:tab/>
      </w:r>
      <w:r w:rsidR="00843B27" w:rsidRPr="00D55644">
        <w:rPr>
          <w:sz w:val="26"/>
          <w:szCs w:val="26"/>
        </w:rPr>
        <w:t>O</w:t>
      </w:r>
      <w:r w:rsidR="006E5E11" w:rsidRPr="00D55644">
        <w:rPr>
          <w:sz w:val="26"/>
          <w:szCs w:val="26"/>
        </w:rPr>
        <w:t>n May 23,</w:t>
      </w:r>
      <w:r w:rsidR="00EF20D2" w:rsidRPr="00D55644">
        <w:rPr>
          <w:sz w:val="26"/>
          <w:szCs w:val="26"/>
        </w:rPr>
        <w:t xml:space="preserve"> 2014,</w:t>
      </w:r>
      <w:r w:rsidR="00843B27" w:rsidRPr="00D55644">
        <w:rPr>
          <w:sz w:val="26"/>
          <w:szCs w:val="26"/>
        </w:rPr>
        <w:t xml:space="preserve"> after receiving and reviewing those comments,</w:t>
      </w:r>
      <w:r w:rsidR="00EF20D2" w:rsidRPr="00D55644">
        <w:rPr>
          <w:sz w:val="26"/>
          <w:szCs w:val="26"/>
        </w:rPr>
        <w:t xml:space="preserve"> the Commission entered a Final</w:t>
      </w:r>
      <w:r w:rsidR="006E5E11" w:rsidRPr="00D55644">
        <w:rPr>
          <w:sz w:val="26"/>
          <w:szCs w:val="26"/>
        </w:rPr>
        <w:t xml:space="preserve"> Order adopting</w:t>
      </w:r>
      <w:r w:rsidR="000C1BC1" w:rsidRPr="00D55644">
        <w:rPr>
          <w:sz w:val="26"/>
          <w:szCs w:val="26"/>
        </w:rPr>
        <w:t xml:space="preserve"> some of the</w:t>
      </w:r>
      <w:r w:rsidR="006E5E11" w:rsidRPr="00D55644">
        <w:rPr>
          <w:sz w:val="26"/>
          <w:szCs w:val="26"/>
        </w:rPr>
        <w:t xml:space="preserve"> changes proposed by OCMO</w:t>
      </w:r>
      <w:r w:rsidR="00B65540" w:rsidRPr="00D55644">
        <w:rPr>
          <w:sz w:val="26"/>
          <w:szCs w:val="26"/>
        </w:rPr>
        <w:t xml:space="preserve">.  </w:t>
      </w:r>
      <w:r w:rsidR="00FB1110" w:rsidRPr="00D55644">
        <w:rPr>
          <w:sz w:val="26"/>
          <w:szCs w:val="26"/>
        </w:rPr>
        <w:t>The changes adopted—inclusion of the EGS logo on the bill</w:t>
      </w:r>
      <w:r w:rsidR="00925E56" w:rsidRPr="00D55644">
        <w:rPr>
          <w:sz w:val="26"/>
          <w:szCs w:val="26"/>
        </w:rPr>
        <w:t xml:space="preserve"> near its charges</w:t>
      </w:r>
      <w:r w:rsidR="00FB1110" w:rsidRPr="00D55644">
        <w:rPr>
          <w:sz w:val="26"/>
          <w:szCs w:val="26"/>
        </w:rPr>
        <w:t>, expansion of space on the bills for EGS messaging</w:t>
      </w:r>
      <w:r w:rsidR="00DA7166" w:rsidRPr="00D55644">
        <w:rPr>
          <w:sz w:val="26"/>
          <w:szCs w:val="26"/>
        </w:rPr>
        <w:t xml:space="preserve"> from two lines to four</w:t>
      </w:r>
      <w:r w:rsidR="00FB1110" w:rsidRPr="00D55644">
        <w:rPr>
          <w:sz w:val="26"/>
          <w:szCs w:val="26"/>
        </w:rPr>
        <w:t>, and the inclusion of a Shopping Information Box</w:t>
      </w:r>
      <w:r w:rsidR="00974285" w:rsidRPr="00D55644">
        <w:rPr>
          <w:sz w:val="26"/>
          <w:szCs w:val="26"/>
        </w:rPr>
        <w:t xml:space="preserve"> to conspicuously summarize the information a c</w:t>
      </w:r>
      <w:r w:rsidR="00E24300" w:rsidRPr="00D55644">
        <w:rPr>
          <w:sz w:val="26"/>
          <w:szCs w:val="26"/>
        </w:rPr>
        <w:t>ustomer would need to provide when</w:t>
      </w:r>
      <w:r w:rsidR="00974285" w:rsidRPr="00D55644">
        <w:rPr>
          <w:sz w:val="26"/>
          <w:szCs w:val="26"/>
        </w:rPr>
        <w:t xml:space="preserve"> switch</w:t>
      </w:r>
      <w:r w:rsidR="00E24300" w:rsidRPr="00D55644">
        <w:rPr>
          <w:sz w:val="26"/>
          <w:szCs w:val="26"/>
        </w:rPr>
        <w:t>ing</w:t>
      </w:r>
      <w:r w:rsidR="00974285" w:rsidRPr="00D55644">
        <w:rPr>
          <w:sz w:val="26"/>
          <w:szCs w:val="26"/>
        </w:rPr>
        <w:t xml:space="preserve"> suppliers</w:t>
      </w:r>
      <w:r w:rsidR="00FB1110" w:rsidRPr="00D55644">
        <w:rPr>
          <w:sz w:val="26"/>
          <w:szCs w:val="26"/>
        </w:rPr>
        <w:t>—were to be implemented by EDCs by June 1, 2015.</w:t>
      </w:r>
      <w:r w:rsidR="000E44F6" w:rsidRPr="00D55644">
        <w:rPr>
          <w:rStyle w:val="FootnoteReference"/>
          <w:sz w:val="26"/>
          <w:szCs w:val="26"/>
        </w:rPr>
        <w:footnoteReference w:id="12"/>
      </w:r>
    </w:p>
    <w:p w14:paraId="05CEA92A" w14:textId="77777777" w:rsidR="00E348E4" w:rsidRPr="00D55644" w:rsidRDefault="00E348E4" w:rsidP="006A2DFB">
      <w:pPr>
        <w:spacing w:line="360" w:lineRule="auto"/>
        <w:rPr>
          <w:sz w:val="26"/>
          <w:szCs w:val="26"/>
        </w:rPr>
      </w:pPr>
    </w:p>
    <w:p w14:paraId="12906F8D" w14:textId="34CE0FAB" w:rsidR="006079B8" w:rsidRPr="00D55644" w:rsidRDefault="006079B8" w:rsidP="006A2DFB">
      <w:pPr>
        <w:spacing w:line="360" w:lineRule="auto"/>
        <w:rPr>
          <w:sz w:val="26"/>
          <w:szCs w:val="26"/>
        </w:rPr>
      </w:pPr>
      <w:r w:rsidRPr="00D55644">
        <w:rPr>
          <w:sz w:val="26"/>
          <w:szCs w:val="26"/>
        </w:rPr>
        <w:tab/>
        <w:t>Among the proposals for the new supplier-oriented utility consolidate</w:t>
      </w:r>
      <w:r w:rsidR="00D55644">
        <w:rPr>
          <w:sz w:val="26"/>
          <w:szCs w:val="26"/>
        </w:rPr>
        <w:t>d</w:t>
      </w:r>
      <w:r w:rsidRPr="00D55644">
        <w:rPr>
          <w:sz w:val="26"/>
          <w:szCs w:val="26"/>
        </w:rPr>
        <w:t xml:space="preserve"> bills expressly rejected by the Commission were (1) the inclusion of additional lines for EGSs to include charges for </w:t>
      </w:r>
      <w:r w:rsidR="00BD5162">
        <w:rPr>
          <w:sz w:val="26"/>
          <w:szCs w:val="26"/>
        </w:rPr>
        <w:t>VAS</w:t>
      </w:r>
      <w:r w:rsidRPr="00D55644">
        <w:rPr>
          <w:sz w:val="26"/>
          <w:szCs w:val="26"/>
        </w:rPr>
        <w:t xml:space="preserve">, such as rebates, discounts, and energy efficiency products </w:t>
      </w:r>
      <w:r w:rsidR="00D646D9" w:rsidRPr="00D55644">
        <w:rPr>
          <w:sz w:val="26"/>
          <w:szCs w:val="26"/>
        </w:rPr>
        <w:t>and (2) the inclusion of bill inserts by the EGSs, such as a letter, notice, or other marketing material.</w:t>
      </w:r>
      <w:r w:rsidR="00CE61D7">
        <w:rPr>
          <w:sz w:val="26"/>
          <w:szCs w:val="26"/>
        </w:rPr>
        <w:t xml:space="preserve">  The </w:t>
      </w:r>
      <w:r w:rsidR="00BD22A1">
        <w:rPr>
          <w:sz w:val="26"/>
          <w:szCs w:val="26"/>
        </w:rPr>
        <w:t>inclusion</w:t>
      </w:r>
      <w:r w:rsidR="00CE61D7">
        <w:rPr>
          <w:sz w:val="26"/>
          <w:szCs w:val="26"/>
        </w:rPr>
        <w:t xml:space="preserve"> of additional lines for EGS </w:t>
      </w:r>
      <w:r w:rsidR="00BD5162">
        <w:rPr>
          <w:sz w:val="26"/>
          <w:szCs w:val="26"/>
        </w:rPr>
        <w:t xml:space="preserve">VAS </w:t>
      </w:r>
      <w:r w:rsidR="00CE61D7">
        <w:rPr>
          <w:sz w:val="26"/>
          <w:szCs w:val="26"/>
        </w:rPr>
        <w:t xml:space="preserve">was </w:t>
      </w:r>
      <w:r w:rsidR="00BD22A1">
        <w:rPr>
          <w:sz w:val="26"/>
          <w:szCs w:val="26"/>
        </w:rPr>
        <w:t>not accepted because the Commission had not been provided enough information at that point</w:t>
      </w:r>
      <w:r w:rsidR="00F53F1D">
        <w:rPr>
          <w:sz w:val="26"/>
          <w:szCs w:val="26"/>
        </w:rPr>
        <w:t>,</w:t>
      </w:r>
      <w:r w:rsidR="00BD22A1">
        <w:rPr>
          <w:sz w:val="26"/>
          <w:szCs w:val="26"/>
        </w:rPr>
        <w:t xml:space="preserve"> while the recommendation for inclusion of bill inserts was declined </w:t>
      </w:r>
      <w:r w:rsidR="00DF7953">
        <w:rPr>
          <w:sz w:val="26"/>
          <w:szCs w:val="26"/>
        </w:rPr>
        <w:t>with the intention that the increase in EGS messaging space would make a bill insert unnecessary by providing a stronger relationship between the EGS and customer</w:t>
      </w:r>
      <w:r w:rsidR="004D74EF">
        <w:rPr>
          <w:sz w:val="26"/>
          <w:szCs w:val="26"/>
        </w:rPr>
        <w:t>.</w:t>
      </w:r>
      <w:r w:rsidR="00562726" w:rsidRPr="00D55644">
        <w:rPr>
          <w:rStyle w:val="FootnoteReference"/>
          <w:sz w:val="26"/>
          <w:szCs w:val="26"/>
        </w:rPr>
        <w:footnoteReference w:id="13"/>
      </w:r>
    </w:p>
    <w:p w14:paraId="4A142467" w14:textId="77777777" w:rsidR="00746719" w:rsidRPr="00D55644" w:rsidRDefault="00746719" w:rsidP="006A2DFB">
      <w:pPr>
        <w:spacing w:line="360" w:lineRule="auto"/>
        <w:rPr>
          <w:sz w:val="26"/>
          <w:szCs w:val="26"/>
        </w:rPr>
      </w:pPr>
    </w:p>
    <w:p w14:paraId="01C55565" w14:textId="0C0ABAE7" w:rsidR="00746719" w:rsidRPr="00D55644" w:rsidRDefault="00746719" w:rsidP="006A2DFB">
      <w:pPr>
        <w:spacing w:line="360" w:lineRule="auto"/>
        <w:rPr>
          <w:sz w:val="26"/>
          <w:szCs w:val="26"/>
        </w:rPr>
      </w:pPr>
      <w:r w:rsidRPr="00D55644">
        <w:rPr>
          <w:sz w:val="26"/>
          <w:szCs w:val="26"/>
        </w:rPr>
        <w:tab/>
        <w:t xml:space="preserve">The NRG Petition seeks to move the discussion of </w:t>
      </w:r>
      <w:r w:rsidR="00E348E4">
        <w:rPr>
          <w:sz w:val="26"/>
          <w:szCs w:val="26"/>
        </w:rPr>
        <w:t>SCB</w:t>
      </w:r>
      <w:r w:rsidRPr="00D55644">
        <w:rPr>
          <w:sz w:val="26"/>
          <w:szCs w:val="26"/>
        </w:rPr>
        <w:t xml:space="preserve"> from the general concepts discussed in prior orders to a specific program and implementation mechanism.</w:t>
      </w:r>
    </w:p>
    <w:p w14:paraId="0A69AC3B" w14:textId="77777777" w:rsidR="00E866AD" w:rsidRPr="00D55644" w:rsidRDefault="00E866AD" w:rsidP="006A2DFB">
      <w:pPr>
        <w:spacing w:line="360" w:lineRule="auto"/>
        <w:rPr>
          <w:sz w:val="26"/>
          <w:szCs w:val="26"/>
        </w:rPr>
      </w:pPr>
    </w:p>
    <w:p w14:paraId="1301112E" w14:textId="77777777" w:rsidR="006F2464" w:rsidRPr="00D55644" w:rsidRDefault="006F2464" w:rsidP="006C5132">
      <w:pPr>
        <w:tabs>
          <w:tab w:val="left" w:pos="720"/>
          <w:tab w:val="left" w:pos="1440"/>
        </w:tabs>
        <w:spacing w:line="360" w:lineRule="auto"/>
        <w:jc w:val="center"/>
        <w:rPr>
          <w:b/>
          <w:sz w:val="26"/>
          <w:szCs w:val="26"/>
        </w:rPr>
      </w:pPr>
      <w:r w:rsidRPr="00D55644">
        <w:rPr>
          <w:b/>
          <w:sz w:val="26"/>
          <w:szCs w:val="26"/>
        </w:rPr>
        <w:t>SUMMARY OF PETITION</w:t>
      </w:r>
    </w:p>
    <w:p w14:paraId="2AFCCF98" w14:textId="77777777" w:rsidR="00D515A0" w:rsidRPr="006E0EAA" w:rsidRDefault="00D515A0" w:rsidP="006C5132">
      <w:pPr>
        <w:spacing w:line="360" w:lineRule="auto"/>
        <w:ind w:left="720" w:hanging="720"/>
        <w:rPr>
          <w:b/>
          <w:sz w:val="26"/>
          <w:szCs w:val="26"/>
        </w:rPr>
      </w:pPr>
      <w:r w:rsidRPr="006E0EAA">
        <w:rPr>
          <w:b/>
          <w:sz w:val="26"/>
          <w:szCs w:val="26"/>
        </w:rPr>
        <w:t>A.</w:t>
      </w:r>
      <w:r w:rsidRPr="006E0EAA">
        <w:rPr>
          <w:b/>
          <w:sz w:val="26"/>
          <w:szCs w:val="26"/>
        </w:rPr>
        <w:tab/>
        <w:t>Background</w:t>
      </w:r>
    </w:p>
    <w:p w14:paraId="3FB4C629" w14:textId="7EFB63DF" w:rsidR="00013F5C" w:rsidRPr="00D55644" w:rsidRDefault="00013F5C" w:rsidP="006A2DFB">
      <w:pPr>
        <w:spacing w:line="360" w:lineRule="auto"/>
        <w:rPr>
          <w:sz w:val="26"/>
          <w:szCs w:val="26"/>
        </w:rPr>
      </w:pPr>
      <w:r w:rsidRPr="00D55644">
        <w:rPr>
          <w:sz w:val="26"/>
          <w:szCs w:val="26"/>
        </w:rPr>
        <w:tab/>
        <w:t xml:space="preserve">On December 8, 2016, NRG filed its Petition requesting that the Commission issue an Order implementing SCB as a billing option available to customers of EGSs by the second quarter of 2018.  </w:t>
      </w:r>
      <w:r w:rsidR="005C139E" w:rsidRPr="00D55644">
        <w:rPr>
          <w:sz w:val="26"/>
          <w:szCs w:val="26"/>
        </w:rPr>
        <w:t xml:space="preserve">According to NRG, allowing EGSs to issue consolidated bills through SCB would enable them </w:t>
      </w:r>
      <w:r w:rsidR="00187DDC" w:rsidRPr="00D55644">
        <w:rPr>
          <w:sz w:val="26"/>
          <w:szCs w:val="26"/>
        </w:rPr>
        <w:t xml:space="preserve">to offer customers </w:t>
      </w:r>
      <w:r w:rsidR="00BD5162">
        <w:rPr>
          <w:sz w:val="26"/>
          <w:szCs w:val="26"/>
        </w:rPr>
        <w:t xml:space="preserve">VAS, </w:t>
      </w:r>
      <w:r w:rsidR="00C220F7" w:rsidRPr="00D55644">
        <w:rPr>
          <w:sz w:val="26"/>
          <w:szCs w:val="26"/>
        </w:rPr>
        <w:t>while</w:t>
      </w:r>
      <w:r w:rsidR="00207733" w:rsidRPr="00D55644">
        <w:rPr>
          <w:sz w:val="26"/>
          <w:szCs w:val="26"/>
        </w:rPr>
        <w:t>,</w:t>
      </w:r>
      <w:r w:rsidR="00C220F7" w:rsidRPr="00D55644">
        <w:rPr>
          <w:sz w:val="26"/>
          <w:szCs w:val="26"/>
        </w:rPr>
        <w:t xml:space="preserve"> at the same time</w:t>
      </w:r>
      <w:r w:rsidR="00207733" w:rsidRPr="00D55644">
        <w:rPr>
          <w:sz w:val="26"/>
          <w:szCs w:val="26"/>
        </w:rPr>
        <w:t>,</w:t>
      </w:r>
      <w:r w:rsidR="00C220F7" w:rsidRPr="00D55644">
        <w:rPr>
          <w:sz w:val="26"/>
          <w:szCs w:val="26"/>
        </w:rPr>
        <w:t xml:space="preserve"> maintaining for</w:t>
      </w:r>
      <w:r w:rsidR="00187DDC" w:rsidRPr="00D55644">
        <w:rPr>
          <w:sz w:val="26"/>
          <w:szCs w:val="26"/>
        </w:rPr>
        <w:t xml:space="preserve"> customers the convenience of receiving a single electric bill.  </w:t>
      </w:r>
      <w:r w:rsidR="001346C9" w:rsidRPr="00D55644">
        <w:rPr>
          <w:sz w:val="26"/>
          <w:szCs w:val="26"/>
        </w:rPr>
        <w:t>NRG asserts that implementation of SCB would ultimately move Pennsylvania toward a fully functioning, robust competitive retail electric market as envisioned by the General Assembly when it authorized the restructuring of the electric industry in 1996.</w:t>
      </w:r>
      <w:r w:rsidR="00562726" w:rsidRPr="00D55644">
        <w:rPr>
          <w:rStyle w:val="FootnoteReference"/>
          <w:sz w:val="26"/>
          <w:szCs w:val="26"/>
        </w:rPr>
        <w:footnoteReference w:id="14"/>
      </w:r>
    </w:p>
    <w:p w14:paraId="1522DD1D" w14:textId="77777777" w:rsidR="00C62CA9" w:rsidRPr="00D55644" w:rsidRDefault="00C62CA9" w:rsidP="006A2DFB">
      <w:pPr>
        <w:spacing w:line="360" w:lineRule="auto"/>
        <w:rPr>
          <w:sz w:val="26"/>
          <w:szCs w:val="26"/>
        </w:rPr>
      </w:pPr>
    </w:p>
    <w:p w14:paraId="758964F8" w14:textId="77777777" w:rsidR="00E15EDD" w:rsidRPr="00D55644" w:rsidRDefault="00E15EDD" w:rsidP="006A2DFB">
      <w:pPr>
        <w:spacing w:line="360" w:lineRule="auto"/>
        <w:rPr>
          <w:sz w:val="26"/>
          <w:szCs w:val="26"/>
        </w:rPr>
      </w:pPr>
      <w:r w:rsidRPr="00D55644">
        <w:rPr>
          <w:sz w:val="26"/>
          <w:szCs w:val="26"/>
        </w:rPr>
        <w:tab/>
        <w:t>Through its Petition, NRG alleges (1) that SCB is legally permissible</w:t>
      </w:r>
      <w:r w:rsidR="00CA7B29" w:rsidRPr="00D55644">
        <w:rPr>
          <w:sz w:val="26"/>
          <w:szCs w:val="26"/>
        </w:rPr>
        <w:t xml:space="preserve"> under the Public Utility Code</w:t>
      </w:r>
      <w:r w:rsidRPr="00D55644">
        <w:rPr>
          <w:sz w:val="26"/>
          <w:szCs w:val="26"/>
        </w:rPr>
        <w:t xml:space="preserve">; (2) that it will benefit consumers by allowing them to purchase innovative products and services from EGSs and realize the full benefits of advanced metering infrastructure; (3) that it will boost competition in the electric generation market by providing an incentive for EGSs to invest in Pennsylvania; and (4) that the Commission </w:t>
      </w:r>
      <w:r w:rsidR="004A1100" w:rsidRPr="00D55644">
        <w:rPr>
          <w:sz w:val="26"/>
          <w:szCs w:val="26"/>
        </w:rPr>
        <w:t>approves of SCB and has long intended that it be part of a robust competitive retail electric market in the Commonwealth</w:t>
      </w:r>
      <w:r w:rsidR="0035645F" w:rsidRPr="00D55644">
        <w:rPr>
          <w:sz w:val="26"/>
          <w:szCs w:val="26"/>
        </w:rPr>
        <w:t>.  NRG argues</w:t>
      </w:r>
      <w:r w:rsidRPr="00D55644">
        <w:rPr>
          <w:sz w:val="26"/>
          <w:szCs w:val="26"/>
        </w:rPr>
        <w:t xml:space="preserve"> that the “joint bill”</w:t>
      </w:r>
      <w:r w:rsidR="0035645F" w:rsidRPr="00D55644">
        <w:rPr>
          <w:sz w:val="26"/>
          <w:szCs w:val="26"/>
        </w:rPr>
        <w:t xml:space="preserve"> </w:t>
      </w:r>
      <w:r w:rsidR="004A1100" w:rsidRPr="00D55644">
        <w:rPr>
          <w:sz w:val="26"/>
          <w:szCs w:val="26"/>
        </w:rPr>
        <w:t>has not had the desired effect of strengthening the relationship between the EGS and its customers</w:t>
      </w:r>
      <w:r w:rsidR="00207733" w:rsidRPr="00D55644">
        <w:rPr>
          <w:sz w:val="26"/>
          <w:szCs w:val="26"/>
        </w:rPr>
        <w:t xml:space="preserve"> or </w:t>
      </w:r>
      <w:r w:rsidR="004A1100" w:rsidRPr="00D55644">
        <w:rPr>
          <w:sz w:val="26"/>
          <w:szCs w:val="26"/>
        </w:rPr>
        <w:t>stimulating competition</w:t>
      </w:r>
      <w:r w:rsidR="0035645F" w:rsidRPr="00D55644">
        <w:rPr>
          <w:sz w:val="26"/>
          <w:szCs w:val="26"/>
        </w:rPr>
        <w:t xml:space="preserve"> because, given the modest changes made, the joint bill still appears to be an EDC bill</w:t>
      </w:r>
      <w:r w:rsidR="004A1100" w:rsidRPr="00D55644">
        <w:rPr>
          <w:sz w:val="26"/>
          <w:szCs w:val="26"/>
        </w:rPr>
        <w:t>.  As such, according to NRG, the time is now right to implement SCB.</w:t>
      </w:r>
      <w:r w:rsidR="0035645F" w:rsidRPr="00D55644">
        <w:rPr>
          <w:rStyle w:val="FootnoteReference"/>
          <w:sz w:val="26"/>
          <w:szCs w:val="26"/>
        </w:rPr>
        <w:footnoteReference w:id="15"/>
      </w:r>
    </w:p>
    <w:p w14:paraId="32F36A37" w14:textId="77777777" w:rsidR="00E15EDD" w:rsidRPr="00D55644" w:rsidRDefault="00E15EDD" w:rsidP="006A2DFB">
      <w:pPr>
        <w:spacing w:line="360" w:lineRule="auto"/>
        <w:rPr>
          <w:sz w:val="26"/>
          <w:szCs w:val="26"/>
        </w:rPr>
      </w:pPr>
    </w:p>
    <w:p w14:paraId="3F3E9E04" w14:textId="77777777" w:rsidR="005148A0" w:rsidRPr="00D55644" w:rsidRDefault="005148A0" w:rsidP="006A2DFB">
      <w:pPr>
        <w:spacing w:line="360" w:lineRule="auto"/>
        <w:rPr>
          <w:sz w:val="26"/>
          <w:szCs w:val="26"/>
        </w:rPr>
      </w:pPr>
      <w:r w:rsidRPr="00D55644">
        <w:rPr>
          <w:sz w:val="26"/>
          <w:szCs w:val="26"/>
        </w:rPr>
        <w:tab/>
      </w:r>
      <w:r w:rsidR="00CC597A" w:rsidRPr="00D55644">
        <w:rPr>
          <w:sz w:val="26"/>
          <w:szCs w:val="26"/>
        </w:rPr>
        <w:t>NRG no</w:t>
      </w:r>
      <w:r w:rsidR="00E51E21" w:rsidRPr="00D55644">
        <w:rPr>
          <w:sz w:val="26"/>
          <w:szCs w:val="26"/>
        </w:rPr>
        <w:t>tes that during the RMI,</w:t>
      </w:r>
      <w:r w:rsidR="00CC597A" w:rsidRPr="00D55644">
        <w:rPr>
          <w:sz w:val="26"/>
          <w:szCs w:val="26"/>
        </w:rPr>
        <w:t xml:space="preserve"> the Commission spoke approvingly of SCB as a tool that could be used to strengthen the relationship between EGSs and their customers, which in turn could lead to enhanced competition in the retail electric market.</w:t>
      </w:r>
      <w:r w:rsidR="0047349D" w:rsidRPr="00D55644">
        <w:rPr>
          <w:sz w:val="26"/>
          <w:szCs w:val="26"/>
        </w:rPr>
        <w:t xml:space="preserve">  </w:t>
      </w:r>
      <w:r w:rsidR="00EF6D83" w:rsidRPr="00D55644">
        <w:rPr>
          <w:sz w:val="26"/>
          <w:szCs w:val="26"/>
        </w:rPr>
        <w:t xml:space="preserve">Although NRG acknowledges that the Commission ultimately chose not to implement SCB as part of the RMI, NRG </w:t>
      </w:r>
      <w:r w:rsidR="00630C09" w:rsidRPr="00D55644">
        <w:rPr>
          <w:sz w:val="26"/>
          <w:szCs w:val="26"/>
        </w:rPr>
        <w:t>believes it was the Commission’s intention to revisit the issue at some point in the future.</w:t>
      </w:r>
      <w:r w:rsidR="00D05F59" w:rsidRPr="00D55644">
        <w:rPr>
          <w:rStyle w:val="FootnoteReference"/>
          <w:sz w:val="26"/>
          <w:szCs w:val="26"/>
        </w:rPr>
        <w:footnoteReference w:id="16"/>
      </w:r>
    </w:p>
    <w:p w14:paraId="6040D7B8" w14:textId="77777777" w:rsidR="00630C09" w:rsidRPr="00D55644" w:rsidRDefault="00630C09" w:rsidP="006A2DFB">
      <w:pPr>
        <w:spacing w:line="360" w:lineRule="auto"/>
        <w:rPr>
          <w:sz w:val="26"/>
          <w:szCs w:val="26"/>
        </w:rPr>
      </w:pPr>
    </w:p>
    <w:p w14:paraId="32A086A3" w14:textId="38CE10ED" w:rsidR="003B5418" w:rsidRDefault="003B5418" w:rsidP="006A2DFB">
      <w:pPr>
        <w:spacing w:line="360" w:lineRule="auto"/>
        <w:rPr>
          <w:sz w:val="26"/>
          <w:szCs w:val="26"/>
        </w:rPr>
      </w:pPr>
      <w:r w:rsidRPr="00D55644">
        <w:rPr>
          <w:sz w:val="26"/>
          <w:szCs w:val="26"/>
        </w:rPr>
        <w:tab/>
      </w:r>
      <w:r w:rsidR="00A354D2" w:rsidRPr="00D55644">
        <w:rPr>
          <w:sz w:val="26"/>
          <w:szCs w:val="26"/>
        </w:rPr>
        <w:t xml:space="preserve">NRG asserts that SCB was permitted </w:t>
      </w:r>
      <w:r w:rsidR="00640BFA" w:rsidRPr="00D55644">
        <w:rPr>
          <w:sz w:val="26"/>
          <w:szCs w:val="26"/>
        </w:rPr>
        <w:t>as part of several EDCs’ restructuring settlements in the late-</w:t>
      </w:r>
      <w:r w:rsidR="00207733" w:rsidRPr="00D55644">
        <w:rPr>
          <w:sz w:val="26"/>
          <w:szCs w:val="26"/>
        </w:rPr>
        <w:t>19</w:t>
      </w:r>
      <w:r w:rsidR="00640BFA" w:rsidRPr="00D55644">
        <w:rPr>
          <w:sz w:val="26"/>
          <w:szCs w:val="26"/>
        </w:rPr>
        <w:t>90s, in which the EDCs agreed to implement competitive billing options</w:t>
      </w:r>
      <w:r w:rsidR="00BC2418" w:rsidRPr="00D55644">
        <w:rPr>
          <w:sz w:val="26"/>
          <w:szCs w:val="26"/>
        </w:rPr>
        <w:t xml:space="preserve">; however, </w:t>
      </w:r>
      <w:r w:rsidR="00640BFA" w:rsidRPr="00D55644">
        <w:rPr>
          <w:sz w:val="26"/>
          <w:szCs w:val="26"/>
        </w:rPr>
        <w:t>NRG acknowledges that SCB was not implemented</w:t>
      </w:r>
      <w:r w:rsidR="00BC2418" w:rsidRPr="00D55644">
        <w:rPr>
          <w:sz w:val="26"/>
          <w:szCs w:val="26"/>
        </w:rPr>
        <w:t xml:space="preserve"> following the approval of those settlements</w:t>
      </w:r>
      <w:r w:rsidR="00640BFA" w:rsidRPr="00D55644">
        <w:rPr>
          <w:sz w:val="26"/>
          <w:szCs w:val="26"/>
        </w:rPr>
        <w:t>.</w:t>
      </w:r>
      <w:r w:rsidR="00D05F59" w:rsidRPr="00D55644">
        <w:rPr>
          <w:rStyle w:val="FootnoteReference"/>
          <w:sz w:val="26"/>
          <w:szCs w:val="26"/>
        </w:rPr>
        <w:footnoteReference w:id="17"/>
      </w:r>
    </w:p>
    <w:p w14:paraId="546C2159" w14:textId="77777777" w:rsidR="00B60C45" w:rsidRPr="00D55644" w:rsidRDefault="00B60C45" w:rsidP="006A2DFB">
      <w:pPr>
        <w:spacing w:line="360" w:lineRule="auto"/>
        <w:rPr>
          <w:sz w:val="26"/>
          <w:szCs w:val="26"/>
        </w:rPr>
      </w:pPr>
    </w:p>
    <w:p w14:paraId="38C27DCF" w14:textId="459871FA" w:rsidR="00640BFA" w:rsidRDefault="00910FA3" w:rsidP="006A2DFB">
      <w:pPr>
        <w:spacing w:line="360" w:lineRule="auto"/>
        <w:rPr>
          <w:sz w:val="26"/>
          <w:szCs w:val="26"/>
        </w:rPr>
      </w:pPr>
      <w:r w:rsidRPr="00D55644">
        <w:rPr>
          <w:sz w:val="26"/>
          <w:szCs w:val="26"/>
        </w:rPr>
        <w:tab/>
        <w:t>According to NRG, once</w:t>
      </w:r>
      <w:r w:rsidR="00640BFA" w:rsidRPr="00D55644">
        <w:rPr>
          <w:sz w:val="26"/>
          <w:szCs w:val="26"/>
        </w:rPr>
        <w:t xml:space="preserve"> rate caps began expiring in 2009, EGSs expressed a renewed intere</w:t>
      </w:r>
      <w:r w:rsidR="00F06F0B" w:rsidRPr="00D55644">
        <w:rPr>
          <w:sz w:val="26"/>
          <w:szCs w:val="26"/>
        </w:rPr>
        <w:t>st in SCB, resulting in an evaluation of</w:t>
      </w:r>
      <w:r w:rsidRPr="00D55644">
        <w:rPr>
          <w:sz w:val="26"/>
          <w:szCs w:val="26"/>
        </w:rPr>
        <w:t xml:space="preserve"> electronic data interchange</w:t>
      </w:r>
      <w:r w:rsidR="00F06F0B" w:rsidRPr="00D55644">
        <w:rPr>
          <w:sz w:val="26"/>
          <w:szCs w:val="26"/>
        </w:rPr>
        <w:t xml:space="preserve"> </w:t>
      </w:r>
      <w:r w:rsidRPr="00D55644">
        <w:rPr>
          <w:sz w:val="26"/>
          <w:szCs w:val="26"/>
        </w:rPr>
        <w:t>(</w:t>
      </w:r>
      <w:r w:rsidR="00F06F0B" w:rsidRPr="00D55644">
        <w:rPr>
          <w:sz w:val="26"/>
          <w:szCs w:val="26"/>
        </w:rPr>
        <w:t>EDI</w:t>
      </w:r>
      <w:r w:rsidRPr="00D55644">
        <w:rPr>
          <w:sz w:val="26"/>
          <w:szCs w:val="26"/>
        </w:rPr>
        <w:t>)</w:t>
      </w:r>
      <w:r w:rsidR="00F06F0B" w:rsidRPr="00D55644">
        <w:rPr>
          <w:sz w:val="26"/>
          <w:szCs w:val="26"/>
        </w:rPr>
        <w:t xml:space="preserve"> protocols</w:t>
      </w:r>
      <w:r w:rsidR="00640BFA" w:rsidRPr="00D55644">
        <w:rPr>
          <w:sz w:val="26"/>
          <w:szCs w:val="26"/>
        </w:rPr>
        <w:t xml:space="preserve"> by EDEWG.</w:t>
      </w:r>
      <w:r w:rsidR="00F06F0B" w:rsidRPr="00D55644">
        <w:rPr>
          <w:sz w:val="26"/>
          <w:szCs w:val="26"/>
        </w:rPr>
        <w:t xml:space="preserve">  During that evaluation,</w:t>
      </w:r>
      <w:r w:rsidR="00640BFA" w:rsidRPr="00D55644">
        <w:rPr>
          <w:sz w:val="26"/>
          <w:szCs w:val="26"/>
        </w:rPr>
        <w:t xml:space="preserve"> EDEWG sought guidance fro</w:t>
      </w:r>
      <w:r w:rsidR="006535DC" w:rsidRPr="00D55644">
        <w:rPr>
          <w:sz w:val="26"/>
          <w:szCs w:val="26"/>
        </w:rPr>
        <w:t>m the Commission to resolve several</w:t>
      </w:r>
      <w:r w:rsidR="00640BFA" w:rsidRPr="00D55644">
        <w:rPr>
          <w:sz w:val="26"/>
          <w:szCs w:val="26"/>
        </w:rPr>
        <w:t xml:space="preserve"> </w:t>
      </w:r>
      <w:r w:rsidR="00F06F0B" w:rsidRPr="00D55644">
        <w:rPr>
          <w:sz w:val="26"/>
          <w:szCs w:val="26"/>
        </w:rPr>
        <w:t xml:space="preserve">outstanding </w:t>
      </w:r>
      <w:r w:rsidR="00640BFA" w:rsidRPr="00D55644">
        <w:rPr>
          <w:sz w:val="26"/>
          <w:szCs w:val="26"/>
        </w:rPr>
        <w:t>po</w:t>
      </w:r>
      <w:r w:rsidR="00D05F59" w:rsidRPr="00D55644">
        <w:rPr>
          <w:sz w:val="26"/>
          <w:szCs w:val="26"/>
        </w:rPr>
        <w:t>licy questions</w:t>
      </w:r>
      <w:r w:rsidR="006535DC" w:rsidRPr="00D55644">
        <w:rPr>
          <w:sz w:val="26"/>
          <w:szCs w:val="26"/>
        </w:rPr>
        <w:t>,</w:t>
      </w:r>
      <w:r w:rsidRPr="00D55644">
        <w:rPr>
          <w:sz w:val="26"/>
          <w:szCs w:val="26"/>
        </w:rPr>
        <w:t xml:space="preserve"> which</w:t>
      </w:r>
      <w:r w:rsidR="006535DC" w:rsidRPr="00D55644">
        <w:rPr>
          <w:sz w:val="26"/>
          <w:szCs w:val="26"/>
        </w:rPr>
        <w:t xml:space="preserve"> ultimately</w:t>
      </w:r>
      <w:r w:rsidR="008C1F14" w:rsidRPr="00D55644">
        <w:rPr>
          <w:sz w:val="26"/>
          <w:szCs w:val="26"/>
        </w:rPr>
        <w:t xml:space="preserve"> were never answered.  </w:t>
      </w:r>
      <w:r w:rsidRPr="00D55644">
        <w:rPr>
          <w:sz w:val="26"/>
          <w:szCs w:val="26"/>
        </w:rPr>
        <w:t>NRG states</w:t>
      </w:r>
      <w:r w:rsidR="008C1F14" w:rsidRPr="00D55644">
        <w:rPr>
          <w:sz w:val="26"/>
          <w:szCs w:val="26"/>
        </w:rPr>
        <w:t xml:space="preserve"> the Commission’s preference</w:t>
      </w:r>
      <w:r w:rsidRPr="00D55644">
        <w:rPr>
          <w:sz w:val="26"/>
          <w:szCs w:val="26"/>
        </w:rPr>
        <w:t xml:space="preserve"> in 2011</w:t>
      </w:r>
      <w:r w:rsidR="008C1F14" w:rsidRPr="00D55644">
        <w:rPr>
          <w:sz w:val="26"/>
          <w:szCs w:val="26"/>
        </w:rPr>
        <w:t xml:space="preserve"> was for an interested party to file a petition</w:t>
      </w:r>
      <w:r w:rsidRPr="00D55644">
        <w:rPr>
          <w:sz w:val="26"/>
          <w:szCs w:val="26"/>
        </w:rPr>
        <w:t xml:space="preserve"> to further SCB.  NRG files this</w:t>
      </w:r>
      <w:r w:rsidR="00A43A7D" w:rsidRPr="00D55644">
        <w:rPr>
          <w:sz w:val="26"/>
          <w:szCs w:val="26"/>
        </w:rPr>
        <w:t xml:space="preserve"> Petition to request Commission approval of SCB as billing option in Pennsylvania’s retail electric market</w:t>
      </w:r>
      <w:r w:rsidR="008C1F14" w:rsidRPr="00D55644">
        <w:rPr>
          <w:sz w:val="26"/>
          <w:szCs w:val="26"/>
        </w:rPr>
        <w:t>.</w:t>
      </w:r>
      <w:r w:rsidR="00D05F59" w:rsidRPr="00D55644">
        <w:rPr>
          <w:rStyle w:val="FootnoteReference"/>
          <w:sz w:val="26"/>
          <w:szCs w:val="26"/>
        </w:rPr>
        <w:footnoteReference w:id="18"/>
      </w:r>
    </w:p>
    <w:p w14:paraId="04596575" w14:textId="77777777" w:rsidR="00271983" w:rsidRPr="00D55644" w:rsidRDefault="00271983" w:rsidP="006A2DFB">
      <w:pPr>
        <w:spacing w:line="360" w:lineRule="auto"/>
        <w:rPr>
          <w:sz w:val="26"/>
          <w:szCs w:val="26"/>
        </w:rPr>
      </w:pPr>
    </w:p>
    <w:p w14:paraId="1861372F" w14:textId="4E18163A" w:rsidR="008C1F14" w:rsidRPr="00D55644" w:rsidRDefault="008C1F14" w:rsidP="006A2DFB">
      <w:pPr>
        <w:spacing w:line="360" w:lineRule="auto"/>
        <w:rPr>
          <w:sz w:val="26"/>
          <w:szCs w:val="26"/>
        </w:rPr>
      </w:pPr>
      <w:r w:rsidRPr="00D55644">
        <w:rPr>
          <w:sz w:val="26"/>
          <w:szCs w:val="26"/>
        </w:rPr>
        <w:tab/>
      </w:r>
      <w:r w:rsidR="00910FA3" w:rsidRPr="00D55644">
        <w:rPr>
          <w:sz w:val="26"/>
          <w:szCs w:val="26"/>
        </w:rPr>
        <w:t>NRG contends</w:t>
      </w:r>
      <w:r w:rsidR="00724E34" w:rsidRPr="00D55644">
        <w:rPr>
          <w:sz w:val="26"/>
          <w:szCs w:val="26"/>
        </w:rPr>
        <w:t xml:space="preserve"> that despite the changes implemented pursuant to the Commission’s RMI, competition in Pennsylvania’s retail electric market </w:t>
      </w:r>
      <w:r w:rsidR="00910FA3" w:rsidRPr="00D55644">
        <w:rPr>
          <w:sz w:val="26"/>
          <w:szCs w:val="26"/>
        </w:rPr>
        <w:t>remains</w:t>
      </w:r>
      <w:r w:rsidR="00724E34" w:rsidRPr="00D55644">
        <w:rPr>
          <w:sz w:val="26"/>
          <w:szCs w:val="26"/>
        </w:rPr>
        <w:t xml:space="preserve"> stagnant.  </w:t>
      </w:r>
      <w:r w:rsidR="00E348E4">
        <w:rPr>
          <w:sz w:val="26"/>
          <w:szCs w:val="26"/>
        </w:rPr>
        <w:t>SCB</w:t>
      </w:r>
      <w:r w:rsidR="00724E34" w:rsidRPr="00D55644">
        <w:rPr>
          <w:sz w:val="26"/>
          <w:szCs w:val="26"/>
        </w:rPr>
        <w:t xml:space="preserve">, according to NRG, is a workable plan to improve the competitive market. </w:t>
      </w:r>
      <w:r w:rsidR="00910FA3" w:rsidRPr="00D55644">
        <w:rPr>
          <w:sz w:val="26"/>
          <w:szCs w:val="26"/>
        </w:rPr>
        <w:t xml:space="preserve"> </w:t>
      </w:r>
      <w:r w:rsidR="00724E34" w:rsidRPr="00D55644">
        <w:rPr>
          <w:sz w:val="26"/>
          <w:szCs w:val="26"/>
        </w:rPr>
        <w:t xml:space="preserve">NRG </w:t>
      </w:r>
      <w:r w:rsidR="00117384" w:rsidRPr="00D55644">
        <w:rPr>
          <w:sz w:val="26"/>
          <w:szCs w:val="26"/>
        </w:rPr>
        <w:t xml:space="preserve">proposed </w:t>
      </w:r>
      <w:r w:rsidR="00724E34" w:rsidRPr="00D55644">
        <w:rPr>
          <w:sz w:val="26"/>
          <w:szCs w:val="26"/>
        </w:rPr>
        <w:t xml:space="preserve">a timeline for implementation of SCB </w:t>
      </w:r>
      <w:r w:rsidR="00577869" w:rsidRPr="00D55644">
        <w:rPr>
          <w:sz w:val="26"/>
          <w:szCs w:val="26"/>
        </w:rPr>
        <w:t xml:space="preserve">beginning with publication of its Petition in the </w:t>
      </w:r>
      <w:r w:rsidR="00577869" w:rsidRPr="00D55644">
        <w:rPr>
          <w:i/>
          <w:sz w:val="26"/>
          <w:szCs w:val="26"/>
        </w:rPr>
        <w:t xml:space="preserve">Pennsylvania Bulletin </w:t>
      </w:r>
      <w:r w:rsidR="00577869" w:rsidRPr="00D55644">
        <w:rPr>
          <w:sz w:val="26"/>
          <w:szCs w:val="26"/>
        </w:rPr>
        <w:t xml:space="preserve">on </w:t>
      </w:r>
      <w:r w:rsidR="00B60C45" w:rsidRPr="00D55644">
        <w:rPr>
          <w:sz w:val="26"/>
          <w:szCs w:val="26"/>
        </w:rPr>
        <w:t>December 24, 2016 and</w:t>
      </w:r>
      <w:r w:rsidR="00577869" w:rsidRPr="00D55644">
        <w:rPr>
          <w:sz w:val="26"/>
          <w:szCs w:val="26"/>
        </w:rPr>
        <w:t xml:space="preserve"> ending with implementation in the second quarter of 2018.</w:t>
      </w:r>
      <w:r w:rsidR="002A1AF2" w:rsidRPr="00D55644">
        <w:rPr>
          <w:rStyle w:val="FootnoteReference"/>
          <w:sz w:val="26"/>
          <w:szCs w:val="26"/>
        </w:rPr>
        <w:footnoteReference w:id="19"/>
      </w:r>
    </w:p>
    <w:p w14:paraId="648EB667" w14:textId="77777777" w:rsidR="00577869" w:rsidRPr="00D55644" w:rsidRDefault="00577869" w:rsidP="006A2DFB">
      <w:pPr>
        <w:spacing w:line="360" w:lineRule="auto"/>
        <w:rPr>
          <w:sz w:val="26"/>
          <w:szCs w:val="26"/>
        </w:rPr>
      </w:pPr>
    </w:p>
    <w:p w14:paraId="51F86D53" w14:textId="77777777" w:rsidR="00577869" w:rsidRPr="00D55644" w:rsidRDefault="00577869" w:rsidP="006A2DFB">
      <w:pPr>
        <w:spacing w:line="360" w:lineRule="auto"/>
        <w:rPr>
          <w:sz w:val="26"/>
          <w:szCs w:val="26"/>
        </w:rPr>
      </w:pPr>
      <w:r w:rsidRPr="00D55644">
        <w:rPr>
          <w:sz w:val="26"/>
          <w:szCs w:val="26"/>
        </w:rPr>
        <w:tab/>
      </w:r>
      <w:r w:rsidR="00E40B96" w:rsidRPr="00D55644">
        <w:rPr>
          <w:sz w:val="26"/>
          <w:szCs w:val="26"/>
        </w:rPr>
        <w:t>NRG further contends</w:t>
      </w:r>
      <w:r w:rsidR="00C13B2B" w:rsidRPr="00D55644">
        <w:rPr>
          <w:sz w:val="26"/>
          <w:szCs w:val="26"/>
        </w:rPr>
        <w:t xml:space="preserve"> that evidentiary hearings before the Commission’s Office of Administrative Law Judge (OALJ) are unnecessary because no material issues of fact are presented by its Petition.  NRG proposes that any disputes regarding its factual assertions be addressed </w:t>
      </w:r>
      <w:r w:rsidR="00270377" w:rsidRPr="00D55644">
        <w:rPr>
          <w:sz w:val="26"/>
          <w:szCs w:val="26"/>
        </w:rPr>
        <w:t xml:space="preserve">through </w:t>
      </w:r>
      <w:r w:rsidR="00C13B2B" w:rsidRPr="00D55644">
        <w:rPr>
          <w:sz w:val="26"/>
          <w:szCs w:val="26"/>
        </w:rPr>
        <w:t>written comments and replies</w:t>
      </w:r>
      <w:r w:rsidR="00270377" w:rsidRPr="00D55644">
        <w:rPr>
          <w:sz w:val="26"/>
          <w:szCs w:val="26"/>
        </w:rPr>
        <w:t>.  NRG asserts that the questions the Commission must answer to proceed with SCB implementation are legal and policy in nature</w:t>
      </w:r>
      <w:r w:rsidR="001B11DF" w:rsidRPr="00D55644">
        <w:rPr>
          <w:sz w:val="26"/>
          <w:szCs w:val="26"/>
        </w:rPr>
        <w:t>,</w:t>
      </w:r>
      <w:r w:rsidR="00270377" w:rsidRPr="00D55644">
        <w:rPr>
          <w:sz w:val="26"/>
          <w:szCs w:val="26"/>
        </w:rPr>
        <w:t xml:space="preserve"> the types of questions the Commission regularly address through the written comment and reply process.</w:t>
      </w:r>
      <w:r w:rsidR="00023CBA" w:rsidRPr="00D55644">
        <w:rPr>
          <w:sz w:val="26"/>
          <w:szCs w:val="26"/>
        </w:rPr>
        <w:t xml:space="preserve">  NRG goes on to assert that any parties who request hearings on the Petition are doing so simply to delay the implementation of SCB.</w:t>
      </w:r>
      <w:r w:rsidR="002A1AF2" w:rsidRPr="00D55644">
        <w:rPr>
          <w:rStyle w:val="FootnoteReference"/>
          <w:sz w:val="26"/>
          <w:szCs w:val="26"/>
        </w:rPr>
        <w:footnoteReference w:id="20"/>
      </w:r>
    </w:p>
    <w:p w14:paraId="4E9EDAD6" w14:textId="77777777" w:rsidR="00023CBA" w:rsidRPr="006E0EAA" w:rsidRDefault="00D515A0" w:rsidP="006C5132">
      <w:pPr>
        <w:tabs>
          <w:tab w:val="left" w:pos="720"/>
        </w:tabs>
        <w:spacing w:line="360" w:lineRule="auto"/>
        <w:ind w:left="720" w:hanging="720"/>
        <w:rPr>
          <w:b/>
          <w:sz w:val="26"/>
          <w:szCs w:val="26"/>
        </w:rPr>
      </w:pPr>
      <w:r w:rsidRPr="006E0EAA">
        <w:rPr>
          <w:b/>
          <w:sz w:val="26"/>
          <w:szCs w:val="26"/>
        </w:rPr>
        <w:t>B.</w:t>
      </w:r>
      <w:r w:rsidRPr="006E0EAA">
        <w:rPr>
          <w:b/>
          <w:sz w:val="26"/>
          <w:szCs w:val="26"/>
        </w:rPr>
        <w:tab/>
      </w:r>
      <w:r w:rsidR="0067506A" w:rsidRPr="006E0EAA">
        <w:rPr>
          <w:b/>
          <w:sz w:val="26"/>
          <w:szCs w:val="26"/>
        </w:rPr>
        <w:t>Supplier Consolidated Billing</w:t>
      </w:r>
      <w:r w:rsidR="006C5132">
        <w:rPr>
          <w:b/>
          <w:sz w:val="26"/>
          <w:szCs w:val="26"/>
        </w:rPr>
        <w:t xml:space="preserve"> (SCB</w:t>
      </w:r>
      <w:r w:rsidR="0067506A" w:rsidRPr="006E0EAA">
        <w:rPr>
          <w:b/>
          <w:sz w:val="26"/>
          <w:szCs w:val="26"/>
        </w:rPr>
        <w:t>)</w:t>
      </w:r>
    </w:p>
    <w:p w14:paraId="3F3E3050" w14:textId="5F165644" w:rsidR="00D515A0" w:rsidRPr="00D55644" w:rsidRDefault="00D515A0" w:rsidP="00D515A0">
      <w:pPr>
        <w:spacing w:line="360" w:lineRule="auto"/>
        <w:rPr>
          <w:sz w:val="26"/>
          <w:szCs w:val="26"/>
        </w:rPr>
      </w:pPr>
      <w:r w:rsidRPr="00D55644">
        <w:rPr>
          <w:sz w:val="26"/>
          <w:szCs w:val="26"/>
        </w:rPr>
        <w:tab/>
        <w:t>NRG proposes that the Commission adopt a comprehensive plan ensuring uniformity in the operation of SCB and that consumer protection regulations are followed by all participants, with implementation by the second quarter of 2018.</w:t>
      </w:r>
      <w:r w:rsidR="001B11DF" w:rsidRPr="00D55644">
        <w:rPr>
          <w:rStyle w:val="FootnoteReference"/>
          <w:sz w:val="26"/>
          <w:szCs w:val="26"/>
        </w:rPr>
        <w:footnoteReference w:id="21"/>
      </w:r>
      <w:r w:rsidRPr="00D55644">
        <w:rPr>
          <w:sz w:val="26"/>
          <w:szCs w:val="26"/>
        </w:rPr>
        <w:t xml:space="preserve">  An EGS </w:t>
      </w:r>
      <w:r w:rsidR="006A5D31" w:rsidRPr="00D55644">
        <w:rPr>
          <w:sz w:val="26"/>
          <w:szCs w:val="26"/>
        </w:rPr>
        <w:t>choosing to offer SCB</w:t>
      </w:r>
      <w:r w:rsidRPr="00D55644">
        <w:rPr>
          <w:sz w:val="26"/>
          <w:szCs w:val="26"/>
        </w:rPr>
        <w:t xml:space="preserve"> would bill and collect from the customer for both its generation </w:t>
      </w:r>
      <w:r w:rsidR="009A6678">
        <w:rPr>
          <w:sz w:val="26"/>
          <w:szCs w:val="26"/>
        </w:rPr>
        <w:t xml:space="preserve">and transmission </w:t>
      </w:r>
      <w:r w:rsidRPr="00D55644">
        <w:rPr>
          <w:sz w:val="26"/>
          <w:szCs w:val="26"/>
        </w:rPr>
        <w:t>charges</w:t>
      </w:r>
      <w:r w:rsidR="00CD2B37">
        <w:rPr>
          <w:sz w:val="26"/>
          <w:szCs w:val="26"/>
        </w:rPr>
        <w:t xml:space="preserve">, </w:t>
      </w:r>
      <w:r w:rsidR="009A6678">
        <w:rPr>
          <w:sz w:val="26"/>
          <w:szCs w:val="26"/>
        </w:rPr>
        <w:t>as well as</w:t>
      </w:r>
      <w:r w:rsidRPr="00D55644">
        <w:rPr>
          <w:sz w:val="26"/>
          <w:szCs w:val="26"/>
        </w:rPr>
        <w:t xml:space="preserve"> the EDC’s distribution charges</w:t>
      </w:r>
      <w:r w:rsidR="00E74164" w:rsidRPr="00D55644">
        <w:rPr>
          <w:sz w:val="26"/>
          <w:szCs w:val="26"/>
        </w:rPr>
        <w:t>, and it w</w:t>
      </w:r>
      <w:r w:rsidR="00266A03" w:rsidRPr="00D55644">
        <w:rPr>
          <w:sz w:val="26"/>
          <w:szCs w:val="26"/>
        </w:rPr>
        <w:t>ould be required to purchase the full value of the EDC’s receivables</w:t>
      </w:r>
      <w:r w:rsidR="001B11DF" w:rsidRPr="00D55644">
        <w:rPr>
          <w:sz w:val="26"/>
          <w:szCs w:val="26"/>
        </w:rPr>
        <w:t xml:space="preserve"> within a Commission-approved timeframe</w:t>
      </w:r>
      <w:r w:rsidR="00266A03" w:rsidRPr="00D55644">
        <w:rPr>
          <w:sz w:val="26"/>
          <w:szCs w:val="26"/>
        </w:rPr>
        <w:t>.  In other words, the EGS would keep none of the EDC’s receivables as an administrative</w:t>
      </w:r>
      <w:r w:rsidR="004C105F" w:rsidRPr="00D55644">
        <w:rPr>
          <w:sz w:val="26"/>
          <w:szCs w:val="26"/>
        </w:rPr>
        <w:t xml:space="preserve"> or </w:t>
      </w:r>
      <w:r w:rsidR="000A41AE" w:rsidRPr="00D55644">
        <w:rPr>
          <w:sz w:val="26"/>
          <w:szCs w:val="26"/>
        </w:rPr>
        <w:t>billing</w:t>
      </w:r>
      <w:r w:rsidR="00266A03" w:rsidRPr="00D55644">
        <w:rPr>
          <w:sz w:val="26"/>
          <w:szCs w:val="26"/>
        </w:rPr>
        <w:t xml:space="preserve"> </w:t>
      </w:r>
      <w:r w:rsidR="004C105F" w:rsidRPr="00D55644">
        <w:rPr>
          <w:sz w:val="26"/>
          <w:szCs w:val="26"/>
        </w:rPr>
        <w:t xml:space="preserve">fee.  </w:t>
      </w:r>
      <w:r w:rsidR="00266A03" w:rsidRPr="00D55644">
        <w:rPr>
          <w:sz w:val="26"/>
          <w:szCs w:val="26"/>
        </w:rPr>
        <w:t xml:space="preserve">The EGS would then be responsible for collecting the money from the customer, </w:t>
      </w:r>
      <w:r w:rsidR="00D37624" w:rsidRPr="00D55644">
        <w:rPr>
          <w:sz w:val="26"/>
          <w:szCs w:val="26"/>
        </w:rPr>
        <w:t>assuming</w:t>
      </w:r>
      <w:r w:rsidR="00266A03" w:rsidRPr="00D55644">
        <w:rPr>
          <w:sz w:val="26"/>
          <w:szCs w:val="26"/>
        </w:rPr>
        <w:t xml:space="preserve"> the risk of bad debts</w:t>
      </w:r>
      <w:r w:rsidR="00F0610E" w:rsidRPr="00D55644">
        <w:rPr>
          <w:sz w:val="26"/>
          <w:szCs w:val="26"/>
        </w:rPr>
        <w:t xml:space="preserve"> the EDC</w:t>
      </w:r>
      <w:r w:rsidR="000673C2" w:rsidRPr="00D55644">
        <w:rPr>
          <w:sz w:val="26"/>
          <w:szCs w:val="26"/>
        </w:rPr>
        <w:t xml:space="preserve"> alone</w:t>
      </w:r>
      <w:r w:rsidR="00627DED" w:rsidRPr="00D55644">
        <w:rPr>
          <w:sz w:val="26"/>
          <w:szCs w:val="26"/>
        </w:rPr>
        <w:t xml:space="preserve"> </w:t>
      </w:r>
      <w:r w:rsidR="001B11DF" w:rsidRPr="00D55644">
        <w:rPr>
          <w:sz w:val="26"/>
          <w:szCs w:val="26"/>
        </w:rPr>
        <w:t xml:space="preserve">currently </w:t>
      </w:r>
      <w:r w:rsidR="000673C2" w:rsidRPr="00D55644">
        <w:rPr>
          <w:sz w:val="26"/>
          <w:szCs w:val="26"/>
        </w:rPr>
        <w:t>bears</w:t>
      </w:r>
      <w:r w:rsidR="00F0610E" w:rsidRPr="00D55644">
        <w:rPr>
          <w:sz w:val="26"/>
          <w:szCs w:val="26"/>
        </w:rPr>
        <w:t xml:space="preserve"> under UCB</w:t>
      </w:r>
      <w:r w:rsidR="00266A03" w:rsidRPr="00D55644">
        <w:rPr>
          <w:sz w:val="26"/>
          <w:szCs w:val="26"/>
        </w:rPr>
        <w:t>.</w:t>
      </w:r>
      <w:r w:rsidR="00387F78" w:rsidRPr="00D55644">
        <w:rPr>
          <w:sz w:val="26"/>
          <w:szCs w:val="26"/>
        </w:rPr>
        <w:t xml:space="preserve">  NRG believes that the entities in competition with each other—the EGSs—should bear that risk, not the regulated utility providing a tariffed service.</w:t>
      </w:r>
      <w:r w:rsidR="002A1AF2" w:rsidRPr="00D55644">
        <w:rPr>
          <w:rStyle w:val="FootnoteReference"/>
          <w:sz w:val="26"/>
          <w:szCs w:val="26"/>
        </w:rPr>
        <w:footnoteReference w:id="22"/>
      </w:r>
    </w:p>
    <w:p w14:paraId="4FD04E78" w14:textId="77777777" w:rsidR="00266A03" w:rsidRPr="00D55644" w:rsidRDefault="00266A03" w:rsidP="00D515A0">
      <w:pPr>
        <w:spacing w:line="360" w:lineRule="auto"/>
        <w:rPr>
          <w:sz w:val="26"/>
          <w:szCs w:val="26"/>
        </w:rPr>
      </w:pPr>
    </w:p>
    <w:p w14:paraId="055F3088" w14:textId="77777777" w:rsidR="00F950A6" w:rsidRPr="00D55644" w:rsidRDefault="00266A03" w:rsidP="00D515A0">
      <w:pPr>
        <w:spacing w:line="360" w:lineRule="auto"/>
        <w:rPr>
          <w:sz w:val="26"/>
          <w:szCs w:val="26"/>
        </w:rPr>
      </w:pPr>
      <w:r w:rsidRPr="00D55644">
        <w:rPr>
          <w:sz w:val="26"/>
          <w:szCs w:val="26"/>
        </w:rPr>
        <w:tab/>
        <w:t xml:space="preserve">NRG claims that it would comply with all consumer protection standards, </w:t>
      </w:r>
      <w:r w:rsidR="00A0677E" w:rsidRPr="00D55644">
        <w:rPr>
          <w:sz w:val="26"/>
          <w:szCs w:val="26"/>
        </w:rPr>
        <w:t xml:space="preserve">including billing practices for residential service set forth in Chapter 56 of the Commission’s regulations.  </w:t>
      </w:r>
      <w:r w:rsidR="00A0677E" w:rsidRPr="00D55644">
        <w:rPr>
          <w:i/>
          <w:sz w:val="26"/>
          <w:szCs w:val="26"/>
        </w:rPr>
        <w:t>See</w:t>
      </w:r>
      <w:r w:rsidR="00A0677E" w:rsidRPr="00D55644">
        <w:rPr>
          <w:sz w:val="26"/>
          <w:szCs w:val="26"/>
        </w:rPr>
        <w:t xml:space="preserve"> 52 Pa. Code, Chapter 56.  </w:t>
      </w:r>
      <w:r w:rsidR="000D65F3" w:rsidRPr="00D55644">
        <w:rPr>
          <w:sz w:val="26"/>
          <w:szCs w:val="26"/>
        </w:rPr>
        <w:t xml:space="preserve">Under NRG’s proposal, the EDC would remain responsible for physically terminating service to delinquent customers, consistent with Commission regulations. </w:t>
      </w:r>
      <w:r w:rsidR="00A0677E" w:rsidRPr="00D55644">
        <w:rPr>
          <w:sz w:val="26"/>
          <w:szCs w:val="26"/>
        </w:rPr>
        <w:t xml:space="preserve"> </w:t>
      </w:r>
      <w:r w:rsidR="000D65F3" w:rsidRPr="00D55644">
        <w:rPr>
          <w:sz w:val="26"/>
          <w:szCs w:val="26"/>
        </w:rPr>
        <w:t>The EGS would instruct the EDC to terminate service when termination is permitted.</w:t>
      </w:r>
      <w:r w:rsidR="00743569" w:rsidRPr="00D55644">
        <w:rPr>
          <w:sz w:val="26"/>
          <w:szCs w:val="26"/>
        </w:rPr>
        <w:t xml:space="preserve">  If the EDC </w:t>
      </w:r>
      <w:r w:rsidR="001B11DF" w:rsidRPr="00D55644">
        <w:rPr>
          <w:sz w:val="26"/>
          <w:szCs w:val="26"/>
        </w:rPr>
        <w:t xml:space="preserve">did </w:t>
      </w:r>
      <w:r w:rsidR="00743569" w:rsidRPr="00D55644">
        <w:rPr>
          <w:sz w:val="26"/>
          <w:szCs w:val="26"/>
        </w:rPr>
        <w:t>not terminate service to a customer on a timely basis, NRG proposes that the EGS not pay the EDC its “delivery charges” for</w:t>
      </w:r>
      <w:r w:rsidR="00E7507D" w:rsidRPr="00D55644">
        <w:rPr>
          <w:sz w:val="26"/>
          <w:szCs w:val="26"/>
        </w:rPr>
        <w:t xml:space="preserve"> subsequent service provided to</w:t>
      </w:r>
      <w:r w:rsidR="00743569" w:rsidRPr="00D55644">
        <w:rPr>
          <w:sz w:val="26"/>
          <w:szCs w:val="26"/>
        </w:rPr>
        <w:t xml:space="preserve"> that customer.</w:t>
      </w:r>
      <w:r w:rsidR="002A1AF2" w:rsidRPr="00D55644">
        <w:rPr>
          <w:rStyle w:val="FootnoteReference"/>
          <w:sz w:val="26"/>
          <w:szCs w:val="26"/>
        </w:rPr>
        <w:footnoteReference w:id="23"/>
      </w:r>
    </w:p>
    <w:p w14:paraId="2FD58A34" w14:textId="77777777" w:rsidR="00F950A6" w:rsidRPr="00D55644" w:rsidRDefault="00F950A6" w:rsidP="00D515A0">
      <w:pPr>
        <w:spacing w:line="360" w:lineRule="auto"/>
        <w:rPr>
          <w:sz w:val="26"/>
          <w:szCs w:val="26"/>
        </w:rPr>
      </w:pPr>
    </w:p>
    <w:p w14:paraId="2E23BA98" w14:textId="77777777" w:rsidR="00266A03" w:rsidRPr="00D55644" w:rsidRDefault="00F950A6" w:rsidP="00D515A0">
      <w:pPr>
        <w:spacing w:line="360" w:lineRule="auto"/>
        <w:rPr>
          <w:sz w:val="26"/>
          <w:szCs w:val="26"/>
        </w:rPr>
      </w:pPr>
      <w:r w:rsidRPr="00D55644">
        <w:rPr>
          <w:sz w:val="26"/>
          <w:szCs w:val="26"/>
        </w:rPr>
        <w:tab/>
      </w:r>
      <w:r w:rsidR="00743569" w:rsidRPr="00D55644">
        <w:rPr>
          <w:sz w:val="26"/>
          <w:szCs w:val="26"/>
        </w:rPr>
        <w:t xml:space="preserve">NRG believes that EGSs </w:t>
      </w:r>
      <w:r w:rsidR="001B11DF" w:rsidRPr="00D55644">
        <w:rPr>
          <w:sz w:val="26"/>
          <w:szCs w:val="26"/>
        </w:rPr>
        <w:t xml:space="preserve">utilizing </w:t>
      </w:r>
      <w:r w:rsidR="00743569" w:rsidRPr="00D55644">
        <w:rPr>
          <w:sz w:val="26"/>
          <w:szCs w:val="26"/>
        </w:rPr>
        <w:t xml:space="preserve">SCB should be permitted to initiate the termination of a non-paying customer’s service under </w:t>
      </w:r>
      <w:r w:rsidR="00385424" w:rsidRPr="00D55644">
        <w:rPr>
          <w:sz w:val="26"/>
          <w:szCs w:val="26"/>
        </w:rPr>
        <w:t xml:space="preserve">66 Pa. C.S. Chapter 14 </w:t>
      </w:r>
      <w:r w:rsidR="00B22EE9" w:rsidRPr="00D55644">
        <w:rPr>
          <w:sz w:val="26"/>
          <w:szCs w:val="26"/>
        </w:rPr>
        <w:t>as</w:t>
      </w:r>
      <w:r w:rsidR="00385424" w:rsidRPr="00D55644">
        <w:rPr>
          <w:sz w:val="26"/>
          <w:szCs w:val="26"/>
        </w:rPr>
        <w:t xml:space="preserve"> an EDC can</w:t>
      </w:r>
      <w:r w:rsidR="00B22EE9" w:rsidRPr="00D55644">
        <w:rPr>
          <w:sz w:val="26"/>
          <w:szCs w:val="26"/>
        </w:rPr>
        <w:t xml:space="preserve"> under UCB</w:t>
      </w:r>
      <w:r w:rsidR="00385424" w:rsidRPr="00D55644">
        <w:rPr>
          <w:sz w:val="26"/>
          <w:szCs w:val="26"/>
        </w:rPr>
        <w:t xml:space="preserve">.  NRG argues that the purpose of Chapter 14 is to prevent customers who </w:t>
      </w:r>
      <w:r w:rsidR="00DB0933" w:rsidRPr="00D55644">
        <w:rPr>
          <w:sz w:val="26"/>
          <w:szCs w:val="26"/>
        </w:rPr>
        <w:t>can</w:t>
      </w:r>
      <w:r w:rsidR="00385424" w:rsidRPr="00D55644">
        <w:rPr>
          <w:sz w:val="26"/>
          <w:szCs w:val="26"/>
        </w:rPr>
        <w:t xml:space="preserve"> pay their electric bills from avoiding payment.  </w:t>
      </w:r>
      <w:r w:rsidR="002302C1" w:rsidRPr="00D55644">
        <w:rPr>
          <w:sz w:val="26"/>
          <w:szCs w:val="26"/>
        </w:rPr>
        <w:t xml:space="preserve">To implement SCB, </w:t>
      </w:r>
      <w:r w:rsidR="00385424" w:rsidRPr="00D55644">
        <w:rPr>
          <w:sz w:val="26"/>
          <w:szCs w:val="26"/>
        </w:rPr>
        <w:t xml:space="preserve">EGSs need the ability to order a termination of service or they will not be able to manage their bad debts and </w:t>
      </w:r>
      <w:r w:rsidR="00585464" w:rsidRPr="00D55644">
        <w:rPr>
          <w:sz w:val="26"/>
          <w:szCs w:val="26"/>
        </w:rPr>
        <w:t>will not have a meaningful way</w:t>
      </w:r>
      <w:r w:rsidR="00385424" w:rsidRPr="00D55644">
        <w:rPr>
          <w:sz w:val="26"/>
          <w:szCs w:val="26"/>
        </w:rPr>
        <w:t xml:space="preserve"> to collect unpaid amounts from delinquent customers.</w:t>
      </w:r>
      <w:r w:rsidR="002A1AF2" w:rsidRPr="00D55644">
        <w:rPr>
          <w:rStyle w:val="FootnoteReference"/>
          <w:sz w:val="26"/>
          <w:szCs w:val="26"/>
        </w:rPr>
        <w:footnoteReference w:id="24"/>
      </w:r>
    </w:p>
    <w:p w14:paraId="2BBA1A8F" w14:textId="77777777" w:rsidR="00C35CB9" w:rsidRPr="00D55644" w:rsidRDefault="00C35CB9" w:rsidP="00D515A0">
      <w:pPr>
        <w:spacing w:line="360" w:lineRule="auto"/>
        <w:rPr>
          <w:sz w:val="26"/>
          <w:szCs w:val="26"/>
        </w:rPr>
      </w:pPr>
    </w:p>
    <w:p w14:paraId="1D99A26A" w14:textId="77777777" w:rsidR="00C35CB9" w:rsidRPr="00D55644" w:rsidRDefault="00C35CB9" w:rsidP="00D515A0">
      <w:pPr>
        <w:spacing w:line="360" w:lineRule="auto"/>
        <w:rPr>
          <w:sz w:val="26"/>
          <w:szCs w:val="26"/>
        </w:rPr>
      </w:pPr>
      <w:r w:rsidRPr="00D55644">
        <w:rPr>
          <w:sz w:val="26"/>
          <w:szCs w:val="26"/>
        </w:rPr>
        <w:tab/>
      </w:r>
      <w:r w:rsidR="00180816" w:rsidRPr="00D55644">
        <w:rPr>
          <w:sz w:val="26"/>
          <w:szCs w:val="26"/>
        </w:rPr>
        <w:t xml:space="preserve">To guarantee consumer protections, NRG proposes that EGSs offering SCB meet more stringent financial security requirements and demonstrate technical expertise in billing and related functions to maintain their licenses.  </w:t>
      </w:r>
      <w:r w:rsidR="0020058E" w:rsidRPr="00D55644">
        <w:rPr>
          <w:sz w:val="26"/>
          <w:szCs w:val="26"/>
        </w:rPr>
        <w:t>Those standards could include</w:t>
      </w:r>
      <w:r w:rsidR="002302C1" w:rsidRPr="00D55644">
        <w:rPr>
          <w:sz w:val="26"/>
          <w:szCs w:val="26"/>
        </w:rPr>
        <w:t xml:space="preserve">: </w:t>
      </w:r>
      <w:r w:rsidR="0020058E" w:rsidRPr="00D55644">
        <w:rPr>
          <w:sz w:val="26"/>
          <w:szCs w:val="26"/>
        </w:rPr>
        <w:t xml:space="preserve"> </w:t>
      </w:r>
      <w:r w:rsidR="002302C1" w:rsidRPr="00D55644">
        <w:rPr>
          <w:sz w:val="26"/>
          <w:szCs w:val="26"/>
        </w:rPr>
        <w:t>(1) </w:t>
      </w:r>
      <w:r w:rsidR="0020058E" w:rsidRPr="00D55644">
        <w:rPr>
          <w:sz w:val="26"/>
          <w:szCs w:val="26"/>
        </w:rPr>
        <w:t xml:space="preserve">posting minimum financial security; </w:t>
      </w:r>
      <w:r w:rsidR="002302C1" w:rsidRPr="00D55644">
        <w:rPr>
          <w:sz w:val="26"/>
          <w:szCs w:val="26"/>
        </w:rPr>
        <w:t>(2) </w:t>
      </w:r>
      <w:r w:rsidR="0020058E" w:rsidRPr="00D55644">
        <w:rPr>
          <w:sz w:val="26"/>
          <w:szCs w:val="26"/>
        </w:rPr>
        <w:t>a requirement that the EGS has operated a minimum number of years</w:t>
      </w:r>
      <w:r w:rsidR="00180816" w:rsidRPr="00D55644">
        <w:rPr>
          <w:sz w:val="26"/>
          <w:szCs w:val="26"/>
        </w:rPr>
        <w:t xml:space="preserve"> </w:t>
      </w:r>
      <w:r w:rsidR="0020058E" w:rsidRPr="00D55644">
        <w:rPr>
          <w:sz w:val="26"/>
          <w:szCs w:val="26"/>
        </w:rPr>
        <w:t xml:space="preserve">in Pennsylvania and/or other competitive electricity markets; </w:t>
      </w:r>
      <w:r w:rsidR="002302C1" w:rsidRPr="00D55644">
        <w:rPr>
          <w:sz w:val="26"/>
          <w:szCs w:val="26"/>
        </w:rPr>
        <w:t>(3) </w:t>
      </w:r>
      <w:r w:rsidR="0020058E" w:rsidRPr="00D55644">
        <w:rPr>
          <w:sz w:val="26"/>
          <w:szCs w:val="26"/>
        </w:rPr>
        <w:t xml:space="preserve">a requirement that the EGS has not defaulted on a power supply contract for a minimum number of years; </w:t>
      </w:r>
      <w:r w:rsidR="002302C1" w:rsidRPr="00D55644">
        <w:rPr>
          <w:sz w:val="26"/>
          <w:szCs w:val="26"/>
        </w:rPr>
        <w:t>(4) </w:t>
      </w:r>
      <w:r w:rsidR="0020058E" w:rsidRPr="00D55644">
        <w:rPr>
          <w:sz w:val="26"/>
          <w:szCs w:val="26"/>
        </w:rPr>
        <w:t xml:space="preserve">a requirement that the EGS maintain a local office in Pennsylvania; </w:t>
      </w:r>
      <w:r w:rsidR="002302C1" w:rsidRPr="00D55644">
        <w:rPr>
          <w:sz w:val="26"/>
          <w:szCs w:val="26"/>
        </w:rPr>
        <w:t>(5) </w:t>
      </w:r>
      <w:r w:rsidR="0020058E" w:rsidRPr="00D55644">
        <w:rPr>
          <w:sz w:val="26"/>
          <w:szCs w:val="26"/>
        </w:rPr>
        <w:t xml:space="preserve">a requirement that the EGS have experience serving a minimum number of residential customers; and </w:t>
      </w:r>
      <w:r w:rsidR="002302C1" w:rsidRPr="00D55644">
        <w:rPr>
          <w:sz w:val="26"/>
          <w:szCs w:val="26"/>
        </w:rPr>
        <w:t>(6) </w:t>
      </w:r>
      <w:r w:rsidR="0020058E" w:rsidRPr="00D55644">
        <w:rPr>
          <w:sz w:val="26"/>
          <w:szCs w:val="26"/>
        </w:rPr>
        <w:t>a requirement that the EGS have experience with billing,</w:t>
      </w:r>
      <w:r w:rsidR="002E2872" w:rsidRPr="00D55644">
        <w:rPr>
          <w:sz w:val="26"/>
          <w:szCs w:val="26"/>
        </w:rPr>
        <w:t xml:space="preserve"> collections, and handling customer service calls.</w:t>
      </w:r>
      <w:r w:rsidR="002A1AF2" w:rsidRPr="00D55644">
        <w:rPr>
          <w:rStyle w:val="FootnoteReference"/>
          <w:sz w:val="26"/>
          <w:szCs w:val="26"/>
        </w:rPr>
        <w:footnoteReference w:id="25"/>
      </w:r>
    </w:p>
    <w:p w14:paraId="29F87468" w14:textId="77777777" w:rsidR="00293AD4" w:rsidRPr="00D55644" w:rsidRDefault="00293AD4" w:rsidP="00D515A0">
      <w:pPr>
        <w:spacing w:line="360" w:lineRule="auto"/>
        <w:rPr>
          <w:sz w:val="26"/>
          <w:szCs w:val="26"/>
        </w:rPr>
      </w:pPr>
    </w:p>
    <w:p w14:paraId="3B968097" w14:textId="77777777" w:rsidR="00293AD4" w:rsidRPr="00D55644" w:rsidRDefault="00293AD4" w:rsidP="00D515A0">
      <w:pPr>
        <w:spacing w:line="360" w:lineRule="auto"/>
        <w:rPr>
          <w:sz w:val="26"/>
          <w:szCs w:val="26"/>
        </w:rPr>
      </w:pPr>
      <w:r w:rsidRPr="00D55644">
        <w:rPr>
          <w:sz w:val="26"/>
          <w:szCs w:val="26"/>
        </w:rPr>
        <w:tab/>
      </w:r>
      <w:r w:rsidR="00634D01" w:rsidRPr="00D55644">
        <w:rPr>
          <w:sz w:val="26"/>
          <w:szCs w:val="26"/>
        </w:rPr>
        <w:t xml:space="preserve">Regarding service quality, NRG </w:t>
      </w:r>
      <w:r w:rsidR="004C3B24" w:rsidRPr="00D55644">
        <w:rPr>
          <w:sz w:val="26"/>
          <w:szCs w:val="26"/>
        </w:rPr>
        <w:t xml:space="preserve">proposes that EGSs providing SCB meet the applicable customer billing and complaint standards in Chapter 56 of the Commission’s regulations.  </w:t>
      </w:r>
      <w:r w:rsidR="004C3B24" w:rsidRPr="00D55644">
        <w:rPr>
          <w:i/>
          <w:sz w:val="26"/>
          <w:szCs w:val="26"/>
        </w:rPr>
        <w:t>See</w:t>
      </w:r>
      <w:r w:rsidR="004C3B24" w:rsidRPr="00D55644">
        <w:rPr>
          <w:sz w:val="26"/>
          <w:szCs w:val="26"/>
        </w:rPr>
        <w:t xml:space="preserve"> 52 Pa. Code §§ 56.151-56.156; 52 Pa. Code § 111.13.  NRG expects that EDCs will provide the EGSs with the information necessary to respond to any customer inquiries and complaints.</w:t>
      </w:r>
      <w:r w:rsidR="00362B6E" w:rsidRPr="00D55644">
        <w:rPr>
          <w:rStyle w:val="FootnoteReference"/>
          <w:sz w:val="26"/>
          <w:szCs w:val="26"/>
        </w:rPr>
        <w:footnoteReference w:id="26"/>
      </w:r>
    </w:p>
    <w:p w14:paraId="17CFED49" w14:textId="77777777" w:rsidR="006F24D5" w:rsidRPr="00D55644" w:rsidRDefault="006F24D5" w:rsidP="00D515A0">
      <w:pPr>
        <w:spacing w:line="360" w:lineRule="auto"/>
        <w:rPr>
          <w:sz w:val="26"/>
          <w:szCs w:val="26"/>
        </w:rPr>
      </w:pPr>
    </w:p>
    <w:p w14:paraId="1ECEC77D" w14:textId="27D2BBB1" w:rsidR="006F24D5" w:rsidRPr="00D55644" w:rsidRDefault="006F24D5" w:rsidP="00D515A0">
      <w:pPr>
        <w:spacing w:line="360" w:lineRule="auto"/>
        <w:rPr>
          <w:sz w:val="26"/>
          <w:szCs w:val="26"/>
        </w:rPr>
      </w:pPr>
      <w:r w:rsidRPr="00D55644">
        <w:rPr>
          <w:sz w:val="26"/>
          <w:szCs w:val="26"/>
        </w:rPr>
        <w:tab/>
      </w:r>
      <w:r w:rsidR="00A739D4" w:rsidRPr="00D55644">
        <w:rPr>
          <w:sz w:val="26"/>
          <w:szCs w:val="26"/>
        </w:rPr>
        <w:t xml:space="preserve">NRG believes that EGSs offering SCB should be allowed to request deposits from customers </w:t>
      </w:r>
      <w:r w:rsidR="00251E71" w:rsidRPr="00D55644">
        <w:rPr>
          <w:sz w:val="26"/>
          <w:szCs w:val="26"/>
        </w:rPr>
        <w:t xml:space="preserve">in accordance with Commission regulations.  </w:t>
      </w:r>
      <w:r w:rsidR="00251E71" w:rsidRPr="00D55644">
        <w:rPr>
          <w:i/>
          <w:sz w:val="26"/>
          <w:szCs w:val="26"/>
        </w:rPr>
        <w:t xml:space="preserve">See </w:t>
      </w:r>
      <w:r w:rsidR="00251E71" w:rsidRPr="00D55644">
        <w:rPr>
          <w:sz w:val="26"/>
          <w:szCs w:val="26"/>
        </w:rPr>
        <w:t xml:space="preserve">52 Pa. Code §§ </w:t>
      </w:r>
      <w:r w:rsidR="00B74CCF">
        <w:rPr>
          <w:sz w:val="26"/>
          <w:szCs w:val="26"/>
        </w:rPr>
        <w:t>56.31-56.58</w:t>
      </w:r>
      <w:r w:rsidR="00251E71" w:rsidRPr="00D55644">
        <w:rPr>
          <w:sz w:val="26"/>
          <w:szCs w:val="26"/>
        </w:rPr>
        <w:t>.  NRG also believes that EGSs should be allowed to display EDC charges on the SCB bill as a single, combined price.  EGSs should also have the option to absorb any increase in distribution rates rather than pass them on to customers.</w:t>
      </w:r>
      <w:r w:rsidR="00F747D2" w:rsidRPr="00D55644">
        <w:rPr>
          <w:sz w:val="26"/>
          <w:szCs w:val="26"/>
        </w:rPr>
        <w:t xml:space="preserve">  In addition, NRG believes that EDC-administered programs that require UCB for EGS participation, such as standard offer programs, should be revised to allow EGS participation under either UCB or SCB.</w:t>
      </w:r>
      <w:r w:rsidR="00362B6E" w:rsidRPr="00D55644">
        <w:rPr>
          <w:rStyle w:val="FootnoteReference"/>
          <w:sz w:val="26"/>
          <w:szCs w:val="26"/>
        </w:rPr>
        <w:footnoteReference w:id="27"/>
      </w:r>
    </w:p>
    <w:p w14:paraId="7DC7C233" w14:textId="77777777" w:rsidR="00251E71" w:rsidRPr="00D55644" w:rsidRDefault="00251E71" w:rsidP="00D515A0">
      <w:pPr>
        <w:spacing w:line="360" w:lineRule="auto"/>
        <w:rPr>
          <w:sz w:val="26"/>
          <w:szCs w:val="26"/>
        </w:rPr>
      </w:pPr>
    </w:p>
    <w:p w14:paraId="73721CC7" w14:textId="77777777" w:rsidR="00251E71" w:rsidRDefault="00251E71" w:rsidP="00D515A0">
      <w:pPr>
        <w:spacing w:line="360" w:lineRule="auto"/>
        <w:rPr>
          <w:sz w:val="26"/>
          <w:szCs w:val="26"/>
        </w:rPr>
      </w:pPr>
      <w:r w:rsidRPr="00D55644">
        <w:rPr>
          <w:sz w:val="26"/>
          <w:szCs w:val="26"/>
        </w:rPr>
        <w:tab/>
      </w:r>
      <w:r w:rsidR="001B0B9C" w:rsidRPr="00D55644">
        <w:rPr>
          <w:sz w:val="26"/>
          <w:szCs w:val="26"/>
        </w:rPr>
        <w:t>T</w:t>
      </w:r>
      <w:r w:rsidR="00775EC0" w:rsidRPr="00D55644">
        <w:rPr>
          <w:sz w:val="26"/>
          <w:szCs w:val="26"/>
        </w:rPr>
        <w:t xml:space="preserve">o ensure that customers on a payment plan cannot use their ability to switch EGSs to avoid paying </w:t>
      </w:r>
      <w:proofErr w:type="gramStart"/>
      <w:r w:rsidR="00775EC0" w:rsidRPr="00D55644">
        <w:rPr>
          <w:sz w:val="26"/>
          <w:szCs w:val="26"/>
        </w:rPr>
        <w:t>all of</w:t>
      </w:r>
      <w:proofErr w:type="gramEnd"/>
      <w:r w:rsidR="00775EC0" w:rsidRPr="00D55644">
        <w:rPr>
          <w:sz w:val="26"/>
          <w:szCs w:val="26"/>
        </w:rPr>
        <w:t xml:space="preserve"> their charges, NRG proposes a “block mechanism” to protect EGSs offering SCB.  </w:t>
      </w:r>
      <w:r w:rsidR="006132DA" w:rsidRPr="00D55644">
        <w:rPr>
          <w:sz w:val="26"/>
          <w:szCs w:val="26"/>
        </w:rPr>
        <w:t xml:space="preserve">That mechanism would prevent </w:t>
      </w:r>
      <w:r w:rsidR="005F33CF" w:rsidRPr="00D55644">
        <w:rPr>
          <w:sz w:val="26"/>
          <w:szCs w:val="26"/>
        </w:rPr>
        <w:t xml:space="preserve">these </w:t>
      </w:r>
      <w:r w:rsidR="006132DA" w:rsidRPr="00D55644">
        <w:rPr>
          <w:sz w:val="26"/>
          <w:szCs w:val="26"/>
        </w:rPr>
        <w:t>customers from switching to another EGS or back to the EDC until their past due bills have been paid in full.</w:t>
      </w:r>
      <w:r w:rsidR="00362B6E" w:rsidRPr="00D55644">
        <w:rPr>
          <w:rStyle w:val="FootnoteReference"/>
          <w:sz w:val="26"/>
          <w:szCs w:val="26"/>
        </w:rPr>
        <w:footnoteReference w:id="28"/>
      </w:r>
    </w:p>
    <w:p w14:paraId="7BC7010A" w14:textId="77777777" w:rsidR="0097026A" w:rsidRPr="00D55644" w:rsidRDefault="0097026A" w:rsidP="00D515A0">
      <w:pPr>
        <w:spacing w:line="360" w:lineRule="auto"/>
        <w:rPr>
          <w:sz w:val="26"/>
          <w:szCs w:val="26"/>
        </w:rPr>
      </w:pPr>
    </w:p>
    <w:p w14:paraId="1C7FDB7D" w14:textId="77777777" w:rsidR="006132DA" w:rsidRPr="00D55644" w:rsidRDefault="006132DA" w:rsidP="00D515A0">
      <w:pPr>
        <w:spacing w:line="360" w:lineRule="auto"/>
        <w:rPr>
          <w:sz w:val="26"/>
          <w:szCs w:val="26"/>
        </w:rPr>
      </w:pPr>
      <w:r w:rsidRPr="00D55644">
        <w:rPr>
          <w:sz w:val="26"/>
          <w:szCs w:val="26"/>
        </w:rPr>
        <w:tab/>
      </w:r>
      <w:r w:rsidR="00F747D2" w:rsidRPr="00D55644">
        <w:rPr>
          <w:sz w:val="26"/>
          <w:szCs w:val="26"/>
        </w:rPr>
        <w:t xml:space="preserve">Finally, </w:t>
      </w:r>
      <w:r w:rsidR="000E2640">
        <w:rPr>
          <w:sz w:val="26"/>
          <w:szCs w:val="26"/>
        </w:rPr>
        <w:t xml:space="preserve">in its </w:t>
      </w:r>
      <w:r w:rsidR="00CC777C">
        <w:rPr>
          <w:sz w:val="26"/>
          <w:szCs w:val="26"/>
        </w:rPr>
        <w:t>P</w:t>
      </w:r>
      <w:r w:rsidR="000E2640">
        <w:rPr>
          <w:sz w:val="26"/>
          <w:szCs w:val="26"/>
        </w:rPr>
        <w:t xml:space="preserve">etition, NRG proposes </w:t>
      </w:r>
      <w:r w:rsidR="00F747D2" w:rsidRPr="00D55644">
        <w:rPr>
          <w:sz w:val="26"/>
          <w:szCs w:val="26"/>
        </w:rPr>
        <w:t xml:space="preserve">that EDCs continue to administer </w:t>
      </w:r>
      <w:r w:rsidR="006A24B1" w:rsidRPr="00D55644">
        <w:rPr>
          <w:sz w:val="26"/>
          <w:szCs w:val="26"/>
        </w:rPr>
        <w:t>low-income assistance programs.  The EDCs would be responsible for calculating each low-income customer’s charge and providing that information to the EGS for inclusion on the customer</w:t>
      </w:r>
      <w:r w:rsidR="001B0B9C" w:rsidRPr="00D55644">
        <w:rPr>
          <w:sz w:val="26"/>
          <w:szCs w:val="26"/>
        </w:rPr>
        <w:t>’</w:t>
      </w:r>
      <w:r w:rsidR="006A24B1" w:rsidRPr="00D55644">
        <w:rPr>
          <w:sz w:val="26"/>
          <w:szCs w:val="26"/>
        </w:rPr>
        <w:t>s bill.</w:t>
      </w:r>
      <w:r w:rsidR="00362B6E" w:rsidRPr="00D55644">
        <w:rPr>
          <w:rStyle w:val="FootnoteReference"/>
          <w:sz w:val="26"/>
          <w:szCs w:val="26"/>
        </w:rPr>
        <w:footnoteReference w:id="29"/>
      </w:r>
    </w:p>
    <w:p w14:paraId="701411D0" w14:textId="77777777" w:rsidR="006A24B1" w:rsidRPr="00D55644" w:rsidRDefault="006A24B1" w:rsidP="00D515A0">
      <w:pPr>
        <w:spacing w:line="360" w:lineRule="auto"/>
        <w:rPr>
          <w:sz w:val="26"/>
          <w:szCs w:val="26"/>
        </w:rPr>
      </w:pPr>
    </w:p>
    <w:p w14:paraId="4CFC5CBC" w14:textId="77777777" w:rsidR="006A24B1" w:rsidRPr="006E0EAA" w:rsidRDefault="003579C4" w:rsidP="006C5132">
      <w:pPr>
        <w:tabs>
          <w:tab w:val="left" w:pos="720"/>
        </w:tabs>
        <w:spacing w:line="360" w:lineRule="auto"/>
        <w:ind w:left="720" w:hanging="720"/>
        <w:rPr>
          <w:b/>
          <w:sz w:val="26"/>
          <w:szCs w:val="26"/>
        </w:rPr>
      </w:pPr>
      <w:r w:rsidRPr="006E0EAA">
        <w:rPr>
          <w:b/>
          <w:sz w:val="26"/>
          <w:szCs w:val="26"/>
        </w:rPr>
        <w:t>C.</w:t>
      </w:r>
      <w:r w:rsidRPr="006E0EAA">
        <w:rPr>
          <w:b/>
          <w:sz w:val="26"/>
          <w:szCs w:val="26"/>
        </w:rPr>
        <w:tab/>
      </w:r>
      <w:r w:rsidR="00C72065" w:rsidRPr="006E0EAA">
        <w:rPr>
          <w:b/>
          <w:sz w:val="26"/>
          <w:szCs w:val="26"/>
        </w:rPr>
        <w:t xml:space="preserve">Purported </w:t>
      </w:r>
      <w:r w:rsidRPr="006E0EAA">
        <w:rPr>
          <w:b/>
          <w:sz w:val="26"/>
          <w:szCs w:val="26"/>
        </w:rPr>
        <w:t xml:space="preserve">Legal Authority </w:t>
      </w:r>
      <w:r w:rsidR="006E0EAA">
        <w:rPr>
          <w:b/>
          <w:sz w:val="26"/>
          <w:szCs w:val="26"/>
        </w:rPr>
        <w:t>F</w:t>
      </w:r>
      <w:r w:rsidRPr="006E0EAA">
        <w:rPr>
          <w:b/>
          <w:sz w:val="26"/>
          <w:szCs w:val="26"/>
        </w:rPr>
        <w:t>or SCB</w:t>
      </w:r>
    </w:p>
    <w:p w14:paraId="087E8206" w14:textId="77777777" w:rsidR="003579C4" w:rsidRPr="00D55644" w:rsidRDefault="003579C4" w:rsidP="003579C4">
      <w:pPr>
        <w:spacing w:line="360" w:lineRule="auto"/>
        <w:rPr>
          <w:sz w:val="26"/>
          <w:szCs w:val="26"/>
        </w:rPr>
      </w:pPr>
      <w:r w:rsidRPr="00D55644">
        <w:rPr>
          <w:sz w:val="26"/>
          <w:szCs w:val="26"/>
        </w:rPr>
        <w:tab/>
      </w:r>
      <w:r w:rsidR="00AF298E" w:rsidRPr="00D55644">
        <w:rPr>
          <w:sz w:val="26"/>
          <w:szCs w:val="26"/>
        </w:rPr>
        <w:t>NRG believes that SCB is unquestionably legal because (1) Section 501 of the Public Utility Code, 66 Pa. C.S. § 501, authorizes the Commission to execute all provisions of the Code by its regulations and orders; (2) the Commission can permit an EGS to serve in the</w:t>
      </w:r>
      <w:r w:rsidR="00601614" w:rsidRPr="00D55644">
        <w:rPr>
          <w:sz w:val="26"/>
          <w:szCs w:val="26"/>
        </w:rPr>
        <w:t xml:space="preserve"> default service provider</w:t>
      </w:r>
      <w:r w:rsidR="00AF298E" w:rsidRPr="00D55644">
        <w:rPr>
          <w:sz w:val="26"/>
          <w:szCs w:val="26"/>
        </w:rPr>
        <w:t xml:space="preserve"> </w:t>
      </w:r>
      <w:r w:rsidR="00601614" w:rsidRPr="00D55644">
        <w:rPr>
          <w:sz w:val="26"/>
          <w:szCs w:val="26"/>
        </w:rPr>
        <w:t>(</w:t>
      </w:r>
      <w:r w:rsidR="00AF298E" w:rsidRPr="00D55644">
        <w:rPr>
          <w:sz w:val="26"/>
          <w:szCs w:val="26"/>
        </w:rPr>
        <w:t>DSP</w:t>
      </w:r>
      <w:r w:rsidR="00601614" w:rsidRPr="00D55644">
        <w:rPr>
          <w:sz w:val="26"/>
          <w:szCs w:val="26"/>
        </w:rPr>
        <w:t>)</w:t>
      </w:r>
      <w:r w:rsidR="00AF298E" w:rsidRPr="00D55644">
        <w:rPr>
          <w:sz w:val="26"/>
          <w:szCs w:val="26"/>
        </w:rPr>
        <w:t xml:space="preserve"> role per 66 Pa. C.S. § 2802(16); and (3) the Commission can require further unbundling of services per 66 Pa. C.S. § 2804(3).</w:t>
      </w:r>
      <w:r w:rsidR="00AF298E" w:rsidRPr="00D55644">
        <w:rPr>
          <w:rStyle w:val="FootnoteReference"/>
          <w:sz w:val="26"/>
          <w:szCs w:val="26"/>
        </w:rPr>
        <w:footnoteReference w:id="30"/>
      </w:r>
      <w:r w:rsidR="00AF298E" w:rsidRPr="00D55644">
        <w:rPr>
          <w:sz w:val="26"/>
          <w:szCs w:val="26"/>
        </w:rPr>
        <w:t xml:space="preserve">  </w:t>
      </w:r>
    </w:p>
    <w:p w14:paraId="784EDEF7" w14:textId="77777777" w:rsidR="003579C4" w:rsidRPr="00D55644" w:rsidRDefault="003579C4" w:rsidP="003579C4">
      <w:pPr>
        <w:spacing w:line="360" w:lineRule="auto"/>
        <w:rPr>
          <w:sz w:val="26"/>
          <w:szCs w:val="26"/>
        </w:rPr>
      </w:pPr>
    </w:p>
    <w:p w14:paraId="04CCB22E" w14:textId="77777777" w:rsidR="00620DD7" w:rsidRDefault="00620DD7" w:rsidP="006A2DFB">
      <w:pPr>
        <w:spacing w:line="360" w:lineRule="auto"/>
        <w:rPr>
          <w:sz w:val="26"/>
          <w:szCs w:val="26"/>
        </w:rPr>
      </w:pPr>
      <w:r w:rsidRPr="00D55644">
        <w:rPr>
          <w:sz w:val="26"/>
          <w:szCs w:val="26"/>
        </w:rPr>
        <w:tab/>
      </w:r>
      <w:r w:rsidR="005541C7" w:rsidRPr="00D55644">
        <w:rPr>
          <w:sz w:val="26"/>
          <w:szCs w:val="26"/>
        </w:rPr>
        <w:t xml:space="preserve">NRG points to prior Commission </w:t>
      </w:r>
      <w:r w:rsidR="00184860" w:rsidRPr="00D55644">
        <w:rPr>
          <w:sz w:val="26"/>
          <w:szCs w:val="26"/>
        </w:rPr>
        <w:t>actions</w:t>
      </w:r>
      <w:r w:rsidR="005541C7" w:rsidRPr="00D55644">
        <w:rPr>
          <w:sz w:val="26"/>
          <w:szCs w:val="26"/>
        </w:rPr>
        <w:t xml:space="preserve"> to support its belief that the Commission also holds the opinion that SCB is legally permissible.  First, NRG notes that in the RMI </w:t>
      </w:r>
      <w:r w:rsidR="005541C7" w:rsidRPr="00D55644">
        <w:rPr>
          <w:i/>
          <w:sz w:val="26"/>
          <w:szCs w:val="26"/>
        </w:rPr>
        <w:t>End State Orders</w:t>
      </w:r>
      <w:r w:rsidR="005541C7" w:rsidRPr="00D55644">
        <w:rPr>
          <w:sz w:val="26"/>
          <w:szCs w:val="26"/>
        </w:rPr>
        <w:t xml:space="preserve">, the Commission clearly expressed its opinion that SCB was legally permissible and could play an important role in Pennsylvania’s competitive retail electric market.  Although the Commission opted not to pursue SCB at the time because of other more pressing concerns, NRG </w:t>
      </w:r>
      <w:r w:rsidR="004548C0" w:rsidRPr="00D55644">
        <w:rPr>
          <w:sz w:val="26"/>
          <w:szCs w:val="26"/>
        </w:rPr>
        <w:t xml:space="preserve">notes that the Commission </w:t>
      </w:r>
      <w:r w:rsidR="00184860" w:rsidRPr="00D55644">
        <w:rPr>
          <w:sz w:val="26"/>
          <w:szCs w:val="26"/>
        </w:rPr>
        <w:t>intended</w:t>
      </w:r>
      <w:r w:rsidR="004548C0" w:rsidRPr="00D55644">
        <w:rPr>
          <w:sz w:val="26"/>
          <w:szCs w:val="26"/>
        </w:rPr>
        <w:t xml:space="preserve"> to reconsider SCB in the future.</w:t>
      </w:r>
      <w:r w:rsidR="00184860" w:rsidRPr="00D55644">
        <w:rPr>
          <w:sz w:val="26"/>
          <w:szCs w:val="26"/>
        </w:rPr>
        <w:t xml:space="preserve">  Second, SCB was established as a billing option in the restructuring settlements of several EDCs.  Those settlements, NRG notes, were approved by the Commission in 1998.  </w:t>
      </w:r>
      <w:r w:rsidR="00AF298E" w:rsidRPr="00D55644">
        <w:rPr>
          <w:sz w:val="26"/>
          <w:szCs w:val="26"/>
        </w:rPr>
        <w:t>At that time</w:t>
      </w:r>
      <w:r w:rsidR="00DD4DD3" w:rsidRPr="00D55644">
        <w:rPr>
          <w:sz w:val="26"/>
          <w:szCs w:val="26"/>
        </w:rPr>
        <w:t xml:space="preserve"> the Commission hel</w:t>
      </w:r>
      <w:r w:rsidR="009445F4" w:rsidRPr="00D55644">
        <w:rPr>
          <w:sz w:val="26"/>
          <w:szCs w:val="26"/>
        </w:rPr>
        <w:t>d that EGSs that provide billing services are subject to the billing regulations in Chapter 56.</w:t>
      </w:r>
      <w:r w:rsidR="00DD4DD3" w:rsidRPr="00D55644">
        <w:rPr>
          <w:sz w:val="26"/>
          <w:szCs w:val="26"/>
        </w:rPr>
        <w:t xml:space="preserve">  Lastly, in the late-</w:t>
      </w:r>
      <w:r w:rsidR="006B11F0" w:rsidRPr="00D55644">
        <w:rPr>
          <w:sz w:val="26"/>
          <w:szCs w:val="26"/>
        </w:rPr>
        <w:t>19</w:t>
      </w:r>
      <w:r w:rsidR="00DD4DD3" w:rsidRPr="00D55644">
        <w:rPr>
          <w:sz w:val="26"/>
          <w:szCs w:val="26"/>
        </w:rPr>
        <w:t xml:space="preserve">90s and early-2000s, the Commission approved work performed by EDEWG to implement SCB.  Based on those facts, according to NRG, </w:t>
      </w:r>
      <w:proofErr w:type="gramStart"/>
      <w:r w:rsidR="00DD4DD3" w:rsidRPr="00D55644">
        <w:rPr>
          <w:sz w:val="26"/>
          <w:szCs w:val="26"/>
        </w:rPr>
        <w:t>it is clear that SCB</w:t>
      </w:r>
      <w:proofErr w:type="gramEnd"/>
      <w:r w:rsidR="00DD4DD3" w:rsidRPr="00D55644">
        <w:rPr>
          <w:sz w:val="26"/>
          <w:szCs w:val="26"/>
        </w:rPr>
        <w:t xml:space="preserve"> is legal and that the Commission agrees</w:t>
      </w:r>
      <w:r w:rsidR="00445D52" w:rsidRPr="00D55644">
        <w:rPr>
          <w:sz w:val="26"/>
          <w:szCs w:val="26"/>
        </w:rPr>
        <w:t>.</w:t>
      </w:r>
      <w:r w:rsidR="00362B6E" w:rsidRPr="00D55644">
        <w:rPr>
          <w:rStyle w:val="FootnoteReference"/>
          <w:sz w:val="26"/>
          <w:szCs w:val="26"/>
        </w:rPr>
        <w:footnoteReference w:id="31"/>
      </w:r>
    </w:p>
    <w:p w14:paraId="0A90CC60" w14:textId="77777777" w:rsidR="0097026A" w:rsidRPr="00D55644" w:rsidRDefault="0097026A" w:rsidP="006A2DFB">
      <w:pPr>
        <w:spacing w:line="360" w:lineRule="auto"/>
        <w:rPr>
          <w:sz w:val="26"/>
          <w:szCs w:val="26"/>
        </w:rPr>
      </w:pPr>
    </w:p>
    <w:p w14:paraId="6FFD2576" w14:textId="77777777" w:rsidR="00DD4DD3" w:rsidRPr="006E0EAA" w:rsidRDefault="00DD4DD3" w:rsidP="006E0EAA">
      <w:pPr>
        <w:tabs>
          <w:tab w:val="left" w:pos="720"/>
        </w:tabs>
        <w:spacing w:line="360" w:lineRule="auto"/>
        <w:rPr>
          <w:b/>
          <w:sz w:val="26"/>
          <w:szCs w:val="26"/>
        </w:rPr>
      </w:pPr>
      <w:r w:rsidRPr="006E0EAA">
        <w:rPr>
          <w:b/>
          <w:sz w:val="26"/>
          <w:szCs w:val="26"/>
        </w:rPr>
        <w:t>D.</w:t>
      </w:r>
      <w:r w:rsidRPr="006E0EAA">
        <w:rPr>
          <w:b/>
          <w:sz w:val="26"/>
          <w:szCs w:val="26"/>
        </w:rPr>
        <w:tab/>
        <w:t xml:space="preserve">SCB Benefits </w:t>
      </w:r>
      <w:proofErr w:type="gramStart"/>
      <w:r w:rsidR="006E0EAA">
        <w:rPr>
          <w:b/>
          <w:sz w:val="26"/>
          <w:szCs w:val="26"/>
        </w:rPr>
        <w:t>F</w:t>
      </w:r>
      <w:r w:rsidRPr="006E0EAA">
        <w:rPr>
          <w:b/>
          <w:sz w:val="26"/>
          <w:szCs w:val="26"/>
        </w:rPr>
        <w:t>or</w:t>
      </w:r>
      <w:proofErr w:type="gramEnd"/>
      <w:r w:rsidRPr="006E0EAA">
        <w:rPr>
          <w:b/>
          <w:sz w:val="26"/>
          <w:szCs w:val="26"/>
        </w:rPr>
        <w:t xml:space="preserve"> Customers</w:t>
      </w:r>
    </w:p>
    <w:p w14:paraId="5D930E9C" w14:textId="77777777" w:rsidR="00DD4DD3" w:rsidRPr="00D55644" w:rsidRDefault="00DD4DD3" w:rsidP="00DD4DD3">
      <w:pPr>
        <w:spacing w:line="360" w:lineRule="auto"/>
        <w:rPr>
          <w:sz w:val="26"/>
          <w:szCs w:val="26"/>
        </w:rPr>
      </w:pPr>
      <w:r w:rsidRPr="00D55644">
        <w:rPr>
          <w:sz w:val="26"/>
          <w:szCs w:val="26"/>
        </w:rPr>
        <w:tab/>
      </w:r>
      <w:r w:rsidR="006E40E2" w:rsidRPr="00D55644">
        <w:rPr>
          <w:sz w:val="26"/>
          <w:szCs w:val="26"/>
        </w:rPr>
        <w:t xml:space="preserve">NRG claims that implementation of SCB would benefit </w:t>
      </w:r>
      <w:r w:rsidR="00F171A8" w:rsidRPr="00D55644">
        <w:rPr>
          <w:sz w:val="26"/>
          <w:szCs w:val="26"/>
        </w:rPr>
        <w:t>customers in two main</w:t>
      </w:r>
      <w:r w:rsidR="006B11F0" w:rsidRPr="00D55644">
        <w:rPr>
          <w:sz w:val="26"/>
          <w:szCs w:val="26"/>
        </w:rPr>
        <w:t xml:space="preserve"> </w:t>
      </w:r>
      <w:r w:rsidR="00F171A8" w:rsidRPr="00D55644">
        <w:rPr>
          <w:sz w:val="26"/>
          <w:szCs w:val="26"/>
        </w:rPr>
        <w:t xml:space="preserve">ways:  </w:t>
      </w:r>
      <w:r w:rsidR="006E40E2" w:rsidRPr="00D55644">
        <w:rPr>
          <w:sz w:val="26"/>
          <w:szCs w:val="26"/>
        </w:rPr>
        <w:t>it would allow EGSs to offer innovative products and s</w:t>
      </w:r>
      <w:r w:rsidR="00F171A8" w:rsidRPr="00D55644">
        <w:rPr>
          <w:sz w:val="26"/>
          <w:szCs w:val="26"/>
        </w:rPr>
        <w:t xml:space="preserve">ervices to their </w:t>
      </w:r>
      <w:r w:rsidR="00624600" w:rsidRPr="00D55644">
        <w:rPr>
          <w:sz w:val="26"/>
          <w:szCs w:val="26"/>
        </w:rPr>
        <w:t>customers</w:t>
      </w:r>
      <w:r w:rsidR="0089738A" w:rsidRPr="00D55644">
        <w:rPr>
          <w:sz w:val="26"/>
          <w:szCs w:val="26"/>
        </w:rPr>
        <w:t>,</w:t>
      </w:r>
      <w:r w:rsidR="00624600" w:rsidRPr="00D55644">
        <w:rPr>
          <w:sz w:val="26"/>
          <w:szCs w:val="26"/>
        </w:rPr>
        <w:t xml:space="preserve"> which in </w:t>
      </w:r>
      <w:r w:rsidR="006E40E2" w:rsidRPr="00D55644">
        <w:rPr>
          <w:sz w:val="26"/>
          <w:szCs w:val="26"/>
        </w:rPr>
        <w:t>turn</w:t>
      </w:r>
      <w:r w:rsidR="00F171A8" w:rsidRPr="00D55644">
        <w:rPr>
          <w:sz w:val="26"/>
          <w:szCs w:val="26"/>
        </w:rPr>
        <w:t xml:space="preserve"> would</w:t>
      </w:r>
      <w:r w:rsidR="006E40E2" w:rsidRPr="00D55644">
        <w:rPr>
          <w:sz w:val="26"/>
          <w:szCs w:val="26"/>
        </w:rPr>
        <w:t xml:space="preserve"> encourage more EGSs to enter Pennsylvania’s retail electric market, thereby enhancing competition.</w:t>
      </w:r>
      <w:r w:rsidR="00362B6E" w:rsidRPr="00D55644">
        <w:rPr>
          <w:rStyle w:val="FootnoteReference"/>
          <w:sz w:val="26"/>
          <w:szCs w:val="26"/>
        </w:rPr>
        <w:footnoteReference w:id="32"/>
      </w:r>
    </w:p>
    <w:p w14:paraId="6DA4627E" w14:textId="77777777" w:rsidR="006E40E2" w:rsidRPr="00D55644" w:rsidRDefault="006E40E2" w:rsidP="00DD4DD3">
      <w:pPr>
        <w:spacing w:line="360" w:lineRule="auto"/>
        <w:rPr>
          <w:sz w:val="26"/>
          <w:szCs w:val="26"/>
        </w:rPr>
      </w:pPr>
    </w:p>
    <w:p w14:paraId="56636439" w14:textId="77777777" w:rsidR="006E40E2" w:rsidRPr="00D55644" w:rsidRDefault="006E40E2" w:rsidP="00DD4DD3">
      <w:pPr>
        <w:spacing w:line="360" w:lineRule="auto"/>
        <w:rPr>
          <w:sz w:val="26"/>
          <w:szCs w:val="26"/>
        </w:rPr>
      </w:pPr>
      <w:r w:rsidRPr="00D55644">
        <w:rPr>
          <w:sz w:val="26"/>
          <w:szCs w:val="26"/>
        </w:rPr>
        <w:tab/>
      </w:r>
      <w:r w:rsidR="00F171A8" w:rsidRPr="00D55644">
        <w:rPr>
          <w:sz w:val="26"/>
          <w:szCs w:val="26"/>
        </w:rPr>
        <w:t xml:space="preserve">NRG claims that billing and payment services </w:t>
      </w:r>
      <w:r w:rsidR="00654A41" w:rsidRPr="00D55644">
        <w:rPr>
          <w:sz w:val="26"/>
          <w:szCs w:val="26"/>
        </w:rPr>
        <w:t xml:space="preserve">are just as important as price to customers.  SCB, because it allows EGSs to directly bill their customers and collect from them, will allow EGSs to forge stronger relationships with their customers </w:t>
      </w:r>
      <w:r w:rsidR="00445D52" w:rsidRPr="00D55644">
        <w:rPr>
          <w:sz w:val="26"/>
          <w:szCs w:val="26"/>
        </w:rPr>
        <w:t>and establish themselves a</w:t>
      </w:r>
      <w:r w:rsidR="00F95B42" w:rsidRPr="00D55644">
        <w:rPr>
          <w:sz w:val="26"/>
          <w:szCs w:val="26"/>
        </w:rPr>
        <w:t>s</w:t>
      </w:r>
      <w:r w:rsidR="00445D52" w:rsidRPr="00D55644">
        <w:rPr>
          <w:sz w:val="26"/>
          <w:szCs w:val="26"/>
        </w:rPr>
        <w:t xml:space="preserve"> capable, reliable businesses.  </w:t>
      </w:r>
      <w:r w:rsidR="002D286C" w:rsidRPr="00D55644">
        <w:rPr>
          <w:sz w:val="26"/>
          <w:szCs w:val="26"/>
        </w:rPr>
        <w:t xml:space="preserve">Without that relationship, </w:t>
      </w:r>
      <w:r w:rsidR="001A6C02" w:rsidRPr="00D55644">
        <w:rPr>
          <w:sz w:val="26"/>
          <w:szCs w:val="26"/>
        </w:rPr>
        <w:t xml:space="preserve">NRG claims, </w:t>
      </w:r>
      <w:r w:rsidR="002D286C" w:rsidRPr="00D55644">
        <w:rPr>
          <w:sz w:val="26"/>
          <w:szCs w:val="26"/>
        </w:rPr>
        <w:t xml:space="preserve">price is the most important factor to customers.  With that relationship, </w:t>
      </w:r>
      <w:r w:rsidR="00747FF1" w:rsidRPr="00D55644">
        <w:rPr>
          <w:sz w:val="26"/>
          <w:szCs w:val="26"/>
        </w:rPr>
        <w:t>the other products and services an EGS can offer its customers could become an equally important factor, which would encourage more customers to shop for electricity.  According to NRG, existing policies in Pennsylvania’s retail electric market—including the inability of EGSs to offer SCB—have ensure</w:t>
      </w:r>
      <w:r w:rsidR="00F95B42" w:rsidRPr="00D55644">
        <w:rPr>
          <w:sz w:val="26"/>
          <w:szCs w:val="26"/>
        </w:rPr>
        <w:t>d</w:t>
      </w:r>
      <w:r w:rsidR="00747FF1" w:rsidRPr="00D55644">
        <w:rPr>
          <w:sz w:val="26"/>
          <w:szCs w:val="26"/>
        </w:rPr>
        <w:t xml:space="preserve"> that customers remain focused on price.</w:t>
      </w:r>
      <w:r w:rsidR="00362B6E" w:rsidRPr="00D55644">
        <w:rPr>
          <w:rStyle w:val="FootnoteReference"/>
          <w:sz w:val="26"/>
          <w:szCs w:val="26"/>
        </w:rPr>
        <w:footnoteReference w:id="33"/>
      </w:r>
    </w:p>
    <w:p w14:paraId="3E08C0A4" w14:textId="77777777" w:rsidR="00747FF1" w:rsidRPr="00D55644" w:rsidRDefault="00747FF1" w:rsidP="00DD4DD3">
      <w:pPr>
        <w:spacing w:line="360" w:lineRule="auto"/>
        <w:rPr>
          <w:sz w:val="26"/>
          <w:szCs w:val="26"/>
        </w:rPr>
      </w:pPr>
    </w:p>
    <w:p w14:paraId="70D31690" w14:textId="77777777" w:rsidR="00747FF1" w:rsidRPr="00D55644" w:rsidRDefault="00747FF1" w:rsidP="00DD4DD3">
      <w:pPr>
        <w:spacing w:line="360" w:lineRule="auto"/>
        <w:rPr>
          <w:sz w:val="26"/>
          <w:szCs w:val="26"/>
        </w:rPr>
      </w:pPr>
      <w:r w:rsidRPr="00D55644">
        <w:rPr>
          <w:sz w:val="26"/>
          <w:szCs w:val="26"/>
        </w:rPr>
        <w:tab/>
      </w:r>
      <w:r w:rsidR="00A077C3" w:rsidRPr="00D55644">
        <w:rPr>
          <w:sz w:val="26"/>
          <w:szCs w:val="26"/>
        </w:rPr>
        <w:t>NRG claims that if SCB were implemented, new products it could offer—in conjunction with the deployment of smart meters—would allow customers to</w:t>
      </w:r>
      <w:r w:rsidR="00F70310" w:rsidRPr="00D55644">
        <w:rPr>
          <w:sz w:val="26"/>
          <w:szCs w:val="26"/>
        </w:rPr>
        <w:t xml:space="preserve"> enroll in demand reduction a</w:t>
      </w:r>
      <w:r w:rsidR="00623F39" w:rsidRPr="00D55644">
        <w:rPr>
          <w:sz w:val="26"/>
          <w:szCs w:val="26"/>
        </w:rPr>
        <w:t>nd energy efficiency programs and</w:t>
      </w:r>
      <w:r w:rsidR="00A077C3" w:rsidRPr="00D55644">
        <w:rPr>
          <w:sz w:val="26"/>
          <w:szCs w:val="26"/>
        </w:rPr>
        <w:t xml:space="preserve"> be</w:t>
      </w:r>
      <w:r w:rsidR="00F70310" w:rsidRPr="00D55644">
        <w:rPr>
          <w:sz w:val="26"/>
          <w:szCs w:val="26"/>
        </w:rPr>
        <w:t>come</w:t>
      </w:r>
      <w:r w:rsidR="00A077C3" w:rsidRPr="00D55644">
        <w:rPr>
          <w:sz w:val="26"/>
          <w:szCs w:val="26"/>
        </w:rPr>
        <w:t xml:space="preserve"> smarter energy consumers.  Those products include (1) prepaid electric plans, which would allow customers to decide how much they want to spend on electricity each month with the EGSs notifying them when their balances are running low and (2) flat bill plans that</w:t>
      </w:r>
      <w:r w:rsidR="00F70310" w:rsidRPr="00D55644">
        <w:rPr>
          <w:sz w:val="26"/>
          <w:szCs w:val="26"/>
        </w:rPr>
        <w:t xml:space="preserve"> would</w:t>
      </w:r>
      <w:r w:rsidR="00A077C3" w:rsidRPr="00D55644">
        <w:rPr>
          <w:sz w:val="26"/>
          <w:szCs w:val="26"/>
        </w:rPr>
        <w:t xml:space="preserve"> allow customers to have complete control of their electric bills.  According to NRG, EGSs cannot offer these products now because they cannot bill for them.  SCB would change that.</w:t>
      </w:r>
      <w:r w:rsidR="00362B6E" w:rsidRPr="00D55644">
        <w:rPr>
          <w:rStyle w:val="FootnoteReference"/>
          <w:sz w:val="26"/>
          <w:szCs w:val="26"/>
        </w:rPr>
        <w:footnoteReference w:id="34"/>
      </w:r>
    </w:p>
    <w:p w14:paraId="6D157AFC" w14:textId="77777777" w:rsidR="00A937A3" w:rsidRPr="00D55644" w:rsidRDefault="00A937A3" w:rsidP="00DD4DD3">
      <w:pPr>
        <w:spacing w:line="360" w:lineRule="auto"/>
        <w:rPr>
          <w:sz w:val="26"/>
          <w:szCs w:val="26"/>
        </w:rPr>
      </w:pPr>
    </w:p>
    <w:p w14:paraId="6C1C0C4E" w14:textId="77777777" w:rsidR="00A937A3" w:rsidRPr="00D55644" w:rsidRDefault="00A937A3" w:rsidP="00DD4DD3">
      <w:pPr>
        <w:spacing w:line="360" w:lineRule="auto"/>
        <w:rPr>
          <w:sz w:val="26"/>
          <w:szCs w:val="26"/>
        </w:rPr>
      </w:pPr>
      <w:r w:rsidRPr="00D55644">
        <w:rPr>
          <w:sz w:val="26"/>
          <w:szCs w:val="26"/>
        </w:rPr>
        <w:tab/>
      </w:r>
      <w:r w:rsidR="003E3173" w:rsidRPr="00D55644">
        <w:rPr>
          <w:sz w:val="26"/>
          <w:szCs w:val="26"/>
        </w:rPr>
        <w:t xml:space="preserve">NRG also claims that offering SCB would allow EGSs to communicate more often and more directly with their customers via customer service calls and bill messaging.  The EGSs would be able to provide information to consumers that they are not </w:t>
      </w:r>
      <w:r w:rsidR="006B11F0" w:rsidRPr="00D55644">
        <w:rPr>
          <w:sz w:val="26"/>
          <w:szCs w:val="26"/>
        </w:rPr>
        <w:t xml:space="preserve">currently </w:t>
      </w:r>
      <w:r w:rsidR="003E3173" w:rsidRPr="00D55644">
        <w:rPr>
          <w:sz w:val="26"/>
          <w:szCs w:val="26"/>
        </w:rPr>
        <w:t>getting, including information on product offerings.  That contact w</w:t>
      </w:r>
      <w:r w:rsidR="00736655" w:rsidRPr="00D55644">
        <w:rPr>
          <w:sz w:val="26"/>
          <w:szCs w:val="26"/>
        </w:rPr>
        <w:t>ould</w:t>
      </w:r>
      <w:r w:rsidR="003E3173" w:rsidRPr="00D55644">
        <w:rPr>
          <w:sz w:val="26"/>
          <w:szCs w:val="26"/>
        </w:rPr>
        <w:t xml:space="preserve"> allow EGSs to differentiate their product offerings from competitors’ offerings, which will benefit consumers by providing them more information on which they can make electric shopping decisions.</w:t>
      </w:r>
      <w:r w:rsidR="00362B6E" w:rsidRPr="00D55644">
        <w:rPr>
          <w:rStyle w:val="FootnoteReference"/>
          <w:sz w:val="26"/>
          <w:szCs w:val="26"/>
        </w:rPr>
        <w:footnoteReference w:id="35"/>
      </w:r>
    </w:p>
    <w:p w14:paraId="0B1108CC" w14:textId="77777777" w:rsidR="00736655" w:rsidRPr="00D55644" w:rsidRDefault="00736655" w:rsidP="00DD4DD3">
      <w:pPr>
        <w:spacing w:line="360" w:lineRule="auto"/>
        <w:rPr>
          <w:sz w:val="26"/>
          <w:szCs w:val="26"/>
        </w:rPr>
      </w:pPr>
    </w:p>
    <w:p w14:paraId="278B2259" w14:textId="77777777" w:rsidR="003E3173" w:rsidRPr="006E0EAA" w:rsidRDefault="00791D58" w:rsidP="006E0EAA">
      <w:pPr>
        <w:tabs>
          <w:tab w:val="left" w:pos="720"/>
        </w:tabs>
        <w:spacing w:line="360" w:lineRule="auto"/>
        <w:rPr>
          <w:b/>
          <w:sz w:val="26"/>
          <w:szCs w:val="26"/>
        </w:rPr>
      </w:pPr>
      <w:r w:rsidRPr="006E0EAA">
        <w:rPr>
          <w:b/>
          <w:sz w:val="26"/>
          <w:szCs w:val="26"/>
        </w:rPr>
        <w:t>E.</w:t>
      </w:r>
      <w:r w:rsidRPr="006E0EAA">
        <w:rPr>
          <w:b/>
          <w:sz w:val="26"/>
          <w:szCs w:val="26"/>
        </w:rPr>
        <w:tab/>
        <w:t>Barriers Posed By UCB</w:t>
      </w:r>
    </w:p>
    <w:p w14:paraId="1FB17891" w14:textId="1B967BC9" w:rsidR="00855BA2" w:rsidRPr="00D55644" w:rsidRDefault="00791D58" w:rsidP="00791D58">
      <w:pPr>
        <w:spacing w:line="360" w:lineRule="auto"/>
        <w:rPr>
          <w:sz w:val="26"/>
          <w:szCs w:val="26"/>
        </w:rPr>
      </w:pPr>
      <w:r w:rsidRPr="00D55644">
        <w:rPr>
          <w:sz w:val="26"/>
          <w:szCs w:val="26"/>
        </w:rPr>
        <w:tab/>
        <w:t>According to NRG, the existing UCB model limits the ability of EGSs to offer innovative products and services to customers</w:t>
      </w:r>
      <w:r w:rsidR="00855BA2" w:rsidRPr="00D55644">
        <w:rPr>
          <w:sz w:val="26"/>
          <w:szCs w:val="26"/>
        </w:rPr>
        <w:t>,</w:t>
      </w:r>
      <w:r w:rsidRPr="00D55644">
        <w:rPr>
          <w:sz w:val="26"/>
          <w:szCs w:val="26"/>
        </w:rPr>
        <w:t xml:space="preserve"> and the joint bill initiative has not </w:t>
      </w:r>
      <w:r w:rsidR="00551E71" w:rsidRPr="00D55644">
        <w:rPr>
          <w:sz w:val="26"/>
          <w:szCs w:val="26"/>
        </w:rPr>
        <w:t>alleviated that problem</w:t>
      </w:r>
      <w:r w:rsidRPr="00D55644">
        <w:rPr>
          <w:sz w:val="26"/>
          <w:szCs w:val="26"/>
        </w:rPr>
        <w:t>.  First, UCB do</w:t>
      </w:r>
      <w:r w:rsidR="00893AA9" w:rsidRPr="00D55644">
        <w:rPr>
          <w:sz w:val="26"/>
          <w:szCs w:val="26"/>
        </w:rPr>
        <w:t>es</w:t>
      </w:r>
      <w:r w:rsidRPr="00D55644">
        <w:rPr>
          <w:sz w:val="26"/>
          <w:szCs w:val="26"/>
        </w:rPr>
        <w:t xml:space="preserve"> not allow an EGS to place charges other than its generation charges </w:t>
      </w:r>
      <w:r w:rsidR="00893AA9" w:rsidRPr="00D55644">
        <w:rPr>
          <w:sz w:val="26"/>
          <w:szCs w:val="26"/>
        </w:rPr>
        <w:t>on the bill</w:t>
      </w:r>
      <w:r w:rsidR="00CA3154">
        <w:rPr>
          <w:sz w:val="26"/>
          <w:szCs w:val="26"/>
        </w:rPr>
        <w:t xml:space="preserve"> if the EGS utilizes POR</w:t>
      </w:r>
      <w:r w:rsidR="00893AA9" w:rsidRPr="00D55644">
        <w:rPr>
          <w:sz w:val="26"/>
          <w:szCs w:val="26"/>
        </w:rPr>
        <w:t xml:space="preserve">.  Second, UCB limits how the generation charges are displayed on the bill, which restricts the EGS in terms of the pricing plans it can offer.  </w:t>
      </w:r>
      <w:r w:rsidR="003A00A7" w:rsidRPr="00D55644">
        <w:rPr>
          <w:sz w:val="26"/>
          <w:szCs w:val="26"/>
        </w:rPr>
        <w:t xml:space="preserve">Also, the EDCs billing systems are designed </w:t>
      </w:r>
      <w:r w:rsidR="00635C4E" w:rsidRPr="00D55644">
        <w:rPr>
          <w:sz w:val="26"/>
          <w:szCs w:val="26"/>
        </w:rPr>
        <w:t xml:space="preserve">specifically </w:t>
      </w:r>
      <w:r w:rsidR="003A00A7" w:rsidRPr="00D55644">
        <w:rPr>
          <w:sz w:val="26"/>
          <w:szCs w:val="26"/>
        </w:rPr>
        <w:t>for tariffed utility services.  In NRG’s opinion, the EDCs cannot afford to continually update their billing systems to accommodate the numerous billing needs of</w:t>
      </w:r>
      <w:r w:rsidR="00551E71" w:rsidRPr="00D55644">
        <w:rPr>
          <w:sz w:val="26"/>
          <w:szCs w:val="26"/>
        </w:rPr>
        <w:t xml:space="preserve"> the</w:t>
      </w:r>
      <w:r w:rsidR="003A00A7" w:rsidRPr="00D55644">
        <w:rPr>
          <w:sz w:val="26"/>
          <w:szCs w:val="26"/>
        </w:rPr>
        <w:t xml:space="preserve"> multiple EGSs</w:t>
      </w:r>
      <w:r w:rsidR="00551E71" w:rsidRPr="00D55644">
        <w:rPr>
          <w:sz w:val="26"/>
          <w:szCs w:val="26"/>
        </w:rPr>
        <w:t xml:space="preserve"> operating in Pennsylvania</w:t>
      </w:r>
      <w:r w:rsidR="003A00A7" w:rsidRPr="00D55644">
        <w:rPr>
          <w:sz w:val="26"/>
          <w:szCs w:val="26"/>
        </w:rPr>
        <w:t>.</w:t>
      </w:r>
      <w:r w:rsidR="0029417F" w:rsidRPr="00D55644">
        <w:rPr>
          <w:rStyle w:val="FootnoteReference"/>
          <w:sz w:val="26"/>
          <w:szCs w:val="26"/>
        </w:rPr>
        <w:footnoteReference w:id="36"/>
      </w:r>
    </w:p>
    <w:p w14:paraId="766B0A0B" w14:textId="77777777" w:rsidR="00855BA2" w:rsidRPr="00D55644" w:rsidRDefault="00855BA2" w:rsidP="00791D58">
      <w:pPr>
        <w:spacing w:line="360" w:lineRule="auto"/>
        <w:rPr>
          <w:sz w:val="26"/>
          <w:szCs w:val="26"/>
        </w:rPr>
      </w:pPr>
    </w:p>
    <w:p w14:paraId="036D511E" w14:textId="77777777" w:rsidR="00791D58" w:rsidRPr="00D55644" w:rsidRDefault="009570EE" w:rsidP="00855BA2">
      <w:pPr>
        <w:spacing w:line="360" w:lineRule="auto"/>
        <w:ind w:firstLine="720"/>
        <w:rPr>
          <w:sz w:val="26"/>
          <w:szCs w:val="26"/>
        </w:rPr>
      </w:pPr>
      <w:r w:rsidRPr="00D55644">
        <w:rPr>
          <w:sz w:val="26"/>
          <w:szCs w:val="26"/>
        </w:rPr>
        <w:t>Lastly,</w:t>
      </w:r>
      <w:r w:rsidR="00900C82" w:rsidRPr="00D55644">
        <w:rPr>
          <w:sz w:val="26"/>
          <w:szCs w:val="26"/>
        </w:rPr>
        <w:t xml:space="preserve"> </w:t>
      </w:r>
      <w:r w:rsidR="0074675D" w:rsidRPr="00D55644">
        <w:rPr>
          <w:sz w:val="26"/>
          <w:szCs w:val="26"/>
        </w:rPr>
        <w:t xml:space="preserve">NRG claims that </w:t>
      </w:r>
      <w:r w:rsidR="00900C82" w:rsidRPr="00D55644">
        <w:rPr>
          <w:sz w:val="26"/>
          <w:szCs w:val="26"/>
        </w:rPr>
        <w:t>the new joint bills have not had a positive impact because</w:t>
      </w:r>
      <w:r w:rsidRPr="00D55644">
        <w:rPr>
          <w:sz w:val="26"/>
          <w:szCs w:val="26"/>
        </w:rPr>
        <w:t xml:space="preserve"> the addition of two more messaging lines for EGSs on the joint UCB bills has not been enough to strengthen the relationship between EGSs and </w:t>
      </w:r>
      <w:r w:rsidR="00900C82" w:rsidRPr="00D55644">
        <w:rPr>
          <w:sz w:val="26"/>
          <w:szCs w:val="26"/>
        </w:rPr>
        <w:t>their customers.  Other issues with</w:t>
      </w:r>
      <w:r w:rsidRPr="00D55644">
        <w:rPr>
          <w:sz w:val="26"/>
          <w:szCs w:val="26"/>
        </w:rPr>
        <w:t xml:space="preserve"> the joint bills</w:t>
      </w:r>
      <w:r w:rsidR="00900C82" w:rsidRPr="00D55644">
        <w:rPr>
          <w:sz w:val="26"/>
          <w:szCs w:val="26"/>
        </w:rPr>
        <w:t xml:space="preserve"> have limited their effectiveness at improving conditions for EGSs, including</w:t>
      </w:r>
      <w:r w:rsidRPr="00D55644">
        <w:rPr>
          <w:sz w:val="26"/>
          <w:szCs w:val="26"/>
        </w:rPr>
        <w:t xml:space="preserve"> that they are not required to include an EGS logo in color; </w:t>
      </w:r>
      <w:r w:rsidR="00C01AD1" w:rsidRPr="00D55644">
        <w:rPr>
          <w:sz w:val="26"/>
          <w:szCs w:val="26"/>
        </w:rPr>
        <w:t xml:space="preserve">that </w:t>
      </w:r>
      <w:r w:rsidRPr="00D55644">
        <w:rPr>
          <w:sz w:val="26"/>
          <w:szCs w:val="26"/>
        </w:rPr>
        <w:t xml:space="preserve">there is no EGS information on the bill’s envelope; </w:t>
      </w:r>
      <w:r w:rsidR="00C01AD1" w:rsidRPr="00D55644">
        <w:rPr>
          <w:sz w:val="26"/>
          <w:szCs w:val="26"/>
        </w:rPr>
        <w:t xml:space="preserve">that </w:t>
      </w:r>
      <w:r w:rsidRPr="00D55644">
        <w:rPr>
          <w:sz w:val="26"/>
          <w:szCs w:val="26"/>
        </w:rPr>
        <w:t xml:space="preserve">there is no EGS information included in the email notices sent to customers who do not receive paper bills; and </w:t>
      </w:r>
      <w:r w:rsidR="00C01AD1" w:rsidRPr="00D55644">
        <w:rPr>
          <w:sz w:val="26"/>
          <w:szCs w:val="26"/>
        </w:rPr>
        <w:t xml:space="preserve">that </w:t>
      </w:r>
      <w:r w:rsidRPr="00D55644">
        <w:rPr>
          <w:sz w:val="26"/>
          <w:szCs w:val="26"/>
        </w:rPr>
        <w:t xml:space="preserve">the EGS messaging on the bills cannot be customized for an individual customer.  </w:t>
      </w:r>
      <w:r w:rsidR="008B34AD" w:rsidRPr="00D55644">
        <w:rPr>
          <w:sz w:val="26"/>
          <w:szCs w:val="26"/>
        </w:rPr>
        <w:t>NRG believes that the joint bill still appears to be an EDC bill with the EGS information relegated to a few lines.</w:t>
      </w:r>
      <w:r w:rsidR="00855BA2" w:rsidRPr="00D55644">
        <w:rPr>
          <w:sz w:val="26"/>
          <w:szCs w:val="26"/>
        </w:rPr>
        <w:t xml:space="preserve">  As such,</w:t>
      </w:r>
      <w:r w:rsidR="00220B7B" w:rsidRPr="00D55644">
        <w:rPr>
          <w:sz w:val="26"/>
          <w:szCs w:val="26"/>
        </w:rPr>
        <w:t xml:space="preserve"> according to NRG,</w:t>
      </w:r>
      <w:r w:rsidR="00855BA2" w:rsidRPr="00D55644">
        <w:rPr>
          <w:sz w:val="26"/>
          <w:szCs w:val="26"/>
        </w:rPr>
        <w:t xml:space="preserve"> the goal of fostering competition by strengthening the relationship between EGSs and their customers has not been met.</w:t>
      </w:r>
      <w:r w:rsidR="0029417F" w:rsidRPr="00D55644">
        <w:rPr>
          <w:rStyle w:val="FootnoteReference"/>
          <w:sz w:val="26"/>
          <w:szCs w:val="26"/>
        </w:rPr>
        <w:footnoteReference w:id="37"/>
      </w:r>
    </w:p>
    <w:p w14:paraId="13CDAEF6" w14:textId="77777777" w:rsidR="00220B7B" w:rsidRPr="00D55644" w:rsidRDefault="00220B7B" w:rsidP="00855BA2">
      <w:pPr>
        <w:spacing w:line="360" w:lineRule="auto"/>
        <w:rPr>
          <w:sz w:val="26"/>
          <w:szCs w:val="26"/>
        </w:rPr>
      </w:pPr>
    </w:p>
    <w:p w14:paraId="54BDDCA5" w14:textId="77777777" w:rsidR="00855BA2" w:rsidRPr="006E0EAA" w:rsidRDefault="00855BA2" w:rsidP="006E0EAA">
      <w:pPr>
        <w:tabs>
          <w:tab w:val="left" w:pos="720"/>
        </w:tabs>
        <w:spacing w:line="360" w:lineRule="auto"/>
        <w:rPr>
          <w:b/>
          <w:sz w:val="26"/>
          <w:szCs w:val="26"/>
        </w:rPr>
      </w:pPr>
      <w:r w:rsidRPr="006E0EAA">
        <w:rPr>
          <w:b/>
          <w:sz w:val="26"/>
          <w:szCs w:val="26"/>
        </w:rPr>
        <w:t>F.</w:t>
      </w:r>
      <w:r w:rsidRPr="006E0EAA">
        <w:rPr>
          <w:b/>
          <w:sz w:val="26"/>
          <w:szCs w:val="26"/>
        </w:rPr>
        <w:tab/>
        <w:t>Background Work Already Completed</w:t>
      </w:r>
    </w:p>
    <w:p w14:paraId="12C69883" w14:textId="77777777" w:rsidR="00855BA2" w:rsidRPr="00D55644" w:rsidRDefault="00855BA2" w:rsidP="00855BA2">
      <w:pPr>
        <w:spacing w:line="360" w:lineRule="auto"/>
        <w:rPr>
          <w:sz w:val="26"/>
          <w:szCs w:val="26"/>
        </w:rPr>
      </w:pPr>
      <w:r w:rsidRPr="00D55644">
        <w:rPr>
          <w:sz w:val="26"/>
          <w:szCs w:val="26"/>
        </w:rPr>
        <w:tab/>
      </w:r>
      <w:r w:rsidR="00C84003" w:rsidRPr="00D55644">
        <w:rPr>
          <w:sz w:val="26"/>
          <w:szCs w:val="26"/>
        </w:rPr>
        <w:t>NRG anticipates, given the importance of SCB to the continued development of a competitive retail electric market in Pennsylvania and “the lack of any legitimate downsides to its implementation,” that any opposition to its Petition “will focus on the complexities and potential costs associated with implementing SCB.”</w:t>
      </w:r>
      <w:r w:rsidR="007110B9" w:rsidRPr="00D55644">
        <w:rPr>
          <w:rStyle w:val="FootnoteReference"/>
          <w:sz w:val="26"/>
          <w:szCs w:val="26"/>
        </w:rPr>
        <w:footnoteReference w:id="38"/>
      </w:r>
    </w:p>
    <w:p w14:paraId="67D582A6" w14:textId="77777777" w:rsidR="00C84003" w:rsidRPr="00D55644" w:rsidRDefault="00C84003" w:rsidP="00855BA2">
      <w:pPr>
        <w:spacing w:line="360" w:lineRule="auto"/>
        <w:rPr>
          <w:sz w:val="26"/>
          <w:szCs w:val="26"/>
        </w:rPr>
      </w:pPr>
    </w:p>
    <w:p w14:paraId="050208D4" w14:textId="77777777" w:rsidR="00C84003" w:rsidRPr="00D55644" w:rsidRDefault="00C84003" w:rsidP="00855BA2">
      <w:pPr>
        <w:spacing w:line="360" w:lineRule="auto"/>
        <w:rPr>
          <w:sz w:val="26"/>
          <w:szCs w:val="26"/>
        </w:rPr>
      </w:pPr>
      <w:r w:rsidRPr="00D55644">
        <w:rPr>
          <w:sz w:val="26"/>
          <w:szCs w:val="26"/>
        </w:rPr>
        <w:tab/>
      </w:r>
      <w:r w:rsidR="00287349" w:rsidRPr="00D55644">
        <w:rPr>
          <w:sz w:val="26"/>
          <w:szCs w:val="26"/>
        </w:rPr>
        <w:t xml:space="preserve">To counter those arguments, NRG notes that EDEWG has already done extensive work to implement SCB, including the development of EDI </w:t>
      </w:r>
      <w:r w:rsidR="00803C37" w:rsidRPr="00D55644">
        <w:rPr>
          <w:sz w:val="26"/>
          <w:szCs w:val="26"/>
        </w:rPr>
        <w:t>transactions</w:t>
      </w:r>
      <w:r w:rsidR="00287349" w:rsidRPr="00D55644">
        <w:rPr>
          <w:sz w:val="26"/>
          <w:szCs w:val="26"/>
        </w:rPr>
        <w:t>.  EDEWG also developed a set of policy questions the Commission would need to answer before further work could be done to develop transactions.  NRG requests that the Commission answer those questions.</w:t>
      </w:r>
      <w:r w:rsidR="003077F9" w:rsidRPr="00D55644">
        <w:rPr>
          <w:sz w:val="26"/>
          <w:szCs w:val="26"/>
        </w:rPr>
        <w:t xml:space="preserve"> </w:t>
      </w:r>
      <w:r w:rsidR="00287349" w:rsidRPr="00D55644">
        <w:rPr>
          <w:sz w:val="26"/>
          <w:szCs w:val="26"/>
        </w:rPr>
        <w:t xml:space="preserve"> </w:t>
      </w:r>
      <w:r w:rsidR="003077F9" w:rsidRPr="00D55644">
        <w:rPr>
          <w:sz w:val="26"/>
          <w:szCs w:val="26"/>
        </w:rPr>
        <w:t>Also, NRG states that EDI protocols for SCB have been developed in Texas and would provide a roadmap for SCB implementation in Pennsylvania.</w:t>
      </w:r>
      <w:r w:rsidR="001A7725" w:rsidRPr="00D55644">
        <w:rPr>
          <w:sz w:val="26"/>
          <w:szCs w:val="26"/>
        </w:rPr>
        <w:t xml:space="preserve">  If there are any incremental costs of SCB implementation, NRG asserts that “the Commission can direct the EDCs to address this issue in compliance filings </w:t>
      </w:r>
      <w:proofErr w:type="gramStart"/>
      <w:r w:rsidR="001A7725" w:rsidRPr="00D55644">
        <w:rPr>
          <w:sz w:val="26"/>
          <w:szCs w:val="26"/>
        </w:rPr>
        <w:t>similar to</w:t>
      </w:r>
      <w:proofErr w:type="gramEnd"/>
      <w:r w:rsidR="001A7725" w:rsidRPr="00D55644">
        <w:rPr>
          <w:sz w:val="26"/>
          <w:szCs w:val="26"/>
        </w:rPr>
        <w:t xml:space="preserve"> the manner in which other costs for system changes have been handled.”</w:t>
      </w:r>
      <w:r w:rsidR="007110B9" w:rsidRPr="00D55644">
        <w:rPr>
          <w:rStyle w:val="FootnoteReference"/>
          <w:sz w:val="26"/>
          <w:szCs w:val="26"/>
        </w:rPr>
        <w:footnoteReference w:id="39"/>
      </w:r>
    </w:p>
    <w:p w14:paraId="3A195D6C" w14:textId="77777777" w:rsidR="00F93D96" w:rsidRPr="00D55644" w:rsidRDefault="00F93D96" w:rsidP="00855BA2">
      <w:pPr>
        <w:spacing w:line="360" w:lineRule="auto"/>
        <w:rPr>
          <w:sz w:val="26"/>
          <w:szCs w:val="26"/>
        </w:rPr>
      </w:pPr>
    </w:p>
    <w:p w14:paraId="7A21B8BF" w14:textId="77777777" w:rsidR="00F93D96" w:rsidRPr="00D55644" w:rsidRDefault="00F93D96" w:rsidP="00855BA2">
      <w:pPr>
        <w:spacing w:line="360" w:lineRule="auto"/>
        <w:rPr>
          <w:sz w:val="26"/>
          <w:szCs w:val="26"/>
        </w:rPr>
      </w:pPr>
      <w:r w:rsidRPr="00D55644">
        <w:rPr>
          <w:sz w:val="26"/>
          <w:szCs w:val="26"/>
        </w:rPr>
        <w:tab/>
      </w:r>
      <w:r w:rsidR="002174A6" w:rsidRPr="00D55644">
        <w:rPr>
          <w:sz w:val="26"/>
          <w:szCs w:val="26"/>
        </w:rPr>
        <w:t>NRG asserts</w:t>
      </w:r>
      <w:r w:rsidR="00103709" w:rsidRPr="00D55644">
        <w:rPr>
          <w:sz w:val="26"/>
          <w:szCs w:val="26"/>
        </w:rPr>
        <w:t xml:space="preserve"> that the work remaining to be done to implement SCB is minor compared to the work that has already been done “to permit retail customers to receive their electric generation services from EGSs.”  As such, the only thing needed is the commitment to take the necessary steps to create the robust competitive retail electric market envisioned by the General Assembly when it authorized electric restructuring.</w:t>
      </w:r>
      <w:r w:rsidR="007110B9" w:rsidRPr="00D55644">
        <w:rPr>
          <w:rStyle w:val="FootnoteReference"/>
          <w:sz w:val="26"/>
          <w:szCs w:val="26"/>
        </w:rPr>
        <w:footnoteReference w:id="40"/>
      </w:r>
    </w:p>
    <w:p w14:paraId="7AB96048" w14:textId="77777777" w:rsidR="0084602E" w:rsidRPr="00D55644" w:rsidRDefault="0084602E" w:rsidP="006A2DFB">
      <w:pPr>
        <w:spacing w:line="360" w:lineRule="auto"/>
        <w:rPr>
          <w:sz w:val="26"/>
          <w:szCs w:val="26"/>
        </w:rPr>
      </w:pPr>
    </w:p>
    <w:p w14:paraId="34AFB5C0" w14:textId="77777777" w:rsidR="00103709" w:rsidRPr="006E0EAA" w:rsidRDefault="00103709" w:rsidP="006E0EAA">
      <w:pPr>
        <w:tabs>
          <w:tab w:val="left" w:pos="720"/>
        </w:tabs>
        <w:spacing w:line="360" w:lineRule="auto"/>
        <w:rPr>
          <w:b/>
          <w:sz w:val="26"/>
          <w:szCs w:val="26"/>
        </w:rPr>
      </w:pPr>
      <w:r w:rsidRPr="006E0EAA">
        <w:rPr>
          <w:b/>
          <w:sz w:val="26"/>
          <w:szCs w:val="26"/>
        </w:rPr>
        <w:t>G.</w:t>
      </w:r>
      <w:r w:rsidRPr="006E0EAA">
        <w:rPr>
          <w:b/>
          <w:sz w:val="26"/>
          <w:szCs w:val="26"/>
        </w:rPr>
        <w:tab/>
        <w:t>Proposed Commission Actions</w:t>
      </w:r>
    </w:p>
    <w:p w14:paraId="53DC4983" w14:textId="77777777" w:rsidR="00103709" w:rsidRPr="00D55644" w:rsidRDefault="00103709" w:rsidP="00126A2D">
      <w:pPr>
        <w:spacing w:line="360" w:lineRule="auto"/>
        <w:rPr>
          <w:sz w:val="26"/>
          <w:szCs w:val="26"/>
        </w:rPr>
      </w:pPr>
      <w:r w:rsidRPr="00D55644">
        <w:rPr>
          <w:sz w:val="26"/>
          <w:szCs w:val="26"/>
        </w:rPr>
        <w:tab/>
      </w:r>
      <w:r w:rsidR="007537B2" w:rsidRPr="00D55644">
        <w:rPr>
          <w:sz w:val="26"/>
          <w:szCs w:val="26"/>
        </w:rPr>
        <w:t xml:space="preserve">Finally, NRG proposed </w:t>
      </w:r>
      <w:proofErr w:type="gramStart"/>
      <w:r w:rsidR="007537B2" w:rsidRPr="00D55644">
        <w:rPr>
          <w:sz w:val="26"/>
          <w:szCs w:val="26"/>
        </w:rPr>
        <w:t>a number of</w:t>
      </w:r>
      <w:proofErr w:type="gramEnd"/>
      <w:r w:rsidR="007537B2" w:rsidRPr="00D55644">
        <w:rPr>
          <w:sz w:val="26"/>
          <w:szCs w:val="26"/>
        </w:rPr>
        <w:t xml:space="preserve"> actions the Commission would need to take in order t</w:t>
      </w:r>
      <w:r w:rsidR="0052157B" w:rsidRPr="00D55644">
        <w:rPr>
          <w:sz w:val="26"/>
          <w:szCs w:val="26"/>
        </w:rPr>
        <w:t xml:space="preserve">o implement </w:t>
      </w:r>
      <w:r w:rsidR="0064413A">
        <w:rPr>
          <w:sz w:val="26"/>
          <w:szCs w:val="26"/>
        </w:rPr>
        <w:t>its propos</w:t>
      </w:r>
      <w:r w:rsidR="00CC777C">
        <w:rPr>
          <w:sz w:val="26"/>
          <w:szCs w:val="26"/>
        </w:rPr>
        <w:t>al for</w:t>
      </w:r>
      <w:r w:rsidR="0064413A">
        <w:rPr>
          <w:sz w:val="26"/>
          <w:szCs w:val="26"/>
        </w:rPr>
        <w:t xml:space="preserve"> </w:t>
      </w:r>
      <w:r w:rsidR="0052157B" w:rsidRPr="00D55644">
        <w:rPr>
          <w:sz w:val="26"/>
          <w:szCs w:val="26"/>
        </w:rPr>
        <w:t>SCB in Pennsylvania</w:t>
      </w:r>
      <w:r w:rsidR="000E2640">
        <w:rPr>
          <w:sz w:val="26"/>
          <w:szCs w:val="26"/>
        </w:rPr>
        <w:t xml:space="preserve"> and supplied a</w:t>
      </w:r>
      <w:r w:rsidR="00126A2D" w:rsidRPr="00D55644">
        <w:rPr>
          <w:sz w:val="26"/>
          <w:szCs w:val="26"/>
        </w:rPr>
        <w:t xml:space="preserve"> proposed timeline</w:t>
      </w:r>
      <w:r w:rsidR="005961F5">
        <w:rPr>
          <w:sz w:val="26"/>
          <w:szCs w:val="26"/>
        </w:rPr>
        <w:t xml:space="preserve"> for the Commission to follow</w:t>
      </w:r>
      <w:r w:rsidR="0009221B" w:rsidRPr="00D55644">
        <w:rPr>
          <w:sz w:val="26"/>
          <w:szCs w:val="26"/>
        </w:rPr>
        <w:t>.</w:t>
      </w:r>
      <w:r w:rsidR="0009221B" w:rsidRPr="00D55644">
        <w:rPr>
          <w:rStyle w:val="FootnoteReference"/>
          <w:sz w:val="26"/>
          <w:szCs w:val="26"/>
        </w:rPr>
        <w:footnoteReference w:id="41"/>
      </w:r>
    </w:p>
    <w:p w14:paraId="44FCFA5C" w14:textId="77777777" w:rsidR="00B76DD7" w:rsidRPr="00B76DD7" w:rsidRDefault="00B76DD7" w:rsidP="00B76DD7">
      <w:pPr>
        <w:spacing w:line="360" w:lineRule="auto"/>
        <w:rPr>
          <w:sz w:val="26"/>
          <w:szCs w:val="26"/>
        </w:rPr>
      </w:pPr>
    </w:p>
    <w:p w14:paraId="381D781C" w14:textId="77777777" w:rsidR="00B76DD7" w:rsidRPr="006C5132" w:rsidRDefault="006C5132" w:rsidP="006C5132">
      <w:pPr>
        <w:spacing w:line="360" w:lineRule="auto"/>
        <w:ind w:right="-180"/>
        <w:jc w:val="center"/>
        <w:rPr>
          <w:b/>
          <w:sz w:val="26"/>
          <w:szCs w:val="26"/>
        </w:rPr>
      </w:pPr>
      <w:r w:rsidRPr="006C5132">
        <w:rPr>
          <w:b/>
          <w:sz w:val="26"/>
          <w:szCs w:val="26"/>
        </w:rPr>
        <w:t>BURDEN OF PROOF AND LEGAL STANDARD FOR DECLARATORY ORDERS</w:t>
      </w:r>
    </w:p>
    <w:p w14:paraId="5D959819" w14:textId="1D3A42DF" w:rsidR="00B76DD7" w:rsidRPr="009C0979" w:rsidRDefault="00B76DD7" w:rsidP="00B76DD7">
      <w:pPr>
        <w:spacing w:line="360" w:lineRule="auto"/>
        <w:ind w:firstLine="720"/>
        <w:rPr>
          <w:sz w:val="26"/>
          <w:szCs w:val="26"/>
        </w:rPr>
      </w:pPr>
      <w:r>
        <w:rPr>
          <w:sz w:val="26"/>
          <w:szCs w:val="26"/>
        </w:rPr>
        <w:t xml:space="preserve">As the proponent of the Order, NRG has the burden of the proof.  66 Pa. C.S. § 332.  NRG filed its Petition, requesting that the Commission issue a Declaratory Order implementing SCB as a billing option available to customers of EGSs, pursuant to 52 Pa. Code § 5.41 (re:  Petitions generally).  NRG Petition at 1.  Section 5.41 requires that petitions for relief must be in writing, state clearly and concisely the interest of the petitioner in the subject matter, the facts and law relied on, and the relief sought.  52 Pa. Code § 5.41(a).  </w:t>
      </w:r>
      <w:r w:rsidRPr="009C0979">
        <w:rPr>
          <w:sz w:val="26"/>
          <w:szCs w:val="26"/>
        </w:rPr>
        <w:t>Petitions for the issuance of a declaratory order to terminate a controversy or remove uncertainty must: (1)</w:t>
      </w:r>
      <w:r w:rsidRPr="00BC2D0F">
        <w:rPr>
          <w:sz w:val="26"/>
          <w:szCs w:val="26"/>
        </w:rPr>
        <w:t> state clearly and concisely the controversy or uncertainty; (2) cite the statutory provision or other authority involved; (3) include a</w:t>
      </w:r>
      <w:r>
        <w:rPr>
          <w:sz w:val="26"/>
          <w:szCs w:val="26"/>
        </w:rPr>
        <w:t xml:space="preserve"> complete statement of the facts and grounds prompting the petition; and (4) include a full disclosure of the interest of the petitioner.  52 Pa. Code § 5.42(a).</w:t>
      </w:r>
    </w:p>
    <w:p w14:paraId="4EF8CD53" w14:textId="77777777" w:rsidR="0084602E" w:rsidRPr="00B76DD7" w:rsidRDefault="0084602E" w:rsidP="0084602E">
      <w:pPr>
        <w:spacing w:line="360" w:lineRule="auto"/>
        <w:rPr>
          <w:sz w:val="26"/>
          <w:szCs w:val="26"/>
        </w:rPr>
      </w:pPr>
    </w:p>
    <w:p w14:paraId="39E9C59D" w14:textId="77777777" w:rsidR="0011036C" w:rsidRPr="00B76DD7" w:rsidRDefault="006C5132" w:rsidP="006C5132">
      <w:pPr>
        <w:pStyle w:val="ListParagraph"/>
        <w:spacing w:line="360" w:lineRule="auto"/>
        <w:ind w:left="0"/>
        <w:jc w:val="center"/>
        <w:rPr>
          <w:rFonts w:ascii="Times New Roman" w:hAnsi="Times New Roman"/>
          <w:b/>
          <w:sz w:val="26"/>
          <w:szCs w:val="26"/>
        </w:rPr>
      </w:pPr>
      <w:r w:rsidRPr="00B76DD7">
        <w:rPr>
          <w:rFonts w:ascii="Times New Roman" w:hAnsi="Times New Roman"/>
          <w:b/>
          <w:sz w:val="26"/>
          <w:szCs w:val="26"/>
        </w:rPr>
        <w:t>PROCEDURAL HISTORY</w:t>
      </w:r>
    </w:p>
    <w:p w14:paraId="584EF76B" w14:textId="77777777" w:rsidR="0011036C" w:rsidRPr="00D55644" w:rsidRDefault="0011036C" w:rsidP="0011036C">
      <w:pPr>
        <w:spacing w:line="360" w:lineRule="auto"/>
        <w:rPr>
          <w:sz w:val="26"/>
          <w:szCs w:val="26"/>
        </w:rPr>
      </w:pPr>
      <w:r w:rsidRPr="00D55644">
        <w:rPr>
          <w:sz w:val="26"/>
          <w:szCs w:val="26"/>
        </w:rPr>
        <w:tab/>
        <w:t xml:space="preserve">NRG filed its Petition for implementation of SCB on December 8, 2016.  </w:t>
      </w:r>
      <w:r w:rsidR="00D60B6A" w:rsidRPr="00D55644">
        <w:rPr>
          <w:sz w:val="26"/>
          <w:szCs w:val="26"/>
        </w:rPr>
        <w:t xml:space="preserve">Seventeen parties filed Comments by the January 23, 2017 deadline.  Comments advocating </w:t>
      </w:r>
      <w:r w:rsidR="00F71442" w:rsidRPr="00D55644">
        <w:rPr>
          <w:sz w:val="26"/>
          <w:szCs w:val="26"/>
        </w:rPr>
        <w:t xml:space="preserve">for </w:t>
      </w:r>
      <w:r w:rsidR="00D60B6A" w:rsidRPr="00D55644">
        <w:rPr>
          <w:sz w:val="26"/>
          <w:szCs w:val="26"/>
        </w:rPr>
        <w:t>Commission approval of NRG’s Petition were received from Direct Energy Services, LLC, Direct Energy Business Marketing, LLC, and Direct Energy Business, LLC (collectively, Direct Energy); the Retail Energy Supply Association (RESA), a trade association of energy supply companies; and WGL Energy Services, Inc. (W</w:t>
      </w:r>
      <w:r w:rsidR="00155C30" w:rsidRPr="00D55644">
        <w:rPr>
          <w:sz w:val="26"/>
          <w:szCs w:val="26"/>
        </w:rPr>
        <w:t>GL Energy).</w:t>
      </w:r>
    </w:p>
    <w:p w14:paraId="6876A679" w14:textId="77777777" w:rsidR="00155C30" w:rsidRPr="00D55644" w:rsidRDefault="00155C30" w:rsidP="0011036C">
      <w:pPr>
        <w:spacing w:line="360" w:lineRule="auto"/>
        <w:rPr>
          <w:sz w:val="26"/>
          <w:szCs w:val="26"/>
        </w:rPr>
      </w:pPr>
    </w:p>
    <w:p w14:paraId="2ADD71A9" w14:textId="77777777" w:rsidR="00155C30" w:rsidRPr="00D55644" w:rsidRDefault="00155C30" w:rsidP="0011036C">
      <w:pPr>
        <w:spacing w:line="360" w:lineRule="auto"/>
        <w:rPr>
          <w:sz w:val="26"/>
          <w:szCs w:val="26"/>
        </w:rPr>
      </w:pPr>
      <w:r w:rsidRPr="00D55644">
        <w:rPr>
          <w:sz w:val="26"/>
          <w:szCs w:val="26"/>
        </w:rPr>
        <w:tab/>
        <w:t>Duquesne Light Company (Duquesne); the Energy Association of Pennsylvania (EAP), a trade organization representing regulated electric and natural gas distribution companies operating in the Commonwealth; Metropolitan Edison Company, Pennsylvania Electric Company, Pennsylvania Power Company, and West Penn Pow</w:t>
      </w:r>
      <w:r w:rsidR="00E871B9" w:rsidRPr="00D55644">
        <w:rPr>
          <w:sz w:val="26"/>
          <w:szCs w:val="26"/>
        </w:rPr>
        <w:t>er Company (collectively, First</w:t>
      </w:r>
      <w:r w:rsidRPr="00D55644">
        <w:rPr>
          <w:sz w:val="26"/>
          <w:szCs w:val="26"/>
        </w:rPr>
        <w:t>Energy)</w:t>
      </w:r>
      <w:r w:rsidR="00E871B9" w:rsidRPr="00D55644">
        <w:rPr>
          <w:sz w:val="26"/>
          <w:szCs w:val="26"/>
        </w:rPr>
        <w:t xml:space="preserve">; the Met-Ed Industrial Users Group, </w:t>
      </w:r>
      <w:proofErr w:type="spellStart"/>
      <w:r w:rsidR="00E871B9" w:rsidRPr="00D55644">
        <w:rPr>
          <w:sz w:val="26"/>
          <w:szCs w:val="26"/>
        </w:rPr>
        <w:t>Penelec</w:t>
      </w:r>
      <w:proofErr w:type="spellEnd"/>
      <w:r w:rsidR="00E871B9" w:rsidRPr="00D55644">
        <w:rPr>
          <w:sz w:val="26"/>
          <w:szCs w:val="26"/>
        </w:rPr>
        <w:t xml:space="preserve"> Industrial Customer Alliance; Philadelphia Area Industrial Energy Users Group, PP&amp;L Industrial Customer Alliance, and West Penn Power Industrial Intervenors (collectively, the Industrial Customer Alliances); Office of Consumer Advocate (OCA); and UGI Utilities, Inc. – Electric Division (UGI) </w:t>
      </w:r>
      <w:r w:rsidR="00AA5A11" w:rsidRPr="00D55644">
        <w:rPr>
          <w:sz w:val="26"/>
          <w:szCs w:val="26"/>
        </w:rPr>
        <w:t xml:space="preserve">submitted Answers and/or Comments arguing  </w:t>
      </w:r>
      <w:r w:rsidR="00E871B9" w:rsidRPr="00D55644">
        <w:rPr>
          <w:sz w:val="26"/>
          <w:szCs w:val="26"/>
        </w:rPr>
        <w:t>that the Commission should deny NRG’s Petition.</w:t>
      </w:r>
    </w:p>
    <w:p w14:paraId="0C5E23FC" w14:textId="77777777" w:rsidR="00E871B9" w:rsidRPr="00D55644" w:rsidRDefault="00E871B9" w:rsidP="0011036C">
      <w:pPr>
        <w:spacing w:line="360" w:lineRule="auto"/>
        <w:rPr>
          <w:sz w:val="26"/>
          <w:szCs w:val="26"/>
        </w:rPr>
      </w:pPr>
    </w:p>
    <w:p w14:paraId="129727E2" w14:textId="2D7A459E" w:rsidR="00E871B9" w:rsidRPr="00D55644" w:rsidRDefault="00E871B9" w:rsidP="0011036C">
      <w:pPr>
        <w:spacing w:line="360" w:lineRule="auto"/>
        <w:rPr>
          <w:sz w:val="26"/>
          <w:szCs w:val="26"/>
        </w:rPr>
      </w:pPr>
      <w:r w:rsidRPr="00D55644">
        <w:rPr>
          <w:sz w:val="26"/>
          <w:szCs w:val="26"/>
        </w:rPr>
        <w:tab/>
      </w:r>
      <w:r w:rsidR="004520BD" w:rsidRPr="00D55644">
        <w:rPr>
          <w:sz w:val="26"/>
          <w:szCs w:val="26"/>
        </w:rPr>
        <w:t>The Coalition for Affordable Utility Services and Energy Efficiency in Pennsylvania (CAUSE PA); PECO Energy Company (PECO); PPL Electric Utilities Corporation (PPL); and the Tenant Union Representative Network and Action Alliance of Senior Citizens of Greater Philadelphia (TURN) agree that the Commission should deny NRG’s Petition; however, they argue that, in the alternative, the Commission should remand the matter to OALJ for evidentiary hearings.</w:t>
      </w:r>
    </w:p>
    <w:p w14:paraId="2D6E328D" w14:textId="77777777" w:rsidR="004520BD" w:rsidRPr="00D55644" w:rsidRDefault="004520BD" w:rsidP="0011036C">
      <w:pPr>
        <w:spacing w:line="360" w:lineRule="auto"/>
        <w:rPr>
          <w:sz w:val="26"/>
          <w:szCs w:val="26"/>
        </w:rPr>
      </w:pPr>
      <w:r w:rsidRPr="00D55644">
        <w:rPr>
          <w:sz w:val="26"/>
          <w:szCs w:val="26"/>
        </w:rPr>
        <w:tab/>
      </w:r>
      <w:r w:rsidR="00BA554A" w:rsidRPr="00D55644">
        <w:rPr>
          <w:sz w:val="26"/>
          <w:szCs w:val="26"/>
        </w:rPr>
        <w:t xml:space="preserve">Citizens Electric Company and Wellsboro Electric Company (Citizens &amp; Wellsboro) contend that the Commission should reject NRG’s Petition, but that if it is approved, the Commission should grant </w:t>
      </w:r>
      <w:r w:rsidR="00E348FD" w:rsidRPr="00D55644">
        <w:rPr>
          <w:sz w:val="26"/>
          <w:szCs w:val="26"/>
        </w:rPr>
        <w:t>an exception for smaller EDCs.</w:t>
      </w:r>
    </w:p>
    <w:p w14:paraId="77962116" w14:textId="77777777" w:rsidR="00BA554A" w:rsidRPr="00D55644" w:rsidRDefault="00BA554A" w:rsidP="0011036C">
      <w:pPr>
        <w:spacing w:line="360" w:lineRule="auto"/>
        <w:rPr>
          <w:sz w:val="26"/>
          <w:szCs w:val="26"/>
        </w:rPr>
      </w:pPr>
    </w:p>
    <w:p w14:paraId="55804F56" w14:textId="77777777" w:rsidR="00BA554A" w:rsidRPr="00D55644" w:rsidRDefault="00BA554A" w:rsidP="0011036C">
      <w:pPr>
        <w:spacing w:line="360" w:lineRule="auto"/>
        <w:rPr>
          <w:sz w:val="26"/>
          <w:szCs w:val="26"/>
        </w:rPr>
      </w:pPr>
      <w:r w:rsidRPr="00D55644">
        <w:rPr>
          <w:sz w:val="26"/>
          <w:szCs w:val="26"/>
        </w:rPr>
        <w:tab/>
        <w:t>The Office of Small Business Advocate (OSBA) and the Pennsylvania AFL-CIO Utility Caucus (PA AFL-CIO) advise the Commission to remand the matter for evidentiary hearings before the OALJ.</w:t>
      </w:r>
    </w:p>
    <w:p w14:paraId="36708A4F" w14:textId="77777777" w:rsidR="00BA554A" w:rsidRPr="00D55644" w:rsidRDefault="00BA554A" w:rsidP="0011036C">
      <w:pPr>
        <w:spacing w:line="360" w:lineRule="auto"/>
        <w:rPr>
          <w:sz w:val="26"/>
          <w:szCs w:val="26"/>
        </w:rPr>
      </w:pPr>
    </w:p>
    <w:p w14:paraId="1676BA0A" w14:textId="77777777" w:rsidR="00BA554A" w:rsidRPr="00D55644" w:rsidRDefault="00BA554A" w:rsidP="0011036C">
      <w:pPr>
        <w:spacing w:line="360" w:lineRule="auto"/>
        <w:rPr>
          <w:sz w:val="26"/>
          <w:szCs w:val="26"/>
        </w:rPr>
      </w:pPr>
      <w:r w:rsidRPr="00D55644">
        <w:rPr>
          <w:sz w:val="26"/>
          <w:szCs w:val="26"/>
        </w:rPr>
        <w:tab/>
        <w:t>Finally, Calpine Energy Solutions, LLC (Calpine), an EGS operating in Penn</w:t>
      </w:r>
      <w:r w:rsidR="000E3DA5" w:rsidRPr="00D55644">
        <w:rPr>
          <w:sz w:val="26"/>
          <w:szCs w:val="26"/>
        </w:rPr>
        <w:t>sylvania and providing billing services under the dual billing model</w:t>
      </w:r>
      <w:r w:rsidRPr="00D55644">
        <w:rPr>
          <w:sz w:val="26"/>
          <w:szCs w:val="26"/>
        </w:rPr>
        <w:t xml:space="preserve"> </w:t>
      </w:r>
      <w:r w:rsidR="000E3DA5" w:rsidRPr="00D55644">
        <w:rPr>
          <w:sz w:val="26"/>
          <w:szCs w:val="26"/>
        </w:rPr>
        <w:t>requests that the Commission consider its comments before reaching a decision on NRG’s Petition.</w:t>
      </w:r>
      <w:r w:rsidR="00C9777D" w:rsidRPr="00D55644">
        <w:rPr>
          <w:sz w:val="26"/>
          <w:szCs w:val="26"/>
        </w:rPr>
        <w:t xml:space="preserve">  Calpine supports the concept of SCB</w:t>
      </w:r>
      <w:r w:rsidR="002264FC" w:rsidRPr="00D55644">
        <w:rPr>
          <w:sz w:val="26"/>
          <w:szCs w:val="26"/>
        </w:rPr>
        <w:t xml:space="preserve"> in general</w:t>
      </w:r>
      <w:r w:rsidR="00C9777D" w:rsidRPr="00D55644">
        <w:rPr>
          <w:sz w:val="26"/>
          <w:szCs w:val="26"/>
        </w:rPr>
        <w:t xml:space="preserve"> and certain portions of NRG’s Petition; however, it cautions that implementation must be done with extre</w:t>
      </w:r>
      <w:r w:rsidR="002264FC" w:rsidRPr="00D55644">
        <w:rPr>
          <w:sz w:val="26"/>
          <w:szCs w:val="26"/>
        </w:rPr>
        <w:t>me care to avoid</w:t>
      </w:r>
      <w:r w:rsidR="00C9777D" w:rsidRPr="00D55644">
        <w:rPr>
          <w:sz w:val="26"/>
          <w:szCs w:val="26"/>
        </w:rPr>
        <w:t xml:space="preserve"> disparate treatment between EGSs that offer SCB and those that do not.</w:t>
      </w:r>
      <w:r w:rsidR="00C9777D" w:rsidRPr="00D55644">
        <w:rPr>
          <w:rStyle w:val="FootnoteReference"/>
          <w:sz w:val="26"/>
          <w:szCs w:val="26"/>
        </w:rPr>
        <w:footnoteReference w:id="42"/>
      </w:r>
    </w:p>
    <w:p w14:paraId="63CBD418" w14:textId="77777777" w:rsidR="000E3DA5" w:rsidRPr="00D55644" w:rsidRDefault="000E3DA5" w:rsidP="0011036C">
      <w:pPr>
        <w:spacing w:line="360" w:lineRule="auto"/>
        <w:rPr>
          <w:sz w:val="26"/>
          <w:szCs w:val="26"/>
        </w:rPr>
      </w:pPr>
    </w:p>
    <w:p w14:paraId="1D947AFB" w14:textId="77777777" w:rsidR="000E3DA5" w:rsidRPr="00D55644" w:rsidRDefault="000E3DA5" w:rsidP="0011036C">
      <w:pPr>
        <w:spacing w:line="360" w:lineRule="auto"/>
        <w:rPr>
          <w:sz w:val="26"/>
          <w:szCs w:val="26"/>
        </w:rPr>
      </w:pPr>
      <w:r w:rsidRPr="00D55644">
        <w:rPr>
          <w:sz w:val="26"/>
          <w:szCs w:val="26"/>
        </w:rPr>
        <w:tab/>
      </w:r>
      <w:r w:rsidR="00005604" w:rsidRPr="00D55644">
        <w:rPr>
          <w:sz w:val="26"/>
          <w:szCs w:val="26"/>
        </w:rPr>
        <w:t>Eleven</w:t>
      </w:r>
      <w:r w:rsidRPr="00D55644">
        <w:rPr>
          <w:sz w:val="26"/>
          <w:szCs w:val="26"/>
        </w:rPr>
        <w:t xml:space="preserve"> parties, including NRG, filed Reply Comments by the February</w:t>
      </w:r>
      <w:r w:rsidR="00005604" w:rsidRPr="00D55644">
        <w:rPr>
          <w:sz w:val="26"/>
          <w:szCs w:val="26"/>
        </w:rPr>
        <w:t xml:space="preserve"> 22, 2017 deadline:  the American Coalition of Competitive Energy Suppliers (ACCES), a group of competitive electric and natural gas suppliers; CA</w:t>
      </w:r>
      <w:r w:rsidR="00467183" w:rsidRPr="00D55644">
        <w:rPr>
          <w:sz w:val="26"/>
          <w:szCs w:val="26"/>
        </w:rPr>
        <w:t>USE PA; Duquesne; FirstEnergy</w:t>
      </w:r>
      <w:r w:rsidR="00005604" w:rsidRPr="00D55644">
        <w:rPr>
          <w:sz w:val="26"/>
          <w:szCs w:val="26"/>
        </w:rPr>
        <w:t>; OCA; PECO; PPL; RESA; TURN; and WGL Energy.</w:t>
      </w:r>
    </w:p>
    <w:p w14:paraId="643EB5FD" w14:textId="77777777" w:rsidR="00606754" w:rsidRPr="00D55644" w:rsidRDefault="00606754" w:rsidP="0011036C">
      <w:pPr>
        <w:spacing w:line="360" w:lineRule="auto"/>
        <w:rPr>
          <w:sz w:val="26"/>
          <w:szCs w:val="26"/>
        </w:rPr>
      </w:pPr>
    </w:p>
    <w:p w14:paraId="54D89DB3" w14:textId="77777777" w:rsidR="00606754" w:rsidRPr="00D55644" w:rsidRDefault="00606754" w:rsidP="0011036C">
      <w:pPr>
        <w:spacing w:line="360" w:lineRule="auto"/>
        <w:rPr>
          <w:sz w:val="26"/>
          <w:szCs w:val="26"/>
        </w:rPr>
      </w:pPr>
      <w:r w:rsidRPr="00D55644">
        <w:rPr>
          <w:sz w:val="26"/>
          <w:szCs w:val="26"/>
        </w:rPr>
        <w:tab/>
        <w:t xml:space="preserve">As noted above, </w:t>
      </w:r>
      <w:proofErr w:type="gramStart"/>
      <w:r w:rsidRPr="00D55644">
        <w:rPr>
          <w:sz w:val="26"/>
          <w:szCs w:val="26"/>
        </w:rPr>
        <w:t>a number of</w:t>
      </w:r>
      <w:proofErr w:type="gramEnd"/>
      <w:r w:rsidRPr="00D55644">
        <w:rPr>
          <w:sz w:val="26"/>
          <w:szCs w:val="26"/>
        </w:rPr>
        <w:t xml:space="preserve"> commenters contend that </w:t>
      </w:r>
      <w:r w:rsidR="00F84E55" w:rsidRPr="00D55644">
        <w:rPr>
          <w:sz w:val="26"/>
          <w:szCs w:val="26"/>
        </w:rPr>
        <w:t xml:space="preserve">this </w:t>
      </w:r>
      <w:r w:rsidRPr="00D55644">
        <w:rPr>
          <w:sz w:val="26"/>
          <w:szCs w:val="26"/>
        </w:rPr>
        <w:t xml:space="preserve">matter should be referred to the OALJ for </w:t>
      </w:r>
      <w:r w:rsidR="00F84E55" w:rsidRPr="00D55644">
        <w:rPr>
          <w:sz w:val="26"/>
          <w:szCs w:val="26"/>
        </w:rPr>
        <w:t xml:space="preserve">evidentiary </w:t>
      </w:r>
      <w:r w:rsidRPr="00D55644">
        <w:rPr>
          <w:sz w:val="26"/>
          <w:szCs w:val="26"/>
        </w:rPr>
        <w:t xml:space="preserve">hearings—either as an initial step or in the event that the Commission does not dismiss NRG’s Petition outright.  NRG claims that </w:t>
      </w:r>
      <w:r w:rsidR="005B4EC3" w:rsidRPr="00D55644">
        <w:rPr>
          <w:sz w:val="26"/>
          <w:szCs w:val="26"/>
        </w:rPr>
        <w:t>(1) </w:t>
      </w:r>
      <w:r w:rsidRPr="00D55644">
        <w:rPr>
          <w:sz w:val="26"/>
          <w:szCs w:val="26"/>
        </w:rPr>
        <w:t xml:space="preserve">evidentiary hearings are unnecessary because its Petition presents no </w:t>
      </w:r>
      <w:r w:rsidRPr="00D55644">
        <w:rPr>
          <w:i/>
          <w:sz w:val="26"/>
          <w:szCs w:val="26"/>
        </w:rPr>
        <w:t>material</w:t>
      </w:r>
      <w:r w:rsidRPr="00D55644">
        <w:rPr>
          <w:sz w:val="26"/>
          <w:szCs w:val="26"/>
        </w:rPr>
        <w:t xml:space="preserve"> factual issues that could be disputed</w:t>
      </w:r>
      <w:r w:rsidR="005B4EC3" w:rsidRPr="00D55644">
        <w:rPr>
          <w:sz w:val="26"/>
          <w:szCs w:val="26"/>
        </w:rPr>
        <w:t>; (2) </w:t>
      </w:r>
      <w:r w:rsidR="004C450C" w:rsidRPr="00D55644">
        <w:rPr>
          <w:sz w:val="26"/>
          <w:szCs w:val="26"/>
        </w:rPr>
        <w:t>any dispute regarding lesser facts can be adequately resolved through comments and a stakeholder process</w:t>
      </w:r>
      <w:r w:rsidR="00FE1D4C" w:rsidRPr="00D55644">
        <w:rPr>
          <w:sz w:val="26"/>
          <w:szCs w:val="26"/>
        </w:rPr>
        <w:t>;</w:t>
      </w:r>
      <w:r w:rsidR="005B4EC3" w:rsidRPr="00D55644">
        <w:rPr>
          <w:sz w:val="26"/>
          <w:szCs w:val="26"/>
        </w:rPr>
        <w:t xml:space="preserve"> and (3) </w:t>
      </w:r>
      <w:r w:rsidR="00FE1D4C" w:rsidRPr="00D55644">
        <w:rPr>
          <w:sz w:val="26"/>
          <w:szCs w:val="26"/>
        </w:rPr>
        <w:t xml:space="preserve">the only </w:t>
      </w:r>
      <w:r w:rsidR="00F66423" w:rsidRPr="00D55644">
        <w:rPr>
          <w:sz w:val="26"/>
          <w:szCs w:val="26"/>
        </w:rPr>
        <w:t xml:space="preserve">significant outstanding </w:t>
      </w:r>
      <w:r w:rsidR="00FE1D4C" w:rsidRPr="00D55644">
        <w:rPr>
          <w:sz w:val="26"/>
          <w:szCs w:val="26"/>
        </w:rPr>
        <w:t>issues</w:t>
      </w:r>
      <w:r w:rsidR="005B4EC3" w:rsidRPr="00D55644">
        <w:rPr>
          <w:sz w:val="26"/>
          <w:szCs w:val="26"/>
        </w:rPr>
        <w:t xml:space="preserve"> </w:t>
      </w:r>
      <w:r w:rsidR="00FE1D4C" w:rsidRPr="00D55644">
        <w:rPr>
          <w:sz w:val="26"/>
          <w:szCs w:val="26"/>
        </w:rPr>
        <w:t>involve law, policy, and the Commission’s discretion.</w:t>
      </w:r>
      <w:r w:rsidR="00FE1D4C" w:rsidRPr="00D55644">
        <w:rPr>
          <w:rStyle w:val="FootnoteReference"/>
          <w:sz w:val="26"/>
          <w:szCs w:val="26"/>
        </w:rPr>
        <w:footnoteReference w:id="43"/>
      </w:r>
      <w:r w:rsidR="004C450C" w:rsidRPr="00D55644">
        <w:rPr>
          <w:sz w:val="26"/>
          <w:szCs w:val="26"/>
        </w:rPr>
        <w:t xml:space="preserve">  Commenters including </w:t>
      </w:r>
      <w:r w:rsidR="00367387" w:rsidRPr="00D55644">
        <w:rPr>
          <w:sz w:val="26"/>
          <w:szCs w:val="26"/>
        </w:rPr>
        <w:t>CAUSE PA,</w:t>
      </w:r>
      <w:r w:rsidR="008D0DFA" w:rsidRPr="00D55644">
        <w:rPr>
          <w:sz w:val="26"/>
          <w:szCs w:val="26"/>
        </w:rPr>
        <w:t xml:space="preserve"> OSBA,</w:t>
      </w:r>
      <w:r w:rsidR="00367387" w:rsidRPr="00D55644">
        <w:rPr>
          <w:sz w:val="26"/>
          <w:szCs w:val="26"/>
        </w:rPr>
        <w:t xml:space="preserve"> the PA AFL-CIO</w:t>
      </w:r>
      <w:r w:rsidR="004C450C" w:rsidRPr="00D55644">
        <w:rPr>
          <w:sz w:val="26"/>
          <w:szCs w:val="26"/>
        </w:rPr>
        <w:t>,</w:t>
      </w:r>
      <w:r w:rsidR="00367387" w:rsidRPr="00D55644">
        <w:rPr>
          <w:sz w:val="26"/>
          <w:szCs w:val="26"/>
        </w:rPr>
        <w:t xml:space="preserve"> PECO,</w:t>
      </w:r>
      <w:r w:rsidR="004C450C" w:rsidRPr="00D55644">
        <w:rPr>
          <w:sz w:val="26"/>
          <w:szCs w:val="26"/>
        </w:rPr>
        <w:t xml:space="preserve"> </w:t>
      </w:r>
      <w:r w:rsidR="00702497" w:rsidRPr="00D55644">
        <w:rPr>
          <w:sz w:val="26"/>
          <w:szCs w:val="26"/>
        </w:rPr>
        <w:t xml:space="preserve">PPL </w:t>
      </w:r>
      <w:r w:rsidR="004C450C" w:rsidRPr="00D55644">
        <w:rPr>
          <w:sz w:val="26"/>
          <w:szCs w:val="26"/>
        </w:rPr>
        <w:t xml:space="preserve">and </w:t>
      </w:r>
      <w:r w:rsidR="00702497" w:rsidRPr="00D55644">
        <w:rPr>
          <w:sz w:val="26"/>
          <w:szCs w:val="26"/>
        </w:rPr>
        <w:t>TURN</w:t>
      </w:r>
      <w:r w:rsidR="004C450C" w:rsidRPr="00D55644">
        <w:rPr>
          <w:sz w:val="26"/>
          <w:szCs w:val="26"/>
        </w:rPr>
        <w:t xml:space="preserve"> believe that there are issues of material fact</w:t>
      </w:r>
      <w:r w:rsidR="00D02042" w:rsidRPr="00D55644">
        <w:rPr>
          <w:sz w:val="26"/>
          <w:szCs w:val="26"/>
        </w:rPr>
        <w:t xml:space="preserve"> that warrant evidentiary hearings</w:t>
      </w:r>
      <w:r w:rsidR="00367387" w:rsidRPr="00D55644">
        <w:rPr>
          <w:sz w:val="26"/>
          <w:szCs w:val="26"/>
        </w:rPr>
        <w:t>—for example, whether SCB is permissible under the Public Utility Code and the corresponding Commission regulations; the state of competition in the Commonwealth’s retail electric market; the need for SCB;</w:t>
      </w:r>
      <w:r w:rsidR="008D0DFA" w:rsidRPr="00D55644">
        <w:rPr>
          <w:sz w:val="26"/>
          <w:szCs w:val="26"/>
        </w:rPr>
        <w:t xml:space="preserve"> the number of EGSs that would offer SCB;</w:t>
      </w:r>
      <w:r w:rsidR="00367387" w:rsidRPr="00D55644">
        <w:rPr>
          <w:sz w:val="26"/>
          <w:szCs w:val="26"/>
        </w:rPr>
        <w:t xml:space="preserve"> the impact SCB would have on consumer protections and programs for low-income customers; and an assessment of the costs of implementation</w:t>
      </w:r>
      <w:r w:rsidR="004C450C" w:rsidRPr="00D55644">
        <w:rPr>
          <w:sz w:val="26"/>
          <w:szCs w:val="26"/>
        </w:rPr>
        <w:t>.</w:t>
      </w:r>
      <w:r w:rsidR="004C450C" w:rsidRPr="00D55644">
        <w:rPr>
          <w:rStyle w:val="FootnoteReference"/>
          <w:sz w:val="26"/>
          <w:szCs w:val="26"/>
        </w:rPr>
        <w:footnoteReference w:id="44"/>
      </w:r>
    </w:p>
    <w:p w14:paraId="1526C05C" w14:textId="77777777" w:rsidR="0011036C" w:rsidRPr="00D55644" w:rsidRDefault="0011036C" w:rsidP="0011036C">
      <w:pPr>
        <w:spacing w:line="360" w:lineRule="auto"/>
        <w:rPr>
          <w:sz w:val="26"/>
          <w:szCs w:val="26"/>
        </w:rPr>
      </w:pPr>
    </w:p>
    <w:p w14:paraId="0AAE4538" w14:textId="72EEFE8B" w:rsidR="00F82D9A" w:rsidRPr="00B76DD7" w:rsidRDefault="00F84E55" w:rsidP="00F84E55">
      <w:pPr>
        <w:spacing w:line="360" w:lineRule="auto"/>
        <w:rPr>
          <w:sz w:val="26"/>
          <w:szCs w:val="26"/>
        </w:rPr>
      </w:pPr>
      <w:r w:rsidRPr="00D55644">
        <w:rPr>
          <w:sz w:val="26"/>
          <w:szCs w:val="26"/>
        </w:rPr>
        <w:tab/>
        <w:t xml:space="preserve">Here, because we are denying NRG’s Petition </w:t>
      </w:r>
      <w:r w:rsidR="004557A9" w:rsidRPr="00D55644">
        <w:rPr>
          <w:sz w:val="26"/>
          <w:szCs w:val="26"/>
        </w:rPr>
        <w:t xml:space="preserve">for </w:t>
      </w:r>
      <w:r w:rsidR="00D02F16">
        <w:rPr>
          <w:sz w:val="26"/>
          <w:szCs w:val="26"/>
        </w:rPr>
        <w:t xml:space="preserve">potential </w:t>
      </w:r>
      <w:r w:rsidR="004557A9" w:rsidRPr="00D55644">
        <w:rPr>
          <w:sz w:val="26"/>
          <w:szCs w:val="26"/>
        </w:rPr>
        <w:t>legal and policy reasons</w:t>
      </w:r>
      <w:r w:rsidRPr="00D55644">
        <w:rPr>
          <w:sz w:val="26"/>
          <w:szCs w:val="26"/>
        </w:rPr>
        <w:t>, evidentiary hearings are not required.</w:t>
      </w:r>
      <w:r w:rsidR="00A345E5" w:rsidRPr="00D55644">
        <w:rPr>
          <w:sz w:val="26"/>
          <w:szCs w:val="26"/>
        </w:rPr>
        <w:t xml:space="preserve">  Due process requires evidentiary hearings only when there are disputed questions of fact to address; not when there are only questions of law, policy, or discretion</w:t>
      </w:r>
      <w:r w:rsidR="004557A9" w:rsidRPr="00D55644">
        <w:rPr>
          <w:sz w:val="26"/>
          <w:szCs w:val="26"/>
        </w:rPr>
        <w:t xml:space="preserve"> at issue</w:t>
      </w:r>
      <w:r w:rsidR="00A345E5" w:rsidRPr="00D55644">
        <w:rPr>
          <w:sz w:val="26"/>
          <w:szCs w:val="26"/>
        </w:rPr>
        <w:t>.</w:t>
      </w:r>
      <w:r w:rsidR="001B5A72" w:rsidRPr="00D55644">
        <w:rPr>
          <w:sz w:val="26"/>
          <w:szCs w:val="26"/>
        </w:rPr>
        <w:t xml:space="preserve">  </w:t>
      </w:r>
      <w:r w:rsidR="001B5A72" w:rsidRPr="00D55644">
        <w:rPr>
          <w:i/>
          <w:sz w:val="26"/>
          <w:szCs w:val="26"/>
        </w:rPr>
        <w:t>Painter v. Pa. P</w:t>
      </w:r>
      <w:r w:rsidR="006E0EAA">
        <w:rPr>
          <w:i/>
          <w:sz w:val="26"/>
          <w:szCs w:val="26"/>
        </w:rPr>
        <w:t>ublic Utility Commission</w:t>
      </w:r>
      <w:r w:rsidR="001B5A72" w:rsidRPr="00D55644">
        <w:rPr>
          <w:sz w:val="26"/>
          <w:szCs w:val="26"/>
        </w:rPr>
        <w:t xml:space="preserve">, 116 A.3d 749, 755 (Pa. </w:t>
      </w:r>
      <w:proofErr w:type="spellStart"/>
      <w:r w:rsidR="001B5A72" w:rsidRPr="00D55644">
        <w:rPr>
          <w:sz w:val="26"/>
          <w:szCs w:val="26"/>
        </w:rPr>
        <w:t>C</w:t>
      </w:r>
      <w:r w:rsidR="006E0EAA">
        <w:rPr>
          <w:sz w:val="26"/>
          <w:szCs w:val="26"/>
        </w:rPr>
        <w:t>mwlth</w:t>
      </w:r>
      <w:proofErr w:type="spellEnd"/>
      <w:r w:rsidR="006E0EAA">
        <w:rPr>
          <w:sz w:val="26"/>
          <w:szCs w:val="26"/>
        </w:rPr>
        <w:t>.</w:t>
      </w:r>
      <w:r w:rsidR="001B5A72" w:rsidRPr="00D55644">
        <w:rPr>
          <w:sz w:val="26"/>
          <w:szCs w:val="26"/>
        </w:rPr>
        <w:t xml:space="preserve"> 2015). </w:t>
      </w:r>
      <w:r w:rsidR="00A345E5" w:rsidRPr="00D55644">
        <w:rPr>
          <w:sz w:val="26"/>
          <w:szCs w:val="26"/>
        </w:rPr>
        <w:t xml:space="preserve">  </w:t>
      </w:r>
      <w:r w:rsidR="00F82D9A" w:rsidRPr="00D55644">
        <w:rPr>
          <w:sz w:val="26"/>
          <w:szCs w:val="26"/>
        </w:rPr>
        <w:t>Alth</w:t>
      </w:r>
      <w:r w:rsidR="000635C2" w:rsidRPr="00D55644">
        <w:rPr>
          <w:sz w:val="26"/>
          <w:szCs w:val="26"/>
        </w:rPr>
        <w:t xml:space="preserve">ough there are clearly factual disputes among NRG and </w:t>
      </w:r>
      <w:proofErr w:type="gramStart"/>
      <w:r w:rsidR="000635C2" w:rsidRPr="00D55644">
        <w:rPr>
          <w:sz w:val="26"/>
          <w:szCs w:val="26"/>
        </w:rPr>
        <w:t>a number of</w:t>
      </w:r>
      <w:proofErr w:type="gramEnd"/>
      <w:r w:rsidR="000635C2" w:rsidRPr="00D55644">
        <w:rPr>
          <w:sz w:val="26"/>
          <w:szCs w:val="26"/>
        </w:rPr>
        <w:t xml:space="preserve"> commenters, t</w:t>
      </w:r>
      <w:r w:rsidR="003D3F62" w:rsidRPr="00D55644">
        <w:rPr>
          <w:sz w:val="26"/>
          <w:szCs w:val="26"/>
        </w:rPr>
        <w:t xml:space="preserve">he Commission’s </w:t>
      </w:r>
      <w:r w:rsidR="0009221B" w:rsidRPr="00D55644">
        <w:rPr>
          <w:sz w:val="26"/>
          <w:szCs w:val="26"/>
        </w:rPr>
        <w:t>denial of</w:t>
      </w:r>
      <w:r w:rsidR="003D3F62" w:rsidRPr="00D55644">
        <w:rPr>
          <w:sz w:val="26"/>
          <w:szCs w:val="26"/>
        </w:rPr>
        <w:t xml:space="preserve"> NRG’s Petition </w:t>
      </w:r>
      <w:r w:rsidR="00562A86" w:rsidRPr="00D55644">
        <w:rPr>
          <w:sz w:val="26"/>
          <w:szCs w:val="26"/>
        </w:rPr>
        <w:t xml:space="preserve">is </w:t>
      </w:r>
      <w:r w:rsidR="00B0766B" w:rsidRPr="00D55644">
        <w:rPr>
          <w:sz w:val="26"/>
          <w:szCs w:val="26"/>
        </w:rPr>
        <w:t>ba</w:t>
      </w:r>
      <w:r w:rsidR="003D3F62" w:rsidRPr="00D55644">
        <w:rPr>
          <w:sz w:val="26"/>
          <w:szCs w:val="26"/>
        </w:rPr>
        <w:t>sed on legal and policy concern</w:t>
      </w:r>
      <w:r w:rsidR="00B0766B" w:rsidRPr="00D55644">
        <w:rPr>
          <w:sz w:val="26"/>
          <w:szCs w:val="26"/>
        </w:rPr>
        <w:t xml:space="preserve">s </w:t>
      </w:r>
      <w:r w:rsidR="0028331D">
        <w:rPr>
          <w:sz w:val="26"/>
          <w:szCs w:val="26"/>
        </w:rPr>
        <w:t xml:space="preserve">that </w:t>
      </w:r>
      <w:r w:rsidR="00E5690C">
        <w:rPr>
          <w:sz w:val="26"/>
          <w:szCs w:val="26"/>
        </w:rPr>
        <w:t>fail to be</w:t>
      </w:r>
      <w:r w:rsidR="0028331D">
        <w:rPr>
          <w:sz w:val="26"/>
          <w:szCs w:val="26"/>
        </w:rPr>
        <w:t xml:space="preserve"> </w:t>
      </w:r>
      <w:r w:rsidR="00E5690C">
        <w:rPr>
          <w:sz w:val="26"/>
          <w:szCs w:val="26"/>
        </w:rPr>
        <w:t>remedied within</w:t>
      </w:r>
      <w:r w:rsidR="00B0766B" w:rsidRPr="00D55644">
        <w:rPr>
          <w:sz w:val="26"/>
          <w:szCs w:val="26"/>
        </w:rPr>
        <w:t xml:space="preserve"> NRG’s </w:t>
      </w:r>
      <w:r w:rsidR="00E5690C">
        <w:rPr>
          <w:sz w:val="26"/>
          <w:szCs w:val="26"/>
        </w:rPr>
        <w:t>instant Petition</w:t>
      </w:r>
      <w:r w:rsidR="00FE2CBA" w:rsidRPr="00D55644">
        <w:rPr>
          <w:sz w:val="26"/>
          <w:szCs w:val="26"/>
        </w:rPr>
        <w:t>.  The facts i</w:t>
      </w:r>
      <w:r w:rsidR="001E6A34" w:rsidRPr="00D55644">
        <w:rPr>
          <w:sz w:val="26"/>
          <w:szCs w:val="26"/>
        </w:rPr>
        <w:t xml:space="preserve">n dispute </w:t>
      </w:r>
      <w:r w:rsidR="00562A86" w:rsidRPr="00D55644">
        <w:rPr>
          <w:sz w:val="26"/>
          <w:szCs w:val="26"/>
        </w:rPr>
        <w:t xml:space="preserve">are </w:t>
      </w:r>
      <w:r w:rsidR="00FE2CBA" w:rsidRPr="00D55644">
        <w:rPr>
          <w:sz w:val="26"/>
          <w:szCs w:val="26"/>
        </w:rPr>
        <w:t xml:space="preserve">not material </w:t>
      </w:r>
      <w:r w:rsidR="00FE2CBA" w:rsidRPr="00B76DD7">
        <w:rPr>
          <w:sz w:val="26"/>
          <w:szCs w:val="26"/>
        </w:rPr>
        <w:t>to the Commission’s decision in this matter.</w:t>
      </w:r>
    </w:p>
    <w:p w14:paraId="5AA226DF" w14:textId="77777777" w:rsidR="006C5132" w:rsidRDefault="006C5132" w:rsidP="006C5132">
      <w:pPr>
        <w:spacing w:line="360" w:lineRule="auto"/>
        <w:rPr>
          <w:sz w:val="26"/>
          <w:szCs w:val="26"/>
        </w:rPr>
      </w:pPr>
    </w:p>
    <w:p w14:paraId="19BA1553" w14:textId="77777777" w:rsidR="005C20AB" w:rsidRPr="006C5132" w:rsidRDefault="006C5132" w:rsidP="006C5132">
      <w:pPr>
        <w:spacing w:line="360" w:lineRule="auto"/>
        <w:jc w:val="center"/>
        <w:rPr>
          <w:b/>
          <w:sz w:val="26"/>
          <w:szCs w:val="26"/>
        </w:rPr>
      </w:pPr>
      <w:r w:rsidRPr="006C5132">
        <w:rPr>
          <w:b/>
          <w:sz w:val="26"/>
          <w:szCs w:val="26"/>
        </w:rPr>
        <w:t>DISCUSSION</w:t>
      </w:r>
    </w:p>
    <w:p w14:paraId="12D0E29A" w14:textId="44227703" w:rsidR="00D74217" w:rsidRPr="00D55644" w:rsidRDefault="008A2A31" w:rsidP="006A2DFB">
      <w:pPr>
        <w:spacing w:line="360" w:lineRule="auto"/>
        <w:rPr>
          <w:sz w:val="26"/>
          <w:szCs w:val="26"/>
        </w:rPr>
      </w:pPr>
      <w:r w:rsidRPr="00D55644">
        <w:rPr>
          <w:sz w:val="26"/>
          <w:szCs w:val="26"/>
        </w:rPr>
        <w:tab/>
      </w:r>
      <w:r w:rsidR="000E2640">
        <w:rPr>
          <w:sz w:val="26"/>
          <w:szCs w:val="26"/>
        </w:rPr>
        <w:t>Upon careful review and consideration of the NRG petition and associated comments, the</w:t>
      </w:r>
      <w:r w:rsidR="002B21C2" w:rsidRPr="00D55644">
        <w:rPr>
          <w:sz w:val="26"/>
          <w:szCs w:val="26"/>
        </w:rPr>
        <w:t xml:space="preserve"> Commission will </w:t>
      </w:r>
      <w:r w:rsidR="003F265C" w:rsidRPr="00D55644">
        <w:rPr>
          <w:sz w:val="26"/>
          <w:szCs w:val="26"/>
        </w:rPr>
        <w:t>deny NRG’s Petition for</w:t>
      </w:r>
      <w:r w:rsidR="00041050" w:rsidRPr="00D55644">
        <w:rPr>
          <w:sz w:val="26"/>
          <w:szCs w:val="26"/>
        </w:rPr>
        <w:t xml:space="preserve"> implementation of </w:t>
      </w:r>
      <w:r w:rsidR="00E348E4">
        <w:rPr>
          <w:sz w:val="26"/>
          <w:szCs w:val="26"/>
        </w:rPr>
        <w:t>SCB</w:t>
      </w:r>
      <w:r w:rsidR="00F35E36" w:rsidRPr="00D55644">
        <w:rPr>
          <w:sz w:val="26"/>
          <w:szCs w:val="26"/>
        </w:rPr>
        <w:t xml:space="preserve"> </w:t>
      </w:r>
      <w:r w:rsidR="002B21C2" w:rsidRPr="00D55644">
        <w:rPr>
          <w:sz w:val="26"/>
          <w:szCs w:val="26"/>
        </w:rPr>
        <w:t xml:space="preserve">as an additional billing mechanism for the retail energy market in Pennsylvania </w:t>
      </w:r>
      <w:r w:rsidR="00BE4157">
        <w:rPr>
          <w:sz w:val="26"/>
          <w:szCs w:val="26"/>
        </w:rPr>
        <w:t>because it lacks sufficient detail to substantiate a definitive determination on both the policy prudence and legality of a variety of issues</w:t>
      </w:r>
      <w:r w:rsidR="00F35E36" w:rsidRPr="00D55644">
        <w:rPr>
          <w:sz w:val="26"/>
          <w:szCs w:val="26"/>
        </w:rPr>
        <w:t>.</w:t>
      </w:r>
      <w:r w:rsidR="007C1B93" w:rsidRPr="00D55644">
        <w:rPr>
          <w:sz w:val="26"/>
          <w:szCs w:val="26"/>
        </w:rPr>
        <w:t xml:space="preserve">  </w:t>
      </w:r>
      <w:r w:rsidR="000E2640">
        <w:rPr>
          <w:sz w:val="26"/>
          <w:szCs w:val="26"/>
        </w:rPr>
        <w:t xml:space="preserve">In the Commission’s judgment, </w:t>
      </w:r>
      <w:r w:rsidR="007C1B93" w:rsidRPr="00D55644">
        <w:rPr>
          <w:sz w:val="26"/>
          <w:szCs w:val="26"/>
        </w:rPr>
        <w:t xml:space="preserve">NRG’s proposal is not fully developed, leaves many </w:t>
      </w:r>
      <w:r w:rsidR="00FB2E07" w:rsidRPr="00D55644">
        <w:rPr>
          <w:sz w:val="26"/>
          <w:szCs w:val="26"/>
        </w:rPr>
        <w:t xml:space="preserve">critical </w:t>
      </w:r>
      <w:r w:rsidR="007C1B93" w:rsidRPr="00D55644">
        <w:rPr>
          <w:sz w:val="26"/>
          <w:szCs w:val="26"/>
        </w:rPr>
        <w:t xml:space="preserve">issues unaddressed, and </w:t>
      </w:r>
      <w:r w:rsidR="00B90FFC">
        <w:rPr>
          <w:sz w:val="26"/>
          <w:szCs w:val="26"/>
        </w:rPr>
        <w:t>could</w:t>
      </w:r>
      <w:r w:rsidR="003635D1" w:rsidRPr="00D55644">
        <w:rPr>
          <w:sz w:val="26"/>
          <w:szCs w:val="26"/>
        </w:rPr>
        <w:t xml:space="preserve"> </w:t>
      </w:r>
      <w:r w:rsidR="007C1B93" w:rsidRPr="00D55644">
        <w:rPr>
          <w:sz w:val="26"/>
          <w:szCs w:val="26"/>
        </w:rPr>
        <w:t xml:space="preserve">be harmful </w:t>
      </w:r>
      <w:r w:rsidR="00DE5E11" w:rsidRPr="00D55644">
        <w:rPr>
          <w:sz w:val="26"/>
          <w:szCs w:val="26"/>
        </w:rPr>
        <w:t>to Pennsylvania’s electric consu</w:t>
      </w:r>
      <w:r w:rsidR="007C1B93" w:rsidRPr="00D55644">
        <w:rPr>
          <w:sz w:val="26"/>
          <w:szCs w:val="26"/>
        </w:rPr>
        <w:t>mers and retail electric market in general.</w:t>
      </w:r>
      <w:r w:rsidR="00FB2E07" w:rsidRPr="00D55644">
        <w:rPr>
          <w:sz w:val="26"/>
          <w:szCs w:val="26"/>
        </w:rPr>
        <w:t xml:space="preserve">  As such, NR</w:t>
      </w:r>
      <w:r w:rsidR="00D74217" w:rsidRPr="00D55644">
        <w:rPr>
          <w:sz w:val="26"/>
          <w:szCs w:val="26"/>
        </w:rPr>
        <w:t>G has not met its burden of proving that its proposal</w:t>
      </w:r>
      <w:r w:rsidR="003635D1" w:rsidRPr="00D55644">
        <w:rPr>
          <w:sz w:val="26"/>
          <w:szCs w:val="26"/>
        </w:rPr>
        <w:t xml:space="preserve"> is in the public interest</w:t>
      </w:r>
      <w:r w:rsidR="0007790A" w:rsidRPr="00D55644">
        <w:rPr>
          <w:sz w:val="26"/>
          <w:szCs w:val="26"/>
        </w:rPr>
        <w:t>,</w:t>
      </w:r>
      <w:r w:rsidR="003635D1" w:rsidRPr="00D55644">
        <w:rPr>
          <w:sz w:val="26"/>
          <w:szCs w:val="26"/>
        </w:rPr>
        <w:t xml:space="preserve"> or that it</w:t>
      </w:r>
      <w:r w:rsidR="00D74217" w:rsidRPr="00D55644">
        <w:rPr>
          <w:sz w:val="26"/>
          <w:szCs w:val="26"/>
        </w:rPr>
        <w:t xml:space="preserve"> complies with the Public Utility Code and Commission regulations promulgated thereunder.</w:t>
      </w:r>
    </w:p>
    <w:p w14:paraId="7291F26D" w14:textId="77777777" w:rsidR="00D74217" w:rsidRPr="00D55644" w:rsidRDefault="00D74217" w:rsidP="006A2DFB">
      <w:pPr>
        <w:spacing w:line="360" w:lineRule="auto"/>
        <w:rPr>
          <w:sz w:val="26"/>
          <w:szCs w:val="26"/>
        </w:rPr>
      </w:pPr>
    </w:p>
    <w:p w14:paraId="640E408C" w14:textId="755AEBF0" w:rsidR="00F35E36" w:rsidRPr="00D55644" w:rsidRDefault="00D74217" w:rsidP="006A2DFB">
      <w:pPr>
        <w:spacing w:line="360" w:lineRule="auto"/>
        <w:rPr>
          <w:sz w:val="26"/>
          <w:szCs w:val="26"/>
        </w:rPr>
      </w:pPr>
      <w:r w:rsidRPr="00D55644">
        <w:rPr>
          <w:sz w:val="26"/>
          <w:szCs w:val="26"/>
        </w:rPr>
        <w:tab/>
      </w:r>
      <w:r w:rsidR="00F31C2F">
        <w:rPr>
          <w:sz w:val="26"/>
          <w:szCs w:val="26"/>
        </w:rPr>
        <w:t>Our c</w:t>
      </w:r>
      <w:r w:rsidR="001250D3" w:rsidRPr="00D55644">
        <w:rPr>
          <w:sz w:val="26"/>
          <w:szCs w:val="26"/>
        </w:rPr>
        <w:t>oncerns</w:t>
      </w:r>
      <w:r w:rsidR="00DE5E11" w:rsidRPr="00D55644">
        <w:rPr>
          <w:sz w:val="26"/>
          <w:szCs w:val="26"/>
        </w:rPr>
        <w:t xml:space="preserve"> weigh</w:t>
      </w:r>
      <w:r w:rsidR="00DD64AD" w:rsidRPr="00D55644">
        <w:rPr>
          <w:sz w:val="26"/>
          <w:szCs w:val="26"/>
        </w:rPr>
        <w:t>ing</w:t>
      </w:r>
      <w:r w:rsidR="00DE5E11" w:rsidRPr="00D55644">
        <w:rPr>
          <w:sz w:val="26"/>
          <w:szCs w:val="26"/>
        </w:rPr>
        <w:t xml:space="preserve"> against</w:t>
      </w:r>
      <w:r w:rsidR="001250D3" w:rsidRPr="00D55644">
        <w:rPr>
          <w:sz w:val="26"/>
          <w:szCs w:val="26"/>
        </w:rPr>
        <w:t xml:space="preserve"> </w:t>
      </w:r>
      <w:r w:rsidR="00DE5E11" w:rsidRPr="00D55644">
        <w:rPr>
          <w:sz w:val="26"/>
          <w:szCs w:val="26"/>
        </w:rPr>
        <w:t>NRG</w:t>
      </w:r>
      <w:r w:rsidR="001250D3" w:rsidRPr="00D55644">
        <w:rPr>
          <w:sz w:val="26"/>
          <w:szCs w:val="26"/>
        </w:rPr>
        <w:t>’s proposal</w:t>
      </w:r>
      <w:r w:rsidR="00DE5E11" w:rsidRPr="00D55644">
        <w:rPr>
          <w:sz w:val="26"/>
          <w:szCs w:val="26"/>
        </w:rPr>
        <w:t>s</w:t>
      </w:r>
      <w:r w:rsidR="001250D3" w:rsidRPr="00D55644">
        <w:rPr>
          <w:sz w:val="26"/>
          <w:szCs w:val="26"/>
        </w:rPr>
        <w:t xml:space="preserve"> </w:t>
      </w:r>
      <w:r w:rsidR="00DD64AD" w:rsidRPr="00D55644">
        <w:rPr>
          <w:sz w:val="26"/>
          <w:szCs w:val="26"/>
        </w:rPr>
        <w:t>include</w:t>
      </w:r>
      <w:r w:rsidR="001250D3" w:rsidRPr="00D55644">
        <w:rPr>
          <w:sz w:val="26"/>
          <w:szCs w:val="26"/>
        </w:rPr>
        <w:t xml:space="preserve"> </w:t>
      </w:r>
      <w:r w:rsidR="000E2640">
        <w:rPr>
          <w:sz w:val="26"/>
          <w:szCs w:val="26"/>
        </w:rPr>
        <w:t xml:space="preserve">transferring </w:t>
      </w:r>
      <w:r w:rsidR="00DE5E11" w:rsidRPr="00D55644">
        <w:rPr>
          <w:sz w:val="26"/>
          <w:szCs w:val="26"/>
        </w:rPr>
        <w:t>the power to order termination of a customer’s electric service</w:t>
      </w:r>
      <w:r w:rsidR="000E2640">
        <w:rPr>
          <w:sz w:val="26"/>
          <w:szCs w:val="26"/>
        </w:rPr>
        <w:t xml:space="preserve"> to EGS firms</w:t>
      </w:r>
      <w:r w:rsidR="00762AF6" w:rsidRPr="00D55644">
        <w:rPr>
          <w:sz w:val="26"/>
          <w:szCs w:val="26"/>
        </w:rPr>
        <w:t xml:space="preserve">; </w:t>
      </w:r>
      <w:r w:rsidR="00DE5E11" w:rsidRPr="00D55644">
        <w:rPr>
          <w:sz w:val="26"/>
          <w:szCs w:val="26"/>
        </w:rPr>
        <w:t>the block mechanism enabling EGSs to prevent supplier switching by customers on a payment plan</w:t>
      </w:r>
      <w:r w:rsidR="00762AF6" w:rsidRPr="00D55644">
        <w:rPr>
          <w:sz w:val="26"/>
          <w:szCs w:val="26"/>
        </w:rPr>
        <w:t xml:space="preserve">; </w:t>
      </w:r>
      <w:r w:rsidR="00DE5E11" w:rsidRPr="00D55644">
        <w:rPr>
          <w:sz w:val="26"/>
          <w:szCs w:val="26"/>
        </w:rPr>
        <w:t>the ability of EGSs to properly account for</w:t>
      </w:r>
      <w:r w:rsidR="0014064D">
        <w:rPr>
          <w:sz w:val="26"/>
          <w:szCs w:val="26"/>
        </w:rPr>
        <w:t xml:space="preserve"> </w:t>
      </w:r>
      <w:r w:rsidR="00DE5E11" w:rsidRPr="00D55644">
        <w:rPr>
          <w:sz w:val="26"/>
          <w:szCs w:val="26"/>
        </w:rPr>
        <w:t>VAS charges</w:t>
      </w:r>
      <w:r w:rsidR="00762AF6" w:rsidRPr="00D55644">
        <w:rPr>
          <w:sz w:val="26"/>
          <w:szCs w:val="26"/>
        </w:rPr>
        <w:t xml:space="preserve">; </w:t>
      </w:r>
      <w:r w:rsidR="00DE5E11" w:rsidRPr="00D55644">
        <w:rPr>
          <w:sz w:val="26"/>
          <w:szCs w:val="26"/>
        </w:rPr>
        <w:t>the handling of customers receiving subsidies from low-income assistance programs</w:t>
      </w:r>
      <w:r w:rsidR="00762AF6" w:rsidRPr="00D55644">
        <w:rPr>
          <w:sz w:val="26"/>
          <w:szCs w:val="26"/>
        </w:rPr>
        <w:t xml:space="preserve">; and </w:t>
      </w:r>
      <w:r w:rsidR="00DE5E11" w:rsidRPr="00D55644">
        <w:rPr>
          <w:sz w:val="26"/>
          <w:szCs w:val="26"/>
        </w:rPr>
        <w:t xml:space="preserve">the administration of </w:t>
      </w:r>
      <w:r w:rsidR="00D23688">
        <w:rPr>
          <w:sz w:val="26"/>
          <w:szCs w:val="26"/>
        </w:rPr>
        <w:t>POR</w:t>
      </w:r>
      <w:r w:rsidR="00DE5E11" w:rsidRPr="00D55644">
        <w:rPr>
          <w:sz w:val="26"/>
          <w:szCs w:val="26"/>
        </w:rPr>
        <w:t xml:space="preserve"> programs</w:t>
      </w:r>
      <w:r w:rsidR="00762AF6" w:rsidRPr="00D55644">
        <w:rPr>
          <w:sz w:val="26"/>
          <w:szCs w:val="26"/>
        </w:rPr>
        <w:t>.</w:t>
      </w:r>
    </w:p>
    <w:p w14:paraId="11CF2BEE" w14:textId="77777777" w:rsidR="00FC0587" w:rsidRPr="00D55644" w:rsidRDefault="00FC0587" w:rsidP="006A2DFB">
      <w:pPr>
        <w:spacing w:line="360" w:lineRule="auto"/>
        <w:rPr>
          <w:sz w:val="26"/>
          <w:szCs w:val="26"/>
        </w:rPr>
      </w:pPr>
    </w:p>
    <w:p w14:paraId="53D5009B" w14:textId="24CC3695" w:rsidR="00174D02" w:rsidRPr="00D55644" w:rsidRDefault="00174D02" w:rsidP="00174D02">
      <w:pPr>
        <w:spacing w:line="360" w:lineRule="auto"/>
        <w:rPr>
          <w:sz w:val="26"/>
          <w:szCs w:val="26"/>
        </w:rPr>
      </w:pPr>
      <w:r w:rsidRPr="00D55644">
        <w:rPr>
          <w:sz w:val="26"/>
          <w:szCs w:val="26"/>
        </w:rPr>
        <w:tab/>
        <w:t>The</w:t>
      </w:r>
      <w:r w:rsidR="00D02BC4" w:rsidRPr="00D55644">
        <w:rPr>
          <w:sz w:val="26"/>
          <w:szCs w:val="26"/>
        </w:rPr>
        <w:t xml:space="preserve"> overriding</w:t>
      </w:r>
      <w:r w:rsidRPr="00D55644">
        <w:rPr>
          <w:sz w:val="26"/>
          <w:szCs w:val="26"/>
        </w:rPr>
        <w:t xml:space="preserve"> goal of electric industry restructuring was to allow retail customers access to a competitive market for the generation of electricity.  66 Pa. C.S. §§ 2802(3) &amp; (12), 2804(2).  The purpose was to lower electricity costs, which would directly benefit consumers in the form of lower prices and indirectly benefit the Commonwealth itself by improving its ability to compete for industry and jobs.  66 Pa. C.S. §§ 2802(6) &amp;</w:t>
      </w:r>
      <w:r w:rsidR="003D19F7" w:rsidRPr="00D55644">
        <w:rPr>
          <w:sz w:val="26"/>
          <w:szCs w:val="26"/>
        </w:rPr>
        <w:t xml:space="preserve"> (7).  The General Assembly observed</w:t>
      </w:r>
      <w:r w:rsidRPr="00D55644">
        <w:rPr>
          <w:sz w:val="26"/>
          <w:szCs w:val="26"/>
        </w:rPr>
        <w:t xml:space="preserve"> that electric costs in Pennsylvania were </w:t>
      </w:r>
      <w:r w:rsidR="003D51F3">
        <w:rPr>
          <w:sz w:val="26"/>
          <w:szCs w:val="26"/>
        </w:rPr>
        <w:t>higher than the national average</w:t>
      </w:r>
      <w:r w:rsidRPr="00D55644">
        <w:rPr>
          <w:sz w:val="26"/>
          <w:szCs w:val="26"/>
        </w:rPr>
        <w:t xml:space="preserve"> and that deregulation of electricity generation would foster competition, which would </w:t>
      </w:r>
      <w:r w:rsidR="003D19F7" w:rsidRPr="00D55644">
        <w:rPr>
          <w:sz w:val="26"/>
          <w:szCs w:val="26"/>
        </w:rPr>
        <w:t>m</w:t>
      </w:r>
      <w:r w:rsidRPr="00D55644">
        <w:rPr>
          <w:sz w:val="26"/>
          <w:szCs w:val="26"/>
        </w:rPr>
        <w:t>ore effective</w:t>
      </w:r>
      <w:r w:rsidR="003D19F7" w:rsidRPr="00D55644">
        <w:rPr>
          <w:sz w:val="26"/>
          <w:szCs w:val="26"/>
        </w:rPr>
        <w:t>ly</w:t>
      </w:r>
      <w:r w:rsidRPr="00D55644">
        <w:rPr>
          <w:sz w:val="26"/>
          <w:szCs w:val="26"/>
        </w:rPr>
        <w:t xml:space="preserve"> </w:t>
      </w:r>
      <w:r w:rsidR="003D19F7" w:rsidRPr="00D55644">
        <w:rPr>
          <w:sz w:val="26"/>
          <w:szCs w:val="26"/>
        </w:rPr>
        <w:t>control</w:t>
      </w:r>
      <w:r w:rsidRPr="00D55644">
        <w:rPr>
          <w:sz w:val="26"/>
          <w:szCs w:val="26"/>
        </w:rPr>
        <w:t xml:space="preserve"> costs than continuing the economic regulation of the generation function.  </w:t>
      </w:r>
      <w:r w:rsidR="00833BCD">
        <w:rPr>
          <w:sz w:val="26"/>
          <w:szCs w:val="26"/>
        </w:rPr>
        <w:t>Further</w:t>
      </w:r>
      <w:r w:rsidR="00667E00">
        <w:rPr>
          <w:sz w:val="26"/>
          <w:szCs w:val="26"/>
        </w:rPr>
        <w:t>,</w:t>
      </w:r>
      <w:r w:rsidR="00833BCD">
        <w:rPr>
          <w:sz w:val="26"/>
          <w:szCs w:val="26"/>
        </w:rPr>
        <w:t xml:space="preserve"> the General Assembly observed that certain transitional matters must be resolved to move toward greater competition in the electricity generation market. </w:t>
      </w:r>
      <w:r w:rsidRPr="00D55644">
        <w:rPr>
          <w:sz w:val="26"/>
          <w:szCs w:val="26"/>
        </w:rPr>
        <w:t xml:space="preserve">66 Pa. C.S. §§ 2802(4), (5), </w:t>
      </w:r>
      <w:r w:rsidR="00833BCD">
        <w:rPr>
          <w:sz w:val="26"/>
          <w:szCs w:val="26"/>
        </w:rPr>
        <w:t xml:space="preserve">(8) </w:t>
      </w:r>
      <w:r w:rsidRPr="00D55644">
        <w:rPr>
          <w:sz w:val="26"/>
          <w:szCs w:val="26"/>
        </w:rPr>
        <w:t>&amp; (14).</w:t>
      </w:r>
      <w:r w:rsidR="00833BCD">
        <w:rPr>
          <w:sz w:val="26"/>
          <w:szCs w:val="26"/>
        </w:rPr>
        <w:t xml:space="preserve"> </w:t>
      </w:r>
    </w:p>
    <w:p w14:paraId="2D852E86" w14:textId="77777777" w:rsidR="00174D02" w:rsidRPr="00D55644" w:rsidRDefault="00174D02" w:rsidP="00174D02">
      <w:pPr>
        <w:spacing w:line="360" w:lineRule="auto"/>
        <w:rPr>
          <w:sz w:val="26"/>
          <w:szCs w:val="26"/>
        </w:rPr>
      </w:pPr>
    </w:p>
    <w:p w14:paraId="695699F4" w14:textId="77777777" w:rsidR="00174D02" w:rsidRPr="00D55644" w:rsidRDefault="00174D02" w:rsidP="00174D02">
      <w:pPr>
        <w:spacing w:line="360" w:lineRule="auto"/>
        <w:rPr>
          <w:sz w:val="26"/>
          <w:szCs w:val="26"/>
        </w:rPr>
      </w:pPr>
      <w:r w:rsidRPr="00D55644">
        <w:rPr>
          <w:sz w:val="26"/>
          <w:szCs w:val="26"/>
        </w:rPr>
        <w:tab/>
        <w:t xml:space="preserve">At the same time, </w:t>
      </w:r>
      <w:r w:rsidR="003D51F3">
        <w:rPr>
          <w:sz w:val="26"/>
          <w:szCs w:val="26"/>
        </w:rPr>
        <w:t xml:space="preserve">since electric service is essential for modern life, </w:t>
      </w:r>
      <w:r w:rsidRPr="00D55644">
        <w:rPr>
          <w:sz w:val="26"/>
          <w:szCs w:val="26"/>
        </w:rPr>
        <w:t>the General Assembly wanted to ensure that consumers received safe</w:t>
      </w:r>
      <w:r w:rsidR="00432BF1" w:rsidRPr="00D55644">
        <w:rPr>
          <w:sz w:val="26"/>
          <w:szCs w:val="26"/>
        </w:rPr>
        <w:t>, affordable, and reliable</w:t>
      </w:r>
      <w:r w:rsidRPr="00D55644">
        <w:rPr>
          <w:sz w:val="26"/>
          <w:szCs w:val="26"/>
        </w:rPr>
        <w:t xml:space="preserve"> electric service at levels they enjoyed prior to deregulation.  66 Pa. C.S. §§ 2802(11) &amp; (12), 2804(1) &amp; (14).  In addition, the General Assembly </w:t>
      </w:r>
      <w:r w:rsidR="000846BC" w:rsidRPr="00D55644">
        <w:rPr>
          <w:sz w:val="26"/>
          <w:szCs w:val="26"/>
        </w:rPr>
        <w:t>meant</w:t>
      </w:r>
      <w:r w:rsidRPr="00D55644">
        <w:rPr>
          <w:sz w:val="26"/>
          <w:szCs w:val="26"/>
        </w:rPr>
        <w:t xml:space="preserve"> to protect low-income customers in the deregulated market, stating that the Commonwealth must continue the policies and programs—including making available and funding universal service programs—that allow low-income customers to afford electric service.  66 Pa. C.S. §§ 2802(10), 2804(9).</w:t>
      </w:r>
    </w:p>
    <w:p w14:paraId="3A5D0639" w14:textId="77777777" w:rsidR="00174D02" w:rsidRPr="00D55644" w:rsidRDefault="00174D02" w:rsidP="00174D02">
      <w:pPr>
        <w:spacing w:line="360" w:lineRule="auto"/>
        <w:rPr>
          <w:sz w:val="26"/>
          <w:szCs w:val="26"/>
        </w:rPr>
      </w:pPr>
    </w:p>
    <w:p w14:paraId="1DC497B8" w14:textId="77777777" w:rsidR="00174D02" w:rsidRPr="00D55644" w:rsidRDefault="00174D02" w:rsidP="00174D02">
      <w:pPr>
        <w:spacing w:line="360" w:lineRule="auto"/>
        <w:rPr>
          <w:sz w:val="26"/>
          <w:szCs w:val="26"/>
        </w:rPr>
      </w:pPr>
      <w:r w:rsidRPr="00D55644">
        <w:rPr>
          <w:sz w:val="26"/>
          <w:szCs w:val="26"/>
        </w:rPr>
        <w:tab/>
        <w:t>For all customers, the General Assembly wanted to ensure transparency so that customers would be able to see</w:t>
      </w:r>
      <w:r w:rsidR="00E8681F" w:rsidRPr="00D55644">
        <w:rPr>
          <w:sz w:val="26"/>
          <w:szCs w:val="26"/>
        </w:rPr>
        <w:t xml:space="preserve"> the component charges making up</w:t>
      </w:r>
      <w:r w:rsidRPr="00D55644">
        <w:rPr>
          <w:sz w:val="26"/>
          <w:szCs w:val="26"/>
        </w:rPr>
        <w:t xml:space="preserve"> the</w:t>
      </w:r>
      <w:r w:rsidR="00E8681F" w:rsidRPr="00D55644">
        <w:rPr>
          <w:sz w:val="26"/>
          <w:szCs w:val="26"/>
        </w:rPr>
        <w:t>ir overall electric bills.  This</w:t>
      </w:r>
      <w:r w:rsidRPr="00D55644">
        <w:rPr>
          <w:sz w:val="26"/>
          <w:szCs w:val="26"/>
        </w:rPr>
        <w:t xml:space="preserve"> would allow customers to compare prices</w:t>
      </w:r>
      <w:r w:rsidR="003D51F3">
        <w:rPr>
          <w:sz w:val="26"/>
          <w:szCs w:val="26"/>
        </w:rPr>
        <w:t xml:space="preserve"> for generation service</w:t>
      </w:r>
      <w:r w:rsidRPr="00D55644">
        <w:rPr>
          <w:sz w:val="26"/>
          <w:szCs w:val="26"/>
        </w:rPr>
        <w:t xml:space="preserve"> </w:t>
      </w:r>
      <w:r w:rsidR="003D51F3">
        <w:rPr>
          <w:sz w:val="26"/>
          <w:szCs w:val="26"/>
        </w:rPr>
        <w:t>from</w:t>
      </w:r>
      <w:r w:rsidRPr="00D55644">
        <w:rPr>
          <w:sz w:val="26"/>
          <w:szCs w:val="26"/>
        </w:rPr>
        <w:t xml:space="preserve"> their EDCs</w:t>
      </w:r>
      <w:r w:rsidR="003D51F3">
        <w:rPr>
          <w:sz w:val="26"/>
          <w:szCs w:val="26"/>
        </w:rPr>
        <w:t xml:space="preserve"> to the prices for generation service from </w:t>
      </w:r>
      <w:r w:rsidRPr="00D55644">
        <w:rPr>
          <w:sz w:val="26"/>
          <w:szCs w:val="26"/>
        </w:rPr>
        <w:t>competing EGSs.  As such, the Commission was directed to require the unbundling of electric utility services, tariffs, and customer bills to separate charges for generation, transmission, and distribution.  66 Pa. C.S. § 2804(3).</w:t>
      </w:r>
    </w:p>
    <w:p w14:paraId="19FD2D9C" w14:textId="77777777" w:rsidR="00174D02" w:rsidRPr="00D55644" w:rsidRDefault="00174D02" w:rsidP="00174D02">
      <w:pPr>
        <w:spacing w:line="360" w:lineRule="auto"/>
        <w:rPr>
          <w:sz w:val="26"/>
          <w:szCs w:val="26"/>
        </w:rPr>
      </w:pPr>
    </w:p>
    <w:p w14:paraId="20CB8341" w14:textId="77777777" w:rsidR="00174D02" w:rsidRPr="00D55644" w:rsidRDefault="00174D02" w:rsidP="00174D02">
      <w:pPr>
        <w:spacing w:line="360" w:lineRule="auto"/>
        <w:rPr>
          <w:sz w:val="26"/>
          <w:szCs w:val="26"/>
        </w:rPr>
      </w:pPr>
      <w:r w:rsidRPr="00D55644">
        <w:rPr>
          <w:sz w:val="26"/>
          <w:szCs w:val="26"/>
        </w:rPr>
        <w:tab/>
        <w:t>The General Assembly also made clear that EDCs would continue to be regulated as natural monopolies subject to the jurisdiction and active supervision of the Com</w:t>
      </w:r>
      <w:r w:rsidR="00392041" w:rsidRPr="00D55644">
        <w:rPr>
          <w:sz w:val="26"/>
          <w:szCs w:val="26"/>
        </w:rPr>
        <w:t>mission.  EDCs would</w:t>
      </w:r>
      <w:r w:rsidRPr="00D55644">
        <w:rPr>
          <w:sz w:val="26"/>
          <w:szCs w:val="26"/>
        </w:rPr>
        <w:t xml:space="preserve"> remain in the role of default service prov</w:t>
      </w:r>
      <w:r w:rsidR="00F4545D" w:rsidRPr="00D55644">
        <w:rPr>
          <w:sz w:val="26"/>
          <w:szCs w:val="26"/>
        </w:rPr>
        <w:t>ider—unless the Commission</w:t>
      </w:r>
      <w:r w:rsidRPr="00D55644">
        <w:rPr>
          <w:sz w:val="26"/>
          <w:szCs w:val="26"/>
        </w:rPr>
        <w:t xml:space="preserve"> approve</w:t>
      </w:r>
      <w:r w:rsidR="00F4545D" w:rsidRPr="00D55644">
        <w:rPr>
          <w:sz w:val="26"/>
          <w:szCs w:val="26"/>
        </w:rPr>
        <w:t>d</w:t>
      </w:r>
      <w:r w:rsidRPr="00D55644">
        <w:rPr>
          <w:sz w:val="26"/>
          <w:szCs w:val="26"/>
        </w:rPr>
        <w:t xml:space="preserve"> another entity—to ensure the availability of universal electric service.  66 Pa. C.S. §§ 2802(16), 2804(6) &amp; (10).</w:t>
      </w:r>
    </w:p>
    <w:p w14:paraId="3A771653" w14:textId="77777777" w:rsidR="00174D02" w:rsidRPr="00D55644" w:rsidRDefault="00174D02" w:rsidP="00174D02">
      <w:pPr>
        <w:spacing w:line="360" w:lineRule="auto"/>
        <w:rPr>
          <w:sz w:val="26"/>
          <w:szCs w:val="26"/>
        </w:rPr>
      </w:pPr>
    </w:p>
    <w:p w14:paraId="05A05376" w14:textId="073AFC2E" w:rsidR="00174D02" w:rsidRPr="00D55644" w:rsidRDefault="00174D02" w:rsidP="00174D02">
      <w:pPr>
        <w:spacing w:line="360" w:lineRule="auto"/>
        <w:rPr>
          <w:sz w:val="26"/>
          <w:szCs w:val="26"/>
        </w:rPr>
      </w:pPr>
      <w:r w:rsidRPr="00D55644">
        <w:rPr>
          <w:sz w:val="26"/>
          <w:szCs w:val="26"/>
        </w:rPr>
        <w:tab/>
        <w:t>NRG’s proposal to implement SCB</w:t>
      </w:r>
      <w:r w:rsidR="003D51F3">
        <w:rPr>
          <w:sz w:val="26"/>
          <w:szCs w:val="26"/>
        </w:rPr>
        <w:t>, however,</w:t>
      </w:r>
      <w:r w:rsidR="008C0471" w:rsidRPr="00D55644">
        <w:rPr>
          <w:sz w:val="26"/>
          <w:szCs w:val="26"/>
        </w:rPr>
        <w:t xml:space="preserve"> is not fully developed</w:t>
      </w:r>
      <w:r w:rsidR="005F33CF" w:rsidRPr="00D55644">
        <w:rPr>
          <w:sz w:val="26"/>
          <w:szCs w:val="26"/>
        </w:rPr>
        <w:t xml:space="preserve"> and</w:t>
      </w:r>
      <w:r w:rsidR="008C0471" w:rsidRPr="00D55644">
        <w:rPr>
          <w:sz w:val="26"/>
          <w:szCs w:val="26"/>
        </w:rPr>
        <w:t xml:space="preserve"> leaves critical questions unanswered.  Without having </w:t>
      </w:r>
      <w:r w:rsidR="00D0704A" w:rsidRPr="00D55644">
        <w:rPr>
          <w:sz w:val="26"/>
          <w:szCs w:val="26"/>
        </w:rPr>
        <w:t xml:space="preserve">adequately </w:t>
      </w:r>
      <w:r w:rsidR="008C0471" w:rsidRPr="00D55644">
        <w:rPr>
          <w:sz w:val="26"/>
          <w:szCs w:val="26"/>
        </w:rPr>
        <w:t xml:space="preserve">addressed those questions, the Commission finds that NRG’s Petition </w:t>
      </w:r>
      <w:r w:rsidRPr="00D55644">
        <w:rPr>
          <w:sz w:val="26"/>
          <w:szCs w:val="26"/>
        </w:rPr>
        <w:t xml:space="preserve">may lead to outcomes that run counter to the General Assembly’s intentions </w:t>
      </w:r>
      <w:r w:rsidR="001710DE" w:rsidRPr="00D55644">
        <w:rPr>
          <w:sz w:val="26"/>
          <w:szCs w:val="26"/>
        </w:rPr>
        <w:t>regarding</w:t>
      </w:r>
      <w:r w:rsidRPr="00D55644">
        <w:rPr>
          <w:sz w:val="26"/>
          <w:szCs w:val="26"/>
        </w:rPr>
        <w:t xml:space="preserve"> deregulation of the electric industry.  </w:t>
      </w:r>
      <w:r w:rsidR="005F33CF" w:rsidRPr="00D55644">
        <w:rPr>
          <w:sz w:val="26"/>
          <w:szCs w:val="26"/>
        </w:rPr>
        <w:t xml:space="preserve">NRG’s </w:t>
      </w:r>
      <w:r w:rsidR="00E57486">
        <w:rPr>
          <w:sz w:val="26"/>
          <w:szCs w:val="26"/>
        </w:rPr>
        <w:t xml:space="preserve">specific </w:t>
      </w:r>
      <w:r w:rsidR="005F33CF" w:rsidRPr="00D55644">
        <w:rPr>
          <w:sz w:val="26"/>
          <w:szCs w:val="26"/>
        </w:rPr>
        <w:t>proposal</w:t>
      </w:r>
      <w:r w:rsidRPr="00D55644">
        <w:rPr>
          <w:sz w:val="26"/>
          <w:szCs w:val="26"/>
        </w:rPr>
        <w:t xml:space="preserve"> </w:t>
      </w:r>
      <w:r w:rsidR="00E856EE">
        <w:rPr>
          <w:sz w:val="26"/>
          <w:szCs w:val="26"/>
        </w:rPr>
        <w:t xml:space="preserve">may be harmful to customers and </w:t>
      </w:r>
      <w:r w:rsidRPr="00D55644">
        <w:rPr>
          <w:sz w:val="26"/>
          <w:szCs w:val="26"/>
        </w:rPr>
        <w:t>may not uphold current policies and programs to ensure that low-income customers can afford service.</w:t>
      </w:r>
    </w:p>
    <w:p w14:paraId="72AE7928" w14:textId="77777777" w:rsidR="009B4718" w:rsidRPr="00D55644" w:rsidRDefault="009B4718" w:rsidP="006A2DFB">
      <w:pPr>
        <w:spacing w:line="360" w:lineRule="auto"/>
        <w:rPr>
          <w:sz w:val="26"/>
          <w:szCs w:val="26"/>
        </w:rPr>
      </w:pPr>
    </w:p>
    <w:p w14:paraId="60FAF8B5" w14:textId="77777777" w:rsidR="00E34B2E" w:rsidRDefault="00E34B2E">
      <w:pPr>
        <w:overflowPunct/>
        <w:autoSpaceDE/>
        <w:autoSpaceDN/>
        <w:adjustRightInd/>
        <w:textAlignment w:val="auto"/>
        <w:rPr>
          <w:b/>
          <w:sz w:val="26"/>
          <w:szCs w:val="26"/>
        </w:rPr>
      </w:pPr>
      <w:r>
        <w:rPr>
          <w:b/>
          <w:sz w:val="26"/>
          <w:szCs w:val="26"/>
        </w:rPr>
        <w:br w:type="page"/>
      </w:r>
    </w:p>
    <w:p w14:paraId="2A6AE294" w14:textId="70C8C358" w:rsidR="009467FB" w:rsidRPr="006E0EAA" w:rsidRDefault="00344960" w:rsidP="006C5132">
      <w:pPr>
        <w:tabs>
          <w:tab w:val="left" w:pos="720"/>
        </w:tabs>
        <w:spacing w:line="360" w:lineRule="auto"/>
        <w:rPr>
          <w:b/>
          <w:sz w:val="26"/>
          <w:szCs w:val="26"/>
        </w:rPr>
      </w:pPr>
      <w:r w:rsidRPr="006E0EAA">
        <w:rPr>
          <w:b/>
          <w:sz w:val="26"/>
          <w:szCs w:val="26"/>
        </w:rPr>
        <w:t>A.</w:t>
      </w:r>
      <w:r w:rsidRPr="006E0EAA">
        <w:rPr>
          <w:b/>
          <w:sz w:val="26"/>
          <w:szCs w:val="26"/>
        </w:rPr>
        <w:tab/>
        <w:t>Termination of Service</w:t>
      </w:r>
    </w:p>
    <w:p w14:paraId="618302BC" w14:textId="77777777" w:rsidR="00A858A8" w:rsidRPr="006E0EAA" w:rsidRDefault="006C5132" w:rsidP="006C5132">
      <w:pPr>
        <w:spacing w:line="360" w:lineRule="auto"/>
        <w:ind w:firstLine="720"/>
        <w:rPr>
          <w:b/>
          <w:sz w:val="26"/>
          <w:szCs w:val="26"/>
        </w:rPr>
      </w:pPr>
      <w:r>
        <w:rPr>
          <w:b/>
          <w:sz w:val="26"/>
          <w:szCs w:val="26"/>
        </w:rPr>
        <w:t>1</w:t>
      </w:r>
      <w:r w:rsidR="006E0EAA" w:rsidRPr="006E0EAA">
        <w:rPr>
          <w:b/>
          <w:sz w:val="26"/>
          <w:szCs w:val="26"/>
        </w:rPr>
        <w:t>.</w:t>
      </w:r>
      <w:r w:rsidR="006E0EAA" w:rsidRPr="006E0EAA">
        <w:rPr>
          <w:b/>
          <w:sz w:val="26"/>
          <w:szCs w:val="26"/>
        </w:rPr>
        <w:tab/>
      </w:r>
      <w:r w:rsidR="00A858A8" w:rsidRPr="006E0EAA">
        <w:rPr>
          <w:b/>
          <w:sz w:val="26"/>
          <w:szCs w:val="26"/>
        </w:rPr>
        <w:t>NRG’s Proposal</w:t>
      </w:r>
    </w:p>
    <w:p w14:paraId="7A0CBE42" w14:textId="291EBFB6" w:rsidR="00344960" w:rsidRPr="00D55644" w:rsidRDefault="002E5236" w:rsidP="006A2DFB">
      <w:pPr>
        <w:spacing w:line="360" w:lineRule="auto"/>
        <w:rPr>
          <w:sz w:val="26"/>
          <w:szCs w:val="26"/>
        </w:rPr>
      </w:pPr>
      <w:r w:rsidRPr="00D55644">
        <w:rPr>
          <w:sz w:val="26"/>
          <w:szCs w:val="26"/>
        </w:rPr>
        <w:tab/>
      </w:r>
      <w:r w:rsidR="003D05A3" w:rsidRPr="00D55644">
        <w:rPr>
          <w:sz w:val="26"/>
          <w:szCs w:val="26"/>
        </w:rPr>
        <w:t>NRG proposes that when</w:t>
      </w:r>
      <w:r w:rsidR="0028068F" w:rsidRPr="00D55644">
        <w:rPr>
          <w:sz w:val="26"/>
          <w:szCs w:val="26"/>
        </w:rPr>
        <w:t xml:space="preserve"> </w:t>
      </w:r>
      <w:r w:rsidR="003D05A3" w:rsidRPr="00D55644">
        <w:rPr>
          <w:sz w:val="26"/>
          <w:szCs w:val="26"/>
        </w:rPr>
        <w:t xml:space="preserve">an EGS offering SCB </w:t>
      </w:r>
      <w:r w:rsidR="00033986" w:rsidRPr="00D55644">
        <w:rPr>
          <w:sz w:val="26"/>
          <w:szCs w:val="26"/>
        </w:rPr>
        <w:t xml:space="preserve">is owed </w:t>
      </w:r>
      <w:r w:rsidR="003D05A3" w:rsidRPr="00D55644">
        <w:rPr>
          <w:sz w:val="26"/>
          <w:szCs w:val="26"/>
        </w:rPr>
        <w:t>money</w:t>
      </w:r>
      <w:r w:rsidR="00033986" w:rsidRPr="00D55644">
        <w:rPr>
          <w:sz w:val="26"/>
          <w:szCs w:val="26"/>
        </w:rPr>
        <w:t xml:space="preserve"> by a customer</w:t>
      </w:r>
      <w:r w:rsidR="003D05A3" w:rsidRPr="00D55644">
        <w:rPr>
          <w:sz w:val="26"/>
          <w:szCs w:val="26"/>
        </w:rPr>
        <w:t xml:space="preserve"> and termination of service is appropriate under Chapter 14 of the Public Utility Code</w:t>
      </w:r>
      <w:r w:rsidR="002311D6" w:rsidRPr="00D55644">
        <w:rPr>
          <w:rStyle w:val="FootnoteReference"/>
          <w:sz w:val="26"/>
          <w:szCs w:val="26"/>
        </w:rPr>
        <w:footnoteReference w:id="45"/>
      </w:r>
      <w:r w:rsidR="003D05A3" w:rsidRPr="00D55644">
        <w:rPr>
          <w:sz w:val="26"/>
          <w:szCs w:val="26"/>
        </w:rPr>
        <w:t xml:space="preserve"> and Chapter 56 of the Commission’s regulations</w:t>
      </w:r>
      <w:r w:rsidR="0028068F" w:rsidRPr="00D55644">
        <w:rPr>
          <w:sz w:val="26"/>
          <w:szCs w:val="26"/>
        </w:rPr>
        <w:t>,</w:t>
      </w:r>
      <w:r w:rsidR="002311D6" w:rsidRPr="00D55644">
        <w:rPr>
          <w:rStyle w:val="FootnoteReference"/>
          <w:sz w:val="26"/>
          <w:szCs w:val="26"/>
        </w:rPr>
        <w:footnoteReference w:id="46"/>
      </w:r>
      <w:r w:rsidR="003D05A3" w:rsidRPr="00D55644">
        <w:rPr>
          <w:sz w:val="26"/>
          <w:szCs w:val="26"/>
        </w:rPr>
        <w:t xml:space="preserve"> it will instruct the EDC to physically terminate the customer’s service.</w:t>
      </w:r>
      <w:r w:rsidR="003D05A3" w:rsidRPr="00D55644">
        <w:rPr>
          <w:rStyle w:val="FootnoteReference"/>
          <w:sz w:val="26"/>
          <w:szCs w:val="26"/>
        </w:rPr>
        <w:footnoteReference w:id="47"/>
      </w:r>
      <w:r w:rsidR="003D05A3" w:rsidRPr="00D55644">
        <w:rPr>
          <w:sz w:val="26"/>
          <w:szCs w:val="26"/>
        </w:rPr>
        <w:t xml:space="preserve">  The EDC would</w:t>
      </w:r>
      <w:r w:rsidR="0028068F" w:rsidRPr="00D55644">
        <w:rPr>
          <w:sz w:val="26"/>
          <w:szCs w:val="26"/>
        </w:rPr>
        <w:t xml:space="preserve"> then</w:t>
      </w:r>
      <w:r w:rsidR="003D05A3" w:rsidRPr="00D55644">
        <w:rPr>
          <w:sz w:val="26"/>
          <w:szCs w:val="26"/>
        </w:rPr>
        <w:t xml:space="preserve"> have</w:t>
      </w:r>
      <w:r w:rsidR="0028068F" w:rsidRPr="00D55644">
        <w:rPr>
          <w:sz w:val="26"/>
          <w:szCs w:val="26"/>
        </w:rPr>
        <w:t xml:space="preserve"> five days</w:t>
      </w:r>
      <w:r w:rsidR="003D05A3" w:rsidRPr="00D55644">
        <w:rPr>
          <w:sz w:val="26"/>
          <w:szCs w:val="26"/>
        </w:rPr>
        <w:t xml:space="preserve"> to complete </w:t>
      </w:r>
      <w:r w:rsidR="00323014" w:rsidRPr="00D55644">
        <w:rPr>
          <w:sz w:val="26"/>
          <w:szCs w:val="26"/>
        </w:rPr>
        <w:t xml:space="preserve">the disconnection </w:t>
      </w:r>
      <w:r w:rsidR="00782E70" w:rsidRPr="00D55644">
        <w:rPr>
          <w:sz w:val="26"/>
          <w:szCs w:val="26"/>
        </w:rPr>
        <w:t xml:space="preserve">or it would </w:t>
      </w:r>
      <w:r w:rsidR="0028068F" w:rsidRPr="00D55644">
        <w:rPr>
          <w:sz w:val="26"/>
          <w:szCs w:val="26"/>
        </w:rPr>
        <w:t xml:space="preserve">not </w:t>
      </w:r>
      <w:r w:rsidR="00782E70" w:rsidRPr="00D55644">
        <w:rPr>
          <w:sz w:val="26"/>
          <w:szCs w:val="26"/>
        </w:rPr>
        <w:t xml:space="preserve">be </w:t>
      </w:r>
      <w:r w:rsidR="0028068F" w:rsidRPr="00D55644">
        <w:rPr>
          <w:sz w:val="26"/>
          <w:szCs w:val="26"/>
        </w:rPr>
        <w:t>paid for any subsequent delivery charges to</w:t>
      </w:r>
      <w:r w:rsidR="00323014" w:rsidRPr="00D55644">
        <w:rPr>
          <w:sz w:val="26"/>
          <w:szCs w:val="26"/>
        </w:rPr>
        <w:t xml:space="preserve"> that customer.</w:t>
      </w:r>
      <w:r w:rsidR="00323014" w:rsidRPr="00D55644">
        <w:rPr>
          <w:rStyle w:val="FootnoteReference"/>
          <w:sz w:val="26"/>
          <w:szCs w:val="26"/>
        </w:rPr>
        <w:footnoteReference w:id="48"/>
      </w:r>
      <w:r w:rsidR="00323014" w:rsidRPr="00D55644">
        <w:rPr>
          <w:sz w:val="26"/>
          <w:szCs w:val="26"/>
        </w:rPr>
        <w:t xml:space="preserve">  NRG acknowledges that it cannot order termination of service based on a customer’s nonpayment of non</w:t>
      </w:r>
      <w:r w:rsidR="00782E70" w:rsidRPr="00D55644">
        <w:rPr>
          <w:sz w:val="26"/>
          <w:szCs w:val="26"/>
        </w:rPr>
        <w:noBreakHyphen/>
      </w:r>
      <w:r w:rsidR="00323014" w:rsidRPr="00D55644">
        <w:rPr>
          <w:sz w:val="26"/>
          <w:szCs w:val="26"/>
        </w:rPr>
        <w:t xml:space="preserve">commodity </w:t>
      </w:r>
      <w:r w:rsidR="00BD5162">
        <w:rPr>
          <w:sz w:val="26"/>
          <w:szCs w:val="26"/>
        </w:rPr>
        <w:t>VAS</w:t>
      </w:r>
      <w:r w:rsidR="00323014" w:rsidRPr="00D55644">
        <w:rPr>
          <w:sz w:val="26"/>
          <w:szCs w:val="26"/>
        </w:rPr>
        <w:t>.</w:t>
      </w:r>
      <w:r w:rsidR="00323014" w:rsidRPr="00D55644">
        <w:rPr>
          <w:rStyle w:val="FootnoteReference"/>
          <w:sz w:val="26"/>
          <w:szCs w:val="26"/>
        </w:rPr>
        <w:footnoteReference w:id="49"/>
      </w:r>
    </w:p>
    <w:p w14:paraId="55EBF39E" w14:textId="77777777" w:rsidR="00323014" w:rsidRPr="00D55644" w:rsidRDefault="00323014" w:rsidP="006A2DFB">
      <w:pPr>
        <w:spacing w:line="360" w:lineRule="auto"/>
        <w:rPr>
          <w:sz w:val="26"/>
          <w:szCs w:val="26"/>
        </w:rPr>
      </w:pPr>
    </w:p>
    <w:p w14:paraId="57EDE829" w14:textId="77777777" w:rsidR="00323014" w:rsidRPr="00D55644" w:rsidRDefault="00323014" w:rsidP="006A2DFB">
      <w:pPr>
        <w:spacing w:line="360" w:lineRule="auto"/>
        <w:rPr>
          <w:sz w:val="26"/>
          <w:szCs w:val="26"/>
        </w:rPr>
      </w:pPr>
      <w:r w:rsidRPr="00D55644">
        <w:rPr>
          <w:sz w:val="26"/>
          <w:szCs w:val="26"/>
        </w:rPr>
        <w:tab/>
        <w:t>NRG claims that EGSs offering SCB must have the power to o</w:t>
      </w:r>
      <w:r w:rsidR="00033986" w:rsidRPr="00D55644">
        <w:rPr>
          <w:sz w:val="26"/>
          <w:szCs w:val="26"/>
        </w:rPr>
        <w:t>rder termination of service to</w:t>
      </w:r>
      <w:r w:rsidRPr="00D55644">
        <w:rPr>
          <w:sz w:val="26"/>
          <w:szCs w:val="26"/>
        </w:rPr>
        <w:t xml:space="preserve"> nonpaying customer</w:t>
      </w:r>
      <w:r w:rsidR="00033986" w:rsidRPr="00D55644">
        <w:rPr>
          <w:sz w:val="26"/>
          <w:szCs w:val="26"/>
        </w:rPr>
        <w:t>s because without it EGSs</w:t>
      </w:r>
      <w:r w:rsidRPr="00D55644">
        <w:rPr>
          <w:sz w:val="26"/>
          <w:szCs w:val="26"/>
        </w:rPr>
        <w:t xml:space="preserve"> would have no meaningful opportunity to collect amounts owed to them.</w:t>
      </w:r>
      <w:r w:rsidRPr="00D55644">
        <w:rPr>
          <w:rStyle w:val="FootnoteReference"/>
          <w:sz w:val="26"/>
          <w:szCs w:val="26"/>
        </w:rPr>
        <w:footnoteReference w:id="50"/>
      </w:r>
      <w:r w:rsidRPr="00D55644">
        <w:rPr>
          <w:sz w:val="26"/>
          <w:szCs w:val="26"/>
        </w:rPr>
        <w:t xml:space="preserve">  </w:t>
      </w:r>
      <w:r w:rsidR="00081FE5" w:rsidRPr="00D55644">
        <w:rPr>
          <w:sz w:val="26"/>
          <w:szCs w:val="26"/>
        </w:rPr>
        <w:t xml:space="preserve">NRG further claims that EGSs should not have to drop nonpaying customers and pursue collection because that would be contrary to </w:t>
      </w:r>
      <w:r w:rsidR="00670940" w:rsidRPr="00D55644">
        <w:rPr>
          <w:sz w:val="26"/>
          <w:szCs w:val="26"/>
        </w:rPr>
        <w:t>66 Pa. C.S. § 1402(2),</w:t>
      </w:r>
      <w:r w:rsidR="00033986" w:rsidRPr="00D55644">
        <w:rPr>
          <w:sz w:val="26"/>
          <w:szCs w:val="26"/>
        </w:rPr>
        <w:t xml:space="preserve"> the goal of which is to</w:t>
      </w:r>
      <w:r w:rsidR="00081FE5" w:rsidRPr="00D55644">
        <w:rPr>
          <w:sz w:val="26"/>
          <w:szCs w:val="26"/>
        </w:rPr>
        <w:t xml:space="preserve"> eliminat</w:t>
      </w:r>
      <w:r w:rsidR="00033986" w:rsidRPr="00D55644">
        <w:rPr>
          <w:sz w:val="26"/>
          <w:szCs w:val="26"/>
        </w:rPr>
        <w:t>e</w:t>
      </w:r>
      <w:r w:rsidR="00081FE5" w:rsidRPr="00D55644">
        <w:rPr>
          <w:sz w:val="26"/>
          <w:szCs w:val="26"/>
        </w:rPr>
        <w:t xml:space="preserve"> the opportunity for c</w:t>
      </w:r>
      <w:r w:rsidR="0052591B" w:rsidRPr="00D55644">
        <w:rPr>
          <w:sz w:val="26"/>
          <w:szCs w:val="26"/>
        </w:rPr>
        <w:t>ustomer</w:t>
      </w:r>
      <w:r w:rsidR="00033986" w:rsidRPr="00D55644">
        <w:rPr>
          <w:sz w:val="26"/>
          <w:szCs w:val="26"/>
        </w:rPr>
        <w:t>s</w:t>
      </w:r>
      <w:r w:rsidR="0052591B" w:rsidRPr="00D55644">
        <w:rPr>
          <w:sz w:val="26"/>
          <w:szCs w:val="26"/>
        </w:rPr>
        <w:t xml:space="preserve"> w</w:t>
      </w:r>
      <w:r w:rsidR="00033986" w:rsidRPr="00D55644">
        <w:rPr>
          <w:sz w:val="26"/>
          <w:szCs w:val="26"/>
        </w:rPr>
        <w:t>ith</w:t>
      </w:r>
      <w:r w:rsidR="0052591B" w:rsidRPr="00D55644">
        <w:rPr>
          <w:sz w:val="26"/>
          <w:szCs w:val="26"/>
        </w:rPr>
        <w:t xml:space="preserve"> the ability to pay</w:t>
      </w:r>
      <w:r w:rsidR="00033986" w:rsidRPr="00D55644">
        <w:rPr>
          <w:sz w:val="26"/>
          <w:szCs w:val="26"/>
        </w:rPr>
        <w:t xml:space="preserve"> their</w:t>
      </w:r>
      <w:r w:rsidR="00081FE5" w:rsidRPr="00D55644">
        <w:rPr>
          <w:sz w:val="26"/>
          <w:szCs w:val="26"/>
        </w:rPr>
        <w:t xml:space="preserve"> utility bill</w:t>
      </w:r>
      <w:r w:rsidR="00033986" w:rsidRPr="00D55644">
        <w:rPr>
          <w:sz w:val="26"/>
          <w:szCs w:val="26"/>
        </w:rPr>
        <w:t>s to avoid payment</w:t>
      </w:r>
      <w:r w:rsidR="00081FE5" w:rsidRPr="00D55644">
        <w:rPr>
          <w:sz w:val="26"/>
          <w:szCs w:val="26"/>
        </w:rPr>
        <w:t>.</w:t>
      </w:r>
      <w:r w:rsidR="00081FE5" w:rsidRPr="00D55644">
        <w:rPr>
          <w:rStyle w:val="FootnoteReference"/>
          <w:sz w:val="26"/>
          <w:szCs w:val="26"/>
        </w:rPr>
        <w:footnoteReference w:id="51"/>
      </w:r>
    </w:p>
    <w:p w14:paraId="5CF05F15" w14:textId="77777777" w:rsidR="001B5A72" w:rsidRPr="00D55644" w:rsidRDefault="001B5A72" w:rsidP="006A2DFB">
      <w:pPr>
        <w:spacing w:line="360" w:lineRule="auto"/>
        <w:rPr>
          <w:sz w:val="26"/>
          <w:szCs w:val="26"/>
        </w:rPr>
      </w:pPr>
    </w:p>
    <w:p w14:paraId="0C7CA1F1" w14:textId="77777777" w:rsidR="00A858A8" w:rsidRPr="006E0EAA" w:rsidRDefault="00A858A8" w:rsidP="006C5132">
      <w:pPr>
        <w:spacing w:line="360" w:lineRule="auto"/>
        <w:ind w:left="720"/>
        <w:rPr>
          <w:b/>
          <w:sz w:val="26"/>
          <w:szCs w:val="26"/>
        </w:rPr>
      </w:pPr>
      <w:r w:rsidRPr="006E0EAA">
        <w:rPr>
          <w:b/>
          <w:sz w:val="26"/>
          <w:szCs w:val="26"/>
        </w:rPr>
        <w:t>2</w:t>
      </w:r>
      <w:r w:rsidR="006E0EAA" w:rsidRPr="006E0EAA">
        <w:rPr>
          <w:b/>
          <w:sz w:val="26"/>
          <w:szCs w:val="26"/>
        </w:rPr>
        <w:t>.</w:t>
      </w:r>
      <w:r w:rsidR="006E0EAA" w:rsidRPr="006E0EAA">
        <w:rPr>
          <w:b/>
          <w:sz w:val="26"/>
          <w:szCs w:val="26"/>
        </w:rPr>
        <w:tab/>
      </w:r>
      <w:r w:rsidRPr="006E0EAA">
        <w:rPr>
          <w:b/>
          <w:sz w:val="26"/>
          <w:szCs w:val="26"/>
        </w:rPr>
        <w:t>Comments</w:t>
      </w:r>
    </w:p>
    <w:p w14:paraId="245D50F3" w14:textId="77777777" w:rsidR="00987799" w:rsidRPr="00D55644" w:rsidRDefault="00987799" w:rsidP="006A2DFB">
      <w:pPr>
        <w:spacing w:line="360" w:lineRule="auto"/>
        <w:rPr>
          <w:sz w:val="26"/>
          <w:szCs w:val="26"/>
        </w:rPr>
      </w:pPr>
      <w:r w:rsidRPr="00D55644">
        <w:rPr>
          <w:sz w:val="26"/>
          <w:szCs w:val="26"/>
        </w:rPr>
        <w:tab/>
      </w:r>
      <w:r w:rsidR="006D2F39" w:rsidRPr="00D55644">
        <w:rPr>
          <w:sz w:val="26"/>
          <w:szCs w:val="26"/>
        </w:rPr>
        <w:t>Most commenters</w:t>
      </w:r>
      <w:r w:rsidRPr="00D55644">
        <w:rPr>
          <w:sz w:val="26"/>
          <w:szCs w:val="26"/>
        </w:rPr>
        <w:t xml:space="preserve"> argue that NRG’</w:t>
      </w:r>
      <w:r w:rsidR="006D2F39" w:rsidRPr="00D55644">
        <w:rPr>
          <w:sz w:val="26"/>
          <w:szCs w:val="26"/>
        </w:rPr>
        <w:t>s proposal to grant EGSs offering SCB the power to terminate ser</w:t>
      </w:r>
      <w:r w:rsidR="0052591B" w:rsidRPr="00D55644">
        <w:rPr>
          <w:sz w:val="26"/>
          <w:szCs w:val="26"/>
        </w:rPr>
        <w:t>vice (1) would not preserve existing consumer protections</w:t>
      </w:r>
      <w:r w:rsidR="00815F8D" w:rsidRPr="00D55644">
        <w:rPr>
          <w:sz w:val="26"/>
          <w:szCs w:val="26"/>
        </w:rPr>
        <w:t>;</w:t>
      </w:r>
      <w:r w:rsidR="0052591B" w:rsidRPr="00D55644">
        <w:rPr>
          <w:sz w:val="26"/>
          <w:szCs w:val="26"/>
        </w:rPr>
        <w:t xml:space="preserve"> and/or</w:t>
      </w:r>
      <w:r w:rsidR="006D2F39" w:rsidRPr="00D55644">
        <w:rPr>
          <w:sz w:val="26"/>
          <w:szCs w:val="26"/>
        </w:rPr>
        <w:t xml:space="preserve"> (2)</w:t>
      </w:r>
      <w:r w:rsidR="00815F8D" w:rsidRPr="00D55644">
        <w:rPr>
          <w:sz w:val="26"/>
          <w:szCs w:val="26"/>
        </w:rPr>
        <w:t> </w:t>
      </w:r>
      <w:r w:rsidR="006D2F39" w:rsidRPr="00D55644">
        <w:rPr>
          <w:sz w:val="26"/>
          <w:szCs w:val="26"/>
        </w:rPr>
        <w:t>would not comply with the Public Utility Code and regulations promulgated thereunder.</w:t>
      </w:r>
    </w:p>
    <w:p w14:paraId="2AF74F2C" w14:textId="77777777" w:rsidR="00AF3270" w:rsidRPr="00D55644" w:rsidRDefault="00AF3270" w:rsidP="006A2DFB">
      <w:pPr>
        <w:spacing w:line="360" w:lineRule="auto"/>
        <w:rPr>
          <w:sz w:val="26"/>
          <w:szCs w:val="26"/>
        </w:rPr>
      </w:pPr>
    </w:p>
    <w:p w14:paraId="6CA51D1A" w14:textId="77777777" w:rsidR="00AF3270" w:rsidRPr="00D55644" w:rsidRDefault="00AF3270" w:rsidP="006A2DFB">
      <w:pPr>
        <w:spacing w:line="360" w:lineRule="auto"/>
        <w:rPr>
          <w:sz w:val="26"/>
          <w:szCs w:val="26"/>
        </w:rPr>
      </w:pPr>
      <w:r w:rsidRPr="00D55644">
        <w:rPr>
          <w:sz w:val="26"/>
          <w:szCs w:val="26"/>
        </w:rPr>
        <w:tab/>
        <w:t>CAUSE PA states that NRG’s Petition doe</w:t>
      </w:r>
      <w:r w:rsidR="00F062CC" w:rsidRPr="00D55644">
        <w:rPr>
          <w:sz w:val="26"/>
          <w:szCs w:val="26"/>
        </w:rPr>
        <w:t>s not provide sufficient detail</w:t>
      </w:r>
      <w:r w:rsidRPr="00D55644">
        <w:rPr>
          <w:sz w:val="26"/>
          <w:szCs w:val="26"/>
        </w:rPr>
        <w:t xml:space="preserve"> to support </w:t>
      </w:r>
      <w:r w:rsidR="0052591B" w:rsidRPr="00D55644">
        <w:rPr>
          <w:sz w:val="26"/>
          <w:szCs w:val="26"/>
        </w:rPr>
        <w:t>the claim that NRG</w:t>
      </w:r>
      <w:r w:rsidRPr="00D55644">
        <w:rPr>
          <w:sz w:val="26"/>
          <w:szCs w:val="26"/>
        </w:rPr>
        <w:t xml:space="preserve"> will preserve existing consumer protections.</w:t>
      </w:r>
      <w:r w:rsidRPr="00D55644">
        <w:rPr>
          <w:rStyle w:val="FootnoteReference"/>
          <w:sz w:val="26"/>
          <w:szCs w:val="26"/>
        </w:rPr>
        <w:footnoteReference w:id="52"/>
      </w:r>
      <w:r w:rsidRPr="00D55644">
        <w:rPr>
          <w:sz w:val="26"/>
          <w:szCs w:val="26"/>
        </w:rPr>
        <w:t xml:space="preserve">  </w:t>
      </w:r>
      <w:r w:rsidR="00AD0215" w:rsidRPr="00D55644">
        <w:rPr>
          <w:sz w:val="26"/>
          <w:szCs w:val="26"/>
        </w:rPr>
        <w:t xml:space="preserve">In fact, </w:t>
      </w:r>
      <w:proofErr w:type="gramStart"/>
      <w:r w:rsidR="00AD0215" w:rsidRPr="00D55644">
        <w:rPr>
          <w:sz w:val="26"/>
          <w:szCs w:val="26"/>
        </w:rPr>
        <w:t>CAUSE</w:t>
      </w:r>
      <w:proofErr w:type="gramEnd"/>
      <w:r w:rsidR="00AD0215" w:rsidRPr="00D55644">
        <w:rPr>
          <w:sz w:val="26"/>
          <w:szCs w:val="26"/>
        </w:rPr>
        <w:t xml:space="preserve"> PA noted</w:t>
      </w:r>
      <w:r w:rsidR="008B58B5" w:rsidRPr="00D55644">
        <w:rPr>
          <w:sz w:val="26"/>
          <w:szCs w:val="26"/>
        </w:rPr>
        <w:t xml:space="preserve"> that</w:t>
      </w:r>
      <w:r w:rsidR="00AD0215" w:rsidRPr="00D55644">
        <w:rPr>
          <w:sz w:val="26"/>
          <w:szCs w:val="26"/>
        </w:rPr>
        <w:t xml:space="preserve"> one element of NRG’s proposal</w:t>
      </w:r>
      <w:r w:rsidR="0076054E" w:rsidRPr="00D55644">
        <w:rPr>
          <w:sz w:val="26"/>
          <w:szCs w:val="26"/>
        </w:rPr>
        <w:t>—</w:t>
      </w:r>
      <w:r w:rsidR="00AD0215" w:rsidRPr="00D55644">
        <w:rPr>
          <w:sz w:val="26"/>
          <w:szCs w:val="26"/>
        </w:rPr>
        <w:t>that</w:t>
      </w:r>
      <w:r w:rsidR="0076054E" w:rsidRPr="00D55644">
        <w:rPr>
          <w:sz w:val="26"/>
          <w:szCs w:val="26"/>
        </w:rPr>
        <w:t xml:space="preserve"> a</w:t>
      </w:r>
      <w:r w:rsidR="00AD0215" w:rsidRPr="00D55644">
        <w:rPr>
          <w:sz w:val="26"/>
          <w:szCs w:val="26"/>
        </w:rPr>
        <w:t>n EDC complete disconnection within five days of being notified by the EGS</w:t>
      </w:r>
      <w:r w:rsidR="0076054E" w:rsidRPr="00D55644">
        <w:rPr>
          <w:sz w:val="26"/>
          <w:szCs w:val="26"/>
        </w:rPr>
        <w:t>—runs counter to</w:t>
      </w:r>
      <w:r w:rsidR="00AD0215" w:rsidRPr="00D55644">
        <w:rPr>
          <w:sz w:val="26"/>
          <w:szCs w:val="26"/>
        </w:rPr>
        <w:t xml:space="preserve"> 52 Pa. Code § 56.91(a),</w:t>
      </w:r>
      <w:r w:rsidR="0076054E" w:rsidRPr="00D55644">
        <w:rPr>
          <w:sz w:val="26"/>
          <w:szCs w:val="26"/>
        </w:rPr>
        <w:t xml:space="preserve"> which</w:t>
      </w:r>
      <w:r w:rsidR="00AD0215" w:rsidRPr="00D55644">
        <w:rPr>
          <w:sz w:val="26"/>
          <w:szCs w:val="26"/>
        </w:rPr>
        <w:t xml:space="preserve"> require</w:t>
      </w:r>
      <w:r w:rsidR="0076054E" w:rsidRPr="00D55644">
        <w:rPr>
          <w:sz w:val="26"/>
          <w:szCs w:val="26"/>
        </w:rPr>
        <w:t>s</w:t>
      </w:r>
      <w:r w:rsidR="00AD0215" w:rsidRPr="00D55644">
        <w:rPr>
          <w:sz w:val="26"/>
          <w:szCs w:val="26"/>
        </w:rPr>
        <w:t xml:space="preserve"> that a customer receive written notice</w:t>
      </w:r>
      <w:r w:rsidR="003D2DA2" w:rsidRPr="00D55644">
        <w:rPr>
          <w:sz w:val="26"/>
          <w:szCs w:val="26"/>
        </w:rPr>
        <w:t xml:space="preserve"> from the EDC</w:t>
      </w:r>
      <w:r w:rsidR="00845FCA" w:rsidRPr="00D55644">
        <w:rPr>
          <w:sz w:val="26"/>
          <w:szCs w:val="26"/>
        </w:rPr>
        <w:t xml:space="preserve"> at least ten</w:t>
      </w:r>
      <w:r w:rsidR="00AD0215" w:rsidRPr="00D55644">
        <w:rPr>
          <w:sz w:val="26"/>
          <w:szCs w:val="26"/>
        </w:rPr>
        <w:t xml:space="preserve"> days before termination.</w:t>
      </w:r>
      <w:r w:rsidR="00AD0215" w:rsidRPr="00D55644">
        <w:rPr>
          <w:rStyle w:val="FootnoteReference"/>
          <w:sz w:val="26"/>
          <w:szCs w:val="26"/>
        </w:rPr>
        <w:footnoteReference w:id="53"/>
      </w:r>
    </w:p>
    <w:p w14:paraId="155A71A6" w14:textId="77777777" w:rsidR="00A950E9" w:rsidRPr="00D55644" w:rsidRDefault="00A950E9" w:rsidP="006A2DFB">
      <w:pPr>
        <w:spacing w:line="360" w:lineRule="auto"/>
        <w:rPr>
          <w:sz w:val="26"/>
          <w:szCs w:val="26"/>
        </w:rPr>
      </w:pPr>
    </w:p>
    <w:p w14:paraId="49C6A2E1" w14:textId="77777777" w:rsidR="00A950E9" w:rsidRPr="00D55644" w:rsidRDefault="00A950E9" w:rsidP="006A2DFB">
      <w:pPr>
        <w:spacing w:line="360" w:lineRule="auto"/>
        <w:rPr>
          <w:sz w:val="26"/>
          <w:szCs w:val="26"/>
        </w:rPr>
      </w:pPr>
      <w:r w:rsidRPr="00D55644">
        <w:rPr>
          <w:sz w:val="26"/>
          <w:szCs w:val="26"/>
        </w:rPr>
        <w:tab/>
        <w:t>Calpine asserts that NRG’s proposal for implementation of SCB may not preserve existing consumer protections because important customer service functions would be shifted from a regulated</w:t>
      </w:r>
      <w:r w:rsidR="00452903" w:rsidRPr="00D55644">
        <w:rPr>
          <w:sz w:val="26"/>
          <w:szCs w:val="26"/>
        </w:rPr>
        <w:t xml:space="preserve"> public utility—the EDC—to largely un</w:t>
      </w:r>
      <w:r w:rsidRPr="00D55644">
        <w:rPr>
          <w:sz w:val="26"/>
          <w:szCs w:val="26"/>
        </w:rPr>
        <w:t>regulated EGSs</w:t>
      </w:r>
      <w:r w:rsidR="00452903" w:rsidRPr="00D55644">
        <w:rPr>
          <w:sz w:val="26"/>
          <w:szCs w:val="26"/>
        </w:rPr>
        <w:t xml:space="preserve"> that have </w:t>
      </w:r>
      <w:r w:rsidR="00DE39C4" w:rsidRPr="00D55644">
        <w:rPr>
          <w:sz w:val="26"/>
          <w:szCs w:val="26"/>
        </w:rPr>
        <w:t>more leeway in their operations</w:t>
      </w:r>
      <w:r w:rsidRPr="00D55644">
        <w:rPr>
          <w:sz w:val="26"/>
          <w:szCs w:val="26"/>
        </w:rPr>
        <w:t>.</w:t>
      </w:r>
      <w:r w:rsidR="0067723C" w:rsidRPr="00D55644">
        <w:rPr>
          <w:sz w:val="26"/>
          <w:szCs w:val="26"/>
        </w:rPr>
        <w:t xml:space="preserve">  Calpine</w:t>
      </w:r>
      <w:r w:rsidR="00DE39C4" w:rsidRPr="00D55644">
        <w:rPr>
          <w:sz w:val="26"/>
          <w:szCs w:val="26"/>
        </w:rPr>
        <w:t xml:space="preserve"> also</w:t>
      </w:r>
      <w:r w:rsidR="0067723C" w:rsidRPr="00D55644">
        <w:rPr>
          <w:sz w:val="26"/>
          <w:szCs w:val="26"/>
        </w:rPr>
        <w:t xml:space="preserve"> claims that the obligations imposed on EDCs as default service provider justify their power to terminate service, and since EGSs do not </w:t>
      </w:r>
      <w:r w:rsidR="0036643D" w:rsidRPr="00D55644">
        <w:rPr>
          <w:sz w:val="26"/>
          <w:szCs w:val="26"/>
        </w:rPr>
        <w:t>have those obligations, they should not have the same power</w:t>
      </w:r>
      <w:r w:rsidR="0067723C" w:rsidRPr="00D55644">
        <w:rPr>
          <w:sz w:val="26"/>
          <w:szCs w:val="26"/>
        </w:rPr>
        <w:t xml:space="preserve">.  </w:t>
      </w:r>
      <w:r w:rsidR="00452903" w:rsidRPr="00D55644">
        <w:rPr>
          <w:sz w:val="26"/>
          <w:szCs w:val="26"/>
        </w:rPr>
        <w:t>Lastly, Calpine expresses</w:t>
      </w:r>
      <w:r w:rsidR="0036643D" w:rsidRPr="00D55644">
        <w:rPr>
          <w:sz w:val="26"/>
          <w:szCs w:val="26"/>
        </w:rPr>
        <w:t xml:space="preserve"> concern with the disparate treatment that would re</w:t>
      </w:r>
      <w:r w:rsidR="00973FF8" w:rsidRPr="00D55644">
        <w:rPr>
          <w:sz w:val="26"/>
          <w:szCs w:val="26"/>
        </w:rPr>
        <w:t xml:space="preserve">sult from implementation of SCB:  </w:t>
      </w:r>
      <w:r w:rsidR="00452903" w:rsidRPr="00D55644">
        <w:rPr>
          <w:sz w:val="26"/>
          <w:szCs w:val="26"/>
        </w:rPr>
        <w:t xml:space="preserve">namely </w:t>
      </w:r>
      <w:r w:rsidR="0036643D" w:rsidRPr="00D55644">
        <w:rPr>
          <w:sz w:val="26"/>
          <w:szCs w:val="26"/>
        </w:rPr>
        <w:t xml:space="preserve">that EGSs offering SCB would have the power to </w:t>
      </w:r>
      <w:r w:rsidR="00452903" w:rsidRPr="00D55644">
        <w:rPr>
          <w:sz w:val="26"/>
          <w:szCs w:val="26"/>
        </w:rPr>
        <w:t xml:space="preserve">authorize </w:t>
      </w:r>
      <w:r w:rsidR="00973FF8" w:rsidRPr="00D55644">
        <w:rPr>
          <w:sz w:val="26"/>
          <w:szCs w:val="26"/>
        </w:rPr>
        <w:t>termination o</w:t>
      </w:r>
      <w:r w:rsidR="00452903" w:rsidRPr="00D55644">
        <w:rPr>
          <w:sz w:val="26"/>
          <w:szCs w:val="26"/>
        </w:rPr>
        <w:t>f</w:t>
      </w:r>
      <w:r w:rsidR="0036643D" w:rsidRPr="00D55644">
        <w:rPr>
          <w:sz w:val="26"/>
          <w:szCs w:val="26"/>
        </w:rPr>
        <w:t xml:space="preserve"> service but non-SCB EGSs would not.</w:t>
      </w:r>
      <w:r w:rsidRPr="00D55644">
        <w:rPr>
          <w:rStyle w:val="FootnoteReference"/>
          <w:sz w:val="26"/>
          <w:szCs w:val="26"/>
        </w:rPr>
        <w:footnoteReference w:id="54"/>
      </w:r>
    </w:p>
    <w:p w14:paraId="646366B4" w14:textId="77777777" w:rsidR="00344960" w:rsidRPr="00D55644" w:rsidRDefault="00344960" w:rsidP="006A2DFB">
      <w:pPr>
        <w:spacing w:line="360" w:lineRule="auto"/>
        <w:rPr>
          <w:sz w:val="26"/>
          <w:szCs w:val="26"/>
        </w:rPr>
      </w:pPr>
    </w:p>
    <w:p w14:paraId="546806D8" w14:textId="77777777" w:rsidR="00344960" w:rsidRPr="00D55644" w:rsidRDefault="000D5E68" w:rsidP="006A2DFB">
      <w:pPr>
        <w:spacing w:line="360" w:lineRule="auto"/>
        <w:rPr>
          <w:sz w:val="26"/>
          <w:szCs w:val="26"/>
        </w:rPr>
      </w:pPr>
      <w:r w:rsidRPr="00D55644">
        <w:rPr>
          <w:sz w:val="26"/>
          <w:szCs w:val="26"/>
        </w:rPr>
        <w:tab/>
        <w:t>Duquesne, FirstEnergy</w:t>
      </w:r>
      <w:r w:rsidR="00861D25" w:rsidRPr="00D55644">
        <w:rPr>
          <w:sz w:val="26"/>
          <w:szCs w:val="26"/>
        </w:rPr>
        <w:t xml:space="preserve">, the Industrial Customer Alliances, </w:t>
      </w:r>
      <w:r w:rsidR="00973FF8" w:rsidRPr="00D55644">
        <w:rPr>
          <w:sz w:val="26"/>
          <w:szCs w:val="26"/>
        </w:rPr>
        <w:t xml:space="preserve">the </w:t>
      </w:r>
      <w:r w:rsidR="00861D25" w:rsidRPr="00D55644">
        <w:rPr>
          <w:sz w:val="26"/>
          <w:szCs w:val="26"/>
        </w:rPr>
        <w:t xml:space="preserve">OCA, PPL, and TURN </w:t>
      </w:r>
      <w:r w:rsidR="00973FF8" w:rsidRPr="00D55644">
        <w:rPr>
          <w:sz w:val="26"/>
          <w:szCs w:val="26"/>
        </w:rPr>
        <w:t>fear that customers who are accustomed</w:t>
      </w:r>
      <w:r w:rsidR="00861D25" w:rsidRPr="00D55644">
        <w:rPr>
          <w:sz w:val="26"/>
          <w:szCs w:val="26"/>
        </w:rPr>
        <w:t xml:space="preserve"> to calling their EDCs for customer service issues will be confu</w:t>
      </w:r>
      <w:r w:rsidR="00ED5DBD" w:rsidRPr="00D55644">
        <w:rPr>
          <w:sz w:val="26"/>
          <w:szCs w:val="26"/>
        </w:rPr>
        <w:t xml:space="preserve">sed by the fact that, under SCB, two companies would be involved </w:t>
      </w:r>
      <w:r w:rsidR="00973FF8" w:rsidRPr="00D55644">
        <w:rPr>
          <w:sz w:val="26"/>
          <w:szCs w:val="26"/>
        </w:rPr>
        <w:t>in the termination process.  The</w:t>
      </w:r>
      <w:r w:rsidR="00ED5DBD" w:rsidRPr="00D55644">
        <w:rPr>
          <w:sz w:val="26"/>
          <w:szCs w:val="26"/>
        </w:rPr>
        <w:t xml:space="preserve">se commenters claim that the customers’ confusion regarding which company to call to resolve termination questions could lead to improper termination </w:t>
      </w:r>
      <w:r w:rsidR="00973FF8" w:rsidRPr="00D55644">
        <w:rPr>
          <w:sz w:val="26"/>
          <w:szCs w:val="26"/>
        </w:rPr>
        <w:t>and/</w:t>
      </w:r>
      <w:r w:rsidR="00ED5DBD" w:rsidRPr="00D55644">
        <w:rPr>
          <w:sz w:val="26"/>
          <w:szCs w:val="26"/>
        </w:rPr>
        <w:t>or delayed reconnection.</w:t>
      </w:r>
      <w:r w:rsidR="00C940F1" w:rsidRPr="00D55644">
        <w:rPr>
          <w:rStyle w:val="FootnoteReference"/>
          <w:sz w:val="26"/>
          <w:szCs w:val="26"/>
        </w:rPr>
        <w:footnoteReference w:id="55"/>
      </w:r>
      <w:r w:rsidR="005856E6" w:rsidRPr="00D55644">
        <w:rPr>
          <w:sz w:val="26"/>
          <w:szCs w:val="26"/>
        </w:rPr>
        <w:t xml:space="preserve">  In addition, FirstEnergy</w:t>
      </w:r>
      <w:r w:rsidR="00C940F1" w:rsidRPr="00D55644">
        <w:rPr>
          <w:sz w:val="26"/>
          <w:szCs w:val="26"/>
        </w:rPr>
        <w:t xml:space="preserve"> and PECO assert that NRG’s Petition does not adequately address how information will be timely and accurately passed from the EGS to the EDC (for example, when a customer makes a payment or provides</w:t>
      </w:r>
      <w:r w:rsidR="009D351F" w:rsidRPr="00D55644">
        <w:rPr>
          <w:sz w:val="26"/>
          <w:szCs w:val="26"/>
        </w:rPr>
        <w:t xml:space="preserve"> a</w:t>
      </w:r>
      <w:r w:rsidR="00C940F1" w:rsidRPr="00D55644">
        <w:rPr>
          <w:sz w:val="26"/>
          <w:szCs w:val="26"/>
        </w:rPr>
        <w:t xml:space="preserve"> medical </w:t>
      </w:r>
      <w:r w:rsidR="009D351F" w:rsidRPr="00D55644">
        <w:rPr>
          <w:sz w:val="26"/>
          <w:szCs w:val="26"/>
        </w:rPr>
        <w:t>certification)</w:t>
      </w:r>
      <w:r w:rsidR="00973FF8" w:rsidRPr="00D55644">
        <w:rPr>
          <w:sz w:val="26"/>
          <w:szCs w:val="26"/>
        </w:rPr>
        <w:t xml:space="preserve"> to stop termination protocols</w:t>
      </w:r>
      <w:r w:rsidR="00C940F1" w:rsidRPr="00D55644">
        <w:rPr>
          <w:sz w:val="26"/>
          <w:szCs w:val="26"/>
        </w:rPr>
        <w:t xml:space="preserve"> or to start reconnection.</w:t>
      </w:r>
      <w:r w:rsidR="00C940F1" w:rsidRPr="00D55644">
        <w:rPr>
          <w:rStyle w:val="FootnoteReference"/>
          <w:sz w:val="26"/>
          <w:szCs w:val="26"/>
        </w:rPr>
        <w:footnoteReference w:id="56"/>
      </w:r>
    </w:p>
    <w:p w14:paraId="35DB652F" w14:textId="77777777" w:rsidR="00A71540" w:rsidRPr="00D55644" w:rsidRDefault="00A71540" w:rsidP="006A2DFB">
      <w:pPr>
        <w:spacing w:line="360" w:lineRule="auto"/>
        <w:rPr>
          <w:sz w:val="26"/>
          <w:szCs w:val="26"/>
        </w:rPr>
      </w:pPr>
    </w:p>
    <w:p w14:paraId="3CC59850" w14:textId="77777777" w:rsidR="00F66740" w:rsidRPr="00D55644" w:rsidRDefault="00F66740" w:rsidP="006A2DFB">
      <w:pPr>
        <w:spacing w:line="360" w:lineRule="auto"/>
        <w:rPr>
          <w:sz w:val="26"/>
          <w:szCs w:val="26"/>
        </w:rPr>
      </w:pPr>
      <w:r w:rsidRPr="00D55644">
        <w:rPr>
          <w:sz w:val="26"/>
          <w:szCs w:val="26"/>
        </w:rPr>
        <w:tab/>
      </w:r>
      <w:r w:rsidR="00E9589B" w:rsidRPr="00D55644">
        <w:rPr>
          <w:sz w:val="26"/>
          <w:szCs w:val="26"/>
        </w:rPr>
        <w:t xml:space="preserve">CAUSE PA, Duquesne, EAP, and PPL assert that through 66 Pa. C.S. §§ 2802(16) and 2807(d), the General Assembly made clear its intention that </w:t>
      </w:r>
      <w:proofErr w:type="gramStart"/>
      <w:r w:rsidR="00E9589B" w:rsidRPr="00D55644">
        <w:rPr>
          <w:sz w:val="26"/>
          <w:szCs w:val="26"/>
        </w:rPr>
        <w:t>billing</w:t>
      </w:r>
      <w:proofErr w:type="gramEnd"/>
      <w:r w:rsidR="00E9589B" w:rsidRPr="00D55644">
        <w:rPr>
          <w:sz w:val="26"/>
          <w:szCs w:val="26"/>
        </w:rPr>
        <w:t xml:space="preserve"> and the related activities of collection and termination of service remain with EDCs, which are regulated public utilities.</w:t>
      </w:r>
      <w:r w:rsidR="00E9589B" w:rsidRPr="00D55644">
        <w:rPr>
          <w:rStyle w:val="FootnoteReference"/>
          <w:sz w:val="26"/>
          <w:szCs w:val="26"/>
        </w:rPr>
        <w:footnoteReference w:id="57"/>
      </w:r>
    </w:p>
    <w:p w14:paraId="0370FF8C" w14:textId="77777777" w:rsidR="00305AAC" w:rsidRPr="00D55644" w:rsidRDefault="00305AAC" w:rsidP="006A2DFB">
      <w:pPr>
        <w:spacing w:line="360" w:lineRule="auto"/>
        <w:rPr>
          <w:sz w:val="26"/>
          <w:szCs w:val="26"/>
        </w:rPr>
      </w:pPr>
    </w:p>
    <w:p w14:paraId="2108401B" w14:textId="77777777" w:rsidR="00305AAC" w:rsidRPr="00D55644" w:rsidRDefault="008B5467" w:rsidP="006A2DFB">
      <w:pPr>
        <w:spacing w:line="360" w:lineRule="auto"/>
        <w:rPr>
          <w:sz w:val="26"/>
          <w:szCs w:val="26"/>
        </w:rPr>
      </w:pPr>
      <w:r w:rsidRPr="00D55644">
        <w:rPr>
          <w:sz w:val="26"/>
          <w:szCs w:val="26"/>
        </w:rPr>
        <w:tab/>
        <w:t>FirstEnergy</w:t>
      </w:r>
      <w:r w:rsidR="00305AAC" w:rsidRPr="00D55644">
        <w:rPr>
          <w:sz w:val="26"/>
          <w:szCs w:val="26"/>
        </w:rPr>
        <w:t xml:space="preserve"> asserts that NRG’s Petition does not adequately address the legal basis </w:t>
      </w:r>
      <w:r w:rsidR="00A858A8" w:rsidRPr="00D55644">
        <w:rPr>
          <w:sz w:val="26"/>
          <w:szCs w:val="26"/>
        </w:rPr>
        <w:t xml:space="preserve">for </w:t>
      </w:r>
      <w:r w:rsidR="00305AAC" w:rsidRPr="00D55644">
        <w:rPr>
          <w:sz w:val="26"/>
          <w:szCs w:val="26"/>
        </w:rPr>
        <w:t>allowing EGSs to te</w:t>
      </w:r>
      <w:r w:rsidRPr="00D55644">
        <w:rPr>
          <w:sz w:val="26"/>
          <w:szCs w:val="26"/>
        </w:rPr>
        <w:t>rminate service.  FirstEnergy</w:t>
      </w:r>
      <w:r w:rsidR="00305AAC" w:rsidRPr="00D55644">
        <w:rPr>
          <w:sz w:val="26"/>
          <w:szCs w:val="26"/>
        </w:rPr>
        <w:t xml:space="preserve"> and the PA AFL-CIO note that unde</w:t>
      </w:r>
      <w:r w:rsidR="00021B6B" w:rsidRPr="00D55644">
        <w:rPr>
          <w:sz w:val="26"/>
          <w:szCs w:val="26"/>
        </w:rPr>
        <w:t>r UCB, the EDC is owed money, therefore</w:t>
      </w:r>
      <w:r w:rsidR="001657F6" w:rsidRPr="00D55644">
        <w:rPr>
          <w:sz w:val="26"/>
          <w:szCs w:val="26"/>
        </w:rPr>
        <w:t xml:space="preserve"> the EDC</w:t>
      </w:r>
      <w:r w:rsidR="00305AAC" w:rsidRPr="00D55644">
        <w:rPr>
          <w:sz w:val="26"/>
          <w:szCs w:val="26"/>
        </w:rPr>
        <w:t xml:space="preserve"> is permitted to terminate service to nonpaying customers.  However, under NRG</w:t>
      </w:r>
      <w:r w:rsidR="00021B6B" w:rsidRPr="00D55644">
        <w:rPr>
          <w:sz w:val="26"/>
          <w:szCs w:val="26"/>
        </w:rPr>
        <w:t>’s Petition</w:t>
      </w:r>
      <w:r w:rsidR="002A2A3E" w:rsidRPr="00D55644">
        <w:rPr>
          <w:sz w:val="26"/>
          <w:szCs w:val="26"/>
        </w:rPr>
        <w:t>, the EDC would no longer</w:t>
      </w:r>
      <w:r w:rsidR="00305AAC" w:rsidRPr="00D55644">
        <w:rPr>
          <w:sz w:val="26"/>
          <w:szCs w:val="26"/>
        </w:rPr>
        <w:t xml:space="preserve"> be owed any money because the EGS would have purchased its receivables.  The commenters question the legal authority of the EDC to terminate service under the</w:t>
      </w:r>
      <w:r w:rsidR="00A14F84" w:rsidRPr="00D55644">
        <w:rPr>
          <w:sz w:val="26"/>
          <w:szCs w:val="26"/>
        </w:rPr>
        <w:t>se</w:t>
      </w:r>
      <w:r w:rsidR="00305AAC" w:rsidRPr="00D55644">
        <w:rPr>
          <w:sz w:val="26"/>
          <w:szCs w:val="26"/>
        </w:rPr>
        <w:t xml:space="preserve"> circumstances.</w:t>
      </w:r>
      <w:r w:rsidR="00305AAC" w:rsidRPr="00D55644">
        <w:rPr>
          <w:rStyle w:val="FootnoteReference"/>
          <w:sz w:val="26"/>
          <w:szCs w:val="26"/>
        </w:rPr>
        <w:footnoteReference w:id="58"/>
      </w:r>
    </w:p>
    <w:p w14:paraId="548FFFA8" w14:textId="77777777" w:rsidR="00731ADE" w:rsidRPr="00D55644" w:rsidRDefault="00731ADE" w:rsidP="006A2DFB">
      <w:pPr>
        <w:spacing w:line="360" w:lineRule="auto"/>
        <w:rPr>
          <w:sz w:val="26"/>
          <w:szCs w:val="26"/>
        </w:rPr>
      </w:pPr>
    </w:p>
    <w:p w14:paraId="334FC48C" w14:textId="77777777" w:rsidR="00B70382" w:rsidRPr="00D55644" w:rsidRDefault="00731ADE" w:rsidP="006A2DFB">
      <w:pPr>
        <w:spacing w:line="360" w:lineRule="auto"/>
        <w:rPr>
          <w:sz w:val="26"/>
          <w:szCs w:val="26"/>
        </w:rPr>
      </w:pPr>
      <w:r w:rsidRPr="00D55644">
        <w:rPr>
          <w:sz w:val="26"/>
          <w:szCs w:val="26"/>
        </w:rPr>
        <w:tab/>
      </w:r>
      <w:r w:rsidR="00610DF8" w:rsidRPr="00D55644">
        <w:rPr>
          <w:sz w:val="26"/>
          <w:szCs w:val="26"/>
        </w:rPr>
        <w:t xml:space="preserve">The </w:t>
      </w:r>
      <w:r w:rsidR="00B70382" w:rsidRPr="00D55644">
        <w:rPr>
          <w:sz w:val="26"/>
          <w:szCs w:val="26"/>
        </w:rPr>
        <w:t>OCA notes that the requirements for customer service, including termination of utility service, contained in Chapter 14 apply to public utilities.  66 Pa. C.S. Ch</w:t>
      </w:r>
      <w:r w:rsidR="00610DF8" w:rsidRPr="00D55644">
        <w:rPr>
          <w:sz w:val="26"/>
          <w:szCs w:val="26"/>
        </w:rPr>
        <w:t>.</w:t>
      </w:r>
      <w:r w:rsidR="00B70382" w:rsidRPr="00D55644">
        <w:rPr>
          <w:sz w:val="26"/>
          <w:szCs w:val="26"/>
        </w:rPr>
        <w:t xml:space="preserve"> 14.  Under 66 Pa. C.S. § 2809(e), </w:t>
      </w:r>
      <w:r w:rsidR="00610DF8" w:rsidRPr="00D55644">
        <w:rPr>
          <w:sz w:val="26"/>
          <w:szCs w:val="26"/>
        </w:rPr>
        <w:t xml:space="preserve">the </w:t>
      </w:r>
      <w:r w:rsidR="00B70382" w:rsidRPr="00D55644">
        <w:rPr>
          <w:sz w:val="26"/>
          <w:szCs w:val="26"/>
        </w:rPr>
        <w:t xml:space="preserve">OCA points out that the Commission can require EGSs to maintain quality of service, but </w:t>
      </w:r>
      <w:r w:rsidR="00610DF8" w:rsidRPr="00D55644">
        <w:rPr>
          <w:sz w:val="26"/>
          <w:szCs w:val="26"/>
        </w:rPr>
        <w:t xml:space="preserve">notes that </w:t>
      </w:r>
      <w:r w:rsidR="00B70382" w:rsidRPr="00D55644">
        <w:rPr>
          <w:sz w:val="26"/>
          <w:szCs w:val="26"/>
        </w:rPr>
        <w:t xml:space="preserve">the boundaries of the Commission’s authority—particularly with respect to billing and collections—have not been fully tested.  As such, </w:t>
      </w:r>
      <w:r w:rsidR="00610DF8" w:rsidRPr="00D55644">
        <w:rPr>
          <w:sz w:val="26"/>
          <w:szCs w:val="26"/>
        </w:rPr>
        <w:t xml:space="preserve">the </w:t>
      </w:r>
      <w:r w:rsidR="00B70382" w:rsidRPr="00D55644">
        <w:rPr>
          <w:sz w:val="26"/>
          <w:szCs w:val="26"/>
        </w:rPr>
        <w:t>OCA believes that</w:t>
      </w:r>
      <w:r w:rsidR="00F41C9C" w:rsidRPr="00D55644">
        <w:rPr>
          <w:sz w:val="26"/>
          <w:szCs w:val="26"/>
        </w:rPr>
        <w:t xml:space="preserve"> the Commission’s authority to regulate EGS</w:t>
      </w:r>
      <w:r w:rsidR="00610DF8" w:rsidRPr="00D55644">
        <w:rPr>
          <w:sz w:val="26"/>
          <w:szCs w:val="26"/>
        </w:rPr>
        <w:t>s’</w:t>
      </w:r>
      <w:r w:rsidR="00F41C9C" w:rsidRPr="00D55644">
        <w:rPr>
          <w:sz w:val="26"/>
          <w:szCs w:val="26"/>
        </w:rPr>
        <w:t xml:space="preserve"> behavior in terminating a customer’s electric service</w:t>
      </w:r>
      <w:r w:rsidR="00610DF8" w:rsidRPr="00D55644">
        <w:rPr>
          <w:sz w:val="26"/>
          <w:szCs w:val="26"/>
        </w:rPr>
        <w:t xml:space="preserve"> is uncertain</w:t>
      </w:r>
      <w:r w:rsidR="00F41C9C" w:rsidRPr="00D55644">
        <w:rPr>
          <w:sz w:val="26"/>
          <w:szCs w:val="26"/>
        </w:rPr>
        <w:t>.</w:t>
      </w:r>
      <w:r w:rsidR="00447693" w:rsidRPr="00D55644">
        <w:rPr>
          <w:rStyle w:val="FootnoteReference"/>
          <w:sz w:val="26"/>
          <w:szCs w:val="26"/>
        </w:rPr>
        <w:footnoteReference w:id="59"/>
      </w:r>
    </w:p>
    <w:p w14:paraId="1633F3A5" w14:textId="77777777" w:rsidR="00F925AF" w:rsidRPr="00D55644" w:rsidRDefault="00F925AF" w:rsidP="006A2DFB">
      <w:pPr>
        <w:spacing w:line="360" w:lineRule="auto"/>
        <w:rPr>
          <w:sz w:val="26"/>
          <w:szCs w:val="26"/>
        </w:rPr>
      </w:pPr>
    </w:p>
    <w:p w14:paraId="6216D10A" w14:textId="77777777" w:rsidR="00344960" w:rsidRPr="00D55644" w:rsidRDefault="00F925AF" w:rsidP="006A2DFB">
      <w:pPr>
        <w:spacing w:line="360" w:lineRule="auto"/>
        <w:rPr>
          <w:sz w:val="26"/>
          <w:szCs w:val="26"/>
        </w:rPr>
      </w:pPr>
      <w:r w:rsidRPr="00D55644">
        <w:rPr>
          <w:sz w:val="26"/>
          <w:szCs w:val="26"/>
        </w:rPr>
        <w:tab/>
        <w:t xml:space="preserve">Lastly, PPL asserts that billing, collections, and termination of service are fundamental utility services best </w:t>
      </w:r>
      <w:r w:rsidR="00610DF8" w:rsidRPr="00D55644">
        <w:rPr>
          <w:sz w:val="26"/>
          <w:szCs w:val="26"/>
        </w:rPr>
        <w:t xml:space="preserve">kept </w:t>
      </w:r>
      <w:r w:rsidRPr="00D55644">
        <w:rPr>
          <w:sz w:val="26"/>
          <w:szCs w:val="26"/>
        </w:rPr>
        <w:t xml:space="preserve">in the hands of a regulated utility and </w:t>
      </w:r>
      <w:r w:rsidR="00610DF8" w:rsidRPr="00D55644">
        <w:rPr>
          <w:sz w:val="26"/>
          <w:szCs w:val="26"/>
        </w:rPr>
        <w:t>that</w:t>
      </w:r>
      <w:r w:rsidRPr="00D55644">
        <w:rPr>
          <w:sz w:val="26"/>
          <w:szCs w:val="26"/>
        </w:rPr>
        <w:t xml:space="preserve"> NRG’s Petition does not adequately address </w:t>
      </w:r>
      <w:proofErr w:type="gramStart"/>
      <w:r w:rsidRPr="00D55644">
        <w:rPr>
          <w:sz w:val="26"/>
          <w:szCs w:val="26"/>
        </w:rPr>
        <w:t>a number of</w:t>
      </w:r>
      <w:proofErr w:type="gramEnd"/>
      <w:r w:rsidRPr="00D55644">
        <w:rPr>
          <w:sz w:val="26"/>
          <w:szCs w:val="26"/>
        </w:rPr>
        <w:t xml:space="preserve"> issues related </w:t>
      </w:r>
      <w:r w:rsidR="00610DF8" w:rsidRPr="00D55644">
        <w:rPr>
          <w:sz w:val="26"/>
          <w:szCs w:val="26"/>
        </w:rPr>
        <w:t>to termination.  The</w:t>
      </w:r>
      <w:r w:rsidRPr="00D55644">
        <w:rPr>
          <w:sz w:val="26"/>
          <w:szCs w:val="26"/>
        </w:rPr>
        <w:t>se issues include</w:t>
      </w:r>
      <w:r w:rsidR="00D16DCC" w:rsidRPr="00D55644">
        <w:rPr>
          <w:sz w:val="26"/>
          <w:szCs w:val="26"/>
        </w:rPr>
        <w:t xml:space="preserve"> </w:t>
      </w:r>
      <w:r w:rsidR="00610DF8" w:rsidRPr="00D55644">
        <w:rPr>
          <w:sz w:val="26"/>
          <w:szCs w:val="26"/>
        </w:rPr>
        <w:t>(1) </w:t>
      </w:r>
      <w:r w:rsidR="00D16DCC" w:rsidRPr="00D55644">
        <w:rPr>
          <w:sz w:val="26"/>
          <w:szCs w:val="26"/>
        </w:rPr>
        <w:t>whether there are</w:t>
      </w:r>
      <w:r w:rsidRPr="00D55644">
        <w:rPr>
          <w:sz w:val="26"/>
          <w:szCs w:val="26"/>
        </w:rPr>
        <w:t xml:space="preserve"> adequate safeguards to ensure proper termination;</w:t>
      </w:r>
      <w:r w:rsidR="00610DF8" w:rsidRPr="00D55644">
        <w:rPr>
          <w:sz w:val="26"/>
          <w:szCs w:val="26"/>
        </w:rPr>
        <w:t xml:space="preserve"> (2) </w:t>
      </w:r>
      <w:r w:rsidR="00D16DCC" w:rsidRPr="00D55644">
        <w:rPr>
          <w:sz w:val="26"/>
          <w:szCs w:val="26"/>
        </w:rPr>
        <w:t xml:space="preserve">the </w:t>
      </w:r>
      <w:r w:rsidRPr="00D55644">
        <w:rPr>
          <w:sz w:val="26"/>
          <w:szCs w:val="26"/>
        </w:rPr>
        <w:t>process for EGSs and EDCs to communicate regarding termination;</w:t>
      </w:r>
      <w:r w:rsidR="00610DF8" w:rsidRPr="00D55644">
        <w:rPr>
          <w:sz w:val="26"/>
          <w:szCs w:val="26"/>
        </w:rPr>
        <w:t xml:space="preserve"> (3) </w:t>
      </w:r>
      <w:r w:rsidR="00D16DCC" w:rsidRPr="00D55644">
        <w:rPr>
          <w:sz w:val="26"/>
          <w:szCs w:val="26"/>
        </w:rPr>
        <w:t>the consequences</w:t>
      </w:r>
      <w:r w:rsidR="00610DF8" w:rsidRPr="00D55644">
        <w:rPr>
          <w:sz w:val="26"/>
          <w:szCs w:val="26"/>
        </w:rPr>
        <w:t xml:space="preserve"> and mechanisms for reconnection</w:t>
      </w:r>
      <w:r w:rsidR="00D16DCC" w:rsidRPr="00D55644">
        <w:rPr>
          <w:sz w:val="26"/>
          <w:szCs w:val="26"/>
        </w:rPr>
        <w:t xml:space="preserve"> </w:t>
      </w:r>
      <w:r w:rsidR="00610DF8" w:rsidRPr="00D55644">
        <w:rPr>
          <w:sz w:val="26"/>
          <w:szCs w:val="26"/>
        </w:rPr>
        <w:t xml:space="preserve">if an </w:t>
      </w:r>
      <w:r w:rsidR="00D16DCC" w:rsidRPr="00D55644">
        <w:rPr>
          <w:sz w:val="26"/>
          <w:szCs w:val="26"/>
        </w:rPr>
        <w:t>EGS improperly direct</w:t>
      </w:r>
      <w:r w:rsidR="00610DF8" w:rsidRPr="00D55644">
        <w:rPr>
          <w:sz w:val="26"/>
          <w:szCs w:val="26"/>
        </w:rPr>
        <w:t>ed</w:t>
      </w:r>
      <w:r w:rsidR="00D16DCC" w:rsidRPr="00D55644">
        <w:rPr>
          <w:sz w:val="26"/>
          <w:szCs w:val="26"/>
        </w:rPr>
        <w:t xml:space="preserve"> an EDC to terminate</w:t>
      </w:r>
      <w:r w:rsidR="00610DF8" w:rsidRPr="00D55644">
        <w:rPr>
          <w:sz w:val="26"/>
          <w:szCs w:val="26"/>
        </w:rPr>
        <w:t xml:space="preserve"> a customer’s</w:t>
      </w:r>
      <w:r w:rsidR="00D16DCC" w:rsidRPr="00D55644">
        <w:rPr>
          <w:sz w:val="26"/>
          <w:szCs w:val="26"/>
        </w:rPr>
        <w:t xml:space="preserve"> service; </w:t>
      </w:r>
      <w:r w:rsidR="00610DF8" w:rsidRPr="00D55644">
        <w:rPr>
          <w:sz w:val="26"/>
          <w:szCs w:val="26"/>
        </w:rPr>
        <w:t>(4) </w:t>
      </w:r>
      <w:r w:rsidR="00A36EE4" w:rsidRPr="00D55644">
        <w:rPr>
          <w:sz w:val="26"/>
          <w:szCs w:val="26"/>
        </w:rPr>
        <w:t>which entity will provide notice of termination to the customer; and</w:t>
      </w:r>
      <w:r w:rsidR="00610DF8" w:rsidRPr="00D55644">
        <w:rPr>
          <w:sz w:val="26"/>
          <w:szCs w:val="26"/>
        </w:rPr>
        <w:t xml:space="preserve"> (5) </w:t>
      </w:r>
      <w:r w:rsidR="00A36EE4" w:rsidRPr="00D55644">
        <w:rPr>
          <w:sz w:val="26"/>
          <w:szCs w:val="26"/>
        </w:rPr>
        <w:t>which entity customers should contact regarding te</w:t>
      </w:r>
      <w:r w:rsidR="00391BDF" w:rsidRPr="00D55644">
        <w:rPr>
          <w:sz w:val="26"/>
          <w:szCs w:val="26"/>
        </w:rPr>
        <w:t>rmination of service.  Given the</w:t>
      </w:r>
      <w:r w:rsidR="00A36EE4" w:rsidRPr="00D55644">
        <w:rPr>
          <w:sz w:val="26"/>
          <w:szCs w:val="26"/>
        </w:rPr>
        <w:t>se outstanding questions, PPL does not believe that consumers would be adequately protected from impr</w:t>
      </w:r>
      <w:r w:rsidRPr="00D55644">
        <w:rPr>
          <w:sz w:val="26"/>
          <w:szCs w:val="26"/>
        </w:rPr>
        <w:t>oper termination of service</w:t>
      </w:r>
      <w:r w:rsidR="00391BDF" w:rsidRPr="00D55644">
        <w:rPr>
          <w:sz w:val="26"/>
          <w:szCs w:val="26"/>
        </w:rPr>
        <w:t xml:space="preserve"> or undue delay in reconnection</w:t>
      </w:r>
      <w:r w:rsidR="00A36EE4" w:rsidRPr="00D55644">
        <w:rPr>
          <w:sz w:val="26"/>
          <w:szCs w:val="26"/>
        </w:rPr>
        <w:t xml:space="preserve"> and therefore asserts that EDCs should retain the power to determine </w:t>
      </w:r>
      <w:r w:rsidR="00391BDF" w:rsidRPr="00D55644">
        <w:rPr>
          <w:sz w:val="26"/>
          <w:szCs w:val="26"/>
        </w:rPr>
        <w:t>termination and restoration of</w:t>
      </w:r>
      <w:r w:rsidR="00A36EE4" w:rsidRPr="00D55644">
        <w:rPr>
          <w:sz w:val="26"/>
          <w:szCs w:val="26"/>
        </w:rPr>
        <w:t xml:space="preserve"> service.</w:t>
      </w:r>
      <w:r w:rsidR="00A36EE4" w:rsidRPr="00D55644">
        <w:rPr>
          <w:rStyle w:val="FootnoteReference"/>
          <w:sz w:val="26"/>
          <w:szCs w:val="26"/>
        </w:rPr>
        <w:footnoteReference w:id="60"/>
      </w:r>
    </w:p>
    <w:p w14:paraId="5CC2361E" w14:textId="140826C8" w:rsidR="00580664" w:rsidRDefault="00580664">
      <w:pPr>
        <w:overflowPunct/>
        <w:autoSpaceDE/>
        <w:autoSpaceDN/>
        <w:adjustRightInd/>
        <w:textAlignment w:val="auto"/>
        <w:rPr>
          <w:sz w:val="26"/>
          <w:szCs w:val="26"/>
        </w:rPr>
      </w:pPr>
    </w:p>
    <w:p w14:paraId="21A30726" w14:textId="77777777" w:rsidR="00A858A8" w:rsidRPr="00580664" w:rsidRDefault="00A858A8" w:rsidP="006C5132">
      <w:pPr>
        <w:spacing w:line="360" w:lineRule="auto"/>
        <w:ind w:left="720"/>
        <w:rPr>
          <w:b/>
          <w:sz w:val="26"/>
          <w:szCs w:val="26"/>
        </w:rPr>
      </w:pPr>
      <w:r w:rsidRPr="00580664">
        <w:rPr>
          <w:b/>
          <w:sz w:val="26"/>
          <w:szCs w:val="26"/>
        </w:rPr>
        <w:t>3</w:t>
      </w:r>
      <w:r w:rsidR="00580664" w:rsidRPr="00580664">
        <w:rPr>
          <w:b/>
          <w:sz w:val="26"/>
          <w:szCs w:val="26"/>
        </w:rPr>
        <w:t>.</w:t>
      </w:r>
      <w:r w:rsidR="00580664" w:rsidRPr="00580664">
        <w:rPr>
          <w:b/>
          <w:sz w:val="26"/>
          <w:szCs w:val="26"/>
        </w:rPr>
        <w:tab/>
      </w:r>
      <w:r w:rsidRPr="00580664">
        <w:rPr>
          <w:b/>
          <w:sz w:val="26"/>
          <w:szCs w:val="26"/>
        </w:rPr>
        <w:t>NRG Reply</w:t>
      </w:r>
    </w:p>
    <w:p w14:paraId="06560603" w14:textId="77777777" w:rsidR="00A858A8" w:rsidRPr="00D55644" w:rsidRDefault="000F2DF9" w:rsidP="00A858A8">
      <w:pPr>
        <w:spacing w:line="360" w:lineRule="auto"/>
        <w:rPr>
          <w:sz w:val="26"/>
          <w:szCs w:val="26"/>
        </w:rPr>
      </w:pPr>
      <w:r w:rsidRPr="00D55644">
        <w:rPr>
          <w:sz w:val="26"/>
          <w:szCs w:val="26"/>
        </w:rPr>
        <w:tab/>
        <w:t>NRG, i</w:t>
      </w:r>
      <w:r w:rsidR="006C6971" w:rsidRPr="00D55644">
        <w:rPr>
          <w:sz w:val="26"/>
          <w:szCs w:val="26"/>
        </w:rPr>
        <w:t>n response to the Comments regarding termination and restoration of service, stated that</w:t>
      </w:r>
      <w:r w:rsidRPr="00D55644">
        <w:rPr>
          <w:sz w:val="26"/>
          <w:szCs w:val="26"/>
        </w:rPr>
        <w:t xml:space="preserve"> EGSs will communicate with the EDCs via Electronic Data Interchange (EDI) transactions.  EGSs will initiate the termination process by sending an</w:t>
      </w:r>
      <w:r w:rsidR="004E54ED" w:rsidRPr="00D55644">
        <w:rPr>
          <w:sz w:val="26"/>
          <w:szCs w:val="26"/>
        </w:rPr>
        <w:t xml:space="preserve"> EDI</w:t>
      </w:r>
      <w:r w:rsidRPr="00D55644">
        <w:rPr>
          <w:sz w:val="26"/>
          <w:szCs w:val="26"/>
        </w:rPr>
        <w:t xml:space="preserve"> transaction to the EDCs</w:t>
      </w:r>
      <w:r w:rsidR="006C6971" w:rsidRPr="00D55644">
        <w:rPr>
          <w:sz w:val="26"/>
          <w:szCs w:val="26"/>
        </w:rPr>
        <w:t>,</w:t>
      </w:r>
      <w:r w:rsidRPr="00D55644">
        <w:rPr>
          <w:sz w:val="26"/>
          <w:szCs w:val="26"/>
        </w:rPr>
        <w:t xml:space="preserve"> which would verify that termination is authorized under Chapter 14.  The EDC </w:t>
      </w:r>
      <w:r w:rsidR="006C6971" w:rsidRPr="00D55644">
        <w:rPr>
          <w:sz w:val="26"/>
          <w:szCs w:val="26"/>
        </w:rPr>
        <w:t>c</w:t>
      </w:r>
      <w:r w:rsidRPr="00D55644">
        <w:rPr>
          <w:sz w:val="26"/>
          <w:szCs w:val="26"/>
        </w:rPr>
        <w:t>ould reject the termination</w:t>
      </w:r>
      <w:r w:rsidR="006C6971" w:rsidRPr="00D55644">
        <w:rPr>
          <w:sz w:val="26"/>
          <w:szCs w:val="26"/>
        </w:rPr>
        <w:t xml:space="preserve"> request</w:t>
      </w:r>
      <w:r w:rsidR="004E54ED" w:rsidRPr="00D55644">
        <w:rPr>
          <w:sz w:val="26"/>
          <w:szCs w:val="26"/>
        </w:rPr>
        <w:t xml:space="preserve"> based on Chapter 14</w:t>
      </w:r>
      <w:r w:rsidR="006C6971" w:rsidRPr="00D55644">
        <w:rPr>
          <w:sz w:val="26"/>
          <w:szCs w:val="26"/>
        </w:rPr>
        <w:t xml:space="preserve"> safeguards</w:t>
      </w:r>
      <w:r w:rsidRPr="00D55644">
        <w:rPr>
          <w:sz w:val="26"/>
          <w:szCs w:val="26"/>
        </w:rPr>
        <w:t>.</w:t>
      </w:r>
      <w:r w:rsidR="006C6971" w:rsidRPr="00D55644">
        <w:rPr>
          <w:sz w:val="26"/>
          <w:szCs w:val="26"/>
        </w:rPr>
        <w:t xml:space="preserve">  Once</w:t>
      </w:r>
      <w:r w:rsidR="004E54ED" w:rsidRPr="00D55644">
        <w:rPr>
          <w:sz w:val="26"/>
          <w:szCs w:val="26"/>
        </w:rPr>
        <w:t xml:space="preserve"> service </w:t>
      </w:r>
      <w:r w:rsidR="006C6971" w:rsidRPr="00D55644">
        <w:rPr>
          <w:sz w:val="26"/>
          <w:szCs w:val="26"/>
        </w:rPr>
        <w:t>is</w:t>
      </w:r>
      <w:r w:rsidR="004E54ED" w:rsidRPr="00D55644">
        <w:rPr>
          <w:sz w:val="26"/>
          <w:szCs w:val="26"/>
        </w:rPr>
        <w:t xml:space="preserve"> terminated, and ass</w:t>
      </w:r>
      <w:r w:rsidR="006C6971" w:rsidRPr="00D55644">
        <w:rPr>
          <w:sz w:val="26"/>
          <w:szCs w:val="26"/>
        </w:rPr>
        <w:t>uming payment is received from the</w:t>
      </w:r>
      <w:r w:rsidR="004E54ED" w:rsidRPr="00D55644">
        <w:rPr>
          <w:sz w:val="26"/>
          <w:szCs w:val="26"/>
        </w:rPr>
        <w:t xml:space="preserve"> customer, the EGS will provide notice to reconnect service to the EDC through EDI transaction.</w:t>
      </w:r>
      <w:r w:rsidR="004E54ED" w:rsidRPr="00D55644">
        <w:rPr>
          <w:rStyle w:val="FootnoteReference"/>
          <w:sz w:val="26"/>
          <w:szCs w:val="26"/>
        </w:rPr>
        <w:footnoteReference w:id="61"/>
      </w:r>
    </w:p>
    <w:p w14:paraId="2D316653" w14:textId="77777777" w:rsidR="004E54ED" w:rsidRPr="00D55644" w:rsidRDefault="004E54ED" w:rsidP="00A858A8">
      <w:pPr>
        <w:spacing w:line="360" w:lineRule="auto"/>
        <w:rPr>
          <w:sz w:val="26"/>
          <w:szCs w:val="26"/>
        </w:rPr>
      </w:pPr>
    </w:p>
    <w:p w14:paraId="5B2F51B2" w14:textId="77777777" w:rsidR="004E54ED" w:rsidRPr="00D55644" w:rsidRDefault="004E54ED" w:rsidP="00A858A8">
      <w:pPr>
        <w:spacing w:line="360" w:lineRule="auto"/>
        <w:rPr>
          <w:sz w:val="26"/>
          <w:szCs w:val="26"/>
        </w:rPr>
      </w:pPr>
      <w:r w:rsidRPr="00D55644">
        <w:rPr>
          <w:sz w:val="26"/>
          <w:szCs w:val="26"/>
        </w:rPr>
        <w:tab/>
      </w:r>
      <w:r w:rsidR="00A53B34" w:rsidRPr="00D55644">
        <w:rPr>
          <w:sz w:val="26"/>
          <w:szCs w:val="26"/>
        </w:rPr>
        <w:t xml:space="preserve">NRG asserts that EDCs will provide the required termination notices to customers and physically terminate service, while the EGSs will handle all other termination-related communications with customers.  A more </w:t>
      </w:r>
      <w:r w:rsidR="00C70559" w:rsidRPr="00D55644">
        <w:rPr>
          <w:sz w:val="26"/>
          <w:szCs w:val="26"/>
        </w:rPr>
        <w:t>detailed</w:t>
      </w:r>
      <w:r w:rsidR="00A53B34" w:rsidRPr="00D55644">
        <w:rPr>
          <w:sz w:val="26"/>
          <w:szCs w:val="26"/>
        </w:rPr>
        <w:t xml:space="preserve"> allocation of duties will be determined </w:t>
      </w:r>
      <w:r w:rsidR="00675F6D" w:rsidRPr="00D55644">
        <w:rPr>
          <w:sz w:val="26"/>
          <w:szCs w:val="26"/>
        </w:rPr>
        <w:t>by agreement between the EGS and EDC or by interim guidelines adopted by the Commission (to be followed by promulgation of regulations).</w:t>
      </w:r>
      <w:r w:rsidR="00675F6D" w:rsidRPr="00D55644">
        <w:rPr>
          <w:rStyle w:val="FootnoteReference"/>
          <w:sz w:val="26"/>
          <w:szCs w:val="26"/>
        </w:rPr>
        <w:footnoteReference w:id="62"/>
      </w:r>
    </w:p>
    <w:p w14:paraId="415E07CF" w14:textId="77777777" w:rsidR="00675F6D" w:rsidRPr="00D55644" w:rsidRDefault="00675F6D" w:rsidP="00A858A8">
      <w:pPr>
        <w:spacing w:line="360" w:lineRule="auto"/>
        <w:rPr>
          <w:sz w:val="26"/>
          <w:szCs w:val="26"/>
        </w:rPr>
      </w:pPr>
    </w:p>
    <w:p w14:paraId="4F5E6A7D" w14:textId="77777777" w:rsidR="00675F6D" w:rsidRPr="00D55644" w:rsidRDefault="00675F6D" w:rsidP="00A858A8">
      <w:pPr>
        <w:spacing w:line="360" w:lineRule="auto"/>
        <w:rPr>
          <w:sz w:val="26"/>
          <w:szCs w:val="26"/>
        </w:rPr>
      </w:pPr>
      <w:r w:rsidRPr="00D55644">
        <w:rPr>
          <w:sz w:val="26"/>
          <w:szCs w:val="26"/>
        </w:rPr>
        <w:tab/>
        <w:t xml:space="preserve">In addition, NRG asserts that EGSs </w:t>
      </w:r>
      <w:r w:rsidR="00E46729" w:rsidRPr="00D55644">
        <w:rPr>
          <w:sz w:val="26"/>
          <w:szCs w:val="26"/>
        </w:rPr>
        <w:t xml:space="preserve">(1) </w:t>
      </w:r>
      <w:r w:rsidRPr="00D55644">
        <w:rPr>
          <w:sz w:val="26"/>
          <w:szCs w:val="26"/>
        </w:rPr>
        <w:t xml:space="preserve">will fully indemnify EDCs for </w:t>
      </w:r>
      <w:r w:rsidR="00E46729" w:rsidRPr="00D55644">
        <w:rPr>
          <w:sz w:val="26"/>
          <w:szCs w:val="26"/>
        </w:rPr>
        <w:t xml:space="preserve">the costs associated with </w:t>
      </w:r>
      <w:r w:rsidRPr="00D55644">
        <w:rPr>
          <w:sz w:val="26"/>
          <w:szCs w:val="26"/>
        </w:rPr>
        <w:t>im</w:t>
      </w:r>
      <w:r w:rsidR="00E46729" w:rsidRPr="00D55644">
        <w:rPr>
          <w:sz w:val="26"/>
          <w:szCs w:val="26"/>
        </w:rPr>
        <w:t>proper termination of service and</w:t>
      </w:r>
      <w:r w:rsidRPr="00D55644">
        <w:rPr>
          <w:sz w:val="26"/>
          <w:szCs w:val="26"/>
        </w:rPr>
        <w:t xml:space="preserve"> delay in reconnecting service caused by an error over which the EGSs have control;</w:t>
      </w:r>
      <w:r w:rsidRPr="00D55644">
        <w:rPr>
          <w:rStyle w:val="FootnoteReference"/>
          <w:sz w:val="26"/>
          <w:szCs w:val="26"/>
        </w:rPr>
        <w:footnoteReference w:id="63"/>
      </w:r>
      <w:r w:rsidRPr="00D55644">
        <w:rPr>
          <w:sz w:val="26"/>
          <w:szCs w:val="26"/>
        </w:rPr>
        <w:t xml:space="preserve"> </w:t>
      </w:r>
      <w:r w:rsidR="00E46729" w:rsidRPr="00D55644">
        <w:rPr>
          <w:sz w:val="26"/>
          <w:szCs w:val="26"/>
        </w:rPr>
        <w:t>(2) </w:t>
      </w:r>
      <w:r w:rsidR="00AD3CB5" w:rsidRPr="00D55644">
        <w:rPr>
          <w:sz w:val="26"/>
          <w:szCs w:val="26"/>
        </w:rPr>
        <w:t>will provide quarterly reports to the Commission with termination data which will allow the Commission to determine whether any changes are needed in the SCB termination process;</w:t>
      </w:r>
      <w:r w:rsidR="00AD3CB5" w:rsidRPr="00D55644">
        <w:rPr>
          <w:rStyle w:val="FootnoteReference"/>
          <w:sz w:val="26"/>
          <w:szCs w:val="26"/>
        </w:rPr>
        <w:footnoteReference w:id="64"/>
      </w:r>
      <w:r w:rsidR="00AD3CB5" w:rsidRPr="00D55644">
        <w:rPr>
          <w:sz w:val="26"/>
          <w:szCs w:val="26"/>
        </w:rPr>
        <w:t xml:space="preserve"> and </w:t>
      </w:r>
      <w:r w:rsidR="00E46729" w:rsidRPr="00D55644">
        <w:rPr>
          <w:sz w:val="26"/>
          <w:szCs w:val="26"/>
        </w:rPr>
        <w:t>(3) </w:t>
      </w:r>
      <w:r w:rsidR="00AD3CB5" w:rsidRPr="00D55644">
        <w:rPr>
          <w:sz w:val="26"/>
          <w:szCs w:val="26"/>
        </w:rPr>
        <w:t>will employ mechanisms to ensure that service is not terminated for nonpayment of VAS charges.</w:t>
      </w:r>
      <w:r w:rsidR="00AD3CB5" w:rsidRPr="00D55644">
        <w:rPr>
          <w:rStyle w:val="FootnoteReference"/>
          <w:sz w:val="26"/>
          <w:szCs w:val="26"/>
        </w:rPr>
        <w:footnoteReference w:id="65"/>
      </w:r>
    </w:p>
    <w:p w14:paraId="74281287" w14:textId="77777777" w:rsidR="00AD3CB5" w:rsidRPr="00D55644" w:rsidRDefault="00AD3CB5" w:rsidP="00A858A8">
      <w:pPr>
        <w:spacing w:line="360" w:lineRule="auto"/>
        <w:rPr>
          <w:sz w:val="26"/>
          <w:szCs w:val="26"/>
        </w:rPr>
      </w:pPr>
    </w:p>
    <w:p w14:paraId="405BAC12" w14:textId="77777777" w:rsidR="00AD3CB5" w:rsidRPr="00D55644" w:rsidRDefault="00AD3CB5" w:rsidP="00A858A8">
      <w:pPr>
        <w:spacing w:line="360" w:lineRule="auto"/>
        <w:rPr>
          <w:sz w:val="26"/>
          <w:szCs w:val="26"/>
        </w:rPr>
      </w:pPr>
      <w:r w:rsidRPr="00D55644">
        <w:rPr>
          <w:sz w:val="26"/>
          <w:szCs w:val="26"/>
        </w:rPr>
        <w:tab/>
      </w:r>
      <w:r w:rsidR="00AC4C52" w:rsidRPr="00D55644">
        <w:rPr>
          <w:sz w:val="26"/>
          <w:szCs w:val="26"/>
        </w:rPr>
        <w:t>In terms of legality, NRG asserts that its proposed methods for terminating service are not barred by the Public Utility Code because Chapter 14 does not preclude an EDC from terminating service even though it is not owed any money</w:t>
      </w:r>
      <w:r w:rsidR="00E46729" w:rsidRPr="00D55644">
        <w:rPr>
          <w:sz w:val="26"/>
          <w:szCs w:val="26"/>
        </w:rPr>
        <w:t xml:space="preserve"> by the customer and was made whole when the EGS purchased its receivables</w:t>
      </w:r>
      <w:r w:rsidR="00AC4C52" w:rsidRPr="00D55644">
        <w:rPr>
          <w:sz w:val="26"/>
          <w:szCs w:val="26"/>
        </w:rPr>
        <w:t>.</w:t>
      </w:r>
      <w:r w:rsidR="0052311E" w:rsidRPr="00D55644">
        <w:rPr>
          <w:sz w:val="26"/>
          <w:szCs w:val="26"/>
        </w:rPr>
        <w:t xml:space="preserve">  </w:t>
      </w:r>
      <w:r w:rsidR="004C5AC8" w:rsidRPr="00D55644">
        <w:rPr>
          <w:sz w:val="26"/>
          <w:szCs w:val="26"/>
        </w:rPr>
        <w:t>To the contrary, NRG argues, 66</w:t>
      </w:r>
      <w:r w:rsidR="00B03621" w:rsidRPr="00D55644">
        <w:rPr>
          <w:sz w:val="26"/>
          <w:szCs w:val="26"/>
        </w:rPr>
        <w:t> </w:t>
      </w:r>
      <w:r w:rsidR="004C5AC8" w:rsidRPr="00D55644">
        <w:rPr>
          <w:sz w:val="26"/>
          <w:szCs w:val="26"/>
        </w:rPr>
        <w:t>Pa. C.S. §</w:t>
      </w:r>
      <w:r w:rsidR="00B03621" w:rsidRPr="00D55644">
        <w:rPr>
          <w:sz w:val="26"/>
          <w:szCs w:val="26"/>
        </w:rPr>
        <w:t> </w:t>
      </w:r>
      <w:r w:rsidR="004C5AC8" w:rsidRPr="00D55644">
        <w:rPr>
          <w:sz w:val="26"/>
          <w:szCs w:val="26"/>
        </w:rPr>
        <w:t>1406(a), allows an EDC to terminate service for nonpayment and other reasons, so its proposal is in fact legal.</w:t>
      </w:r>
      <w:r w:rsidR="00AC4C52" w:rsidRPr="00D55644">
        <w:rPr>
          <w:rStyle w:val="FootnoteReference"/>
          <w:sz w:val="26"/>
          <w:szCs w:val="26"/>
        </w:rPr>
        <w:footnoteReference w:id="66"/>
      </w:r>
    </w:p>
    <w:p w14:paraId="17E4FF17" w14:textId="77777777" w:rsidR="00FA6AE4" w:rsidRPr="00D55644" w:rsidRDefault="00FA6AE4" w:rsidP="00A858A8">
      <w:pPr>
        <w:spacing w:line="360" w:lineRule="auto"/>
        <w:rPr>
          <w:sz w:val="26"/>
          <w:szCs w:val="26"/>
        </w:rPr>
      </w:pPr>
    </w:p>
    <w:p w14:paraId="471AD2F2" w14:textId="77777777" w:rsidR="00A858A8" w:rsidRPr="00580664" w:rsidRDefault="00A858A8" w:rsidP="006C5132">
      <w:pPr>
        <w:spacing w:line="360" w:lineRule="auto"/>
        <w:ind w:left="720"/>
        <w:rPr>
          <w:b/>
          <w:sz w:val="26"/>
          <w:szCs w:val="26"/>
        </w:rPr>
      </w:pPr>
      <w:r w:rsidRPr="00580664">
        <w:rPr>
          <w:b/>
          <w:sz w:val="26"/>
          <w:szCs w:val="26"/>
        </w:rPr>
        <w:t>4</w:t>
      </w:r>
      <w:r w:rsidR="00580664" w:rsidRPr="00580664">
        <w:rPr>
          <w:b/>
          <w:sz w:val="26"/>
          <w:szCs w:val="26"/>
        </w:rPr>
        <w:t>.</w:t>
      </w:r>
      <w:r w:rsidR="00580664" w:rsidRPr="00580664">
        <w:rPr>
          <w:b/>
          <w:sz w:val="26"/>
          <w:szCs w:val="26"/>
        </w:rPr>
        <w:tab/>
      </w:r>
      <w:r w:rsidRPr="00580664">
        <w:rPr>
          <w:b/>
          <w:sz w:val="26"/>
          <w:szCs w:val="26"/>
        </w:rPr>
        <w:t>Disposition</w:t>
      </w:r>
    </w:p>
    <w:p w14:paraId="6B1B7397" w14:textId="40BB19A4" w:rsidR="0007169A" w:rsidRPr="00D55644" w:rsidRDefault="00AB664A" w:rsidP="006A2DFB">
      <w:pPr>
        <w:spacing w:line="360" w:lineRule="auto"/>
        <w:rPr>
          <w:sz w:val="26"/>
          <w:szCs w:val="26"/>
        </w:rPr>
      </w:pPr>
      <w:r w:rsidRPr="00D55644">
        <w:rPr>
          <w:sz w:val="26"/>
          <w:szCs w:val="26"/>
        </w:rPr>
        <w:tab/>
      </w:r>
      <w:r w:rsidR="000A2476" w:rsidRPr="00D55644">
        <w:rPr>
          <w:sz w:val="26"/>
          <w:szCs w:val="26"/>
        </w:rPr>
        <w:t>The Commission finds</w:t>
      </w:r>
      <w:r w:rsidR="00A53A6C" w:rsidRPr="00D55644">
        <w:rPr>
          <w:sz w:val="26"/>
          <w:szCs w:val="26"/>
        </w:rPr>
        <w:t xml:space="preserve"> that NRG’s proposal regarding EGSs’ power to</w:t>
      </w:r>
      <w:r w:rsidR="0014091E" w:rsidRPr="00D55644">
        <w:rPr>
          <w:sz w:val="26"/>
          <w:szCs w:val="26"/>
        </w:rPr>
        <w:t xml:space="preserve"> authorize the termination of</w:t>
      </w:r>
      <w:r w:rsidR="00A53A6C" w:rsidRPr="00D55644">
        <w:rPr>
          <w:sz w:val="26"/>
          <w:szCs w:val="26"/>
        </w:rPr>
        <w:t xml:space="preserve"> service</w:t>
      </w:r>
      <w:r w:rsidR="0014091E" w:rsidRPr="00D55644">
        <w:rPr>
          <w:sz w:val="26"/>
          <w:szCs w:val="26"/>
        </w:rPr>
        <w:t xml:space="preserve"> does not adequately address the consumer protection concerns raised by the commenters, </w:t>
      </w:r>
      <w:r w:rsidR="00914539">
        <w:rPr>
          <w:sz w:val="26"/>
          <w:szCs w:val="26"/>
        </w:rPr>
        <w:t>may be</w:t>
      </w:r>
      <w:r w:rsidR="00914539" w:rsidRPr="00D55644">
        <w:rPr>
          <w:sz w:val="26"/>
          <w:szCs w:val="26"/>
        </w:rPr>
        <w:t xml:space="preserve"> </w:t>
      </w:r>
      <w:r w:rsidR="0014091E" w:rsidRPr="00D55644">
        <w:rPr>
          <w:sz w:val="26"/>
          <w:szCs w:val="26"/>
        </w:rPr>
        <w:t xml:space="preserve">unnecessary for EGSs to collect on debts owed by customers, </w:t>
      </w:r>
      <w:r w:rsidR="007919B6" w:rsidRPr="00D55644">
        <w:rPr>
          <w:sz w:val="26"/>
          <w:szCs w:val="26"/>
        </w:rPr>
        <w:t xml:space="preserve">and </w:t>
      </w:r>
      <w:r w:rsidR="0034596B">
        <w:rPr>
          <w:sz w:val="26"/>
          <w:szCs w:val="26"/>
        </w:rPr>
        <w:t>may</w:t>
      </w:r>
      <w:r w:rsidR="0034596B" w:rsidRPr="00D55644">
        <w:rPr>
          <w:sz w:val="26"/>
          <w:szCs w:val="26"/>
        </w:rPr>
        <w:t xml:space="preserve"> </w:t>
      </w:r>
      <w:r w:rsidR="00A53A6C" w:rsidRPr="00D55644">
        <w:rPr>
          <w:sz w:val="26"/>
          <w:szCs w:val="26"/>
        </w:rPr>
        <w:t xml:space="preserve">not </w:t>
      </w:r>
      <w:r w:rsidR="0014091E" w:rsidRPr="00D55644">
        <w:rPr>
          <w:sz w:val="26"/>
          <w:szCs w:val="26"/>
        </w:rPr>
        <w:t>compl</w:t>
      </w:r>
      <w:r w:rsidR="00D6003D" w:rsidRPr="00D55644">
        <w:rPr>
          <w:sz w:val="26"/>
          <w:szCs w:val="26"/>
        </w:rPr>
        <w:t>y</w:t>
      </w:r>
      <w:r w:rsidR="00A53A6C" w:rsidRPr="00D55644">
        <w:rPr>
          <w:sz w:val="26"/>
          <w:szCs w:val="26"/>
        </w:rPr>
        <w:t xml:space="preserve"> with the Public Utility Code.  As such, the Commission will </w:t>
      </w:r>
      <w:r w:rsidR="0014091E" w:rsidRPr="00D55644">
        <w:rPr>
          <w:sz w:val="26"/>
          <w:szCs w:val="26"/>
        </w:rPr>
        <w:t xml:space="preserve">deny EGSs the authority to </w:t>
      </w:r>
      <w:r w:rsidR="003D51F3">
        <w:rPr>
          <w:sz w:val="26"/>
          <w:szCs w:val="26"/>
        </w:rPr>
        <w:t>order</w:t>
      </w:r>
      <w:r w:rsidR="0014091E" w:rsidRPr="00D55644">
        <w:rPr>
          <w:sz w:val="26"/>
          <w:szCs w:val="26"/>
        </w:rPr>
        <w:t xml:space="preserve"> the termination of customers’ electric service</w:t>
      </w:r>
      <w:r w:rsidR="002C36CB">
        <w:rPr>
          <w:sz w:val="26"/>
          <w:szCs w:val="26"/>
        </w:rPr>
        <w:t xml:space="preserve"> based on the lack of sufficient detail regarding EGS termination</w:t>
      </w:r>
      <w:r w:rsidR="0034596B">
        <w:rPr>
          <w:sz w:val="26"/>
          <w:szCs w:val="26"/>
        </w:rPr>
        <w:t xml:space="preserve"> safeguards</w:t>
      </w:r>
      <w:r w:rsidR="002C36CB">
        <w:rPr>
          <w:sz w:val="26"/>
          <w:szCs w:val="26"/>
        </w:rPr>
        <w:t xml:space="preserve"> provided</w:t>
      </w:r>
      <w:r w:rsidR="007E533C">
        <w:rPr>
          <w:sz w:val="26"/>
          <w:szCs w:val="26"/>
        </w:rPr>
        <w:t xml:space="preserve"> in this Petition</w:t>
      </w:r>
      <w:r w:rsidR="0014091E" w:rsidRPr="00D55644">
        <w:rPr>
          <w:sz w:val="26"/>
          <w:szCs w:val="26"/>
        </w:rPr>
        <w:t>.</w:t>
      </w:r>
    </w:p>
    <w:p w14:paraId="6766DB22" w14:textId="77777777" w:rsidR="00A53A6C" w:rsidRPr="00580664" w:rsidRDefault="00A86020" w:rsidP="006C5132">
      <w:pPr>
        <w:spacing w:line="360" w:lineRule="auto"/>
        <w:ind w:left="1440"/>
        <w:rPr>
          <w:b/>
          <w:sz w:val="26"/>
          <w:szCs w:val="26"/>
        </w:rPr>
      </w:pPr>
      <w:proofErr w:type="spellStart"/>
      <w:r w:rsidRPr="00580664">
        <w:rPr>
          <w:b/>
          <w:sz w:val="26"/>
          <w:szCs w:val="26"/>
        </w:rPr>
        <w:t>i</w:t>
      </w:r>
      <w:proofErr w:type="spellEnd"/>
      <w:r w:rsidR="00580664" w:rsidRPr="00580664">
        <w:rPr>
          <w:b/>
          <w:sz w:val="26"/>
          <w:szCs w:val="26"/>
        </w:rPr>
        <w:t>.</w:t>
      </w:r>
      <w:r w:rsidR="00580664" w:rsidRPr="00580664">
        <w:rPr>
          <w:b/>
          <w:sz w:val="26"/>
          <w:szCs w:val="26"/>
        </w:rPr>
        <w:tab/>
      </w:r>
      <w:r w:rsidRPr="00580664">
        <w:rPr>
          <w:b/>
          <w:sz w:val="26"/>
          <w:szCs w:val="26"/>
        </w:rPr>
        <w:t>Consumer Protections</w:t>
      </w:r>
    </w:p>
    <w:p w14:paraId="6FF18A67" w14:textId="77777777" w:rsidR="007642B4" w:rsidRPr="00D55644" w:rsidRDefault="00A53A6C" w:rsidP="007642B4">
      <w:pPr>
        <w:spacing w:line="360" w:lineRule="auto"/>
        <w:rPr>
          <w:sz w:val="26"/>
          <w:szCs w:val="26"/>
        </w:rPr>
      </w:pPr>
      <w:r w:rsidRPr="00D55644">
        <w:rPr>
          <w:sz w:val="26"/>
          <w:szCs w:val="26"/>
        </w:rPr>
        <w:tab/>
      </w:r>
      <w:r w:rsidR="007919B6" w:rsidRPr="00D55644">
        <w:rPr>
          <w:sz w:val="26"/>
          <w:szCs w:val="26"/>
        </w:rPr>
        <w:t>We agree with</w:t>
      </w:r>
      <w:r w:rsidR="00CA34EF" w:rsidRPr="00D55644">
        <w:rPr>
          <w:sz w:val="26"/>
          <w:szCs w:val="26"/>
        </w:rPr>
        <w:t xml:space="preserve"> </w:t>
      </w:r>
      <w:r w:rsidRPr="00D55644">
        <w:rPr>
          <w:sz w:val="26"/>
          <w:szCs w:val="26"/>
        </w:rPr>
        <w:t>CAUSE PA,</w:t>
      </w:r>
      <w:r w:rsidR="00F45D5C" w:rsidRPr="00D55644">
        <w:rPr>
          <w:sz w:val="26"/>
          <w:szCs w:val="26"/>
        </w:rPr>
        <w:t xml:space="preserve"> FirstEnergy</w:t>
      </w:r>
      <w:r w:rsidR="007919B6" w:rsidRPr="00D55644">
        <w:rPr>
          <w:sz w:val="26"/>
          <w:szCs w:val="26"/>
        </w:rPr>
        <w:t xml:space="preserve">, </w:t>
      </w:r>
      <w:r w:rsidRPr="00D55644">
        <w:rPr>
          <w:sz w:val="26"/>
          <w:szCs w:val="26"/>
        </w:rPr>
        <w:t>PECO</w:t>
      </w:r>
      <w:r w:rsidR="007919B6" w:rsidRPr="00D55644">
        <w:rPr>
          <w:sz w:val="26"/>
          <w:szCs w:val="26"/>
        </w:rPr>
        <w:t>, and PPL that</w:t>
      </w:r>
      <w:r w:rsidR="00CA34EF" w:rsidRPr="00D55644">
        <w:rPr>
          <w:sz w:val="26"/>
          <w:szCs w:val="26"/>
        </w:rPr>
        <w:t xml:space="preserve"> NRG’s Petition does not provide sufficient detail to convince the Commission that existing consumer protections will be preserved.</w:t>
      </w:r>
      <w:r w:rsidR="007642B4" w:rsidRPr="00D55644">
        <w:rPr>
          <w:sz w:val="26"/>
          <w:szCs w:val="26"/>
        </w:rPr>
        <w:t xml:space="preserve">  In fact, as </w:t>
      </w:r>
      <w:proofErr w:type="gramStart"/>
      <w:r w:rsidR="007642B4" w:rsidRPr="00D55644">
        <w:rPr>
          <w:sz w:val="26"/>
          <w:szCs w:val="26"/>
        </w:rPr>
        <w:t>CAUSE</w:t>
      </w:r>
      <w:proofErr w:type="gramEnd"/>
      <w:r w:rsidR="007642B4" w:rsidRPr="00D55644">
        <w:rPr>
          <w:sz w:val="26"/>
          <w:szCs w:val="26"/>
        </w:rPr>
        <w:t xml:space="preserve"> PA noted, NRG’s proposal that an EDC complete the disconnection within five days of being directed by the EGS expressly conflicts with 52 Pa. Code § 56.91(a), which requires that a customer receive written notice at least 10 days before termination.</w:t>
      </w:r>
    </w:p>
    <w:p w14:paraId="20579691" w14:textId="77777777" w:rsidR="00D16146" w:rsidRPr="00D55644" w:rsidRDefault="00D16146" w:rsidP="006A2DFB">
      <w:pPr>
        <w:spacing w:line="360" w:lineRule="auto"/>
        <w:rPr>
          <w:sz w:val="26"/>
          <w:szCs w:val="26"/>
        </w:rPr>
      </w:pPr>
    </w:p>
    <w:p w14:paraId="5B3809F9" w14:textId="77777777" w:rsidR="00A86020" w:rsidRPr="00D55644" w:rsidRDefault="007642B4" w:rsidP="006A2DFB">
      <w:pPr>
        <w:spacing w:line="360" w:lineRule="auto"/>
        <w:rPr>
          <w:sz w:val="26"/>
          <w:szCs w:val="26"/>
        </w:rPr>
      </w:pPr>
      <w:r w:rsidRPr="00D55644">
        <w:rPr>
          <w:sz w:val="26"/>
          <w:szCs w:val="26"/>
        </w:rPr>
        <w:tab/>
      </w:r>
      <w:r w:rsidR="00D16146" w:rsidRPr="00D55644">
        <w:rPr>
          <w:sz w:val="26"/>
          <w:szCs w:val="26"/>
        </w:rPr>
        <w:t xml:space="preserve">Other deficiencies regarding consumer protections include the following:  </w:t>
      </w:r>
      <w:r w:rsidR="00A86020" w:rsidRPr="00D55644">
        <w:rPr>
          <w:sz w:val="26"/>
          <w:szCs w:val="26"/>
        </w:rPr>
        <w:t>First, while NRG contends that EGSs will communicate with EDCs via EDI transactions, it offers no evidence or assurance that information</w:t>
      </w:r>
      <w:r w:rsidR="00797F05" w:rsidRPr="00D55644">
        <w:rPr>
          <w:sz w:val="26"/>
          <w:szCs w:val="26"/>
        </w:rPr>
        <w:t xml:space="preserve"> will be shared</w:t>
      </w:r>
      <w:r w:rsidR="00A86020" w:rsidRPr="00D55644">
        <w:rPr>
          <w:sz w:val="26"/>
          <w:szCs w:val="26"/>
        </w:rPr>
        <w:t xml:space="preserve"> between EGSs and EDCs </w:t>
      </w:r>
      <w:r w:rsidR="00797F05" w:rsidRPr="00D55644">
        <w:rPr>
          <w:sz w:val="26"/>
          <w:szCs w:val="26"/>
        </w:rPr>
        <w:t xml:space="preserve">in a timely or accurate manner.  Questions also remain regarding how quickly EGSs and EDCs will be able to coordinate reconnection efforts once payment is received from a customer.  Given the harm that improper termination would cause to consumers, the Commission </w:t>
      </w:r>
      <w:r w:rsidR="00136B2B" w:rsidRPr="00D55644">
        <w:rPr>
          <w:sz w:val="26"/>
          <w:szCs w:val="26"/>
        </w:rPr>
        <w:t xml:space="preserve">would require </w:t>
      </w:r>
      <w:r w:rsidR="00797F05" w:rsidRPr="00D55644">
        <w:rPr>
          <w:sz w:val="26"/>
          <w:szCs w:val="26"/>
        </w:rPr>
        <w:t>more detail regarding the speed and accuracy with which information will be passed along to EDCs.  If customers make a payment</w:t>
      </w:r>
      <w:r w:rsidR="00136B2B" w:rsidRPr="00D55644">
        <w:rPr>
          <w:sz w:val="26"/>
          <w:szCs w:val="26"/>
        </w:rPr>
        <w:t>,</w:t>
      </w:r>
      <w:r w:rsidR="00797F05" w:rsidRPr="00D55644">
        <w:rPr>
          <w:sz w:val="26"/>
          <w:szCs w:val="26"/>
        </w:rPr>
        <w:t xml:space="preserve"> enter into a payment plan at the last minute, </w:t>
      </w:r>
      <w:r w:rsidR="00136B2B" w:rsidRPr="00D55644">
        <w:rPr>
          <w:sz w:val="26"/>
          <w:szCs w:val="26"/>
        </w:rPr>
        <w:t xml:space="preserve">or present a medical certification, then </w:t>
      </w:r>
      <w:r w:rsidR="00797F05" w:rsidRPr="00D55644">
        <w:rPr>
          <w:sz w:val="26"/>
          <w:szCs w:val="26"/>
        </w:rPr>
        <w:t xml:space="preserve">the EGSs must ensure that the information is transmitted to the EDCs quickly so that termination can be avoided </w:t>
      </w:r>
      <w:proofErr w:type="gramStart"/>
      <w:r w:rsidR="00797F05" w:rsidRPr="00D55644">
        <w:rPr>
          <w:sz w:val="26"/>
          <w:szCs w:val="26"/>
        </w:rPr>
        <w:t>entirely</w:t>
      </w:r>
      <w:proofErr w:type="gramEnd"/>
      <w:r w:rsidR="00797F05" w:rsidRPr="00D55644">
        <w:rPr>
          <w:sz w:val="26"/>
          <w:szCs w:val="26"/>
        </w:rPr>
        <w:t xml:space="preserve"> or reconnection of service can begin immediately.</w:t>
      </w:r>
    </w:p>
    <w:p w14:paraId="0FE3725F" w14:textId="77777777" w:rsidR="00A86020" w:rsidRPr="00D55644" w:rsidRDefault="00A86020" w:rsidP="006A2DFB">
      <w:pPr>
        <w:spacing w:line="360" w:lineRule="auto"/>
        <w:rPr>
          <w:sz w:val="26"/>
          <w:szCs w:val="26"/>
        </w:rPr>
      </w:pPr>
    </w:p>
    <w:p w14:paraId="23A762FB" w14:textId="1ED4DF08" w:rsidR="00797F05" w:rsidRPr="00D55644" w:rsidRDefault="00797F05" w:rsidP="006A2DFB">
      <w:pPr>
        <w:spacing w:line="360" w:lineRule="auto"/>
        <w:rPr>
          <w:sz w:val="26"/>
          <w:szCs w:val="26"/>
        </w:rPr>
      </w:pPr>
      <w:r w:rsidRPr="00D55644">
        <w:rPr>
          <w:sz w:val="26"/>
          <w:szCs w:val="26"/>
        </w:rPr>
        <w:tab/>
        <w:t xml:space="preserve">Next, NRG recommends that EDCs provide required termination notices to customers and physically terminate service, while EGSs handle all other termination-related communications with customers.  </w:t>
      </w:r>
      <w:r w:rsidR="009B3C92">
        <w:rPr>
          <w:sz w:val="26"/>
          <w:szCs w:val="26"/>
        </w:rPr>
        <w:t>The prudency</w:t>
      </w:r>
      <w:r w:rsidR="00D16350">
        <w:rPr>
          <w:sz w:val="26"/>
          <w:szCs w:val="26"/>
        </w:rPr>
        <w:t xml:space="preserve"> of this </w:t>
      </w:r>
      <w:r w:rsidR="009B3C92">
        <w:rPr>
          <w:sz w:val="26"/>
          <w:szCs w:val="26"/>
        </w:rPr>
        <w:t>system of communications is not substantiated in the Petition</w:t>
      </w:r>
      <w:r w:rsidR="00D16350">
        <w:rPr>
          <w:sz w:val="26"/>
          <w:szCs w:val="26"/>
        </w:rPr>
        <w:t>. Rather,</w:t>
      </w:r>
      <w:r w:rsidR="009B3C92">
        <w:rPr>
          <w:sz w:val="26"/>
          <w:szCs w:val="26"/>
        </w:rPr>
        <w:t xml:space="preserve"> </w:t>
      </w:r>
      <w:r w:rsidR="006A2A83" w:rsidRPr="00D55644">
        <w:rPr>
          <w:sz w:val="26"/>
          <w:szCs w:val="26"/>
        </w:rPr>
        <w:t xml:space="preserve">NRG fails to explain the </w:t>
      </w:r>
      <w:r w:rsidR="00D16350">
        <w:rPr>
          <w:sz w:val="26"/>
          <w:szCs w:val="26"/>
        </w:rPr>
        <w:t>merit</w:t>
      </w:r>
      <w:r w:rsidR="006A2A83" w:rsidRPr="00D55644">
        <w:rPr>
          <w:sz w:val="26"/>
          <w:szCs w:val="26"/>
        </w:rPr>
        <w:t xml:space="preserve"> </w:t>
      </w:r>
      <w:r w:rsidR="00D16350">
        <w:rPr>
          <w:sz w:val="26"/>
          <w:szCs w:val="26"/>
        </w:rPr>
        <w:t>of having</w:t>
      </w:r>
      <w:r w:rsidR="006A2A83" w:rsidRPr="00D55644">
        <w:rPr>
          <w:sz w:val="26"/>
          <w:szCs w:val="26"/>
        </w:rPr>
        <w:t xml:space="preserve"> customers receiv</w:t>
      </w:r>
      <w:r w:rsidR="00D16350">
        <w:rPr>
          <w:sz w:val="26"/>
          <w:szCs w:val="26"/>
        </w:rPr>
        <w:t>e</w:t>
      </w:r>
      <w:r w:rsidR="006A2A83" w:rsidRPr="00D55644">
        <w:rPr>
          <w:sz w:val="26"/>
          <w:szCs w:val="26"/>
        </w:rPr>
        <w:t xml:space="preserve"> a termination notice from their EDC, </w:t>
      </w:r>
      <w:r w:rsidR="00057B14">
        <w:rPr>
          <w:sz w:val="26"/>
          <w:szCs w:val="26"/>
        </w:rPr>
        <w:t>while</w:t>
      </w:r>
      <w:r w:rsidR="00057B14" w:rsidRPr="00D55644">
        <w:rPr>
          <w:sz w:val="26"/>
          <w:szCs w:val="26"/>
        </w:rPr>
        <w:t xml:space="preserve"> </w:t>
      </w:r>
      <w:r w:rsidR="006A2A83" w:rsidRPr="00D55644">
        <w:rPr>
          <w:sz w:val="26"/>
          <w:szCs w:val="26"/>
        </w:rPr>
        <w:t>then expect</w:t>
      </w:r>
      <w:r w:rsidR="00057B14">
        <w:rPr>
          <w:sz w:val="26"/>
          <w:szCs w:val="26"/>
        </w:rPr>
        <w:t>ing</w:t>
      </w:r>
      <w:r w:rsidR="00D16350">
        <w:rPr>
          <w:sz w:val="26"/>
          <w:szCs w:val="26"/>
        </w:rPr>
        <w:t xml:space="preserve"> customers</w:t>
      </w:r>
      <w:r w:rsidR="006A2A83" w:rsidRPr="00D55644">
        <w:rPr>
          <w:sz w:val="26"/>
          <w:szCs w:val="26"/>
        </w:rPr>
        <w:t xml:space="preserve"> to follow up </w:t>
      </w:r>
      <w:r w:rsidR="00D16350">
        <w:rPr>
          <w:sz w:val="26"/>
          <w:szCs w:val="26"/>
        </w:rPr>
        <w:t xml:space="preserve">on such notice </w:t>
      </w:r>
      <w:r w:rsidR="006A2A83" w:rsidRPr="00D55644">
        <w:rPr>
          <w:sz w:val="26"/>
          <w:szCs w:val="26"/>
        </w:rPr>
        <w:t>with their EGS</w:t>
      </w:r>
      <w:r w:rsidR="00D16350">
        <w:rPr>
          <w:sz w:val="26"/>
          <w:szCs w:val="26"/>
        </w:rPr>
        <w:t xml:space="preserve"> of record</w:t>
      </w:r>
      <w:r w:rsidR="006A2A83" w:rsidRPr="00D55644">
        <w:rPr>
          <w:sz w:val="26"/>
          <w:szCs w:val="26"/>
        </w:rPr>
        <w:t xml:space="preserve">.  </w:t>
      </w:r>
      <w:r w:rsidR="00D16350">
        <w:rPr>
          <w:sz w:val="26"/>
          <w:szCs w:val="26"/>
        </w:rPr>
        <w:t xml:space="preserve">Additionally, important details are lacking, such as </w:t>
      </w:r>
      <w:proofErr w:type="gramStart"/>
      <w:r w:rsidR="00D16350">
        <w:rPr>
          <w:sz w:val="26"/>
          <w:szCs w:val="26"/>
        </w:rPr>
        <w:t>whether or not</w:t>
      </w:r>
      <w:proofErr w:type="gramEnd"/>
      <w:r w:rsidR="004A3F3E" w:rsidRPr="00D55644">
        <w:rPr>
          <w:sz w:val="26"/>
          <w:szCs w:val="26"/>
        </w:rPr>
        <w:t xml:space="preserve"> an EDC sending a termination notice to a customer </w:t>
      </w:r>
      <w:r w:rsidR="00D16350">
        <w:rPr>
          <w:sz w:val="26"/>
          <w:szCs w:val="26"/>
        </w:rPr>
        <w:t>must</w:t>
      </w:r>
      <w:r w:rsidR="004A3F3E" w:rsidRPr="00D55644">
        <w:rPr>
          <w:sz w:val="26"/>
          <w:szCs w:val="26"/>
        </w:rPr>
        <w:t xml:space="preserve"> include the EGS’s contact information on the notice</w:t>
      </w:r>
      <w:r w:rsidR="00D16350">
        <w:rPr>
          <w:sz w:val="26"/>
          <w:szCs w:val="26"/>
        </w:rPr>
        <w:t>.</w:t>
      </w:r>
    </w:p>
    <w:p w14:paraId="678D0110" w14:textId="77777777" w:rsidR="004A3F3E" w:rsidRPr="00D55644" w:rsidRDefault="004A3F3E" w:rsidP="006A2DFB">
      <w:pPr>
        <w:spacing w:line="360" w:lineRule="auto"/>
        <w:rPr>
          <w:sz w:val="26"/>
          <w:szCs w:val="26"/>
        </w:rPr>
      </w:pPr>
    </w:p>
    <w:p w14:paraId="276EA066" w14:textId="1C9AB48E" w:rsidR="004A3F3E" w:rsidRPr="00D55644" w:rsidRDefault="004A3F3E" w:rsidP="006A2DFB">
      <w:pPr>
        <w:spacing w:line="360" w:lineRule="auto"/>
        <w:rPr>
          <w:sz w:val="26"/>
          <w:szCs w:val="26"/>
        </w:rPr>
      </w:pPr>
      <w:r w:rsidRPr="00D55644">
        <w:rPr>
          <w:sz w:val="26"/>
          <w:szCs w:val="26"/>
        </w:rPr>
        <w:tab/>
      </w:r>
      <w:r w:rsidR="00B40F44">
        <w:rPr>
          <w:sz w:val="26"/>
          <w:szCs w:val="26"/>
        </w:rPr>
        <w:t>C</w:t>
      </w:r>
      <w:r w:rsidRPr="00D55644">
        <w:rPr>
          <w:sz w:val="26"/>
          <w:szCs w:val="26"/>
        </w:rPr>
        <w:t xml:space="preserve">ustomers </w:t>
      </w:r>
      <w:r w:rsidR="00B40F44">
        <w:rPr>
          <w:sz w:val="26"/>
          <w:szCs w:val="26"/>
        </w:rPr>
        <w:t>are presently accustom</w:t>
      </w:r>
      <w:r w:rsidR="00057B14">
        <w:rPr>
          <w:sz w:val="26"/>
          <w:szCs w:val="26"/>
        </w:rPr>
        <w:t>ed</w:t>
      </w:r>
      <w:r w:rsidR="00B40F44">
        <w:rPr>
          <w:sz w:val="26"/>
          <w:szCs w:val="26"/>
        </w:rPr>
        <w:t xml:space="preserve"> to directing distribution service related</w:t>
      </w:r>
      <w:r w:rsidRPr="00D55644">
        <w:rPr>
          <w:sz w:val="26"/>
          <w:szCs w:val="26"/>
        </w:rPr>
        <w:t xml:space="preserve"> complaints and inquiries</w:t>
      </w:r>
      <w:r w:rsidR="00445786" w:rsidRPr="00D55644">
        <w:rPr>
          <w:sz w:val="26"/>
          <w:szCs w:val="26"/>
        </w:rPr>
        <w:noBreakHyphen/>
      </w:r>
      <w:r w:rsidR="00445786" w:rsidRPr="00D55644">
        <w:rPr>
          <w:sz w:val="26"/>
          <w:szCs w:val="26"/>
        </w:rPr>
        <w:noBreakHyphen/>
      </w:r>
      <w:r w:rsidRPr="00D55644">
        <w:rPr>
          <w:sz w:val="26"/>
          <w:szCs w:val="26"/>
        </w:rPr>
        <w:t xml:space="preserve">including those for </w:t>
      </w:r>
      <w:r w:rsidR="00445786" w:rsidRPr="00D55644">
        <w:rPr>
          <w:sz w:val="26"/>
          <w:szCs w:val="26"/>
        </w:rPr>
        <w:t xml:space="preserve">billing, payment, and termination issues—to their EDCs.  Under NRG’s proposal, customers’ bills would come from their EGSs and payment arrangements would be made with their EGSs, but termination notices and actual termination would be handled by their EDCs.  This division of responsibility </w:t>
      </w:r>
      <w:r w:rsidR="001424A2">
        <w:rPr>
          <w:sz w:val="26"/>
          <w:szCs w:val="26"/>
        </w:rPr>
        <w:t>c</w:t>
      </w:r>
      <w:r w:rsidR="00445786" w:rsidRPr="00D55644">
        <w:rPr>
          <w:sz w:val="26"/>
          <w:szCs w:val="26"/>
        </w:rPr>
        <w:t>ould confuse customers.</w:t>
      </w:r>
    </w:p>
    <w:p w14:paraId="5A0C3DDF" w14:textId="77777777" w:rsidR="00534238" w:rsidRPr="00D55644" w:rsidRDefault="00534238" w:rsidP="006A2DFB">
      <w:pPr>
        <w:spacing w:line="360" w:lineRule="auto"/>
        <w:rPr>
          <w:sz w:val="26"/>
          <w:szCs w:val="26"/>
        </w:rPr>
      </w:pPr>
    </w:p>
    <w:p w14:paraId="22AE8588" w14:textId="52550141" w:rsidR="00534238" w:rsidRPr="00D55644" w:rsidRDefault="00534238" w:rsidP="00534238">
      <w:pPr>
        <w:spacing w:line="360" w:lineRule="auto"/>
        <w:ind w:firstLine="720"/>
        <w:rPr>
          <w:sz w:val="26"/>
          <w:szCs w:val="26"/>
        </w:rPr>
      </w:pPr>
      <w:r w:rsidRPr="00D55644">
        <w:rPr>
          <w:sz w:val="26"/>
          <w:szCs w:val="26"/>
        </w:rPr>
        <w:t xml:space="preserve">In addition to </w:t>
      </w:r>
      <w:r w:rsidR="001424A2">
        <w:rPr>
          <w:sz w:val="26"/>
          <w:szCs w:val="26"/>
        </w:rPr>
        <w:t xml:space="preserve">potentially </w:t>
      </w:r>
      <w:r w:rsidRPr="00D55644">
        <w:rPr>
          <w:sz w:val="26"/>
          <w:szCs w:val="26"/>
        </w:rPr>
        <w:t>being confusing</w:t>
      </w:r>
      <w:r w:rsidR="00E869F6">
        <w:rPr>
          <w:sz w:val="26"/>
          <w:szCs w:val="26"/>
        </w:rPr>
        <w:t xml:space="preserve"> for customers</w:t>
      </w:r>
      <w:r w:rsidRPr="00D55644">
        <w:rPr>
          <w:sz w:val="26"/>
          <w:szCs w:val="26"/>
        </w:rPr>
        <w:t xml:space="preserve">, the process </w:t>
      </w:r>
      <w:r w:rsidR="001424A2">
        <w:rPr>
          <w:sz w:val="26"/>
          <w:szCs w:val="26"/>
        </w:rPr>
        <w:t>could be</w:t>
      </w:r>
      <w:r w:rsidRPr="00D55644">
        <w:rPr>
          <w:sz w:val="26"/>
          <w:szCs w:val="26"/>
        </w:rPr>
        <w:t xml:space="preserve"> unwieldy.  A customer making a payment or providing a medical certification to prevent a threatened termination of service would have to communicate with the EGS.  The EGS would then have to take that information and provide it to the EDC.  This extra step—compared to the current situation where the EDC would be in direct contact with the customer—</w:t>
      </w:r>
      <w:r w:rsidR="00EE1AFE">
        <w:rPr>
          <w:sz w:val="26"/>
          <w:szCs w:val="26"/>
        </w:rPr>
        <w:t>c</w:t>
      </w:r>
      <w:r w:rsidRPr="00D55644">
        <w:rPr>
          <w:sz w:val="26"/>
          <w:szCs w:val="26"/>
        </w:rPr>
        <w:t>ould cause communication delays, increasing the risk that customers would be subjected to an improper termination of service or delay in reconnection.</w:t>
      </w:r>
    </w:p>
    <w:p w14:paraId="1C456D01" w14:textId="77777777" w:rsidR="00797F05" w:rsidRPr="00D55644" w:rsidRDefault="00797F05" w:rsidP="006A2DFB">
      <w:pPr>
        <w:spacing w:line="360" w:lineRule="auto"/>
        <w:rPr>
          <w:sz w:val="26"/>
          <w:szCs w:val="26"/>
        </w:rPr>
      </w:pPr>
    </w:p>
    <w:p w14:paraId="2E73747D" w14:textId="4026F6F9" w:rsidR="00797F05" w:rsidRPr="00D55644" w:rsidRDefault="00445786" w:rsidP="006A2DFB">
      <w:pPr>
        <w:spacing w:line="360" w:lineRule="auto"/>
        <w:rPr>
          <w:sz w:val="26"/>
          <w:szCs w:val="26"/>
        </w:rPr>
      </w:pPr>
      <w:r w:rsidRPr="00D55644">
        <w:rPr>
          <w:sz w:val="26"/>
          <w:szCs w:val="26"/>
        </w:rPr>
        <w:tab/>
        <w:t xml:space="preserve">The Commission agrees with the commenters who expressed concerns about increased customer confusion.  The Commission finds that NRG’s proposal regarding termination of service </w:t>
      </w:r>
      <w:r w:rsidR="001424A2">
        <w:rPr>
          <w:sz w:val="26"/>
          <w:szCs w:val="26"/>
        </w:rPr>
        <w:t>could</w:t>
      </w:r>
      <w:r w:rsidRPr="00D55644">
        <w:rPr>
          <w:sz w:val="26"/>
          <w:szCs w:val="26"/>
        </w:rPr>
        <w:t xml:space="preserve"> confuse customers and add</w:t>
      </w:r>
      <w:r w:rsidR="009149FB">
        <w:rPr>
          <w:sz w:val="26"/>
          <w:szCs w:val="26"/>
        </w:rPr>
        <w:t xml:space="preserve"> </w:t>
      </w:r>
      <w:r w:rsidRPr="00D55644">
        <w:rPr>
          <w:sz w:val="26"/>
          <w:szCs w:val="26"/>
        </w:rPr>
        <w:t>step</w:t>
      </w:r>
      <w:r w:rsidR="00042BD2">
        <w:rPr>
          <w:sz w:val="26"/>
          <w:szCs w:val="26"/>
        </w:rPr>
        <w:t>s</w:t>
      </w:r>
      <w:r w:rsidRPr="00D55644">
        <w:rPr>
          <w:sz w:val="26"/>
          <w:szCs w:val="26"/>
        </w:rPr>
        <w:t xml:space="preserve"> for consumers attempting to have their termination of service inquiries addressed.</w:t>
      </w:r>
    </w:p>
    <w:p w14:paraId="1E48B0EF" w14:textId="77777777" w:rsidR="00797F05" w:rsidRPr="00D55644" w:rsidRDefault="00797F05" w:rsidP="006A2DFB">
      <w:pPr>
        <w:spacing w:line="360" w:lineRule="auto"/>
        <w:rPr>
          <w:sz w:val="26"/>
          <w:szCs w:val="26"/>
        </w:rPr>
      </w:pPr>
    </w:p>
    <w:p w14:paraId="65B88C46" w14:textId="77777777" w:rsidR="00793991" w:rsidRPr="00D55644" w:rsidRDefault="00793991" w:rsidP="006A2DFB">
      <w:pPr>
        <w:spacing w:line="360" w:lineRule="auto"/>
        <w:rPr>
          <w:sz w:val="26"/>
          <w:szCs w:val="26"/>
        </w:rPr>
      </w:pPr>
      <w:r w:rsidRPr="00D55644">
        <w:rPr>
          <w:sz w:val="26"/>
          <w:szCs w:val="26"/>
        </w:rPr>
        <w:tab/>
      </w:r>
      <w:r w:rsidR="003916B6" w:rsidRPr="00D55644">
        <w:rPr>
          <w:sz w:val="26"/>
          <w:szCs w:val="26"/>
        </w:rPr>
        <w:t>Third, t</w:t>
      </w:r>
      <w:r w:rsidR="002057D6" w:rsidRPr="00D55644">
        <w:rPr>
          <w:sz w:val="26"/>
          <w:szCs w:val="26"/>
        </w:rPr>
        <w:t>he Commi</w:t>
      </w:r>
      <w:r w:rsidR="00D15E63" w:rsidRPr="00D55644">
        <w:rPr>
          <w:sz w:val="26"/>
          <w:szCs w:val="26"/>
        </w:rPr>
        <w:t>ssion agrees with FirstEnergy</w:t>
      </w:r>
      <w:r w:rsidR="002057D6" w:rsidRPr="00D55644">
        <w:rPr>
          <w:sz w:val="26"/>
          <w:szCs w:val="26"/>
        </w:rPr>
        <w:t xml:space="preserve"> and the PA AFL-CIO that the legality of an EDC terminating a customer’s service when that EDC is not owed any money has not been adequately addressed by NRG.  Although </w:t>
      </w:r>
      <w:r w:rsidR="002072D7" w:rsidRPr="00D55644">
        <w:rPr>
          <w:sz w:val="26"/>
          <w:szCs w:val="26"/>
        </w:rPr>
        <w:t xml:space="preserve">NRG claims </w:t>
      </w:r>
      <w:r w:rsidR="002057D6" w:rsidRPr="00D55644">
        <w:rPr>
          <w:sz w:val="26"/>
          <w:szCs w:val="26"/>
        </w:rPr>
        <w:t>in its Reply Comments that Chapter 14 does not bar termination under the circumstances</w:t>
      </w:r>
      <w:r w:rsidR="00E93CC6" w:rsidRPr="00D55644">
        <w:rPr>
          <w:sz w:val="26"/>
          <w:szCs w:val="26"/>
        </w:rPr>
        <w:t>, we are not convinced that this</w:t>
      </w:r>
      <w:r w:rsidR="002057D6" w:rsidRPr="00D55644">
        <w:rPr>
          <w:sz w:val="26"/>
          <w:szCs w:val="26"/>
        </w:rPr>
        <w:t xml:space="preserve"> </w:t>
      </w:r>
      <w:r w:rsidR="00DA15A6" w:rsidRPr="00D55644">
        <w:rPr>
          <w:sz w:val="26"/>
          <w:szCs w:val="26"/>
        </w:rPr>
        <w:t xml:space="preserve">assertion </w:t>
      </w:r>
      <w:r w:rsidR="002057D6" w:rsidRPr="00D55644">
        <w:rPr>
          <w:sz w:val="26"/>
          <w:szCs w:val="26"/>
        </w:rPr>
        <w:t>settles the matter.</w:t>
      </w:r>
      <w:r w:rsidR="009E5F60" w:rsidRPr="00D55644">
        <w:rPr>
          <w:sz w:val="26"/>
          <w:szCs w:val="26"/>
        </w:rPr>
        <w:t xml:space="preserve">  That Chapter 14 does not appear to</w:t>
      </w:r>
      <w:r w:rsidR="00E93CC6" w:rsidRPr="00D55644">
        <w:rPr>
          <w:sz w:val="26"/>
          <w:szCs w:val="26"/>
        </w:rPr>
        <w:t xml:space="preserve"> expressly</w:t>
      </w:r>
      <w:r w:rsidR="009E5F60" w:rsidRPr="00D55644">
        <w:rPr>
          <w:sz w:val="26"/>
          <w:szCs w:val="26"/>
        </w:rPr>
        <w:t xml:space="preserve"> bar the EDC from terminating service when it is not owed money is not</w:t>
      </w:r>
      <w:r w:rsidR="00A81BB0" w:rsidRPr="00D55644">
        <w:rPr>
          <w:sz w:val="26"/>
          <w:szCs w:val="26"/>
        </w:rPr>
        <w:t xml:space="preserve"> by itself</w:t>
      </w:r>
      <w:r w:rsidR="009E5F60" w:rsidRPr="00D55644">
        <w:rPr>
          <w:sz w:val="26"/>
          <w:szCs w:val="26"/>
        </w:rPr>
        <w:t xml:space="preserve"> a compelling reason</w:t>
      </w:r>
      <w:r w:rsidR="00A81BB0" w:rsidRPr="00D55644">
        <w:rPr>
          <w:sz w:val="26"/>
          <w:szCs w:val="26"/>
        </w:rPr>
        <w:t xml:space="preserve"> </w:t>
      </w:r>
      <w:r w:rsidR="009E5F60" w:rsidRPr="00D55644">
        <w:rPr>
          <w:sz w:val="26"/>
          <w:szCs w:val="26"/>
        </w:rPr>
        <w:t>to allow it.</w:t>
      </w:r>
    </w:p>
    <w:p w14:paraId="73EA5642" w14:textId="77777777" w:rsidR="00793991" w:rsidRPr="00D55644" w:rsidRDefault="00793991" w:rsidP="006A2DFB">
      <w:pPr>
        <w:spacing w:line="360" w:lineRule="auto"/>
        <w:rPr>
          <w:sz w:val="26"/>
          <w:szCs w:val="26"/>
        </w:rPr>
      </w:pPr>
    </w:p>
    <w:p w14:paraId="7FFC1357" w14:textId="77777777" w:rsidR="002057D6" w:rsidRPr="00D55644" w:rsidRDefault="002057D6" w:rsidP="006A2DFB">
      <w:pPr>
        <w:spacing w:line="360" w:lineRule="auto"/>
        <w:rPr>
          <w:sz w:val="26"/>
          <w:szCs w:val="26"/>
        </w:rPr>
      </w:pPr>
      <w:r w:rsidRPr="00D55644">
        <w:rPr>
          <w:sz w:val="26"/>
          <w:szCs w:val="26"/>
        </w:rPr>
        <w:tab/>
        <w:t>We also agree with PPL that NRG has not adequately explained the safeguards that EGSs would employ to ensure that</w:t>
      </w:r>
      <w:r w:rsidR="003D51F3">
        <w:rPr>
          <w:sz w:val="26"/>
          <w:szCs w:val="26"/>
        </w:rPr>
        <w:t xml:space="preserve"> an EGS-ordered</w:t>
      </w:r>
      <w:r w:rsidRPr="00D55644">
        <w:rPr>
          <w:sz w:val="26"/>
          <w:szCs w:val="26"/>
        </w:rPr>
        <w:t xml:space="preserve"> termination of service is proper.  Given the </w:t>
      </w:r>
      <w:r w:rsidR="003D51F3">
        <w:rPr>
          <w:sz w:val="26"/>
          <w:szCs w:val="26"/>
        </w:rPr>
        <w:t xml:space="preserve">essential nature </w:t>
      </w:r>
      <w:r w:rsidRPr="00D55644">
        <w:rPr>
          <w:sz w:val="26"/>
          <w:szCs w:val="26"/>
        </w:rPr>
        <w:t>of electric service to Pennsylvania consumers, PPL notes that EDCs—which have years of experience complying with termination rules and regulations—use a checklist to help ensure th</w:t>
      </w:r>
      <w:r w:rsidR="00A56E10" w:rsidRPr="00D55644">
        <w:rPr>
          <w:sz w:val="26"/>
          <w:szCs w:val="26"/>
        </w:rPr>
        <w:t>at service is not terminated im</w:t>
      </w:r>
      <w:r w:rsidRPr="00D55644">
        <w:rPr>
          <w:sz w:val="26"/>
          <w:szCs w:val="26"/>
        </w:rPr>
        <w:t>properly</w:t>
      </w:r>
      <w:r w:rsidR="003D51F3">
        <w:rPr>
          <w:sz w:val="26"/>
          <w:szCs w:val="26"/>
        </w:rPr>
        <w:t>, especially to those consumers that are stressed by serious economic and medical issues</w:t>
      </w:r>
      <w:r w:rsidRPr="00D55644">
        <w:rPr>
          <w:sz w:val="26"/>
          <w:szCs w:val="26"/>
        </w:rPr>
        <w:t xml:space="preserve">.  </w:t>
      </w:r>
      <w:r w:rsidR="006B202D" w:rsidRPr="00D55644">
        <w:rPr>
          <w:sz w:val="26"/>
          <w:szCs w:val="26"/>
        </w:rPr>
        <w:t>Also, PPL “manually checks [a] home’s circumstances before terminating service” in the winter.</w:t>
      </w:r>
      <w:r w:rsidR="006B202D" w:rsidRPr="00D55644">
        <w:rPr>
          <w:rStyle w:val="FootnoteReference"/>
          <w:sz w:val="26"/>
          <w:szCs w:val="26"/>
        </w:rPr>
        <w:footnoteReference w:id="67"/>
      </w:r>
      <w:r w:rsidR="0099546C" w:rsidRPr="00D55644">
        <w:rPr>
          <w:sz w:val="26"/>
          <w:szCs w:val="26"/>
        </w:rPr>
        <w:t xml:space="preserve">  NRG has not outlined the specific steps EGSs would take to ensure that termination of service is proper, aside from its broad claim</w:t>
      </w:r>
      <w:r w:rsidR="004454D2" w:rsidRPr="00D55644">
        <w:rPr>
          <w:sz w:val="26"/>
          <w:szCs w:val="26"/>
        </w:rPr>
        <w:t xml:space="preserve"> that EGSs would</w:t>
      </w:r>
      <w:r w:rsidR="0099546C" w:rsidRPr="00D55644">
        <w:rPr>
          <w:sz w:val="26"/>
          <w:szCs w:val="26"/>
        </w:rPr>
        <w:t xml:space="preserve"> follow the requirements of Chapter</w:t>
      </w:r>
      <w:r w:rsidR="00534238" w:rsidRPr="00D55644">
        <w:rPr>
          <w:sz w:val="26"/>
          <w:szCs w:val="26"/>
        </w:rPr>
        <w:t> </w:t>
      </w:r>
      <w:r w:rsidR="0099546C" w:rsidRPr="00D55644">
        <w:rPr>
          <w:sz w:val="26"/>
          <w:szCs w:val="26"/>
        </w:rPr>
        <w:t>14 of the Public Utility Code and Chapter 56 of the Commission’s regulations.  Accordingly, we are not convinced that sufficient safeguards would be in place to prevent improper terminations.</w:t>
      </w:r>
    </w:p>
    <w:p w14:paraId="047EEA11" w14:textId="77777777" w:rsidR="0099546C" w:rsidRPr="00D55644" w:rsidRDefault="0099546C" w:rsidP="006A2DFB">
      <w:pPr>
        <w:spacing w:line="360" w:lineRule="auto"/>
        <w:rPr>
          <w:sz w:val="26"/>
          <w:szCs w:val="26"/>
        </w:rPr>
      </w:pPr>
    </w:p>
    <w:p w14:paraId="13E65297" w14:textId="77777777" w:rsidR="00940FF7" w:rsidRPr="00D55644" w:rsidRDefault="00940FF7" w:rsidP="006A2DFB">
      <w:pPr>
        <w:spacing w:line="360" w:lineRule="auto"/>
        <w:rPr>
          <w:sz w:val="26"/>
          <w:szCs w:val="26"/>
        </w:rPr>
      </w:pPr>
      <w:r w:rsidRPr="00D55644">
        <w:rPr>
          <w:sz w:val="26"/>
          <w:szCs w:val="26"/>
        </w:rPr>
        <w:tab/>
        <w:t xml:space="preserve">In addition, </w:t>
      </w:r>
      <w:r w:rsidR="00E43E4F" w:rsidRPr="00D55644">
        <w:rPr>
          <w:sz w:val="26"/>
          <w:szCs w:val="26"/>
        </w:rPr>
        <w:t>as discussed in more detail below</w:t>
      </w:r>
      <w:r w:rsidR="00853793" w:rsidRPr="00D55644">
        <w:rPr>
          <w:sz w:val="26"/>
          <w:szCs w:val="26"/>
        </w:rPr>
        <w:t xml:space="preserve"> in this section</w:t>
      </w:r>
      <w:r w:rsidR="00E43E4F" w:rsidRPr="00D55644">
        <w:rPr>
          <w:sz w:val="26"/>
          <w:szCs w:val="26"/>
        </w:rPr>
        <w:t xml:space="preserve">, the Commission agrees with CAUSE PA, Duquesne, EAP, </w:t>
      </w:r>
      <w:r w:rsidR="00511CDD" w:rsidRPr="00D55644">
        <w:rPr>
          <w:sz w:val="26"/>
          <w:szCs w:val="26"/>
        </w:rPr>
        <w:t xml:space="preserve">the </w:t>
      </w:r>
      <w:r w:rsidR="00E43E4F" w:rsidRPr="00D55644">
        <w:rPr>
          <w:sz w:val="26"/>
          <w:szCs w:val="26"/>
        </w:rPr>
        <w:t>OCA, and PPL, that the Commission’s authority to require EGSs to follow the termination of service rules and regulations is questionable and has not been fully addressed by NRG.</w:t>
      </w:r>
    </w:p>
    <w:p w14:paraId="05FB181E" w14:textId="77777777" w:rsidR="00E43E4F" w:rsidRPr="00D55644" w:rsidRDefault="00E43E4F" w:rsidP="006A2DFB">
      <w:pPr>
        <w:spacing w:line="360" w:lineRule="auto"/>
        <w:rPr>
          <w:sz w:val="26"/>
          <w:szCs w:val="26"/>
        </w:rPr>
      </w:pPr>
    </w:p>
    <w:p w14:paraId="0CD8DF4A" w14:textId="53DDEB28" w:rsidR="00E43E4F" w:rsidRPr="00D55644" w:rsidRDefault="00E43E4F" w:rsidP="006A2DFB">
      <w:pPr>
        <w:spacing w:line="360" w:lineRule="auto"/>
        <w:rPr>
          <w:sz w:val="26"/>
          <w:szCs w:val="26"/>
        </w:rPr>
      </w:pPr>
      <w:r w:rsidRPr="00D55644">
        <w:rPr>
          <w:sz w:val="26"/>
          <w:szCs w:val="26"/>
        </w:rPr>
        <w:tab/>
      </w:r>
      <w:r w:rsidR="00853793" w:rsidRPr="00D55644">
        <w:rPr>
          <w:sz w:val="26"/>
          <w:szCs w:val="26"/>
        </w:rPr>
        <w:t xml:space="preserve">Lastly, and again as discussed in more detail in Section C below, the Commission agrees with </w:t>
      </w:r>
      <w:r w:rsidR="00511CDD" w:rsidRPr="00D55644">
        <w:rPr>
          <w:sz w:val="26"/>
          <w:szCs w:val="26"/>
        </w:rPr>
        <w:t xml:space="preserve">the </w:t>
      </w:r>
      <w:r w:rsidR="00853793" w:rsidRPr="00D55644">
        <w:rPr>
          <w:sz w:val="26"/>
          <w:szCs w:val="26"/>
        </w:rPr>
        <w:t>OCA and PECO that NRG’s Petition does not adequately address the issue of payments for</w:t>
      </w:r>
      <w:r w:rsidR="00982D62">
        <w:rPr>
          <w:sz w:val="26"/>
          <w:szCs w:val="26"/>
        </w:rPr>
        <w:t xml:space="preserve"> </w:t>
      </w:r>
      <w:r w:rsidR="00853793" w:rsidRPr="00D55644">
        <w:rPr>
          <w:sz w:val="26"/>
          <w:szCs w:val="26"/>
        </w:rPr>
        <w:t>VAS.</w:t>
      </w:r>
      <w:r w:rsidR="00853793" w:rsidRPr="00D55644">
        <w:rPr>
          <w:rStyle w:val="FootnoteReference"/>
          <w:sz w:val="26"/>
          <w:szCs w:val="26"/>
        </w:rPr>
        <w:footnoteReference w:id="68"/>
      </w:r>
      <w:r w:rsidR="00853793" w:rsidRPr="00D55644">
        <w:rPr>
          <w:sz w:val="26"/>
          <w:szCs w:val="26"/>
        </w:rPr>
        <w:t xml:space="preserve">  Nonpayment of VAS—non-basic, non-utility charges—cannot serve as the basis for termination of a customer’s electric service</w:t>
      </w:r>
      <w:r w:rsidR="009B60AA" w:rsidRPr="00D55644">
        <w:rPr>
          <w:sz w:val="26"/>
          <w:szCs w:val="26"/>
        </w:rPr>
        <w:t xml:space="preserve"> in accordance with 52 Pa. Code § 56.83</w:t>
      </w:r>
      <w:r w:rsidR="00853793" w:rsidRPr="00D55644">
        <w:rPr>
          <w:sz w:val="26"/>
          <w:szCs w:val="26"/>
        </w:rPr>
        <w:t>.  Although NRG claims EGSs will employ mechanisms to ensure that electric service is not terminated for failure to pay VAS charges, NRG’s Petition and Reply Comments provide no detail regarding how they would ensure that.  As such, the Commission is not convinced that adequate systems are in place to ensure that nonpayment of VAS does not lead to termination of service.</w:t>
      </w:r>
    </w:p>
    <w:p w14:paraId="0E183A6F" w14:textId="626352F7" w:rsidR="00971EEC" w:rsidRPr="00D55644" w:rsidRDefault="00971EEC" w:rsidP="00971EEC">
      <w:pPr>
        <w:spacing w:line="360" w:lineRule="auto"/>
        <w:rPr>
          <w:sz w:val="26"/>
          <w:szCs w:val="26"/>
        </w:rPr>
      </w:pPr>
      <w:r w:rsidRPr="00D55644">
        <w:rPr>
          <w:sz w:val="26"/>
          <w:szCs w:val="26"/>
        </w:rPr>
        <w:tab/>
        <w:t xml:space="preserve">NRG suggests that a more detailed allocation of duties be determined by agreement between EGSs and EDCs or, in the alternative, by interim guidelines adopted by the Commission (which would later be formally adopted via rulemaking).  Because having numerous agreements between EGSs and EDCs would quickly become cumbersome, the Commission finds that adopting uniform interim guidelines to coordinate efforts between EGSs and EDCs would be appropriate.  However, since we are denying </w:t>
      </w:r>
      <w:r w:rsidR="00040095">
        <w:rPr>
          <w:sz w:val="26"/>
          <w:szCs w:val="26"/>
        </w:rPr>
        <w:t>this Petition</w:t>
      </w:r>
      <w:r w:rsidRPr="00D55644">
        <w:rPr>
          <w:sz w:val="26"/>
          <w:szCs w:val="26"/>
        </w:rPr>
        <w:t>, adoption of such guidelines and the subsequent promulgation of regulation is not necessary</w:t>
      </w:r>
      <w:r w:rsidR="001424A2">
        <w:rPr>
          <w:sz w:val="26"/>
          <w:szCs w:val="26"/>
        </w:rPr>
        <w:t xml:space="preserve"> </w:t>
      </w:r>
      <w:proofErr w:type="gramStart"/>
      <w:r w:rsidR="001424A2">
        <w:rPr>
          <w:sz w:val="26"/>
          <w:szCs w:val="26"/>
        </w:rPr>
        <w:t>at this time</w:t>
      </w:r>
      <w:proofErr w:type="gramEnd"/>
      <w:r w:rsidRPr="00D55644">
        <w:rPr>
          <w:sz w:val="26"/>
          <w:szCs w:val="26"/>
        </w:rPr>
        <w:t>.</w:t>
      </w:r>
    </w:p>
    <w:p w14:paraId="5286718A" w14:textId="77777777" w:rsidR="00971EEC" w:rsidRPr="00D55644" w:rsidRDefault="00971EEC" w:rsidP="00971EEC">
      <w:pPr>
        <w:spacing w:line="360" w:lineRule="auto"/>
        <w:rPr>
          <w:sz w:val="26"/>
          <w:szCs w:val="26"/>
        </w:rPr>
      </w:pPr>
    </w:p>
    <w:p w14:paraId="0ABEA456" w14:textId="14FD01D6" w:rsidR="00971EEC" w:rsidRPr="00D55644" w:rsidRDefault="00971EEC" w:rsidP="00971EEC">
      <w:pPr>
        <w:spacing w:line="360" w:lineRule="auto"/>
        <w:rPr>
          <w:sz w:val="26"/>
          <w:szCs w:val="26"/>
        </w:rPr>
      </w:pPr>
      <w:r w:rsidRPr="00D55644">
        <w:rPr>
          <w:sz w:val="26"/>
          <w:szCs w:val="26"/>
        </w:rPr>
        <w:tab/>
        <w:t>Since we are denying EGSs the authority to order termination</w:t>
      </w:r>
      <w:r w:rsidR="009149FB">
        <w:rPr>
          <w:sz w:val="26"/>
          <w:szCs w:val="26"/>
        </w:rPr>
        <w:t xml:space="preserve"> based on the information provided in this specific Petition,</w:t>
      </w:r>
      <w:r w:rsidRPr="00D55644">
        <w:rPr>
          <w:sz w:val="26"/>
          <w:szCs w:val="26"/>
        </w:rPr>
        <w:t xml:space="preserve"> the Commission also need not address NRG’s proposals regarding indemnification of EDCs for improper termination of service and quarterly reports of termination data</w:t>
      </w:r>
      <w:r w:rsidR="001424A2">
        <w:rPr>
          <w:sz w:val="26"/>
          <w:szCs w:val="26"/>
        </w:rPr>
        <w:t xml:space="preserve"> at this time</w:t>
      </w:r>
      <w:r w:rsidRPr="00D55644">
        <w:rPr>
          <w:sz w:val="26"/>
          <w:szCs w:val="26"/>
        </w:rPr>
        <w:t>.</w:t>
      </w:r>
    </w:p>
    <w:p w14:paraId="4EB32B9E" w14:textId="77777777" w:rsidR="002057D6" w:rsidRPr="00D55644" w:rsidRDefault="002057D6" w:rsidP="006A2DFB">
      <w:pPr>
        <w:spacing w:line="360" w:lineRule="auto"/>
        <w:rPr>
          <w:sz w:val="26"/>
          <w:szCs w:val="26"/>
        </w:rPr>
      </w:pPr>
    </w:p>
    <w:p w14:paraId="4A9D24F7" w14:textId="77777777" w:rsidR="000D1902" w:rsidRPr="00D55644" w:rsidRDefault="00032074" w:rsidP="000D1902">
      <w:pPr>
        <w:spacing w:line="360" w:lineRule="auto"/>
        <w:rPr>
          <w:sz w:val="26"/>
          <w:szCs w:val="26"/>
        </w:rPr>
      </w:pPr>
      <w:r w:rsidRPr="00D55644">
        <w:rPr>
          <w:sz w:val="26"/>
          <w:szCs w:val="26"/>
        </w:rPr>
        <w:tab/>
      </w:r>
      <w:r w:rsidR="000D1902" w:rsidRPr="00D55644">
        <w:rPr>
          <w:sz w:val="26"/>
          <w:szCs w:val="26"/>
        </w:rPr>
        <w:t>Although NRG provided additional details</w:t>
      </w:r>
      <w:r w:rsidRPr="00D55644">
        <w:rPr>
          <w:sz w:val="26"/>
          <w:szCs w:val="26"/>
        </w:rPr>
        <w:t xml:space="preserve"> about termination and restoration of electric service</w:t>
      </w:r>
      <w:r w:rsidR="000D1902" w:rsidRPr="00D55644">
        <w:rPr>
          <w:sz w:val="26"/>
          <w:szCs w:val="26"/>
        </w:rPr>
        <w:t xml:space="preserve"> in its Reply Comments, there are still many important questions</w:t>
      </w:r>
      <w:r w:rsidRPr="00D55644">
        <w:rPr>
          <w:sz w:val="26"/>
          <w:szCs w:val="26"/>
        </w:rPr>
        <w:t xml:space="preserve"> that have not been addressed, </w:t>
      </w:r>
      <w:r w:rsidR="000D1902" w:rsidRPr="00D55644">
        <w:rPr>
          <w:sz w:val="26"/>
          <w:szCs w:val="26"/>
        </w:rPr>
        <w:t xml:space="preserve">including </w:t>
      </w:r>
      <w:r w:rsidRPr="00D55644">
        <w:rPr>
          <w:sz w:val="26"/>
          <w:szCs w:val="26"/>
        </w:rPr>
        <w:t>(1) </w:t>
      </w:r>
      <w:r w:rsidR="000D1902" w:rsidRPr="00D55644">
        <w:rPr>
          <w:sz w:val="26"/>
          <w:szCs w:val="26"/>
        </w:rPr>
        <w:t>the legal basis for an EDC to terminate a customer’s service wh</w:t>
      </w:r>
      <w:r w:rsidRPr="00D55644">
        <w:rPr>
          <w:sz w:val="26"/>
          <w:szCs w:val="26"/>
        </w:rPr>
        <w:t>en the EDC has no outstanding bill with the customer</w:t>
      </w:r>
      <w:r w:rsidR="000D1902" w:rsidRPr="00D55644">
        <w:rPr>
          <w:sz w:val="26"/>
          <w:szCs w:val="26"/>
        </w:rPr>
        <w:t xml:space="preserve">; </w:t>
      </w:r>
      <w:r w:rsidRPr="00D55644">
        <w:rPr>
          <w:sz w:val="26"/>
          <w:szCs w:val="26"/>
        </w:rPr>
        <w:t>(2) the safeguards EGSs will employ</w:t>
      </w:r>
      <w:r w:rsidR="000D1902" w:rsidRPr="00D55644">
        <w:rPr>
          <w:sz w:val="26"/>
          <w:szCs w:val="26"/>
        </w:rPr>
        <w:t xml:space="preserve"> to ensure proper termination of service; </w:t>
      </w:r>
      <w:r w:rsidRPr="00D55644">
        <w:rPr>
          <w:sz w:val="26"/>
          <w:szCs w:val="26"/>
        </w:rPr>
        <w:t>(3) </w:t>
      </w:r>
      <w:r w:rsidR="000D1902" w:rsidRPr="00D55644">
        <w:rPr>
          <w:sz w:val="26"/>
          <w:szCs w:val="26"/>
        </w:rPr>
        <w:t xml:space="preserve">assurances that the EDI transactions will be passed from the EGS to the EDC in a timely and accurate fashion; </w:t>
      </w:r>
      <w:r w:rsidRPr="00D55644">
        <w:rPr>
          <w:sz w:val="26"/>
          <w:szCs w:val="26"/>
        </w:rPr>
        <w:t>(4)</w:t>
      </w:r>
      <w:r w:rsidRPr="00D55644">
        <w:t> </w:t>
      </w:r>
      <w:r w:rsidR="000D1902" w:rsidRPr="00D55644">
        <w:rPr>
          <w:sz w:val="26"/>
          <w:szCs w:val="26"/>
        </w:rPr>
        <w:t xml:space="preserve">the Commission’s authority to require EGSs to follow Chapter 14 and Chapter 56 requirements with respect to termination of service; and </w:t>
      </w:r>
      <w:r w:rsidRPr="00D55644">
        <w:rPr>
          <w:sz w:val="26"/>
          <w:szCs w:val="26"/>
        </w:rPr>
        <w:t>(5) </w:t>
      </w:r>
      <w:r w:rsidR="000D1902" w:rsidRPr="00D55644">
        <w:rPr>
          <w:sz w:val="26"/>
          <w:szCs w:val="26"/>
        </w:rPr>
        <w:t>methods to ensure that nonpayment of VAS will not lead to termination</w:t>
      </w:r>
      <w:r w:rsidRPr="00D55644">
        <w:rPr>
          <w:sz w:val="26"/>
          <w:szCs w:val="26"/>
        </w:rPr>
        <w:t>.  The result of the</w:t>
      </w:r>
      <w:r w:rsidR="000D1902" w:rsidRPr="00D55644">
        <w:rPr>
          <w:sz w:val="26"/>
          <w:szCs w:val="26"/>
        </w:rPr>
        <w:t>se open questions is an</w:t>
      </w:r>
      <w:r w:rsidRPr="00D55644">
        <w:rPr>
          <w:sz w:val="26"/>
          <w:szCs w:val="26"/>
        </w:rPr>
        <w:t xml:space="preserve"> increased risk that customers c</w:t>
      </w:r>
      <w:r w:rsidR="000D1902" w:rsidRPr="00D55644">
        <w:rPr>
          <w:sz w:val="26"/>
          <w:szCs w:val="26"/>
        </w:rPr>
        <w:t>ould be subjected to an improper termination of service or delay in reconnection.</w:t>
      </w:r>
    </w:p>
    <w:p w14:paraId="39544F58" w14:textId="61EB2AE7" w:rsidR="00E470B2" w:rsidRPr="00D55644" w:rsidRDefault="00E470B2" w:rsidP="006A2DFB">
      <w:pPr>
        <w:spacing w:line="360" w:lineRule="auto"/>
        <w:rPr>
          <w:sz w:val="26"/>
          <w:szCs w:val="26"/>
        </w:rPr>
      </w:pPr>
    </w:p>
    <w:p w14:paraId="7274C439" w14:textId="2F0BAE53" w:rsidR="00F17496" w:rsidRPr="00D55644" w:rsidRDefault="00205F92" w:rsidP="00F17496">
      <w:pPr>
        <w:spacing w:line="360" w:lineRule="auto"/>
        <w:rPr>
          <w:sz w:val="26"/>
          <w:szCs w:val="26"/>
        </w:rPr>
      </w:pPr>
      <w:r w:rsidRPr="00D55644">
        <w:rPr>
          <w:sz w:val="26"/>
          <w:szCs w:val="26"/>
        </w:rPr>
        <w:tab/>
      </w:r>
      <w:r w:rsidR="00F37DAA" w:rsidRPr="00D55644">
        <w:rPr>
          <w:sz w:val="26"/>
          <w:szCs w:val="26"/>
        </w:rPr>
        <w:t xml:space="preserve">One of the </w:t>
      </w:r>
      <w:r w:rsidRPr="00D55644">
        <w:rPr>
          <w:sz w:val="26"/>
          <w:szCs w:val="26"/>
        </w:rPr>
        <w:t>General Assembly’s goals for</w:t>
      </w:r>
      <w:r w:rsidR="00F37DAA" w:rsidRPr="00D55644">
        <w:rPr>
          <w:sz w:val="26"/>
          <w:szCs w:val="26"/>
        </w:rPr>
        <w:t xml:space="preserve"> electric industry deregulation was to </w:t>
      </w:r>
      <w:r w:rsidR="00802D89" w:rsidRPr="00D55644">
        <w:rPr>
          <w:sz w:val="26"/>
          <w:szCs w:val="26"/>
        </w:rPr>
        <w:t>protect customers</w:t>
      </w:r>
      <w:r w:rsidR="00F37DAA" w:rsidRPr="00D55644">
        <w:rPr>
          <w:sz w:val="26"/>
          <w:szCs w:val="26"/>
        </w:rPr>
        <w:t>—particularly low-income customers—</w:t>
      </w:r>
      <w:r w:rsidR="00802D89" w:rsidRPr="00D55644">
        <w:rPr>
          <w:sz w:val="26"/>
          <w:szCs w:val="26"/>
        </w:rPr>
        <w:t xml:space="preserve">at </w:t>
      </w:r>
      <w:r w:rsidR="00F37DAA" w:rsidRPr="00D55644">
        <w:rPr>
          <w:sz w:val="26"/>
          <w:szCs w:val="26"/>
        </w:rPr>
        <w:t>the same level as before restructuring</w:t>
      </w:r>
      <w:r w:rsidR="00802D89" w:rsidRPr="00D55644">
        <w:rPr>
          <w:sz w:val="26"/>
          <w:szCs w:val="26"/>
        </w:rPr>
        <w:t>.</w:t>
      </w:r>
      <w:r w:rsidR="00F37DAA" w:rsidRPr="00D55644">
        <w:rPr>
          <w:sz w:val="26"/>
          <w:szCs w:val="26"/>
        </w:rPr>
        <w:t xml:space="preserve">  </w:t>
      </w:r>
      <w:r w:rsidR="00F37DAA" w:rsidRPr="00D55644">
        <w:rPr>
          <w:i/>
          <w:sz w:val="26"/>
          <w:szCs w:val="26"/>
        </w:rPr>
        <w:t>See</w:t>
      </w:r>
      <w:r w:rsidR="00F37DAA" w:rsidRPr="00D55644">
        <w:rPr>
          <w:sz w:val="26"/>
          <w:szCs w:val="26"/>
        </w:rPr>
        <w:t xml:space="preserve"> 66 Pa. C.S. §§ 2802(10), (11), and (12); 2804(1), (9), and (14)</w:t>
      </w:r>
      <w:r w:rsidR="00601750" w:rsidRPr="00D55644">
        <w:rPr>
          <w:sz w:val="26"/>
          <w:szCs w:val="26"/>
        </w:rPr>
        <w:t>; and 2807(d).</w:t>
      </w:r>
      <w:r w:rsidR="00802D89" w:rsidRPr="00D55644">
        <w:rPr>
          <w:sz w:val="26"/>
          <w:szCs w:val="26"/>
        </w:rPr>
        <w:t xml:space="preserve">  </w:t>
      </w:r>
      <w:r w:rsidRPr="00D55644">
        <w:rPr>
          <w:sz w:val="26"/>
          <w:szCs w:val="26"/>
        </w:rPr>
        <w:t xml:space="preserve">Adopting NRG’s proposal </w:t>
      </w:r>
      <w:r w:rsidR="00E64928">
        <w:rPr>
          <w:sz w:val="26"/>
          <w:szCs w:val="26"/>
        </w:rPr>
        <w:t>c</w:t>
      </w:r>
      <w:r w:rsidR="00E64928" w:rsidRPr="00D55644">
        <w:rPr>
          <w:sz w:val="26"/>
          <w:szCs w:val="26"/>
        </w:rPr>
        <w:t xml:space="preserve">ould </w:t>
      </w:r>
      <w:r w:rsidRPr="00D55644">
        <w:rPr>
          <w:sz w:val="26"/>
          <w:szCs w:val="26"/>
        </w:rPr>
        <w:t xml:space="preserve">frustrate that goal.  </w:t>
      </w:r>
      <w:r w:rsidR="00E64928">
        <w:rPr>
          <w:sz w:val="26"/>
          <w:szCs w:val="26"/>
        </w:rPr>
        <w:t>Without full guidelines for EGS-initiated termination of service and reconnections, giving an EGS the authority to initiate those actions introduces the</w:t>
      </w:r>
      <w:r w:rsidR="009149FB">
        <w:rPr>
          <w:sz w:val="26"/>
          <w:szCs w:val="26"/>
        </w:rPr>
        <w:t xml:space="preserve"> potential</w:t>
      </w:r>
      <w:r w:rsidR="00601750" w:rsidRPr="00D55644">
        <w:rPr>
          <w:sz w:val="26"/>
          <w:szCs w:val="26"/>
        </w:rPr>
        <w:t xml:space="preserve"> r</w:t>
      </w:r>
      <w:r w:rsidR="00802D89" w:rsidRPr="00D55644">
        <w:rPr>
          <w:sz w:val="26"/>
          <w:szCs w:val="26"/>
        </w:rPr>
        <w:t>isk of improper terminat</w:t>
      </w:r>
      <w:r w:rsidR="00601750" w:rsidRPr="00D55644">
        <w:rPr>
          <w:sz w:val="26"/>
          <w:szCs w:val="26"/>
        </w:rPr>
        <w:t xml:space="preserve">ion of service and </w:t>
      </w:r>
      <w:r w:rsidR="00802D89" w:rsidRPr="00D55644">
        <w:rPr>
          <w:sz w:val="26"/>
          <w:szCs w:val="26"/>
        </w:rPr>
        <w:t>delay in reconnection</w:t>
      </w:r>
      <w:r w:rsidR="00E64928">
        <w:rPr>
          <w:sz w:val="26"/>
          <w:szCs w:val="26"/>
        </w:rPr>
        <w:t xml:space="preserve"> and increases the possibility that</w:t>
      </w:r>
      <w:r w:rsidR="00F359BF" w:rsidRPr="00D55644">
        <w:rPr>
          <w:sz w:val="26"/>
          <w:szCs w:val="26"/>
        </w:rPr>
        <w:t xml:space="preserve"> harm c</w:t>
      </w:r>
      <w:r w:rsidR="00601750" w:rsidRPr="00D55644">
        <w:rPr>
          <w:sz w:val="26"/>
          <w:szCs w:val="26"/>
        </w:rPr>
        <w:t>ould come to customers</w:t>
      </w:r>
      <w:r w:rsidRPr="00D55644">
        <w:rPr>
          <w:sz w:val="26"/>
          <w:szCs w:val="26"/>
        </w:rPr>
        <w:t>.</w:t>
      </w:r>
    </w:p>
    <w:p w14:paraId="0498B612" w14:textId="77777777" w:rsidR="00236A53" w:rsidRPr="00D55644" w:rsidRDefault="00236A53" w:rsidP="00F17496">
      <w:pPr>
        <w:spacing w:line="360" w:lineRule="auto"/>
        <w:rPr>
          <w:sz w:val="26"/>
          <w:szCs w:val="26"/>
        </w:rPr>
      </w:pPr>
    </w:p>
    <w:p w14:paraId="718D91A6" w14:textId="77777777" w:rsidR="003915A1" w:rsidRPr="00580664" w:rsidRDefault="00650A8D" w:rsidP="006C5132">
      <w:pPr>
        <w:spacing w:line="360" w:lineRule="auto"/>
        <w:ind w:left="1440"/>
        <w:rPr>
          <w:b/>
          <w:sz w:val="26"/>
          <w:szCs w:val="26"/>
        </w:rPr>
      </w:pPr>
      <w:r w:rsidRPr="00580664">
        <w:rPr>
          <w:b/>
          <w:sz w:val="26"/>
          <w:szCs w:val="26"/>
        </w:rPr>
        <w:t>ii</w:t>
      </w:r>
      <w:r w:rsidR="00580664" w:rsidRPr="00580664">
        <w:rPr>
          <w:b/>
          <w:sz w:val="26"/>
          <w:szCs w:val="26"/>
        </w:rPr>
        <w:t>.</w:t>
      </w:r>
      <w:r w:rsidR="00580664" w:rsidRPr="00580664">
        <w:rPr>
          <w:b/>
          <w:sz w:val="26"/>
          <w:szCs w:val="26"/>
        </w:rPr>
        <w:tab/>
      </w:r>
      <w:r w:rsidRPr="00580664">
        <w:rPr>
          <w:b/>
          <w:sz w:val="26"/>
          <w:szCs w:val="26"/>
        </w:rPr>
        <w:t>Unnecessary</w:t>
      </w:r>
    </w:p>
    <w:p w14:paraId="5F198796" w14:textId="1A8840B2" w:rsidR="003915A1" w:rsidRPr="00D55644" w:rsidRDefault="003915A1" w:rsidP="00F17496">
      <w:pPr>
        <w:spacing w:line="360" w:lineRule="auto"/>
        <w:rPr>
          <w:sz w:val="26"/>
          <w:szCs w:val="26"/>
        </w:rPr>
      </w:pPr>
      <w:r w:rsidRPr="00D55644">
        <w:rPr>
          <w:sz w:val="26"/>
          <w:szCs w:val="26"/>
        </w:rPr>
        <w:tab/>
        <w:t>Also, NRG’s proposal to allow EGSs to direct the termination of a customer’s electric</w:t>
      </w:r>
      <w:r w:rsidR="00C21859" w:rsidRPr="00D55644">
        <w:rPr>
          <w:sz w:val="26"/>
          <w:szCs w:val="26"/>
        </w:rPr>
        <w:t xml:space="preserve"> service</w:t>
      </w:r>
      <w:r w:rsidRPr="00D55644">
        <w:rPr>
          <w:sz w:val="26"/>
          <w:szCs w:val="26"/>
        </w:rPr>
        <w:t xml:space="preserve"> </w:t>
      </w:r>
      <w:r w:rsidR="00E64928">
        <w:rPr>
          <w:sz w:val="26"/>
          <w:szCs w:val="26"/>
        </w:rPr>
        <w:t>may be</w:t>
      </w:r>
      <w:r w:rsidRPr="00D55644">
        <w:rPr>
          <w:sz w:val="26"/>
          <w:szCs w:val="26"/>
        </w:rPr>
        <w:t xml:space="preserve"> unnecessary.  NRG claims that EGSs need the power to terminate so they can collect amounts owed to them and to advance Chapter 14’s goal of eliminating the opportunity of a customer who can pay his </w:t>
      </w:r>
      <w:r w:rsidR="00275744" w:rsidRPr="00D55644">
        <w:rPr>
          <w:sz w:val="26"/>
          <w:szCs w:val="26"/>
        </w:rPr>
        <w:t xml:space="preserve">electric bill to avoid payment; however, </w:t>
      </w:r>
      <w:r w:rsidR="009E4C14">
        <w:rPr>
          <w:sz w:val="26"/>
          <w:szCs w:val="26"/>
        </w:rPr>
        <w:t xml:space="preserve">the Commission </w:t>
      </w:r>
      <w:r w:rsidR="00E869F6">
        <w:rPr>
          <w:sz w:val="26"/>
          <w:szCs w:val="26"/>
        </w:rPr>
        <w:t xml:space="preserve">finds that the record in this proceeding </w:t>
      </w:r>
      <w:r w:rsidR="009E4C14">
        <w:rPr>
          <w:sz w:val="26"/>
          <w:szCs w:val="26"/>
        </w:rPr>
        <w:t xml:space="preserve">lacks sufficient information </w:t>
      </w:r>
      <w:r w:rsidR="00E0346D">
        <w:rPr>
          <w:sz w:val="26"/>
          <w:szCs w:val="26"/>
        </w:rPr>
        <w:t>to support these claims</w:t>
      </w:r>
      <w:r w:rsidRPr="00D55644">
        <w:rPr>
          <w:sz w:val="26"/>
          <w:szCs w:val="26"/>
        </w:rPr>
        <w:t xml:space="preserve">.  An EGS owed money by a customer has options </w:t>
      </w:r>
      <w:r w:rsidR="00C97C7E" w:rsidRPr="00D55644">
        <w:rPr>
          <w:sz w:val="26"/>
          <w:szCs w:val="26"/>
        </w:rPr>
        <w:t>other than</w:t>
      </w:r>
      <w:r w:rsidRPr="00D55644">
        <w:rPr>
          <w:sz w:val="26"/>
          <w:szCs w:val="26"/>
        </w:rPr>
        <w:t xml:space="preserve"> the threat of terminating service.  </w:t>
      </w:r>
      <w:r w:rsidR="00D6760A" w:rsidRPr="00D55644">
        <w:rPr>
          <w:sz w:val="26"/>
          <w:szCs w:val="26"/>
        </w:rPr>
        <w:t>The EGS</w:t>
      </w:r>
      <w:r w:rsidR="00F22059" w:rsidRPr="00D55644">
        <w:rPr>
          <w:sz w:val="26"/>
          <w:szCs w:val="26"/>
        </w:rPr>
        <w:t xml:space="preserve"> may</w:t>
      </w:r>
      <w:r w:rsidR="00C97C7E" w:rsidRPr="00D55644">
        <w:rPr>
          <w:sz w:val="26"/>
          <w:szCs w:val="26"/>
        </w:rPr>
        <w:t xml:space="preserve"> turn the debt over to collections or sue the customer for payment.  </w:t>
      </w:r>
      <w:r w:rsidR="00E0346D">
        <w:rPr>
          <w:sz w:val="26"/>
          <w:szCs w:val="26"/>
        </w:rPr>
        <w:t xml:space="preserve">The viability and cost of such a collection effort is uncertain, and compensation policies for this collection effort can vary depending on any future petition or Commission Order for SCB.  </w:t>
      </w:r>
      <w:r w:rsidR="00CC5D30" w:rsidRPr="00D55644">
        <w:rPr>
          <w:sz w:val="26"/>
          <w:szCs w:val="26"/>
        </w:rPr>
        <w:t xml:space="preserve">The Commission finds that </w:t>
      </w:r>
      <w:r w:rsidR="00EA3CFE">
        <w:rPr>
          <w:sz w:val="26"/>
          <w:szCs w:val="26"/>
        </w:rPr>
        <w:t xml:space="preserve">the record in this proceeding fails to support NRG’s request for </w:t>
      </w:r>
      <w:r w:rsidR="00CC5D30" w:rsidRPr="00D55644">
        <w:rPr>
          <w:sz w:val="26"/>
          <w:szCs w:val="26"/>
        </w:rPr>
        <w:t>EGSs to</w:t>
      </w:r>
      <w:r w:rsidR="00802028" w:rsidRPr="00D55644">
        <w:rPr>
          <w:sz w:val="26"/>
          <w:szCs w:val="26"/>
        </w:rPr>
        <w:t xml:space="preserve"> have the power to direct an EDC to terminate a customer’s electric service.</w:t>
      </w:r>
    </w:p>
    <w:p w14:paraId="7173701D" w14:textId="77777777" w:rsidR="008D16AC" w:rsidRPr="00D55644" w:rsidRDefault="008D16AC" w:rsidP="00F17496">
      <w:pPr>
        <w:spacing w:line="360" w:lineRule="auto"/>
        <w:rPr>
          <w:sz w:val="26"/>
          <w:szCs w:val="26"/>
        </w:rPr>
      </w:pPr>
    </w:p>
    <w:p w14:paraId="74A0F494" w14:textId="77777777" w:rsidR="00F22059" w:rsidRPr="00580664" w:rsidRDefault="00F22059" w:rsidP="006C5132">
      <w:pPr>
        <w:spacing w:line="360" w:lineRule="auto"/>
        <w:ind w:left="1440"/>
        <w:rPr>
          <w:b/>
          <w:sz w:val="26"/>
          <w:szCs w:val="26"/>
        </w:rPr>
      </w:pPr>
      <w:r w:rsidRPr="00580664">
        <w:rPr>
          <w:b/>
          <w:sz w:val="26"/>
          <w:szCs w:val="26"/>
        </w:rPr>
        <w:t>iii</w:t>
      </w:r>
      <w:r w:rsidR="00580664" w:rsidRPr="00580664">
        <w:rPr>
          <w:b/>
          <w:sz w:val="26"/>
          <w:szCs w:val="26"/>
        </w:rPr>
        <w:t>.</w:t>
      </w:r>
      <w:r w:rsidR="00580664" w:rsidRPr="00580664">
        <w:rPr>
          <w:b/>
          <w:sz w:val="26"/>
          <w:szCs w:val="26"/>
        </w:rPr>
        <w:tab/>
      </w:r>
      <w:r w:rsidRPr="00580664">
        <w:rPr>
          <w:b/>
          <w:sz w:val="26"/>
          <w:szCs w:val="26"/>
        </w:rPr>
        <w:t xml:space="preserve">Noncompliant </w:t>
      </w:r>
      <w:proofErr w:type="gramStart"/>
      <w:r w:rsidR="00580664">
        <w:rPr>
          <w:b/>
          <w:sz w:val="26"/>
          <w:szCs w:val="26"/>
        </w:rPr>
        <w:t>W</w:t>
      </w:r>
      <w:r w:rsidRPr="00580664">
        <w:rPr>
          <w:b/>
          <w:sz w:val="26"/>
          <w:szCs w:val="26"/>
        </w:rPr>
        <w:t>ith</w:t>
      </w:r>
      <w:proofErr w:type="gramEnd"/>
      <w:r w:rsidRPr="00580664">
        <w:rPr>
          <w:b/>
          <w:sz w:val="26"/>
          <w:szCs w:val="26"/>
        </w:rPr>
        <w:t xml:space="preserve"> </w:t>
      </w:r>
      <w:r w:rsidR="00580664">
        <w:rPr>
          <w:b/>
          <w:sz w:val="26"/>
          <w:szCs w:val="26"/>
        </w:rPr>
        <w:t>T</w:t>
      </w:r>
      <w:r w:rsidRPr="00580664">
        <w:rPr>
          <w:b/>
          <w:sz w:val="26"/>
          <w:szCs w:val="26"/>
        </w:rPr>
        <w:t>he Public Utility Code</w:t>
      </w:r>
    </w:p>
    <w:p w14:paraId="5DD3CF45" w14:textId="25C148F8" w:rsidR="00CC5D30" w:rsidRPr="00D55644" w:rsidRDefault="00CC5D30" w:rsidP="00F17496">
      <w:pPr>
        <w:spacing w:line="360" w:lineRule="auto"/>
        <w:rPr>
          <w:sz w:val="26"/>
          <w:szCs w:val="26"/>
        </w:rPr>
      </w:pPr>
      <w:r w:rsidRPr="00D55644">
        <w:rPr>
          <w:sz w:val="26"/>
          <w:szCs w:val="26"/>
        </w:rPr>
        <w:tab/>
        <w:t xml:space="preserve">Lastly, </w:t>
      </w:r>
      <w:r w:rsidR="000326C9" w:rsidRPr="00D55644">
        <w:rPr>
          <w:sz w:val="26"/>
          <w:szCs w:val="26"/>
        </w:rPr>
        <w:t>the Commission</w:t>
      </w:r>
      <w:r w:rsidR="008D16AC" w:rsidRPr="00D55644">
        <w:rPr>
          <w:sz w:val="26"/>
          <w:szCs w:val="26"/>
        </w:rPr>
        <w:t xml:space="preserve"> finds that NRG’s </w:t>
      </w:r>
      <w:r w:rsidR="009149FB">
        <w:rPr>
          <w:sz w:val="26"/>
          <w:szCs w:val="26"/>
        </w:rPr>
        <w:t xml:space="preserve">specific </w:t>
      </w:r>
      <w:r w:rsidR="008D16AC" w:rsidRPr="00D55644">
        <w:rPr>
          <w:sz w:val="26"/>
          <w:szCs w:val="26"/>
        </w:rPr>
        <w:t>proposal to allow EGSs, which are not public utilities, the pow</w:t>
      </w:r>
      <w:r w:rsidR="00BA408F" w:rsidRPr="00D55644">
        <w:rPr>
          <w:sz w:val="26"/>
          <w:szCs w:val="26"/>
        </w:rPr>
        <w:t xml:space="preserve">er to terminate service </w:t>
      </w:r>
      <w:r w:rsidR="000612AD">
        <w:rPr>
          <w:sz w:val="26"/>
          <w:szCs w:val="26"/>
        </w:rPr>
        <w:t xml:space="preserve">may </w:t>
      </w:r>
      <w:r w:rsidR="00BA408F" w:rsidRPr="00D55644">
        <w:rPr>
          <w:sz w:val="26"/>
          <w:szCs w:val="26"/>
        </w:rPr>
        <w:t>conflict with</w:t>
      </w:r>
      <w:r w:rsidR="008D16AC" w:rsidRPr="00D55644">
        <w:rPr>
          <w:sz w:val="26"/>
          <w:szCs w:val="26"/>
        </w:rPr>
        <w:t xml:space="preserve"> the Public Utility Code and the regulations promulgated thereunder. </w:t>
      </w:r>
      <w:r w:rsidR="000326C9" w:rsidRPr="00D55644">
        <w:rPr>
          <w:sz w:val="26"/>
          <w:szCs w:val="26"/>
        </w:rPr>
        <w:t xml:space="preserve"> </w:t>
      </w:r>
      <w:r w:rsidR="006B49FA" w:rsidRPr="00D55644">
        <w:rPr>
          <w:sz w:val="26"/>
          <w:szCs w:val="26"/>
        </w:rPr>
        <w:t>Chapter 14</w:t>
      </w:r>
      <w:r w:rsidR="008D16AC" w:rsidRPr="00D55644">
        <w:rPr>
          <w:sz w:val="26"/>
          <w:szCs w:val="26"/>
        </w:rPr>
        <w:t xml:space="preserve"> of the Code</w:t>
      </w:r>
      <w:r w:rsidR="006B49FA" w:rsidRPr="00D55644">
        <w:rPr>
          <w:sz w:val="26"/>
          <w:szCs w:val="26"/>
        </w:rPr>
        <w:t xml:space="preserve"> provides protection to consumers related to billing and payment issues, including termination of service</w:t>
      </w:r>
      <w:r w:rsidR="00BA25ED" w:rsidRPr="00D55644">
        <w:rPr>
          <w:sz w:val="26"/>
          <w:szCs w:val="26"/>
        </w:rPr>
        <w:t>, and Chapter 56</w:t>
      </w:r>
      <w:r w:rsidR="008D16AC" w:rsidRPr="00D55644">
        <w:rPr>
          <w:sz w:val="26"/>
          <w:szCs w:val="26"/>
        </w:rPr>
        <w:t xml:space="preserve"> of the Commission’s regulations</w:t>
      </w:r>
      <w:r w:rsidR="00BA25ED" w:rsidRPr="00D55644">
        <w:rPr>
          <w:sz w:val="26"/>
          <w:szCs w:val="26"/>
        </w:rPr>
        <w:t xml:space="preserve"> identifies standards and billing practices for residential utility service</w:t>
      </w:r>
      <w:r w:rsidR="006B49FA" w:rsidRPr="00D55644">
        <w:rPr>
          <w:sz w:val="26"/>
          <w:szCs w:val="26"/>
        </w:rPr>
        <w:t>.</w:t>
      </w:r>
      <w:r w:rsidR="00F90145" w:rsidRPr="00D55644">
        <w:rPr>
          <w:sz w:val="26"/>
          <w:szCs w:val="26"/>
        </w:rPr>
        <w:t xml:space="preserve">  66 Pa. C.S. Ch. 14 and 52 Pa. Code Ch. 56.</w:t>
      </w:r>
      <w:r w:rsidR="006B49FA" w:rsidRPr="00D55644">
        <w:rPr>
          <w:sz w:val="26"/>
          <w:szCs w:val="26"/>
        </w:rPr>
        <w:t xml:space="preserve">  </w:t>
      </w:r>
      <w:r w:rsidR="000612AD">
        <w:rPr>
          <w:sz w:val="26"/>
          <w:szCs w:val="26"/>
        </w:rPr>
        <w:t>T</w:t>
      </w:r>
      <w:r w:rsidR="002B7D3A">
        <w:rPr>
          <w:sz w:val="26"/>
          <w:szCs w:val="26"/>
        </w:rPr>
        <w:t xml:space="preserve">he Chapter 14 provisions regarding cash deposits to initiate service, payment arrangements to avoid termination of service, lawful grounds for termination of service, and standards for reconnection of service are applicable specifically to </w:t>
      </w:r>
      <w:r w:rsidR="00B843FB">
        <w:rPr>
          <w:sz w:val="26"/>
          <w:szCs w:val="26"/>
        </w:rPr>
        <w:t>“</w:t>
      </w:r>
      <w:r w:rsidR="002B7D3A">
        <w:rPr>
          <w:sz w:val="26"/>
          <w:szCs w:val="26"/>
        </w:rPr>
        <w:t>public utilities.</w:t>
      </w:r>
      <w:r w:rsidR="00B843FB">
        <w:rPr>
          <w:sz w:val="26"/>
          <w:szCs w:val="26"/>
        </w:rPr>
        <w:t>”</w:t>
      </w:r>
      <w:r w:rsidR="002B7D3A">
        <w:rPr>
          <w:sz w:val="26"/>
          <w:szCs w:val="26"/>
        </w:rPr>
        <w:t xml:space="preserve">  66 Pa. C.S. §§</w:t>
      </w:r>
      <w:r w:rsidR="00580664">
        <w:rPr>
          <w:sz w:val="26"/>
          <w:szCs w:val="26"/>
        </w:rPr>
        <w:t> </w:t>
      </w:r>
      <w:r w:rsidR="002B7D3A">
        <w:rPr>
          <w:sz w:val="26"/>
          <w:szCs w:val="26"/>
        </w:rPr>
        <w:t xml:space="preserve">1404, 1405, 1406 and 1407.  </w:t>
      </w:r>
      <w:r w:rsidR="00F90145" w:rsidRPr="00D55644">
        <w:rPr>
          <w:sz w:val="26"/>
          <w:szCs w:val="26"/>
        </w:rPr>
        <w:t>These</w:t>
      </w:r>
      <w:r w:rsidR="00CF60CD" w:rsidRPr="00D55644">
        <w:rPr>
          <w:sz w:val="26"/>
          <w:szCs w:val="26"/>
        </w:rPr>
        <w:t xml:space="preserve"> requirements are binding on public utilities, which includes EDCs, but not EGSs.</w:t>
      </w:r>
      <w:r w:rsidR="00CF60CD" w:rsidRPr="00D55644">
        <w:rPr>
          <w:rStyle w:val="FootnoteReference"/>
          <w:sz w:val="26"/>
          <w:szCs w:val="26"/>
        </w:rPr>
        <w:footnoteReference w:id="69"/>
      </w:r>
      <w:r w:rsidR="00BA25ED" w:rsidRPr="00D55644">
        <w:rPr>
          <w:sz w:val="26"/>
          <w:szCs w:val="26"/>
        </w:rPr>
        <w:t xml:space="preserve">  </w:t>
      </w:r>
    </w:p>
    <w:p w14:paraId="21C36D80" w14:textId="77777777" w:rsidR="00802D89" w:rsidRPr="00D55644" w:rsidRDefault="00802D89" w:rsidP="006A2DFB">
      <w:pPr>
        <w:spacing w:line="360" w:lineRule="auto"/>
        <w:rPr>
          <w:sz w:val="26"/>
          <w:szCs w:val="26"/>
        </w:rPr>
      </w:pPr>
    </w:p>
    <w:p w14:paraId="614C7C66" w14:textId="77777777" w:rsidR="00322932" w:rsidRPr="00D55644" w:rsidRDefault="00322932" w:rsidP="00B843FB">
      <w:pPr>
        <w:spacing w:line="360" w:lineRule="auto"/>
        <w:rPr>
          <w:sz w:val="26"/>
          <w:szCs w:val="26"/>
        </w:rPr>
      </w:pPr>
      <w:r w:rsidRPr="00D55644">
        <w:rPr>
          <w:sz w:val="26"/>
          <w:szCs w:val="26"/>
        </w:rPr>
        <w:tab/>
      </w:r>
      <w:r w:rsidR="000E1785" w:rsidRPr="00D55644">
        <w:rPr>
          <w:sz w:val="26"/>
          <w:szCs w:val="26"/>
        </w:rPr>
        <w:t xml:space="preserve">CAUSE PA, Duquesne, EAP, </w:t>
      </w:r>
      <w:r w:rsidR="00A64694" w:rsidRPr="00D55644">
        <w:rPr>
          <w:sz w:val="26"/>
          <w:szCs w:val="26"/>
        </w:rPr>
        <w:t xml:space="preserve">the </w:t>
      </w:r>
      <w:r w:rsidR="000E1785" w:rsidRPr="00D55644">
        <w:rPr>
          <w:sz w:val="26"/>
          <w:szCs w:val="26"/>
        </w:rPr>
        <w:t>OCA and PPL correctly note the General Assembly</w:t>
      </w:r>
      <w:r w:rsidRPr="00D55644">
        <w:rPr>
          <w:sz w:val="26"/>
          <w:szCs w:val="26"/>
        </w:rPr>
        <w:t>’s intention that EDC</w:t>
      </w:r>
      <w:r w:rsidR="000E1785" w:rsidRPr="00D55644">
        <w:rPr>
          <w:sz w:val="26"/>
          <w:szCs w:val="26"/>
        </w:rPr>
        <w:t>s</w:t>
      </w:r>
      <w:r w:rsidRPr="00D55644">
        <w:rPr>
          <w:sz w:val="26"/>
          <w:szCs w:val="26"/>
        </w:rPr>
        <w:t xml:space="preserve"> remain regulated </w:t>
      </w:r>
      <w:r w:rsidR="000E1785" w:rsidRPr="00D55644">
        <w:rPr>
          <w:sz w:val="26"/>
          <w:szCs w:val="26"/>
        </w:rPr>
        <w:t xml:space="preserve">public </w:t>
      </w:r>
      <w:r w:rsidRPr="00D55644">
        <w:rPr>
          <w:sz w:val="26"/>
          <w:szCs w:val="26"/>
        </w:rPr>
        <w:t>utilit</w:t>
      </w:r>
      <w:r w:rsidR="000E1785" w:rsidRPr="00D55644">
        <w:rPr>
          <w:sz w:val="26"/>
          <w:szCs w:val="26"/>
        </w:rPr>
        <w:t>ies.</w:t>
      </w:r>
      <w:r w:rsidR="000E1785" w:rsidRPr="00D55644">
        <w:rPr>
          <w:rStyle w:val="FootnoteReference"/>
          <w:sz w:val="26"/>
          <w:szCs w:val="26"/>
        </w:rPr>
        <w:footnoteReference w:id="70"/>
      </w:r>
      <w:r w:rsidR="00BA408F" w:rsidRPr="00D55644">
        <w:rPr>
          <w:sz w:val="26"/>
          <w:szCs w:val="26"/>
        </w:rPr>
        <w:t xml:space="preserve">  Although</w:t>
      </w:r>
      <w:r w:rsidR="000E1785" w:rsidRPr="00D55644">
        <w:rPr>
          <w:sz w:val="26"/>
          <w:szCs w:val="26"/>
        </w:rPr>
        <w:t xml:space="preserve"> the billing and customer service requirements of Chapter 14 and Chapter 56 apply to public utilities,</w:t>
      </w:r>
      <w:r w:rsidR="00A64694" w:rsidRPr="00D55644">
        <w:rPr>
          <w:sz w:val="26"/>
          <w:szCs w:val="26"/>
        </w:rPr>
        <w:t xml:space="preserve"> the</w:t>
      </w:r>
      <w:r w:rsidR="000E1785" w:rsidRPr="00D55644">
        <w:rPr>
          <w:sz w:val="26"/>
          <w:szCs w:val="26"/>
        </w:rPr>
        <w:t xml:space="preserve"> OCA points out that </w:t>
      </w:r>
      <w:r w:rsidR="00F659EC" w:rsidRPr="00D55644">
        <w:rPr>
          <w:sz w:val="26"/>
          <w:szCs w:val="26"/>
        </w:rPr>
        <w:t>under Section 2809(e) of the</w:t>
      </w:r>
      <w:r w:rsidR="00A64694" w:rsidRPr="00D55644">
        <w:rPr>
          <w:sz w:val="26"/>
          <w:szCs w:val="26"/>
        </w:rPr>
        <w:t xml:space="preserve"> Public Utility</w:t>
      </w:r>
      <w:r w:rsidR="00F659EC" w:rsidRPr="00D55644">
        <w:rPr>
          <w:sz w:val="26"/>
          <w:szCs w:val="26"/>
        </w:rPr>
        <w:t xml:space="preserve"> Code, </w:t>
      </w:r>
      <w:r w:rsidR="000E1785" w:rsidRPr="00D55644">
        <w:rPr>
          <w:sz w:val="26"/>
          <w:szCs w:val="26"/>
        </w:rPr>
        <w:t xml:space="preserve">the Commission </w:t>
      </w:r>
      <w:r w:rsidR="00F659EC" w:rsidRPr="00D55644">
        <w:rPr>
          <w:sz w:val="26"/>
          <w:szCs w:val="26"/>
        </w:rPr>
        <w:t>can require EGSs to maintain quality of service.</w:t>
      </w:r>
      <w:r w:rsidR="00F659EC" w:rsidRPr="00D55644">
        <w:rPr>
          <w:rStyle w:val="FootnoteReference"/>
          <w:sz w:val="26"/>
          <w:szCs w:val="26"/>
        </w:rPr>
        <w:footnoteReference w:id="71"/>
      </w:r>
      <w:r w:rsidR="00F659EC" w:rsidRPr="00D55644">
        <w:rPr>
          <w:sz w:val="26"/>
          <w:szCs w:val="26"/>
        </w:rPr>
        <w:t xml:space="preserve">  However, we agree with </w:t>
      </w:r>
      <w:r w:rsidR="00A64694" w:rsidRPr="00D55644">
        <w:rPr>
          <w:sz w:val="26"/>
          <w:szCs w:val="26"/>
        </w:rPr>
        <w:t xml:space="preserve">the </w:t>
      </w:r>
      <w:r w:rsidR="00F659EC" w:rsidRPr="00D55644">
        <w:rPr>
          <w:sz w:val="26"/>
          <w:szCs w:val="26"/>
        </w:rPr>
        <w:t>OCA that the Commission’s authority to regulate EGS behavior in terminating a customer’s electric service</w:t>
      </w:r>
      <w:r w:rsidR="002B7D3A">
        <w:rPr>
          <w:sz w:val="26"/>
          <w:szCs w:val="26"/>
        </w:rPr>
        <w:t xml:space="preserve"> under Chapter 14</w:t>
      </w:r>
      <w:r w:rsidR="00F659EC" w:rsidRPr="00D55644">
        <w:rPr>
          <w:sz w:val="26"/>
          <w:szCs w:val="26"/>
        </w:rPr>
        <w:t xml:space="preserve"> is </w:t>
      </w:r>
      <w:r w:rsidR="00B843FB">
        <w:rPr>
          <w:sz w:val="26"/>
          <w:szCs w:val="26"/>
        </w:rPr>
        <w:t>questionable, if even permitted under the Public Utility Code</w:t>
      </w:r>
      <w:r w:rsidR="00F659EC" w:rsidRPr="00D55644">
        <w:rPr>
          <w:sz w:val="26"/>
          <w:szCs w:val="26"/>
        </w:rPr>
        <w:t>.</w:t>
      </w:r>
      <w:r w:rsidR="00BF11EE">
        <w:rPr>
          <w:sz w:val="26"/>
          <w:szCs w:val="26"/>
        </w:rPr>
        <w:t xml:space="preserve"> </w:t>
      </w:r>
      <w:r w:rsidR="00F659EC" w:rsidRPr="00D55644">
        <w:rPr>
          <w:sz w:val="26"/>
          <w:szCs w:val="26"/>
        </w:rPr>
        <w:t xml:space="preserve"> If an EGS does not follow the requirements of the Public Utility Code and corresponding regulations in carrying out termination, the Commission </w:t>
      </w:r>
      <w:r w:rsidR="00B843FB">
        <w:rPr>
          <w:sz w:val="26"/>
          <w:szCs w:val="26"/>
        </w:rPr>
        <w:t>might</w:t>
      </w:r>
      <w:r w:rsidR="00F659EC" w:rsidRPr="00D55644">
        <w:rPr>
          <w:sz w:val="26"/>
          <w:szCs w:val="26"/>
        </w:rPr>
        <w:t xml:space="preserve"> not </w:t>
      </w:r>
      <w:r w:rsidR="0010242F" w:rsidRPr="00D55644">
        <w:rPr>
          <w:sz w:val="26"/>
          <w:szCs w:val="26"/>
        </w:rPr>
        <w:t>be able to enforce those rules, which would place consumers at great risk of harm from an improper shut off or delayed reconnection.</w:t>
      </w:r>
    </w:p>
    <w:p w14:paraId="4E4D3809" w14:textId="77777777" w:rsidR="007C5BBD" w:rsidRPr="00D55644" w:rsidRDefault="007C5BBD" w:rsidP="006A2DFB">
      <w:pPr>
        <w:spacing w:line="360" w:lineRule="auto"/>
        <w:rPr>
          <w:sz w:val="26"/>
          <w:szCs w:val="26"/>
        </w:rPr>
      </w:pPr>
    </w:p>
    <w:p w14:paraId="036B8917" w14:textId="47E6CBF7" w:rsidR="007C5BBD" w:rsidRDefault="00D52B3F" w:rsidP="006A2DFB">
      <w:pPr>
        <w:spacing w:line="360" w:lineRule="auto"/>
        <w:rPr>
          <w:sz w:val="26"/>
          <w:szCs w:val="26"/>
        </w:rPr>
      </w:pPr>
      <w:r w:rsidRPr="00D55644">
        <w:rPr>
          <w:sz w:val="26"/>
          <w:szCs w:val="26"/>
        </w:rPr>
        <w:tab/>
      </w:r>
      <w:r w:rsidR="0010242F" w:rsidRPr="00D55644">
        <w:rPr>
          <w:sz w:val="26"/>
          <w:szCs w:val="26"/>
        </w:rPr>
        <w:t>A</w:t>
      </w:r>
      <w:r w:rsidR="00953ECC" w:rsidRPr="00D55644">
        <w:rPr>
          <w:sz w:val="26"/>
          <w:szCs w:val="26"/>
        </w:rPr>
        <w:t>n</w:t>
      </w:r>
      <w:r w:rsidR="00510F97" w:rsidRPr="00D55644">
        <w:rPr>
          <w:sz w:val="26"/>
          <w:szCs w:val="26"/>
        </w:rPr>
        <w:t xml:space="preserve"> EDC is a regulated public utility required to serve all customers in its territory, so it </w:t>
      </w:r>
      <w:r w:rsidR="00953ECC" w:rsidRPr="00D55644">
        <w:rPr>
          <w:sz w:val="26"/>
          <w:szCs w:val="26"/>
        </w:rPr>
        <w:t>is reasonable to grant it</w:t>
      </w:r>
      <w:r w:rsidR="00510F97" w:rsidRPr="00D55644">
        <w:rPr>
          <w:sz w:val="26"/>
          <w:szCs w:val="26"/>
        </w:rPr>
        <w:t xml:space="preserve"> the power to terminate a nonpaying customer’s electric service.  The General Assembly has made clear its intention that EDC’s continue to be regulated by the Commission and that they serve in the default service role—unless another provider of last resort is approved by the Commission—to ensure the availability of universal electric service.</w:t>
      </w:r>
      <w:r w:rsidR="00510F97" w:rsidRPr="00D55644">
        <w:rPr>
          <w:rStyle w:val="FootnoteReference"/>
          <w:sz w:val="26"/>
          <w:szCs w:val="26"/>
        </w:rPr>
        <w:footnoteReference w:id="72"/>
      </w:r>
      <w:r w:rsidR="00510F97" w:rsidRPr="00D55644">
        <w:rPr>
          <w:sz w:val="26"/>
          <w:szCs w:val="26"/>
        </w:rPr>
        <w:t xml:space="preserve">  </w:t>
      </w:r>
      <w:r w:rsidR="00FF15A2" w:rsidRPr="00D55644">
        <w:rPr>
          <w:sz w:val="26"/>
          <w:szCs w:val="26"/>
        </w:rPr>
        <w:t>The default service provider (DSP) must provide electric generation service to retail customers who (1) have chosen an alternative supplier and their EGS does not provide the service or (2) have not chosen an alternative supplier.</w:t>
      </w:r>
      <w:r w:rsidR="00FF15A2" w:rsidRPr="00D55644">
        <w:rPr>
          <w:rStyle w:val="FootnoteReference"/>
          <w:sz w:val="26"/>
          <w:szCs w:val="26"/>
        </w:rPr>
        <w:footnoteReference w:id="73"/>
      </w:r>
    </w:p>
    <w:p w14:paraId="7C2BAEC6" w14:textId="77777777" w:rsidR="00D43552" w:rsidRPr="00D55644" w:rsidRDefault="00D43552" w:rsidP="006A2DFB">
      <w:pPr>
        <w:spacing w:line="360" w:lineRule="auto"/>
        <w:rPr>
          <w:sz w:val="26"/>
          <w:szCs w:val="26"/>
        </w:rPr>
      </w:pPr>
    </w:p>
    <w:p w14:paraId="4F76E656" w14:textId="15931842" w:rsidR="00D96EE5" w:rsidRPr="00D55644" w:rsidRDefault="00D96EE5" w:rsidP="006A2DFB">
      <w:pPr>
        <w:spacing w:line="360" w:lineRule="auto"/>
        <w:rPr>
          <w:sz w:val="26"/>
          <w:szCs w:val="26"/>
        </w:rPr>
      </w:pPr>
      <w:r w:rsidRPr="00D55644">
        <w:rPr>
          <w:sz w:val="26"/>
          <w:szCs w:val="26"/>
        </w:rPr>
        <w:tab/>
        <w:t xml:space="preserve">An EGS is not </w:t>
      </w:r>
      <w:r w:rsidRPr="00D55644">
        <w:rPr>
          <w:i/>
          <w:sz w:val="26"/>
          <w:szCs w:val="26"/>
        </w:rPr>
        <w:t xml:space="preserve">required </w:t>
      </w:r>
      <w:r w:rsidRPr="00D55644">
        <w:rPr>
          <w:sz w:val="26"/>
          <w:szCs w:val="26"/>
        </w:rPr>
        <w:t>to serve any customer.  NRG wants EGSs offering SCB to have the power to terminate service for a customer’s failure to pay.  The EGS, by deciding to terminate service, is effectively saying that it no</w:t>
      </w:r>
      <w:r w:rsidR="00B0779D" w:rsidRPr="00D55644">
        <w:rPr>
          <w:sz w:val="26"/>
          <w:szCs w:val="26"/>
        </w:rPr>
        <w:t xml:space="preserve"> longer</w:t>
      </w:r>
      <w:r w:rsidRPr="00D55644">
        <w:rPr>
          <w:sz w:val="26"/>
          <w:szCs w:val="26"/>
        </w:rPr>
        <w:t xml:space="preserve"> want</w:t>
      </w:r>
      <w:r w:rsidR="00B0779D" w:rsidRPr="00D55644">
        <w:rPr>
          <w:sz w:val="26"/>
          <w:szCs w:val="26"/>
        </w:rPr>
        <w:t>s</w:t>
      </w:r>
      <w:r w:rsidRPr="00D55644">
        <w:rPr>
          <w:sz w:val="26"/>
          <w:szCs w:val="26"/>
        </w:rPr>
        <w:t xml:space="preserve"> to serve the customer.</w:t>
      </w:r>
      <w:r w:rsidR="00C24A83" w:rsidRPr="00D55644">
        <w:rPr>
          <w:sz w:val="26"/>
          <w:szCs w:val="26"/>
        </w:rPr>
        <w:t xml:space="preserve">  If the EGS does not want to serve the customer—and is not required to serve the customer—</w:t>
      </w:r>
      <w:r w:rsidR="00755F0E" w:rsidRPr="00D55644">
        <w:rPr>
          <w:sz w:val="26"/>
          <w:szCs w:val="26"/>
        </w:rPr>
        <w:t>the default service provider is then obligated under 66 Pa. C.S. § 2807(e) to provide that service</w:t>
      </w:r>
      <w:r w:rsidR="00C24A83" w:rsidRPr="00D55644">
        <w:rPr>
          <w:sz w:val="26"/>
          <w:szCs w:val="26"/>
        </w:rPr>
        <w:t xml:space="preserve">.  </w:t>
      </w:r>
      <w:r w:rsidR="00755F0E" w:rsidRPr="00D55644">
        <w:rPr>
          <w:sz w:val="26"/>
          <w:szCs w:val="26"/>
        </w:rPr>
        <w:t xml:space="preserve">Accordingly, </w:t>
      </w:r>
      <w:r w:rsidR="001209EC">
        <w:rPr>
          <w:sz w:val="26"/>
          <w:szCs w:val="26"/>
        </w:rPr>
        <w:t>one</w:t>
      </w:r>
      <w:r w:rsidR="00755F0E" w:rsidRPr="00D55644">
        <w:rPr>
          <w:sz w:val="26"/>
          <w:szCs w:val="26"/>
        </w:rPr>
        <w:t xml:space="preserve"> option</w:t>
      </w:r>
      <w:r w:rsidR="001209EC">
        <w:rPr>
          <w:sz w:val="26"/>
          <w:szCs w:val="26"/>
        </w:rPr>
        <w:t xml:space="preserve"> may be for </w:t>
      </w:r>
      <w:r w:rsidR="00755F0E" w:rsidRPr="00D55644">
        <w:rPr>
          <w:sz w:val="26"/>
          <w:szCs w:val="26"/>
        </w:rPr>
        <w:t>the EGS to</w:t>
      </w:r>
      <w:r w:rsidR="00C24A83" w:rsidRPr="00D55644">
        <w:rPr>
          <w:sz w:val="26"/>
          <w:szCs w:val="26"/>
        </w:rPr>
        <w:t xml:space="preserve"> drop the customer</w:t>
      </w:r>
      <w:r w:rsidR="00755F0E" w:rsidRPr="00D55644">
        <w:rPr>
          <w:sz w:val="26"/>
          <w:szCs w:val="26"/>
        </w:rPr>
        <w:t xml:space="preserve"> to default service</w:t>
      </w:r>
      <w:r w:rsidR="00C24A83" w:rsidRPr="00D55644">
        <w:rPr>
          <w:sz w:val="26"/>
          <w:szCs w:val="26"/>
        </w:rPr>
        <w:t xml:space="preserve"> and pursue </w:t>
      </w:r>
      <w:proofErr w:type="gramStart"/>
      <w:r w:rsidR="00C24A83" w:rsidRPr="00D55644">
        <w:rPr>
          <w:sz w:val="26"/>
          <w:szCs w:val="26"/>
        </w:rPr>
        <w:t>any and all</w:t>
      </w:r>
      <w:proofErr w:type="gramEnd"/>
      <w:r w:rsidR="00755F0E" w:rsidRPr="00D55644">
        <w:rPr>
          <w:sz w:val="26"/>
          <w:szCs w:val="26"/>
        </w:rPr>
        <w:t xml:space="preserve"> other</w:t>
      </w:r>
      <w:r w:rsidR="00C24A83" w:rsidRPr="00D55644">
        <w:rPr>
          <w:sz w:val="26"/>
          <w:szCs w:val="26"/>
        </w:rPr>
        <w:t xml:space="preserve"> available means to collect amounts </w:t>
      </w:r>
      <w:r w:rsidR="00E21E5D" w:rsidRPr="00D55644">
        <w:rPr>
          <w:sz w:val="26"/>
          <w:szCs w:val="26"/>
        </w:rPr>
        <w:t>owed by the customer</w:t>
      </w:r>
      <w:r w:rsidR="00755F0E" w:rsidRPr="00D55644">
        <w:rPr>
          <w:sz w:val="26"/>
          <w:szCs w:val="26"/>
        </w:rPr>
        <w:t>, including amounts owed for VAS</w:t>
      </w:r>
      <w:r w:rsidR="00E21E5D" w:rsidRPr="00D55644">
        <w:rPr>
          <w:sz w:val="26"/>
          <w:szCs w:val="26"/>
        </w:rPr>
        <w:t>.</w:t>
      </w:r>
      <w:r w:rsidR="0037497E" w:rsidRPr="00D55644">
        <w:rPr>
          <w:sz w:val="26"/>
          <w:szCs w:val="26"/>
        </w:rPr>
        <w:t xml:space="preserve">  Under the circumstances—the EGS dropping a nonpaying customer—</w:t>
      </w:r>
      <w:r w:rsidRPr="00D55644">
        <w:rPr>
          <w:sz w:val="26"/>
          <w:szCs w:val="26"/>
        </w:rPr>
        <w:t>66 Pa. C.S. § 2807(e</w:t>
      </w:r>
      <w:proofErr w:type="gramStart"/>
      <w:r w:rsidRPr="00D55644">
        <w:rPr>
          <w:sz w:val="26"/>
          <w:szCs w:val="26"/>
        </w:rPr>
        <w:t>)(</w:t>
      </w:r>
      <w:proofErr w:type="gramEnd"/>
      <w:r w:rsidRPr="00D55644">
        <w:rPr>
          <w:sz w:val="26"/>
          <w:szCs w:val="26"/>
        </w:rPr>
        <w:t xml:space="preserve">3.1) </w:t>
      </w:r>
      <w:r w:rsidR="00A11735" w:rsidRPr="00D55644">
        <w:rPr>
          <w:sz w:val="26"/>
          <w:szCs w:val="26"/>
        </w:rPr>
        <w:t xml:space="preserve">would obligate </w:t>
      </w:r>
      <w:r w:rsidRPr="00D55644">
        <w:rPr>
          <w:sz w:val="26"/>
          <w:szCs w:val="26"/>
        </w:rPr>
        <w:t xml:space="preserve">the EDC to provide generation service to that customer.  </w:t>
      </w:r>
      <w:r w:rsidR="00A11735" w:rsidRPr="00D55644">
        <w:rPr>
          <w:sz w:val="26"/>
          <w:szCs w:val="26"/>
        </w:rPr>
        <w:t>The EDC’s obligation to serve appropriately carries with it the power to terminate service.  Since the EGS does not</w:t>
      </w:r>
      <w:r w:rsidR="00CC19D2" w:rsidRPr="00D55644">
        <w:rPr>
          <w:sz w:val="26"/>
          <w:szCs w:val="26"/>
        </w:rPr>
        <w:t xml:space="preserve"> have that obligation, we find </w:t>
      </w:r>
      <w:r w:rsidR="007D4A8A">
        <w:rPr>
          <w:sz w:val="26"/>
          <w:szCs w:val="26"/>
        </w:rPr>
        <w:t>an EGS has less</w:t>
      </w:r>
      <w:r w:rsidR="00CC19D2" w:rsidRPr="00D55644">
        <w:rPr>
          <w:sz w:val="26"/>
          <w:szCs w:val="26"/>
        </w:rPr>
        <w:t xml:space="preserve"> </w:t>
      </w:r>
      <w:r w:rsidR="00A11735" w:rsidRPr="00D55644">
        <w:rPr>
          <w:sz w:val="26"/>
          <w:szCs w:val="26"/>
        </w:rPr>
        <w:t xml:space="preserve">justification for it to have the power </w:t>
      </w:r>
      <w:r w:rsidR="00755F0E" w:rsidRPr="00D55644">
        <w:rPr>
          <w:sz w:val="26"/>
          <w:szCs w:val="26"/>
        </w:rPr>
        <w:t>to</w:t>
      </w:r>
      <w:r w:rsidR="00A11735" w:rsidRPr="00D55644">
        <w:rPr>
          <w:sz w:val="26"/>
          <w:szCs w:val="26"/>
        </w:rPr>
        <w:t xml:space="preserve"> terminat</w:t>
      </w:r>
      <w:r w:rsidR="00755F0E" w:rsidRPr="00D55644">
        <w:rPr>
          <w:sz w:val="26"/>
          <w:szCs w:val="26"/>
        </w:rPr>
        <w:t>e service</w:t>
      </w:r>
      <w:r w:rsidR="00A11735" w:rsidRPr="00D55644">
        <w:rPr>
          <w:sz w:val="26"/>
          <w:szCs w:val="26"/>
        </w:rPr>
        <w:t>.</w:t>
      </w:r>
      <w:r w:rsidR="00755F0E" w:rsidRPr="00D55644">
        <w:rPr>
          <w:sz w:val="26"/>
          <w:szCs w:val="26"/>
        </w:rPr>
        <w:t xml:space="preserve">  While the Code</w:t>
      </w:r>
      <w:r w:rsidR="00755F0E" w:rsidRPr="00D55644">
        <w:rPr>
          <w:rStyle w:val="FootnoteReference"/>
          <w:sz w:val="26"/>
          <w:szCs w:val="26"/>
        </w:rPr>
        <w:footnoteReference w:id="74"/>
      </w:r>
      <w:r w:rsidR="00755F0E" w:rsidRPr="00D55644">
        <w:rPr>
          <w:sz w:val="26"/>
          <w:szCs w:val="26"/>
        </w:rPr>
        <w:t xml:space="preserve"> and regulations</w:t>
      </w:r>
      <w:r w:rsidR="00755F0E" w:rsidRPr="00D55644">
        <w:rPr>
          <w:rStyle w:val="FootnoteReference"/>
          <w:sz w:val="26"/>
          <w:szCs w:val="26"/>
        </w:rPr>
        <w:footnoteReference w:id="75"/>
      </w:r>
      <w:r w:rsidR="00755F0E" w:rsidRPr="00D55644">
        <w:rPr>
          <w:sz w:val="26"/>
          <w:szCs w:val="26"/>
        </w:rPr>
        <w:t xml:space="preserve"> permit the Commission to identify a supplier as the default service provider for any given service territory or for specific customer classes, NRG has not proposed to take on that role in this Petition.</w:t>
      </w:r>
    </w:p>
    <w:p w14:paraId="1F6F46D0" w14:textId="77777777" w:rsidR="00706011" w:rsidRPr="00D55644" w:rsidRDefault="00706011" w:rsidP="006A2DFB">
      <w:pPr>
        <w:spacing w:line="360" w:lineRule="auto"/>
        <w:rPr>
          <w:sz w:val="26"/>
          <w:szCs w:val="26"/>
        </w:rPr>
      </w:pPr>
    </w:p>
    <w:p w14:paraId="0AFC5DAD" w14:textId="759AE405" w:rsidR="0010242F" w:rsidRPr="00D55644" w:rsidRDefault="0010242F" w:rsidP="006A2DFB">
      <w:pPr>
        <w:spacing w:line="360" w:lineRule="auto"/>
        <w:rPr>
          <w:sz w:val="26"/>
          <w:szCs w:val="26"/>
        </w:rPr>
      </w:pPr>
      <w:r w:rsidRPr="00D55644">
        <w:rPr>
          <w:sz w:val="26"/>
          <w:szCs w:val="26"/>
        </w:rPr>
        <w:tab/>
      </w:r>
      <w:r w:rsidR="00A17620">
        <w:rPr>
          <w:sz w:val="26"/>
          <w:szCs w:val="26"/>
        </w:rPr>
        <w:t>T</w:t>
      </w:r>
      <w:r w:rsidR="00B843FB">
        <w:rPr>
          <w:sz w:val="26"/>
          <w:szCs w:val="26"/>
        </w:rPr>
        <w:t>he</w:t>
      </w:r>
      <w:r w:rsidR="00A17620">
        <w:rPr>
          <w:sz w:val="26"/>
          <w:szCs w:val="26"/>
        </w:rPr>
        <w:t xml:space="preserve"> </w:t>
      </w:r>
      <w:r w:rsidR="00B843FB">
        <w:rPr>
          <w:sz w:val="26"/>
          <w:szCs w:val="26"/>
        </w:rPr>
        <w:t xml:space="preserve">provisions of Chapter 14 and Section </w:t>
      </w:r>
      <w:r w:rsidR="000A3FB6">
        <w:rPr>
          <w:sz w:val="26"/>
          <w:szCs w:val="26"/>
        </w:rPr>
        <w:t xml:space="preserve">2807(d) make clear </w:t>
      </w:r>
      <w:r w:rsidR="00364C2E">
        <w:rPr>
          <w:sz w:val="26"/>
          <w:szCs w:val="26"/>
        </w:rPr>
        <w:t xml:space="preserve">that </w:t>
      </w:r>
      <w:r w:rsidR="000A3FB6">
        <w:rPr>
          <w:sz w:val="26"/>
          <w:szCs w:val="26"/>
        </w:rPr>
        <w:t>the consumer protection function</w:t>
      </w:r>
      <w:r w:rsidR="00A17620">
        <w:rPr>
          <w:sz w:val="26"/>
          <w:szCs w:val="26"/>
        </w:rPr>
        <w:t xml:space="preserve"> remains a core responsibility of the EDC.  </w:t>
      </w:r>
      <w:r w:rsidR="00364C2E">
        <w:rPr>
          <w:sz w:val="26"/>
          <w:szCs w:val="26"/>
        </w:rPr>
        <w:t>Under Section 2807(d), consumer protection and customer service are among the duties that are allocated to EDCs.  66 Pa. C.S. § 2807(d).  And e</w:t>
      </w:r>
      <w:r w:rsidR="00A17620">
        <w:rPr>
          <w:sz w:val="26"/>
          <w:szCs w:val="26"/>
        </w:rPr>
        <w:t xml:space="preserve">ach of the key </w:t>
      </w:r>
      <w:r w:rsidR="00364C2E">
        <w:rPr>
          <w:sz w:val="26"/>
          <w:szCs w:val="26"/>
        </w:rPr>
        <w:t>provisions</w:t>
      </w:r>
      <w:r w:rsidR="00A17620">
        <w:rPr>
          <w:sz w:val="26"/>
          <w:szCs w:val="26"/>
        </w:rPr>
        <w:t xml:space="preserve"> in Chapter 14 regarding the connection, termination and reconnection of service are obligation</w:t>
      </w:r>
      <w:r w:rsidR="00364C2E">
        <w:rPr>
          <w:sz w:val="26"/>
          <w:szCs w:val="26"/>
        </w:rPr>
        <w:t>s</w:t>
      </w:r>
      <w:r w:rsidR="00A17620">
        <w:rPr>
          <w:sz w:val="26"/>
          <w:szCs w:val="26"/>
        </w:rPr>
        <w:t xml:space="preserve"> placed on </w:t>
      </w:r>
      <w:r w:rsidR="00364C2E">
        <w:rPr>
          <w:sz w:val="26"/>
          <w:szCs w:val="26"/>
        </w:rPr>
        <w:t>public utilities.</w:t>
      </w:r>
      <w:r w:rsidR="00A17620">
        <w:rPr>
          <w:sz w:val="26"/>
          <w:szCs w:val="26"/>
        </w:rPr>
        <w:t xml:space="preserve">  </w:t>
      </w:r>
      <w:r w:rsidR="00364C2E">
        <w:rPr>
          <w:sz w:val="26"/>
          <w:szCs w:val="26"/>
        </w:rPr>
        <w:t>66 Pa. C.S. §§ 1404, 1405, 1406 and 1407.</w:t>
      </w:r>
      <w:r w:rsidR="00F31C2F">
        <w:rPr>
          <w:rStyle w:val="FootnoteReference"/>
          <w:sz w:val="26"/>
          <w:szCs w:val="26"/>
        </w:rPr>
        <w:footnoteReference w:id="76"/>
      </w:r>
      <w:r w:rsidR="00364C2E">
        <w:rPr>
          <w:sz w:val="26"/>
          <w:szCs w:val="26"/>
        </w:rPr>
        <w:t xml:space="preserve">  </w:t>
      </w:r>
      <w:r w:rsidR="00A17620">
        <w:rPr>
          <w:sz w:val="26"/>
          <w:szCs w:val="26"/>
        </w:rPr>
        <w:t>And just as an EDC may not delegate it</w:t>
      </w:r>
      <w:r w:rsidR="000E6410">
        <w:rPr>
          <w:sz w:val="26"/>
          <w:szCs w:val="26"/>
        </w:rPr>
        <w:t>s</w:t>
      </w:r>
      <w:r w:rsidR="00A17620">
        <w:rPr>
          <w:sz w:val="26"/>
          <w:szCs w:val="26"/>
        </w:rPr>
        <w:t xml:space="preserve"> statutory obligation to</w:t>
      </w:r>
      <w:r w:rsidR="00E8258D">
        <w:rPr>
          <w:sz w:val="26"/>
          <w:szCs w:val="26"/>
        </w:rPr>
        <w:t xml:space="preserve"> offer</w:t>
      </w:r>
      <w:r w:rsidR="00A17620">
        <w:rPr>
          <w:sz w:val="26"/>
          <w:szCs w:val="26"/>
        </w:rPr>
        <w:t xml:space="preserve"> time-of-use rates</w:t>
      </w:r>
      <w:r w:rsidR="00364C2E">
        <w:rPr>
          <w:sz w:val="26"/>
          <w:szCs w:val="26"/>
        </w:rPr>
        <w:t xml:space="preserve"> to third-parties</w:t>
      </w:r>
      <w:r w:rsidR="00364C2E">
        <w:rPr>
          <w:rStyle w:val="FootnoteReference"/>
          <w:sz w:val="26"/>
          <w:szCs w:val="26"/>
        </w:rPr>
        <w:footnoteReference w:id="77"/>
      </w:r>
      <w:r w:rsidR="00A17620">
        <w:rPr>
          <w:sz w:val="26"/>
          <w:szCs w:val="26"/>
        </w:rPr>
        <w:t>, the EDC may not delegate it</w:t>
      </w:r>
      <w:r w:rsidR="00632F8B">
        <w:rPr>
          <w:sz w:val="26"/>
          <w:szCs w:val="26"/>
        </w:rPr>
        <w:t>s</w:t>
      </w:r>
      <w:r w:rsidR="00A17620">
        <w:rPr>
          <w:sz w:val="26"/>
          <w:szCs w:val="26"/>
        </w:rPr>
        <w:t xml:space="preserve"> consumer protection obligations to EGS firms, especially as to the connection, termination and reconnection of electric service. </w:t>
      </w:r>
      <w:r w:rsidR="00364C2E">
        <w:rPr>
          <w:sz w:val="26"/>
          <w:szCs w:val="26"/>
        </w:rPr>
        <w:t xml:space="preserve"> Moreover, in the Commission’s judgment, adequate protection against an unjust, unreasonable or erroneous termination of electric service is the ultimate metric for consumer protection under the Public Utility Code.</w:t>
      </w:r>
    </w:p>
    <w:p w14:paraId="0EA26D99" w14:textId="77777777" w:rsidR="0010242F" w:rsidRPr="00D55644" w:rsidRDefault="0010242F" w:rsidP="006A2DFB">
      <w:pPr>
        <w:spacing w:line="360" w:lineRule="auto"/>
        <w:rPr>
          <w:sz w:val="26"/>
          <w:szCs w:val="26"/>
        </w:rPr>
      </w:pPr>
    </w:p>
    <w:p w14:paraId="08533F75" w14:textId="13C450FE" w:rsidR="00706011" w:rsidRPr="00D55644" w:rsidRDefault="00706011" w:rsidP="006A2DFB">
      <w:pPr>
        <w:spacing w:line="360" w:lineRule="auto"/>
        <w:rPr>
          <w:sz w:val="26"/>
          <w:szCs w:val="26"/>
        </w:rPr>
      </w:pPr>
      <w:r w:rsidRPr="00D55644">
        <w:rPr>
          <w:sz w:val="26"/>
          <w:szCs w:val="26"/>
        </w:rPr>
        <w:tab/>
        <w:t xml:space="preserve">The Commission </w:t>
      </w:r>
      <w:r w:rsidR="00C04441" w:rsidRPr="00D55644">
        <w:rPr>
          <w:sz w:val="26"/>
          <w:szCs w:val="26"/>
        </w:rPr>
        <w:t>finds that</w:t>
      </w:r>
      <w:r w:rsidRPr="00D55644">
        <w:rPr>
          <w:sz w:val="26"/>
          <w:szCs w:val="26"/>
        </w:rPr>
        <w:t xml:space="preserve"> NRG’s proposal to permit EGSs offering SCB to terminate a customer’s electric service</w:t>
      </w:r>
      <w:r w:rsidR="00C04441" w:rsidRPr="00D55644">
        <w:rPr>
          <w:sz w:val="26"/>
          <w:szCs w:val="26"/>
        </w:rPr>
        <w:t xml:space="preserve"> is not in the public interest</w:t>
      </w:r>
      <w:r w:rsidRPr="00D55644">
        <w:rPr>
          <w:sz w:val="26"/>
          <w:szCs w:val="26"/>
        </w:rPr>
        <w:t xml:space="preserve">.  NRG’s proposal regarding the power of EGSs to terminate service—given the outstanding issues it does not adequately address and the risk of improper termination of service or delay in reconnection that it carries—does not sufficiently protect Pennsylvania’s electric consumers from harm.  </w:t>
      </w:r>
      <w:r w:rsidR="00E37D59" w:rsidRPr="00D55644">
        <w:rPr>
          <w:sz w:val="26"/>
          <w:szCs w:val="26"/>
        </w:rPr>
        <w:t xml:space="preserve">Finally, NRG’s </w:t>
      </w:r>
      <w:r w:rsidR="001209EC">
        <w:rPr>
          <w:sz w:val="26"/>
          <w:szCs w:val="26"/>
        </w:rPr>
        <w:t xml:space="preserve">specific </w:t>
      </w:r>
      <w:r w:rsidR="00E37D59" w:rsidRPr="00D55644">
        <w:rPr>
          <w:sz w:val="26"/>
          <w:szCs w:val="26"/>
        </w:rPr>
        <w:t>proposal does not comply with Chapter 14 of the Public Utility Code or Chapter 56 of the Commission’s regulations.</w:t>
      </w:r>
    </w:p>
    <w:p w14:paraId="7CB619CE" w14:textId="77777777" w:rsidR="00BB6DD8" w:rsidRPr="00D55644" w:rsidRDefault="00BB6DD8" w:rsidP="006A2DFB">
      <w:pPr>
        <w:spacing w:line="360" w:lineRule="auto"/>
        <w:rPr>
          <w:sz w:val="26"/>
          <w:szCs w:val="26"/>
        </w:rPr>
      </w:pPr>
    </w:p>
    <w:p w14:paraId="7108FDC7" w14:textId="77777777" w:rsidR="0007169A" w:rsidRPr="00580664" w:rsidRDefault="006C5132" w:rsidP="006C5132">
      <w:pPr>
        <w:spacing w:line="360" w:lineRule="auto"/>
        <w:rPr>
          <w:b/>
          <w:sz w:val="26"/>
          <w:szCs w:val="26"/>
        </w:rPr>
      </w:pPr>
      <w:r>
        <w:rPr>
          <w:b/>
          <w:sz w:val="26"/>
          <w:szCs w:val="26"/>
        </w:rPr>
        <w:t>B</w:t>
      </w:r>
      <w:r w:rsidR="005E266A" w:rsidRPr="00580664">
        <w:rPr>
          <w:b/>
          <w:sz w:val="26"/>
          <w:szCs w:val="26"/>
        </w:rPr>
        <w:t>.</w:t>
      </w:r>
      <w:r w:rsidR="005E266A" w:rsidRPr="00580664">
        <w:rPr>
          <w:b/>
          <w:sz w:val="26"/>
          <w:szCs w:val="26"/>
        </w:rPr>
        <w:tab/>
        <w:t>Block Mechanism</w:t>
      </w:r>
    </w:p>
    <w:p w14:paraId="00FCA492" w14:textId="77777777" w:rsidR="005E266A" w:rsidRPr="00580664" w:rsidRDefault="009D2420" w:rsidP="006C5132">
      <w:pPr>
        <w:spacing w:line="360" w:lineRule="auto"/>
        <w:ind w:left="720"/>
        <w:rPr>
          <w:b/>
          <w:sz w:val="26"/>
          <w:szCs w:val="26"/>
        </w:rPr>
      </w:pPr>
      <w:r w:rsidRPr="00580664">
        <w:rPr>
          <w:b/>
          <w:sz w:val="26"/>
          <w:szCs w:val="26"/>
        </w:rPr>
        <w:t>1</w:t>
      </w:r>
      <w:r w:rsidR="00580664" w:rsidRPr="00580664">
        <w:rPr>
          <w:b/>
          <w:sz w:val="26"/>
          <w:szCs w:val="26"/>
        </w:rPr>
        <w:t>.</w:t>
      </w:r>
      <w:r w:rsidR="00580664" w:rsidRPr="00580664">
        <w:rPr>
          <w:b/>
          <w:sz w:val="26"/>
          <w:szCs w:val="26"/>
        </w:rPr>
        <w:tab/>
      </w:r>
      <w:r w:rsidRPr="00580664">
        <w:rPr>
          <w:b/>
          <w:sz w:val="26"/>
          <w:szCs w:val="26"/>
        </w:rPr>
        <w:t>NRG’s Proposal</w:t>
      </w:r>
    </w:p>
    <w:p w14:paraId="77423074" w14:textId="77777777" w:rsidR="005E266A" w:rsidRPr="00D55644" w:rsidRDefault="00805EE2" w:rsidP="006A2DFB">
      <w:pPr>
        <w:spacing w:line="360" w:lineRule="auto"/>
        <w:rPr>
          <w:sz w:val="26"/>
          <w:szCs w:val="26"/>
        </w:rPr>
      </w:pPr>
      <w:r w:rsidRPr="00D55644">
        <w:rPr>
          <w:sz w:val="26"/>
          <w:szCs w:val="26"/>
        </w:rPr>
        <w:tab/>
      </w:r>
      <w:r w:rsidR="00A22998" w:rsidRPr="00D55644">
        <w:rPr>
          <w:sz w:val="26"/>
          <w:szCs w:val="26"/>
        </w:rPr>
        <w:t>NRG proposes that EGSs offering SCB have the power to block customers</w:t>
      </w:r>
      <w:r w:rsidR="001B7CA4" w:rsidRPr="00D55644">
        <w:rPr>
          <w:sz w:val="26"/>
          <w:szCs w:val="26"/>
        </w:rPr>
        <w:t xml:space="preserve"> who have made</w:t>
      </w:r>
      <w:r w:rsidR="00A22998" w:rsidRPr="00D55644">
        <w:rPr>
          <w:sz w:val="26"/>
          <w:szCs w:val="26"/>
        </w:rPr>
        <w:t xml:space="preserve"> payment arrangements from switching to another supplier or back to the</w:t>
      </w:r>
      <w:r w:rsidR="001B7CA4" w:rsidRPr="00D55644">
        <w:rPr>
          <w:sz w:val="26"/>
          <w:szCs w:val="26"/>
        </w:rPr>
        <w:t>ir</w:t>
      </w:r>
      <w:r w:rsidR="00A22998" w:rsidRPr="00D55644">
        <w:rPr>
          <w:sz w:val="26"/>
          <w:szCs w:val="26"/>
        </w:rPr>
        <w:t xml:space="preserve"> EDC until they have paid their past due bills in full.  NRG cl</w:t>
      </w:r>
      <w:r w:rsidR="001B7CA4" w:rsidRPr="00D55644">
        <w:rPr>
          <w:sz w:val="26"/>
          <w:szCs w:val="26"/>
        </w:rPr>
        <w:t>aims EGSs need that mechanism to ensure that</w:t>
      </w:r>
      <w:r w:rsidR="00A22998" w:rsidRPr="00D55644">
        <w:rPr>
          <w:sz w:val="26"/>
          <w:szCs w:val="26"/>
        </w:rPr>
        <w:t xml:space="preserve"> customers on payment arrangements cannot use their ability to switch suppliers to avoid paying past due charges.</w:t>
      </w:r>
      <w:r w:rsidR="00A22998" w:rsidRPr="00D55644">
        <w:rPr>
          <w:rStyle w:val="FootnoteReference"/>
          <w:sz w:val="26"/>
          <w:szCs w:val="26"/>
        </w:rPr>
        <w:footnoteReference w:id="78"/>
      </w:r>
    </w:p>
    <w:p w14:paraId="4149D3EB" w14:textId="77777777" w:rsidR="009D2420" w:rsidRPr="00D55644" w:rsidRDefault="009D2420" w:rsidP="006A2DFB">
      <w:pPr>
        <w:spacing w:line="360" w:lineRule="auto"/>
        <w:rPr>
          <w:sz w:val="26"/>
          <w:szCs w:val="26"/>
        </w:rPr>
      </w:pPr>
    </w:p>
    <w:p w14:paraId="4853B477" w14:textId="77777777" w:rsidR="009D2420" w:rsidRPr="00580664" w:rsidRDefault="009D2420" w:rsidP="006C5132">
      <w:pPr>
        <w:spacing w:line="360" w:lineRule="auto"/>
        <w:ind w:left="720"/>
        <w:rPr>
          <w:b/>
          <w:sz w:val="26"/>
          <w:szCs w:val="26"/>
        </w:rPr>
      </w:pPr>
      <w:r w:rsidRPr="00580664">
        <w:rPr>
          <w:b/>
          <w:sz w:val="26"/>
          <w:szCs w:val="26"/>
        </w:rPr>
        <w:t>2</w:t>
      </w:r>
      <w:r w:rsidR="00580664" w:rsidRPr="00580664">
        <w:rPr>
          <w:b/>
          <w:sz w:val="26"/>
          <w:szCs w:val="26"/>
        </w:rPr>
        <w:t>.</w:t>
      </w:r>
      <w:r w:rsidR="00580664" w:rsidRPr="00580664">
        <w:rPr>
          <w:b/>
          <w:sz w:val="26"/>
          <w:szCs w:val="26"/>
        </w:rPr>
        <w:tab/>
      </w:r>
      <w:r w:rsidRPr="00580664">
        <w:rPr>
          <w:b/>
          <w:sz w:val="26"/>
          <w:szCs w:val="26"/>
        </w:rPr>
        <w:t>Comments</w:t>
      </w:r>
    </w:p>
    <w:p w14:paraId="4E3F07C1" w14:textId="77777777" w:rsidR="009D2420" w:rsidRPr="00D55644" w:rsidRDefault="00485891" w:rsidP="006A2DFB">
      <w:pPr>
        <w:spacing w:line="360" w:lineRule="auto"/>
        <w:rPr>
          <w:sz w:val="26"/>
          <w:szCs w:val="26"/>
        </w:rPr>
      </w:pPr>
      <w:r w:rsidRPr="00D55644">
        <w:rPr>
          <w:sz w:val="26"/>
          <w:szCs w:val="26"/>
        </w:rPr>
        <w:tab/>
        <w:t xml:space="preserve">CAUSE PA, Calpine, Duquesne, and PECO oppose NRG’s </w:t>
      </w:r>
      <w:r w:rsidR="00E65234" w:rsidRPr="00D55644">
        <w:rPr>
          <w:sz w:val="26"/>
          <w:szCs w:val="26"/>
        </w:rPr>
        <w:t>proposed block mechanism, claiming</w:t>
      </w:r>
      <w:r w:rsidRPr="00D55644">
        <w:rPr>
          <w:sz w:val="26"/>
          <w:szCs w:val="26"/>
        </w:rPr>
        <w:t xml:space="preserve"> it will harm customers and is contrary to the Competition Act’s fundamental principles of customer choice and competition among suppliers.  CAUSE PA and PPL claim that customers on a payment plan will effectively be trapped, unable to take advantage of a better offer that might come along.  PECO further </w:t>
      </w:r>
      <w:r w:rsidR="00E65234" w:rsidRPr="00D55644">
        <w:rPr>
          <w:sz w:val="26"/>
          <w:szCs w:val="26"/>
        </w:rPr>
        <w:t>asserts that it is not clear whether</w:t>
      </w:r>
      <w:r w:rsidRPr="00D55644">
        <w:rPr>
          <w:sz w:val="26"/>
          <w:szCs w:val="26"/>
        </w:rPr>
        <w:t xml:space="preserve"> it is legal to force a customer to stay with a given supplier.</w:t>
      </w:r>
      <w:r w:rsidRPr="00D55644">
        <w:rPr>
          <w:rStyle w:val="FootnoteReference"/>
          <w:sz w:val="26"/>
          <w:szCs w:val="26"/>
        </w:rPr>
        <w:footnoteReference w:id="79"/>
      </w:r>
    </w:p>
    <w:p w14:paraId="63195EBD" w14:textId="77777777" w:rsidR="009D2420" w:rsidRPr="00D55644" w:rsidRDefault="009D2420" w:rsidP="006A2DFB">
      <w:pPr>
        <w:spacing w:line="360" w:lineRule="auto"/>
        <w:rPr>
          <w:sz w:val="26"/>
          <w:szCs w:val="26"/>
        </w:rPr>
      </w:pPr>
    </w:p>
    <w:p w14:paraId="5F545A84" w14:textId="77777777" w:rsidR="009D2420" w:rsidRPr="00580664" w:rsidRDefault="009D2420" w:rsidP="006C5132">
      <w:pPr>
        <w:spacing w:line="360" w:lineRule="auto"/>
        <w:ind w:left="720"/>
        <w:rPr>
          <w:b/>
          <w:sz w:val="26"/>
          <w:szCs w:val="26"/>
        </w:rPr>
      </w:pPr>
      <w:r w:rsidRPr="00580664">
        <w:rPr>
          <w:b/>
          <w:sz w:val="26"/>
          <w:szCs w:val="26"/>
        </w:rPr>
        <w:t>3</w:t>
      </w:r>
      <w:r w:rsidR="00580664" w:rsidRPr="00580664">
        <w:rPr>
          <w:b/>
          <w:sz w:val="26"/>
          <w:szCs w:val="26"/>
        </w:rPr>
        <w:t>.</w:t>
      </w:r>
      <w:r w:rsidR="00580664" w:rsidRPr="00580664">
        <w:rPr>
          <w:b/>
          <w:sz w:val="26"/>
          <w:szCs w:val="26"/>
        </w:rPr>
        <w:tab/>
      </w:r>
      <w:r w:rsidRPr="00580664">
        <w:rPr>
          <w:b/>
          <w:sz w:val="26"/>
          <w:szCs w:val="26"/>
        </w:rPr>
        <w:t>NRG Reply</w:t>
      </w:r>
    </w:p>
    <w:p w14:paraId="42215C56" w14:textId="77777777" w:rsidR="009D2420" w:rsidRPr="00D55644" w:rsidRDefault="00811157" w:rsidP="006A2DFB">
      <w:pPr>
        <w:spacing w:line="360" w:lineRule="auto"/>
        <w:rPr>
          <w:sz w:val="26"/>
          <w:szCs w:val="26"/>
        </w:rPr>
      </w:pPr>
      <w:r w:rsidRPr="00D55644">
        <w:rPr>
          <w:sz w:val="26"/>
          <w:szCs w:val="26"/>
        </w:rPr>
        <w:tab/>
      </w:r>
      <w:r w:rsidR="00B2023E" w:rsidRPr="00D55644">
        <w:rPr>
          <w:sz w:val="26"/>
          <w:szCs w:val="26"/>
        </w:rPr>
        <w:t>Based on these comments, NRG remov</w:t>
      </w:r>
      <w:r w:rsidR="000436EE" w:rsidRPr="00D55644">
        <w:rPr>
          <w:sz w:val="26"/>
          <w:szCs w:val="26"/>
        </w:rPr>
        <w:t>ed the block mechanism from its proposal; how</w:t>
      </w:r>
      <w:r w:rsidR="007A5F1E" w:rsidRPr="00D55644">
        <w:rPr>
          <w:sz w:val="26"/>
          <w:szCs w:val="26"/>
        </w:rPr>
        <w:t>ever, NRG noted that it reserves</w:t>
      </w:r>
      <w:r w:rsidR="000436EE" w:rsidRPr="00D55644">
        <w:rPr>
          <w:sz w:val="26"/>
          <w:szCs w:val="26"/>
        </w:rPr>
        <w:t xml:space="preserve"> the right to reintroduce the mechanism in the future</w:t>
      </w:r>
      <w:r w:rsidR="00B2023E" w:rsidRPr="00D55644">
        <w:rPr>
          <w:sz w:val="26"/>
          <w:szCs w:val="26"/>
        </w:rPr>
        <w:t xml:space="preserve"> should SCB be implemented and</w:t>
      </w:r>
      <w:r w:rsidR="000436EE" w:rsidRPr="00D55644">
        <w:rPr>
          <w:sz w:val="26"/>
          <w:szCs w:val="26"/>
        </w:rPr>
        <w:t xml:space="preserve"> problem</w:t>
      </w:r>
      <w:r w:rsidR="00B2023E" w:rsidRPr="00D55644">
        <w:rPr>
          <w:sz w:val="26"/>
          <w:szCs w:val="26"/>
        </w:rPr>
        <w:t>s</w:t>
      </w:r>
      <w:r w:rsidR="000436EE" w:rsidRPr="00D55644">
        <w:rPr>
          <w:sz w:val="26"/>
          <w:szCs w:val="26"/>
        </w:rPr>
        <w:t xml:space="preserve"> arise with customers switching suppliers to avoid paying past due amounts.</w:t>
      </w:r>
      <w:r w:rsidR="000436EE" w:rsidRPr="00D55644">
        <w:rPr>
          <w:rStyle w:val="FootnoteReference"/>
          <w:sz w:val="26"/>
          <w:szCs w:val="26"/>
        </w:rPr>
        <w:footnoteReference w:id="80"/>
      </w:r>
    </w:p>
    <w:p w14:paraId="14E015AE" w14:textId="77777777" w:rsidR="009D2420" w:rsidRPr="00D55644" w:rsidRDefault="009D2420" w:rsidP="006A2DFB">
      <w:pPr>
        <w:spacing w:line="360" w:lineRule="auto"/>
        <w:rPr>
          <w:sz w:val="26"/>
          <w:szCs w:val="26"/>
        </w:rPr>
      </w:pPr>
    </w:p>
    <w:p w14:paraId="73AC5DCB" w14:textId="77777777" w:rsidR="009D2420" w:rsidRPr="00580664" w:rsidRDefault="009D2420" w:rsidP="006C5132">
      <w:pPr>
        <w:spacing w:line="360" w:lineRule="auto"/>
        <w:ind w:left="720"/>
        <w:rPr>
          <w:b/>
          <w:sz w:val="26"/>
          <w:szCs w:val="26"/>
        </w:rPr>
      </w:pPr>
      <w:r w:rsidRPr="00580664">
        <w:rPr>
          <w:b/>
          <w:sz w:val="26"/>
          <w:szCs w:val="26"/>
        </w:rPr>
        <w:t>4</w:t>
      </w:r>
      <w:r w:rsidR="00580664" w:rsidRPr="00580664">
        <w:rPr>
          <w:b/>
          <w:sz w:val="26"/>
          <w:szCs w:val="26"/>
        </w:rPr>
        <w:t>.</w:t>
      </w:r>
      <w:r w:rsidR="00580664" w:rsidRPr="00580664">
        <w:rPr>
          <w:b/>
          <w:sz w:val="26"/>
          <w:szCs w:val="26"/>
        </w:rPr>
        <w:tab/>
      </w:r>
      <w:r w:rsidRPr="00580664">
        <w:rPr>
          <w:b/>
          <w:sz w:val="26"/>
          <w:szCs w:val="26"/>
        </w:rPr>
        <w:t>Disposition</w:t>
      </w:r>
    </w:p>
    <w:p w14:paraId="36972DAE" w14:textId="40CA50D2" w:rsidR="009D2420" w:rsidRPr="00D55644" w:rsidRDefault="000436EE" w:rsidP="006A2DFB">
      <w:pPr>
        <w:spacing w:line="360" w:lineRule="auto"/>
        <w:rPr>
          <w:sz w:val="26"/>
          <w:szCs w:val="26"/>
        </w:rPr>
      </w:pPr>
      <w:r w:rsidRPr="00D55644">
        <w:rPr>
          <w:sz w:val="26"/>
          <w:szCs w:val="26"/>
        </w:rPr>
        <w:tab/>
      </w:r>
      <w:r w:rsidR="00B53389" w:rsidRPr="00D55644">
        <w:rPr>
          <w:sz w:val="26"/>
          <w:szCs w:val="26"/>
        </w:rPr>
        <w:t>While NRG withdrew the block mechanism from its proposal, the issue is not moot since N</w:t>
      </w:r>
      <w:r w:rsidR="00B375DA" w:rsidRPr="00D55644">
        <w:rPr>
          <w:sz w:val="26"/>
          <w:szCs w:val="26"/>
        </w:rPr>
        <w:t>RG has asserted that it reserves the right</w:t>
      </w:r>
      <w:r w:rsidR="00B53389" w:rsidRPr="00D55644">
        <w:rPr>
          <w:sz w:val="26"/>
          <w:szCs w:val="26"/>
        </w:rPr>
        <w:t xml:space="preserve"> to revis</w:t>
      </w:r>
      <w:r w:rsidR="00B61A36" w:rsidRPr="00D55644">
        <w:rPr>
          <w:sz w:val="26"/>
          <w:szCs w:val="26"/>
        </w:rPr>
        <w:t>it the issue in the future</w:t>
      </w:r>
      <w:r w:rsidR="00B53389" w:rsidRPr="00D55644">
        <w:rPr>
          <w:sz w:val="26"/>
          <w:szCs w:val="26"/>
        </w:rPr>
        <w:t>.  Accordingly, the Commission will address the issue in this proceeding.  N</w:t>
      </w:r>
      <w:r w:rsidR="00B375DA" w:rsidRPr="00D55644">
        <w:rPr>
          <w:sz w:val="26"/>
          <w:szCs w:val="26"/>
        </w:rPr>
        <w:t xml:space="preserve">RG’s proposed block mechanism would </w:t>
      </w:r>
      <w:r w:rsidR="00722225">
        <w:rPr>
          <w:sz w:val="26"/>
          <w:szCs w:val="26"/>
        </w:rPr>
        <w:t xml:space="preserve">potentially </w:t>
      </w:r>
      <w:r w:rsidR="00B375DA" w:rsidRPr="00D55644">
        <w:rPr>
          <w:sz w:val="26"/>
          <w:szCs w:val="26"/>
        </w:rPr>
        <w:t>be</w:t>
      </w:r>
      <w:r w:rsidR="00B53389" w:rsidRPr="00D55644">
        <w:rPr>
          <w:sz w:val="26"/>
          <w:szCs w:val="26"/>
        </w:rPr>
        <w:t xml:space="preserve"> harmful to customers</w:t>
      </w:r>
      <w:r w:rsidR="00B375DA" w:rsidRPr="00D55644">
        <w:rPr>
          <w:sz w:val="26"/>
          <w:szCs w:val="26"/>
        </w:rPr>
        <w:t xml:space="preserve"> and </w:t>
      </w:r>
      <w:r w:rsidR="00B53389" w:rsidRPr="00D55644">
        <w:rPr>
          <w:sz w:val="26"/>
          <w:szCs w:val="26"/>
        </w:rPr>
        <w:t>Pennsylvania’s competitive re</w:t>
      </w:r>
      <w:r w:rsidR="00B375DA" w:rsidRPr="00D55644">
        <w:rPr>
          <w:sz w:val="26"/>
          <w:szCs w:val="26"/>
        </w:rPr>
        <w:t>tail electric market</w:t>
      </w:r>
      <w:r w:rsidR="00694598">
        <w:rPr>
          <w:sz w:val="26"/>
          <w:szCs w:val="26"/>
        </w:rPr>
        <w:t>.</w:t>
      </w:r>
    </w:p>
    <w:p w14:paraId="60C04CA4" w14:textId="77777777" w:rsidR="00DF2208" w:rsidRPr="00D55644" w:rsidRDefault="00DF2208" w:rsidP="006A2DFB">
      <w:pPr>
        <w:spacing w:line="360" w:lineRule="auto"/>
        <w:rPr>
          <w:sz w:val="26"/>
          <w:szCs w:val="26"/>
        </w:rPr>
      </w:pPr>
    </w:p>
    <w:p w14:paraId="4C492703" w14:textId="77777777" w:rsidR="00DF2208" w:rsidRPr="00D55644" w:rsidRDefault="00DF2208" w:rsidP="006A2DFB">
      <w:pPr>
        <w:spacing w:line="360" w:lineRule="auto"/>
        <w:rPr>
          <w:sz w:val="26"/>
          <w:szCs w:val="26"/>
        </w:rPr>
      </w:pPr>
      <w:r w:rsidRPr="00D55644">
        <w:rPr>
          <w:sz w:val="26"/>
          <w:szCs w:val="26"/>
        </w:rPr>
        <w:tab/>
        <w:t>The Commission agrees with CAUSE PA and PPL that NRG’s block mechanism would harm Pennsylvania’s residential electric consumers.  It would effectively trap consumers in a relationship with their current supplier.  These customers—likely low-income customers</w:t>
      </w:r>
      <w:r w:rsidR="00342090" w:rsidRPr="00D55644">
        <w:rPr>
          <w:sz w:val="26"/>
          <w:szCs w:val="26"/>
        </w:rPr>
        <w:t xml:space="preserve"> who benefit most from having</w:t>
      </w:r>
      <w:r w:rsidRPr="00D55644">
        <w:rPr>
          <w:sz w:val="26"/>
          <w:szCs w:val="26"/>
        </w:rPr>
        <w:t xml:space="preserve"> the ability to switch suppliers</w:t>
      </w:r>
      <w:r w:rsidR="00A065EB" w:rsidRPr="00D55644">
        <w:rPr>
          <w:sz w:val="26"/>
          <w:szCs w:val="26"/>
        </w:rPr>
        <w:t>—</w:t>
      </w:r>
      <w:r w:rsidRPr="00D55644">
        <w:rPr>
          <w:sz w:val="26"/>
          <w:szCs w:val="26"/>
        </w:rPr>
        <w:t>would not be able</w:t>
      </w:r>
      <w:r w:rsidR="00452522" w:rsidRPr="00D55644">
        <w:rPr>
          <w:sz w:val="26"/>
          <w:szCs w:val="26"/>
        </w:rPr>
        <w:t xml:space="preserve"> take advantage of</w:t>
      </w:r>
      <w:r w:rsidR="008A3D75" w:rsidRPr="00D55644">
        <w:rPr>
          <w:sz w:val="26"/>
          <w:szCs w:val="26"/>
        </w:rPr>
        <w:t xml:space="preserve"> lower cost</w:t>
      </w:r>
      <w:r w:rsidRPr="00D55644">
        <w:rPr>
          <w:sz w:val="26"/>
          <w:szCs w:val="26"/>
        </w:rPr>
        <w:t xml:space="preserve"> offer</w:t>
      </w:r>
      <w:r w:rsidR="00452522" w:rsidRPr="00D55644">
        <w:rPr>
          <w:sz w:val="26"/>
          <w:szCs w:val="26"/>
        </w:rPr>
        <w:t>s</w:t>
      </w:r>
      <w:r w:rsidRPr="00D55644">
        <w:rPr>
          <w:sz w:val="26"/>
          <w:szCs w:val="26"/>
        </w:rPr>
        <w:t>.</w:t>
      </w:r>
    </w:p>
    <w:p w14:paraId="2D6A8C76" w14:textId="77777777" w:rsidR="003527A9" w:rsidRPr="00D55644" w:rsidRDefault="003527A9" w:rsidP="006A2DFB">
      <w:pPr>
        <w:spacing w:line="360" w:lineRule="auto"/>
        <w:rPr>
          <w:sz w:val="26"/>
          <w:szCs w:val="26"/>
        </w:rPr>
      </w:pPr>
    </w:p>
    <w:p w14:paraId="6B9B53B2" w14:textId="77777777" w:rsidR="003527A9" w:rsidRPr="00D55644" w:rsidRDefault="003527A9" w:rsidP="006A2DFB">
      <w:pPr>
        <w:spacing w:line="360" w:lineRule="auto"/>
        <w:rPr>
          <w:sz w:val="26"/>
          <w:szCs w:val="26"/>
        </w:rPr>
      </w:pPr>
      <w:r w:rsidRPr="00D55644">
        <w:rPr>
          <w:sz w:val="26"/>
          <w:szCs w:val="26"/>
        </w:rPr>
        <w:tab/>
      </w:r>
      <w:r w:rsidR="00DA61BC" w:rsidRPr="00D55644">
        <w:rPr>
          <w:sz w:val="26"/>
          <w:szCs w:val="26"/>
        </w:rPr>
        <w:t xml:space="preserve">Also, </w:t>
      </w:r>
      <w:r w:rsidRPr="00D55644">
        <w:rPr>
          <w:sz w:val="26"/>
          <w:szCs w:val="26"/>
        </w:rPr>
        <w:t>NRG has not addressed the specifics of how an EGS would treat a blocked customer.  For examp</w:t>
      </w:r>
      <w:r w:rsidR="005A255C" w:rsidRPr="00D55644">
        <w:rPr>
          <w:sz w:val="26"/>
          <w:szCs w:val="26"/>
        </w:rPr>
        <w:t>le, if</w:t>
      </w:r>
      <w:r w:rsidRPr="00D55644">
        <w:rPr>
          <w:sz w:val="26"/>
          <w:szCs w:val="26"/>
        </w:rPr>
        <w:t xml:space="preserve"> customer</w:t>
      </w:r>
      <w:r w:rsidR="005A255C" w:rsidRPr="00D55644">
        <w:rPr>
          <w:sz w:val="26"/>
          <w:szCs w:val="26"/>
        </w:rPr>
        <w:t>s are</w:t>
      </w:r>
      <w:r w:rsidRPr="00D55644">
        <w:rPr>
          <w:sz w:val="26"/>
          <w:szCs w:val="26"/>
        </w:rPr>
        <w:t xml:space="preserve"> forced to remain with an EGS, what rate would </w:t>
      </w:r>
      <w:r w:rsidR="00EB59BC" w:rsidRPr="00D55644">
        <w:rPr>
          <w:sz w:val="26"/>
          <w:szCs w:val="26"/>
        </w:rPr>
        <w:t>t</w:t>
      </w:r>
      <w:r w:rsidRPr="00D55644">
        <w:rPr>
          <w:sz w:val="26"/>
          <w:szCs w:val="26"/>
        </w:rPr>
        <w:t>he</w:t>
      </w:r>
      <w:r w:rsidR="005A255C" w:rsidRPr="00D55644">
        <w:rPr>
          <w:sz w:val="26"/>
          <w:szCs w:val="26"/>
        </w:rPr>
        <w:t>y</w:t>
      </w:r>
      <w:r w:rsidR="00EB59BC" w:rsidRPr="00D55644">
        <w:rPr>
          <w:sz w:val="26"/>
          <w:szCs w:val="26"/>
        </w:rPr>
        <w:t xml:space="preserve"> </w:t>
      </w:r>
      <w:r w:rsidRPr="00D55644">
        <w:rPr>
          <w:sz w:val="26"/>
          <w:szCs w:val="26"/>
        </w:rPr>
        <w:t>pay for generation supply?  Would the customer</w:t>
      </w:r>
      <w:r w:rsidR="005A255C" w:rsidRPr="00D55644">
        <w:rPr>
          <w:sz w:val="26"/>
          <w:szCs w:val="26"/>
        </w:rPr>
        <w:t>s</w:t>
      </w:r>
      <w:r w:rsidRPr="00D55644">
        <w:rPr>
          <w:sz w:val="26"/>
          <w:szCs w:val="26"/>
        </w:rPr>
        <w:t xml:space="preserve"> continue to pay at the original contract rate in effect when </w:t>
      </w:r>
      <w:r w:rsidR="005A255C" w:rsidRPr="00D55644">
        <w:rPr>
          <w:sz w:val="26"/>
          <w:szCs w:val="26"/>
        </w:rPr>
        <w:t>t</w:t>
      </w:r>
      <w:r w:rsidRPr="00D55644">
        <w:rPr>
          <w:sz w:val="26"/>
          <w:szCs w:val="26"/>
        </w:rPr>
        <w:t>he</w:t>
      </w:r>
      <w:r w:rsidR="005A255C" w:rsidRPr="00D55644">
        <w:rPr>
          <w:sz w:val="26"/>
          <w:szCs w:val="26"/>
        </w:rPr>
        <w:t>y</w:t>
      </w:r>
      <w:r w:rsidRPr="00D55644">
        <w:rPr>
          <w:sz w:val="26"/>
          <w:szCs w:val="26"/>
        </w:rPr>
        <w:t xml:space="preserve"> signed up for service?  Would </w:t>
      </w:r>
      <w:r w:rsidR="005A255C" w:rsidRPr="00D55644">
        <w:rPr>
          <w:sz w:val="26"/>
          <w:szCs w:val="26"/>
        </w:rPr>
        <w:t>t</w:t>
      </w:r>
      <w:r w:rsidRPr="00D55644">
        <w:rPr>
          <w:sz w:val="26"/>
          <w:szCs w:val="26"/>
        </w:rPr>
        <w:t>he</w:t>
      </w:r>
      <w:r w:rsidR="005A255C" w:rsidRPr="00D55644">
        <w:rPr>
          <w:sz w:val="26"/>
          <w:szCs w:val="26"/>
        </w:rPr>
        <w:t>y</w:t>
      </w:r>
      <w:r w:rsidRPr="00D55644">
        <w:rPr>
          <w:sz w:val="26"/>
          <w:szCs w:val="26"/>
        </w:rPr>
        <w:t xml:space="preserve"> pay the same rate </w:t>
      </w:r>
      <w:r w:rsidR="005A255C" w:rsidRPr="00D55644">
        <w:rPr>
          <w:sz w:val="26"/>
          <w:szCs w:val="26"/>
        </w:rPr>
        <w:t>t</w:t>
      </w:r>
      <w:r w:rsidRPr="00D55644">
        <w:rPr>
          <w:sz w:val="26"/>
          <w:szCs w:val="26"/>
        </w:rPr>
        <w:t>he</w:t>
      </w:r>
      <w:r w:rsidR="005A255C" w:rsidRPr="00D55644">
        <w:rPr>
          <w:sz w:val="26"/>
          <w:szCs w:val="26"/>
        </w:rPr>
        <w:t>y were</w:t>
      </w:r>
      <w:r w:rsidRPr="00D55644">
        <w:rPr>
          <w:sz w:val="26"/>
          <w:szCs w:val="26"/>
        </w:rPr>
        <w:t xml:space="preserve"> paying when the block went into effect?  Would blocked customers </w:t>
      </w:r>
      <w:r w:rsidR="007A67EB" w:rsidRPr="00D55644">
        <w:rPr>
          <w:sz w:val="26"/>
          <w:szCs w:val="26"/>
        </w:rPr>
        <w:t>pay</w:t>
      </w:r>
      <w:r w:rsidR="00EB59BC" w:rsidRPr="00D55644">
        <w:rPr>
          <w:sz w:val="26"/>
          <w:szCs w:val="26"/>
        </w:rPr>
        <w:t xml:space="preserve"> a fixed or variable rate?  W</w:t>
      </w:r>
      <w:r w:rsidRPr="00D55644">
        <w:rPr>
          <w:sz w:val="26"/>
          <w:szCs w:val="26"/>
        </w:rPr>
        <w:t>ould an EGS include a finance charge in the rate</w:t>
      </w:r>
      <w:r w:rsidR="005A255C" w:rsidRPr="00D55644">
        <w:rPr>
          <w:sz w:val="26"/>
          <w:szCs w:val="26"/>
        </w:rPr>
        <w:t>s</w:t>
      </w:r>
      <w:r w:rsidRPr="00D55644">
        <w:rPr>
          <w:sz w:val="26"/>
          <w:szCs w:val="26"/>
        </w:rPr>
        <w:t xml:space="preserve"> of delinquent customer</w:t>
      </w:r>
      <w:r w:rsidR="005A255C" w:rsidRPr="00D55644">
        <w:rPr>
          <w:sz w:val="26"/>
          <w:szCs w:val="26"/>
        </w:rPr>
        <w:t>s</w:t>
      </w:r>
      <w:r w:rsidRPr="00D55644">
        <w:rPr>
          <w:sz w:val="26"/>
          <w:szCs w:val="26"/>
        </w:rPr>
        <w:t>?  Without more detail from NRG, the Commission can only speculate as to how an EGS would treat delinquent customer</w:t>
      </w:r>
      <w:r w:rsidR="005A255C" w:rsidRPr="00D55644">
        <w:rPr>
          <w:sz w:val="26"/>
          <w:szCs w:val="26"/>
        </w:rPr>
        <w:t>s</w:t>
      </w:r>
      <w:r w:rsidRPr="00D55644">
        <w:rPr>
          <w:sz w:val="26"/>
          <w:szCs w:val="26"/>
        </w:rPr>
        <w:t xml:space="preserve">.  As things stand, it appears that an EGS would be </w:t>
      </w:r>
      <w:r w:rsidR="007A67EB" w:rsidRPr="00D55644">
        <w:rPr>
          <w:sz w:val="26"/>
          <w:szCs w:val="26"/>
        </w:rPr>
        <w:t>given a great deal of latitude and discretion</w:t>
      </w:r>
      <w:r w:rsidRPr="00D55644">
        <w:rPr>
          <w:sz w:val="26"/>
          <w:szCs w:val="26"/>
        </w:rPr>
        <w:t xml:space="preserve">, potentially resulting in customers </w:t>
      </w:r>
      <w:r w:rsidR="005B3962" w:rsidRPr="00D55644">
        <w:rPr>
          <w:sz w:val="26"/>
          <w:szCs w:val="26"/>
        </w:rPr>
        <w:t>being</w:t>
      </w:r>
      <w:r w:rsidR="00EB59BC" w:rsidRPr="00D55644">
        <w:rPr>
          <w:sz w:val="26"/>
          <w:szCs w:val="26"/>
        </w:rPr>
        <w:t xml:space="preserve"> forced</w:t>
      </w:r>
      <w:r w:rsidR="005A255C" w:rsidRPr="00D55644">
        <w:rPr>
          <w:sz w:val="26"/>
          <w:szCs w:val="26"/>
        </w:rPr>
        <w:t xml:space="preserve"> into adhesion contracts</w:t>
      </w:r>
      <w:r w:rsidR="005B3962" w:rsidRPr="00D55644">
        <w:rPr>
          <w:sz w:val="26"/>
          <w:szCs w:val="26"/>
        </w:rPr>
        <w:t xml:space="preserve"> they may not be able to get out of until</w:t>
      </w:r>
      <w:r w:rsidR="005A255C" w:rsidRPr="00D55644">
        <w:rPr>
          <w:sz w:val="26"/>
          <w:szCs w:val="26"/>
        </w:rPr>
        <w:t xml:space="preserve"> their</w:t>
      </w:r>
      <w:r w:rsidR="005B3962" w:rsidRPr="00D55644">
        <w:rPr>
          <w:sz w:val="26"/>
          <w:szCs w:val="26"/>
        </w:rPr>
        <w:t xml:space="preserve"> service is terminated.  The Commission cannot put custome</w:t>
      </w:r>
      <w:r w:rsidR="00EB59BC" w:rsidRPr="00D55644">
        <w:rPr>
          <w:sz w:val="26"/>
          <w:szCs w:val="26"/>
        </w:rPr>
        <w:t xml:space="preserve">rs at such risk </w:t>
      </w:r>
      <w:r w:rsidR="00AD3AAF" w:rsidRPr="00D55644">
        <w:rPr>
          <w:sz w:val="26"/>
          <w:szCs w:val="26"/>
        </w:rPr>
        <w:t>based on</w:t>
      </w:r>
      <w:r w:rsidR="005A255C" w:rsidRPr="00D55644">
        <w:rPr>
          <w:sz w:val="26"/>
          <w:szCs w:val="26"/>
        </w:rPr>
        <w:t xml:space="preserve"> such </w:t>
      </w:r>
      <w:r w:rsidR="005B3962" w:rsidRPr="00D55644">
        <w:rPr>
          <w:sz w:val="26"/>
          <w:szCs w:val="26"/>
        </w:rPr>
        <w:t>a vague proposal.</w:t>
      </w:r>
    </w:p>
    <w:p w14:paraId="40E6C2C8" w14:textId="77777777" w:rsidR="00DF2208" w:rsidRPr="00D55644" w:rsidRDefault="00DF2208" w:rsidP="006A2DFB">
      <w:pPr>
        <w:spacing w:line="360" w:lineRule="auto"/>
        <w:rPr>
          <w:sz w:val="26"/>
          <w:szCs w:val="26"/>
        </w:rPr>
      </w:pPr>
    </w:p>
    <w:p w14:paraId="6FCB5AE1" w14:textId="77777777" w:rsidR="00DF2208" w:rsidRPr="00D55644" w:rsidRDefault="00DF2208" w:rsidP="006A2DFB">
      <w:pPr>
        <w:spacing w:line="360" w:lineRule="auto"/>
        <w:rPr>
          <w:sz w:val="26"/>
          <w:szCs w:val="26"/>
        </w:rPr>
      </w:pPr>
      <w:r w:rsidRPr="00D55644">
        <w:rPr>
          <w:sz w:val="26"/>
          <w:szCs w:val="26"/>
        </w:rPr>
        <w:tab/>
        <w:t xml:space="preserve">Further, the Commission agrees with CAUSE PA, Calpine, Duquesne, and PECO that preventing customers from switching suppliers would frustrate the purpose of the Competition Act, to </w:t>
      </w:r>
      <w:r w:rsidR="00707ED7" w:rsidRPr="00D55644">
        <w:rPr>
          <w:sz w:val="26"/>
          <w:szCs w:val="26"/>
        </w:rPr>
        <w:t>lower electricity costs by allowing customers to choose their EGS.</w:t>
      </w:r>
      <w:r w:rsidR="009133A3" w:rsidRPr="00D55644">
        <w:rPr>
          <w:rStyle w:val="FootnoteReference"/>
          <w:sz w:val="26"/>
          <w:szCs w:val="26"/>
        </w:rPr>
        <w:footnoteReference w:id="81"/>
      </w:r>
    </w:p>
    <w:p w14:paraId="676A5CFA" w14:textId="77777777" w:rsidR="009D2420" w:rsidRPr="00D55644" w:rsidRDefault="00CF77C7" w:rsidP="006A2DFB">
      <w:pPr>
        <w:spacing w:line="360" w:lineRule="auto"/>
        <w:rPr>
          <w:sz w:val="26"/>
          <w:szCs w:val="26"/>
        </w:rPr>
      </w:pPr>
      <w:r w:rsidRPr="00D55644">
        <w:rPr>
          <w:sz w:val="26"/>
          <w:szCs w:val="26"/>
        </w:rPr>
        <w:t xml:space="preserve">By limiting customer choice, NRG’s block mechanism would also harm the competitive retail electric market in general. </w:t>
      </w:r>
      <w:r w:rsidR="00ED3F37" w:rsidRPr="00D55644">
        <w:rPr>
          <w:sz w:val="26"/>
          <w:szCs w:val="26"/>
        </w:rPr>
        <w:t xml:space="preserve"> Taking away a</w:t>
      </w:r>
      <w:r w:rsidRPr="00D55644">
        <w:rPr>
          <w:sz w:val="26"/>
          <w:szCs w:val="26"/>
        </w:rPr>
        <w:t xml:space="preserve"> customer</w:t>
      </w:r>
      <w:r w:rsidR="00ED3F37" w:rsidRPr="00D55644">
        <w:rPr>
          <w:sz w:val="26"/>
          <w:szCs w:val="26"/>
        </w:rPr>
        <w:t>’</w:t>
      </w:r>
      <w:r w:rsidRPr="00D55644">
        <w:rPr>
          <w:sz w:val="26"/>
          <w:szCs w:val="26"/>
        </w:rPr>
        <w:t>s</w:t>
      </w:r>
      <w:r w:rsidR="00ED3F37" w:rsidRPr="00D55644">
        <w:rPr>
          <w:sz w:val="26"/>
          <w:szCs w:val="26"/>
        </w:rPr>
        <w:t xml:space="preserve"> ability to switch suppliers is</w:t>
      </w:r>
      <w:r w:rsidRPr="00D55644">
        <w:rPr>
          <w:sz w:val="26"/>
          <w:szCs w:val="26"/>
        </w:rPr>
        <w:t xml:space="preserve"> </w:t>
      </w:r>
      <w:r w:rsidR="00252DA4" w:rsidRPr="00D55644">
        <w:rPr>
          <w:sz w:val="26"/>
          <w:szCs w:val="26"/>
        </w:rPr>
        <w:t xml:space="preserve">inherently </w:t>
      </w:r>
      <w:r w:rsidRPr="00D55644">
        <w:rPr>
          <w:sz w:val="26"/>
          <w:szCs w:val="26"/>
        </w:rPr>
        <w:t>anti</w:t>
      </w:r>
      <w:r w:rsidR="00ED3F37" w:rsidRPr="00D55644">
        <w:rPr>
          <w:sz w:val="26"/>
          <w:szCs w:val="26"/>
        </w:rPr>
        <w:t xml:space="preserve">competitive and contrary to </w:t>
      </w:r>
      <w:r w:rsidR="00DD3395" w:rsidRPr="00D55644">
        <w:rPr>
          <w:sz w:val="26"/>
          <w:szCs w:val="26"/>
        </w:rPr>
        <w:t>the Competition Act’s goal of lowering electricity costs by introducing competition to Pennsylvania’s retail electric market.</w:t>
      </w:r>
      <w:r w:rsidR="00DD3395" w:rsidRPr="00D55644">
        <w:rPr>
          <w:rStyle w:val="FootnoteReference"/>
          <w:sz w:val="26"/>
          <w:szCs w:val="26"/>
        </w:rPr>
        <w:footnoteReference w:id="82"/>
      </w:r>
    </w:p>
    <w:p w14:paraId="767DCABE" w14:textId="77777777" w:rsidR="00DD3395" w:rsidRPr="00D55644" w:rsidRDefault="00DD3395" w:rsidP="006A2DFB">
      <w:pPr>
        <w:spacing w:line="360" w:lineRule="auto"/>
        <w:rPr>
          <w:sz w:val="26"/>
          <w:szCs w:val="26"/>
        </w:rPr>
      </w:pPr>
    </w:p>
    <w:p w14:paraId="52D7D8C1" w14:textId="5F1EA199" w:rsidR="00DD3395" w:rsidRDefault="00DD3395" w:rsidP="006A2DFB">
      <w:pPr>
        <w:spacing w:line="360" w:lineRule="auto"/>
        <w:rPr>
          <w:sz w:val="26"/>
          <w:szCs w:val="26"/>
        </w:rPr>
      </w:pPr>
      <w:r w:rsidRPr="00D55644">
        <w:rPr>
          <w:sz w:val="26"/>
          <w:szCs w:val="26"/>
        </w:rPr>
        <w:tab/>
      </w:r>
      <w:r w:rsidR="00A065EB" w:rsidRPr="00D55644">
        <w:rPr>
          <w:sz w:val="26"/>
          <w:szCs w:val="26"/>
        </w:rPr>
        <w:t>T</w:t>
      </w:r>
      <w:r w:rsidR="00344C81" w:rsidRPr="00D55644">
        <w:rPr>
          <w:sz w:val="26"/>
          <w:szCs w:val="26"/>
        </w:rPr>
        <w:t xml:space="preserve">he Commission finds that the proposed block mechanism is unnecessary.  </w:t>
      </w:r>
      <w:r w:rsidR="00A065EB" w:rsidRPr="00D55644">
        <w:rPr>
          <w:sz w:val="26"/>
          <w:szCs w:val="26"/>
        </w:rPr>
        <w:t xml:space="preserve">As we discussed above, </w:t>
      </w:r>
      <w:r w:rsidR="00344C81" w:rsidRPr="00D55644">
        <w:rPr>
          <w:sz w:val="26"/>
          <w:szCs w:val="26"/>
        </w:rPr>
        <w:t>EGSs offering SCB</w:t>
      </w:r>
      <w:r w:rsidR="001411BD" w:rsidRPr="00D55644">
        <w:rPr>
          <w:sz w:val="26"/>
          <w:szCs w:val="26"/>
        </w:rPr>
        <w:t xml:space="preserve"> have options for handling delinquent accounts</w:t>
      </w:r>
      <w:r w:rsidR="00252DA4" w:rsidRPr="00D55644">
        <w:rPr>
          <w:sz w:val="26"/>
          <w:szCs w:val="26"/>
        </w:rPr>
        <w:t>, including</w:t>
      </w:r>
      <w:r w:rsidR="00344C81" w:rsidRPr="00D55644">
        <w:rPr>
          <w:sz w:val="26"/>
          <w:szCs w:val="26"/>
        </w:rPr>
        <w:t xml:space="preserve"> turn</w:t>
      </w:r>
      <w:r w:rsidR="00252DA4" w:rsidRPr="00D55644">
        <w:rPr>
          <w:sz w:val="26"/>
          <w:szCs w:val="26"/>
        </w:rPr>
        <w:t>ing them</w:t>
      </w:r>
      <w:r w:rsidR="00344C81" w:rsidRPr="00D55644">
        <w:rPr>
          <w:sz w:val="26"/>
          <w:szCs w:val="26"/>
        </w:rPr>
        <w:t xml:space="preserve"> over </w:t>
      </w:r>
      <w:r w:rsidR="00252DA4" w:rsidRPr="00D55644">
        <w:rPr>
          <w:sz w:val="26"/>
          <w:szCs w:val="26"/>
        </w:rPr>
        <w:t>to collections or suing</w:t>
      </w:r>
      <w:r w:rsidR="00344C81" w:rsidRPr="00D55644">
        <w:rPr>
          <w:sz w:val="26"/>
          <w:szCs w:val="26"/>
        </w:rPr>
        <w:t xml:space="preserve"> delinquent customers for payment</w:t>
      </w:r>
      <w:r w:rsidR="00A065EB" w:rsidRPr="00D55644">
        <w:rPr>
          <w:sz w:val="26"/>
          <w:szCs w:val="26"/>
        </w:rPr>
        <w:t>, as suppliers that offer dual billing do</w:t>
      </w:r>
      <w:r w:rsidR="00344C81" w:rsidRPr="00D55644">
        <w:rPr>
          <w:sz w:val="26"/>
          <w:szCs w:val="26"/>
        </w:rPr>
        <w:t>.</w:t>
      </w:r>
      <w:r w:rsidR="00252DA4" w:rsidRPr="00D55644">
        <w:rPr>
          <w:sz w:val="26"/>
          <w:szCs w:val="26"/>
        </w:rPr>
        <w:t xml:space="preserve">  There is no </w:t>
      </w:r>
      <w:r w:rsidR="006715BA">
        <w:rPr>
          <w:sz w:val="26"/>
          <w:szCs w:val="26"/>
        </w:rPr>
        <w:t xml:space="preserve">evident </w:t>
      </w:r>
      <w:r w:rsidR="00252DA4" w:rsidRPr="00D55644">
        <w:rPr>
          <w:sz w:val="26"/>
          <w:szCs w:val="26"/>
        </w:rPr>
        <w:t>justification for</w:t>
      </w:r>
      <w:r w:rsidR="001411BD" w:rsidRPr="00D55644">
        <w:rPr>
          <w:sz w:val="26"/>
          <w:szCs w:val="26"/>
        </w:rPr>
        <w:t xml:space="preserve"> allow</w:t>
      </w:r>
      <w:r w:rsidR="00252DA4" w:rsidRPr="00D55644">
        <w:rPr>
          <w:sz w:val="26"/>
          <w:szCs w:val="26"/>
        </w:rPr>
        <w:t>ing EGSs</w:t>
      </w:r>
      <w:r w:rsidR="001411BD" w:rsidRPr="00D55644">
        <w:rPr>
          <w:sz w:val="26"/>
          <w:szCs w:val="26"/>
        </w:rPr>
        <w:t xml:space="preserve"> to prevent customers from switching sup</w:t>
      </w:r>
      <w:r w:rsidR="00A065EB" w:rsidRPr="00D55644">
        <w:rPr>
          <w:sz w:val="26"/>
          <w:szCs w:val="26"/>
        </w:rPr>
        <w:t>pliers considering the harm it c</w:t>
      </w:r>
      <w:r w:rsidR="001411BD" w:rsidRPr="00D55644">
        <w:rPr>
          <w:sz w:val="26"/>
          <w:szCs w:val="26"/>
        </w:rPr>
        <w:t>ould do to those customers and the retail electric market in general.</w:t>
      </w:r>
    </w:p>
    <w:p w14:paraId="3B0B0541" w14:textId="77777777" w:rsidR="006405CB" w:rsidRPr="00D55644" w:rsidRDefault="006405CB" w:rsidP="006A2DFB">
      <w:pPr>
        <w:spacing w:line="360" w:lineRule="auto"/>
        <w:rPr>
          <w:sz w:val="26"/>
          <w:szCs w:val="26"/>
        </w:rPr>
      </w:pPr>
    </w:p>
    <w:p w14:paraId="3DA33629" w14:textId="77777777" w:rsidR="00D4061C" w:rsidRPr="00D55644" w:rsidRDefault="00D4061C" w:rsidP="006A2DFB">
      <w:pPr>
        <w:spacing w:line="360" w:lineRule="auto"/>
        <w:rPr>
          <w:sz w:val="26"/>
          <w:szCs w:val="26"/>
        </w:rPr>
      </w:pPr>
      <w:r w:rsidRPr="00D55644">
        <w:rPr>
          <w:sz w:val="26"/>
          <w:szCs w:val="26"/>
        </w:rPr>
        <w:tab/>
        <w:t>In addition, the Commission agrees with PECO that NRG has not adequately addre</w:t>
      </w:r>
      <w:r w:rsidR="00252DA4" w:rsidRPr="00D55644">
        <w:rPr>
          <w:sz w:val="26"/>
          <w:szCs w:val="26"/>
        </w:rPr>
        <w:t>ssed the legal basis for requir</w:t>
      </w:r>
      <w:r w:rsidRPr="00D55644">
        <w:rPr>
          <w:sz w:val="26"/>
          <w:szCs w:val="26"/>
        </w:rPr>
        <w:t>ing a delinquent customer to remain with a supplier.  NRG’s Petition in that regard is not fully developed.  G</w:t>
      </w:r>
      <w:r w:rsidR="00FE10BB" w:rsidRPr="00D55644">
        <w:rPr>
          <w:sz w:val="26"/>
          <w:szCs w:val="26"/>
        </w:rPr>
        <w:t>iven the harm to consumers and the retail electric market in general that would result from adoption of NRG’s block mechanism</w:t>
      </w:r>
      <w:r w:rsidRPr="00D55644">
        <w:rPr>
          <w:sz w:val="26"/>
          <w:szCs w:val="26"/>
        </w:rPr>
        <w:t xml:space="preserve">, it is not in the public interest to allow </w:t>
      </w:r>
      <w:r w:rsidR="00FE10BB" w:rsidRPr="00D55644">
        <w:rPr>
          <w:sz w:val="26"/>
          <w:szCs w:val="26"/>
        </w:rPr>
        <w:t>it</w:t>
      </w:r>
      <w:r w:rsidRPr="00D55644">
        <w:rPr>
          <w:sz w:val="26"/>
          <w:szCs w:val="26"/>
        </w:rPr>
        <w:t>.</w:t>
      </w:r>
    </w:p>
    <w:p w14:paraId="396198C3" w14:textId="77777777" w:rsidR="00D4061C" w:rsidRPr="00D55644" w:rsidRDefault="00D4061C" w:rsidP="006A2DFB">
      <w:pPr>
        <w:spacing w:line="360" w:lineRule="auto"/>
        <w:rPr>
          <w:sz w:val="26"/>
          <w:szCs w:val="26"/>
        </w:rPr>
      </w:pPr>
    </w:p>
    <w:p w14:paraId="702E50D2" w14:textId="3947C440" w:rsidR="00D85CBB" w:rsidRPr="00D55644" w:rsidRDefault="00D85CBB" w:rsidP="006A2DFB">
      <w:pPr>
        <w:spacing w:line="360" w:lineRule="auto"/>
        <w:rPr>
          <w:sz w:val="26"/>
          <w:szCs w:val="26"/>
        </w:rPr>
      </w:pPr>
      <w:r w:rsidRPr="00D55644">
        <w:rPr>
          <w:sz w:val="26"/>
          <w:szCs w:val="26"/>
        </w:rPr>
        <w:tab/>
        <w:t xml:space="preserve">The Commission </w:t>
      </w:r>
      <w:r w:rsidR="00D834FF" w:rsidRPr="00D55644">
        <w:rPr>
          <w:sz w:val="26"/>
          <w:szCs w:val="26"/>
        </w:rPr>
        <w:t>finds that</w:t>
      </w:r>
      <w:r w:rsidRPr="00D55644">
        <w:rPr>
          <w:sz w:val="26"/>
          <w:szCs w:val="26"/>
        </w:rPr>
        <w:t xml:space="preserve"> NRG’s proposal to per</w:t>
      </w:r>
      <w:r w:rsidR="00D4061C" w:rsidRPr="00D55644">
        <w:rPr>
          <w:sz w:val="26"/>
          <w:szCs w:val="26"/>
        </w:rPr>
        <w:t>mit EGSs offering SCB to block delinquent customers from switching suppliers</w:t>
      </w:r>
      <w:r w:rsidR="00381C45" w:rsidRPr="00D55644">
        <w:rPr>
          <w:sz w:val="26"/>
          <w:szCs w:val="26"/>
        </w:rPr>
        <w:t xml:space="preserve"> has not been fully developed and</w:t>
      </w:r>
      <w:r w:rsidR="00D834FF" w:rsidRPr="00D55644">
        <w:rPr>
          <w:sz w:val="26"/>
          <w:szCs w:val="26"/>
        </w:rPr>
        <w:t xml:space="preserve"> is not in the public interest</w:t>
      </w:r>
      <w:r w:rsidR="00441F6C" w:rsidRPr="00D55644">
        <w:rPr>
          <w:sz w:val="26"/>
          <w:szCs w:val="26"/>
        </w:rPr>
        <w:t>.  NRG’s proposed block mechanism</w:t>
      </w:r>
      <w:r w:rsidR="00506828" w:rsidRPr="00D55644">
        <w:rPr>
          <w:sz w:val="26"/>
          <w:szCs w:val="26"/>
        </w:rPr>
        <w:t xml:space="preserve"> would</w:t>
      </w:r>
      <w:r w:rsidRPr="00D55644">
        <w:rPr>
          <w:sz w:val="26"/>
          <w:szCs w:val="26"/>
        </w:rPr>
        <w:t xml:space="preserve"> </w:t>
      </w:r>
      <w:r w:rsidR="00506828" w:rsidRPr="00D55644">
        <w:rPr>
          <w:sz w:val="26"/>
          <w:szCs w:val="26"/>
        </w:rPr>
        <w:t>harm</w:t>
      </w:r>
      <w:r w:rsidRPr="00D55644">
        <w:rPr>
          <w:sz w:val="26"/>
          <w:szCs w:val="26"/>
        </w:rPr>
        <w:t xml:space="preserve"> Pennsylvani</w:t>
      </w:r>
      <w:r w:rsidR="00441F6C" w:rsidRPr="00D55644">
        <w:rPr>
          <w:sz w:val="26"/>
          <w:szCs w:val="26"/>
        </w:rPr>
        <w:t>a’s electric consumers and the competitive retail electric market in general</w:t>
      </w:r>
      <w:r w:rsidRPr="00D55644">
        <w:rPr>
          <w:sz w:val="26"/>
          <w:szCs w:val="26"/>
        </w:rPr>
        <w:t xml:space="preserve">.  Further, it </w:t>
      </w:r>
      <w:r w:rsidR="00B4135F">
        <w:rPr>
          <w:sz w:val="26"/>
          <w:szCs w:val="26"/>
        </w:rPr>
        <w:t>may be</w:t>
      </w:r>
      <w:r w:rsidR="00B4135F" w:rsidRPr="00D55644">
        <w:rPr>
          <w:sz w:val="26"/>
          <w:szCs w:val="26"/>
        </w:rPr>
        <w:t xml:space="preserve"> </w:t>
      </w:r>
      <w:r w:rsidRPr="00D55644">
        <w:rPr>
          <w:sz w:val="26"/>
          <w:szCs w:val="26"/>
        </w:rPr>
        <w:t xml:space="preserve">unnecessary to allow EGSs to </w:t>
      </w:r>
      <w:r w:rsidR="00441F6C" w:rsidRPr="00D55644">
        <w:rPr>
          <w:sz w:val="26"/>
          <w:szCs w:val="26"/>
        </w:rPr>
        <w:t xml:space="preserve">prevent switching by delinquent customers </w:t>
      </w:r>
      <w:r w:rsidRPr="00D55644">
        <w:rPr>
          <w:sz w:val="26"/>
          <w:szCs w:val="26"/>
        </w:rPr>
        <w:t xml:space="preserve">because they </w:t>
      </w:r>
      <w:r w:rsidR="003E3CB8">
        <w:rPr>
          <w:sz w:val="26"/>
          <w:szCs w:val="26"/>
        </w:rPr>
        <w:t xml:space="preserve">may </w:t>
      </w:r>
      <w:r w:rsidRPr="00D55644">
        <w:rPr>
          <w:sz w:val="26"/>
          <w:szCs w:val="26"/>
        </w:rPr>
        <w:t xml:space="preserve">have other viable options to </w:t>
      </w:r>
      <w:r w:rsidR="0053035F" w:rsidRPr="00D55644">
        <w:rPr>
          <w:sz w:val="26"/>
          <w:szCs w:val="26"/>
        </w:rPr>
        <w:t>collect outstanding debts</w:t>
      </w:r>
      <w:r w:rsidRPr="00D55644">
        <w:rPr>
          <w:sz w:val="26"/>
          <w:szCs w:val="26"/>
        </w:rPr>
        <w:t>.</w:t>
      </w:r>
    </w:p>
    <w:p w14:paraId="3BDF7C47" w14:textId="77777777" w:rsidR="00CF77C7" w:rsidRPr="00D55644" w:rsidRDefault="00CF77C7" w:rsidP="006A2DFB">
      <w:pPr>
        <w:spacing w:line="360" w:lineRule="auto"/>
        <w:rPr>
          <w:sz w:val="26"/>
          <w:szCs w:val="26"/>
        </w:rPr>
      </w:pPr>
    </w:p>
    <w:p w14:paraId="07AF9087" w14:textId="77777777" w:rsidR="005E266A" w:rsidRPr="00580664" w:rsidRDefault="005E266A" w:rsidP="006C5132">
      <w:pPr>
        <w:spacing w:line="360" w:lineRule="auto"/>
        <w:rPr>
          <w:b/>
          <w:sz w:val="26"/>
          <w:szCs w:val="26"/>
        </w:rPr>
      </w:pPr>
      <w:r w:rsidRPr="00580664">
        <w:rPr>
          <w:b/>
          <w:sz w:val="26"/>
          <w:szCs w:val="26"/>
        </w:rPr>
        <w:t>C.</w:t>
      </w:r>
      <w:r w:rsidRPr="00580664">
        <w:rPr>
          <w:b/>
          <w:sz w:val="26"/>
          <w:szCs w:val="26"/>
        </w:rPr>
        <w:tab/>
        <w:t>Value-Added Services</w:t>
      </w:r>
      <w:r w:rsidR="00D01523" w:rsidRPr="00580664">
        <w:rPr>
          <w:b/>
          <w:sz w:val="26"/>
          <w:szCs w:val="26"/>
        </w:rPr>
        <w:t xml:space="preserve"> &amp; Low-Income Programs</w:t>
      </w:r>
    </w:p>
    <w:p w14:paraId="7548519F" w14:textId="77777777" w:rsidR="009D2420" w:rsidRPr="00580664" w:rsidRDefault="009D2420" w:rsidP="006C5132">
      <w:pPr>
        <w:spacing w:line="360" w:lineRule="auto"/>
        <w:ind w:left="720"/>
        <w:rPr>
          <w:b/>
          <w:sz w:val="26"/>
          <w:szCs w:val="26"/>
        </w:rPr>
      </w:pPr>
      <w:r w:rsidRPr="00580664">
        <w:rPr>
          <w:b/>
          <w:sz w:val="26"/>
          <w:szCs w:val="26"/>
        </w:rPr>
        <w:t>1</w:t>
      </w:r>
      <w:r w:rsidR="00580664" w:rsidRPr="00580664">
        <w:rPr>
          <w:b/>
          <w:sz w:val="26"/>
          <w:szCs w:val="26"/>
        </w:rPr>
        <w:t>.</w:t>
      </w:r>
      <w:r w:rsidR="00580664" w:rsidRPr="00580664">
        <w:rPr>
          <w:b/>
          <w:sz w:val="26"/>
          <w:szCs w:val="26"/>
        </w:rPr>
        <w:tab/>
      </w:r>
      <w:r w:rsidRPr="00580664">
        <w:rPr>
          <w:b/>
          <w:sz w:val="26"/>
          <w:szCs w:val="26"/>
        </w:rPr>
        <w:t>NRG’s Proposal</w:t>
      </w:r>
    </w:p>
    <w:p w14:paraId="72704502" w14:textId="1D376505" w:rsidR="009D2420" w:rsidRPr="00D55644" w:rsidRDefault="00AA2B5D" w:rsidP="005E266A">
      <w:pPr>
        <w:spacing w:line="360" w:lineRule="auto"/>
        <w:rPr>
          <w:sz w:val="26"/>
          <w:szCs w:val="26"/>
        </w:rPr>
      </w:pPr>
      <w:r w:rsidRPr="00D55644">
        <w:rPr>
          <w:sz w:val="26"/>
          <w:szCs w:val="26"/>
        </w:rPr>
        <w:tab/>
        <w:t xml:space="preserve">With implementation of SCB, NRG proposes to offer </w:t>
      </w:r>
      <w:r w:rsidR="0014064D">
        <w:rPr>
          <w:sz w:val="26"/>
          <w:szCs w:val="26"/>
        </w:rPr>
        <w:t xml:space="preserve">VAS </w:t>
      </w:r>
      <w:r w:rsidRPr="00D55644">
        <w:rPr>
          <w:sz w:val="26"/>
          <w:szCs w:val="26"/>
        </w:rPr>
        <w:t>to customers in addition to its generation services.  VAS offered by EGSs could include</w:t>
      </w:r>
      <w:r w:rsidR="00A33459" w:rsidRPr="00D55644">
        <w:rPr>
          <w:sz w:val="26"/>
          <w:szCs w:val="26"/>
        </w:rPr>
        <w:t xml:space="preserve"> </w:t>
      </w:r>
      <w:r w:rsidRPr="00D55644">
        <w:rPr>
          <w:sz w:val="26"/>
          <w:szCs w:val="26"/>
        </w:rPr>
        <w:t>home security, HVAC maintenance, surge protection, and other services associated with smart meter deployment that will allow their customers to become</w:t>
      </w:r>
      <w:r w:rsidR="007D04B3">
        <w:rPr>
          <w:sz w:val="26"/>
          <w:szCs w:val="26"/>
        </w:rPr>
        <w:t xml:space="preserve"> </w:t>
      </w:r>
      <w:r w:rsidRPr="00D55644">
        <w:rPr>
          <w:sz w:val="26"/>
          <w:szCs w:val="26"/>
        </w:rPr>
        <w:t>smarter energy consumers.</w:t>
      </w:r>
      <w:r w:rsidR="00936E65" w:rsidRPr="00D55644">
        <w:rPr>
          <w:rStyle w:val="FootnoteReference"/>
          <w:sz w:val="26"/>
          <w:szCs w:val="26"/>
        </w:rPr>
        <w:footnoteReference w:id="83"/>
      </w:r>
    </w:p>
    <w:p w14:paraId="58144E7E" w14:textId="77777777" w:rsidR="00C626CA" w:rsidRPr="00D55644" w:rsidRDefault="00C626CA" w:rsidP="005E266A">
      <w:pPr>
        <w:spacing w:line="360" w:lineRule="auto"/>
        <w:rPr>
          <w:sz w:val="26"/>
          <w:szCs w:val="26"/>
        </w:rPr>
      </w:pPr>
    </w:p>
    <w:p w14:paraId="1E141FDA" w14:textId="77777777" w:rsidR="00936E65" w:rsidRPr="00D55644" w:rsidRDefault="00C626CA" w:rsidP="005E266A">
      <w:pPr>
        <w:spacing w:line="360" w:lineRule="auto"/>
        <w:rPr>
          <w:sz w:val="26"/>
          <w:szCs w:val="26"/>
        </w:rPr>
      </w:pPr>
      <w:r w:rsidRPr="00D55644">
        <w:rPr>
          <w:sz w:val="26"/>
          <w:szCs w:val="26"/>
        </w:rPr>
        <w:tab/>
        <w:t xml:space="preserve">According to NRG, UCB limits the ability of EGSs to offer VAS because they cannot bill for those products on a UCB bill.  </w:t>
      </w:r>
      <w:r w:rsidR="00541710" w:rsidRPr="00D55644">
        <w:rPr>
          <w:sz w:val="26"/>
          <w:szCs w:val="26"/>
        </w:rPr>
        <w:t>The result is that consumers are denied the opportunity to benefit from the innovative products and services EGSs could otherwise</w:t>
      </w:r>
      <w:r w:rsidR="00936E65" w:rsidRPr="00D55644">
        <w:rPr>
          <w:sz w:val="26"/>
          <w:szCs w:val="26"/>
        </w:rPr>
        <w:t xml:space="preserve"> offer.</w:t>
      </w:r>
      <w:r w:rsidR="007B4D62" w:rsidRPr="00D55644">
        <w:rPr>
          <w:sz w:val="26"/>
          <w:szCs w:val="26"/>
        </w:rPr>
        <w:t xml:space="preserve">  </w:t>
      </w:r>
      <w:r w:rsidR="00936E65" w:rsidRPr="00D55644">
        <w:rPr>
          <w:sz w:val="26"/>
          <w:szCs w:val="26"/>
        </w:rPr>
        <w:t xml:space="preserve">Implementation of SCB, NRG asserts, </w:t>
      </w:r>
      <w:r w:rsidR="007B4D62" w:rsidRPr="00D55644">
        <w:rPr>
          <w:sz w:val="26"/>
          <w:szCs w:val="26"/>
        </w:rPr>
        <w:t xml:space="preserve">would allow EGSs to bill customers for VAS—along with all basic utility charges—on a single bill.  EGSs would then be able to offer VAS, which </w:t>
      </w:r>
      <w:r w:rsidR="00936E65" w:rsidRPr="00D55644">
        <w:rPr>
          <w:sz w:val="26"/>
          <w:szCs w:val="26"/>
        </w:rPr>
        <w:t>would encourage EGSs</w:t>
      </w:r>
      <w:r w:rsidR="00846411" w:rsidRPr="00D55644">
        <w:rPr>
          <w:sz w:val="26"/>
          <w:szCs w:val="26"/>
        </w:rPr>
        <w:t xml:space="preserve"> to invest in Pennsylvania and</w:t>
      </w:r>
      <w:r w:rsidR="00936E65" w:rsidRPr="00D55644">
        <w:rPr>
          <w:sz w:val="26"/>
          <w:szCs w:val="26"/>
        </w:rPr>
        <w:t xml:space="preserve"> to compete by creating new products and services to offer customers.  Ultimately</w:t>
      </w:r>
      <w:r w:rsidR="007B4D62" w:rsidRPr="00D55644">
        <w:rPr>
          <w:sz w:val="26"/>
          <w:szCs w:val="26"/>
        </w:rPr>
        <w:t>,</w:t>
      </w:r>
      <w:r w:rsidR="008E2EF9" w:rsidRPr="00D55644">
        <w:rPr>
          <w:sz w:val="26"/>
          <w:szCs w:val="26"/>
        </w:rPr>
        <w:t xml:space="preserve"> NRG claims,</w:t>
      </w:r>
      <w:r w:rsidR="00936E65" w:rsidRPr="00D55644">
        <w:rPr>
          <w:sz w:val="26"/>
          <w:szCs w:val="26"/>
        </w:rPr>
        <w:t xml:space="preserve"> that competition</w:t>
      </w:r>
      <w:r w:rsidR="007B4D62" w:rsidRPr="00D55644">
        <w:rPr>
          <w:sz w:val="26"/>
          <w:szCs w:val="26"/>
        </w:rPr>
        <w:t>, and the product and service options it would bring about,</w:t>
      </w:r>
      <w:r w:rsidR="00936E65" w:rsidRPr="00D55644">
        <w:rPr>
          <w:sz w:val="26"/>
          <w:szCs w:val="26"/>
        </w:rPr>
        <w:t xml:space="preserve"> would benefit consumers</w:t>
      </w:r>
      <w:r w:rsidR="007B4D62" w:rsidRPr="00D55644">
        <w:rPr>
          <w:sz w:val="26"/>
          <w:szCs w:val="26"/>
        </w:rPr>
        <w:t xml:space="preserve"> </w:t>
      </w:r>
      <w:r w:rsidR="00936E65" w:rsidRPr="00D55644">
        <w:rPr>
          <w:sz w:val="26"/>
          <w:szCs w:val="26"/>
        </w:rPr>
        <w:t>and Pennsylvania’s retail electric market in general.</w:t>
      </w:r>
      <w:r w:rsidR="007B4D62" w:rsidRPr="00D55644">
        <w:rPr>
          <w:rStyle w:val="FootnoteReference"/>
          <w:sz w:val="26"/>
          <w:szCs w:val="26"/>
        </w:rPr>
        <w:footnoteReference w:id="84"/>
      </w:r>
    </w:p>
    <w:p w14:paraId="0516AD24" w14:textId="77777777" w:rsidR="00CB7ED2" w:rsidRPr="00D55644" w:rsidRDefault="00CB7ED2" w:rsidP="005E266A">
      <w:pPr>
        <w:spacing w:line="360" w:lineRule="auto"/>
        <w:rPr>
          <w:sz w:val="26"/>
          <w:szCs w:val="26"/>
        </w:rPr>
      </w:pPr>
    </w:p>
    <w:p w14:paraId="51FCE15E" w14:textId="77777777" w:rsidR="00CB7ED2" w:rsidRPr="00D55644" w:rsidRDefault="00CB7ED2" w:rsidP="005E266A">
      <w:pPr>
        <w:spacing w:line="360" w:lineRule="auto"/>
        <w:rPr>
          <w:sz w:val="26"/>
          <w:szCs w:val="26"/>
        </w:rPr>
      </w:pPr>
      <w:r w:rsidRPr="00D55644">
        <w:rPr>
          <w:sz w:val="26"/>
          <w:szCs w:val="26"/>
        </w:rPr>
        <w:tab/>
        <w:t>In addition, NRG acknowledges that a customer’s electric service cannot be terminated for nonpayment of those VAS.</w:t>
      </w:r>
      <w:r w:rsidRPr="00D55644">
        <w:rPr>
          <w:rStyle w:val="FootnoteReference"/>
          <w:sz w:val="26"/>
          <w:szCs w:val="26"/>
        </w:rPr>
        <w:footnoteReference w:id="85"/>
      </w:r>
    </w:p>
    <w:p w14:paraId="6D5EC231" w14:textId="77777777" w:rsidR="00501039" w:rsidRPr="00D55644" w:rsidRDefault="00501039" w:rsidP="005E266A">
      <w:pPr>
        <w:spacing w:line="360" w:lineRule="auto"/>
        <w:rPr>
          <w:sz w:val="26"/>
          <w:szCs w:val="26"/>
        </w:rPr>
      </w:pPr>
    </w:p>
    <w:p w14:paraId="674CB2FB" w14:textId="5FBE7361" w:rsidR="00501039" w:rsidRPr="00D55644" w:rsidRDefault="00501039" w:rsidP="005E266A">
      <w:pPr>
        <w:spacing w:line="360" w:lineRule="auto"/>
        <w:rPr>
          <w:sz w:val="26"/>
          <w:szCs w:val="26"/>
        </w:rPr>
      </w:pPr>
      <w:r w:rsidRPr="00D55644">
        <w:rPr>
          <w:sz w:val="26"/>
          <w:szCs w:val="26"/>
        </w:rPr>
        <w:tab/>
      </w:r>
      <w:proofErr w:type="gramStart"/>
      <w:r w:rsidRPr="00D55644">
        <w:rPr>
          <w:sz w:val="26"/>
          <w:szCs w:val="26"/>
        </w:rPr>
        <w:t>With regard to</w:t>
      </w:r>
      <w:proofErr w:type="gramEnd"/>
      <w:r w:rsidRPr="00D55644">
        <w:rPr>
          <w:sz w:val="26"/>
          <w:szCs w:val="26"/>
        </w:rPr>
        <w:t xml:space="preserve"> low-income programs such as the Low</w:t>
      </w:r>
      <w:r w:rsidR="0014064D">
        <w:rPr>
          <w:sz w:val="26"/>
          <w:szCs w:val="26"/>
        </w:rPr>
        <w:t>-</w:t>
      </w:r>
      <w:r w:rsidRPr="00D55644">
        <w:rPr>
          <w:sz w:val="26"/>
          <w:szCs w:val="26"/>
        </w:rPr>
        <w:t>Income Home Energy Assistance Program (LIHEAP)</w:t>
      </w:r>
      <w:r w:rsidR="001A11DF" w:rsidRPr="00D55644">
        <w:rPr>
          <w:sz w:val="26"/>
          <w:szCs w:val="26"/>
        </w:rPr>
        <w:t xml:space="preserve"> and Customer Assistance Programs (CAPs)</w:t>
      </w:r>
      <w:r w:rsidRPr="00D55644">
        <w:rPr>
          <w:sz w:val="26"/>
          <w:szCs w:val="26"/>
        </w:rPr>
        <w:t xml:space="preserve">, NRG claims that SCB will not have an impact.  According to NRG, customer eligibility </w:t>
      </w:r>
      <w:r w:rsidR="001A11DF" w:rsidRPr="00D55644">
        <w:rPr>
          <w:sz w:val="26"/>
          <w:szCs w:val="26"/>
        </w:rPr>
        <w:t>for the programs</w:t>
      </w:r>
      <w:r w:rsidRPr="00D55644">
        <w:rPr>
          <w:sz w:val="26"/>
          <w:szCs w:val="26"/>
        </w:rPr>
        <w:t xml:space="preserve"> will not be affected</w:t>
      </w:r>
      <w:r w:rsidR="00FE2B3B" w:rsidRPr="00D55644">
        <w:rPr>
          <w:sz w:val="26"/>
          <w:szCs w:val="26"/>
        </w:rPr>
        <w:t xml:space="preserve"> by SCB,</w:t>
      </w:r>
      <w:r w:rsidRPr="00D55644">
        <w:rPr>
          <w:sz w:val="26"/>
          <w:szCs w:val="26"/>
        </w:rPr>
        <w:t xml:space="preserve"> and EDCs should c</w:t>
      </w:r>
      <w:r w:rsidR="001A11DF" w:rsidRPr="00D55644">
        <w:rPr>
          <w:sz w:val="26"/>
          <w:szCs w:val="26"/>
        </w:rPr>
        <w:t>ontinue to administer the</w:t>
      </w:r>
      <w:r w:rsidRPr="00D55644">
        <w:rPr>
          <w:sz w:val="26"/>
          <w:szCs w:val="26"/>
        </w:rPr>
        <w:t>m.  NRG proposes that EDCs calculate the customer’s sub</w:t>
      </w:r>
      <w:r w:rsidR="00206F17" w:rsidRPr="00D55644">
        <w:rPr>
          <w:sz w:val="26"/>
          <w:szCs w:val="26"/>
        </w:rPr>
        <w:t>sidy and payment amount,</w:t>
      </w:r>
      <w:r w:rsidRPr="00D55644">
        <w:rPr>
          <w:sz w:val="26"/>
          <w:szCs w:val="26"/>
        </w:rPr>
        <w:t xml:space="preserve"> </w:t>
      </w:r>
      <w:r w:rsidR="00206F17" w:rsidRPr="00D55644">
        <w:rPr>
          <w:sz w:val="26"/>
          <w:szCs w:val="26"/>
        </w:rPr>
        <w:t>pass that</w:t>
      </w:r>
      <w:r w:rsidRPr="00D55644">
        <w:rPr>
          <w:sz w:val="26"/>
          <w:szCs w:val="26"/>
        </w:rPr>
        <w:t xml:space="preserve"> information on to the EGS via ED</w:t>
      </w:r>
      <w:r w:rsidR="0014064D">
        <w:rPr>
          <w:sz w:val="26"/>
          <w:szCs w:val="26"/>
        </w:rPr>
        <w:t>I</w:t>
      </w:r>
      <w:r w:rsidRPr="00D55644">
        <w:rPr>
          <w:sz w:val="26"/>
          <w:szCs w:val="26"/>
        </w:rPr>
        <w:t xml:space="preserve"> transaction for inclusion on the customer’s bill</w:t>
      </w:r>
      <w:r w:rsidR="00206F17" w:rsidRPr="00D55644">
        <w:rPr>
          <w:sz w:val="26"/>
          <w:szCs w:val="26"/>
        </w:rPr>
        <w:t>, and forward the corresponding LIHEAP or CAP grant to the EGS</w:t>
      </w:r>
      <w:r w:rsidRPr="00D55644">
        <w:rPr>
          <w:sz w:val="26"/>
          <w:szCs w:val="26"/>
        </w:rPr>
        <w:t>.</w:t>
      </w:r>
      <w:r w:rsidR="003D357D" w:rsidRPr="00D55644">
        <w:rPr>
          <w:sz w:val="26"/>
          <w:szCs w:val="26"/>
        </w:rPr>
        <w:t xml:space="preserve">  </w:t>
      </w:r>
      <w:r w:rsidR="002F5F7B" w:rsidRPr="00D55644">
        <w:rPr>
          <w:sz w:val="26"/>
          <w:szCs w:val="26"/>
        </w:rPr>
        <w:t xml:space="preserve">Regarding hardship funds, </w:t>
      </w:r>
      <w:r w:rsidR="003D357D" w:rsidRPr="00D55644">
        <w:rPr>
          <w:sz w:val="26"/>
          <w:szCs w:val="26"/>
        </w:rPr>
        <w:t xml:space="preserve">NRG states that EGSs offering SCB </w:t>
      </w:r>
      <w:r w:rsidR="003D357D" w:rsidRPr="00D55644">
        <w:rPr>
          <w:i/>
          <w:sz w:val="26"/>
          <w:szCs w:val="26"/>
        </w:rPr>
        <w:t>may</w:t>
      </w:r>
      <w:r w:rsidR="003D357D" w:rsidRPr="00D55644">
        <w:rPr>
          <w:sz w:val="26"/>
          <w:szCs w:val="26"/>
        </w:rPr>
        <w:t xml:space="preserve"> allow customers to add money to their payments as a donation to the funds, which are used to help low-income customers pay their electric bills.</w:t>
      </w:r>
      <w:r w:rsidRPr="00D55644">
        <w:rPr>
          <w:rStyle w:val="FootnoteReference"/>
          <w:sz w:val="26"/>
          <w:szCs w:val="26"/>
        </w:rPr>
        <w:footnoteReference w:id="86"/>
      </w:r>
    </w:p>
    <w:p w14:paraId="047B37A8" w14:textId="77777777" w:rsidR="009D2420" w:rsidRPr="00D55644" w:rsidRDefault="009D2420" w:rsidP="005E266A">
      <w:pPr>
        <w:spacing w:line="360" w:lineRule="auto"/>
        <w:rPr>
          <w:sz w:val="26"/>
          <w:szCs w:val="26"/>
        </w:rPr>
      </w:pPr>
    </w:p>
    <w:p w14:paraId="0612CDCD" w14:textId="77777777" w:rsidR="009D2420" w:rsidRPr="00580664" w:rsidRDefault="009D2420" w:rsidP="006C5132">
      <w:pPr>
        <w:spacing w:line="360" w:lineRule="auto"/>
        <w:ind w:left="720"/>
        <w:rPr>
          <w:b/>
          <w:sz w:val="26"/>
          <w:szCs w:val="26"/>
        </w:rPr>
      </w:pPr>
      <w:r w:rsidRPr="00580664">
        <w:rPr>
          <w:b/>
          <w:sz w:val="26"/>
          <w:szCs w:val="26"/>
        </w:rPr>
        <w:t>2</w:t>
      </w:r>
      <w:r w:rsidR="00580664" w:rsidRPr="00580664">
        <w:rPr>
          <w:b/>
          <w:sz w:val="26"/>
          <w:szCs w:val="26"/>
        </w:rPr>
        <w:t>.</w:t>
      </w:r>
      <w:r w:rsidR="00580664" w:rsidRPr="00580664">
        <w:rPr>
          <w:b/>
          <w:sz w:val="26"/>
          <w:szCs w:val="26"/>
        </w:rPr>
        <w:tab/>
      </w:r>
      <w:r w:rsidRPr="00580664">
        <w:rPr>
          <w:b/>
          <w:sz w:val="26"/>
          <w:szCs w:val="26"/>
        </w:rPr>
        <w:t>Comments</w:t>
      </w:r>
    </w:p>
    <w:p w14:paraId="1A6DD391" w14:textId="77777777" w:rsidR="00900402" w:rsidRPr="00D55644" w:rsidRDefault="005E266A" w:rsidP="005E266A">
      <w:pPr>
        <w:spacing w:line="360" w:lineRule="auto"/>
        <w:rPr>
          <w:sz w:val="26"/>
          <w:szCs w:val="26"/>
        </w:rPr>
      </w:pPr>
      <w:r w:rsidRPr="00D55644">
        <w:rPr>
          <w:sz w:val="26"/>
          <w:szCs w:val="26"/>
        </w:rPr>
        <w:tab/>
      </w:r>
      <w:r w:rsidR="00900402" w:rsidRPr="00D55644">
        <w:rPr>
          <w:sz w:val="26"/>
          <w:szCs w:val="26"/>
        </w:rPr>
        <w:t>Direct Ene</w:t>
      </w:r>
      <w:r w:rsidR="00620A3D" w:rsidRPr="00D55644">
        <w:rPr>
          <w:sz w:val="26"/>
          <w:szCs w:val="26"/>
        </w:rPr>
        <w:t>rgy and RESA support NRG’s assertion</w:t>
      </w:r>
      <w:r w:rsidR="00900402" w:rsidRPr="00D55644">
        <w:rPr>
          <w:sz w:val="26"/>
          <w:szCs w:val="26"/>
        </w:rPr>
        <w:t xml:space="preserve"> that EGSs cannot bill for VAS on a UCB bill and are therefore reluctant to offer them.  That problem, they claim, would be eliminated with SCB, which would allow consumers to benefit from the innovative products and services the EGSs would then be able to offer.</w:t>
      </w:r>
      <w:r w:rsidR="00900402" w:rsidRPr="00D55644">
        <w:rPr>
          <w:rStyle w:val="FootnoteReference"/>
          <w:sz w:val="26"/>
          <w:szCs w:val="26"/>
        </w:rPr>
        <w:footnoteReference w:id="87"/>
      </w:r>
    </w:p>
    <w:p w14:paraId="025A2DF5" w14:textId="77777777" w:rsidR="00900402" w:rsidRPr="00D55644" w:rsidRDefault="00900402" w:rsidP="005E266A">
      <w:pPr>
        <w:spacing w:line="360" w:lineRule="auto"/>
        <w:rPr>
          <w:sz w:val="26"/>
          <w:szCs w:val="26"/>
        </w:rPr>
      </w:pPr>
    </w:p>
    <w:p w14:paraId="58A1C008" w14:textId="77777777" w:rsidR="005E266A" w:rsidRPr="00D55644" w:rsidRDefault="00DF45A2" w:rsidP="005E266A">
      <w:pPr>
        <w:spacing w:line="360" w:lineRule="auto"/>
        <w:rPr>
          <w:sz w:val="26"/>
          <w:szCs w:val="26"/>
        </w:rPr>
      </w:pPr>
      <w:r w:rsidRPr="00D55644">
        <w:rPr>
          <w:sz w:val="26"/>
          <w:szCs w:val="26"/>
        </w:rPr>
        <w:tab/>
      </w:r>
      <w:r w:rsidR="00771D21" w:rsidRPr="00D55644">
        <w:rPr>
          <w:sz w:val="26"/>
          <w:szCs w:val="26"/>
        </w:rPr>
        <w:t xml:space="preserve">CAUSE PA, </w:t>
      </w:r>
      <w:r w:rsidR="005C4A48" w:rsidRPr="00D55644">
        <w:rPr>
          <w:sz w:val="26"/>
          <w:szCs w:val="26"/>
        </w:rPr>
        <w:t xml:space="preserve">the </w:t>
      </w:r>
      <w:r w:rsidR="005E266A" w:rsidRPr="00D55644">
        <w:rPr>
          <w:sz w:val="26"/>
          <w:szCs w:val="26"/>
        </w:rPr>
        <w:t>OCA and PECO express concerns regarding payments for the VAS</w:t>
      </w:r>
      <w:r w:rsidR="007C251A" w:rsidRPr="00D55644">
        <w:rPr>
          <w:sz w:val="26"/>
          <w:szCs w:val="26"/>
        </w:rPr>
        <w:t xml:space="preserve"> that </w:t>
      </w:r>
      <w:r w:rsidR="005E266A" w:rsidRPr="00D55644">
        <w:rPr>
          <w:sz w:val="26"/>
          <w:szCs w:val="26"/>
        </w:rPr>
        <w:t xml:space="preserve">EGSs would offer if SCB were implemented.  </w:t>
      </w:r>
      <w:r w:rsidR="00771D21" w:rsidRPr="00D55644">
        <w:rPr>
          <w:sz w:val="26"/>
          <w:szCs w:val="26"/>
        </w:rPr>
        <w:t>CAUSE PA is concerned that those products will curtail the ability of low-income customers to access safe, reliable electric service.</w:t>
      </w:r>
      <w:r w:rsidR="00771D21" w:rsidRPr="00D55644">
        <w:rPr>
          <w:rStyle w:val="FootnoteReference"/>
          <w:sz w:val="26"/>
          <w:szCs w:val="26"/>
        </w:rPr>
        <w:footnoteReference w:id="88"/>
      </w:r>
      <w:r w:rsidR="00771D21" w:rsidRPr="00D55644">
        <w:rPr>
          <w:sz w:val="26"/>
          <w:szCs w:val="26"/>
        </w:rPr>
        <w:t xml:space="preserve">  </w:t>
      </w:r>
      <w:r w:rsidR="005C4A48" w:rsidRPr="00D55644">
        <w:rPr>
          <w:sz w:val="26"/>
          <w:szCs w:val="26"/>
        </w:rPr>
        <w:t xml:space="preserve">The </w:t>
      </w:r>
      <w:r w:rsidR="005E266A" w:rsidRPr="00D55644">
        <w:rPr>
          <w:sz w:val="26"/>
          <w:szCs w:val="26"/>
        </w:rPr>
        <w:t>OCA notes that VAS charges are last in the line of priority f</w:t>
      </w:r>
      <w:r w:rsidR="00FE2B3B" w:rsidRPr="00D55644">
        <w:rPr>
          <w:sz w:val="26"/>
          <w:szCs w:val="26"/>
        </w:rPr>
        <w:t>or payment and nonpayment of them</w:t>
      </w:r>
      <w:r w:rsidR="005E266A" w:rsidRPr="00D55644">
        <w:rPr>
          <w:sz w:val="26"/>
          <w:szCs w:val="26"/>
        </w:rPr>
        <w:t xml:space="preserve"> cannot serve as the basis for termination of service.  </w:t>
      </w:r>
      <w:r w:rsidR="005C4A48" w:rsidRPr="00D55644">
        <w:rPr>
          <w:sz w:val="26"/>
          <w:szCs w:val="26"/>
        </w:rPr>
        <w:t xml:space="preserve">The </w:t>
      </w:r>
      <w:r w:rsidR="005E266A" w:rsidRPr="00D55644">
        <w:rPr>
          <w:sz w:val="26"/>
          <w:szCs w:val="26"/>
        </w:rPr>
        <w:t xml:space="preserve">OCA fears that consumers, who likely would not know those things, would struggle needlessly to pay the total bill amount for fear that their electric service could be </w:t>
      </w:r>
      <w:r w:rsidR="007C251A" w:rsidRPr="00D55644">
        <w:rPr>
          <w:sz w:val="26"/>
          <w:szCs w:val="26"/>
        </w:rPr>
        <w:t>terminated</w:t>
      </w:r>
      <w:r w:rsidR="005E266A" w:rsidRPr="00D55644">
        <w:rPr>
          <w:sz w:val="26"/>
          <w:szCs w:val="26"/>
        </w:rPr>
        <w:t>.</w:t>
      </w:r>
      <w:r w:rsidR="005E266A" w:rsidRPr="00D55644">
        <w:rPr>
          <w:rStyle w:val="FootnoteReference"/>
          <w:sz w:val="26"/>
          <w:szCs w:val="26"/>
        </w:rPr>
        <w:footnoteReference w:id="89"/>
      </w:r>
      <w:r w:rsidR="005E266A" w:rsidRPr="00D55644">
        <w:rPr>
          <w:sz w:val="26"/>
          <w:szCs w:val="26"/>
        </w:rPr>
        <w:t xml:space="preserve">  PECO claims that NRG’s Petition does not make clear how EGSs would ensure that VAS charges are last in line for payment and that nonpayment of them does not result in termination of service.</w:t>
      </w:r>
      <w:r w:rsidR="00A56487" w:rsidRPr="00D55644">
        <w:rPr>
          <w:sz w:val="26"/>
          <w:szCs w:val="26"/>
        </w:rPr>
        <w:t xml:space="preserve">  Further, PECO asserts that EGSs must develop mechanisms to ensure priority of payment so that nonpayment of VAS does not trigger termination.</w:t>
      </w:r>
      <w:r w:rsidR="005E266A" w:rsidRPr="00D55644">
        <w:rPr>
          <w:rStyle w:val="FootnoteReference"/>
          <w:sz w:val="26"/>
          <w:szCs w:val="26"/>
        </w:rPr>
        <w:footnoteReference w:id="90"/>
      </w:r>
    </w:p>
    <w:p w14:paraId="5050DD4E" w14:textId="77777777" w:rsidR="00ED749B" w:rsidRPr="00D55644" w:rsidRDefault="00ED749B" w:rsidP="005E266A">
      <w:pPr>
        <w:spacing w:line="360" w:lineRule="auto"/>
        <w:rPr>
          <w:sz w:val="26"/>
          <w:szCs w:val="26"/>
        </w:rPr>
      </w:pPr>
    </w:p>
    <w:p w14:paraId="4946E77B" w14:textId="34CFC8AE" w:rsidR="000C1DD1" w:rsidRPr="00D55644" w:rsidRDefault="000C1DD1" w:rsidP="005E266A">
      <w:pPr>
        <w:spacing w:line="360" w:lineRule="auto"/>
        <w:rPr>
          <w:sz w:val="26"/>
          <w:szCs w:val="26"/>
        </w:rPr>
      </w:pPr>
      <w:r w:rsidRPr="00D55644">
        <w:rPr>
          <w:sz w:val="26"/>
          <w:szCs w:val="26"/>
        </w:rPr>
        <w:tab/>
      </w:r>
      <w:r w:rsidR="005C4A48" w:rsidRPr="00D55644">
        <w:rPr>
          <w:sz w:val="26"/>
          <w:szCs w:val="26"/>
        </w:rPr>
        <w:t xml:space="preserve">The </w:t>
      </w:r>
      <w:r w:rsidRPr="00D55644">
        <w:rPr>
          <w:sz w:val="26"/>
          <w:szCs w:val="26"/>
        </w:rPr>
        <w:t xml:space="preserve">OCA is concerned that EGSs will </w:t>
      </w:r>
      <w:r w:rsidR="00082FDD" w:rsidRPr="00D55644">
        <w:rPr>
          <w:sz w:val="26"/>
          <w:szCs w:val="26"/>
        </w:rPr>
        <w:t>struggle to comply</w:t>
      </w:r>
      <w:r w:rsidRPr="00D55644">
        <w:rPr>
          <w:sz w:val="26"/>
          <w:szCs w:val="26"/>
        </w:rPr>
        <w:t xml:space="preserve"> with the Commission</w:t>
      </w:r>
      <w:r w:rsidR="00082FDD" w:rsidRPr="00D55644">
        <w:rPr>
          <w:sz w:val="26"/>
          <w:szCs w:val="26"/>
        </w:rPr>
        <w:t>’s</w:t>
      </w:r>
      <w:r w:rsidRPr="00D55644">
        <w:rPr>
          <w:sz w:val="26"/>
          <w:szCs w:val="26"/>
        </w:rPr>
        <w:t xml:space="preserve"> regulations and orders governing the application of payments received</w:t>
      </w:r>
      <w:r w:rsidR="00082FDD" w:rsidRPr="00D55644">
        <w:rPr>
          <w:sz w:val="26"/>
          <w:szCs w:val="26"/>
        </w:rPr>
        <w:t xml:space="preserve"> from customers</w:t>
      </w:r>
      <w:r w:rsidRPr="00D55644">
        <w:rPr>
          <w:sz w:val="26"/>
          <w:szCs w:val="26"/>
        </w:rPr>
        <w:t>.  Given the</w:t>
      </w:r>
      <w:r w:rsidR="00712C29" w:rsidRPr="00D55644">
        <w:rPr>
          <w:sz w:val="26"/>
          <w:szCs w:val="26"/>
        </w:rPr>
        <w:t xml:space="preserve"> </w:t>
      </w:r>
      <w:r w:rsidR="00EE173B" w:rsidRPr="00D55644">
        <w:rPr>
          <w:sz w:val="26"/>
          <w:szCs w:val="26"/>
        </w:rPr>
        <w:t>continuing</w:t>
      </w:r>
      <w:r w:rsidRPr="00D55644">
        <w:rPr>
          <w:sz w:val="26"/>
          <w:szCs w:val="26"/>
        </w:rPr>
        <w:t xml:space="preserve"> effort EDCs put into the </w:t>
      </w:r>
      <w:r w:rsidR="00FD7E68" w:rsidRPr="00D55644">
        <w:rPr>
          <w:sz w:val="26"/>
          <w:szCs w:val="26"/>
        </w:rPr>
        <w:t>issue and</w:t>
      </w:r>
      <w:r w:rsidRPr="00D55644">
        <w:rPr>
          <w:sz w:val="26"/>
          <w:szCs w:val="26"/>
        </w:rPr>
        <w:t xml:space="preserve"> given the fact that EDC tariffs </w:t>
      </w:r>
      <w:r w:rsidR="00712C29" w:rsidRPr="00D55644">
        <w:rPr>
          <w:sz w:val="26"/>
          <w:szCs w:val="26"/>
        </w:rPr>
        <w:t>contain detailed provisions</w:t>
      </w:r>
      <w:r w:rsidR="00082FDD" w:rsidRPr="00D55644">
        <w:rPr>
          <w:sz w:val="26"/>
          <w:szCs w:val="26"/>
        </w:rPr>
        <w:t xml:space="preserve"> for applying payments received, ordering payments received, and applying partial and late payments,</w:t>
      </w:r>
      <w:r w:rsidR="005C4A48" w:rsidRPr="00D55644">
        <w:rPr>
          <w:sz w:val="26"/>
          <w:szCs w:val="26"/>
        </w:rPr>
        <w:t xml:space="preserve"> the</w:t>
      </w:r>
      <w:r w:rsidR="00082FDD" w:rsidRPr="00D55644">
        <w:rPr>
          <w:sz w:val="26"/>
          <w:szCs w:val="26"/>
        </w:rPr>
        <w:t xml:space="preserve"> OCA worries</w:t>
      </w:r>
      <w:r w:rsidR="00764A76" w:rsidRPr="00D55644">
        <w:rPr>
          <w:sz w:val="26"/>
          <w:szCs w:val="26"/>
        </w:rPr>
        <w:t xml:space="preserve"> that the EGSs’ inexperience with this issue will have a negative impact on</w:t>
      </w:r>
      <w:r w:rsidR="00211178" w:rsidRPr="00D55644">
        <w:rPr>
          <w:sz w:val="26"/>
          <w:szCs w:val="26"/>
        </w:rPr>
        <w:t xml:space="preserve"> </w:t>
      </w:r>
      <w:r w:rsidR="00082FDD" w:rsidRPr="00D55644">
        <w:rPr>
          <w:sz w:val="26"/>
          <w:szCs w:val="26"/>
        </w:rPr>
        <w:t>consumer protections</w:t>
      </w:r>
      <w:r w:rsidR="00764A76" w:rsidRPr="00D55644">
        <w:rPr>
          <w:sz w:val="26"/>
          <w:szCs w:val="26"/>
        </w:rPr>
        <w:t>.</w:t>
      </w:r>
      <w:r w:rsidR="00712C29" w:rsidRPr="00D55644">
        <w:rPr>
          <w:rStyle w:val="FootnoteReference"/>
          <w:sz w:val="26"/>
          <w:szCs w:val="26"/>
        </w:rPr>
        <w:footnoteReference w:id="91"/>
      </w:r>
    </w:p>
    <w:p w14:paraId="402B33F9" w14:textId="77777777" w:rsidR="000C1DD1" w:rsidRPr="00D55644" w:rsidRDefault="000C1DD1" w:rsidP="005E266A">
      <w:pPr>
        <w:spacing w:line="360" w:lineRule="auto"/>
        <w:rPr>
          <w:sz w:val="26"/>
          <w:szCs w:val="26"/>
        </w:rPr>
      </w:pPr>
    </w:p>
    <w:p w14:paraId="5475AC93" w14:textId="76513924" w:rsidR="00ED749B" w:rsidRPr="00D55644" w:rsidRDefault="00ED749B" w:rsidP="005E266A">
      <w:pPr>
        <w:spacing w:line="360" w:lineRule="auto"/>
        <w:rPr>
          <w:sz w:val="26"/>
          <w:szCs w:val="26"/>
        </w:rPr>
      </w:pPr>
      <w:r w:rsidRPr="00D55644">
        <w:rPr>
          <w:sz w:val="26"/>
          <w:szCs w:val="26"/>
        </w:rPr>
        <w:tab/>
        <w:t xml:space="preserve">FirstEnergy notes that </w:t>
      </w:r>
      <w:proofErr w:type="gramStart"/>
      <w:r w:rsidRPr="00D55644">
        <w:rPr>
          <w:sz w:val="26"/>
          <w:szCs w:val="26"/>
        </w:rPr>
        <w:t>a number of</w:t>
      </w:r>
      <w:proofErr w:type="gramEnd"/>
      <w:r w:rsidRPr="00D55644">
        <w:rPr>
          <w:sz w:val="26"/>
          <w:szCs w:val="26"/>
        </w:rPr>
        <w:t xml:space="preserve"> the products and services NRG suggests EGSs wo</w:t>
      </w:r>
      <w:r w:rsidR="002923AC" w:rsidRPr="00D55644">
        <w:rPr>
          <w:sz w:val="26"/>
          <w:szCs w:val="26"/>
        </w:rPr>
        <w:t>uld</w:t>
      </w:r>
      <w:r w:rsidR="00FD79E9" w:rsidRPr="00D55644">
        <w:rPr>
          <w:sz w:val="26"/>
          <w:szCs w:val="26"/>
        </w:rPr>
        <w:t xml:space="preserve"> be able to</w:t>
      </w:r>
      <w:r w:rsidR="002923AC" w:rsidRPr="00D55644">
        <w:rPr>
          <w:sz w:val="26"/>
          <w:szCs w:val="26"/>
        </w:rPr>
        <w:t xml:space="preserve"> offer under SCB will not be possible until smart meter deployment is completed throughout the Commonwealth.</w:t>
      </w:r>
      <w:r w:rsidR="002923AC" w:rsidRPr="00D55644">
        <w:rPr>
          <w:rStyle w:val="FootnoteReference"/>
          <w:sz w:val="26"/>
          <w:szCs w:val="26"/>
        </w:rPr>
        <w:footnoteReference w:id="92"/>
      </w:r>
      <w:r w:rsidR="002923AC" w:rsidRPr="00D55644">
        <w:rPr>
          <w:sz w:val="26"/>
          <w:szCs w:val="26"/>
        </w:rPr>
        <w:t xml:space="preserve">  Further, FirstEnergy points out that NRG’</w:t>
      </w:r>
      <w:r w:rsidR="000C1DD1" w:rsidRPr="00D55644">
        <w:rPr>
          <w:sz w:val="26"/>
          <w:szCs w:val="26"/>
        </w:rPr>
        <w:t>s Petition does not adequately address issue</w:t>
      </w:r>
      <w:r w:rsidR="002923AC" w:rsidRPr="00D55644">
        <w:rPr>
          <w:sz w:val="26"/>
          <w:szCs w:val="26"/>
        </w:rPr>
        <w:t xml:space="preserve">s regarding how VAS will be handled.  First, no sample bill was provided to establish whether the bill would follow the bill format provisions of the Commission’s regulations.  Second, given NRG’s flat bill proposal, FirstEnergy questions how a consumer would be able to distinguish between basic and non-basic charges on </w:t>
      </w:r>
      <w:r w:rsidR="009D5320">
        <w:rPr>
          <w:sz w:val="26"/>
          <w:szCs w:val="26"/>
        </w:rPr>
        <w:t>his/her</w:t>
      </w:r>
      <w:r w:rsidR="002923AC" w:rsidRPr="00D55644">
        <w:rPr>
          <w:sz w:val="26"/>
          <w:szCs w:val="26"/>
        </w:rPr>
        <w:t xml:space="preserve"> utility bill.  </w:t>
      </w:r>
      <w:r w:rsidR="000C1DD1" w:rsidRPr="00D55644">
        <w:rPr>
          <w:sz w:val="26"/>
          <w:szCs w:val="26"/>
        </w:rPr>
        <w:t>That blurring of information</w:t>
      </w:r>
      <w:r w:rsidR="001D202D" w:rsidRPr="00D55644">
        <w:rPr>
          <w:sz w:val="26"/>
          <w:szCs w:val="26"/>
        </w:rPr>
        <w:t>, according to FirstEnergy,</w:t>
      </w:r>
      <w:r w:rsidR="000C1DD1" w:rsidRPr="00D55644">
        <w:rPr>
          <w:sz w:val="26"/>
          <w:szCs w:val="26"/>
        </w:rPr>
        <w:t xml:space="preserve"> raises an important customer protection question since electric service cannot be terminated for failure to pay non-basic charges.</w:t>
      </w:r>
      <w:r w:rsidR="000C1DD1" w:rsidRPr="00D55644">
        <w:rPr>
          <w:rStyle w:val="FootnoteReference"/>
          <w:sz w:val="26"/>
          <w:szCs w:val="26"/>
        </w:rPr>
        <w:footnoteReference w:id="93"/>
      </w:r>
    </w:p>
    <w:p w14:paraId="416A6A6E" w14:textId="77777777" w:rsidR="005E266A" w:rsidRPr="00D55644" w:rsidRDefault="005E266A" w:rsidP="005E266A">
      <w:pPr>
        <w:spacing w:line="360" w:lineRule="auto"/>
        <w:rPr>
          <w:sz w:val="26"/>
          <w:szCs w:val="26"/>
        </w:rPr>
      </w:pPr>
    </w:p>
    <w:p w14:paraId="2A81CE70" w14:textId="77777777" w:rsidR="008F3665" w:rsidRPr="00D55644" w:rsidRDefault="001D202D" w:rsidP="005E266A">
      <w:pPr>
        <w:spacing w:line="360" w:lineRule="auto"/>
        <w:rPr>
          <w:sz w:val="26"/>
          <w:szCs w:val="26"/>
        </w:rPr>
      </w:pPr>
      <w:r w:rsidRPr="00D55644">
        <w:rPr>
          <w:sz w:val="26"/>
          <w:szCs w:val="26"/>
        </w:rPr>
        <w:tab/>
        <w:t xml:space="preserve">Regarding </w:t>
      </w:r>
      <w:r w:rsidR="00C165DB" w:rsidRPr="00D55644">
        <w:rPr>
          <w:sz w:val="26"/>
          <w:szCs w:val="26"/>
        </w:rPr>
        <w:t xml:space="preserve">low-income programs </w:t>
      </w:r>
      <w:r w:rsidR="001E2CDC" w:rsidRPr="00D55644">
        <w:rPr>
          <w:sz w:val="26"/>
          <w:szCs w:val="26"/>
        </w:rPr>
        <w:t>such as</w:t>
      </w:r>
      <w:r w:rsidR="00C165DB" w:rsidRPr="00D55644">
        <w:rPr>
          <w:sz w:val="26"/>
          <w:szCs w:val="26"/>
        </w:rPr>
        <w:t xml:space="preserve"> </w:t>
      </w:r>
      <w:r w:rsidRPr="00D55644">
        <w:rPr>
          <w:sz w:val="26"/>
          <w:szCs w:val="26"/>
        </w:rPr>
        <w:t>LIHEAP</w:t>
      </w:r>
      <w:r w:rsidR="005B5365" w:rsidRPr="00D55644">
        <w:rPr>
          <w:sz w:val="26"/>
          <w:szCs w:val="26"/>
        </w:rPr>
        <w:t xml:space="preserve"> and CAPs</w:t>
      </w:r>
      <w:r w:rsidRPr="00D55644">
        <w:rPr>
          <w:sz w:val="26"/>
          <w:szCs w:val="26"/>
        </w:rPr>
        <w:t xml:space="preserve">, CAUSE PA, Duquesne, </w:t>
      </w:r>
      <w:r w:rsidR="005C4A48" w:rsidRPr="00D55644">
        <w:rPr>
          <w:sz w:val="26"/>
          <w:szCs w:val="26"/>
        </w:rPr>
        <w:t xml:space="preserve">the </w:t>
      </w:r>
      <w:r w:rsidRPr="00D55644">
        <w:rPr>
          <w:sz w:val="26"/>
          <w:szCs w:val="26"/>
        </w:rPr>
        <w:t>OCA, PECO, PPL, and TURN assert that NRG has not provided sufficient information to assess SCB’s effect</w:t>
      </w:r>
      <w:r w:rsidR="005B5365" w:rsidRPr="00D55644">
        <w:rPr>
          <w:sz w:val="26"/>
          <w:szCs w:val="26"/>
        </w:rPr>
        <w:t>s</w:t>
      </w:r>
      <w:r w:rsidRPr="00D55644">
        <w:rPr>
          <w:sz w:val="26"/>
          <w:szCs w:val="26"/>
        </w:rPr>
        <w:t xml:space="preserve"> on the program</w:t>
      </w:r>
      <w:r w:rsidR="005B5365" w:rsidRPr="00D55644">
        <w:rPr>
          <w:sz w:val="26"/>
          <w:szCs w:val="26"/>
        </w:rPr>
        <w:t>s</w:t>
      </w:r>
      <w:r w:rsidRPr="00D55644">
        <w:rPr>
          <w:sz w:val="26"/>
          <w:szCs w:val="26"/>
        </w:rPr>
        <w:t xml:space="preserve">.  </w:t>
      </w:r>
      <w:r w:rsidR="005245AF" w:rsidRPr="00D55644">
        <w:rPr>
          <w:sz w:val="26"/>
          <w:szCs w:val="26"/>
        </w:rPr>
        <w:t>They question how the program</w:t>
      </w:r>
      <w:r w:rsidR="005B5365" w:rsidRPr="00D55644">
        <w:rPr>
          <w:sz w:val="26"/>
          <w:szCs w:val="26"/>
        </w:rPr>
        <w:t>s</w:t>
      </w:r>
      <w:r w:rsidR="005245AF" w:rsidRPr="00D55644">
        <w:rPr>
          <w:sz w:val="26"/>
          <w:szCs w:val="26"/>
        </w:rPr>
        <w:t xml:space="preserve"> would operate under SCB</w:t>
      </w:r>
      <w:r w:rsidR="008F3665" w:rsidRPr="00D55644">
        <w:rPr>
          <w:sz w:val="26"/>
          <w:szCs w:val="26"/>
        </w:rPr>
        <w:t xml:space="preserve"> and whether appropriate consumer protections would be maintained.</w:t>
      </w:r>
    </w:p>
    <w:p w14:paraId="50D9554F" w14:textId="77777777" w:rsidR="008F3665" w:rsidRPr="00D55644" w:rsidRDefault="008F3665" w:rsidP="005E266A">
      <w:pPr>
        <w:spacing w:line="360" w:lineRule="auto"/>
        <w:rPr>
          <w:sz w:val="26"/>
          <w:szCs w:val="26"/>
        </w:rPr>
      </w:pPr>
    </w:p>
    <w:p w14:paraId="3CAAA180" w14:textId="77777777" w:rsidR="00A56487" w:rsidRPr="00D55644" w:rsidRDefault="008F3665" w:rsidP="00C165DB">
      <w:pPr>
        <w:spacing w:line="360" w:lineRule="auto"/>
        <w:rPr>
          <w:sz w:val="26"/>
          <w:szCs w:val="26"/>
        </w:rPr>
      </w:pPr>
      <w:r w:rsidRPr="00D55644">
        <w:rPr>
          <w:sz w:val="26"/>
          <w:szCs w:val="26"/>
        </w:rPr>
        <w:tab/>
        <w:t xml:space="preserve">Specifically, </w:t>
      </w:r>
      <w:r w:rsidR="00994355" w:rsidRPr="00D55644">
        <w:rPr>
          <w:sz w:val="26"/>
          <w:szCs w:val="26"/>
        </w:rPr>
        <w:t>CAUSE PA</w:t>
      </w:r>
      <w:r w:rsidR="00E52BE6" w:rsidRPr="00D55644">
        <w:rPr>
          <w:sz w:val="26"/>
          <w:szCs w:val="26"/>
        </w:rPr>
        <w:t xml:space="preserve"> and Duquesne</w:t>
      </w:r>
      <w:r w:rsidR="00994355" w:rsidRPr="00D55644">
        <w:rPr>
          <w:sz w:val="26"/>
          <w:szCs w:val="26"/>
        </w:rPr>
        <w:t xml:space="preserve"> question how the program</w:t>
      </w:r>
      <w:r w:rsidR="00A97A7B" w:rsidRPr="00D55644">
        <w:rPr>
          <w:sz w:val="26"/>
          <w:szCs w:val="26"/>
        </w:rPr>
        <w:t>s</w:t>
      </w:r>
      <w:r w:rsidR="00994355" w:rsidRPr="00D55644">
        <w:rPr>
          <w:sz w:val="26"/>
          <w:szCs w:val="26"/>
        </w:rPr>
        <w:t xml:space="preserve"> would be administered and</w:t>
      </w:r>
      <w:r w:rsidR="003B2F61" w:rsidRPr="00D55644">
        <w:rPr>
          <w:sz w:val="26"/>
          <w:szCs w:val="26"/>
        </w:rPr>
        <w:t xml:space="preserve"> how EGSs would</w:t>
      </w:r>
      <w:r w:rsidR="00E52BE6" w:rsidRPr="00D55644">
        <w:rPr>
          <w:sz w:val="26"/>
          <w:szCs w:val="26"/>
        </w:rPr>
        <w:t xml:space="preserve"> ensure that protections to assist low-income customers remain in place.  They also note</w:t>
      </w:r>
      <w:r w:rsidR="00994355" w:rsidRPr="00D55644">
        <w:rPr>
          <w:sz w:val="26"/>
          <w:szCs w:val="26"/>
        </w:rPr>
        <w:t xml:space="preserve"> that NRG wants to determine how to handle LIHEAP credits through an informal stakeholder group convened </w:t>
      </w:r>
      <w:r w:rsidR="00994355" w:rsidRPr="00D55644">
        <w:rPr>
          <w:i/>
          <w:sz w:val="26"/>
          <w:szCs w:val="26"/>
        </w:rPr>
        <w:t>after</w:t>
      </w:r>
      <w:r w:rsidR="00994355" w:rsidRPr="00D55644">
        <w:rPr>
          <w:sz w:val="26"/>
          <w:szCs w:val="26"/>
        </w:rPr>
        <w:t xml:space="preserve"> SCB is approved</w:t>
      </w:r>
      <w:r w:rsidR="00B75FA3" w:rsidRPr="00D55644">
        <w:rPr>
          <w:sz w:val="26"/>
          <w:szCs w:val="26"/>
        </w:rPr>
        <w:t xml:space="preserve">.  However, they believe </w:t>
      </w:r>
      <w:r w:rsidR="00B7083E" w:rsidRPr="00D55644">
        <w:rPr>
          <w:sz w:val="26"/>
          <w:szCs w:val="26"/>
        </w:rPr>
        <w:t xml:space="preserve">that </w:t>
      </w:r>
      <w:r w:rsidR="00994355" w:rsidRPr="00D55644">
        <w:rPr>
          <w:sz w:val="26"/>
          <w:szCs w:val="26"/>
        </w:rPr>
        <w:t xml:space="preserve">given the importance of electric service to customers, issues regarding LIHEAP must be addressed </w:t>
      </w:r>
      <w:r w:rsidR="00994355" w:rsidRPr="00D55644">
        <w:rPr>
          <w:i/>
          <w:sz w:val="26"/>
          <w:szCs w:val="26"/>
        </w:rPr>
        <w:t>before</w:t>
      </w:r>
      <w:r w:rsidR="00994355" w:rsidRPr="00D55644">
        <w:rPr>
          <w:sz w:val="26"/>
          <w:szCs w:val="26"/>
        </w:rPr>
        <w:t xml:space="preserve"> SCB could be approved.</w:t>
      </w:r>
      <w:r w:rsidR="00A97A7B" w:rsidRPr="00D55644">
        <w:rPr>
          <w:sz w:val="26"/>
          <w:szCs w:val="26"/>
        </w:rPr>
        <w:t xml:space="preserve">  </w:t>
      </w:r>
      <w:r w:rsidR="00B7083E" w:rsidRPr="00D55644">
        <w:rPr>
          <w:sz w:val="26"/>
          <w:szCs w:val="26"/>
        </w:rPr>
        <w:t xml:space="preserve">In addition, </w:t>
      </w:r>
      <w:proofErr w:type="gramStart"/>
      <w:r w:rsidR="00A97A7B" w:rsidRPr="00D55644">
        <w:rPr>
          <w:sz w:val="26"/>
          <w:szCs w:val="26"/>
        </w:rPr>
        <w:t>CAUSE</w:t>
      </w:r>
      <w:proofErr w:type="gramEnd"/>
      <w:r w:rsidR="00A97A7B" w:rsidRPr="00D55644">
        <w:rPr>
          <w:sz w:val="26"/>
          <w:szCs w:val="26"/>
        </w:rPr>
        <w:t xml:space="preserve"> PA poin</w:t>
      </w:r>
      <w:r w:rsidR="00B7083E" w:rsidRPr="00D55644">
        <w:rPr>
          <w:sz w:val="26"/>
          <w:szCs w:val="26"/>
        </w:rPr>
        <w:t>ts out that CAP programs vary with each</w:t>
      </w:r>
      <w:r w:rsidR="00A97A7B" w:rsidRPr="00D55644">
        <w:rPr>
          <w:sz w:val="26"/>
          <w:szCs w:val="26"/>
        </w:rPr>
        <w:t xml:space="preserve"> EDC and the credit is sometimes calculated based on the customer’s full bill, which the EDC will not know because it will not have access to the EGS’s generation supply charges.</w:t>
      </w:r>
      <w:r w:rsidR="006938DF" w:rsidRPr="00D55644">
        <w:rPr>
          <w:rStyle w:val="FootnoteReference"/>
          <w:sz w:val="26"/>
          <w:szCs w:val="26"/>
        </w:rPr>
        <w:footnoteReference w:id="94"/>
      </w:r>
      <w:r w:rsidR="00C165DB" w:rsidRPr="00D55644">
        <w:rPr>
          <w:sz w:val="26"/>
          <w:szCs w:val="26"/>
        </w:rPr>
        <w:t xml:space="preserve">  </w:t>
      </w:r>
      <w:r w:rsidR="00994355" w:rsidRPr="00D55644">
        <w:rPr>
          <w:sz w:val="26"/>
          <w:szCs w:val="26"/>
        </w:rPr>
        <w:t xml:space="preserve">Further, CAUSE PA </w:t>
      </w:r>
      <w:r w:rsidR="006938DF" w:rsidRPr="00D55644">
        <w:rPr>
          <w:sz w:val="26"/>
          <w:szCs w:val="26"/>
        </w:rPr>
        <w:t>and TURN assert</w:t>
      </w:r>
      <w:r w:rsidR="00994355" w:rsidRPr="00D55644">
        <w:rPr>
          <w:sz w:val="26"/>
          <w:szCs w:val="26"/>
        </w:rPr>
        <w:t xml:space="preserve"> that the Pennsylvania Department of Human Services (DHS), which administers LIHEAP, expressly prohibits suppliers from receiving LIHEAP grants.</w:t>
      </w:r>
      <w:r w:rsidR="00B8058C" w:rsidRPr="00D55644">
        <w:rPr>
          <w:rStyle w:val="FootnoteReference"/>
          <w:sz w:val="26"/>
          <w:szCs w:val="26"/>
        </w:rPr>
        <w:footnoteReference w:id="95"/>
      </w:r>
    </w:p>
    <w:p w14:paraId="79027141" w14:textId="77777777" w:rsidR="000E4C15" w:rsidRPr="00D55644" w:rsidRDefault="000E4C15" w:rsidP="005E266A">
      <w:pPr>
        <w:spacing w:line="360" w:lineRule="auto"/>
        <w:rPr>
          <w:sz w:val="26"/>
          <w:szCs w:val="26"/>
        </w:rPr>
      </w:pPr>
    </w:p>
    <w:p w14:paraId="6DBFCEEF" w14:textId="77777777" w:rsidR="00EE1C91" w:rsidRPr="00D55644" w:rsidRDefault="00EE1C91" w:rsidP="005E266A">
      <w:pPr>
        <w:spacing w:line="360" w:lineRule="auto"/>
        <w:rPr>
          <w:sz w:val="26"/>
          <w:szCs w:val="26"/>
        </w:rPr>
      </w:pPr>
      <w:r w:rsidRPr="00D55644">
        <w:rPr>
          <w:sz w:val="26"/>
          <w:szCs w:val="26"/>
        </w:rPr>
        <w:tab/>
        <w:t xml:space="preserve">TURN also asserts that EGSs cannot serve in a billing role for CAP customers because of the EDCs’ </w:t>
      </w:r>
      <w:r w:rsidR="00387F86" w:rsidRPr="00D55644">
        <w:rPr>
          <w:sz w:val="26"/>
          <w:szCs w:val="26"/>
        </w:rPr>
        <w:t xml:space="preserve">statutory </w:t>
      </w:r>
      <w:r w:rsidRPr="00D55644">
        <w:rPr>
          <w:sz w:val="26"/>
          <w:szCs w:val="26"/>
        </w:rPr>
        <w:t xml:space="preserve">obligation to identify customers who are eligible for CAPs.  66 Pa. C.S. § 1410.1(2).  </w:t>
      </w:r>
      <w:r w:rsidR="00387F86" w:rsidRPr="00D55644">
        <w:rPr>
          <w:sz w:val="26"/>
          <w:szCs w:val="26"/>
        </w:rPr>
        <w:t>Further, TURN points to other issues—such as enrollment of new CAP customers and new CAP arrearages—which NRG did not address in its Petition.</w:t>
      </w:r>
      <w:r w:rsidR="00387F86" w:rsidRPr="00D55644">
        <w:rPr>
          <w:rStyle w:val="FootnoteReference"/>
          <w:sz w:val="26"/>
          <w:szCs w:val="26"/>
        </w:rPr>
        <w:footnoteReference w:id="96"/>
      </w:r>
    </w:p>
    <w:p w14:paraId="72729EA2" w14:textId="77777777" w:rsidR="00EE1C91" w:rsidRPr="00D55644" w:rsidRDefault="00EE1C91" w:rsidP="005E266A">
      <w:pPr>
        <w:spacing w:line="360" w:lineRule="auto"/>
        <w:rPr>
          <w:sz w:val="26"/>
          <w:szCs w:val="26"/>
        </w:rPr>
      </w:pPr>
    </w:p>
    <w:p w14:paraId="323C97C7" w14:textId="77777777" w:rsidR="000E4C15" w:rsidRPr="00D55644" w:rsidRDefault="000E4C15" w:rsidP="005E266A">
      <w:pPr>
        <w:spacing w:line="360" w:lineRule="auto"/>
        <w:rPr>
          <w:sz w:val="26"/>
          <w:szCs w:val="26"/>
        </w:rPr>
      </w:pPr>
      <w:r w:rsidRPr="00D55644">
        <w:rPr>
          <w:sz w:val="26"/>
          <w:szCs w:val="26"/>
        </w:rPr>
        <w:tab/>
      </w:r>
      <w:r w:rsidR="005C4A48" w:rsidRPr="00D55644">
        <w:rPr>
          <w:sz w:val="26"/>
          <w:szCs w:val="26"/>
        </w:rPr>
        <w:t xml:space="preserve">The </w:t>
      </w:r>
      <w:r w:rsidR="000E2DF0" w:rsidRPr="00D55644">
        <w:rPr>
          <w:sz w:val="26"/>
          <w:szCs w:val="26"/>
        </w:rPr>
        <w:t xml:space="preserve">OCA claims that if NRG wants to serve low-income customers, it </w:t>
      </w:r>
      <w:r w:rsidR="00AD3AAF" w:rsidRPr="00D55644">
        <w:rPr>
          <w:sz w:val="26"/>
          <w:szCs w:val="26"/>
        </w:rPr>
        <w:t>must</w:t>
      </w:r>
      <w:r w:rsidR="000E2DF0" w:rsidRPr="00D55644">
        <w:rPr>
          <w:sz w:val="26"/>
          <w:szCs w:val="26"/>
        </w:rPr>
        <w:t xml:space="preserve"> address </w:t>
      </w:r>
      <w:r w:rsidR="00E778A4" w:rsidRPr="00D55644">
        <w:rPr>
          <w:sz w:val="26"/>
          <w:szCs w:val="26"/>
        </w:rPr>
        <w:t>the</w:t>
      </w:r>
      <w:r w:rsidR="000E2DF0" w:rsidRPr="00D55644">
        <w:rPr>
          <w:sz w:val="26"/>
          <w:szCs w:val="26"/>
        </w:rPr>
        <w:t xml:space="preserve"> receipt of LIHEAP funds</w:t>
      </w:r>
      <w:r w:rsidR="008208B6" w:rsidRPr="00D55644">
        <w:rPr>
          <w:sz w:val="26"/>
          <w:szCs w:val="26"/>
        </w:rPr>
        <w:t xml:space="preserve"> and </w:t>
      </w:r>
      <w:r w:rsidR="00A43F46" w:rsidRPr="00D55644">
        <w:rPr>
          <w:sz w:val="26"/>
          <w:szCs w:val="26"/>
        </w:rPr>
        <w:t xml:space="preserve">EGS </w:t>
      </w:r>
      <w:r w:rsidR="008208B6" w:rsidRPr="00D55644">
        <w:rPr>
          <w:sz w:val="26"/>
          <w:szCs w:val="26"/>
        </w:rPr>
        <w:t>participation in CAP.</w:t>
      </w:r>
      <w:r w:rsidR="00E778A4" w:rsidRPr="00D55644">
        <w:rPr>
          <w:sz w:val="26"/>
          <w:szCs w:val="26"/>
        </w:rPr>
        <w:t xml:space="preserve"> </w:t>
      </w:r>
      <w:r w:rsidR="008208B6" w:rsidRPr="00D55644">
        <w:rPr>
          <w:sz w:val="26"/>
          <w:szCs w:val="26"/>
        </w:rPr>
        <w:t xml:space="preserve"> LIHEAP would require EGSs</w:t>
      </w:r>
      <w:r w:rsidR="000E2DF0" w:rsidRPr="00D55644">
        <w:rPr>
          <w:sz w:val="26"/>
          <w:szCs w:val="26"/>
        </w:rPr>
        <w:t xml:space="preserve"> to enter into vendor agreement</w:t>
      </w:r>
      <w:r w:rsidR="00E778A4" w:rsidRPr="00D55644">
        <w:rPr>
          <w:sz w:val="26"/>
          <w:szCs w:val="26"/>
        </w:rPr>
        <w:t>s</w:t>
      </w:r>
      <w:r w:rsidR="000E2DF0" w:rsidRPr="00D55644">
        <w:rPr>
          <w:sz w:val="26"/>
          <w:szCs w:val="26"/>
        </w:rPr>
        <w:t xml:space="preserve"> with DHS.</w:t>
      </w:r>
      <w:r w:rsidR="008208B6" w:rsidRPr="00D55644">
        <w:rPr>
          <w:sz w:val="26"/>
          <w:szCs w:val="26"/>
        </w:rPr>
        <w:t xml:space="preserve">  CAP prog</w:t>
      </w:r>
      <w:r w:rsidR="00A43F46" w:rsidRPr="00D55644">
        <w:rPr>
          <w:sz w:val="26"/>
          <w:szCs w:val="26"/>
        </w:rPr>
        <w:t>rams operate</w:t>
      </w:r>
      <w:r w:rsidR="008208B6" w:rsidRPr="00D55644">
        <w:rPr>
          <w:sz w:val="26"/>
          <w:szCs w:val="26"/>
        </w:rPr>
        <w:t xml:space="preserve"> differently throughout Pennsylvania</w:t>
      </w:r>
      <w:r w:rsidR="00A43F46" w:rsidRPr="00D55644">
        <w:rPr>
          <w:sz w:val="26"/>
          <w:szCs w:val="26"/>
        </w:rPr>
        <w:t>,</w:t>
      </w:r>
      <w:r w:rsidR="008208B6" w:rsidRPr="00D55644">
        <w:rPr>
          <w:sz w:val="26"/>
          <w:szCs w:val="26"/>
        </w:rPr>
        <w:t xml:space="preserve"> and CAP credits would have to </w:t>
      </w:r>
      <w:r w:rsidR="00C165DB" w:rsidRPr="00D55644">
        <w:rPr>
          <w:sz w:val="26"/>
          <w:szCs w:val="26"/>
        </w:rPr>
        <w:t xml:space="preserve">be </w:t>
      </w:r>
      <w:r w:rsidR="008208B6" w:rsidRPr="00D55644">
        <w:rPr>
          <w:sz w:val="26"/>
          <w:szCs w:val="26"/>
        </w:rPr>
        <w:t xml:space="preserve">portable.  None of these issues, according to </w:t>
      </w:r>
      <w:r w:rsidR="005C4A48" w:rsidRPr="00D55644">
        <w:rPr>
          <w:sz w:val="26"/>
          <w:szCs w:val="26"/>
        </w:rPr>
        <w:t xml:space="preserve">the </w:t>
      </w:r>
      <w:r w:rsidR="008208B6" w:rsidRPr="00D55644">
        <w:rPr>
          <w:sz w:val="26"/>
          <w:szCs w:val="26"/>
        </w:rPr>
        <w:t xml:space="preserve">OCA, have been addressed.  </w:t>
      </w:r>
      <w:r w:rsidR="005C4A48" w:rsidRPr="00D55644">
        <w:rPr>
          <w:sz w:val="26"/>
          <w:szCs w:val="26"/>
        </w:rPr>
        <w:t xml:space="preserve">The </w:t>
      </w:r>
      <w:r w:rsidR="008208B6" w:rsidRPr="00D55644">
        <w:rPr>
          <w:sz w:val="26"/>
          <w:szCs w:val="26"/>
        </w:rPr>
        <w:t>OCA also claims that low-income consumers will be harmed if EGSs do not allow customers to make hardship fund donations along with their bill payments.  Making it more difficul</w:t>
      </w:r>
      <w:r w:rsidR="006239CE" w:rsidRPr="00D55644">
        <w:rPr>
          <w:sz w:val="26"/>
          <w:szCs w:val="26"/>
        </w:rPr>
        <w:t>t for customers to donate to hardship</w:t>
      </w:r>
      <w:r w:rsidR="008208B6" w:rsidRPr="00D55644">
        <w:rPr>
          <w:sz w:val="26"/>
          <w:szCs w:val="26"/>
        </w:rPr>
        <w:t xml:space="preserve"> fund</w:t>
      </w:r>
      <w:r w:rsidR="006239CE" w:rsidRPr="00D55644">
        <w:rPr>
          <w:sz w:val="26"/>
          <w:szCs w:val="26"/>
        </w:rPr>
        <w:t>s</w:t>
      </w:r>
      <w:r w:rsidR="008208B6" w:rsidRPr="00D55644">
        <w:rPr>
          <w:sz w:val="26"/>
          <w:szCs w:val="26"/>
        </w:rPr>
        <w:t xml:space="preserve"> will likely reduce donations.</w:t>
      </w:r>
      <w:r w:rsidR="00B8058C" w:rsidRPr="00D55644">
        <w:rPr>
          <w:rStyle w:val="FootnoteReference"/>
          <w:sz w:val="26"/>
          <w:szCs w:val="26"/>
        </w:rPr>
        <w:footnoteReference w:id="97"/>
      </w:r>
    </w:p>
    <w:p w14:paraId="5997688F" w14:textId="77777777" w:rsidR="000E2DF0" w:rsidRPr="00D55644" w:rsidRDefault="000E2DF0" w:rsidP="005E266A">
      <w:pPr>
        <w:spacing w:line="360" w:lineRule="auto"/>
        <w:rPr>
          <w:sz w:val="26"/>
          <w:szCs w:val="26"/>
        </w:rPr>
      </w:pPr>
    </w:p>
    <w:p w14:paraId="209329CA" w14:textId="77777777" w:rsidR="000E2DF0" w:rsidRPr="00D55644" w:rsidRDefault="000E2DF0" w:rsidP="005E266A">
      <w:pPr>
        <w:spacing w:line="360" w:lineRule="auto"/>
        <w:rPr>
          <w:sz w:val="26"/>
          <w:szCs w:val="26"/>
        </w:rPr>
      </w:pPr>
      <w:r w:rsidRPr="00D55644">
        <w:rPr>
          <w:sz w:val="26"/>
          <w:szCs w:val="26"/>
        </w:rPr>
        <w:tab/>
        <w:t xml:space="preserve">PECO notes that NRG has not addressed issues relating to its dual gas and electric customers.  </w:t>
      </w:r>
      <w:r w:rsidR="00136678" w:rsidRPr="00D55644">
        <w:rPr>
          <w:sz w:val="26"/>
          <w:szCs w:val="26"/>
        </w:rPr>
        <w:t xml:space="preserve">According to </w:t>
      </w:r>
      <w:r w:rsidRPr="00D55644">
        <w:rPr>
          <w:sz w:val="26"/>
          <w:szCs w:val="26"/>
        </w:rPr>
        <w:t>PECO</w:t>
      </w:r>
      <w:r w:rsidR="00136678" w:rsidRPr="00D55644">
        <w:rPr>
          <w:sz w:val="26"/>
          <w:szCs w:val="26"/>
        </w:rPr>
        <w:t>, it</w:t>
      </w:r>
      <w:r w:rsidRPr="00D55644">
        <w:rPr>
          <w:sz w:val="26"/>
          <w:szCs w:val="26"/>
        </w:rPr>
        <w:t xml:space="preserve"> bills customers for both services at the same time.  When PECO receives a LIHEAP grant for a dual customer, it is not divided between gas and electric service.  The grant is applied first to the customer’s past due bills, then to the current bill, and finally, if there are any excess funds remaining, they are credited to the customer’s account.</w:t>
      </w:r>
      <w:r w:rsidR="00136678" w:rsidRPr="00D55644">
        <w:rPr>
          <w:sz w:val="26"/>
          <w:szCs w:val="26"/>
        </w:rPr>
        <w:t xml:space="preserve">  Further, PECO claims that EGSs would have to become authorized vendors of DHS to accept LIHEAP funds.  PECO fears that customers—</w:t>
      </w:r>
      <w:r w:rsidR="003B3CF1" w:rsidRPr="00D55644">
        <w:rPr>
          <w:sz w:val="26"/>
          <w:szCs w:val="26"/>
        </w:rPr>
        <w:t>who have named PECO as</w:t>
      </w:r>
      <w:r w:rsidR="00136678" w:rsidRPr="00D55644">
        <w:rPr>
          <w:sz w:val="26"/>
          <w:szCs w:val="26"/>
        </w:rPr>
        <w:t xml:space="preserve"> the vendor to receive their LIHEAP grants for years—will need to be informed of the change in vendor to avoid confusion and possible delay in receiving assistance.</w:t>
      </w:r>
      <w:r w:rsidR="00A97A7B" w:rsidRPr="00D55644">
        <w:rPr>
          <w:sz w:val="26"/>
          <w:szCs w:val="26"/>
        </w:rPr>
        <w:t xml:space="preserve">  Regarding its CAP, PECO claims that it often refers customers to the program after learning of the customer’s possible eligibility during a customer service call.  PECO questions whether EGSs will do that when they are handling most customer service calls </w:t>
      </w:r>
      <w:r w:rsidR="00AD3AAF" w:rsidRPr="00D55644">
        <w:rPr>
          <w:sz w:val="26"/>
          <w:szCs w:val="26"/>
        </w:rPr>
        <w:t>under</w:t>
      </w:r>
      <w:r w:rsidR="00A97A7B" w:rsidRPr="00D55644">
        <w:rPr>
          <w:sz w:val="26"/>
          <w:szCs w:val="26"/>
        </w:rPr>
        <w:t xml:space="preserve"> SCB.</w:t>
      </w:r>
      <w:r w:rsidR="00B8058C" w:rsidRPr="00D55644">
        <w:rPr>
          <w:rStyle w:val="FootnoteReference"/>
          <w:sz w:val="26"/>
          <w:szCs w:val="26"/>
        </w:rPr>
        <w:footnoteReference w:id="98"/>
      </w:r>
    </w:p>
    <w:p w14:paraId="48B6FD2E" w14:textId="77777777" w:rsidR="00136678" w:rsidRPr="00D55644" w:rsidRDefault="00136678" w:rsidP="005E266A">
      <w:pPr>
        <w:spacing w:line="360" w:lineRule="auto"/>
        <w:rPr>
          <w:sz w:val="26"/>
          <w:szCs w:val="26"/>
        </w:rPr>
      </w:pPr>
    </w:p>
    <w:p w14:paraId="2F1B9C89" w14:textId="77777777" w:rsidR="00136678" w:rsidRPr="00D55644" w:rsidRDefault="00136678" w:rsidP="005E266A">
      <w:pPr>
        <w:spacing w:line="360" w:lineRule="auto"/>
        <w:rPr>
          <w:sz w:val="26"/>
          <w:szCs w:val="26"/>
        </w:rPr>
      </w:pPr>
      <w:r w:rsidRPr="00D55644">
        <w:rPr>
          <w:sz w:val="26"/>
          <w:szCs w:val="26"/>
        </w:rPr>
        <w:tab/>
        <w:t>PPL notes that subsidies for low-income programs such as LIHEAP</w:t>
      </w:r>
      <w:r w:rsidR="000D17A8" w:rsidRPr="00D55644">
        <w:rPr>
          <w:sz w:val="26"/>
          <w:szCs w:val="26"/>
        </w:rPr>
        <w:t xml:space="preserve"> and CAP</w:t>
      </w:r>
      <w:r w:rsidRPr="00D55644">
        <w:rPr>
          <w:sz w:val="26"/>
          <w:szCs w:val="26"/>
        </w:rPr>
        <w:t xml:space="preserve"> are based on the </w:t>
      </w:r>
      <w:r w:rsidR="00611621" w:rsidRPr="00D55644">
        <w:rPr>
          <w:sz w:val="26"/>
          <w:szCs w:val="26"/>
        </w:rPr>
        <w:t xml:space="preserve">customer’s </w:t>
      </w:r>
      <w:r w:rsidRPr="00D55644">
        <w:rPr>
          <w:sz w:val="26"/>
          <w:szCs w:val="26"/>
        </w:rPr>
        <w:t>entire bill.  If the EDCs are to continue administering the program, PPL claim</w:t>
      </w:r>
      <w:r w:rsidR="00EB7DF9" w:rsidRPr="00D55644">
        <w:rPr>
          <w:sz w:val="26"/>
          <w:szCs w:val="26"/>
        </w:rPr>
        <w:t>s, EGSs will have to provide their</w:t>
      </w:r>
      <w:r w:rsidRPr="00D55644">
        <w:rPr>
          <w:sz w:val="26"/>
          <w:szCs w:val="26"/>
        </w:rPr>
        <w:t xml:space="preserve"> charges to the EDCs so they can calculate the subsidies.  </w:t>
      </w:r>
      <w:r w:rsidR="00566427" w:rsidRPr="00D55644">
        <w:rPr>
          <w:sz w:val="26"/>
          <w:szCs w:val="26"/>
        </w:rPr>
        <w:t>Also, PPL asserts that most LIHEAP</w:t>
      </w:r>
      <w:r w:rsidR="000D17A8" w:rsidRPr="00D55644">
        <w:rPr>
          <w:sz w:val="26"/>
          <w:szCs w:val="26"/>
        </w:rPr>
        <w:t xml:space="preserve"> and CAP</w:t>
      </w:r>
      <w:r w:rsidR="00566427" w:rsidRPr="00D55644">
        <w:rPr>
          <w:sz w:val="26"/>
          <w:szCs w:val="26"/>
        </w:rPr>
        <w:t xml:space="preserve"> participants are referred to the program by PPL customer service representatives and notes that NRG’s Petition does not include a requirement to refer customers to LIHEAP if they may qualify.  Finally, PPL states that NRG’s Petition does not delineate customer service functions</w:t>
      </w:r>
      <w:r w:rsidR="00611621" w:rsidRPr="00D55644">
        <w:rPr>
          <w:sz w:val="26"/>
          <w:szCs w:val="26"/>
        </w:rPr>
        <w:t xml:space="preserve"> </w:t>
      </w:r>
      <w:r w:rsidR="00566427" w:rsidRPr="00D55644">
        <w:rPr>
          <w:sz w:val="26"/>
          <w:szCs w:val="26"/>
        </w:rPr>
        <w:t>between EDC</w:t>
      </w:r>
      <w:r w:rsidR="000D17A8" w:rsidRPr="00D55644">
        <w:rPr>
          <w:sz w:val="26"/>
          <w:szCs w:val="26"/>
        </w:rPr>
        <w:t xml:space="preserve">s and EGSs </w:t>
      </w:r>
      <w:proofErr w:type="gramStart"/>
      <w:r w:rsidR="000D17A8" w:rsidRPr="00D55644">
        <w:rPr>
          <w:sz w:val="26"/>
          <w:szCs w:val="26"/>
        </w:rPr>
        <w:t>with regard to</w:t>
      </w:r>
      <w:proofErr w:type="gramEnd"/>
      <w:r w:rsidR="000D17A8" w:rsidRPr="00D55644">
        <w:rPr>
          <w:sz w:val="26"/>
          <w:szCs w:val="26"/>
        </w:rPr>
        <w:t xml:space="preserve"> low-income programs</w:t>
      </w:r>
      <w:r w:rsidR="00611621" w:rsidRPr="00D55644">
        <w:rPr>
          <w:sz w:val="26"/>
          <w:szCs w:val="26"/>
        </w:rPr>
        <w:t xml:space="preserve"> (such as which entity is responsible for warning customers as they approach subsidy limits and for notifying customers about budget billing and payment arrangements)</w:t>
      </w:r>
      <w:r w:rsidR="00566427" w:rsidRPr="00D55644">
        <w:rPr>
          <w:sz w:val="26"/>
          <w:szCs w:val="26"/>
        </w:rPr>
        <w:t>.</w:t>
      </w:r>
      <w:r w:rsidR="00B8058C" w:rsidRPr="00D55644">
        <w:rPr>
          <w:rStyle w:val="FootnoteReference"/>
          <w:sz w:val="26"/>
          <w:szCs w:val="26"/>
        </w:rPr>
        <w:footnoteReference w:id="99"/>
      </w:r>
    </w:p>
    <w:p w14:paraId="515110E8" w14:textId="77777777" w:rsidR="00C05E02" w:rsidRPr="00D55644" w:rsidRDefault="00C05E02" w:rsidP="005E266A">
      <w:pPr>
        <w:spacing w:line="360" w:lineRule="auto"/>
        <w:rPr>
          <w:sz w:val="26"/>
          <w:szCs w:val="26"/>
        </w:rPr>
      </w:pPr>
    </w:p>
    <w:p w14:paraId="2E0265A8" w14:textId="77777777" w:rsidR="009D2420" w:rsidRPr="00580664" w:rsidRDefault="009D2420" w:rsidP="006C5132">
      <w:pPr>
        <w:spacing w:line="360" w:lineRule="auto"/>
        <w:ind w:left="720"/>
        <w:rPr>
          <w:b/>
          <w:sz w:val="26"/>
          <w:szCs w:val="26"/>
        </w:rPr>
      </w:pPr>
      <w:r w:rsidRPr="00580664">
        <w:rPr>
          <w:b/>
          <w:sz w:val="26"/>
          <w:szCs w:val="26"/>
        </w:rPr>
        <w:t>3</w:t>
      </w:r>
      <w:r w:rsidR="00580664" w:rsidRPr="00580664">
        <w:rPr>
          <w:b/>
          <w:sz w:val="26"/>
          <w:szCs w:val="26"/>
        </w:rPr>
        <w:t>.</w:t>
      </w:r>
      <w:r w:rsidR="00580664" w:rsidRPr="00580664">
        <w:rPr>
          <w:b/>
          <w:sz w:val="26"/>
          <w:szCs w:val="26"/>
        </w:rPr>
        <w:tab/>
      </w:r>
      <w:r w:rsidRPr="00580664">
        <w:rPr>
          <w:b/>
          <w:sz w:val="26"/>
          <w:szCs w:val="26"/>
        </w:rPr>
        <w:t>NRG Reply</w:t>
      </w:r>
    </w:p>
    <w:p w14:paraId="2D029B8D" w14:textId="77777777" w:rsidR="005E266A" w:rsidRPr="00D55644" w:rsidRDefault="00611621" w:rsidP="006A2DFB">
      <w:pPr>
        <w:spacing w:line="360" w:lineRule="auto"/>
        <w:rPr>
          <w:sz w:val="26"/>
          <w:szCs w:val="26"/>
        </w:rPr>
      </w:pPr>
      <w:r w:rsidRPr="00D55644">
        <w:rPr>
          <w:sz w:val="26"/>
          <w:szCs w:val="26"/>
        </w:rPr>
        <w:tab/>
      </w:r>
      <w:r w:rsidR="00ED1510" w:rsidRPr="00D55644">
        <w:rPr>
          <w:sz w:val="26"/>
          <w:szCs w:val="26"/>
        </w:rPr>
        <w:t>NRG reiterates its position that implementation of SCB would allow for basic utility charges and charges for non-basic products and services—which are now absent from the Pennsylvania market</w:t>
      </w:r>
      <w:r w:rsidR="00AC19D2" w:rsidRPr="00D55644">
        <w:rPr>
          <w:sz w:val="26"/>
          <w:szCs w:val="26"/>
        </w:rPr>
        <w:t xml:space="preserve"> dominated by UCB</w:t>
      </w:r>
      <w:r w:rsidR="00ED1510" w:rsidRPr="00D55644">
        <w:rPr>
          <w:sz w:val="26"/>
          <w:szCs w:val="26"/>
        </w:rPr>
        <w:t>—to appear on one bill.</w:t>
      </w:r>
      <w:r w:rsidR="00955F2B" w:rsidRPr="00D55644">
        <w:rPr>
          <w:sz w:val="26"/>
          <w:szCs w:val="26"/>
        </w:rPr>
        <w:t xml:space="preserve">  In addition, NRG claims</w:t>
      </w:r>
      <w:r w:rsidR="00A53C80" w:rsidRPr="00D55644">
        <w:rPr>
          <w:sz w:val="26"/>
          <w:szCs w:val="26"/>
        </w:rPr>
        <w:t xml:space="preserve"> that</w:t>
      </w:r>
      <w:r w:rsidR="00955F2B" w:rsidRPr="00D55644">
        <w:rPr>
          <w:sz w:val="26"/>
          <w:szCs w:val="26"/>
        </w:rPr>
        <w:t xml:space="preserve"> the Commission, Direct Energy, RESA, and WGL Ener</w:t>
      </w:r>
      <w:r w:rsidR="00A53C80" w:rsidRPr="00D55644">
        <w:rPr>
          <w:sz w:val="26"/>
          <w:szCs w:val="26"/>
        </w:rPr>
        <w:t xml:space="preserve">gy support the </w:t>
      </w:r>
      <w:r w:rsidR="008D7890" w:rsidRPr="00D55644">
        <w:rPr>
          <w:sz w:val="26"/>
          <w:szCs w:val="26"/>
        </w:rPr>
        <w:t>enabling</w:t>
      </w:r>
      <w:r w:rsidR="005C350C" w:rsidRPr="00D55644">
        <w:rPr>
          <w:sz w:val="26"/>
          <w:szCs w:val="26"/>
        </w:rPr>
        <w:t xml:space="preserve"> EGSs </w:t>
      </w:r>
      <w:r w:rsidR="00955F2B" w:rsidRPr="00D55644">
        <w:rPr>
          <w:sz w:val="26"/>
          <w:szCs w:val="26"/>
        </w:rPr>
        <w:t>to offer VAS so that consumers have access to a wide array of innovative products and services</w:t>
      </w:r>
      <w:r w:rsidR="00AC19D2" w:rsidRPr="00D55644">
        <w:rPr>
          <w:sz w:val="26"/>
          <w:szCs w:val="26"/>
        </w:rPr>
        <w:t>, which will encourage shopping</w:t>
      </w:r>
      <w:r w:rsidR="00955F2B" w:rsidRPr="00D55644">
        <w:rPr>
          <w:sz w:val="26"/>
          <w:szCs w:val="26"/>
        </w:rPr>
        <w:t xml:space="preserve"> and </w:t>
      </w:r>
      <w:r w:rsidR="00AC19D2" w:rsidRPr="00D55644">
        <w:rPr>
          <w:sz w:val="26"/>
          <w:szCs w:val="26"/>
        </w:rPr>
        <w:t>thereby enhance the competitive retail electric market.</w:t>
      </w:r>
      <w:r w:rsidR="00AC19D2" w:rsidRPr="00D55644">
        <w:rPr>
          <w:rStyle w:val="FootnoteReference"/>
          <w:sz w:val="26"/>
          <w:szCs w:val="26"/>
        </w:rPr>
        <w:footnoteReference w:id="100"/>
      </w:r>
    </w:p>
    <w:p w14:paraId="58162891" w14:textId="77777777" w:rsidR="00ED1510" w:rsidRPr="00D55644" w:rsidRDefault="00ED1510" w:rsidP="006A2DFB">
      <w:pPr>
        <w:spacing w:line="360" w:lineRule="auto"/>
        <w:rPr>
          <w:sz w:val="26"/>
          <w:szCs w:val="26"/>
        </w:rPr>
      </w:pPr>
    </w:p>
    <w:p w14:paraId="651F334B" w14:textId="0BFA1D58" w:rsidR="00ED1510" w:rsidRDefault="00ED1510" w:rsidP="006A2DFB">
      <w:pPr>
        <w:spacing w:line="360" w:lineRule="auto"/>
        <w:rPr>
          <w:sz w:val="26"/>
          <w:szCs w:val="26"/>
        </w:rPr>
      </w:pPr>
      <w:r w:rsidRPr="00D55644">
        <w:rPr>
          <w:sz w:val="26"/>
          <w:szCs w:val="26"/>
        </w:rPr>
        <w:tab/>
        <w:t>In response to claims that its Petition does not provide enough detail to allow the Commission to grant it, NRG claims that it is not required to include detailed</w:t>
      </w:r>
      <w:r w:rsidR="00AC19D2" w:rsidRPr="00D55644">
        <w:rPr>
          <w:sz w:val="26"/>
          <w:szCs w:val="26"/>
        </w:rPr>
        <w:t xml:space="preserve"> procedures for its proposals.</w:t>
      </w:r>
      <w:r w:rsidR="00AC19D2" w:rsidRPr="00D55644">
        <w:rPr>
          <w:rStyle w:val="FootnoteReference"/>
          <w:sz w:val="26"/>
          <w:szCs w:val="26"/>
        </w:rPr>
        <w:footnoteReference w:id="101"/>
      </w:r>
    </w:p>
    <w:p w14:paraId="15447B49" w14:textId="77777777" w:rsidR="006405CB" w:rsidRPr="00D55644" w:rsidRDefault="006405CB" w:rsidP="006A2DFB">
      <w:pPr>
        <w:spacing w:line="360" w:lineRule="auto"/>
        <w:rPr>
          <w:sz w:val="26"/>
          <w:szCs w:val="26"/>
        </w:rPr>
      </w:pPr>
    </w:p>
    <w:p w14:paraId="78FF9E4F" w14:textId="77777777" w:rsidR="00AC19D2" w:rsidRPr="00D55644" w:rsidRDefault="00AC19D2" w:rsidP="006A2DFB">
      <w:pPr>
        <w:spacing w:line="360" w:lineRule="auto"/>
        <w:rPr>
          <w:sz w:val="26"/>
          <w:szCs w:val="26"/>
        </w:rPr>
      </w:pPr>
      <w:r w:rsidRPr="00D55644">
        <w:rPr>
          <w:sz w:val="26"/>
          <w:szCs w:val="26"/>
        </w:rPr>
        <w:tab/>
        <w:t xml:space="preserve">Further, </w:t>
      </w:r>
      <w:r w:rsidR="002924AE" w:rsidRPr="00D55644">
        <w:rPr>
          <w:sz w:val="26"/>
          <w:szCs w:val="26"/>
        </w:rPr>
        <w:t>regarding termination of service for</w:t>
      </w:r>
      <w:r w:rsidR="00502030" w:rsidRPr="00D55644">
        <w:rPr>
          <w:sz w:val="26"/>
          <w:szCs w:val="26"/>
        </w:rPr>
        <w:t xml:space="preserve"> nonpayment of</w:t>
      </w:r>
      <w:r w:rsidR="002924AE" w:rsidRPr="00D55644">
        <w:rPr>
          <w:sz w:val="26"/>
          <w:szCs w:val="26"/>
        </w:rPr>
        <w:t xml:space="preserve"> VAS, </w:t>
      </w:r>
      <w:r w:rsidRPr="00D55644">
        <w:rPr>
          <w:sz w:val="26"/>
          <w:szCs w:val="26"/>
        </w:rPr>
        <w:t xml:space="preserve">NRG points out that it already acknowledged in its Petition that a customer’s electric service cannot be terminated for failure to pay non-basic charges (that is, charges for VAS).  </w:t>
      </w:r>
      <w:r w:rsidR="00774D5B" w:rsidRPr="00D55644">
        <w:rPr>
          <w:sz w:val="26"/>
          <w:szCs w:val="26"/>
        </w:rPr>
        <w:t>NRG notes that the rules do not allow for termination under th</w:t>
      </w:r>
      <w:r w:rsidR="002924AE" w:rsidRPr="00D55644">
        <w:rPr>
          <w:sz w:val="26"/>
          <w:szCs w:val="26"/>
        </w:rPr>
        <w:t>os</w:t>
      </w:r>
      <w:r w:rsidR="00774D5B" w:rsidRPr="00D55644">
        <w:rPr>
          <w:sz w:val="26"/>
          <w:szCs w:val="26"/>
        </w:rPr>
        <w:t>e circumstances, so EGSs offering SCB would have to adopt procedures and mechanisms to prevent it.</w:t>
      </w:r>
      <w:r w:rsidR="00774D5B" w:rsidRPr="00D55644">
        <w:rPr>
          <w:rStyle w:val="FootnoteReference"/>
          <w:sz w:val="26"/>
          <w:szCs w:val="26"/>
        </w:rPr>
        <w:footnoteReference w:id="102"/>
      </w:r>
    </w:p>
    <w:p w14:paraId="01692348" w14:textId="77777777" w:rsidR="00AC19D2" w:rsidRPr="00D55644" w:rsidRDefault="00AC19D2" w:rsidP="006A2DFB">
      <w:pPr>
        <w:spacing w:line="360" w:lineRule="auto"/>
        <w:rPr>
          <w:sz w:val="26"/>
          <w:szCs w:val="26"/>
        </w:rPr>
      </w:pPr>
    </w:p>
    <w:p w14:paraId="397B27E5" w14:textId="77777777" w:rsidR="00ED1510" w:rsidRPr="00D55644" w:rsidRDefault="00ED1510" w:rsidP="006A2DFB">
      <w:pPr>
        <w:spacing w:line="360" w:lineRule="auto"/>
        <w:rPr>
          <w:sz w:val="26"/>
          <w:szCs w:val="26"/>
        </w:rPr>
      </w:pPr>
      <w:r w:rsidRPr="00D55644">
        <w:rPr>
          <w:sz w:val="26"/>
          <w:szCs w:val="26"/>
        </w:rPr>
        <w:tab/>
      </w:r>
      <w:r w:rsidR="00EB7DF9" w:rsidRPr="00D55644">
        <w:rPr>
          <w:sz w:val="26"/>
          <w:szCs w:val="26"/>
        </w:rPr>
        <w:t>Regarding</w:t>
      </w:r>
      <w:r w:rsidRPr="00D55644">
        <w:rPr>
          <w:sz w:val="26"/>
          <w:szCs w:val="26"/>
        </w:rPr>
        <w:t xml:space="preserve"> the operation of low-income programs such as LIHEAP</w:t>
      </w:r>
      <w:r w:rsidR="009A21DD" w:rsidRPr="00D55644">
        <w:rPr>
          <w:sz w:val="26"/>
          <w:szCs w:val="26"/>
        </w:rPr>
        <w:t xml:space="preserve"> and CAP</w:t>
      </w:r>
      <w:r w:rsidRPr="00D55644">
        <w:rPr>
          <w:sz w:val="26"/>
          <w:szCs w:val="26"/>
        </w:rPr>
        <w:t>, NRG asserts that call center representatives of EGSs offering SCB would be trained to make referrals to the programs.  However, to reduce the number of</w:t>
      </w:r>
      <w:r w:rsidR="00711438" w:rsidRPr="00D55644">
        <w:rPr>
          <w:sz w:val="26"/>
          <w:szCs w:val="26"/>
        </w:rPr>
        <w:t xml:space="preserve"> other</w:t>
      </w:r>
      <w:r w:rsidRPr="00D55644">
        <w:rPr>
          <w:sz w:val="26"/>
          <w:szCs w:val="26"/>
        </w:rPr>
        <w:t xml:space="preserve"> outstandin</w:t>
      </w:r>
      <w:r w:rsidR="00711438" w:rsidRPr="00D55644">
        <w:rPr>
          <w:sz w:val="26"/>
          <w:szCs w:val="26"/>
        </w:rPr>
        <w:t>g issues related to the administration of low-income programs</w:t>
      </w:r>
      <w:r w:rsidRPr="00D55644">
        <w:rPr>
          <w:sz w:val="26"/>
          <w:szCs w:val="26"/>
        </w:rPr>
        <w:t>, NRG proposes t</w:t>
      </w:r>
      <w:r w:rsidR="002A6E34" w:rsidRPr="00D55644">
        <w:rPr>
          <w:sz w:val="26"/>
          <w:szCs w:val="26"/>
        </w:rPr>
        <w:t>hat EGSs offering SCB not</w:t>
      </w:r>
      <w:r w:rsidRPr="00D55644">
        <w:rPr>
          <w:sz w:val="26"/>
          <w:szCs w:val="26"/>
        </w:rPr>
        <w:t xml:space="preserve"> serve customers </w:t>
      </w:r>
      <w:r w:rsidR="00684275" w:rsidRPr="00D55644">
        <w:rPr>
          <w:sz w:val="26"/>
          <w:szCs w:val="26"/>
        </w:rPr>
        <w:t xml:space="preserve">who receive LIHEAP </w:t>
      </w:r>
      <w:r w:rsidR="009A21DD" w:rsidRPr="00D55644">
        <w:rPr>
          <w:sz w:val="26"/>
          <w:szCs w:val="26"/>
        </w:rPr>
        <w:t xml:space="preserve">and/or CAP </w:t>
      </w:r>
      <w:r w:rsidR="00684275" w:rsidRPr="00D55644">
        <w:rPr>
          <w:sz w:val="26"/>
          <w:szCs w:val="26"/>
        </w:rPr>
        <w:t>subsidies.  If a customer receiving the subsidies signed up for service with an EGS offering SCB, the enrollment transaction sent by the EGS would be flagged and rejected by the EDC.  Further, if an existing SCB customer began receiving LIHEAP</w:t>
      </w:r>
      <w:r w:rsidR="009A21DD" w:rsidRPr="00D55644">
        <w:rPr>
          <w:sz w:val="26"/>
          <w:szCs w:val="26"/>
        </w:rPr>
        <w:t xml:space="preserve"> or CAP</w:t>
      </w:r>
      <w:r w:rsidR="00684275" w:rsidRPr="00D55644">
        <w:rPr>
          <w:sz w:val="26"/>
          <w:szCs w:val="26"/>
        </w:rPr>
        <w:t xml:space="preserve"> subsidies, the EDC would send a drop transaction to the EGS.</w:t>
      </w:r>
      <w:r w:rsidR="00AC19D2" w:rsidRPr="00D55644">
        <w:rPr>
          <w:rStyle w:val="FootnoteReference"/>
          <w:sz w:val="26"/>
          <w:szCs w:val="26"/>
        </w:rPr>
        <w:footnoteReference w:id="103"/>
      </w:r>
    </w:p>
    <w:p w14:paraId="44B65283" w14:textId="77777777" w:rsidR="00684275" w:rsidRPr="00D55644" w:rsidRDefault="00684275" w:rsidP="006A2DFB">
      <w:pPr>
        <w:spacing w:line="360" w:lineRule="auto"/>
        <w:rPr>
          <w:sz w:val="26"/>
          <w:szCs w:val="26"/>
        </w:rPr>
      </w:pPr>
    </w:p>
    <w:p w14:paraId="2188341F" w14:textId="77777777" w:rsidR="00684275" w:rsidRPr="00D55644" w:rsidRDefault="00491FAA" w:rsidP="006A2DFB">
      <w:pPr>
        <w:spacing w:line="360" w:lineRule="auto"/>
        <w:rPr>
          <w:sz w:val="26"/>
          <w:szCs w:val="26"/>
        </w:rPr>
      </w:pPr>
      <w:r w:rsidRPr="00D55644">
        <w:rPr>
          <w:sz w:val="26"/>
          <w:szCs w:val="26"/>
        </w:rPr>
        <w:tab/>
        <w:t xml:space="preserve">NRG </w:t>
      </w:r>
      <w:r w:rsidR="00684275" w:rsidRPr="00D55644">
        <w:rPr>
          <w:sz w:val="26"/>
          <w:szCs w:val="26"/>
        </w:rPr>
        <w:t>reserves the right to revisit the issue of serving LIHEAP</w:t>
      </w:r>
      <w:r w:rsidR="009A21DD" w:rsidRPr="00D55644">
        <w:rPr>
          <w:sz w:val="26"/>
          <w:szCs w:val="26"/>
        </w:rPr>
        <w:t xml:space="preserve"> and CAP</w:t>
      </w:r>
      <w:r w:rsidR="00684275" w:rsidRPr="00D55644">
        <w:rPr>
          <w:sz w:val="26"/>
          <w:szCs w:val="26"/>
        </w:rPr>
        <w:t xml:space="preserve"> customers in the future after SCB is implement</w:t>
      </w:r>
      <w:r w:rsidR="007633A3" w:rsidRPr="00D55644">
        <w:rPr>
          <w:sz w:val="26"/>
          <w:szCs w:val="26"/>
        </w:rPr>
        <w:t>ed</w:t>
      </w:r>
      <w:r w:rsidR="00684275" w:rsidRPr="00D55644">
        <w:rPr>
          <w:sz w:val="26"/>
          <w:szCs w:val="26"/>
        </w:rPr>
        <w:t>.  It also says</w:t>
      </w:r>
      <w:r w:rsidR="007633A3" w:rsidRPr="00D55644">
        <w:rPr>
          <w:sz w:val="26"/>
          <w:szCs w:val="26"/>
        </w:rPr>
        <w:t xml:space="preserve"> that in the meantime,</w:t>
      </w:r>
      <w:r w:rsidR="00684275" w:rsidRPr="00D55644">
        <w:rPr>
          <w:sz w:val="26"/>
          <w:szCs w:val="26"/>
        </w:rPr>
        <w:t xml:space="preserve"> the Commission should consider a statewide solution to make the subsidies portable.</w:t>
      </w:r>
      <w:r w:rsidR="00AC19D2" w:rsidRPr="00D55644">
        <w:rPr>
          <w:rStyle w:val="FootnoteReference"/>
          <w:sz w:val="26"/>
          <w:szCs w:val="26"/>
        </w:rPr>
        <w:footnoteReference w:id="104"/>
      </w:r>
    </w:p>
    <w:p w14:paraId="01445C83" w14:textId="77777777" w:rsidR="009D2420" w:rsidRPr="00D55644" w:rsidRDefault="009D2420" w:rsidP="006A2DFB">
      <w:pPr>
        <w:spacing w:line="360" w:lineRule="auto"/>
        <w:rPr>
          <w:sz w:val="26"/>
          <w:szCs w:val="26"/>
        </w:rPr>
      </w:pPr>
    </w:p>
    <w:p w14:paraId="369DB980" w14:textId="77777777" w:rsidR="00350700" w:rsidRPr="00D55644" w:rsidRDefault="00350700" w:rsidP="006A2DFB">
      <w:pPr>
        <w:spacing w:line="360" w:lineRule="auto"/>
        <w:rPr>
          <w:sz w:val="26"/>
          <w:szCs w:val="26"/>
        </w:rPr>
      </w:pPr>
      <w:r w:rsidRPr="00D55644">
        <w:rPr>
          <w:sz w:val="26"/>
          <w:szCs w:val="26"/>
        </w:rPr>
        <w:tab/>
        <w:t xml:space="preserve">Finally, </w:t>
      </w:r>
      <w:proofErr w:type="gramStart"/>
      <w:r w:rsidRPr="00D55644">
        <w:rPr>
          <w:sz w:val="26"/>
          <w:szCs w:val="26"/>
        </w:rPr>
        <w:t>with regard to</w:t>
      </w:r>
      <w:proofErr w:type="gramEnd"/>
      <w:r w:rsidRPr="00D55644">
        <w:rPr>
          <w:sz w:val="26"/>
          <w:szCs w:val="26"/>
        </w:rPr>
        <w:t xml:space="preserve"> PECO’s concerns about the effect of SCB on its dual (gas and electric) service customers, NRG clai</w:t>
      </w:r>
      <w:r w:rsidR="00766BC6" w:rsidRPr="00D55644">
        <w:rPr>
          <w:sz w:val="26"/>
          <w:szCs w:val="26"/>
        </w:rPr>
        <w:t>ms the Commission should not consider them</w:t>
      </w:r>
      <w:r w:rsidRPr="00D55644">
        <w:rPr>
          <w:sz w:val="26"/>
          <w:szCs w:val="26"/>
        </w:rPr>
        <w:t>.  According to NRG, those issues are driven by PECO’s business operations and they should have no bearing on whether SCB is implemented.</w:t>
      </w:r>
      <w:r w:rsidRPr="00D55644">
        <w:rPr>
          <w:rStyle w:val="FootnoteReference"/>
          <w:sz w:val="26"/>
          <w:szCs w:val="26"/>
        </w:rPr>
        <w:footnoteReference w:id="105"/>
      </w:r>
    </w:p>
    <w:p w14:paraId="0E21F4BB" w14:textId="308725EA" w:rsidR="00580664" w:rsidRDefault="00580664">
      <w:pPr>
        <w:overflowPunct/>
        <w:autoSpaceDE/>
        <w:autoSpaceDN/>
        <w:adjustRightInd/>
        <w:textAlignment w:val="auto"/>
        <w:rPr>
          <w:sz w:val="26"/>
          <w:szCs w:val="26"/>
        </w:rPr>
      </w:pPr>
    </w:p>
    <w:p w14:paraId="47B670AA" w14:textId="77777777" w:rsidR="009D2420" w:rsidRPr="00580664" w:rsidRDefault="009D2420" w:rsidP="006C5132">
      <w:pPr>
        <w:spacing w:line="360" w:lineRule="auto"/>
        <w:ind w:left="720"/>
        <w:rPr>
          <w:b/>
          <w:sz w:val="26"/>
          <w:szCs w:val="26"/>
        </w:rPr>
      </w:pPr>
      <w:r w:rsidRPr="00444C67">
        <w:rPr>
          <w:b/>
          <w:sz w:val="26"/>
          <w:szCs w:val="26"/>
        </w:rPr>
        <w:t>4</w:t>
      </w:r>
      <w:r w:rsidR="00580664" w:rsidRPr="00444C67">
        <w:rPr>
          <w:b/>
          <w:sz w:val="26"/>
          <w:szCs w:val="26"/>
        </w:rPr>
        <w:t>.</w:t>
      </w:r>
      <w:r w:rsidR="00580664" w:rsidRPr="00444C67">
        <w:rPr>
          <w:b/>
          <w:sz w:val="26"/>
          <w:szCs w:val="26"/>
        </w:rPr>
        <w:tab/>
      </w:r>
      <w:r w:rsidRPr="00444C67">
        <w:rPr>
          <w:b/>
          <w:sz w:val="26"/>
          <w:szCs w:val="26"/>
        </w:rPr>
        <w:t>Disposition</w:t>
      </w:r>
    </w:p>
    <w:p w14:paraId="3D0D1595" w14:textId="14C51750" w:rsidR="00C71FE3" w:rsidRPr="00D55644" w:rsidRDefault="003D6BD4" w:rsidP="006A2DFB">
      <w:pPr>
        <w:spacing w:line="360" w:lineRule="auto"/>
        <w:rPr>
          <w:sz w:val="26"/>
          <w:szCs w:val="26"/>
        </w:rPr>
      </w:pPr>
      <w:r w:rsidRPr="00D55644">
        <w:rPr>
          <w:sz w:val="26"/>
          <w:szCs w:val="26"/>
        </w:rPr>
        <w:tab/>
      </w:r>
      <w:r w:rsidR="00EB7DF9" w:rsidRPr="00D55644">
        <w:rPr>
          <w:sz w:val="26"/>
          <w:szCs w:val="26"/>
        </w:rPr>
        <w:t>Regarding</w:t>
      </w:r>
      <w:r w:rsidRPr="00D55644">
        <w:rPr>
          <w:sz w:val="26"/>
          <w:szCs w:val="26"/>
        </w:rPr>
        <w:t xml:space="preserve"> EGSs billing and collecting payment </w:t>
      </w:r>
      <w:r w:rsidR="00262BB8" w:rsidRPr="00D55644">
        <w:rPr>
          <w:sz w:val="26"/>
          <w:szCs w:val="26"/>
        </w:rPr>
        <w:t xml:space="preserve">from customers </w:t>
      </w:r>
      <w:r w:rsidRPr="00D55644">
        <w:rPr>
          <w:sz w:val="26"/>
          <w:szCs w:val="26"/>
        </w:rPr>
        <w:t xml:space="preserve">for VAS, the Commission shares the concerns expressed by </w:t>
      </w:r>
      <w:r w:rsidR="006166E3" w:rsidRPr="00D55644">
        <w:rPr>
          <w:sz w:val="26"/>
          <w:szCs w:val="26"/>
        </w:rPr>
        <w:t xml:space="preserve">the </w:t>
      </w:r>
      <w:r w:rsidRPr="00D55644">
        <w:rPr>
          <w:sz w:val="26"/>
          <w:szCs w:val="26"/>
        </w:rPr>
        <w:t xml:space="preserve">OCA, PECO, and FirstEnergy.  </w:t>
      </w:r>
      <w:r w:rsidR="00D82E61" w:rsidRPr="00D55644">
        <w:rPr>
          <w:sz w:val="26"/>
          <w:szCs w:val="26"/>
        </w:rPr>
        <w:t>Commission regulations dictate that c</w:t>
      </w:r>
      <w:r w:rsidR="00192453" w:rsidRPr="00D55644">
        <w:rPr>
          <w:sz w:val="26"/>
          <w:szCs w:val="26"/>
        </w:rPr>
        <w:t xml:space="preserve">harges for VAS must appear separately on customers’ bills, are last in line of priority for payment, and cannot serve as the basis for termination of service.  52 Pa. Code §§ 56.13, 56.23, 56.24, and 56.83.  </w:t>
      </w:r>
      <w:r w:rsidR="002041EB" w:rsidRPr="00D55644">
        <w:rPr>
          <w:sz w:val="26"/>
          <w:szCs w:val="26"/>
        </w:rPr>
        <w:t xml:space="preserve">Although NRG acknowledged that </w:t>
      </w:r>
      <w:r w:rsidR="00C71FE3" w:rsidRPr="00D55644">
        <w:rPr>
          <w:sz w:val="26"/>
          <w:szCs w:val="26"/>
        </w:rPr>
        <w:t xml:space="preserve">a customer’s </w:t>
      </w:r>
      <w:r w:rsidR="002041EB" w:rsidRPr="00D55644">
        <w:rPr>
          <w:sz w:val="26"/>
          <w:szCs w:val="26"/>
        </w:rPr>
        <w:t>electric service cannot be terminated for nonpayment of VAS and asserted that EGSs offering SCB would have to adopt procedures to ensure that does not happen,</w:t>
      </w:r>
      <w:r w:rsidR="00821B04" w:rsidRPr="00D55644">
        <w:rPr>
          <w:sz w:val="26"/>
          <w:szCs w:val="26"/>
        </w:rPr>
        <w:t xml:space="preserve"> the Commission </w:t>
      </w:r>
      <w:r w:rsidR="009D5320">
        <w:rPr>
          <w:sz w:val="26"/>
          <w:szCs w:val="26"/>
        </w:rPr>
        <w:t xml:space="preserve">finds </w:t>
      </w:r>
      <w:r w:rsidR="006405CB">
        <w:rPr>
          <w:sz w:val="26"/>
          <w:szCs w:val="26"/>
        </w:rPr>
        <w:t xml:space="preserve">that NRG has </w:t>
      </w:r>
      <w:r w:rsidR="009D5320">
        <w:rPr>
          <w:sz w:val="26"/>
          <w:szCs w:val="26"/>
        </w:rPr>
        <w:t xml:space="preserve">failed to </w:t>
      </w:r>
      <w:r w:rsidR="006405CB">
        <w:rPr>
          <w:sz w:val="26"/>
          <w:szCs w:val="26"/>
        </w:rPr>
        <w:t xml:space="preserve">provide </w:t>
      </w:r>
      <w:r w:rsidR="00821B04" w:rsidRPr="00D55644">
        <w:rPr>
          <w:sz w:val="26"/>
          <w:szCs w:val="26"/>
        </w:rPr>
        <w:t>enough</w:t>
      </w:r>
      <w:r w:rsidR="002E2C03" w:rsidRPr="00D55644">
        <w:rPr>
          <w:sz w:val="26"/>
          <w:szCs w:val="26"/>
        </w:rPr>
        <w:t xml:space="preserve"> </w:t>
      </w:r>
      <w:r w:rsidR="00DB69F2">
        <w:rPr>
          <w:sz w:val="26"/>
          <w:szCs w:val="26"/>
        </w:rPr>
        <w:t xml:space="preserve">information in its Petition </w:t>
      </w:r>
      <w:r w:rsidR="002E2C03" w:rsidRPr="00D55644">
        <w:rPr>
          <w:sz w:val="26"/>
          <w:szCs w:val="26"/>
        </w:rPr>
        <w:t>to guarantee appropriate consumer protection</w:t>
      </w:r>
      <w:r w:rsidR="00821B04" w:rsidRPr="00D55644">
        <w:rPr>
          <w:sz w:val="26"/>
          <w:szCs w:val="26"/>
        </w:rPr>
        <w:t>.</w:t>
      </w:r>
    </w:p>
    <w:p w14:paraId="3A01B737" w14:textId="77777777" w:rsidR="00C71FE3" w:rsidRPr="00D55644" w:rsidRDefault="00C71FE3" w:rsidP="006A2DFB">
      <w:pPr>
        <w:spacing w:line="360" w:lineRule="auto"/>
        <w:rPr>
          <w:sz w:val="26"/>
          <w:szCs w:val="26"/>
        </w:rPr>
      </w:pPr>
    </w:p>
    <w:p w14:paraId="6EDE9AC2" w14:textId="6926B119" w:rsidR="003D6BD4" w:rsidRPr="00D55644" w:rsidRDefault="00C71FE3" w:rsidP="006A2DFB">
      <w:pPr>
        <w:spacing w:line="360" w:lineRule="auto"/>
        <w:rPr>
          <w:sz w:val="26"/>
          <w:szCs w:val="26"/>
        </w:rPr>
      </w:pPr>
      <w:r w:rsidRPr="00D55644">
        <w:rPr>
          <w:sz w:val="26"/>
          <w:szCs w:val="26"/>
        </w:rPr>
        <w:tab/>
      </w:r>
      <w:r w:rsidR="00C11426" w:rsidRPr="00D55644">
        <w:rPr>
          <w:sz w:val="26"/>
          <w:szCs w:val="26"/>
        </w:rPr>
        <w:t>NRG’s Petition simply does not provide sufficient detail to allow us to conclude that EGSs will adhere to the priority of payment regulations.  As the OCA noted, EDCs—which have been dealing with the billing regulations for years and have detailed provisions in their tariffs for applying payments</w:t>
      </w:r>
      <w:r w:rsidR="00C11426">
        <w:rPr>
          <w:sz w:val="26"/>
          <w:szCs w:val="26"/>
        </w:rPr>
        <w:t xml:space="preserve"> that have been reviewed and approved by the Commission</w:t>
      </w:r>
      <w:r w:rsidR="00C11426" w:rsidRPr="00D55644">
        <w:rPr>
          <w:sz w:val="26"/>
          <w:szCs w:val="26"/>
        </w:rPr>
        <w:t xml:space="preserve">—continue to have discussions with other stakeholders regarding the billing requirements.  </w:t>
      </w:r>
    </w:p>
    <w:p w14:paraId="6CE40640" w14:textId="77777777" w:rsidR="00821B04" w:rsidRPr="00D55644" w:rsidRDefault="00821B04" w:rsidP="006A2DFB">
      <w:pPr>
        <w:spacing w:line="360" w:lineRule="auto"/>
        <w:rPr>
          <w:sz w:val="26"/>
          <w:szCs w:val="26"/>
        </w:rPr>
      </w:pPr>
    </w:p>
    <w:p w14:paraId="02D0B62C" w14:textId="55311135" w:rsidR="00290835" w:rsidRDefault="00676380" w:rsidP="006A2DFB">
      <w:pPr>
        <w:spacing w:line="360" w:lineRule="auto"/>
        <w:rPr>
          <w:sz w:val="26"/>
          <w:szCs w:val="26"/>
        </w:rPr>
      </w:pPr>
      <w:r w:rsidRPr="00D55644">
        <w:rPr>
          <w:sz w:val="26"/>
          <w:szCs w:val="26"/>
        </w:rPr>
        <w:tab/>
        <w:t>Given the importance of the priority of payment regulations to consumers, particularly in an SCB environm</w:t>
      </w:r>
      <w:r w:rsidR="00F266AF" w:rsidRPr="00D55644">
        <w:rPr>
          <w:sz w:val="26"/>
          <w:szCs w:val="26"/>
        </w:rPr>
        <w:t>ent where EGSs are offering VAS</w:t>
      </w:r>
      <w:r w:rsidR="002E2F42" w:rsidRPr="00D55644">
        <w:rPr>
          <w:sz w:val="26"/>
          <w:szCs w:val="26"/>
        </w:rPr>
        <w:t>,</w:t>
      </w:r>
      <w:r w:rsidR="00F266AF" w:rsidRPr="00D55644">
        <w:rPr>
          <w:sz w:val="26"/>
          <w:szCs w:val="26"/>
        </w:rPr>
        <w:t xml:space="preserve"> and</w:t>
      </w:r>
      <w:r w:rsidRPr="00D55644">
        <w:rPr>
          <w:sz w:val="26"/>
          <w:szCs w:val="26"/>
        </w:rPr>
        <w:t xml:space="preserve"> the EGSs</w:t>
      </w:r>
      <w:r w:rsidR="002E2F42" w:rsidRPr="00D55644">
        <w:rPr>
          <w:sz w:val="26"/>
          <w:szCs w:val="26"/>
        </w:rPr>
        <w:t>’</w:t>
      </w:r>
      <w:r w:rsidRPr="00D55644">
        <w:rPr>
          <w:sz w:val="26"/>
          <w:szCs w:val="26"/>
        </w:rPr>
        <w:t xml:space="preserve"> inexperience with those intricate regulations</w:t>
      </w:r>
      <w:r w:rsidR="00AE7036" w:rsidRPr="00D55644">
        <w:rPr>
          <w:sz w:val="26"/>
          <w:szCs w:val="26"/>
        </w:rPr>
        <w:t>, NRG’s proposal does</w:t>
      </w:r>
      <w:r w:rsidRPr="00D55644">
        <w:rPr>
          <w:sz w:val="26"/>
          <w:szCs w:val="26"/>
        </w:rPr>
        <w:t xml:space="preserve"> not adequately address the associated issues.  </w:t>
      </w:r>
      <w:r w:rsidR="007C57BE" w:rsidRPr="00D55644">
        <w:rPr>
          <w:sz w:val="26"/>
          <w:szCs w:val="26"/>
        </w:rPr>
        <w:t>Under the circumstances, NRG has not met its burden of showing that its proposal for handling VAS and low-income programs complies with all statutory and regulatory requirements.</w:t>
      </w:r>
    </w:p>
    <w:p w14:paraId="5345BFFF" w14:textId="77777777" w:rsidR="00DB69F2" w:rsidRPr="00D55644" w:rsidRDefault="00DB69F2" w:rsidP="006A2DFB">
      <w:pPr>
        <w:spacing w:line="360" w:lineRule="auto"/>
        <w:rPr>
          <w:sz w:val="26"/>
          <w:szCs w:val="26"/>
        </w:rPr>
      </w:pPr>
    </w:p>
    <w:p w14:paraId="1BE95F46" w14:textId="085D372F" w:rsidR="00CA4717" w:rsidRPr="00D55644" w:rsidRDefault="007F5987" w:rsidP="00CA4717">
      <w:pPr>
        <w:spacing w:line="360" w:lineRule="auto"/>
        <w:rPr>
          <w:sz w:val="26"/>
          <w:szCs w:val="26"/>
        </w:rPr>
      </w:pPr>
      <w:r w:rsidRPr="00D55644">
        <w:rPr>
          <w:sz w:val="26"/>
          <w:szCs w:val="26"/>
        </w:rPr>
        <w:tab/>
      </w:r>
      <w:r w:rsidR="00F20FA5" w:rsidRPr="00D55644">
        <w:rPr>
          <w:sz w:val="26"/>
          <w:szCs w:val="26"/>
        </w:rPr>
        <w:t>NRG</w:t>
      </w:r>
      <w:r w:rsidR="00E62D9C" w:rsidRPr="00D55644">
        <w:rPr>
          <w:sz w:val="26"/>
          <w:szCs w:val="26"/>
        </w:rPr>
        <w:t>’s Petition does</w:t>
      </w:r>
      <w:r w:rsidR="00F20FA5" w:rsidRPr="00D55644">
        <w:rPr>
          <w:sz w:val="26"/>
          <w:szCs w:val="26"/>
        </w:rPr>
        <w:t xml:space="preserve"> n</w:t>
      </w:r>
      <w:r w:rsidR="00E62D9C" w:rsidRPr="00D55644">
        <w:rPr>
          <w:sz w:val="26"/>
          <w:szCs w:val="26"/>
        </w:rPr>
        <w:t>ot adequately ensure that EGSs take appro</w:t>
      </w:r>
      <w:r w:rsidR="00DF025C" w:rsidRPr="00D55644">
        <w:rPr>
          <w:sz w:val="26"/>
          <w:szCs w:val="26"/>
        </w:rPr>
        <w:t>priate measures to mitigate the</w:t>
      </w:r>
      <w:r w:rsidR="00E62D9C" w:rsidRPr="00D55644">
        <w:rPr>
          <w:sz w:val="26"/>
          <w:szCs w:val="26"/>
        </w:rPr>
        <w:t xml:space="preserve"> risk</w:t>
      </w:r>
      <w:r w:rsidR="00DF025C" w:rsidRPr="00D55644">
        <w:rPr>
          <w:sz w:val="26"/>
          <w:szCs w:val="26"/>
        </w:rPr>
        <w:t xml:space="preserve"> of</w:t>
      </w:r>
      <w:r w:rsidR="008A1F40" w:rsidRPr="00D55644">
        <w:rPr>
          <w:sz w:val="26"/>
          <w:szCs w:val="26"/>
        </w:rPr>
        <w:t xml:space="preserve"> an</w:t>
      </w:r>
      <w:r w:rsidR="00DF025C" w:rsidRPr="00D55644">
        <w:rPr>
          <w:sz w:val="26"/>
          <w:szCs w:val="26"/>
        </w:rPr>
        <w:t xml:space="preserve"> improper allocation of customer payments</w:t>
      </w:r>
      <w:r w:rsidR="00F20FA5" w:rsidRPr="00D55644">
        <w:rPr>
          <w:sz w:val="26"/>
          <w:szCs w:val="26"/>
        </w:rPr>
        <w:t xml:space="preserve">.  </w:t>
      </w:r>
      <w:r w:rsidR="00CA4717" w:rsidRPr="00D55644">
        <w:rPr>
          <w:sz w:val="26"/>
          <w:szCs w:val="26"/>
        </w:rPr>
        <w:t xml:space="preserve">For example, NRG has not addressed how payments will be allocated to accounts with amounts past due from prior months.  An SCB bill </w:t>
      </w:r>
      <w:r w:rsidR="002E2F42" w:rsidRPr="00D55644">
        <w:rPr>
          <w:sz w:val="26"/>
          <w:szCs w:val="26"/>
        </w:rPr>
        <w:t xml:space="preserve">would </w:t>
      </w:r>
      <w:r w:rsidR="0049282F" w:rsidRPr="00D55644">
        <w:rPr>
          <w:sz w:val="26"/>
          <w:szCs w:val="26"/>
        </w:rPr>
        <w:t>have</w:t>
      </w:r>
      <w:r w:rsidR="00CA4717" w:rsidRPr="00D55644">
        <w:rPr>
          <w:sz w:val="26"/>
          <w:szCs w:val="26"/>
        </w:rPr>
        <w:t xml:space="preserve"> three components:</w:t>
      </w:r>
      <w:r w:rsidR="002E2F42" w:rsidRPr="00D55644">
        <w:rPr>
          <w:sz w:val="26"/>
          <w:szCs w:val="26"/>
        </w:rPr>
        <w:t xml:space="preserve"> </w:t>
      </w:r>
      <w:r w:rsidR="00CA4717" w:rsidRPr="00D55644">
        <w:rPr>
          <w:sz w:val="26"/>
          <w:szCs w:val="26"/>
        </w:rPr>
        <w:t>(1) the EGS’s generation supply</w:t>
      </w:r>
      <w:r w:rsidR="009D5320">
        <w:rPr>
          <w:sz w:val="26"/>
          <w:szCs w:val="26"/>
        </w:rPr>
        <w:t xml:space="preserve"> and transmission</w:t>
      </w:r>
      <w:r w:rsidR="00CA4717" w:rsidRPr="00D55644">
        <w:rPr>
          <w:sz w:val="26"/>
          <w:szCs w:val="26"/>
        </w:rPr>
        <w:t xml:space="preserve"> charges; (2) the EDC’s distribution charges; and (3)</w:t>
      </w:r>
      <w:r w:rsidR="002E2F42" w:rsidRPr="00D55644">
        <w:rPr>
          <w:sz w:val="26"/>
          <w:szCs w:val="26"/>
        </w:rPr>
        <w:t> </w:t>
      </w:r>
      <w:r w:rsidR="00CA4717" w:rsidRPr="00D55644">
        <w:rPr>
          <w:sz w:val="26"/>
          <w:szCs w:val="26"/>
        </w:rPr>
        <w:t>any applicable VAS charges.  NRG’s proposal does not address how a partial payment on an account with a</w:t>
      </w:r>
      <w:r w:rsidR="00624702" w:rsidRPr="00D55644">
        <w:rPr>
          <w:sz w:val="26"/>
          <w:szCs w:val="26"/>
        </w:rPr>
        <w:t>rrearages will be handled.  It does not address whether</w:t>
      </w:r>
      <w:r w:rsidR="00CA4717" w:rsidRPr="00D55644">
        <w:rPr>
          <w:sz w:val="26"/>
          <w:szCs w:val="26"/>
        </w:rPr>
        <w:t xml:space="preserve"> payments</w:t>
      </w:r>
      <w:r w:rsidR="00624702" w:rsidRPr="00D55644">
        <w:rPr>
          <w:sz w:val="26"/>
          <w:szCs w:val="26"/>
        </w:rPr>
        <w:t xml:space="preserve"> will</w:t>
      </w:r>
      <w:r w:rsidR="00CA4717" w:rsidRPr="00D55644">
        <w:rPr>
          <w:sz w:val="26"/>
          <w:szCs w:val="26"/>
        </w:rPr>
        <w:t xml:space="preserve"> be allocated to pas</w:t>
      </w:r>
      <w:r w:rsidR="00624702" w:rsidRPr="00D55644">
        <w:rPr>
          <w:sz w:val="26"/>
          <w:szCs w:val="26"/>
        </w:rPr>
        <w:t>t due or current balances first.</w:t>
      </w:r>
      <w:r w:rsidR="00CA4717" w:rsidRPr="00D55644">
        <w:rPr>
          <w:sz w:val="26"/>
          <w:szCs w:val="26"/>
        </w:rPr>
        <w:t xml:space="preserve">  </w:t>
      </w:r>
      <w:r w:rsidR="00624702" w:rsidRPr="00D55644">
        <w:rPr>
          <w:sz w:val="26"/>
          <w:szCs w:val="26"/>
        </w:rPr>
        <w:t>Nor does it address w</w:t>
      </w:r>
      <w:r w:rsidR="00CA4717" w:rsidRPr="00D55644">
        <w:rPr>
          <w:sz w:val="26"/>
          <w:szCs w:val="26"/>
        </w:rPr>
        <w:t>hich types of charges payments</w:t>
      </w:r>
      <w:r w:rsidR="00624702" w:rsidRPr="00D55644">
        <w:rPr>
          <w:sz w:val="26"/>
          <w:szCs w:val="26"/>
        </w:rPr>
        <w:t xml:space="preserve"> will</w:t>
      </w:r>
      <w:r w:rsidR="00CA4717" w:rsidRPr="00D55644">
        <w:rPr>
          <w:sz w:val="26"/>
          <w:szCs w:val="26"/>
        </w:rPr>
        <w:t xml:space="preserve"> be a</w:t>
      </w:r>
      <w:r w:rsidR="00624702" w:rsidRPr="00D55644">
        <w:rPr>
          <w:sz w:val="26"/>
          <w:szCs w:val="26"/>
        </w:rPr>
        <w:t>pplied to first.</w:t>
      </w:r>
    </w:p>
    <w:p w14:paraId="62F8B721" w14:textId="77777777" w:rsidR="00CA4717" w:rsidRPr="00D55644" w:rsidRDefault="00CA4717" w:rsidP="00E06D72">
      <w:pPr>
        <w:spacing w:line="360" w:lineRule="auto"/>
        <w:rPr>
          <w:sz w:val="26"/>
          <w:szCs w:val="26"/>
        </w:rPr>
      </w:pPr>
    </w:p>
    <w:p w14:paraId="7A964E64" w14:textId="77777777" w:rsidR="00E06D72" w:rsidRPr="00D55644" w:rsidRDefault="00CA4717" w:rsidP="00E06D72">
      <w:pPr>
        <w:spacing w:line="360" w:lineRule="auto"/>
        <w:rPr>
          <w:sz w:val="26"/>
          <w:szCs w:val="26"/>
        </w:rPr>
      </w:pPr>
      <w:r w:rsidRPr="00D55644">
        <w:rPr>
          <w:sz w:val="26"/>
          <w:szCs w:val="26"/>
        </w:rPr>
        <w:tab/>
      </w:r>
      <w:r w:rsidR="00F20FA5" w:rsidRPr="00D55644">
        <w:rPr>
          <w:sz w:val="26"/>
          <w:szCs w:val="26"/>
        </w:rPr>
        <w:t xml:space="preserve">Considering the </w:t>
      </w:r>
      <w:r w:rsidR="00E44F3E">
        <w:rPr>
          <w:sz w:val="26"/>
          <w:szCs w:val="26"/>
        </w:rPr>
        <w:t xml:space="preserve">essential nature </w:t>
      </w:r>
      <w:r w:rsidR="00F20FA5" w:rsidRPr="00D55644">
        <w:rPr>
          <w:sz w:val="26"/>
          <w:szCs w:val="26"/>
        </w:rPr>
        <w:t>of electric service to customers, the Commission</w:t>
      </w:r>
      <w:r w:rsidR="00C340E8" w:rsidRPr="00D55644">
        <w:rPr>
          <w:sz w:val="26"/>
          <w:szCs w:val="26"/>
        </w:rPr>
        <w:t xml:space="preserve"> finds</w:t>
      </w:r>
      <w:r w:rsidR="00F20FA5" w:rsidRPr="00D55644">
        <w:rPr>
          <w:sz w:val="26"/>
          <w:szCs w:val="26"/>
        </w:rPr>
        <w:t xml:space="preserve"> that without concrete policies and procedures in place to address customer payment allocations, NRG’</w:t>
      </w:r>
      <w:r w:rsidR="00B476D8" w:rsidRPr="00D55644">
        <w:rPr>
          <w:sz w:val="26"/>
          <w:szCs w:val="26"/>
        </w:rPr>
        <w:t xml:space="preserve">s has failed to meet its burden of establishing that EGSs offering SCB will comply with all statutory and regulatory requirements </w:t>
      </w:r>
      <w:r w:rsidR="00F742C5" w:rsidRPr="00D55644">
        <w:rPr>
          <w:sz w:val="26"/>
          <w:szCs w:val="26"/>
        </w:rPr>
        <w:t>regarding the allocation of payments received from customers.</w:t>
      </w:r>
    </w:p>
    <w:p w14:paraId="734A579F" w14:textId="77777777" w:rsidR="006113A8" w:rsidRPr="00D55644" w:rsidRDefault="006113A8" w:rsidP="006A2DFB">
      <w:pPr>
        <w:spacing w:line="360" w:lineRule="auto"/>
        <w:rPr>
          <w:sz w:val="26"/>
          <w:szCs w:val="26"/>
        </w:rPr>
      </w:pPr>
    </w:p>
    <w:p w14:paraId="0610745D" w14:textId="77777777" w:rsidR="00545EDB" w:rsidRPr="00D55644" w:rsidRDefault="00545EDB" w:rsidP="006A2DFB">
      <w:pPr>
        <w:spacing w:line="360" w:lineRule="auto"/>
        <w:rPr>
          <w:sz w:val="26"/>
          <w:szCs w:val="26"/>
        </w:rPr>
      </w:pPr>
      <w:r w:rsidRPr="00D55644">
        <w:rPr>
          <w:sz w:val="26"/>
          <w:szCs w:val="26"/>
        </w:rPr>
        <w:tab/>
      </w:r>
      <w:proofErr w:type="gramStart"/>
      <w:r w:rsidRPr="00D55644">
        <w:rPr>
          <w:sz w:val="26"/>
          <w:szCs w:val="26"/>
        </w:rPr>
        <w:t>With regard to</w:t>
      </w:r>
      <w:proofErr w:type="gramEnd"/>
      <w:r w:rsidR="00EF4B5D" w:rsidRPr="00D55644">
        <w:rPr>
          <w:sz w:val="26"/>
          <w:szCs w:val="26"/>
        </w:rPr>
        <w:t xml:space="preserve"> LIHEAP and CAP customers, although</w:t>
      </w:r>
      <w:r w:rsidRPr="00D55644">
        <w:rPr>
          <w:sz w:val="26"/>
          <w:szCs w:val="26"/>
        </w:rPr>
        <w:t xml:space="preserve"> NRG modified its proposal to provide that EGSs offering SCB not serve them, the Commission will address the issue in this proceeding because NRG has asserted that it may want to revisit the issue in the future.  </w:t>
      </w:r>
      <w:r w:rsidR="0009531E" w:rsidRPr="00D55644">
        <w:rPr>
          <w:sz w:val="26"/>
          <w:szCs w:val="26"/>
        </w:rPr>
        <w:t>Initially, NRG claimed that</w:t>
      </w:r>
      <w:r w:rsidR="00737146" w:rsidRPr="00D55644">
        <w:rPr>
          <w:sz w:val="26"/>
          <w:szCs w:val="26"/>
        </w:rPr>
        <w:t xml:space="preserve"> the programs would not be affected by the implementation of SCB and that EDCs would continue to administer the programs while forwarding to EGSs the necessary information for EGSs to bill customers.  The Commission agrees with CAUSE PA, Duquesne, </w:t>
      </w:r>
      <w:r w:rsidR="006166E3" w:rsidRPr="00D55644">
        <w:rPr>
          <w:sz w:val="26"/>
          <w:szCs w:val="26"/>
        </w:rPr>
        <w:t xml:space="preserve">the </w:t>
      </w:r>
      <w:r w:rsidR="00737146" w:rsidRPr="00D55644">
        <w:rPr>
          <w:sz w:val="26"/>
          <w:szCs w:val="26"/>
        </w:rPr>
        <w:t>OCA, PECO, PPL, and TURN that NRG did not provide sufficient information to allow us to assess the impact SCB would have on the programs.</w:t>
      </w:r>
    </w:p>
    <w:p w14:paraId="404CC22B" w14:textId="77777777" w:rsidR="0009531E" w:rsidRPr="00D55644" w:rsidRDefault="0009531E" w:rsidP="006A2DFB">
      <w:pPr>
        <w:spacing w:line="360" w:lineRule="auto"/>
        <w:rPr>
          <w:sz w:val="26"/>
          <w:szCs w:val="26"/>
        </w:rPr>
      </w:pPr>
    </w:p>
    <w:p w14:paraId="5BC1AFCE" w14:textId="77777777" w:rsidR="0009531E" w:rsidRPr="00D55644" w:rsidRDefault="0009531E" w:rsidP="006A2DFB">
      <w:pPr>
        <w:spacing w:line="360" w:lineRule="auto"/>
        <w:rPr>
          <w:sz w:val="26"/>
          <w:szCs w:val="26"/>
        </w:rPr>
      </w:pPr>
      <w:r w:rsidRPr="00D55644">
        <w:rPr>
          <w:sz w:val="26"/>
          <w:szCs w:val="26"/>
        </w:rPr>
        <w:tab/>
        <w:t xml:space="preserve">Issues not </w:t>
      </w:r>
      <w:r w:rsidR="00072560" w:rsidRPr="00D55644">
        <w:rPr>
          <w:sz w:val="26"/>
          <w:szCs w:val="26"/>
        </w:rPr>
        <w:t xml:space="preserve">adequately </w:t>
      </w:r>
      <w:r w:rsidRPr="00D55644">
        <w:rPr>
          <w:sz w:val="26"/>
          <w:szCs w:val="26"/>
        </w:rPr>
        <w:t xml:space="preserve">addressed by NRG include </w:t>
      </w:r>
      <w:r w:rsidR="002655A5" w:rsidRPr="00D55644">
        <w:rPr>
          <w:sz w:val="26"/>
          <w:szCs w:val="26"/>
        </w:rPr>
        <w:t>(1) </w:t>
      </w:r>
      <w:r w:rsidRPr="00D55644">
        <w:rPr>
          <w:sz w:val="26"/>
          <w:szCs w:val="26"/>
        </w:rPr>
        <w:t>how the programs would be administered by EDCs when EGSs are responsible for billing</w:t>
      </w:r>
      <w:r w:rsidR="002655A5" w:rsidRPr="00D55644">
        <w:rPr>
          <w:sz w:val="26"/>
          <w:szCs w:val="26"/>
        </w:rPr>
        <w:t xml:space="preserve"> customers; (2) how EGSs would ensure that protections to assist low-income customers remain in place; (3) how the EDCs—which will not have access to EGS generation charges—will calculate CAP credits that are based on the customer’s total bill; (4) how EGSs will receive LIHEAP grants when DHS expressly prohibits suppliers from doing so; (5) </w:t>
      </w:r>
      <w:r w:rsidR="006609D3" w:rsidRPr="00D55644">
        <w:rPr>
          <w:sz w:val="26"/>
          <w:szCs w:val="26"/>
        </w:rPr>
        <w:t>the portability of CAP credits; (6) dealing with CAP arrearages; and (7) which entity would be responsible for warning customers as they approach subsidy limits.</w:t>
      </w:r>
    </w:p>
    <w:p w14:paraId="308256EA" w14:textId="77777777" w:rsidR="00F20FA5" w:rsidRPr="00D55644" w:rsidRDefault="00F20FA5" w:rsidP="006A2DFB">
      <w:pPr>
        <w:spacing w:line="360" w:lineRule="auto"/>
        <w:rPr>
          <w:sz w:val="26"/>
          <w:szCs w:val="26"/>
        </w:rPr>
      </w:pPr>
    </w:p>
    <w:p w14:paraId="134D2A20" w14:textId="77777777" w:rsidR="0009531E" w:rsidRPr="00D55644" w:rsidRDefault="009D5EB5" w:rsidP="006A2DFB">
      <w:pPr>
        <w:spacing w:line="360" w:lineRule="auto"/>
        <w:rPr>
          <w:sz w:val="26"/>
          <w:szCs w:val="26"/>
        </w:rPr>
      </w:pPr>
      <w:r w:rsidRPr="00D55644">
        <w:rPr>
          <w:sz w:val="26"/>
          <w:szCs w:val="26"/>
        </w:rPr>
        <w:tab/>
      </w:r>
      <w:r w:rsidR="0009531E" w:rsidRPr="00D55644">
        <w:rPr>
          <w:sz w:val="26"/>
          <w:szCs w:val="26"/>
        </w:rPr>
        <w:t xml:space="preserve">Further, the </w:t>
      </w:r>
      <w:r w:rsidRPr="00D55644">
        <w:rPr>
          <w:sz w:val="26"/>
          <w:szCs w:val="26"/>
        </w:rPr>
        <w:t>Commission agrees with CAUSE PA and</w:t>
      </w:r>
      <w:r w:rsidR="0009531E" w:rsidRPr="00D55644">
        <w:rPr>
          <w:sz w:val="26"/>
          <w:szCs w:val="26"/>
        </w:rPr>
        <w:t xml:space="preserve"> Duquesne that</w:t>
      </w:r>
      <w:r w:rsidR="00072560" w:rsidRPr="00D55644">
        <w:rPr>
          <w:sz w:val="26"/>
          <w:szCs w:val="26"/>
        </w:rPr>
        <w:t xml:space="preserve"> we cannot—as NRG</w:t>
      </w:r>
      <w:r w:rsidR="0009531E" w:rsidRPr="00D55644">
        <w:rPr>
          <w:sz w:val="26"/>
          <w:szCs w:val="26"/>
        </w:rPr>
        <w:t xml:space="preserve"> </w:t>
      </w:r>
      <w:r w:rsidR="00072560" w:rsidRPr="00D55644">
        <w:rPr>
          <w:sz w:val="26"/>
          <w:szCs w:val="26"/>
        </w:rPr>
        <w:t>initially proposed—</w:t>
      </w:r>
      <w:r w:rsidR="0009531E" w:rsidRPr="00D55644">
        <w:rPr>
          <w:sz w:val="26"/>
          <w:szCs w:val="26"/>
        </w:rPr>
        <w:t xml:space="preserve">deal with the issue of LIHEAP credits </w:t>
      </w:r>
      <w:r w:rsidR="0009531E" w:rsidRPr="00D55644">
        <w:rPr>
          <w:i/>
          <w:sz w:val="26"/>
          <w:szCs w:val="26"/>
        </w:rPr>
        <w:t>after</w:t>
      </w:r>
      <w:r w:rsidR="0009531E" w:rsidRPr="00D55644">
        <w:rPr>
          <w:sz w:val="26"/>
          <w:szCs w:val="26"/>
        </w:rPr>
        <w:t xml:space="preserve"> SCB has been implemented</w:t>
      </w:r>
      <w:r w:rsidR="00072560" w:rsidRPr="00D55644">
        <w:rPr>
          <w:sz w:val="26"/>
          <w:szCs w:val="26"/>
        </w:rPr>
        <w:t xml:space="preserve">. </w:t>
      </w:r>
      <w:r w:rsidR="0009531E" w:rsidRPr="00D55644">
        <w:rPr>
          <w:sz w:val="26"/>
          <w:szCs w:val="26"/>
        </w:rPr>
        <w:t xml:space="preserve"> </w:t>
      </w:r>
      <w:r w:rsidR="00072560" w:rsidRPr="00D55644">
        <w:rPr>
          <w:sz w:val="26"/>
          <w:szCs w:val="26"/>
        </w:rPr>
        <w:t>Given the importance of electric service</w:t>
      </w:r>
      <w:r w:rsidRPr="00D55644">
        <w:rPr>
          <w:sz w:val="26"/>
          <w:szCs w:val="26"/>
        </w:rPr>
        <w:t>, particularly</w:t>
      </w:r>
      <w:r w:rsidR="00072560" w:rsidRPr="00D55644">
        <w:rPr>
          <w:sz w:val="26"/>
          <w:szCs w:val="26"/>
        </w:rPr>
        <w:t xml:space="preserve"> in cold weather, any issues regarding LIHEAP must be addressed </w:t>
      </w:r>
      <w:r w:rsidR="00072560" w:rsidRPr="00D55644">
        <w:rPr>
          <w:i/>
          <w:sz w:val="26"/>
          <w:szCs w:val="26"/>
        </w:rPr>
        <w:t>before</w:t>
      </w:r>
      <w:r w:rsidR="00072560" w:rsidRPr="00D55644">
        <w:rPr>
          <w:sz w:val="26"/>
          <w:szCs w:val="26"/>
        </w:rPr>
        <w:t xml:space="preserve"> SCB could be implemented.</w:t>
      </w:r>
    </w:p>
    <w:p w14:paraId="7E25DC64" w14:textId="77777777" w:rsidR="00FD4146" w:rsidRPr="00D55644" w:rsidRDefault="009E18C3" w:rsidP="00061698">
      <w:pPr>
        <w:spacing w:line="360" w:lineRule="auto"/>
        <w:rPr>
          <w:sz w:val="26"/>
          <w:szCs w:val="26"/>
        </w:rPr>
      </w:pPr>
      <w:r w:rsidRPr="00D55644">
        <w:rPr>
          <w:sz w:val="26"/>
          <w:szCs w:val="26"/>
        </w:rPr>
        <w:tab/>
      </w:r>
      <w:r w:rsidR="00FD4146" w:rsidRPr="00D55644">
        <w:rPr>
          <w:sz w:val="26"/>
          <w:szCs w:val="26"/>
        </w:rPr>
        <w:t>NRG</w:t>
      </w:r>
      <w:r w:rsidR="0035623D" w:rsidRPr="00D55644">
        <w:rPr>
          <w:sz w:val="26"/>
          <w:szCs w:val="26"/>
        </w:rPr>
        <w:t>’s proposal</w:t>
      </w:r>
      <w:r w:rsidRPr="00D55644">
        <w:rPr>
          <w:sz w:val="26"/>
          <w:szCs w:val="26"/>
        </w:rPr>
        <w:t xml:space="preserve"> to bar LIHEAP and CAP customers from purchasing generation supply from EGSs offering SCB</w:t>
      </w:r>
      <w:r w:rsidR="0035623D" w:rsidRPr="00D55644">
        <w:rPr>
          <w:sz w:val="26"/>
          <w:szCs w:val="26"/>
        </w:rPr>
        <w:t xml:space="preserve"> may conflict with the Commission’s authority to dictate what the EGS role is for CAP customers</w:t>
      </w:r>
      <w:r w:rsidR="00FD4146" w:rsidRPr="00D55644">
        <w:rPr>
          <w:sz w:val="26"/>
          <w:szCs w:val="26"/>
        </w:rPr>
        <w:t xml:space="preserve">.  </w:t>
      </w:r>
      <w:r w:rsidR="008E7DF5" w:rsidRPr="00D55644">
        <w:rPr>
          <w:sz w:val="26"/>
          <w:szCs w:val="26"/>
        </w:rPr>
        <w:t>While the Commission has approved a plan by PPL to limit the ability of customers in its CAP to shop only with suppliers participating in its CAP standard offer program,</w:t>
      </w:r>
      <w:r w:rsidR="00A03C98" w:rsidRPr="00D55644">
        <w:rPr>
          <w:rStyle w:val="FootnoteReference"/>
          <w:sz w:val="26"/>
          <w:szCs w:val="26"/>
        </w:rPr>
        <w:footnoteReference w:id="106"/>
      </w:r>
      <w:r w:rsidR="008E7DF5" w:rsidRPr="00D55644">
        <w:rPr>
          <w:sz w:val="26"/>
          <w:szCs w:val="26"/>
        </w:rPr>
        <w:t xml:space="preserve"> the Commission’s authority to set such a limit is currently before the Commonwealth Court.</w:t>
      </w:r>
      <w:r w:rsidR="00A03C98" w:rsidRPr="00D55644">
        <w:rPr>
          <w:rStyle w:val="FootnoteReference"/>
          <w:sz w:val="26"/>
          <w:szCs w:val="26"/>
        </w:rPr>
        <w:footnoteReference w:id="107"/>
      </w:r>
      <w:r w:rsidR="008E7DF5" w:rsidRPr="00D55644">
        <w:rPr>
          <w:sz w:val="26"/>
          <w:szCs w:val="26"/>
        </w:rPr>
        <w:t xml:space="preserve">  Accordingly, the Commission is reluctant to set further limits without a more developed record and until after the Commonwealth Court rules in </w:t>
      </w:r>
      <w:r w:rsidR="008E7DF5" w:rsidRPr="00D55644">
        <w:rPr>
          <w:i/>
          <w:sz w:val="26"/>
          <w:szCs w:val="26"/>
        </w:rPr>
        <w:t>RESA v. Pa. PUC</w:t>
      </w:r>
      <w:r w:rsidR="008E7DF5" w:rsidRPr="00D55644">
        <w:rPr>
          <w:sz w:val="26"/>
          <w:szCs w:val="26"/>
        </w:rPr>
        <w:t>, 230 C.D. 2017.</w:t>
      </w:r>
    </w:p>
    <w:p w14:paraId="0D84E34A" w14:textId="77777777" w:rsidR="00FD4146" w:rsidRPr="00D55644" w:rsidRDefault="00FD4146" w:rsidP="00061698">
      <w:pPr>
        <w:spacing w:line="360" w:lineRule="auto"/>
        <w:rPr>
          <w:sz w:val="26"/>
          <w:szCs w:val="26"/>
        </w:rPr>
      </w:pPr>
    </w:p>
    <w:p w14:paraId="3E104435" w14:textId="4FAAC6B2" w:rsidR="00061698" w:rsidRDefault="00061698" w:rsidP="00061698">
      <w:pPr>
        <w:spacing w:line="360" w:lineRule="auto"/>
        <w:rPr>
          <w:sz w:val="26"/>
          <w:szCs w:val="26"/>
        </w:rPr>
      </w:pPr>
      <w:r w:rsidRPr="00D55644">
        <w:rPr>
          <w:sz w:val="26"/>
          <w:szCs w:val="26"/>
        </w:rPr>
        <w:tab/>
      </w:r>
      <w:r w:rsidR="004916B2" w:rsidRPr="00D55644">
        <w:rPr>
          <w:sz w:val="26"/>
          <w:szCs w:val="26"/>
        </w:rPr>
        <w:t>As such, t</w:t>
      </w:r>
      <w:r w:rsidRPr="00D55644">
        <w:rPr>
          <w:sz w:val="26"/>
          <w:szCs w:val="26"/>
        </w:rPr>
        <w:t>he Commission finds that NRG’s proposal</w:t>
      </w:r>
      <w:r w:rsidR="00970F33" w:rsidRPr="00D55644">
        <w:rPr>
          <w:sz w:val="26"/>
          <w:szCs w:val="26"/>
        </w:rPr>
        <w:t xml:space="preserve"> has not adequately addressed </w:t>
      </w:r>
      <w:r w:rsidR="00122AE2" w:rsidRPr="00D55644">
        <w:rPr>
          <w:sz w:val="26"/>
          <w:szCs w:val="26"/>
        </w:rPr>
        <w:t xml:space="preserve">the </w:t>
      </w:r>
      <w:r w:rsidR="00970F33" w:rsidRPr="00D55644">
        <w:rPr>
          <w:sz w:val="26"/>
          <w:szCs w:val="26"/>
        </w:rPr>
        <w:t>accounting for VAS charges</w:t>
      </w:r>
      <w:r w:rsidR="00130289" w:rsidRPr="00D55644">
        <w:rPr>
          <w:sz w:val="26"/>
          <w:szCs w:val="26"/>
        </w:rPr>
        <w:t xml:space="preserve"> or</w:t>
      </w:r>
      <w:r w:rsidR="00970F33" w:rsidRPr="00D55644">
        <w:rPr>
          <w:sz w:val="26"/>
          <w:szCs w:val="26"/>
        </w:rPr>
        <w:t xml:space="preserve"> </w:t>
      </w:r>
      <w:r w:rsidR="00122AE2" w:rsidRPr="00D55644">
        <w:rPr>
          <w:sz w:val="26"/>
          <w:szCs w:val="26"/>
        </w:rPr>
        <w:t xml:space="preserve">the </w:t>
      </w:r>
      <w:r w:rsidR="00970F33" w:rsidRPr="00D55644">
        <w:rPr>
          <w:sz w:val="26"/>
          <w:szCs w:val="26"/>
        </w:rPr>
        <w:t xml:space="preserve">administration of low-income customer assistance programs.  </w:t>
      </w:r>
      <w:r w:rsidR="00CA4717" w:rsidRPr="00D55644">
        <w:rPr>
          <w:sz w:val="26"/>
          <w:szCs w:val="26"/>
        </w:rPr>
        <w:t>G</w:t>
      </w:r>
      <w:r w:rsidRPr="00D55644">
        <w:rPr>
          <w:sz w:val="26"/>
          <w:szCs w:val="26"/>
        </w:rPr>
        <w:t>iven</w:t>
      </w:r>
      <w:r w:rsidR="00CA4717" w:rsidRPr="00D55644">
        <w:rPr>
          <w:sz w:val="26"/>
          <w:szCs w:val="26"/>
        </w:rPr>
        <w:t xml:space="preserve"> the General Assembly’s expressly stated policy of protect</w:t>
      </w:r>
      <w:r w:rsidR="00FA7368" w:rsidRPr="00D55644">
        <w:rPr>
          <w:sz w:val="26"/>
          <w:szCs w:val="26"/>
        </w:rPr>
        <w:t>ing low-income customers so</w:t>
      </w:r>
      <w:r w:rsidR="00CA4717" w:rsidRPr="00D55644">
        <w:rPr>
          <w:sz w:val="26"/>
          <w:szCs w:val="26"/>
        </w:rPr>
        <w:t xml:space="preserve"> they can afford electric service, 66 Pa. C.S. §§ 2802(10), 2804(9), and</w:t>
      </w:r>
      <w:r w:rsidRPr="00D55644">
        <w:rPr>
          <w:sz w:val="26"/>
          <w:szCs w:val="26"/>
        </w:rPr>
        <w:t xml:space="preserve"> </w:t>
      </w:r>
      <w:r w:rsidR="00CA4717" w:rsidRPr="00D55644">
        <w:rPr>
          <w:sz w:val="26"/>
          <w:szCs w:val="26"/>
        </w:rPr>
        <w:t>the fact that NRG’s proposal</w:t>
      </w:r>
      <w:r w:rsidR="00FA7368" w:rsidRPr="00D55644">
        <w:rPr>
          <w:sz w:val="26"/>
          <w:szCs w:val="26"/>
        </w:rPr>
        <w:t xml:space="preserve"> leaves many</w:t>
      </w:r>
      <w:r w:rsidRPr="00D55644">
        <w:rPr>
          <w:sz w:val="26"/>
          <w:szCs w:val="26"/>
        </w:rPr>
        <w:t xml:space="preserve"> significant questions unanswered</w:t>
      </w:r>
      <w:r w:rsidR="00CA4717" w:rsidRPr="00D55644">
        <w:rPr>
          <w:sz w:val="26"/>
          <w:szCs w:val="26"/>
        </w:rPr>
        <w:t>,</w:t>
      </w:r>
      <w:r w:rsidRPr="00D55644">
        <w:rPr>
          <w:sz w:val="26"/>
          <w:szCs w:val="26"/>
        </w:rPr>
        <w:t xml:space="preserve"> </w:t>
      </w:r>
      <w:r w:rsidR="007E4F3A" w:rsidRPr="00D55644">
        <w:rPr>
          <w:sz w:val="26"/>
          <w:szCs w:val="26"/>
        </w:rPr>
        <w:t>the Commission must deny NRG’s Petition</w:t>
      </w:r>
      <w:r w:rsidRPr="00D55644">
        <w:rPr>
          <w:sz w:val="26"/>
          <w:szCs w:val="26"/>
        </w:rPr>
        <w:t>.</w:t>
      </w:r>
    </w:p>
    <w:p w14:paraId="65957EB1" w14:textId="77777777" w:rsidR="00DB729D" w:rsidRPr="00D55644" w:rsidRDefault="00DB729D" w:rsidP="00061698">
      <w:pPr>
        <w:spacing w:line="360" w:lineRule="auto"/>
        <w:rPr>
          <w:sz w:val="26"/>
          <w:szCs w:val="26"/>
        </w:rPr>
      </w:pPr>
    </w:p>
    <w:p w14:paraId="1115732F" w14:textId="77777777" w:rsidR="005E266A" w:rsidRPr="00580664" w:rsidRDefault="005E266A" w:rsidP="006C5132">
      <w:pPr>
        <w:spacing w:line="360" w:lineRule="auto"/>
        <w:rPr>
          <w:b/>
          <w:sz w:val="26"/>
          <w:szCs w:val="26"/>
        </w:rPr>
      </w:pPr>
      <w:r w:rsidRPr="00580664">
        <w:rPr>
          <w:b/>
          <w:sz w:val="26"/>
          <w:szCs w:val="26"/>
        </w:rPr>
        <w:t>D.</w:t>
      </w:r>
      <w:r w:rsidRPr="00580664">
        <w:rPr>
          <w:b/>
          <w:sz w:val="26"/>
          <w:szCs w:val="26"/>
        </w:rPr>
        <w:tab/>
        <w:t>Anticompetitive</w:t>
      </w:r>
    </w:p>
    <w:p w14:paraId="7EF081F3" w14:textId="77777777" w:rsidR="009D2420" w:rsidRPr="00580664" w:rsidRDefault="009D2420" w:rsidP="006C5132">
      <w:pPr>
        <w:spacing w:line="360" w:lineRule="auto"/>
        <w:ind w:left="720"/>
        <w:rPr>
          <w:b/>
          <w:sz w:val="26"/>
          <w:szCs w:val="26"/>
        </w:rPr>
      </w:pPr>
      <w:r w:rsidRPr="00580664">
        <w:rPr>
          <w:b/>
          <w:sz w:val="26"/>
          <w:szCs w:val="26"/>
        </w:rPr>
        <w:t>1</w:t>
      </w:r>
      <w:r w:rsidR="00580664" w:rsidRPr="00580664">
        <w:rPr>
          <w:b/>
          <w:sz w:val="26"/>
          <w:szCs w:val="26"/>
        </w:rPr>
        <w:t>.</w:t>
      </w:r>
      <w:r w:rsidR="00580664" w:rsidRPr="00580664">
        <w:rPr>
          <w:b/>
          <w:sz w:val="26"/>
          <w:szCs w:val="26"/>
        </w:rPr>
        <w:tab/>
      </w:r>
      <w:r w:rsidRPr="00580664">
        <w:rPr>
          <w:b/>
          <w:sz w:val="26"/>
          <w:szCs w:val="26"/>
        </w:rPr>
        <w:t>NRG’s Proposal</w:t>
      </w:r>
    </w:p>
    <w:p w14:paraId="6BB64A1A" w14:textId="77777777" w:rsidR="009D2420" w:rsidRPr="00D55644" w:rsidRDefault="00D50F79" w:rsidP="009D2420">
      <w:pPr>
        <w:spacing w:line="360" w:lineRule="auto"/>
        <w:rPr>
          <w:sz w:val="26"/>
          <w:szCs w:val="26"/>
        </w:rPr>
      </w:pPr>
      <w:r w:rsidRPr="00D55644">
        <w:rPr>
          <w:sz w:val="26"/>
          <w:szCs w:val="26"/>
        </w:rPr>
        <w:tab/>
        <w:t>NRG broadly</w:t>
      </w:r>
      <w:r w:rsidR="008D6DBE" w:rsidRPr="00D55644">
        <w:rPr>
          <w:sz w:val="26"/>
          <w:szCs w:val="26"/>
        </w:rPr>
        <w:t xml:space="preserve"> makes</w:t>
      </w:r>
      <w:r w:rsidRPr="00D55644">
        <w:rPr>
          <w:sz w:val="26"/>
          <w:szCs w:val="26"/>
        </w:rPr>
        <w:t xml:space="preserve"> claims that implementation of SCB would enhance competition in Pennsylvania’s retail electric market.  It would allow EGSs to directly bill their customers, which would improve their relation</w:t>
      </w:r>
      <w:r w:rsidR="00D4619D" w:rsidRPr="00D55644">
        <w:rPr>
          <w:sz w:val="26"/>
          <w:szCs w:val="26"/>
        </w:rPr>
        <w:t>ships with their customers.  The</w:t>
      </w:r>
      <w:r w:rsidRPr="00D55644">
        <w:rPr>
          <w:sz w:val="26"/>
          <w:szCs w:val="26"/>
        </w:rPr>
        <w:t>se improved relationships would foster trust among customers, makin</w:t>
      </w:r>
      <w:r w:rsidR="00D4619D" w:rsidRPr="00D55644">
        <w:rPr>
          <w:sz w:val="26"/>
          <w:szCs w:val="26"/>
        </w:rPr>
        <w:t>g them receptive to purchasing</w:t>
      </w:r>
      <w:r w:rsidR="008C1538" w:rsidRPr="00D55644">
        <w:rPr>
          <w:sz w:val="26"/>
          <w:szCs w:val="26"/>
        </w:rPr>
        <w:t xml:space="preserve"> additional</w:t>
      </w:r>
      <w:r w:rsidRPr="00D55644">
        <w:rPr>
          <w:sz w:val="26"/>
          <w:szCs w:val="26"/>
        </w:rPr>
        <w:t xml:space="preserve"> products and services offered by EGSs.  </w:t>
      </w:r>
      <w:r w:rsidR="002E3DDD" w:rsidRPr="00D55644">
        <w:rPr>
          <w:sz w:val="26"/>
          <w:szCs w:val="26"/>
        </w:rPr>
        <w:t>The EGSs would then compete to attract customers by offering the best products and services</w:t>
      </w:r>
      <w:r w:rsidR="008C1538" w:rsidRPr="00D55644">
        <w:rPr>
          <w:sz w:val="26"/>
          <w:szCs w:val="26"/>
        </w:rPr>
        <w:t xml:space="preserve">, </w:t>
      </w:r>
      <w:r w:rsidR="00D4619D" w:rsidRPr="00D55644">
        <w:rPr>
          <w:sz w:val="26"/>
          <w:szCs w:val="26"/>
        </w:rPr>
        <w:t>in addition to</w:t>
      </w:r>
      <w:r w:rsidR="008C1538" w:rsidRPr="00D55644">
        <w:rPr>
          <w:sz w:val="26"/>
          <w:szCs w:val="26"/>
        </w:rPr>
        <w:t xml:space="preserve"> electric generation service.  That, in turn, would encourage EGSs to invest in Pennsylvania.  All of this</w:t>
      </w:r>
      <w:r w:rsidR="006C60C1" w:rsidRPr="00D55644">
        <w:rPr>
          <w:sz w:val="26"/>
          <w:szCs w:val="26"/>
        </w:rPr>
        <w:t>, according to NRG,</w:t>
      </w:r>
      <w:r w:rsidR="008C1538" w:rsidRPr="00D55644">
        <w:rPr>
          <w:sz w:val="26"/>
          <w:szCs w:val="26"/>
        </w:rPr>
        <w:t xml:space="preserve"> would lead to more choices for consumers and a more robust competitive retail electric market.</w:t>
      </w:r>
      <w:r w:rsidR="008C1538" w:rsidRPr="00D55644">
        <w:rPr>
          <w:rStyle w:val="FootnoteReference"/>
          <w:sz w:val="26"/>
          <w:szCs w:val="26"/>
        </w:rPr>
        <w:footnoteReference w:id="108"/>
      </w:r>
    </w:p>
    <w:p w14:paraId="4B45A6FB" w14:textId="77777777" w:rsidR="00957119" w:rsidRPr="00D55644" w:rsidRDefault="00957119" w:rsidP="009D2420">
      <w:pPr>
        <w:spacing w:line="360" w:lineRule="auto"/>
        <w:rPr>
          <w:sz w:val="26"/>
          <w:szCs w:val="26"/>
        </w:rPr>
      </w:pPr>
    </w:p>
    <w:p w14:paraId="4A23B570" w14:textId="3FAFC25B" w:rsidR="00957119" w:rsidRPr="00D55644" w:rsidRDefault="00957119" w:rsidP="00957119">
      <w:pPr>
        <w:spacing w:line="360" w:lineRule="auto"/>
        <w:rPr>
          <w:sz w:val="26"/>
          <w:szCs w:val="26"/>
        </w:rPr>
      </w:pPr>
      <w:r w:rsidRPr="00D55644">
        <w:rPr>
          <w:sz w:val="26"/>
          <w:szCs w:val="26"/>
        </w:rPr>
        <w:tab/>
      </w:r>
      <w:r w:rsidR="00BA0D79" w:rsidRPr="00D55644">
        <w:rPr>
          <w:sz w:val="26"/>
          <w:szCs w:val="26"/>
        </w:rPr>
        <w:t>While acknowledging</w:t>
      </w:r>
      <w:r w:rsidRPr="00D55644">
        <w:rPr>
          <w:sz w:val="26"/>
          <w:szCs w:val="26"/>
        </w:rPr>
        <w:t xml:space="preserve"> that the Commission has implemented </w:t>
      </w:r>
      <w:proofErr w:type="gramStart"/>
      <w:r w:rsidRPr="00D55644">
        <w:rPr>
          <w:sz w:val="26"/>
          <w:szCs w:val="26"/>
        </w:rPr>
        <w:t>a number of</w:t>
      </w:r>
      <w:proofErr w:type="gramEnd"/>
      <w:r w:rsidRPr="00D55644">
        <w:rPr>
          <w:sz w:val="26"/>
          <w:szCs w:val="26"/>
        </w:rPr>
        <w:t xml:space="preserve"> changes over the years to improv</w:t>
      </w:r>
      <w:r w:rsidR="00BA0D79" w:rsidRPr="00D55644">
        <w:rPr>
          <w:sz w:val="26"/>
          <w:szCs w:val="26"/>
        </w:rPr>
        <w:t>e the retail electric market, NRG</w:t>
      </w:r>
      <w:r w:rsidRPr="00D55644">
        <w:rPr>
          <w:sz w:val="26"/>
          <w:szCs w:val="26"/>
        </w:rPr>
        <w:t xml:space="preserve"> claims that retail shopping and electric competition in Pennsylvania have remained stagnant over the last five years.  Further, according to NRG, the ability of EGSs to offer</w:t>
      </w:r>
      <w:r w:rsidR="00BA0D79" w:rsidRPr="00D55644">
        <w:rPr>
          <w:sz w:val="26"/>
          <w:szCs w:val="26"/>
        </w:rPr>
        <w:t xml:space="preserve"> </w:t>
      </w:r>
      <w:r w:rsidRPr="00D55644">
        <w:rPr>
          <w:sz w:val="26"/>
          <w:szCs w:val="26"/>
        </w:rPr>
        <w:t>VAS has been limited by UCB</w:t>
      </w:r>
      <w:r w:rsidR="00BA0D79" w:rsidRPr="00D55644">
        <w:rPr>
          <w:sz w:val="26"/>
          <w:szCs w:val="26"/>
        </w:rPr>
        <w:t>,</w:t>
      </w:r>
      <w:r w:rsidRPr="00D55644">
        <w:rPr>
          <w:sz w:val="26"/>
          <w:szCs w:val="26"/>
        </w:rPr>
        <w:t xml:space="preserve"> </w:t>
      </w:r>
      <w:r w:rsidR="00BA0D79" w:rsidRPr="00D55644">
        <w:rPr>
          <w:sz w:val="26"/>
          <w:szCs w:val="26"/>
        </w:rPr>
        <w:t>which</w:t>
      </w:r>
      <w:r w:rsidRPr="00D55644">
        <w:rPr>
          <w:sz w:val="26"/>
          <w:szCs w:val="26"/>
        </w:rPr>
        <w:t xml:space="preserve"> does not allow EGSs to</w:t>
      </w:r>
      <w:r w:rsidR="00B34DB2" w:rsidRPr="00D55644">
        <w:rPr>
          <w:sz w:val="26"/>
          <w:szCs w:val="26"/>
        </w:rPr>
        <w:t xml:space="preserve"> place VAS charges on customer</w:t>
      </w:r>
      <w:r w:rsidRPr="00D55644">
        <w:rPr>
          <w:sz w:val="26"/>
          <w:szCs w:val="26"/>
        </w:rPr>
        <w:t xml:space="preserve"> bills.</w:t>
      </w:r>
      <w:r w:rsidR="009D204D" w:rsidRPr="00D55644">
        <w:rPr>
          <w:sz w:val="26"/>
          <w:szCs w:val="26"/>
        </w:rPr>
        <w:t xml:space="preserve">  Ultimately, NRG states</w:t>
      </w:r>
      <w:r w:rsidR="00105C9F" w:rsidRPr="00D55644">
        <w:rPr>
          <w:sz w:val="26"/>
          <w:szCs w:val="26"/>
        </w:rPr>
        <w:t xml:space="preserve"> that implementation of SCB would allow EGSs to offer and bill for additional products and services, which will stimulate the robust competition in the retail electric market that the General Assembly envisioned</w:t>
      </w:r>
      <w:r w:rsidR="009777BC" w:rsidRPr="00D55644">
        <w:rPr>
          <w:sz w:val="26"/>
          <w:szCs w:val="26"/>
        </w:rPr>
        <w:t xml:space="preserve"> when it restructured the electric industry</w:t>
      </w:r>
      <w:r w:rsidR="00105C9F" w:rsidRPr="00D55644">
        <w:rPr>
          <w:sz w:val="26"/>
          <w:szCs w:val="26"/>
        </w:rPr>
        <w:t xml:space="preserve"> in 1996.</w:t>
      </w:r>
      <w:r w:rsidRPr="00D55644">
        <w:rPr>
          <w:rStyle w:val="FootnoteReference"/>
          <w:sz w:val="26"/>
          <w:szCs w:val="26"/>
        </w:rPr>
        <w:footnoteReference w:id="109"/>
      </w:r>
    </w:p>
    <w:p w14:paraId="56F463C0" w14:textId="77777777" w:rsidR="00957119" w:rsidRPr="00D55644" w:rsidRDefault="00957119" w:rsidP="00957119">
      <w:pPr>
        <w:spacing w:line="360" w:lineRule="auto"/>
        <w:rPr>
          <w:sz w:val="26"/>
          <w:szCs w:val="26"/>
        </w:rPr>
      </w:pPr>
    </w:p>
    <w:p w14:paraId="78A3A353" w14:textId="77777777" w:rsidR="00E55927" w:rsidRPr="00D55644" w:rsidRDefault="00E55927" w:rsidP="009D2420">
      <w:pPr>
        <w:spacing w:line="360" w:lineRule="auto"/>
        <w:rPr>
          <w:sz w:val="26"/>
          <w:szCs w:val="26"/>
        </w:rPr>
      </w:pPr>
      <w:r w:rsidRPr="00D55644">
        <w:rPr>
          <w:sz w:val="26"/>
          <w:szCs w:val="26"/>
        </w:rPr>
        <w:tab/>
        <w:t xml:space="preserve">Implementation of SCB, according to NRG, would also allow </w:t>
      </w:r>
      <w:r w:rsidR="005A6F35" w:rsidRPr="00D55644">
        <w:rPr>
          <w:sz w:val="26"/>
          <w:szCs w:val="26"/>
        </w:rPr>
        <w:t xml:space="preserve">EGS to offer customers </w:t>
      </w:r>
      <w:r w:rsidR="00DF6196" w:rsidRPr="00D55644">
        <w:rPr>
          <w:sz w:val="26"/>
          <w:szCs w:val="26"/>
        </w:rPr>
        <w:t>a “flat bill,” which would enable</w:t>
      </w:r>
      <w:r w:rsidR="005A6F35" w:rsidRPr="00D55644">
        <w:rPr>
          <w:sz w:val="26"/>
          <w:szCs w:val="26"/>
        </w:rPr>
        <w:t xml:space="preserve"> customers to decide how much they want to spend on electricity and manage their usage accordingly.  </w:t>
      </w:r>
      <w:r w:rsidR="00A54D46" w:rsidRPr="00D55644">
        <w:rPr>
          <w:sz w:val="26"/>
          <w:szCs w:val="26"/>
        </w:rPr>
        <w:t>The flat bill would display EDC charges as a single, combined price on the SCB bill.  Further, NRG proposes that EGSs have the option to absorb any increase in distribution rates without</w:t>
      </w:r>
      <w:r w:rsidR="001A5FA6" w:rsidRPr="00D55644">
        <w:rPr>
          <w:sz w:val="26"/>
          <w:szCs w:val="26"/>
        </w:rPr>
        <w:t xml:space="preserve"> passing them on to customers.</w:t>
      </w:r>
      <w:r w:rsidR="005A6F35" w:rsidRPr="00D55644">
        <w:rPr>
          <w:rStyle w:val="FootnoteReference"/>
          <w:sz w:val="26"/>
          <w:szCs w:val="26"/>
        </w:rPr>
        <w:footnoteReference w:id="110"/>
      </w:r>
    </w:p>
    <w:p w14:paraId="38BD9A8B" w14:textId="77777777" w:rsidR="00957119" w:rsidRPr="00D55644" w:rsidRDefault="00957119" w:rsidP="009D2420">
      <w:pPr>
        <w:spacing w:line="360" w:lineRule="auto"/>
        <w:rPr>
          <w:sz w:val="26"/>
          <w:szCs w:val="26"/>
        </w:rPr>
      </w:pPr>
    </w:p>
    <w:p w14:paraId="5CDE95D8" w14:textId="77777777" w:rsidR="00A54D46" w:rsidRPr="00D55644" w:rsidRDefault="002779C6" w:rsidP="009D2420">
      <w:pPr>
        <w:spacing w:line="360" w:lineRule="auto"/>
        <w:rPr>
          <w:sz w:val="26"/>
          <w:szCs w:val="26"/>
        </w:rPr>
      </w:pPr>
      <w:r w:rsidRPr="00D55644">
        <w:rPr>
          <w:sz w:val="26"/>
          <w:szCs w:val="26"/>
        </w:rPr>
        <w:tab/>
        <w:t>According to NRG, EGSs offering SCB would have to meet more stringent financial/bonding requirements than are currently required to maintain their licenses.  Further, they would have to demonstrate technical expertise to perform billing and customer service functions.</w:t>
      </w:r>
      <w:r w:rsidRPr="00D55644">
        <w:rPr>
          <w:rStyle w:val="FootnoteReference"/>
          <w:sz w:val="26"/>
          <w:szCs w:val="26"/>
        </w:rPr>
        <w:footnoteReference w:id="111"/>
      </w:r>
      <w:r w:rsidRPr="00D55644">
        <w:rPr>
          <w:sz w:val="26"/>
          <w:szCs w:val="26"/>
        </w:rPr>
        <w:t xml:space="preserve">  Also</w:t>
      </w:r>
      <w:r w:rsidR="00A54D46" w:rsidRPr="00D55644">
        <w:rPr>
          <w:sz w:val="26"/>
          <w:szCs w:val="26"/>
        </w:rPr>
        <w:t>, implementation of SCB would require the Commission to clarify or revise as necessary EDC-administered programs, such as standard offer programs (SOP)</w:t>
      </w:r>
      <w:r w:rsidR="00E7601C" w:rsidRPr="00D55644">
        <w:rPr>
          <w:sz w:val="26"/>
          <w:szCs w:val="26"/>
        </w:rPr>
        <w:t>,</w:t>
      </w:r>
      <w:r w:rsidR="00A54D46" w:rsidRPr="00D55644">
        <w:rPr>
          <w:sz w:val="26"/>
          <w:szCs w:val="26"/>
        </w:rPr>
        <w:t xml:space="preserve"> to allow for participation whether the EGS us</w:t>
      </w:r>
      <w:r w:rsidR="001A5FA6" w:rsidRPr="00D55644">
        <w:rPr>
          <w:sz w:val="26"/>
          <w:szCs w:val="26"/>
        </w:rPr>
        <w:t>es UCB or SCB</w:t>
      </w:r>
      <w:r w:rsidR="00A54D46" w:rsidRPr="00D55644">
        <w:rPr>
          <w:sz w:val="26"/>
          <w:szCs w:val="26"/>
        </w:rPr>
        <w:t>.</w:t>
      </w:r>
      <w:r w:rsidR="00A54D46" w:rsidRPr="00D55644">
        <w:rPr>
          <w:rStyle w:val="FootnoteReference"/>
          <w:sz w:val="26"/>
          <w:szCs w:val="26"/>
        </w:rPr>
        <w:footnoteReference w:id="112"/>
      </w:r>
    </w:p>
    <w:p w14:paraId="62276705" w14:textId="77777777" w:rsidR="00A54D46" w:rsidRPr="00D55644" w:rsidRDefault="00A54D46" w:rsidP="009D2420">
      <w:pPr>
        <w:spacing w:line="360" w:lineRule="auto"/>
        <w:rPr>
          <w:sz w:val="26"/>
          <w:szCs w:val="26"/>
        </w:rPr>
      </w:pPr>
    </w:p>
    <w:p w14:paraId="1CA805B5" w14:textId="77777777" w:rsidR="005A6F35" w:rsidRPr="00D55644" w:rsidRDefault="005A6F35" w:rsidP="009D2420">
      <w:pPr>
        <w:spacing w:line="360" w:lineRule="auto"/>
        <w:rPr>
          <w:sz w:val="26"/>
          <w:szCs w:val="26"/>
        </w:rPr>
      </w:pPr>
      <w:r w:rsidRPr="00D55644">
        <w:rPr>
          <w:sz w:val="26"/>
          <w:szCs w:val="26"/>
        </w:rPr>
        <w:tab/>
        <w:t>NRG claims that the costs to implement SCB would not be excessive because a significant amount of work has already been done by the Electronic Data Exchange Working Group (EDEWG) and protocols established</w:t>
      </w:r>
      <w:r w:rsidR="00350E49" w:rsidRPr="00D55644">
        <w:rPr>
          <w:sz w:val="26"/>
          <w:szCs w:val="26"/>
        </w:rPr>
        <w:t xml:space="preserve"> by NRG</w:t>
      </w:r>
      <w:r w:rsidRPr="00D55644">
        <w:rPr>
          <w:sz w:val="26"/>
          <w:szCs w:val="26"/>
        </w:rPr>
        <w:t xml:space="preserve"> in Texas for SCB could be adopted in Pennsylvania.  </w:t>
      </w:r>
      <w:r w:rsidR="000178EA" w:rsidRPr="00D55644">
        <w:rPr>
          <w:sz w:val="26"/>
          <w:szCs w:val="26"/>
        </w:rPr>
        <w:t>In terms of consumer education, NRG proposes that EGSs offering SCB bear the costs of explaining SCB to consumers “during the sales transaction an</w:t>
      </w:r>
      <w:r w:rsidR="001716A9" w:rsidRPr="00D55644">
        <w:rPr>
          <w:sz w:val="26"/>
          <w:szCs w:val="26"/>
        </w:rPr>
        <w:t>d through disclosure documents</w:t>
      </w:r>
      <w:r w:rsidRPr="00D55644">
        <w:rPr>
          <w:sz w:val="26"/>
          <w:szCs w:val="26"/>
        </w:rPr>
        <w:t>.</w:t>
      </w:r>
      <w:r w:rsidR="00350E49" w:rsidRPr="00D55644">
        <w:rPr>
          <w:sz w:val="26"/>
          <w:szCs w:val="26"/>
        </w:rPr>
        <w:t>”</w:t>
      </w:r>
      <w:r w:rsidR="001A5FA6" w:rsidRPr="00D55644">
        <w:rPr>
          <w:sz w:val="26"/>
          <w:szCs w:val="26"/>
        </w:rPr>
        <w:t xml:space="preserve">  Further, NRG claims that EDC overhead costs should decrease </w:t>
      </w:r>
      <w:proofErr w:type="gramStart"/>
      <w:r w:rsidR="001A5FA6" w:rsidRPr="00D55644">
        <w:rPr>
          <w:sz w:val="26"/>
          <w:szCs w:val="26"/>
        </w:rPr>
        <w:t>as a result of</w:t>
      </w:r>
      <w:proofErr w:type="gramEnd"/>
      <w:r w:rsidR="001A5FA6" w:rsidRPr="00D55644">
        <w:rPr>
          <w:sz w:val="26"/>
          <w:szCs w:val="26"/>
        </w:rPr>
        <w:t xml:space="preserve"> EGSs taking over billing and customer service functions for SCB customers.</w:t>
      </w:r>
      <w:r w:rsidRPr="00D55644">
        <w:rPr>
          <w:rStyle w:val="FootnoteReference"/>
          <w:sz w:val="26"/>
          <w:szCs w:val="26"/>
        </w:rPr>
        <w:footnoteReference w:id="113"/>
      </w:r>
    </w:p>
    <w:p w14:paraId="2A620740" w14:textId="7F507490" w:rsidR="00580664" w:rsidRDefault="00580664" w:rsidP="00E34B2E">
      <w:pPr>
        <w:overflowPunct/>
        <w:autoSpaceDE/>
        <w:autoSpaceDN/>
        <w:adjustRightInd/>
        <w:spacing w:line="360" w:lineRule="auto"/>
        <w:textAlignment w:val="auto"/>
        <w:rPr>
          <w:sz w:val="26"/>
          <w:szCs w:val="26"/>
        </w:rPr>
      </w:pPr>
    </w:p>
    <w:p w14:paraId="0DBCF5CC" w14:textId="77777777" w:rsidR="009D2420" w:rsidRPr="00580664" w:rsidRDefault="009D2420" w:rsidP="006C5132">
      <w:pPr>
        <w:spacing w:line="360" w:lineRule="auto"/>
        <w:ind w:left="720"/>
        <w:rPr>
          <w:b/>
          <w:sz w:val="26"/>
          <w:szCs w:val="26"/>
        </w:rPr>
      </w:pPr>
      <w:r w:rsidRPr="00580664">
        <w:rPr>
          <w:b/>
          <w:sz w:val="26"/>
          <w:szCs w:val="26"/>
        </w:rPr>
        <w:t>2</w:t>
      </w:r>
      <w:r w:rsidR="00580664" w:rsidRPr="00580664">
        <w:rPr>
          <w:b/>
          <w:sz w:val="26"/>
          <w:szCs w:val="26"/>
        </w:rPr>
        <w:t>.</w:t>
      </w:r>
      <w:r w:rsidR="00580664" w:rsidRPr="00580664">
        <w:rPr>
          <w:b/>
          <w:sz w:val="26"/>
          <w:szCs w:val="26"/>
        </w:rPr>
        <w:tab/>
      </w:r>
      <w:r w:rsidRPr="00580664">
        <w:rPr>
          <w:b/>
          <w:sz w:val="26"/>
          <w:szCs w:val="26"/>
        </w:rPr>
        <w:t>Comments</w:t>
      </w:r>
    </w:p>
    <w:p w14:paraId="252E5AE5" w14:textId="77777777" w:rsidR="00F201C2" w:rsidRPr="00D55644" w:rsidRDefault="00F201C2" w:rsidP="009D2420">
      <w:pPr>
        <w:spacing w:line="360" w:lineRule="auto"/>
        <w:rPr>
          <w:sz w:val="26"/>
          <w:szCs w:val="26"/>
        </w:rPr>
      </w:pPr>
      <w:r w:rsidRPr="00D55644">
        <w:rPr>
          <w:sz w:val="26"/>
          <w:szCs w:val="26"/>
        </w:rPr>
        <w:tab/>
        <w:t>Direct Energy, RESA, and WGL Energy agree with NRG that implementation of SCB would spur competition in Pennsylvania’s retail electric market.</w:t>
      </w:r>
      <w:r w:rsidRPr="00D55644">
        <w:rPr>
          <w:rStyle w:val="FootnoteReference"/>
          <w:sz w:val="26"/>
          <w:szCs w:val="26"/>
        </w:rPr>
        <w:footnoteReference w:id="114"/>
      </w:r>
    </w:p>
    <w:p w14:paraId="7E61B71D" w14:textId="77777777" w:rsidR="00F201C2" w:rsidRPr="00D55644" w:rsidRDefault="00F201C2" w:rsidP="009D2420">
      <w:pPr>
        <w:spacing w:line="360" w:lineRule="auto"/>
        <w:rPr>
          <w:sz w:val="26"/>
          <w:szCs w:val="26"/>
        </w:rPr>
      </w:pPr>
    </w:p>
    <w:p w14:paraId="05BACF05" w14:textId="77777777" w:rsidR="001E2990" w:rsidRPr="00D55644" w:rsidRDefault="001E2990" w:rsidP="009D2420">
      <w:pPr>
        <w:spacing w:line="360" w:lineRule="auto"/>
        <w:rPr>
          <w:sz w:val="26"/>
          <w:szCs w:val="26"/>
        </w:rPr>
      </w:pPr>
      <w:r w:rsidRPr="00D55644">
        <w:rPr>
          <w:sz w:val="26"/>
          <w:szCs w:val="26"/>
        </w:rPr>
        <w:tab/>
      </w:r>
      <w:r w:rsidR="00444415" w:rsidRPr="00D55644">
        <w:rPr>
          <w:sz w:val="26"/>
          <w:szCs w:val="26"/>
        </w:rPr>
        <w:t>Several EDCs</w:t>
      </w:r>
      <w:r w:rsidRPr="00D55644">
        <w:rPr>
          <w:sz w:val="26"/>
          <w:szCs w:val="26"/>
        </w:rPr>
        <w:t xml:space="preserve"> assert that NRG’s size and experience using SCB in Texas provide it with a competitive advantage that will</w:t>
      </w:r>
      <w:r w:rsidR="008824E4" w:rsidRPr="00D55644">
        <w:rPr>
          <w:sz w:val="26"/>
          <w:szCs w:val="26"/>
        </w:rPr>
        <w:t xml:space="preserve"> either</w:t>
      </w:r>
      <w:r w:rsidRPr="00D55644">
        <w:rPr>
          <w:sz w:val="26"/>
          <w:szCs w:val="26"/>
        </w:rPr>
        <w:t xml:space="preserve"> drive smaller EGSs out of the market or discourage other EGSs from entering the market, ultimately to the detriment of consumers and Pennsylvania’s retail electric market in general.  FirstEnergy, </w:t>
      </w:r>
      <w:r w:rsidR="00B042FC" w:rsidRPr="00D55644">
        <w:rPr>
          <w:sz w:val="26"/>
          <w:szCs w:val="26"/>
        </w:rPr>
        <w:t>PPL</w:t>
      </w:r>
      <w:r w:rsidR="00444415" w:rsidRPr="00D55644">
        <w:rPr>
          <w:sz w:val="26"/>
          <w:szCs w:val="26"/>
        </w:rPr>
        <w:t xml:space="preserve">, </w:t>
      </w:r>
      <w:r w:rsidRPr="00D55644">
        <w:rPr>
          <w:sz w:val="26"/>
          <w:szCs w:val="26"/>
        </w:rPr>
        <w:t xml:space="preserve">and </w:t>
      </w:r>
      <w:r w:rsidR="00444415" w:rsidRPr="00D55644">
        <w:rPr>
          <w:sz w:val="26"/>
          <w:szCs w:val="26"/>
        </w:rPr>
        <w:t>UGI</w:t>
      </w:r>
      <w:r w:rsidRPr="00D55644">
        <w:rPr>
          <w:sz w:val="26"/>
          <w:szCs w:val="26"/>
        </w:rPr>
        <w:t xml:space="preserve"> claim that NRG has a head start because it already has the billing and customer service infrastructure in place in Texas</w:t>
      </w:r>
      <w:r w:rsidR="00AD0442" w:rsidRPr="00D55644">
        <w:rPr>
          <w:sz w:val="26"/>
          <w:szCs w:val="26"/>
        </w:rPr>
        <w:t xml:space="preserve"> that</w:t>
      </w:r>
      <w:r w:rsidRPr="00D55644">
        <w:rPr>
          <w:sz w:val="26"/>
          <w:szCs w:val="26"/>
        </w:rPr>
        <w:t xml:space="preserve"> it can leverage to increase market share and hobble other EGSs</w:t>
      </w:r>
      <w:r w:rsidR="00AE4D90" w:rsidRPr="00D55644">
        <w:rPr>
          <w:sz w:val="26"/>
          <w:szCs w:val="26"/>
        </w:rPr>
        <w:t xml:space="preserve"> that have</w:t>
      </w:r>
      <w:r w:rsidR="00B042FC" w:rsidRPr="00D55644">
        <w:rPr>
          <w:sz w:val="26"/>
          <w:szCs w:val="26"/>
        </w:rPr>
        <w:t xml:space="preserve"> fewer resources and less expertise</w:t>
      </w:r>
      <w:r w:rsidRPr="00D55644">
        <w:rPr>
          <w:sz w:val="26"/>
          <w:szCs w:val="26"/>
        </w:rPr>
        <w:t>.</w:t>
      </w:r>
      <w:r w:rsidR="007C56CC" w:rsidRPr="00D55644">
        <w:rPr>
          <w:rStyle w:val="FootnoteReference"/>
          <w:sz w:val="26"/>
          <w:szCs w:val="26"/>
        </w:rPr>
        <w:footnoteReference w:id="115"/>
      </w:r>
      <w:r w:rsidR="007C56CC" w:rsidRPr="00D55644">
        <w:rPr>
          <w:sz w:val="26"/>
          <w:szCs w:val="26"/>
        </w:rPr>
        <w:t xml:space="preserve">  </w:t>
      </w:r>
      <w:r w:rsidR="00444415" w:rsidRPr="00D55644">
        <w:rPr>
          <w:sz w:val="26"/>
          <w:szCs w:val="26"/>
        </w:rPr>
        <w:t>PECO</w:t>
      </w:r>
      <w:r w:rsidR="00B042FC" w:rsidRPr="00D55644">
        <w:rPr>
          <w:sz w:val="26"/>
          <w:szCs w:val="26"/>
        </w:rPr>
        <w:t xml:space="preserve"> assert</w:t>
      </w:r>
      <w:r w:rsidR="00444415" w:rsidRPr="00D55644">
        <w:rPr>
          <w:sz w:val="26"/>
          <w:szCs w:val="26"/>
        </w:rPr>
        <w:t>s</w:t>
      </w:r>
      <w:r w:rsidR="00B042FC" w:rsidRPr="00D55644">
        <w:rPr>
          <w:sz w:val="26"/>
          <w:szCs w:val="26"/>
        </w:rPr>
        <w:t xml:space="preserve"> that smaller EGSs may not have the ability to post the increased collateral pro</w:t>
      </w:r>
      <w:r w:rsidR="008824E4" w:rsidRPr="00D55644">
        <w:rPr>
          <w:sz w:val="26"/>
          <w:szCs w:val="26"/>
        </w:rPr>
        <w:t xml:space="preserve">posed by NRG, so they would </w:t>
      </w:r>
      <w:r w:rsidR="00B042FC" w:rsidRPr="00D55644">
        <w:rPr>
          <w:sz w:val="26"/>
          <w:szCs w:val="26"/>
        </w:rPr>
        <w:t xml:space="preserve">be </w:t>
      </w:r>
      <w:r w:rsidR="008824E4" w:rsidRPr="00D55644">
        <w:rPr>
          <w:sz w:val="26"/>
          <w:szCs w:val="26"/>
        </w:rPr>
        <w:t>un</w:t>
      </w:r>
      <w:r w:rsidR="00B042FC" w:rsidRPr="00D55644">
        <w:rPr>
          <w:sz w:val="26"/>
          <w:szCs w:val="26"/>
        </w:rPr>
        <w:t xml:space="preserve">able to participate in SCB </w:t>
      </w:r>
      <w:r w:rsidR="008824E4" w:rsidRPr="00D55644">
        <w:rPr>
          <w:sz w:val="26"/>
          <w:szCs w:val="26"/>
        </w:rPr>
        <w:t>or</w:t>
      </w:r>
      <w:r w:rsidR="00B042FC" w:rsidRPr="00D55644">
        <w:rPr>
          <w:sz w:val="26"/>
          <w:szCs w:val="26"/>
        </w:rPr>
        <w:t xml:space="preserve"> offer VAS to customers.</w:t>
      </w:r>
      <w:r w:rsidR="00B042FC" w:rsidRPr="00D55644">
        <w:rPr>
          <w:rStyle w:val="FootnoteReference"/>
          <w:sz w:val="26"/>
          <w:szCs w:val="26"/>
        </w:rPr>
        <w:footnoteReference w:id="116"/>
      </w:r>
      <w:r w:rsidR="00B042FC" w:rsidRPr="00D55644">
        <w:rPr>
          <w:sz w:val="26"/>
          <w:szCs w:val="26"/>
        </w:rPr>
        <w:t xml:space="preserve">  Further, PPL claims that smaller EGSs may not be able to offer competing VAS or to absorb EDC rate increases</w:t>
      </w:r>
      <w:r w:rsidR="009D2EB5" w:rsidRPr="00D55644">
        <w:rPr>
          <w:sz w:val="26"/>
          <w:szCs w:val="26"/>
        </w:rPr>
        <w:t>, limiting their ability to offer SCB</w:t>
      </w:r>
      <w:r w:rsidR="00B042FC" w:rsidRPr="00D55644">
        <w:rPr>
          <w:sz w:val="26"/>
          <w:szCs w:val="26"/>
        </w:rPr>
        <w:t>.</w:t>
      </w:r>
      <w:r w:rsidR="00B042FC" w:rsidRPr="00D55644">
        <w:rPr>
          <w:rStyle w:val="FootnoteReference"/>
          <w:sz w:val="26"/>
          <w:szCs w:val="26"/>
        </w:rPr>
        <w:footnoteReference w:id="117"/>
      </w:r>
      <w:r w:rsidR="00F201C2" w:rsidRPr="00D55644">
        <w:rPr>
          <w:sz w:val="26"/>
          <w:szCs w:val="26"/>
        </w:rPr>
        <w:t xml:space="preserve">  RESA, on the other hand, asserts that it is not clear that larger EGSs will have a competitive advantage and claims that the Commission should be skeptical of claims that implementation of SCB will harm competition by driving out smaller EGSs.</w:t>
      </w:r>
      <w:r w:rsidR="0012725D" w:rsidRPr="00D55644">
        <w:rPr>
          <w:rStyle w:val="FootnoteReference"/>
          <w:sz w:val="26"/>
          <w:szCs w:val="26"/>
        </w:rPr>
        <w:footnoteReference w:id="118"/>
      </w:r>
    </w:p>
    <w:p w14:paraId="6AA4B37A" w14:textId="77777777" w:rsidR="001A5FA6" w:rsidRPr="00D55644" w:rsidRDefault="001A5FA6" w:rsidP="009D2420">
      <w:pPr>
        <w:spacing w:line="360" w:lineRule="auto"/>
        <w:rPr>
          <w:sz w:val="26"/>
          <w:szCs w:val="26"/>
        </w:rPr>
      </w:pPr>
    </w:p>
    <w:p w14:paraId="4B864628" w14:textId="77777777" w:rsidR="001B600F" w:rsidRPr="00D55644" w:rsidRDefault="001B600F" w:rsidP="009D2420">
      <w:pPr>
        <w:spacing w:line="360" w:lineRule="auto"/>
        <w:rPr>
          <w:sz w:val="26"/>
          <w:szCs w:val="26"/>
        </w:rPr>
      </w:pPr>
      <w:r w:rsidRPr="00D55644">
        <w:rPr>
          <w:sz w:val="26"/>
          <w:szCs w:val="26"/>
        </w:rPr>
        <w:tab/>
        <w:t xml:space="preserve">Also, </w:t>
      </w:r>
      <w:proofErr w:type="gramStart"/>
      <w:r w:rsidRPr="00D55644">
        <w:rPr>
          <w:sz w:val="26"/>
          <w:szCs w:val="26"/>
        </w:rPr>
        <w:t>a number of</w:t>
      </w:r>
      <w:proofErr w:type="gramEnd"/>
      <w:r w:rsidRPr="00D55644">
        <w:rPr>
          <w:sz w:val="26"/>
          <w:szCs w:val="26"/>
        </w:rPr>
        <w:t xml:space="preserve"> commenters claim that NRG’s flat bill proposal </w:t>
      </w:r>
      <w:r w:rsidR="00E15D1A" w:rsidRPr="00D55644">
        <w:rPr>
          <w:sz w:val="26"/>
          <w:szCs w:val="26"/>
        </w:rPr>
        <w:t>is</w:t>
      </w:r>
      <w:r w:rsidRPr="00D55644">
        <w:rPr>
          <w:sz w:val="26"/>
          <w:szCs w:val="26"/>
        </w:rPr>
        <w:t xml:space="preserve"> anticompetitive because it limit</w:t>
      </w:r>
      <w:r w:rsidR="00E15D1A" w:rsidRPr="00D55644">
        <w:rPr>
          <w:sz w:val="26"/>
          <w:szCs w:val="26"/>
        </w:rPr>
        <w:t>s</w:t>
      </w:r>
      <w:r w:rsidRPr="00D55644">
        <w:rPr>
          <w:sz w:val="26"/>
          <w:szCs w:val="26"/>
        </w:rPr>
        <w:t xml:space="preserve"> the ability of customers </w:t>
      </w:r>
      <w:r w:rsidR="00F729CC" w:rsidRPr="00D55644">
        <w:rPr>
          <w:sz w:val="26"/>
          <w:szCs w:val="26"/>
        </w:rPr>
        <w:t>to comparison shop.  CAUSE PA, Calpine</w:t>
      </w:r>
      <w:r w:rsidR="00455C3E" w:rsidRPr="00D55644">
        <w:rPr>
          <w:sz w:val="26"/>
          <w:szCs w:val="26"/>
        </w:rPr>
        <w:t>, the Industrial Customer Alliances</w:t>
      </w:r>
      <w:r w:rsidRPr="00D55644">
        <w:rPr>
          <w:sz w:val="26"/>
          <w:szCs w:val="26"/>
        </w:rPr>
        <w:t>,</w:t>
      </w:r>
      <w:r w:rsidR="00455C3E" w:rsidRPr="00D55644">
        <w:rPr>
          <w:sz w:val="26"/>
          <w:szCs w:val="26"/>
        </w:rPr>
        <w:t xml:space="preserve"> </w:t>
      </w:r>
      <w:r w:rsidR="00551F83" w:rsidRPr="00D55644">
        <w:rPr>
          <w:sz w:val="26"/>
          <w:szCs w:val="26"/>
        </w:rPr>
        <w:t xml:space="preserve">the </w:t>
      </w:r>
      <w:r w:rsidR="00455C3E" w:rsidRPr="00D55644">
        <w:rPr>
          <w:sz w:val="26"/>
          <w:szCs w:val="26"/>
        </w:rPr>
        <w:t>OSBA, PECO, and PPL</w:t>
      </w:r>
      <w:r w:rsidRPr="00D55644">
        <w:rPr>
          <w:sz w:val="26"/>
          <w:szCs w:val="26"/>
        </w:rPr>
        <w:t xml:space="preserve"> assert that having EDC charges appear on the SCB bill as </w:t>
      </w:r>
      <w:r w:rsidR="00E323DF" w:rsidRPr="00D55644">
        <w:rPr>
          <w:sz w:val="26"/>
          <w:szCs w:val="26"/>
        </w:rPr>
        <w:t>a single, consolidated amount</w:t>
      </w:r>
      <w:r w:rsidRPr="00D55644">
        <w:rPr>
          <w:sz w:val="26"/>
          <w:szCs w:val="26"/>
        </w:rPr>
        <w:t xml:space="preserve"> would obscure </w:t>
      </w:r>
      <w:r w:rsidR="00E323DF" w:rsidRPr="00D55644">
        <w:rPr>
          <w:sz w:val="26"/>
          <w:szCs w:val="26"/>
        </w:rPr>
        <w:t>price information necessary to allow customers to compare offers.  As such, the commenters claim, the ability to shop for electric generation—and by extension competition in the retail electric market in general—would be harmed.</w:t>
      </w:r>
      <w:r w:rsidR="00E323DF" w:rsidRPr="00D55644">
        <w:rPr>
          <w:rStyle w:val="FootnoteReference"/>
          <w:sz w:val="26"/>
          <w:szCs w:val="26"/>
        </w:rPr>
        <w:footnoteReference w:id="119"/>
      </w:r>
    </w:p>
    <w:p w14:paraId="793E4984" w14:textId="77777777" w:rsidR="00BD29C4" w:rsidRPr="00D55644" w:rsidRDefault="00BD29C4" w:rsidP="009D2420">
      <w:pPr>
        <w:spacing w:line="360" w:lineRule="auto"/>
        <w:rPr>
          <w:sz w:val="26"/>
          <w:szCs w:val="26"/>
        </w:rPr>
      </w:pPr>
    </w:p>
    <w:p w14:paraId="659736C0" w14:textId="77777777" w:rsidR="00BD29C4" w:rsidRPr="00D55644" w:rsidRDefault="00BD29C4" w:rsidP="009D2420">
      <w:pPr>
        <w:spacing w:line="360" w:lineRule="auto"/>
        <w:rPr>
          <w:sz w:val="26"/>
          <w:szCs w:val="26"/>
        </w:rPr>
      </w:pPr>
      <w:r w:rsidRPr="00D55644">
        <w:rPr>
          <w:sz w:val="26"/>
          <w:szCs w:val="26"/>
        </w:rPr>
        <w:tab/>
        <w:t>In addition, some commenters state their belief that EGSs offering SCB wil</w:t>
      </w:r>
      <w:r w:rsidR="00854A2B" w:rsidRPr="00D55644">
        <w:rPr>
          <w:sz w:val="26"/>
          <w:szCs w:val="26"/>
        </w:rPr>
        <w:t>l not participate in voluntary Standard Offer P</w:t>
      </w:r>
      <w:r w:rsidRPr="00D55644">
        <w:rPr>
          <w:sz w:val="26"/>
          <w:szCs w:val="26"/>
        </w:rPr>
        <w:t xml:space="preserve">rograms (SOPs).  </w:t>
      </w:r>
      <w:r w:rsidR="001D7959" w:rsidRPr="00D55644">
        <w:rPr>
          <w:sz w:val="26"/>
          <w:szCs w:val="26"/>
        </w:rPr>
        <w:t xml:space="preserve">CAUSE PA, </w:t>
      </w:r>
      <w:r w:rsidR="00462483" w:rsidRPr="00D55644">
        <w:rPr>
          <w:sz w:val="26"/>
          <w:szCs w:val="26"/>
        </w:rPr>
        <w:t xml:space="preserve">the </w:t>
      </w:r>
      <w:r w:rsidR="001D7959" w:rsidRPr="00D55644">
        <w:rPr>
          <w:sz w:val="26"/>
          <w:szCs w:val="26"/>
        </w:rPr>
        <w:t xml:space="preserve">OCA, and PECO assert that implementation of SCB would call into question the existence of SOPs, a great facilitator of electric shopping, because EGSs offering SCB would have no incentive to provide call center callers with information regarding offers from competitors.  The commenters note that eliminating SOPs would </w:t>
      </w:r>
      <w:r w:rsidR="00463E6C" w:rsidRPr="00D55644">
        <w:rPr>
          <w:sz w:val="26"/>
          <w:szCs w:val="26"/>
        </w:rPr>
        <w:t xml:space="preserve">harm consumers by limiting the information they receive about offers from other EGSs and therefore </w:t>
      </w:r>
      <w:r w:rsidR="00462483" w:rsidRPr="00D55644">
        <w:rPr>
          <w:sz w:val="26"/>
          <w:szCs w:val="26"/>
        </w:rPr>
        <w:t xml:space="preserve">may </w:t>
      </w:r>
      <w:r w:rsidR="001D7959" w:rsidRPr="00D55644">
        <w:rPr>
          <w:sz w:val="26"/>
          <w:szCs w:val="26"/>
        </w:rPr>
        <w:t>pose a barrier to new EGSs attempting to enter Pennsylvania’s retail electric market</w:t>
      </w:r>
      <w:r w:rsidR="00463E6C" w:rsidRPr="00D55644">
        <w:rPr>
          <w:sz w:val="26"/>
          <w:szCs w:val="26"/>
        </w:rPr>
        <w:t>, which would have an anticompetitive effect on the market</w:t>
      </w:r>
      <w:r w:rsidR="001D7959" w:rsidRPr="00D55644">
        <w:rPr>
          <w:sz w:val="26"/>
          <w:szCs w:val="26"/>
        </w:rPr>
        <w:t>.</w:t>
      </w:r>
      <w:r w:rsidR="001D7959" w:rsidRPr="00D55644">
        <w:rPr>
          <w:rStyle w:val="FootnoteReference"/>
          <w:sz w:val="26"/>
          <w:szCs w:val="26"/>
        </w:rPr>
        <w:footnoteReference w:id="120"/>
      </w:r>
    </w:p>
    <w:p w14:paraId="751C4FDE" w14:textId="77777777" w:rsidR="001F0330" w:rsidRPr="00D55644" w:rsidRDefault="001F0330" w:rsidP="009D2420">
      <w:pPr>
        <w:spacing w:line="360" w:lineRule="auto"/>
        <w:rPr>
          <w:sz w:val="26"/>
          <w:szCs w:val="26"/>
        </w:rPr>
      </w:pPr>
    </w:p>
    <w:p w14:paraId="5A30FBF8" w14:textId="77777777" w:rsidR="0038558B" w:rsidRPr="00D55644" w:rsidRDefault="001F0330" w:rsidP="009D2420">
      <w:pPr>
        <w:spacing w:line="360" w:lineRule="auto"/>
        <w:rPr>
          <w:sz w:val="26"/>
          <w:szCs w:val="26"/>
        </w:rPr>
      </w:pPr>
      <w:r w:rsidRPr="00D55644">
        <w:rPr>
          <w:sz w:val="26"/>
          <w:szCs w:val="26"/>
        </w:rPr>
        <w:tab/>
      </w:r>
      <w:r w:rsidR="001D7FAB" w:rsidRPr="00D55644">
        <w:rPr>
          <w:sz w:val="26"/>
          <w:szCs w:val="26"/>
        </w:rPr>
        <w:t xml:space="preserve">Finally, </w:t>
      </w:r>
      <w:proofErr w:type="gramStart"/>
      <w:r w:rsidR="001D7FAB" w:rsidRPr="00D55644">
        <w:rPr>
          <w:sz w:val="26"/>
          <w:szCs w:val="26"/>
        </w:rPr>
        <w:t>a number of</w:t>
      </w:r>
      <w:proofErr w:type="gramEnd"/>
      <w:r w:rsidR="001D7FAB" w:rsidRPr="00D55644">
        <w:rPr>
          <w:sz w:val="26"/>
          <w:szCs w:val="26"/>
        </w:rPr>
        <w:t xml:space="preserve"> commenters claim that the costs of implementing SCB will be </w:t>
      </w:r>
      <w:r w:rsidR="00DE45A2" w:rsidRPr="00D55644">
        <w:rPr>
          <w:sz w:val="26"/>
          <w:szCs w:val="26"/>
        </w:rPr>
        <w:t xml:space="preserve">prohibitively </w:t>
      </w:r>
      <w:r w:rsidR="001D7FAB" w:rsidRPr="00D55644">
        <w:rPr>
          <w:sz w:val="26"/>
          <w:szCs w:val="26"/>
        </w:rPr>
        <w:t>h</w:t>
      </w:r>
      <w:r w:rsidR="008C1CC6" w:rsidRPr="00D55644">
        <w:rPr>
          <w:sz w:val="26"/>
          <w:szCs w:val="26"/>
        </w:rPr>
        <w:t>igh.  CAUSE PA, Citizens &amp; Wellsboro, Duquesne</w:t>
      </w:r>
      <w:r w:rsidR="0038558B" w:rsidRPr="00D55644">
        <w:rPr>
          <w:sz w:val="26"/>
          <w:szCs w:val="26"/>
        </w:rPr>
        <w:t>, FirstEnergy, the Industrial Customer Alliances</w:t>
      </w:r>
      <w:r w:rsidR="001D7FAB" w:rsidRPr="00D55644">
        <w:rPr>
          <w:sz w:val="26"/>
          <w:szCs w:val="26"/>
        </w:rPr>
        <w:t>,</w:t>
      </w:r>
      <w:r w:rsidR="0038558B" w:rsidRPr="00D55644">
        <w:rPr>
          <w:sz w:val="26"/>
          <w:szCs w:val="26"/>
        </w:rPr>
        <w:t xml:space="preserve"> </w:t>
      </w:r>
      <w:r w:rsidR="006919B8" w:rsidRPr="00D55644">
        <w:rPr>
          <w:sz w:val="26"/>
          <w:szCs w:val="26"/>
        </w:rPr>
        <w:t xml:space="preserve">the </w:t>
      </w:r>
      <w:r w:rsidR="0038558B" w:rsidRPr="00D55644">
        <w:rPr>
          <w:sz w:val="26"/>
          <w:szCs w:val="26"/>
        </w:rPr>
        <w:t>OCA,</w:t>
      </w:r>
      <w:r w:rsidR="001D7FAB" w:rsidRPr="00D55644">
        <w:rPr>
          <w:sz w:val="26"/>
          <w:szCs w:val="26"/>
        </w:rPr>
        <w:t xml:space="preserve"> </w:t>
      </w:r>
      <w:r w:rsidR="0038558B" w:rsidRPr="00D55644">
        <w:rPr>
          <w:sz w:val="26"/>
          <w:szCs w:val="26"/>
        </w:rPr>
        <w:t>PA AFL-CIO, PECO, PPL, TURN, and UGI</w:t>
      </w:r>
      <w:r w:rsidR="001D7FAB" w:rsidRPr="00D55644">
        <w:rPr>
          <w:sz w:val="26"/>
          <w:szCs w:val="26"/>
        </w:rPr>
        <w:t xml:space="preserve"> </w:t>
      </w:r>
      <w:r w:rsidR="0039251E" w:rsidRPr="00D55644">
        <w:rPr>
          <w:sz w:val="26"/>
          <w:szCs w:val="26"/>
        </w:rPr>
        <w:t>claim that the costs of implem</w:t>
      </w:r>
      <w:r w:rsidR="00314242" w:rsidRPr="00D55644">
        <w:rPr>
          <w:sz w:val="26"/>
          <w:szCs w:val="26"/>
        </w:rPr>
        <w:t>entation will be high because</w:t>
      </w:r>
      <w:r w:rsidR="0039251E" w:rsidRPr="00D55644">
        <w:rPr>
          <w:sz w:val="26"/>
          <w:szCs w:val="26"/>
        </w:rPr>
        <w:t xml:space="preserve"> (1) complex and contentious issues still need to be resolved; (2) consumer education</w:t>
      </w:r>
      <w:r w:rsidR="00314242" w:rsidRPr="00D55644">
        <w:rPr>
          <w:sz w:val="26"/>
          <w:szCs w:val="26"/>
        </w:rPr>
        <w:t xml:space="preserve"> will be necessary</w:t>
      </w:r>
      <w:r w:rsidR="0039251E" w:rsidRPr="00D55644">
        <w:rPr>
          <w:sz w:val="26"/>
          <w:szCs w:val="26"/>
        </w:rPr>
        <w:t xml:space="preserve"> to explain the new billing method and resulting division of customer service responsibilities; (3) </w:t>
      </w:r>
      <w:r w:rsidR="008C28C1" w:rsidRPr="00D55644">
        <w:rPr>
          <w:sz w:val="26"/>
          <w:szCs w:val="26"/>
        </w:rPr>
        <w:t>the</w:t>
      </w:r>
      <w:r w:rsidR="0039251E" w:rsidRPr="00D55644">
        <w:rPr>
          <w:sz w:val="26"/>
          <w:szCs w:val="26"/>
        </w:rPr>
        <w:t xml:space="preserve"> Commission’s oversight burden will be increased; (4) </w:t>
      </w:r>
      <w:r w:rsidR="008C28C1" w:rsidRPr="00D55644">
        <w:rPr>
          <w:sz w:val="26"/>
          <w:szCs w:val="26"/>
        </w:rPr>
        <w:t xml:space="preserve"> </w:t>
      </w:r>
      <w:r w:rsidR="0039251E" w:rsidRPr="00D55644">
        <w:rPr>
          <w:sz w:val="26"/>
          <w:szCs w:val="26"/>
        </w:rPr>
        <w:t>the previous work of EDEWG that NRG is relying on will have little relevance now since Chapter 14 of the Public Utility Code was enacted in 2004</w:t>
      </w:r>
      <w:r w:rsidR="006919B8" w:rsidRPr="00D55644">
        <w:rPr>
          <w:sz w:val="26"/>
          <w:szCs w:val="26"/>
        </w:rPr>
        <w:t xml:space="preserve"> and recently amended</w:t>
      </w:r>
      <w:r w:rsidR="0039251E" w:rsidRPr="00D55644">
        <w:rPr>
          <w:sz w:val="26"/>
          <w:szCs w:val="26"/>
        </w:rPr>
        <w:t>;</w:t>
      </w:r>
      <w:r w:rsidR="0038558B" w:rsidRPr="00D55644">
        <w:rPr>
          <w:sz w:val="26"/>
          <w:szCs w:val="26"/>
        </w:rPr>
        <w:t xml:space="preserve"> (5) </w:t>
      </w:r>
      <w:r w:rsidR="006919B8" w:rsidRPr="00D55644">
        <w:rPr>
          <w:sz w:val="26"/>
          <w:szCs w:val="26"/>
        </w:rPr>
        <w:t>the Texas SCB protocols on which NRG is relying</w:t>
      </w:r>
      <w:r w:rsidR="0038558B" w:rsidRPr="00D55644">
        <w:rPr>
          <w:sz w:val="26"/>
          <w:szCs w:val="26"/>
        </w:rPr>
        <w:t xml:space="preserve"> may not translate to Pennsylvania’s retail electric market; (6) EGSs will need to create or upgrade their billing systems; and</w:t>
      </w:r>
      <w:r w:rsidR="0039251E" w:rsidRPr="00D55644">
        <w:rPr>
          <w:sz w:val="26"/>
          <w:szCs w:val="26"/>
        </w:rPr>
        <w:t xml:space="preserve"> </w:t>
      </w:r>
      <w:r w:rsidR="0038558B" w:rsidRPr="00D55644">
        <w:rPr>
          <w:sz w:val="26"/>
          <w:szCs w:val="26"/>
        </w:rPr>
        <w:t>(7</w:t>
      </w:r>
      <w:r w:rsidR="00046BD0" w:rsidRPr="00D55644">
        <w:rPr>
          <w:sz w:val="26"/>
          <w:szCs w:val="26"/>
        </w:rPr>
        <w:t>) EDC overhead costs for call center operations will not go down measurably—if at all—because they will still be serving default service customers and customers of EGSs that do not offer SCB, and they will have to maintain some level of stand-by capacity to serve SCB customers who are aband</w:t>
      </w:r>
      <w:r w:rsidR="006919B8" w:rsidRPr="00D55644">
        <w:rPr>
          <w:sz w:val="26"/>
          <w:szCs w:val="26"/>
        </w:rPr>
        <w:t>oned or return</w:t>
      </w:r>
      <w:r w:rsidR="00046BD0" w:rsidRPr="00D55644">
        <w:rPr>
          <w:sz w:val="26"/>
          <w:szCs w:val="26"/>
        </w:rPr>
        <w:t xml:space="preserve"> to default service</w:t>
      </w:r>
      <w:r w:rsidR="0039251E" w:rsidRPr="00D55644">
        <w:rPr>
          <w:sz w:val="26"/>
          <w:szCs w:val="26"/>
        </w:rPr>
        <w:t>.</w:t>
      </w:r>
      <w:r w:rsidR="0039251E" w:rsidRPr="00D55644">
        <w:rPr>
          <w:rStyle w:val="FootnoteReference"/>
          <w:sz w:val="26"/>
          <w:szCs w:val="26"/>
        </w:rPr>
        <w:footnoteReference w:id="121"/>
      </w:r>
    </w:p>
    <w:p w14:paraId="243F50E8" w14:textId="77777777" w:rsidR="005761E1" w:rsidRPr="00D55644" w:rsidRDefault="005761E1" w:rsidP="009D2420">
      <w:pPr>
        <w:spacing w:line="360" w:lineRule="auto"/>
        <w:rPr>
          <w:sz w:val="26"/>
          <w:szCs w:val="26"/>
        </w:rPr>
      </w:pPr>
    </w:p>
    <w:p w14:paraId="2C0F98C4" w14:textId="77777777" w:rsidR="00B44853" w:rsidRPr="00D55644" w:rsidRDefault="00E3345A" w:rsidP="009D2420">
      <w:pPr>
        <w:spacing w:line="360" w:lineRule="auto"/>
        <w:rPr>
          <w:sz w:val="26"/>
          <w:szCs w:val="26"/>
        </w:rPr>
      </w:pPr>
      <w:r w:rsidRPr="00D55644">
        <w:rPr>
          <w:sz w:val="26"/>
          <w:szCs w:val="26"/>
        </w:rPr>
        <w:tab/>
      </w:r>
      <w:r w:rsidR="00A064E3" w:rsidRPr="00D55644">
        <w:rPr>
          <w:sz w:val="26"/>
          <w:szCs w:val="26"/>
        </w:rPr>
        <w:t xml:space="preserve">The </w:t>
      </w:r>
      <w:r w:rsidR="001D7FAB" w:rsidRPr="00D55644">
        <w:rPr>
          <w:sz w:val="26"/>
          <w:szCs w:val="26"/>
        </w:rPr>
        <w:t xml:space="preserve">OCA concludes that </w:t>
      </w:r>
      <w:r w:rsidR="004410A2" w:rsidRPr="00D55644">
        <w:rPr>
          <w:sz w:val="26"/>
          <w:szCs w:val="26"/>
        </w:rPr>
        <w:t>the costs of creating, expanding, and operating call centers for EGSs offering SCB</w:t>
      </w:r>
      <w:r w:rsidR="001D7FAB" w:rsidRPr="00D55644">
        <w:rPr>
          <w:sz w:val="26"/>
          <w:szCs w:val="26"/>
        </w:rPr>
        <w:t xml:space="preserve"> will be reflected—one way or another—on customers’ electric bills</w:t>
      </w:r>
      <w:r w:rsidR="004410A2" w:rsidRPr="00D55644">
        <w:rPr>
          <w:sz w:val="26"/>
          <w:szCs w:val="26"/>
        </w:rPr>
        <w:t xml:space="preserve">.  </w:t>
      </w:r>
      <w:r w:rsidR="00A064E3" w:rsidRPr="00D55644">
        <w:rPr>
          <w:sz w:val="26"/>
          <w:szCs w:val="26"/>
        </w:rPr>
        <w:t xml:space="preserve">The </w:t>
      </w:r>
      <w:r w:rsidR="004410A2" w:rsidRPr="00D55644">
        <w:rPr>
          <w:sz w:val="26"/>
          <w:szCs w:val="26"/>
        </w:rPr>
        <w:t>OCA believes that EGSs will either (1) factor those costs into the</w:t>
      </w:r>
      <w:r w:rsidR="00A064E3" w:rsidRPr="00D55644">
        <w:rPr>
          <w:sz w:val="26"/>
          <w:szCs w:val="26"/>
        </w:rPr>
        <w:t xml:space="preserve"> price per kilowatt hour</w:t>
      </w:r>
      <w:r w:rsidR="004410A2" w:rsidRPr="00D55644">
        <w:rPr>
          <w:sz w:val="26"/>
          <w:szCs w:val="26"/>
        </w:rPr>
        <w:t xml:space="preserve"> </w:t>
      </w:r>
      <w:r w:rsidR="00A064E3" w:rsidRPr="00D55644">
        <w:rPr>
          <w:sz w:val="26"/>
          <w:szCs w:val="26"/>
        </w:rPr>
        <w:t>(</w:t>
      </w:r>
      <w:r w:rsidR="004410A2" w:rsidRPr="00D55644">
        <w:rPr>
          <w:sz w:val="26"/>
          <w:szCs w:val="26"/>
        </w:rPr>
        <w:t>kWh</w:t>
      </w:r>
      <w:r w:rsidR="00A064E3" w:rsidRPr="00D55644">
        <w:rPr>
          <w:sz w:val="26"/>
          <w:szCs w:val="26"/>
        </w:rPr>
        <w:t>)</w:t>
      </w:r>
      <w:r w:rsidR="004410A2" w:rsidRPr="00D55644">
        <w:rPr>
          <w:sz w:val="26"/>
          <w:szCs w:val="26"/>
        </w:rPr>
        <w:t xml:space="preserve"> charged to customers or (2) add a separate fee to customers’ bills to recover the costs.</w:t>
      </w:r>
      <w:r w:rsidR="00B44853" w:rsidRPr="00D55644">
        <w:rPr>
          <w:sz w:val="26"/>
          <w:szCs w:val="26"/>
        </w:rPr>
        <w:t xml:space="preserve">  Either way, </w:t>
      </w:r>
      <w:r w:rsidR="00A064E3" w:rsidRPr="00D55644">
        <w:rPr>
          <w:sz w:val="26"/>
          <w:szCs w:val="26"/>
        </w:rPr>
        <w:t xml:space="preserve">the </w:t>
      </w:r>
      <w:r w:rsidR="00B44853" w:rsidRPr="00D55644">
        <w:rPr>
          <w:sz w:val="26"/>
          <w:szCs w:val="26"/>
        </w:rPr>
        <w:t>OCA claims, the bills would violate the Competition Act’s requirement that information be provided to consumers in an understandable format that enables them to compare offe</w:t>
      </w:r>
      <w:r w:rsidR="00A064E3" w:rsidRPr="00D55644">
        <w:rPr>
          <w:sz w:val="26"/>
          <w:szCs w:val="26"/>
        </w:rPr>
        <w:t>rs.  66 Pa. C.S. § 2807(d)(2).</w:t>
      </w:r>
    </w:p>
    <w:p w14:paraId="6D6471CA" w14:textId="77777777" w:rsidR="00B44853" w:rsidRPr="00D55644" w:rsidRDefault="00B44853" w:rsidP="009D2420">
      <w:pPr>
        <w:spacing w:line="360" w:lineRule="auto"/>
        <w:rPr>
          <w:sz w:val="26"/>
          <w:szCs w:val="26"/>
        </w:rPr>
      </w:pPr>
    </w:p>
    <w:p w14:paraId="416E4360" w14:textId="77777777" w:rsidR="001F0330" w:rsidRPr="00D55644" w:rsidRDefault="00C942B5" w:rsidP="009D2420">
      <w:pPr>
        <w:spacing w:line="360" w:lineRule="auto"/>
        <w:rPr>
          <w:sz w:val="26"/>
          <w:szCs w:val="26"/>
        </w:rPr>
      </w:pPr>
      <w:r w:rsidRPr="00D55644">
        <w:rPr>
          <w:sz w:val="26"/>
          <w:szCs w:val="26"/>
        </w:rPr>
        <w:tab/>
        <w:t xml:space="preserve">CAUSE PA, Calpine, and </w:t>
      </w:r>
      <w:r w:rsidR="00A064E3" w:rsidRPr="00D55644">
        <w:rPr>
          <w:sz w:val="26"/>
          <w:szCs w:val="26"/>
        </w:rPr>
        <w:t xml:space="preserve">the </w:t>
      </w:r>
      <w:r w:rsidRPr="00D55644">
        <w:rPr>
          <w:sz w:val="26"/>
          <w:szCs w:val="26"/>
        </w:rPr>
        <w:t xml:space="preserve">OCA, assert that some or </w:t>
      </w:r>
      <w:proofErr w:type="gramStart"/>
      <w:r w:rsidRPr="00D55644">
        <w:rPr>
          <w:sz w:val="26"/>
          <w:szCs w:val="26"/>
        </w:rPr>
        <w:t>all of</w:t>
      </w:r>
      <w:proofErr w:type="gramEnd"/>
      <w:r w:rsidRPr="00D55644">
        <w:rPr>
          <w:sz w:val="26"/>
          <w:szCs w:val="26"/>
        </w:rPr>
        <w:t xml:space="preserve"> the costs of implementation should be borne by the EGSs </w:t>
      </w:r>
      <w:r w:rsidR="00A45BE6" w:rsidRPr="00D55644">
        <w:rPr>
          <w:sz w:val="26"/>
          <w:szCs w:val="26"/>
        </w:rPr>
        <w:t>that</w:t>
      </w:r>
      <w:r w:rsidRPr="00D55644">
        <w:rPr>
          <w:sz w:val="26"/>
          <w:szCs w:val="26"/>
        </w:rPr>
        <w:t xml:space="preserve"> offer SCB.</w:t>
      </w:r>
      <w:r w:rsidRPr="00D55644">
        <w:rPr>
          <w:rStyle w:val="FootnoteReference"/>
          <w:sz w:val="26"/>
          <w:szCs w:val="26"/>
        </w:rPr>
        <w:footnoteReference w:id="122"/>
      </w:r>
      <w:r w:rsidRPr="00D55644">
        <w:rPr>
          <w:sz w:val="26"/>
          <w:szCs w:val="26"/>
        </w:rPr>
        <w:t xml:space="preserve">  </w:t>
      </w:r>
      <w:r w:rsidR="00B44853" w:rsidRPr="00D55644">
        <w:rPr>
          <w:sz w:val="26"/>
          <w:szCs w:val="26"/>
        </w:rPr>
        <w:t xml:space="preserve">According to </w:t>
      </w:r>
      <w:r w:rsidR="00A064E3" w:rsidRPr="00D55644">
        <w:rPr>
          <w:sz w:val="26"/>
          <w:szCs w:val="26"/>
        </w:rPr>
        <w:t xml:space="preserve">the </w:t>
      </w:r>
      <w:r w:rsidR="00B44853" w:rsidRPr="00D55644">
        <w:rPr>
          <w:sz w:val="26"/>
          <w:szCs w:val="26"/>
        </w:rPr>
        <w:t>OCA, if an EGS adds the costs to the price per kWh, the offer would appear less competitive when compared to other suppliers.  But if the costs are added as a separate fee, the EGS’s price per kWh would appear lower t</w:t>
      </w:r>
      <w:r w:rsidR="00A064E3" w:rsidRPr="00D55644">
        <w:rPr>
          <w:sz w:val="26"/>
          <w:szCs w:val="26"/>
        </w:rPr>
        <w:t>han other suppliers.  Either option</w:t>
      </w:r>
      <w:r w:rsidR="00B44853" w:rsidRPr="00D55644">
        <w:rPr>
          <w:sz w:val="26"/>
          <w:szCs w:val="26"/>
        </w:rPr>
        <w:t xml:space="preserve">, </w:t>
      </w:r>
      <w:r w:rsidR="00A064E3" w:rsidRPr="00D55644">
        <w:rPr>
          <w:sz w:val="26"/>
          <w:szCs w:val="26"/>
        </w:rPr>
        <w:t xml:space="preserve">the </w:t>
      </w:r>
      <w:r w:rsidR="00B44853" w:rsidRPr="00D55644">
        <w:rPr>
          <w:sz w:val="26"/>
          <w:szCs w:val="26"/>
        </w:rPr>
        <w:t>OCA claims, would violate Section 2807(d)(2) of the Competition Act by reducing billing transparency and custom</w:t>
      </w:r>
      <w:r w:rsidR="00E3669E" w:rsidRPr="00D55644">
        <w:rPr>
          <w:sz w:val="26"/>
          <w:szCs w:val="26"/>
        </w:rPr>
        <w:t>ers’ ability to comparison shop</w:t>
      </w:r>
      <w:r w:rsidR="00A064E3" w:rsidRPr="00D55644">
        <w:rPr>
          <w:sz w:val="26"/>
          <w:szCs w:val="26"/>
        </w:rPr>
        <w:t>, which would be contrary to the goal of fostering competition</w:t>
      </w:r>
      <w:r w:rsidR="00E3669E" w:rsidRPr="00D55644">
        <w:rPr>
          <w:sz w:val="26"/>
          <w:szCs w:val="26"/>
        </w:rPr>
        <w:t>.</w:t>
      </w:r>
      <w:r w:rsidR="00463120" w:rsidRPr="00D55644">
        <w:rPr>
          <w:rStyle w:val="FootnoteReference"/>
          <w:sz w:val="26"/>
          <w:szCs w:val="26"/>
        </w:rPr>
        <w:footnoteReference w:id="123"/>
      </w:r>
    </w:p>
    <w:p w14:paraId="3E1B906B" w14:textId="77777777" w:rsidR="004E2874" w:rsidRPr="00D55644" w:rsidRDefault="004E2874" w:rsidP="009D2420">
      <w:pPr>
        <w:spacing w:line="360" w:lineRule="auto"/>
        <w:rPr>
          <w:sz w:val="26"/>
          <w:szCs w:val="26"/>
        </w:rPr>
      </w:pPr>
    </w:p>
    <w:p w14:paraId="42802AD8" w14:textId="77777777" w:rsidR="009D2420" w:rsidRPr="00580664" w:rsidRDefault="009D2420" w:rsidP="006C5132">
      <w:pPr>
        <w:spacing w:line="360" w:lineRule="auto"/>
        <w:ind w:left="720"/>
        <w:rPr>
          <w:b/>
          <w:sz w:val="26"/>
          <w:szCs w:val="26"/>
        </w:rPr>
      </w:pPr>
      <w:r w:rsidRPr="00580664">
        <w:rPr>
          <w:b/>
          <w:sz w:val="26"/>
          <w:szCs w:val="26"/>
        </w:rPr>
        <w:t>3</w:t>
      </w:r>
      <w:r w:rsidR="00580664" w:rsidRPr="00580664">
        <w:rPr>
          <w:b/>
          <w:sz w:val="26"/>
          <w:szCs w:val="26"/>
        </w:rPr>
        <w:t>.</w:t>
      </w:r>
      <w:r w:rsidR="00580664" w:rsidRPr="00580664">
        <w:rPr>
          <w:b/>
          <w:sz w:val="26"/>
          <w:szCs w:val="26"/>
        </w:rPr>
        <w:tab/>
      </w:r>
      <w:r w:rsidRPr="00580664">
        <w:rPr>
          <w:b/>
          <w:sz w:val="26"/>
          <w:szCs w:val="26"/>
        </w:rPr>
        <w:t>NRG Reply</w:t>
      </w:r>
    </w:p>
    <w:p w14:paraId="49F86F5E" w14:textId="77777777" w:rsidR="00BA5BAD" w:rsidRPr="00D55644" w:rsidRDefault="00DA2949" w:rsidP="009D2420">
      <w:pPr>
        <w:spacing w:line="360" w:lineRule="auto"/>
        <w:rPr>
          <w:sz w:val="26"/>
          <w:szCs w:val="26"/>
        </w:rPr>
      </w:pPr>
      <w:r w:rsidRPr="00D55644">
        <w:rPr>
          <w:sz w:val="26"/>
          <w:szCs w:val="26"/>
        </w:rPr>
        <w:tab/>
        <w:t xml:space="preserve">NRG reiterates its belief that </w:t>
      </w:r>
      <w:r w:rsidR="0079391D" w:rsidRPr="00D55644">
        <w:rPr>
          <w:sz w:val="26"/>
          <w:szCs w:val="26"/>
        </w:rPr>
        <w:t>implementation of SCB would improve competition in Pennsylvania’s retail electric market and claims that those opposed to its Petition are acting in an anticompetitive manner by trying to limit the choices available to electric customers in the Commonwealth.</w:t>
      </w:r>
      <w:r w:rsidR="0079391D" w:rsidRPr="00D55644">
        <w:rPr>
          <w:rStyle w:val="FootnoteReference"/>
          <w:sz w:val="26"/>
          <w:szCs w:val="26"/>
        </w:rPr>
        <w:footnoteReference w:id="124"/>
      </w:r>
      <w:r w:rsidR="00353C75" w:rsidRPr="00D55644">
        <w:rPr>
          <w:sz w:val="26"/>
          <w:szCs w:val="26"/>
        </w:rPr>
        <w:t xml:space="preserve">  </w:t>
      </w:r>
      <w:r w:rsidR="00BA5BAD" w:rsidRPr="00D55644">
        <w:rPr>
          <w:sz w:val="26"/>
          <w:szCs w:val="26"/>
        </w:rPr>
        <w:t xml:space="preserve">Regarding the competitive advantage commenters claim NRG would have over smaller EGSs, NRG asserts that the effect on smaller EGSs is not a proper concern of the EDCs.  Direct Energy, </w:t>
      </w:r>
      <w:r w:rsidR="00825374" w:rsidRPr="00D55644">
        <w:rPr>
          <w:sz w:val="26"/>
          <w:szCs w:val="26"/>
        </w:rPr>
        <w:t>RESA, and WGL Energy support NRG’s</w:t>
      </w:r>
      <w:r w:rsidR="00BA5BAD" w:rsidRPr="00D55644">
        <w:rPr>
          <w:sz w:val="26"/>
          <w:szCs w:val="26"/>
        </w:rPr>
        <w:t xml:space="preserve"> Petition</w:t>
      </w:r>
      <w:r w:rsidR="00353C75" w:rsidRPr="00D55644">
        <w:rPr>
          <w:sz w:val="26"/>
          <w:szCs w:val="26"/>
        </w:rPr>
        <w:t>, with no EGS opposing</w:t>
      </w:r>
      <w:r w:rsidR="00BA5BAD" w:rsidRPr="00D55644">
        <w:rPr>
          <w:sz w:val="26"/>
          <w:szCs w:val="26"/>
        </w:rPr>
        <w:t xml:space="preserve"> it.</w:t>
      </w:r>
      <w:r w:rsidR="00985A72" w:rsidRPr="00D55644">
        <w:rPr>
          <w:rStyle w:val="FootnoteReference"/>
          <w:sz w:val="26"/>
          <w:szCs w:val="26"/>
        </w:rPr>
        <w:footnoteReference w:id="125"/>
      </w:r>
    </w:p>
    <w:p w14:paraId="5AD54D40" w14:textId="77777777" w:rsidR="002F627E" w:rsidRPr="00D55644" w:rsidRDefault="002F627E" w:rsidP="009D2420">
      <w:pPr>
        <w:spacing w:line="360" w:lineRule="auto"/>
        <w:rPr>
          <w:sz w:val="26"/>
          <w:szCs w:val="26"/>
        </w:rPr>
      </w:pPr>
    </w:p>
    <w:p w14:paraId="440183DD" w14:textId="77777777" w:rsidR="002F627E" w:rsidRPr="00D55644" w:rsidRDefault="002F627E" w:rsidP="009D2420">
      <w:pPr>
        <w:spacing w:line="360" w:lineRule="auto"/>
        <w:rPr>
          <w:sz w:val="26"/>
          <w:szCs w:val="26"/>
        </w:rPr>
      </w:pPr>
      <w:r w:rsidRPr="00D55644">
        <w:rPr>
          <w:sz w:val="26"/>
          <w:szCs w:val="26"/>
        </w:rPr>
        <w:tab/>
        <w:t xml:space="preserve">Regarding flat bills, NRG acknowledges the commenters who noted that the proposal appears to violate the Public Utility Code, </w:t>
      </w:r>
      <w:proofErr w:type="gramStart"/>
      <w:r w:rsidRPr="00D55644">
        <w:rPr>
          <w:i/>
          <w:sz w:val="26"/>
          <w:szCs w:val="26"/>
        </w:rPr>
        <w:t>See</w:t>
      </w:r>
      <w:proofErr w:type="gramEnd"/>
      <w:r w:rsidRPr="00D55644">
        <w:rPr>
          <w:sz w:val="26"/>
          <w:szCs w:val="26"/>
        </w:rPr>
        <w:t xml:space="preserve"> 66 Pa. C.S. §§ 2807(c)(1) and 2807(d)(2), and states that flat bills were mentioned only as an example of the services EGSs could offer under SCB.  NRG further states that flat bills are not a fundamental component of its proposal and that any changes or waivers to Commission regulations necessary to allow flat bills can be addressed later.  Lastly, NRG claims th</w:t>
      </w:r>
      <w:r w:rsidR="00BF2043" w:rsidRPr="00D55644">
        <w:rPr>
          <w:sz w:val="26"/>
          <w:szCs w:val="26"/>
        </w:rPr>
        <w:t>at nothing preclude</w:t>
      </w:r>
      <w:r w:rsidR="006A3FC0" w:rsidRPr="00D55644">
        <w:rPr>
          <w:sz w:val="26"/>
          <w:szCs w:val="26"/>
        </w:rPr>
        <w:t>s</w:t>
      </w:r>
      <w:r w:rsidR="00BF2043" w:rsidRPr="00D55644">
        <w:rPr>
          <w:sz w:val="26"/>
          <w:szCs w:val="26"/>
        </w:rPr>
        <w:t xml:space="preserve"> an EGS</w:t>
      </w:r>
      <w:r w:rsidRPr="00D55644">
        <w:rPr>
          <w:sz w:val="26"/>
          <w:szCs w:val="26"/>
        </w:rPr>
        <w:t xml:space="preserve"> from absorbing EDC rate increases rather than passing them on to consumers.</w:t>
      </w:r>
      <w:r w:rsidRPr="00D55644">
        <w:rPr>
          <w:rStyle w:val="FootnoteReference"/>
          <w:sz w:val="26"/>
          <w:szCs w:val="26"/>
        </w:rPr>
        <w:footnoteReference w:id="126"/>
      </w:r>
    </w:p>
    <w:p w14:paraId="092C998B" w14:textId="77777777" w:rsidR="00BA5BAD" w:rsidRPr="00D55644" w:rsidRDefault="00BA5BAD" w:rsidP="009D2420">
      <w:pPr>
        <w:spacing w:line="360" w:lineRule="auto"/>
        <w:rPr>
          <w:sz w:val="26"/>
          <w:szCs w:val="26"/>
        </w:rPr>
      </w:pPr>
    </w:p>
    <w:p w14:paraId="0F0B1E53" w14:textId="77777777" w:rsidR="00E42153" w:rsidRPr="00D55644" w:rsidRDefault="00E42153" w:rsidP="009D2420">
      <w:pPr>
        <w:spacing w:line="360" w:lineRule="auto"/>
        <w:rPr>
          <w:sz w:val="26"/>
          <w:szCs w:val="26"/>
        </w:rPr>
      </w:pPr>
      <w:r w:rsidRPr="00D55644">
        <w:rPr>
          <w:sz w:val="26"/>
          <w:szCs w:val="26"/>
        </w:rPr>
        <w:tab/>
      </w:r>
      <w:r w:rsidR="00877D73" w:rsidRPr="00D55644">
        <w:rPr>
          <w:sz w:val="26"/>
          <w:szCs w:val="26"/>
        </w:rPr>
        <w:t xml:space="preserve">In response to claims that EGSs will not participate in SOPs, </w:t>
      </w:r>
      <w:r w:rsidRPr="00D55644">
        <w:rPr>
          <w:sz w:val="26"/>
          <w:szCs w:val="26"/>
        </w:rPr>
        <w:t>NRG claims that EGS customer service representatives would be trained to pass along messages to customers about EDC programs, including SOPs.</w:t>
      </w:r>
      <w:r w:rsidRPr="00D55644">
        <w:rPr>
          <w:rStyle w:val="FootnoteReference"/>
          <w:sz w:val="26"/>
          <w:szCs w:val="26"/>
        </w:rPr>
        <w:footnoteReference w:id="127"/>
      </w:r>
    </w:p>
    <w:p w14:paraId="38970BCD" w14:textId="77777777" w:rsidR="00E42153" w:rsidRPr="00D55644" w:rsidRDefault="00E42153" w:rsidP="009D2420">
      <w:pPr>
        <w:spacing w:line="360" w:lineRule="auto"/>
        <w:rPr>
          <w:sz w:val="26"/>
          <w:szCs w:val="26"/>
        </w:rPr>
      </w:pPr>
    </w:p>
    <w:p w14:paraId="15AC936A" w14:textId="77777777" w:rsidR="008C3256" w:rsidRPr="00D55644" w:rsidRDefault="008C3256" w:rsidP="009D2420">
      <w:pPr>
        <w:spacing w:line="360" w:lineRule="auto"/>
        <w:rPr>
          <w:sz w:val="26"/>
          <w:szCs w:val="26"/>
        </w:rPr>
      </w:pPr>
      <w:r w:rsidRPr="00D55644">
        <w:rPr>
          <w:sz w:val="26"/>
          <w:szCs w:val="26"/>
        </w:rPr>
        <w:tab/>
      </w:r>
      <w:r w:rsidR="00BF2043" w:rsidRPr="00D55644">
        <w:rPr>
          <w:sz w:val="26"/>
          <w:szCs w:val="26"/>
        </w:rPr>
        <w:t xml:space="preserve">In terms of the comments on cost, </w:t>
      </w:r>
      <w:r w:rsidRPr="00D55644">
        <w:rPr>
          <w:sz w:val="26"/>
          <w:szCs w:val="26"/>
        </w:rPr>
        <w:t>NRG disputes that the costs of implementing SCB—including costs for increased Commission oversight, duplication of services between EDC and EGS call centers, and the additional work necessary—would be prohibit</w:t>
      </w:r>
      <w:r w:rsidR="00BA5BAD" w:rsidRPr="00D55644">
        <w:rPr>
          <w:sz w:val="26"/>
          <w:szCs w:val="26"/>
        </w:rPr>
        <w:t>ively high</w:t>
      </w:r>
      <w:r w:rsidRPr="00D55644">
        <w:rPr>
          <w:sz w:val="26"/>
          <w:szCs w:val="26"/>
        </w:rPr>
        <w:t>.</w:t>
      </w:r>
      <w:r w:rsidRPr="00D55644">
        <w:rPr>
          <w:rStyle w:val="FootnoteReference"/>
          <w:sz w:val="26"/>
          <w:szCs w:val="26"/>
        </w:rPr>
        <w:footnoteReference w:id="128"/>
      </w:r>
    </w:p>
    <w:p w14:paraId="4BFE49A0" w14:textId="3B639FB9" w:rsidR="00580664" w:rsidRDefault="00580664" w:rsidP="00E34B2E">
      <w:pPr>
        <w:overflowPunct/>
        <w:autoSpaceDE/>
        <w:autoSpaceDN/>
        <w:adjustRightInd/>
        <w:spacing w:line="360" w:lineRule="auto"/>
        <w:textAlignment w:val="auto"/>
        <w:rPr>
          <w:sz w:val="26"/>
          <w:szCs w:val="26"/>
        </w:rPr>
      </w:pPr>
    </w:p>
    <w:p w14:paraId="755B57D6" w14:textId="77777777" w:rsidR="009D2420" w:rsidRPr="00580664" w:rsidRDefault="009D2420" w:rsidP="006C5132">
      <w:pPr>
        <w:spacing w:line="360" w:lineRule="auto"/>
        <w:ind w:left="720"/>
        <w:rPr>
          <w:b/>
          <w:sz w:val="26"/>
          <w:szCs w:val="26"/>
        </w:rPr>
      </w:pPr>
      <w:r w:rsidRPr="00580664">
        <w:rPr>
          <w:b/>
          <w:sz w:val="26"/>
          <w:szCs w:val="26"/>
        </w:rPr>
        <w:t>4</w:t>
      </w:r>
      <w:r w:rsidR="00580664" w:rsidRPr="00580664">
        <w:rPr>
          <w:b/>
          <w:sz w:val="26"/>
          <w:szCs w:val="26"/>
        </w:rPr>
        <w:t>.</w:t>
      </w:r>
      <w:r w:rsidR="00580664" w:rsidRPr="00580664">
        <w:rPr>
          <w:b/>
          <w:sz w:val="26"/>
          <w:szCs w:val="26"/>
        </w:rPr>
        <w:tab/>
      </w:r>
      <w:r w:rsidRPr="00580664">
        <w:rPr>
          <w:b/>
          <w:sz w:val="26"/>
          <w:szCs w:val="26"/>
        </w:rPr>
        <w:t>Disposition</w:t>
      </w:r>
    </w:p>
    <w:p w14:paraId="4C45AF57" w14:textId="77777777" w:rsidR="000F1611" w:rsidRPr="00D55644" w:rsidRDefault="000F1611" w:rsidP="006A2DFB">
      <w:pPr>
        <w:spacing w:line="360" w:lineRule="auto"/>
        <w:rPr>
          <w:sz w:val="26"/>
          <w:szCs w:val="26"/>
        </w:rPr>
      </w:pPr>
      <w:r w:rsidRPr="00D55644">
        <w:rPr>
          <w:sz w:val="26"/>
          <w:szCs w:val="26"/>
        </w:rPr>
        <w:tab/>
        <w:t>While we acknowledge the claims in NRG’s Petition and Reply Comments that SCB  (1) </w:t>
      </w:r>
      <w:r w:rsidR="00D54DF9" w:rsidRPr="00D55644">
        <w:rPr>
          <w:sz w:val="26"/>
          <w:szCs w:val="26"/>
        </w:rPr>
        <w:t xml:space="preserve">will </w:t>
      </w:r>
      <w:r w:rsidRPr="00D55644">
        <w:rPr>
          <w:sz w:val="26"/>
          <w:szCs w:val="26"/>
        </w:rPr>
        <w:t>improve c</w:t>
      </w:r>
      <w:r w:rsidR="005278EA" w:rsidRPr="00D55644">
        <w:rPr>
          <w:sz w:val="26"/>
          <w:szCs w:val="26"/>
        </w:rPr>
        <w:t>ompetition; (2) </w:t>
      </w:r>
      <w:r w:rsidR="00D54DF9" w:rsidRPr="00D55644">
        <w:rPr>
          <w:sz w:val="26"/>
          <w:szCs w:val="26"/>
        </w:rPr>
        <w:t xml:space="preserve">will </w:t>
      </w:r>
      <w:r w:rsidR="005278EA" w:rsidRPr="00D55644">
        <w:rPr>
          <w:sz w:val="26"/>
          <w:szCs w:val="26"/>
        </w:rPr>
        <w:t>strengthen</w:t>
      </w:r>
      <w:r w:rsidRPr="00D55644">
        <w:rPr>
          <w:sz w:val="26"/>
          <w:szCs w:val="26"/>
        </w:rPr>
        <w:t xml:space="preserve"> relationships between EGSs and their customers; (3) </w:t>
      </w:r>
      <w:r w:rsidR="00D54DF9" w:rsidRPr="00D55644">
        <w:rPr>
          <w:sz w:val="26"/>
          <w:szCs w:val="26"/>
        </w:rPr>
        <w:t xml:space="preserve">will </w:t>
      </w:r>
      <w:r w:rsidRPr="00D55644">
        <w:rPr>
          <w:sz w:val="26"/>
          <w:szCs w:val="26"/>
        </w:rPr>
        <w:t xml:space="preserve">make customers more receptive to purchasing </w:t>
      </w:r>
      <w:r w:rsidR="00991FA1" w:rsidRPr="00D55644">
        <w:rPr>
          <w:sz w:val="26"/>
          <w:szCs w:val="26"/>
        </w:rPr>
        <w:t xml:space="preserve">the </w:t>
      </w:r>
      <w:r w:rsidRPr="00D55644">
        <w:rPr>
          <w:sz w:val="26"/>
          <w:szCs w:val="26"/>
        </w:rPr>
        <w:t xml:space="preserve">VAS </w:t>
      </w:r>
      <w:r w:rsidR="005278EA" w:rsidRPr="00D55644">
        <w:rPr>
          <w:sz w:val="26"/>
          <w:szCs w:val="26"/>
        </w:rPr>
        <w:t xml:space="preserve">that </w:t>
      </w:r>
      <w:r w:rsidRPr="00D55644">
        <w:rPr>
          <w:sz w:val="26"/>
          <w:szCs w:val="26"/>
        </w:rPr>
        <w:t>EG</w:t>
      </w:r>
      <w:r w:rsidR="005278EA" w:rsidRPr="00D55644">
        <w:rPr>
          <w:sz w:val="26"/>
          <w:szCs w:val="26"/>
        </w:rPr>
        <w:t>S</w:t>
      </w:r>
      <w:r w:rsidRPr="00D55644">
        <w:rPr>
          <w:sz w:val="26"/>
          <w:szCs w:val="26"/>
        </w:rPr>
        <w:t>s will be able to offer; (4) </w:t>
      </w:r>
      <w:r w:rsidR="00D54DF9" w:rsidRPr="00D55644">
        <w:rPr>
          <w:sz w:val="26"/>
          <w:szCs w:val="26"/>
        </w:rPr>
        <w:t xml:space="preserve">will </w:t>
      </w:r>
      <w:r w:rsidRPr="00D55644">
        <w:rPr>
          <w:sz w:val="26"/>
          <w:szCs w:val="26"/>
        </w:rPr>
        <w:t>rectify stagnation in the retail market; (5) </w:t>
      </w:r>
      <w:r w:rsidR="00D54DF9" w:rsidRPr="00D55644">
        <w:rPr>
          <w:sz w:val="26"/>
          <w:szCs w:val="26"/>
        </w:rPr>
        <w:t xml:space="preserve">will </w:t>
      </w:r>
      <w:r w:rsidRPr="00D55644">
        <w:rPr>
          <w:sz w:val="26"/>
          <w:szCs w:val="26"/>
        </w:rPr>
        <w:t>allow cus</w:t>
      </w:r>
      <w:r w:rsidR="005278EA" w:rsidRPr="00D55644">
        <w:rPr>
          <w:sz w:val="26"/>
          <w:szCs w:val="26"/>
        </w:rPr>
        <w:t>tomers to receive a flat bill and</w:t>
      </w:r>
      <w:r w:rsidRPr="00D55644">
        <w:rPr>
          <w:sz w:val="26"/>
          <w:szCs w:val="26"/>
        </w:rPr>
        <w:t xml:space="preserve"> other services to better manage electric costs and usage; and (6) </w:t>
      </w:r>
      <w:r w:rsidR="00D54DF9" w:rsidRPr="00D55644">
        <w:rPr>
          <w:sz w:val="26"/>
          <w:szCs w:val="26"/>
        </w:rPr>
        <w:t xml:space="preserve">will </w:t>
      </w:r>
      <w:r w:rsidRPr="00D55644">
        <w:rPr>
          <w:sz w:val="26"/>
          <w:szCs w:val="26"/>
        </w:rPr>
        <w:t>not</w:t>
      </w:r>
      <w:r w:rsidR="001B69E6" w:rsidRPr="00D55644">
        <w:rPr>
          <w:sz w:val="26"/>
          <w:szCs w:val="26"/>
        </w:rPr>
        <w:t xml:space="preserve"> be excessively costly to implement</w:t>
      </w:r>
      <w:r w:rsidRPr="00D55644">
        <w:rPr>
          <w:sz w:val="26"/>
          <w:szCs w:val="26"/>
        </w:rPr>
        <w:t xml:space="preserve">, the Commission is not required to address </w:t>
      </w:r>
      <w:r w:rsidR="00E13274" w:rsidRPr="00D55644">
        <w:rPr>
          <w:sz w:val="26"/>
          <w:szCs w:val="26"/>
        </w:rPr>
        <w:t>each claim.</w:t>
      </w:r>
    </w:p>
    <w:p w14:paraId="28648D86" w14:textId="77777777" w:rsidR="00E13274" w:rsidRPr="00D55644" w:rsidRDefault="00E13274" w:rsidP="006A2DFB">
      <w:pPr>
        <w:spacing w:line="360" w:lineRule="auto"/>
        <w:rPr>
          <w:sz w:val="26"/>
          <w:szCs w:val="26"/>
        </w:rPr>
      </w:pPr>
    </w:p>
    <w:p w14:paraId="34961D41" w14:textId="37F2B335" w:rsidR="00E13274" w:rsidRPr="00D55644" w:rsidRDefault="00E13274" w:rsidP="006A2DFB">
      <w:pPr>
        <w:spacing w:line="360" w:lineRule="auto"/>
        <w:rPr>
          <w:sz w:val="26"/>
          <w:szCs w:val="26"/>
        </w:rPr>
      </w:pPr>
      <w:r w:rsidRPr="00D55644">
        <w:rPr>
          <w:sz w:val="26"/>
          <w:szCs w:val="26"/>
        </w:rPr>
        <w:tab/>
      </w:r>
      <w:r w:rsidR="00D77E3A" w:rsidRPr="00D55644">
        <w:rPr>
          <w:sz w:val="26"/>
          <w:szCs w:val="26"/>
        </w:rPr>
        <w:t xml:space="preserve">The Commission is not required to expressly consider all the arguments set forth by the various stakeholders in this proceeding.  </w:t>
      </w:r>
      <w:r w:rsidR="00D77E3A" w:rsidRPr="00D55644">
        <w:rPr>
          <w:i/>
          <w:sz w:val="26"/>
          <w:szCs w:val="26"/>
        </w:rPr>
        <w:t>Metro. Edison Co. v. P</w:t>
      </w:r>
      <w:r w:rsidR="0097026A">
        <w:rPr>
          <w:i/>
          <w:sz w:val="26"/>
          <w:szCs w:val="26"/>
        </w:rPr>
        <w:t>a.</w:t>
      </w:r>
      <w:r w:rsidR="00D77E3A" w:rsidRPr="00D55644">
        <w:rPr>
          <w:i/>
          <w:sz w:val="26"/>
          <w:szCs w:val="26"/>
        </w:rPr>
        <w:t xml:space="preserve"> Pub</w:t>
      </w:r>
      <w:r w:rsidR="0097026A">
        <w:rPr>
          <w:i/>
          <w:sz w:val="26"/>
          <w:szCs w:val="26"/>
        </w:rPr>
        <w:t>lic Utility Commission</w:t>
      </w:r>
      <w:r w:rsidR="00D77E3A" w:rsidRPr="00D55644">
        <w:rPr>
          <w:sz w:val="26"/>
          <w:szCs w:val="26"/>
        </w:rPr>
        <w:t xml:space="preserve">, 22 A.3d 353, 371 (Pa. </w:t>
      </w:r>
      <w:proofErr w:type="spellStart"/>
      <w:r w:rsidR="00B03E36">
        <w:rPr>
          <w:sz w:val="26"/>
          <w:szCs w:val="26"/>
        </w:rPr>
        <w:t>C</w:t>
      </w:r>
      <w:r w:rsidR="0097026A">
        <w:rPr>
          <w:sz w:val="26"/>
          <w:szCs w:val="26"/>
        </w:rPr>
        <w:t>mwlth</w:t>
      </w:r>
      <w:proofErr w:type="spellEnd"/>
      <w:r w:rsidR="00993DC9">
        <w:rPr>
          <w:sz w:val="26"/>
          <w:szCs w:val="26"/>
        </w:rPr>
        <w:t>.</w:t>
      </w:r>
      <w:r w:rsidR="00D77E3A" w:rsidRPr="00D55644">
        <w:rPr>
          <w:sz w:val="26"/>
          <w:szCs w:val="26"/>
        </w:rPr>
        <w:t xml:space="preserve"> 2011).  NRG proposes that EGSs utilizing SCB meet more stringent financial/bonding requirements to maintain their licenses, demonstrate greater technical expertise to perform billing and customer service functions, and be allowed to absorb EDC rate increases rather than passing those costs on to consu</w:t>
      </w:r>
      <w:r w:rsidR="006E0036" w:rsidRPr="00D55644">
        <w:rPr>
          <w:sz w:val="26"/>
          <w:szCs w:val="26"/>
        </w:rPr>
        <w:t>mers.  As noted above, several commenters object to these proposals, claiming that many EGSs will be placed at a competitive disadvantage because they may be unable to post collateral, offer competing VAS, or absorb increased distribution costs from EDCs.  The Commission finds that NRG’s</w:t>
      </w:r>
      <w:r w:rsidR="00137C85">
        <w:rPr>
          <w:sz w:val="26"/>
          <w:szCs w:val="26"/>
        </w:rPr>
        <w:t xml:space="preserve"> SC</w:t>
      </w:r>
      <w:r w:rsidR="006B45A6">
        <w:rPr>
          <w:sz w:val="26"/>
          <w:szCs w:val="26"/>
        </w:rPr>
        <w:t>B</w:t>
      </w:r>
      <w:r w:rsidR="006E0036" w:rsidRPr="00D55644">
        <w:rPr>
          <w:sz w:val="26"/>
          <w:szCs w:val="26"/>
        </w:rPr>
        <w:t xml:space="preserve"> Petition</w:t>
      </w:r>
      <w:r w:rsidR="00137C85">
        <w:rPr>
          <w:sz w:val="26"/>
          <w:szCs w:val="26"/>
        </w:rPr>
        <w:t>, if approved, may not</w:t>
      </w:r>
      <w:r w:rsidR="006E0036" w:rsidRPr="00D55644">
        <w:rPr>
          <w:sz w:val="26"/>
          <w:szCs w:val="26"/>
        </w:rPr>
        <w:t xml:space="preserve"> improve Pennsylvania’s retail electric market.  We do not rely on the commenters’ objections to the proposals directly above in reaching our conclusion.  Any issue that we do not specifically address has been duly considered and will be denied without further discussion.</w:t>
      </w:r>
    </w:p>
    <w:p w14:paraId="7DED1CB4" w14:textId="77777777" w:rsidR="000F1611" w:rsidRPr="00D55644" w:rsidRDefault="000F1611" w:rsidP="006A2DFB">
      <w:pPr>
        <w:spacing w:line="360" w:lineRule="auto"/>
        <w:rPr>
          <w:sz w:val="26"/>
          <w:szCs w:val="26"/>
        </w:rPr>
      </w:pPr>
    </w:p>
    <w:p w14:paraId="0C731A48" w14:textId="199D9458" w:rsidR="00D11FC1" w:rsidRDefault="00D11FC1" w:rsidP="00D11FC1">
      <w:pPr>
        <w:spacing w:line="360" w:lineRule="auto"/>
        <w:rPr>
          <w:sz w:val="26"/>
          <w:szCs w:val="26"/>
        </w:rPr>
      </w:pPr>
      <w:r w:rsidRPr="00D55644">
        <w:rPr>
          <w:sz w:val="26"/>
          <w:szCs w:val="26"/>
        </w:rPr>
        <w:tab/>
      </w:r>
      <w:r w:rsidR="00C11426">
        <w:rPr>
          <w:sz w:val="26"/>
          <w:szCs w:val="26"/>
        </w:rPr>
        <w:t>In the Commission’s judgment, implementation</w:t>
      </w:r>
      <w:r w:rsidR="00C11426" w:rsidRPr="00D55644">
        <w:rPr>
          <w:sz w:val="26"/>
          <w:szCs w:val="26"/>
        </w:rPr>
        <w:t xml:space="preserve"> of SCB </w:t>
      </w:r>
      <w:r w:rsidR="00C11426">
        <w:rPr>
          <w:sz w:val="26"/>
          <w:szCs w:val="26"/>
        </w:rPr>
        <w:t xml:space="preserve">as proposed by NRG </w:t>
      </w:r>
      <w:r w:rsidR="006B45A6">
        <w:rPr>
          <w:sz w:val="26"/>
          <w:szCs w:val="26"/>
        </w:rPr>
        <w:t>could</w:t>
      </w:r>
      <w:r w:rsidR="006B45A6" w:rsidRPr="00D55644">
        <w:rPr>
          <w:sz w:val="26"/>
          <w:szCs w:val="26"/>
        </w:rPr>
        <w:t xml:space="preserve"> </w:t>
      </w:r>
      <w:r w:rsidR="00C11426" w:rsidRPr="00D55644">
        <w:rPr>
          <w:sz w:val="26"/>
          <w:szCs w:val="26"/>
        </w:rPr>
        <w:t xml:space="preserve">harm Pennsylvania’s retail electric market by introducing anticompetitive forces into the market.  The stated purpose of electric industry restructuring is to lower prices for consumers by fostering competition among suppliers.  66 Pa. C.S. §§ 2802(3), (4), (5), (12), &amp; (13).  </w:t>
      </w:r>
    </w:p>
    <w:p w14:paraId="4D50B24F" w14:textId="77777777" w:rsidR="00D17031" w:rsidRPr="00D55644" w:rsidRDefault="00D17031" w:rsidP="00D11FC1">
      <w:pPr>
        <w:spacing w:line="360" w:lineRule="auto"/>
        <w:rPr>
          <w:sz w:val="26"/>
          <w:szCs w:val="26"/>
        </w:rPr>
      </w:pPr>
    </w:p>
    <w:p w14:paraId="36C3FD6B" w14:textId="77777777" w:rsidR="006414BA" w:rsidRPr="00D55644" w:rsidRDefault="006414BA" w:rsidP="006414BA">
      <w:pPr>
        <w:spacing w:line="360" w:lineRule="auto"/>
        <w:rPr>
          <w:sz w:val="26"/>
          <w:szCs w:val="26"/>
        </w:rPr>
      </w:pPr>
      <w:r w:rsidRPr="00D55644">
        <w:rPr>
          <w:sz w:val="26"/>
          <w:szCs w:val="26"/>
        </w:rPr>
        <w:tab/>
        <w:t xml:space="preserve">As noted in Section B above, NRG’s proposed mechanism to block customers on a payment plan from switching suppliers until their bills are paid in full is anticompetitive.  It would frustrate the purpose of the Competition Act </w:t>
      </w:r>
      <w:r>
        <w:rPr>
          <w:sz w:val="26"/>
          <w:szCs w:val="26"/>
        </w:rPr>
        <w:t>by preventing</w:t>
      </w:r>
      <w:r w:rsidRPr="00D55644">
        <w:rPr>
          <w:sz w:val="26"/>
          <w:szCs w:val="26"/>
        </w:rPr>
        <w:t xml:space="preserve"> customers </w:t>
      </w:r>
      <w:r>
        <w:rPr>
          <w:sz w:val="26"/>
          <w:szCs w:val="26"/>
        </w:rPr>
        <w:t>from</w:t>
      </w:r>
      <w:r w:rsidRPr="00D55644">
        <w:rPr>
          <w:sz w:val="26"/>
          <w:szCs w:val="26"/>
        </w:rPr>
        <w:t xml:space="preserve"> choos</w:t>
      </w:r>
      <w:r>
        <w:rPr>
          <w:sz w:val="26"/>
          <w:szCs w:val="26"/>
        </w:rPr>
        <w:t>ing</w:t>
      </w:r>
      <w:r w:rsidRPr="00D55644">
        <w:rPr>
          <w:sz w:val="26"/>
          <w:szCs w:val="26"/>
        </w:rPr>
        <w:t xml:space="preserve"> their EGS,</w:t>
      </w:r>
      <w:r w:rsidRPr="00D55644">
        <w:rPr>
          <w:rStyle w:val="FootnoteReference"/>
          <w:sz w:val="26"/>
          <w:szCs w:val="26"/>
        </w:rPr>
        <w:footnoteReference w:id="129"/>
      </w:r>
      <w:r w:rsidRPr="00D55644">
        <w:rPr>
          <w:sz w:val="26"/>
          <w:szCs w:val="26"/>
        </w:rPr>
        <w:t xml:space="preserve"> and harm Pennsylvania’s competitive retail electric market in general by limiting customer choice.</w:t>
      </w:r>
      <w:r>
        <w:rPr>
          <w:sz w:val="26"/>
          <w:szCs w:val="26"/>
        </w:rPr>
        <w:t xml:space="preserve">  Also, as noted by CAUSE-PA, the OCA and PECO, if NRG’s proposal is adopted there is concern that it could negatively impact SOP, however, it is uncertain what the extent of that impact would be.</w:t>
      </w:r>
    </w:p>
    <w:p w14:paraId="17DDD3BB" w14:textId="77777777" w:rsidR="0094550D" w:rsidRPr="00D55644" w:rsidRDefault="0094550D" w:rsidP="006A2DFB">
      <w:pPr>
        <w:spacing w:line="360" w:lineRule="auto"/>
        <w:rPr>
          <w:sz w:val="26"/>
          <w:szCs w:val="26"/>
        </w:rPr>
      </w:pPr>
    </w:p>
    <w:p w14:paraId="341068F4" w14:textId="77777777" w:rsidR="006B3F74" w:rsidRPr="00D55644" w:rsidRDefault="00C14F34" w:rsidP="006A2DFB">
      <w:pPr>
        <w:spacing w:line="360" w:lineRule="auto"/>
        <w:rPr>
          <w:sz w:val="26"/>
          <w:szCs w:val="26"/>
        </w:rPr>
      </w:pPr>
      <w:r w:rsidRPr="00D55644">
        <w:rPr>
          <w:sz w:val="26"/>
          <w:szCs w:val="26"/>
        </w:rPr>
        <w:tab/>
      </w:r>
      <w:r w:rsidR="005C5857" w:rsidRPr="00D55644">
        <w:rPr>
          <w:sz w:val="26"/>
          <w:szCs w:val="26"/>
        </w:rPr>
        <w:t>A</w:t>
      </w:r>
      <w:r w:rsidR="005F5601" w:rsidRPr="00D55644">
        <w:rPr>
          <w:sz w:val="26"/>
          <w:szCs w:val="26"/>
        </w:rPr>
        <w:t xml:space="preserve">lthough we agree with CAUSE PA, Citizens &amp; Wellsboro, Duquesne, FirstEnergy, the Industrial Customer Alliances, </w:t>
      </w:r>
      <w:r w:rsidR="006C37AC" w:rsidRPr="00D55644">
        <w:rPr>
          <w:sz w:val="26"/>
          <w:szCs w:val="26"/>
        </w:rPr>
        <w:t xml:space="preserve">the </w:t>
      </w:r>
      <w:r w:rsidR="005F5601" w:rsidRPr="00D55644">
        <w:rPr>
          <w:sz w:val="26"/>
          <w:szCs w:val="26"/>
        </w:rPr>
        <w:t xml:space="preserve">OCA, the PA AFL-CIO, PECO, PPL, TURN, and UGI that there would be costs associated with implementation of SCB, </w:t>
      </w:r>
      <w:r w:rsidR="00EE6A57" w:rsidRPr="00D55644">
        <w:rPr>
          <w:sz w:val="26"/>
          <w:szCs w:val="26"/>
        </w:rPr>
        <w:t xml:space="preserve">there has not been enough evidence presented for the Commission to conclude that cost alone is an insurmountable </w:t>
      </w:r>
      <w:r w:rsidR="001C2B09" w:rsidRPr="00D55644">
        <w:rPr>
          <w:sz w:val="26"/>
          <w:szCs w:val="26"/>
        </w:rPr>
        <w:t>barrier to adoption of SCB</w:t>
      </w:r>
      <w:r w:rsidR="00EE6A57" w:rsidRPr="00D55644">
        <w:rPr>
          <w:sz w:val="26"/>
          <w:szCs w:val="26"/>
        </w:rPr>
        <w:t>.</w:t>
      </w:r>
    </w:p>
    <w:p w14:paraId="74971F12" w14:textId="77777777" w:rsidR="006B3F74" w:rsidRPr="00D55644" w:rsidRDefault="006B3F74" w:rsidP="006A2DFB">
      <w:pPr>
        <w:spacing w:line="360" w:lineRule="auto"/>
        <w:rPr>
          <w:sz w:val="26"/>
          <w:szCs w:val="26"/>
        </w:rPr>
      </w:pPr>
    </w:p>
    <w:p w14:paraId="648FEBD9" w14:textId="77777777" w:rsidR="00C11426" w:rsidRPr="00D55644" w:rsidRDefault="00C11426" w:rsidP="00C11426">
      <w:pPr>
        <w:spacing w:line="360" w:lineRule="auto"/>
        <w:rPr>
          <w:sz w:val="26"/>
          <w:szCs w:val="26"/>
        </w:rPr>
      </w:pPr>
      <w:r w:rsidRPr="00D55644">
        <w:rPr>
          <w:sz w:val="26"/>
          <w:szCs w:val="26"/>
        </w:rPr>
        <w:tab/>
        <w:t>NRG argues that EDCs’ overhead costs would likely decrease if SCB were implemented since their call centers would be serving fewer customers, a point disputed by Citizens &amp; Wellsboro, Duquesne, the PA AFL-CIO, PECO, &amp; PPL.  However, NRG has not adequately addressed those costs.  As such, the Commission simply does not have enough information to draw any final conclusions regarding the effect implementation of SCB would have on EDC overhead costs or customer bills and the ability of customers to comparison shop for electric generation services.</w:t>
      </w:r>
    </w:p>
    <w:p w14:paraId="0057DCD8" w14:textId="77777777" w:rsidR="00AD169C" w:rsidRPr="00D55644" w:rsidRDefault="00AD169C" w:rsidP="006A2DFB">
      <w:pPr>
        <w:spacing w:line="360" w:lineRule="auto"/>
        <w:rPr>
          <w:sz w:val="26"/>
          <w:szCs w:val="26"/>
        </w:rPr>
      </w:pPr>
    </w:p>
    <w:p w14:paraId="45C00B5B" w14:textId="26B3F94A" w:rsidR="0094550D" w:rsidRPr="00D55644" w:rsidRDefault="002C757E" w:rsidP="0094550D">
      <w:pPr>
        <w:spacing w:line="360" w:lineRule="auto"/>
        <w:rPr>
          <w:sz w:val="26"/>
          <w:szCs w:val="26"/>
        </w:rPr>
      </w:pPr>
      <w:r w:rsidRPr="00D55644">
        <w:rPr>
          <w:sz w:val="26"/>
          <w:szCs w:val="26"/>
        </w:rPr>
        <w:tab/>
      </w:r>
      <w:r w:rsidR="0094550D" w:rsidRPr="00D55644">
        <w:rPr>
          <w:sz w:val="26"/>
          <w:szCs w:val="26"/>
        </w:rPr>
        <w:t>The Comm</w:t>
      </w:r>
      <w:r w:rsidR="00F7395A" w:rsidRPr="00D55644">
        <w:rPr>
          <w:sz w:val="26"/>
          <w:szCs w:val="26"/>
        </w:rPr>
        <w:t>ission finds that NRG’s proposals for the</w:t>
      </w:r>
      <w:r w:rsidR="0094550D" w:rsidRPr="00D55644">
        <w:rPr>
          <w:sz w:val="26"/>
          <w:szCs w:val="26"/>
        </w:rPr>
        <w:t xml:space="preserve"> </w:t>
      </w:r>
      <w:r w:rsidR="00F7395A" w:rsidRPr="00D55644">
        <w:rPr>
          <w:sz w:val="26"/>
          <w:szCs w:val="26"/>
        </w:rPr>
        <w:t xml:space="preserve">block mechanism would have an anticompetitive effect on Pennsylvania’s retail electric market.  We also find that issues associated with the costs of implementation and their potential effect on the market have not been adequately addressed by NRG.  </w:t>
      </w:r>
      <w:r w:rsidR="0094550D" w:rsidRPr="00D55644">
        <w:rPr>
          <w:sz w:val="26"/>
          <w:szCs w:val="26"/>
        </w:rPr>
        <w:t xml:space="preserve">The detrimental effects of NRG’s proposal </w:t>
      </w:r>
      <w:r w:rsidR="006B45A6">
        <w:rPr>
          <w:sz w:val="26"/>
          <w:szCs w:val="26"/>
        </w:rPr>
        <w:t>could</w:t>
      </w:r>
      <w:r w:rsidR="006B45A6" w:rsidRPr="00D55644">
        <w:rPr>
          <w:sz w:val="26"/>
          <w:szCs w:val="26"/>
        </w:rPr>
        <w:t xml:space="preserve"> </w:t>
      </w:r>
      <w:r w:rsidR="0094550D" w:rsidRPr="00D55644">
        <w:rPr>
          <w:sz w:val="26"/>
          <w:szCs w:val="26"/>
        </w:rPr>
        <w:t>harm Pennsylvania’s electric customers and the competitive re</w:t>
      </w:r>
      <w:r w:rsidR="00130A50" w:rsidRPr="00D55644">
        <w:rPr>
          <w:sz w:val="26"/>
          <w:szCs w:val="26"/>
        </w:rPr>
        <w:t xml:space="preserve">tail electric market in </w:t>
      </w:r>
      <w:r w:rsidR="00F11DCE" w:rsidRPr="00D55644">
        <w:rPr>
          <w:sz w:val="26"/>
          <w:szCs w:val="26"/>
        </w:rPr>
        <w:t>general and</w:t>
      </w:r>
      <w:r w:rsidR="00AA4A68" w:rsidRPr="00D55644">
        <w:rPr>
          <w:sz w:val="26"/>
          <w:szCs w:val="26"/>
        </w:rPr>
        <w:t xml:space="preserve"> </w:t>
      </w:r>
      <w:r w:rsidR="00130A50" w:rsidRPr="00D55644">
        <w:rPr>
          <w:sz w:val="26"/>
          <w:szCs w:val="26"/>
        </w:rPr>
        <w:t>would be c</w:t>
      </w:r>
      <w:r w:rsidR="00FF4C12" w:rsidRPr="00D55644">
        <w:rPr>
          <w:sz w:val="26"/>
          <w:szCs w:val="26"/>
        </w:rPr>
        <w:t xml:space="preserve">ontrary to </w:t>
      </w:r>
      <w:r w:rsidR="00862C3D" w:rsidRPr="00D55644">
        <w:rPr>
          <w:sz w:val="26"/>
          <w:szCs w:val="26"/>
        </w:rPr>
        <w:t>the General Assembly’s goal of fostering competition to benefit consumers in the form of lower electricity prices</w:t>
      </w:r>
      <w:r w:rsidR="00130A50" w:rsidRPr="00D55644">
        <w:rPr>
          <w:sz w:val="26"/>
          <w:szCs w:val="26"/>
        </w:rPr>
        <w:t xml:space="preserve">.  </w:t>
      </w:r>
      <w:r w:rsidR="00130A50" w:rsidRPr="00D55644">
        <w:rPr>
          <w:i/>
          <w:sz w:val="26"/>
          <w:szCs w:val="26"/>
        </w:rPr>
        <w:t>See</w:t>
      </w:r>
      <w:r w:rsidR="00130A50" w:rsidRPr="00D55644">
        <w:rPr>
          <w:sz w:val="26"/>
          <w:szCs w:val="26"/>
        </w:rPr>
        <w:t xml:space="preserve"> 66 Pa. C.S. §§ </w:t>
      </w:r>
      <w:r w:rsidR="00FF4C12" w:rsidRPr="00D55644">
        <w:rPr>
          <w:sz w:val="26"/>
          <w:szCs w:val="26"/>
        </w:rPr>
        <w:t>2802</w:t>
      </w:r>
      <w:r w:rsidR="00130A50" w:rsidRPr="00D55644">
        <w:rPr>
          <w:sz w:val="26"/>
          <w:szCs w:val="26"/>
        </w:rPr>
        <w:t>(3), (12), (13) and</w:t>
      </w:r>
      <w:r w:rsidR="00FF4C12" w:rsidRPr="00D55644">
        <w:rPr>
          <w:sz w:val="26"/>
          <w:szCs w:val="26"/>
        </w:rPr>
        <w:t xml:space="preserve"> 2804</w:t>
      </w:r>
      <w:r w:rsidR="00130A50" w:rsidRPr="00D55644">
        <w:rPr>
          <w:sz w:val="26"/>
          <w:szCs w:val="26"/>
        </w:rPr>
        <w:t>(2)</w:t>
      </w:r>
      <w:r w:rsidR="00FF4C12" w:rsidRPr="00D55644">
        <w:rPr>
          <w:sz w:val="26"/>
          <w:szCs w:val="26"/>
        </w:rPr>
        <w:t>.</w:t>
      </w:r>
    </w:p>
    <w:p w14:paraId="7380876F" w14:textId="77777777" w:rsidR="00E42153" w:rsidRPr="00D55644" w:rsidRDefault="00E42153" w:rsidP="0094550D">
      <w:pPr>
        <w:spacing w:line="360" w:lineRule="auto"/>
        <w:rPr>
          <w:sz w:val="26"/>
          <w:szCs w:val="26"/>
        </w:rPr>
      </w:pPr>
    </w:p>
    <w:p w14:paraId="24D8B2B3" w14:textId="77777777" w:rsidR="005E266A" w:rsidRPr="00580664" w:rsidRDefault="005E266A" w:rsidP="006C5132">
      <w:pPr>
        <w:spacing w:line="360" w:lineRule="auto"/>
        <w:rPr>
          <w:b/>
          <w:sz w:val="26"/>
          <w:szCs w:val="26"/>
        </w:rPr>
      </w:pPr>
      <w:r w:rsidRPr="00580664">
        <w:rPr>
          <w:b/>
          <w:sz w:val="26"/>
          <w:szCs w:val="26"/>
        </w:rPr>
        <w:t>E.</w:t>
      </w:r>
      <w:r w:rsidRPr="00580664">
        <w:rPr>
          <w:b/>
          <w:sz w:val="26"/>
          <w:szCs w:val="26"/>
        </w:rPr>
        <w:tab/>
        <w:t xml:space="preserve">Purchase </w:t>
      </w:r>
      <w:proofErr w:type="gramStart"/>
      <w:r w:rsidR="00580664">
        <w:rPr>
          <w:b/>
          <w:sz w:val="26"/>
          <w:szCs w:val="26"/>
        </w:rPr>
        <w:t>O</w:t>
      </w:r>
      <w:r w:rsidRPr="00580664">
        <w:rPr>
          <w:b/>
          <w:sz w:val="26"/>
          <w:szCs w:val="26"/>
        </w:rPr>
        <w:t>f</w:t>
      </w:r>
      <w:proofErr w:type="gramEnd"/>
      <w:r w:rsidRPr="00580664">
        <w:rPr>
          <w:b/>
          <w:sz w:val="26"/>
          <w:szCs w:val="26"/>
        </w:rPr>
        <w:t xml:space="preserve"> Receivables Program</w:t>
      </w:r>
      <w:r w:rsidR="007F731D" w:rsidRPr="00580664">
        <w:rPr>
          <w:b/>
          <w:sz w:val="26"/>
          <w:szCs w:val="26"/>
        </w:rPr>
        <w:t>s</w:t>
      </w:r>
    </w:p>
    <w:p w14:paraId="284C3CCB" w14:textId="77777777" w:rsidR="009D2420" w:rsidRPr="00580664" w:rsidRDefault="009D2420" w:rsidP="006C5132">
      <w:pPr>
        <w:spacing w:line="360" w:lineRule="auto"/>
        <w:ind w:left="720"/>
        <w:rPr>
          <w:b/>
          <w:sz w:val="26"/>
          <w:szCs w:val="26"/>
        </w:rPr>
      </w:pPr>
      <w:r w:rsidRPr="00580664">
        <w:rPr>
          <w:b/>
          <w:sz w:val="26"/>
          <w:szCs w:val="26"/>
        </w:rPr>
        <w:t>1</w:t>
      </w:r>
      <w:r w:rsidR="00580664" w:rsidRPr="00580664">
        <w:rPr>
          <w:b/>
          <w:sz w:val="26"/>
          <w:szCs w:val="26"/>
        </w:rPr>
        <w:t>.</w:t>
      </w:r>
      <w:r w:rsidR="00580664" w:rsidRPr="00580664">
        <w:rPr>
          <w:b/>
          <w:sz w:val="26"/>
          <w:szCs w:val="26"/>
        </w:rPr>
        <w:tab/>
      </w:r>
      <w:r w:rsidRPr="00580664">
        <w:rPr>
          <w:b/>
          <w:sz w:val="26"/>
          <w:szCs w:val="26"/>
        </w:rPr>
        <w:t>NRG’s Proposal</w:t>
      </w:r>
    </w:p>
    <w:p w14:paraId="0FC50154" w14:textId="379E9742" w:rsidR="009D2420" w:rsidRPr="00D55644" w:rsidRDefault="00B0148A" w:rsidP="009D2420">
      <w:pPr>
        <w:spacing w:line="360" w:lineRule="auto"/>
        <w:rPr>
          <w:sz w:val="26"/>
          <w:szCs w:val="26"/>
        </w:rPr>
      </w:pPr>
      <w:r w:rsidRPr="00D55644">
        <w:rPr>
          <w:sz w:val="26"/>
          <w:szCs w:val="26"/>
        </w:rPr>
        <w:tab/>
        <w:t>NRG proposes that</w:t>
      </w:r>
      <w:r w:rsidR="008B4A94" w:rsidRPr="00D55644">
        <w:rPr>
          <w:sz w:val="26"/>
          <w:szCs w:val="26"/>
        </w:rPr>
        <w:t xml:space="preserve"> </w:t>
      </w:r>
      <w:r w:rsidR="009016C4" w:rsidRPr="00D55644">
        <w:rPr>
          <w:sz w:val="26"/>
          <w:szCs w:val="26"/>
        </w:rPr>
        <w:t>to</w:t>
      </w:r>
      <w:r w:rsidR="008B4A94" w:rsidRPr="00D55644">
        <w:rPr>
          <w:sz w:val="26"/>
          <w:szCs w:val="26"/>
        </w:rPr>
        <w:t xml:space="preserve"> offer SCB, </w:t>
      </w:r>
      <w:r w:rsidR="005A6F35" w:rsidRPr="00D55644">
        <w:rPr>
          <w:sz w:val="26"/>
          <w:szCs w:val="26"/>
        </w:rPr>
        <w:t xml:space="preserve">EGSs would </w:t>
      </w:r>
      <w:r w:rsidR="000509E7" w:rsidRPr="00D55644">
        <w:rPr>
          <w:sz w:val="26"/>
          <w:szCs w:val="26"/>
        </w:rPr>
        <w:t>be required to purchase the EDC</w:t>
      </w:r>
      <w:r w:rsidR="005A6F35" w:rsidRPr="00D55644">
        <w:rPr>
          <w:sz w:val="26"/>
          <w:szCs w:val="26"/>
        </w:rPr>
        <w:t>s</w:t>
      </w:r>
      <w:r w:rsidR="000509E7" w:rsidRPr="00D55644">
        <w:rPr>
          <w:sz w:val="26"/>
          <w:szCs w:val="26"/>
        </w:rPr>
        <w:t>’</w:t>
      </w:r>
      <w:r w:rsidR="005A6F35" w:rsidRPr="00D55644">
        <w:rPr>
          <w:sz w:val="26"/>
          <w:szCs w:val="26"/>
        </w:rPr>
        <w:t xml:space="preserve"> receivables in full</w:t>
      </w:r>
      <w:r w:rsidR="000509E7" w:rsidRPr="00D55644">
        <w:rPr>
          <w:sz w:val="26"/>
          <w:szCs w:val="26"/>
        </w:rPr>
        <w:t xml:space="preserve"> (that is, with no discount)</w:t>
      </w:r>
      <w:r w:rsidR="005A6F35" w:rsidRPr="00D55644">
        <w:rPr>
          <w:sz w:val="26"/>
          <w:szCs w:val="26"/>
        </w:rPr>
        <w:t>.</w:t>
      </w:r>
      <w:r w:rsidR="008B4A94" w:rsidRPr="00D55644">
        <w:rPr>
          <w:sz w:val="26"/>
          <w:szCs w:val="26"/>
        </w:rPr>
        <w:t xml:space="preserve">  EDCs would calculate their transmission and distribution charges</w:t>
      </w:r>
      <w:r w:rsidR="009C3FD6" w:rsidRPr="00D55644">
        <w:rPr>
          <w:sz w:val="26"/>
          <w:szCs w:val="26"/>
        </w:rPr>
        <w:t xml:space="preserve"> for each customer</w:t>
      </w:r>
      <w:r w:rsidR="008B4A94" w:rsidRPr="00D55644">
        <w:rPr>
          <w:sz w:val="26"/>
          <w:szCs w:val="26"/>
        </w:rPr>
        <w:t xml:space="preserve"> and send that information </w:t>
      </w:r>
      <w:r w:rsidR="00D96CA9" w:rsidRPr="00D55644">
        <w:rPr>
          <w:sz w:val="26"/>
          <w:szCs w:val="26"/>
        </w:rPr>
        <w:t>to the EGS</w:t>
      </w:r>
      <w:r w:rsidRPr="00D55644">
        <w:rPr>
          <w:sz w:val="26"/>
          <w:szCs w:val="26"/>
        </w:rPr>
        <w:t>s</w:t>
      </w:r>
      <w:r w:rsidR="009C3FD6" w:rsidRPr="00D55644">
        <w:rPr>
          <w:sz w:val="26"/>
          <w:szCs w:val="26"/>
        </w:rPr>
        <w:t>.  The EGS</w:t>
      </w:r>
      <w:r w:rsidRPr="00D55644">
        <w:rPr>
          <w:sz w:val="26"/>
          <w:szCs w:val="26"/>
        </w:rPr>
        <w:t>s</w:t>
      </w:r>
      <w:r w:rsidR="009C3FD6" w:rsidRPr="00D55644">
        <w:rPr>
          <w:sz w:val="26"/>
          <w:szCs w:val="26"/>
        </w:rPr>
        <w:t xml:space="preserve"> would then pay the EDCs—within 30 days—the full value of those charges.</w:t>
      </w:r>
      <w:r w:rsidR="008B4A94" w:rsidRPr="00D55644">
        <w:rPr>
          <w:sz w:val="26"/>
          <w:szCs w:val="26"/>
        </w:rPr>
        <w:t xml:space="preserve">  </w:t>
      </w:r>
      <w:r w:rsidR="009C3FD6" w:rsidRPr="00D55644">
        <w:rPr>
          <w:sz w:val="26"/>
          <w:szCs w:val="26"/>
        </w:rPr>
        <w:t>According to NRG’s Petition, t</w:t>
      </w:r>
      <w:r w:rsidR="00D96CA9" w:rsidRPr="00D55644">
        <w:rPr>
          <w:sz w:val="26"/>
          <w:szCs w:val="26"/>
        </w:rPr>
        <w:t>he EGS</w:t>
      </w:r>
      <w:r w:rsidRPr="00D55644">
        <w:rPr>
          <w:sz w:val="26"/>
          <w:szCs w:val="26"/>
        </w:rPr>
        <w:t>s</w:t>
      </w:r>
      <w:r w:rsidR="008B4A94" w:rsidRPr="00D55644">
        <w:rPr>
          <w:sz w:val="26"/>
          <w:szCs w:val="26"/>
        </w:rPr>
        <w:t xml:space="preserve"> would </w:t>
      </w:r>
      <w:r w:rsidR="000509E7" w:rsidRPr="00D55644">
        <w:rPr>
          <w:sz w:val="26"/>
          <w:szCs w:val="26"/>
        </w:rPr>
        <w:t xml:space="preserve">then </w:t>
      </w:r>
      <w:r w:rsidR="008B4A94" w:rsidRPr="00D55644">
        <w:rPr>
          <w:sz w:val="26"/>
          <w:szCs w:val="26"/>
        </w:rPr>
        <w:t xml:space="preserve">be responsible for billing customers and collecting </w:t>
      </w:r>
      <w:r w:rsidR="00F11DCE" w:rsidRPr="00D55644">
        <w:rPr>
          <w:sz w:val="26"/>
          <w:szCs w:val="26"/>
        </w:rPr>
        <w:t>payment and</w:t>
      </w:r>
      <w:r w:rsidR="009C3FD6" w:rsidRPr="00D55644">
        <w:rPr>
          <w:sz w:val="26"/>
          <w:szCs w:val="26"/>
        </w:rPr>
        <w:t xml:space="preserve"> would assume the risk of uncollectible accounts currently borne by EDCs under UCB</w:t>
      </w:r>
      <w:r w:rsidR="008B4A94" w:rsidRPr="00D55644">
        <w:rPr>
          <w:sz w:val="26"/>
          <w:szCs w:val="26"/>
        </w:rPr>
        <w:t>.</w:t>
      </w:r>
      <w:r w:rsidR="005A6F35" w:rsidRPr="00D55644">
        <w:rPr>
          <w:rStyle w:val="FootnoteReference"/>
          <w:sz w:val="26"/>
          <w:szCs w:val="26"/>
        </w:rPr>
        <w:footnoteReference w:id="130"/>
      </w:r>
    </w:p>
    <w:p w14:paraId="13D0B53B" w14:textId="77777777" w:rsidR="009D2420" w:rsidRPr="00D55644" w:rsidRDefault="009D2420" w:rsidP="009D2420">
      <w:pPr>
        <w:spacing w:line="360" w:lineRule="auto"/>
        <w:rPr>
          <w:sz w:val="26"/>
          <w:szCs w:val="26"/>
        </w:rPr>
      </w:pPr>
    </w:p>
    <w:p w14:paraId="48C55760" w14:textId="77777777" w:rsidR="009D2420" w:rsidRPr="00580664" w:rsidRDefault="009D2420" w:rsidP="006C5132">
      <w:pPr>
        <w:spacing w:line="360" w:lineRule="auto"/>
        <w:ind w:left="720"/>
        <w:rPr>
          <w:b/>
          <w:sz w:val="26"/>
          <w:szCs w:val="26"/>
        </w:rPr>
      </w:pPr>
      <w:r w:rsidRPr="00580664">
        <w:rPr>
          <w:b/>
          <w:sz w:val="26"/>
          <w:szCs w:val="26"/>
        </w:rPr>
        <w:t>2</w:t>
      </w:r>
      <w:r w:rsidR="00580664" w:rsidRPr="00580664">
        <w:rPr>
          <w:b/>
          <w:sz w:val="26"/>
          <w:szCs w:val="26"/>
        </w:rPr>
        <w:t>.</w:t>
      </w:r>
      <w:r w:rsidR="00580664" w:rsidRPr="00580664">
        <w:rPr>
          <w:b/>
          <w:sz w:val="26"/>
          <w:szCs w:val="26"/>
        </w:rPr>
        <w:tab/>
      </w:r>
      <w:r w:rsidRPr="00580664">
        <w:rPr>
          <w:b/>
          <w:sz w:val="26"/>
          <w:szCs w:val="26"/>
        </w:rPr>
        <w:t>Comments</w:t>
      </w:r>
    </w:p>
    <w:p w14:paraId="55B5C787" w14:textId="36475F7A" w:rsidR="00D40326" w:rsidRPr="00D55644" w:rsidRDefault="009374CE" w:rsidP="009D2420">
      <w:pPr>
        <w:spacing w:line="360" w:lineRule="auto"/>
        <w:rPr>
          <w:sz w:val="26"/>
          <w:szCs w:val="26"/>
        </w:rPr>
      </w:pPr>
      <w:r w:rsidRPr="00D55644">
        <w:rPr>
          <w:sz w:val="26"/>
          <w:szCs w:val="26"/>
        </w:rPr>
        <w:tab/>
      </w:r>
      <w:r w:rsidR="007F731D" w:rsidRPr="00D55644">
        <w:rPr>
          <w:sz w:val="26"/>
          <w:szCs w:val="26"/>
        </w:rPr>
        <w:t xml:space="preserve">The Commenters raise </w:t>
      </w:r>
      <w:proofErr w:type="gramStart"/>
      <w:r w:rsidR="007F731D" w:rsidRPr="00D55644">
        <w:rPr>
          <w:sz w:val="26"/>
          <w:szCs w:val="26"/>
        </w:rPr>
        <w:t>a number of</w:t>
      </w:r>
      <w:proofErr w:type="gramEnd"/>
      <w:r w:rsidR="007F731D" w:rsidRPr="00D55644">
        <w:rPr>
          <w:sz w:val="26"/>
          <w:szCs w:val="26"/>
        </w:rPr>
        <w:t xml:space="preserve"> questions and point to a number of potential issues regarding POR </w:t>
      </w:r>
      <w:r w:rsidR="000D4CF2" w:rsidRPr="00D55644">
        <w:rPr>
          <w:sz w:val="26"/>
          <w:szCs w:val="26"/>
        </w:rPr>
        <w:t xml:space="preserve">programs under SCB.  CAUSE PA, </w:t>
      </w:r>
      <w:r w:rsidR="00497AC2" w:rsidRPr="00D55644">
        <w:rPr>
          <w:sz w:val="26"/>
          <w:szCs w:val="26"/>
        </w:rPr>
        <w:t xml:space="preserve">the </w:t>
      </w:r>
      <w:r w:rsidR="000D4CF2" w:rsidRPr="00D55644">
        <w:rPr>
          <w:sz w:val="26"/>
          <w:szCs w:val="26"/>
        </w:rPr>
        <w:t xml:space="preserve">OCA, </w:t>
      </w:r>
      <w:r w:rsidR="00497AC2" w:rsidRPr="00D55644">
        <w:rPr>
          <w:sz w:val="26"/>
          <w:szCs w:val="26"/>
        </w:rPr>
        <w:t xml:space="preserve">the </w:t>
      </w:r>
      <w:r w:rsidR="000D4CF2" w:rsidRPr="00D55644">
        <w:rPr>
          <w:sz w:val="26"/>
          <w:szCs w:val="26"/>
        </w:rPr>
        <w:t>OSBA</w:t>
      </w:r>
      <w:r w:rsidR="001E585C" w:rsidRPr="00D55644">
        <w:rPr>
          <w:sz w:val="26"/>
          <w:szCs w:val="26"/>
        </w:rPr>
        <w:t>, and PECO</w:t>
      </w:r>
      <w:r w:rsidR="007F731D" w:rsidRPr="00D55644">
        <w:rPr>
          <w:sz w:val="26"/>
          <w:szCs w:val="26"/>
        </w:rPr>
        <w:t xml:space="preserve"> question </w:t>
      </w:r>
      <w:r w:rsidR="000D4CF2" w:rsidRPr="00D55644">
        <w:rPr>
          <w:sz w:val="26"/>
          <w:szCs w:val="26"/>
        </w:rPr>
        <w:t>the cos</w:t>
      </w:r>
      <w:r w:rsidR="00592246" w:rsidRPr="00D55644">
        <w:rPr>
          <w:sz w:val="26"/>
          <w:szCs w:val="26"/>
        </w:rPr>
        <w:t>t</w:t>
      </w:r>
      <w:r w:rsidR="000D4CF2" w:rsidRPr="00D55644">
        <w:rPr>
          <w:sz w:val="26"/>
          <w:szCs w:val="26"/>
        </w:rPr>
        <w:t xml:space="preserve"> of implementing SCB and </w:t>
      </w:r>
      <w:r w:rsidR="007F731D" w:rsidRPr="00D55644">
        <w:rPr>
          <w:sz w:val="26"/>
          <w:szCs w:val="26"/>
        </w:rPr>
        <w:t>how many EGSs would forgo UCB</w:t>
      </w:r>
      <w:r w:rsidR="00497AC2" w:rsidRPr="00D55644">
        <w:rPr>
          <w:sz w:val="26"/>
          <w:szCs w:val="26"/>
        </w:rPr>
        <w:t>,</w:t>
      </w:r>
      <w:r w:rsidR="007F731D" w:rsidRPr="00D55644">
        <w:rPr>
          <w:sz w:val="26"/>
          <w:szCs w:val="26"/>
        </w:rPr>
        <w:t xml:space="preserve"> where the EDCs purchase the EGSs’ receivables and bear the burden of uncollectible accounts</w:t>
      </w:r>
      <w:r w:rsidR="00497AC2" w:rsidRPr="00D55644">
        <w:rPr>
          <w:sz w:val="26"/>
          <w:szCs w:val="26"/>
        </w:rPr>
        <w:t>,</w:t>
      </w:r>
      <w:r w:rsidR="007F731D" w:rsidRPr="00D55644">
        <w:rPr>
          <w:sz w:val="26"/>
          <w:szCs w:val="26"/>
        </w:rPr>
        <w:t xml:space="preserve"> </w:t>
      </w:r>
      <w:r w:rsidR="009E5637" w:rsidRPr="00D55644">
        <w:rPr>
          <w:sz w:val="26"/>
          <w:szCs w:val="26"/>
        </w:rPr>
        <w:t>to offer</w:t>
      </w:r>
      <w:r w:rsidR="007F731D" w:rsidRPr="00D55644">
        <w:rPr>
          <w:sz w:val="26"/>
          <w:szCs w:val="26"/>
        </w:rPr>
        <w:t xml:space="preserve"> SCB</w:t>
      </w:r>
      <w:r w:rsidR="009E5637" w:rsidRPr="00D55644">
        <w:rPr>
          <w:sz w:val="26"/>
          <w:szCs w:val="26"/>
        </w:rPr>
        <w:t>, under which the EGSs would have to purchase the EDCs’ receivables and bear the risk of bad debts</w:t>
      </w:r>
      <w:r w:rsidR="007F731D" w:rsidRPr="00D55644">
        <w:rPr>
          <w:sz w:val="26"/>
          <w:szCs w:val="26"/>
        </w:rPr>
        <w:t>.</w:t>
      </w:r>
      <w:r w:rsidR="009E5637" w:rsidRPr="00D55644">
        <w:rPr>
          <w:rStyle w:val="FootnoteReference"/>
          <w:sz w:val="26"/>
          <w:szCs w:val="26"/>
        </w:rPr>
        <w:footnoteReference w:id="131"/>
      </w:r>
    </w:p>
    <w:p w14:paraId="39B47516" w14:textId="77777777" w:rsidR="00D40326" w:rsidRPr="00D55644" w:rsidRDefault="00D40326" w:rsidP="009D2420">
      <w:pPr>
        <w:spacing w:line="360" w:lineRule="auto"/>
        <w:rPr>
          <w:sz w:val="26"/>
          <w:szCs w:val="26"/>
        </w:rPr>
      </w:pPr>
    </w:p>
    <w:p w14:paraId="5AFCAE2C" w14:textId="77777777" w:rsidR="009D2420" w:rsidRPr="00D55644" w:rsidRDefault="00D40326" w:rsidP="009D2420">
      <w:pPr>
        <w:spacing w:line="360" w:lineRule="auto"/>
        <w:rPr>
          <w:sz w:val="26"/>
          <w:szCs w:val="26"/>
        </w:rPr>
      </w:pPr>
      <w:r w:rsidRPr="00D55644">
        <w:rPr>
          <w:sz w:val="26"/>
          <w:szCs w:val="26"/>
        </w:rPr>
        <w:tab/>
      </w:r>
      <w:r w:rsidR="009E5637" w:rsidRPr="00D55644">
        <w:rPr>
          <w:sz w:val="26"/>
          <w:szCs w:val="26"/>
        </w:rPr>
        <w:t>FirstEnergy argue</w:t>
      </w:r>
      <w:r w:rsidR="001E585C" w:rsidRPr="00D55644">
        <w:rPr>
          <w:sz w:val="26"/>
          <w:szCs w:val="26"/>
        </w:rPr>
        <w:t>s</w:t>
      </w:r>
      <w:r w:rsidR="009E5637" w:rsidRPr="00D55644">
        <w:rPr>
          <w:sz w:val="26"/>
          <w:szCs w:val="26"/>
        </w:rPr>
        <w:t xml:space="preserve"> that the POR program</w:t>
      </w:r>
      <w:r w:rsidRPr="00D55644">
        <w:rPr>
          <w:sz w:val="26"/>
          <w:szCs w:val="26"/>
        </w:rPr>
        <w:t>s</w:t>
      </w:r>
      <w:r w:rsidR="009E5637" w:rsidRPr="00D55644">
        <w:rPr>
          <w:sz w:val="26"/>
          <w:szCs w:val="26"/>
        </w:rPr>
        <w:t xml:space="preserve"> can</w:t>
      </w:r>
      <w:r w:rsidR="00C40276" w:rsidRPr="00D55644">
        <w:rPr>
          <w:sz w:val="26"/>
          <w:szCs w:val="26"/>
        </w:rPr>
        <w:t>not lawfully operate in reverse:</w:t>
      </w:r>
      <w:r w:rsidR="009E5637" w:rsidRPr="00D55644">
        <w:rPr>
          <w:sz w:val="26"/>
          <w:szCs w:val="26"/>
        </w:rPr>
        <w:t xml:space="preserve"> that is, with EGSs pu</w:t>
      </w:r>
      <w:r w:rsidR="004073A1" w:rsidRPr="00D55644">
        <w:rPr>
          <w:sz w:val="26"/>
          <w:szCs w:val="26"/>
        </w:rPr>
        <w:t>rchasing the receivables of EDCs</w:t>
      </w:r>
      <w:r w:rsidR="009E5637" w:rsidRPr="00D55644">
        <w:rPr>
          <w:sz w:val="26"/>
          <w:szCs w:val="26"/>
        </w:rPr>
        <w:t xml:space="preserve">.  </w:t>
      </w:r>
      <w:r w:rsidR="001E585C" w:rsidRPr="00D55644">
        <w:rPr>
          <w:sz w:val="26"/>
          <w:szCs w:val="26"/>
        </w:rPr>
        <w:t>Currently, FirstEnergy</w:t>
      </w:r>
      <w:r w:rsidRPr="00D55644">
        <w:rPr>
          <w:sz w:val="26"/>
          <w:szCs w:val="26"/>
        </w:rPr>
        <w:t xml:space="preserve"> point</w:t>
      </w:r>
      <w:r w:rsidR="001E585C" w:rsidRPr="00D55644">
        <w:rPr>
          <w:sz w:val="26"/>
          <w:szCs w:val="26"/>
        </w:rPr>
        <w:t>s</w:t>
      </w:r>
      <w:r w:rsidRPr="00D55644">
        <w:rPr>
          <w:sz w:val="26"/>
          <w:szCs w:val="26"/>
        </w:rPr>
        <w:t xml:space="preserve"> out, the EDC</w:t>
      </w:r>
      <w:r w:rsidR="00F00AB3" w:rsidRPr="00D55644">
        <w:rPr>
          <w:sz w:val="26"/>
          <w:szCs w:val="26"/>
        </w:rPr>
        <w:t>s purchase</w:t>
      </w:r>
      <w:r w:rsidRPr="00D55644">
        <w:rPr>
          <w:sz w:val="26"/>
          <w:szCs w:val="26"/>
        </w:rPr>
        <w:t xml:space="preserve"> the receivables of the EGS</w:t>
      </w:r>
      <w:r w:rsidR="00F00AB3" w:rsidRPr="00D55644">
        <w:rPr>
          <w:sz w:val="26"/>
          <w:szCs w:val="26"/>
        </w:rPr>
        <w:t>s</w:t>
      </w:r>
      <w:r w:rsidRPr="00D55644">
        <w:rPr>
          <w:sz w:val="26"/>
          <w:szCs w:val="26"/>
        </w:rPr>
        <w:t>.  The EDC</w:t>
      </w:r>
      <w:r w:rsidR="00F00AB3" w:rsidRPr="00D55644">
        <w:rPr>
          <w:sz w:val="26"/>
          <w:szCs w:val="26"/>
        </w:rPr>
        <w:t>s are owed money from</w:t>
      </w:r>
      <w:r w:rsidRPr="00D55644">
        <w:rPr>
          <w:sz w:val="26"/>
          <w:szCs w:val="26"/>
        </w:rPr>
        <w:t xml:space="preserve"> customer</w:t>
      </w:r>
      <w:r w:rsidR="00F00AB3" w:rsidRPr="00D55644">
        <w:rPr>
          <w:sz w:val="26"/>
          <w:szCs w:val="26"/>
        </w:rPr>
        <w:t>s</w:t>
      </w:r>
      <w:r w:rsidRPr="00D55644">
        <w:rPr>
          <w:sz w:val="26"/>
          <w:szCs w:val="26"/>
        </w:rPr>
        <w:t>, but the EGS</w:t>
      </w:r>
      <w:r w:rsidR="00F00AB3" w:rsidRPr="00D55644">
        <w:rPr>
          <w:sz w:val="26"/>
          <w:szCs w:val="26"/>
        </w:rPr>
        <w:t>s are not (because they have</w:t>
      </w:r>
      <w:r w:rsidRPr="00D55644">
        <w:rPr>
          <w:sz w:val="26"/>
          <w:szCs w:val="26"/>
        </w:rPr>
        <w:t xml:space="preserve"> been paid by the EDC</w:t>
      </w:r>
      <w:r w:rsidR="00F00AB3" w:rsidRPr="00D55644">
        <w:rPr>
          <w:sz w:val="26"/>
          <w:szCs w:val="26"/>
        </w:rPr>
        <w:t>s</w:t>
      </w:r>
      <w:r w:rsidRPr="00D55644">
        <w:rPr>
          <w:sz w:val="26"/>
          <w:szCs w:val="26"/>
        </w:rPr>
        <w:t xml:space="preserve">).  </w:t>
      </w:r>
      <w:r w:rsidR="00C40276" w:rsidRPr="00D55644">
        <w:rPr>
          <w:sz w:val="26"/>
          <w:szCs w:val="26"/>
        </w:rPr>
        <w:t>So,</w:t>
      </w:r>
      <w:r w:rsidRPr="00D55644">
        <w:rPr>
          <w:sz w:val="26"/>
          <w:szCs w:val="26"/>
        </w:rPr>
        <w:t xml:space="preserve"> when customer</w:t>
      </w:r>
      <w:r w:rsidR="00F00AB3" w:rsidRPr="00D55644">
        <w:rPr>
          <w:sz w:val="26"/>
          <w:szCs w:val="26"/>
        </w:rPr>
        <w:t>s</w:t>
      </w:r>
      <w:r w:rsidRPr="00D55644">
        <w:rPr>
          <w:sz w:val="26"/>
          <w:szCs w:val="26"/>
        </w:rPr>
        <w:t xml:space="preserve"> do not pay for electric service, EDC</w:t>
      </w:r>
      <w:r w:rsidR="00F00AB3" w:rsidRPr="00D55644">
        <w:rPr>
          <w:sz w:val="26"/>
          <w:szCs w:val="26"/>
        </w:rPr>
        <w:t>s are</w:t>
      </w:r>
      <w:r w:rsidRPr="00D55644">
        <w:rPr>
          <w:sz w:val="26"/>
          <w:szCs w:val="26"/>
        </w:rPr>
        <w:t xml:space="preserve"> justified in terminating service.  U</w:t>
      </w:r>
      <w:r w:rsidR="001E585C" w:rsidRPr="00D55644">
        <w:rPr>
          <w:sz w:val="26"/>
          <w:szCs w:val="26"/>
        </w:rPr>
        <w:t>nder SCB</w:t>
      </w:r>
      <w:r w:rsidR="00C40276" w:rsidRPr="00D55644">
        <w:rPr>
          <w:sz w:val="26"/>
          <w:szCs w:val="26"/>
        </w:rPr>
        <w:t xml:space="preserve"> as proposed by NRG</w:t>
      </w:r>
      <w:r w:rsidR="001E585C" w:rsidRPr="00D55644">
        <w:rPr>
          <w:sz w:val="26"/>
          <w:szCs w:val="26"/>
        </w:rPr>
        <w:t xml:space="preserve">, </w:t>
      </w:r>
      <w:r w:rsidRPr="00D55644">
        <w:rPr>
          <w:sz w:val="26"/>
          <w:szCs w:val="26"/>
        </w:rPr>
        <w:t>the EDC</w:t>
      </w:r>
      <w:r w:rsidR="00F00AB3" w:rsidRPr="00D55644">
        <w:rPr>
          <w:sz w:val="26"/>
          <w:szCs w:val="26"/>
        </w:rPr>
        <w:t>s</w:t>
      </w:r>
      <w:r w:rsidRPr="00D55644">
        <w:rPr>
          <w:sz w:val="26"/>
          <w:szCs w:val="26"/>
        </w:rPr>
        <w:t xml:space="preserve"> would be paid</w:t>
      </w:r>
      <w:r w:rsidR="00F00AB3" w:rsidRPr="00D55644">
        <w:rPr>
          <w:sz w:val="26"/>
          <w:szCs w:val="26"/>
        </w:rPr>
        <w:t xml:space="preserve"> for their</w:t>
      </w:r>
      <w:r w:rsidR="00C40276" w:rsidRPr="00D55644">
        <w:rPr>
          <w:sz w:val="26"/>
          <w:szCs w:val="26"/>
        </w:rPr>
        <w:t xml:space="preserve"> distribution charges</w:t>
      </w:r>
      <w:r w:rsidRPr="00D55644">
        <w:rPr>
          <w:sz w:val="26"/>
          <w:szCs w:val="26"/>
        </w:rPr>
        <w:t xml:space="preserve"> by the EGS</w:t>
      </w:r>
      <w:r w:rsidR="00F00AB3" w:rsidRPr="00D55644">
        <w:rPr>
          <w:sz w:val="26"/>
          <w:szCs w:val="26"/>
        </w:rPr>
        <w:t>s</w:t>
      </w:r>
      <w:r w:rsidRPr="00D55644">
        <w:rPr>
          <w:sz w:val="26"/>
          <w:szCs w:val="26"/>
        </w:rPr>
        <w:t>, which would then collect from the</w:t>
      </w:r>
      <w:r w:rsidR="000D4CF2" w:rsidRPr="00D55644">
        <w:rPr>
          <w:sz w:val="26"/>
          <w:szCs w:val="26"/>
        </w:rPr>
        <w:t xml:space="preserve"> customer.  If the customer did</w:t>
      </w:r>
      <w:r w:rsidRPr="00D55644">
        <w:rPr>
          <w:sz w:val="26"/>
          <w:szCs w:val="26"/>
        </w:rPr>
        <w:t xml:space="preserve"> not p</w:t>
      </w:r>
      <w:r w:rsidR="000D4CF2" w:rsidRPr="00D55644">
        <w:rPr>
          <w:sz w:val="26"/>
          <w:szCs w:val="26"/>
        </w:rPr>
        <w:t>ay, the EGS</w:t>
      </w:r>
      <w:r w:rsidR="00F00AB3" w:rsidRPr="00D55644">
        <w:rPr>
          <w:sz w:val="26"/>
          <w:szCs w:val="26"/>
        </w:rPr>
        <w:t>s</w:t>
      </w:r>
      <w:r w:rsidR="000D4CF2" w:rsidRPr="00D55644">
        <w:rPr>
          <w:sz w:val="26"/>
          <w:szCs w:val="26"/>
        </w:rPr>
        <w:t xml:space="preserve"> would </w:t>
      </w:r>
      <w:r w:rsidR="00C40276" w:rsidRPr="00D55644">
        <w:rPr>
          <w:sz w:val="26"/>
          <w:szCs w:val="26"/>
        </w:rPr>
        <w:t>be owed money, not the EDC</w:t>
      </w:r>
      <w:r w:rsidR="00F00AB3" w:rsidRPr="00D55644">
        <w:rPr>
          <w:sz w:val="26"/>
          <w:szCs w:val="26"/>
        </w:rPr>
        <w:t>s</w:t>
      </w:r>
      <w:r w:rsidR="001E585C" w:rsidRPr="00D55644">
        <w:rPr>
          <w:sz w:val="26"/>
          <w:szCs w:val="26"/>
        </w:rPr>
        <w:t>.  FirstEnergy</w:t>
      </w:r>
      <w:r w:rsidR="0052311E" w:rsidRPr="00D55644">
        <w:rPr>
          <w:sz w:val="26"/>
          <w:szCs w:val="26"/>
        </w:rPr>
        <w:t xml:space="preserve"> and the PA AFL-CIO</w:t>
      </w:r>
      <w:r w:rsidRPr="00D55644">
        <w:rPr>
          <w:sz w:val="26"/>
          <w:szCs w:val="26"/>
        </w:rPr>
        <w:t xml:space="preserve"> question</w:t>
      </w:r>
      <w:r w:rsidR="001E585C" w:rsidRPr="00D55644">
        <w:rPr>
          <w:sz w:val="26"/>
          <w:szCs w:val="26"/>
        </w:rPr>
        <w:t>s</w:t>
      </w:r>
      <w:r w:rsidR="00F00AB3" w:rsidRPr="00D55644">
        <w:rPr>
          <w:sz w:val="26"/>
          <w:szCs w:val="26"/>
        </w:rPr>
        <w:t xml:space="preserve"> how </w:t>
      </w:r>
      <w:r w:rsidRPr="00D55644">
        <w:rPr>
          <w:sz w:val="26"/>
          <w:szCs w:val="26"/>
        </w:rPr>
        <w:t>EDC</w:t>
      </w:r>
      <w:r w:rsidR="00F00AB3" w:rsidRPr="00D55644">
        <w:rPr>
          <w:sz w:val="26"/>
          <w:szCs w:val="26"/>
        </w:rPr>
        <w:t>s</w:t>
      </w:r>
      <w:r w:rsidRPr="00D55644">
        <w:rPr>
          <w:sz w:val="26"/>
          <w:szCs w:val="26"/>
        </w:rPr>
        <w:t xml:space="preserve"> could terminate service under those circumstances and point o</w:t>
      </w:r>
      <w:r w:rsidR="001E585C" w:rsidRPr="00D55644">
        <w:rPr>
          <w:sz w:val="26"/>
          <w:szCs w:val="26"/>
        </w:rPr>
        <w:t>ut that NRG did not address the</w:t>
      </w:r>
      <w:r w:rsidRPr="00D55644">
        <w:rPr>
          <w:sz w:val="26"/>
          <w:szCs w:val="26"/>
        </w:rPr>
        <w:t xml:space="preserve"> issue in its Petition.</w:t>
      </w:r>
      <w:r w:rsidR="009E5637" w:rsidRPr="00D55644">
        <w:rPr>
          <w:rStyle w:val="FootnoteReference"/>
          <w:sz w:val="26"/>
          <w:szCs w:val="26"/>
        </w:rPr>
        <w:footnoteReference w:id="132"/>
      </w:r>
    </w:p>
    <w:p w14:paraId="2AB2BE61" w14:textId="77777777" w:rsidR="000D4CF2" w:rsidRPr="00D55644" w:rsidRDefault="000D4CF2" w:rsidP="009D2420">
      <w:pPr>
        <w:spacing w:line="360" w:lineRule="auto"/>
        <w:rPr>
          <w:sz w:val="26"/>
          <w:szCs w:val="26"/>
        </w:rPr>
      </w:pPr>
    </w:p>
    <w:p w14:paraId="263E5466" w14:textId="77777777" w:rsidR="0077069B" w:rsidRPr="00D55644" w:rsidRDefault="0077069B" w:rsidP="009D2420">
      <w:pPr>
        <w:spacing w:line="360" w:lineRule="auto"/>
        <w:rPr>
          <w:sz w:val="26"/>
          <w:szCs w:val="26"/>
        </w:rPr>
      </w:pPr>
      <w:r w:rsidRPr="00D55644">
        <w:rPr>
          <w:sz w:val="26"/>
          <w:szCs w:val="26"/>
        </w:rPr>
        <w:tab/>
        <w:t xml:space="preserve">Duquesne </w:t>
      </w:r>
      <w:r w:rsidR="003B0CF6" w:rsidRPr="00D55644">
        <w:rPr>
          <w:sz w:val="26"/>
          <w:szCs w:val="26"/>
        </w:rPr>
        <w:t xml:space="preserve">PECO, </w:t>
      </w:r>
      <w:r w:rsidRPr="00D55644">
        <w:rPr>
          <w:sz w:val="26"/>
          <w:szCs w:val="26"/>
        </w:rPr>
        <w:t>and PPL note the risk to EDCs from an EGS’s failure to pay for receivables.  Specifically, Duquesne does not believe it should be required to rely on another entity to bill for its services and transmit funds to it.  Duquesne also asserts that whatever heightened financial requirements might be set for EGSs offering SCB, they are not enough to cover the risks faced by EDCs from fraud, misconduct, and system or personnel failures.</w:t>
      </w:r>
      <w:r w:rsidRPr="00D55644">
        <w:rPr>
          <w:rStyle w:val="FootnoteReference"/>
          <w:sz w:val="26"/>
          <w:szCs w:val="26"/>
        </w:rPr>
        <w:footnoteReference w:id="133"/>
      </w:r>
      <w:r w:rsidR="00451141" w:rsidRPr="00D55644">
        <w:rPr>
          <w:sz w:val="26"/>
          <w:szCs w:val="26"/>
        </w:rPr>
        <w:t xml:space="preserve">  </w:t>
      </w:r>
      <w:r w:rsidR="003B0CF6" w:rsidRPr="00D55644">
        <w:rPr>
          <w:sz w:val="26"/>
          <w:szCs w:val="26"/>
        </w:rPr>
        <w:t xml:space="preserve">PECO asserts that NRG’s assurances regarding heightened financial requirements are insufficient because EGSs would </w:t>
      </w:r>
      <w:r w:rsidR="00EB7DF9" w:rsidRPr="00D55644">
        <w:rPr>
          <w:sz w:val="26"/>
          <w:szCs w:val="26"/>
        </w:rPr>
        <w:t>always</w:t>
      </w:r>
      <w:r w:rsidR="003B0CF6" w:rsidRPr="00D55644">
        <w:rPr>
          <w:sz w:val="26"/>
          <w:szCs w:val="26"/>
        </w:rPr>
        <w:t xml:space="preserve"> be holding one month of EDC charges earned but not yet paid by the EGS.  PECO further claims that EDCs would need to feel confident that (1) the EGSs would pay the money owed; (2) in the event of an EGS default, customers would be given credit for amounts paid to the EGS for their EDC charges; and (3) EDC shareholders would not be harmed by the POR program.</w:t>
      </w:r>
      <w:r w:rsidR="003B0CF6" w:rsidRPr="00D55644">
        <w:rPr>
          <w:rStyle w:val="FootnoteReference"/>
          <w:sz w:val="26"/>
          <w:szCs w:val="26"/>
        </w:rPr>
        <w:footnoteReference w:id="134"/>
      </w:r>
      <w:r w:rsidR="003B0CF6" w:rsidRPr="00D55644">
        <w:rPr>
          <w:sz w:val="26"/>
          <w:szCs w:val="26"/>
        </w:rPr>
        <w:t xml:space="preserve">  </w:t>
      </w:r>
      <w:r w:rsidR="00451141" w:rsidRPr="00D55644">
        <w:rPr>
          <w:sz w:val="26"/>
          <w:szCs w:val="26"/>
        </w:rPr>
        <w:t>PPL notes that NRG does not propose anything specific regarding the amount of financial security EGSs offering SCB should provide, although it asserts the amount should be substantially in excess of current bonding requirements to cover potential damages from wrongful termination of service and the EDC’s charges if the EGS fails to pay the EDC’s receivables.</w:t>
      </w:r>
      <w:r w:rsidR="00451141" w:rsidRPr="00D55644">
        <w:rPr>
          <w:rStyle w:val="FootnoteReference"/>
          <w:sz w:val="26"/>
          <w:szCs w:val="26"/>
        </w:rPr>
        <w:footnoteReference w:id="135"/>
      </w:r>
    </w:p>
    <w:p w14:paraId="403899A2" w14:textId="77777777" w:rsidR="0077069B" w:rsidRPr="00D55644" w:rsidRDefault="0077069B" w:rsidP="009D2420">
      <w:pPr>
        <w:spacing w:line="360" w:lineRule="auto"/>
        <w:rPr>
          <w:sz w:val="26"/>
          <w:szCs w:val="26"/>
        </w:rPr>
      </w:pPr>
    </w:p>
    <w:p w14:paraId="566AA7C1" w14:textId="77777777" w:rsidR="000D4CF2" w:rsidRPr="00D55644" w:rsidRDefault="000D4CF2" w:rsidP="009D2420">
      <w:pPr>
        <w:spacing w:line="360" w:lineRule="auto"/>
        <w:rPr>
          <w:sz w:val="26"/>
          <w:szCs w:val="26"/>
        </w:rPr>
      </w:pPr>
      <w:r w:rsidRPr="00D55644">
        <w:rPr>
          <w:sz w:val="26"/>
          <w:szCs w:val="26"/>
        </w:rPr>
        <w:tab/>
      </w:r>
      <w:r w:rsidR="00CC5962" w:rsidRPr="00D55644">
        <w:rPr>
          <w:sz w:val="26"/>
          <w:szCs w:val="26"/>
        </w:rPr>
        <w:t xml:space="preserve">The </w:t>
      </w:r>
      <w:r w:rsidRPr="00D55644">
        <w:rPr>
          <w:sz w:val="26"/>
          <w:szCs w:val="26"/>
        </w:rPr>
        <w:t xml:space="preserve">OSBA also points to the potential anticompetitive effect of the POR program as proposed by NRG.  </w:t>
      </w:r>
      <w:r w:rsidR="00CC5962" w:rsidRPr="00D55644">
        <w:rPr>
          <w:sz w:val="26"/>
          <w:szCs w:val="26"/>
        </w:rPr>
        <w:t xml:space="preserve">The </w:t>
      </w:r>
      <w:r w:rsidRPr="00D55644">
        <w:rPr>
          <w:sz w:val="26"/>
          <w:szCs w:val="26"/>
        </w:rPr>
        <w:t xml:space="preserve">OSBA asserts that NRG’s proposal is so generous as to practically be too good to be true.  </w:t>
      </w:r>
      <w:r w:rsidR="00CC5962" w:rsidRPr="00D55644">
        <w:rPr>
          <w:sz w:val="26"/>
          <w:szCs w:val="26"/>
        </w:rPr>
        <w:t xml:space="preserve">The </w:t>
      </w:r>
      <w:r w:rsidR="007055E2" w:rsidRPr="00D55644">
        <w:rPr>
          <w:sz w:val="26"/>
          <w:szCs w:val="26"/>
        </w:rPr>
        <w:t>OSBA believes the POR proposal may be a ploy by NRG to make SCB unattractive to potential</w:t>
      </w:r>
      <w:r w:rsidR="00DC3716" w:rsidRPr="00D55644">
        <w:rPr>
          <w:sz w:val="26"/>
          <w:szCs w:val="26"/>
        </w:rPr>
        <w:t xml:space="preserve"> EGS</w:t>
      </w:r>
      <w:r w:rsidR="007055E2" w:rsidRPr="00D55644">
        <w:rPr>
          <w:sz w:val="26"/>
          <w:szCs w:val="26"/>
        </w:rPr>
        <w:t xml:space="preserve"> entrants and that NRG may</w:t>
      </w:r>
      <w:r w:rsidR="00CC5962" w:rsidRPr="00D55644">
        <w:rPr>
          <w:sz w:val="26"/>
          <w:szCs w:val="26"/>
        </w:rPr>
        <w:t xml:space="preserve"> </w:t>
      </w:r>
      <w:r w:rsidR="007055E2" w:rsidRPr="00D55644">
        <w:rPr>
          <w:sz w:val="26"/>
          <w:szCs w:val="26"/>
        </w:rPr>
        <w:t>try to change the POR programs</w:t>
      </w:r>
      <w:r w:rsidR="00CC5962" w:rsidRPr="00D55644">
        <w:rPr>
          <w:sz w:val="26"/>
          <w:szCs w:val="26"/>
        </w:rPr>
        <w:t xml:space="preserve"> once SCB is in place</w:t>
      </w:r>
      <w:r w:rsidR="007055E2" w:rsidRPr="00D55644">
        <w:rPr>
          <w:sz w:val="26"/>
          <w:szCs w:val="26"/>
        </w:rPr>
        <w:t>.</w:t>
      </w:r>
      <w:r w:rsidR="007055E2" w:rsidRPr="00D55644">
        <w:rPr>
          <w:rStyle w:val="FootnoteReference"/>
          <w:sz w:val="26"/>
          <w:szCs w:val="26"/>
        </w:rPr>
        <w:footnoteReference w:id="136"/>
      </w:r>
    </w:p>
    <w:p w14:paraId="54B27107" w14:textId="77777777" w:rsidR="009D2420" w:rsidRPr="00D55644" w:rsidRDefault="009D2420" w:rsidP="009D2420">
      <w:pPr>
        <w:spacing w:line="360" w:lineRule="auto"/>
        <w:rPr>
          <w:sz w:val="26"/>
          <w:szCs w:val="26"/>
        </w:rPr>
      </w:pPr>
    </w:p>
    <w:p w14:paraId="5CA6F22F" w14:textId="77777777" w:rsidR="009D2420" w:rsidRPr="00580664" w:rsidRDefault="009D2420" w:rsidP="006C5132">
      <w:pPr>
        <w:spacing w:line="360" w:lineRule="auto"/>
        <w:ind w:left="720"/>
        <w:rPr>
          <w:b/>
          <w:sz w:val="26"/>
          <w:szCs w:val="26"/>
        </w:rPr>
      </w:pPr>
      <w:r w:rsidRPr="00580664">
        <w:rPr>
          <w:b/>
          <w:sz w:val="26"/>
          <w:szCs w:val="26"/>
        </w:rPr>
        <w:t>3</w:t>
      </w:r>
      <w:r w:rsidR="00580664" w:rsidRPr="00580664">
        <w:rPr>
          <w:b/>
          <w:sz w:val="26"/>
          <w:szCs w:val="26"/>
        </w:rPr>
        <w:t>.</w:t>
      </w:r>
      <w:r w:rsidR="00580664" w:rsidRPr="00580664">
        <w:rPr>
          <w:b/>
          <w:sz w:val="26"/>
          <w:szCs w:val="26"/>
        </w:rPr>
        <w:tab/>
      </w:r>
      <w:r w:rsidRPr="00580664">
        <w:rPr>
          <w:b/>
          <w:sz w:val="26"/>
          <w:szCs w:val="26"/>
        </w:rPr>
        <w:t>NRG Reply</w:t>
      </w:r>
    </w:p>
    <w:p w14:paraId="0BA5CA59" w14:textId="77777777" w:rsidR="008C7F62" w:rsidRPr="00D55644" w:rsidRDefault="001E585C" w:rsidP="009D2420">
      <w:pPr>
        <w:spacing w:line="360" w:lineRule="auto"/>
        <w:rPr>
          <w:sz w:val="26"/>
          <w:szCs w:val="26"/>
        </w:rPr>
      </w:pPr>
      <w:r w:rsidRPr="00D55644">
        <w:rPr>
          <w:sz w:val="26"/>
          <w:szCs w:val="26"/>
        </w:rPr>
        <w:tab/>
      </w:r>
      <w:r w:rsidR="006903AC" w:rsidRPr="00D55644">
        <w:rPr>
          <w:sz w:val="26"/>
          <w:szCs w:val="26"/>
        </w:rPr>
        <w:t>NRG implies in its</w:t>
      </w:r>
      <w:r w:rsidR="0054630B" w:rsidRPr="00D55644">
        <w:rPr>
          <w:sz w:val="26"/>
          <w:szCs w:val="26"/>
        </w:rPr>
        <w:t xml:space="preserve"> Reply Comments </w:t>
      </w:r>
      <w:r w:rsidR="006903AC" w:rsidRPr="00D55644">
        <w:rPr>
          <w:sz w:val="26"/>
          <w:szCs w:val="26"/>
        </w:rPr>
        <w:t xml:space="preserve">that other EGSs would offer SCB because (1) Direct Energy, WGL Energy, and RESA support NRG’s Petition and (2) </w:t>
      </w:r>
      <w:r w:rsidR="00973895" w:rsidRPr="00D55644">
        <w:rPr>
          <w:sz w:val="26"/>
          <w:szCs w:val="26"/>
        </w:rPr>
        <w:t>in November</w:t>
      </w:r>
      <w:r w:rsidR="0013281A" w:rsidRPr="00D55644">
        <w:rPr>
          <w:sz w:val="26"/>
          <w:szCs w:val="26"/>
        </w:rPr>
        <w:t xml:space="preserve"> 2014 EGSs “were clamoring for the ability to add charges for non</w:t>
      </w:r>
      <w:r w:rsidR="0013281A" w:rsidRPr="00D55644">
        <w:rPr>
          <w:sz w:val="26"/>
          <w:szCs w:val="26"/>
        </w:rPr>
        <w:noBreakHyphen/>
        <w:t>commodity energy related products and services and for allowing SCB</w:t>
      </w:r>
      <w:r w:rsidR="006903AC" w:rsidRPr="00D55644">
        <w:rPr>
          <w:sz w:val="26"/>
          <w:szCs w:val="26"/>
        </w:rPr>
        <w:t>.</w:t>
      </w:r>
      <w:r w:rsidR="0013281A" w:rsidRPr="00D55644">
        <w:rPr>
          <w:sz w:val="26"/>
          <w:szCs w:val="26"/>
        </w:rPr>
        <w:t>”</w:t>
      </w:r>
      <w:r w:rsidR="0013281A" w:rsidRPr="00D55644">
        <w:rPr>
          <w:rStyle w:val="FootnoteReference"/>
          <w:sz w:val="26"/>
          <w:szCs w:val="26"/>
        </w:rPr>
        <w:footnoteReference w:id="137"/>
      </w:r>
      <w:r w:rsidR="00241DE4" w:rsidRPr="00D55644">
        <w:rPr>
          <w:sz w:val="26"/>
          <w:szCs w:val="26"/>
        </w:rPr>
        <w:t xml:space="preserve">  </w:t>
      </w:r>
      <w:r w:rsidR="008C7F62" w:rsidRPr="00D55644">
        <w:rPr>
          <w:sz w:val="26"/>
          <w:szCs w:val="26"/>
        </w:rPr>
        <w:t>NRG also argues that the Public Utility Code, 66 Pa. C.S. § 1406(a)</w:t>
      </w:r>
      <w:r w:rsidR="00241DE4" w:rsidRPr="00D55644">
        <w:rPr>
          <w:sz w:val="26"/>
          <w:szCs w:val="26"/>
        </w:rPr>
        <w:t>,</w:t>
      </w:r>
      <w:r w:rsidR="008C7F62" w:rsidRPr="00D55644">
        <w:rPr>
          <w:sz w:val="26"/>
          <w:szCs w:val="26"/>
        </w:rPr>
        <w:t xml:space="preserve"> allows an EDC to t</w:t>
      </w:r>
      <w:r w:rsidR="000E72DB" w:rsidRPr="00D55644">
        <w:rPr>
          <w:sz w:val="26"/>
          <w:szCs w:val="26"/>
        </w:rPr>
        <w:t>erminate service for nonpayment and that s</w:t>
      </w:r>
      <w:r w:rsidR="008C7F62" w:rsidRPr="00D55644">
        <w:rPr>
          <w:sz w:val="26"/>
          <w:szCs w:val="26"/>
        </w:rPr>
        <w:t>ince nothing in Chapter 14 prevents termination for nonpayment to an EGS, an EDC can legally terminate service to a customer who has not paid the EGS.</w:t>
      </w:r>
      <w:r w:rsidR="008C7F62" w:rsidRPr="00D55644">
        <w:rPr>
          <w:rStyle w:val="FootnoteReference"/>
          <w:sz w:val="26"/>
          <w:szCs w:val="26"/>
        </w:rPr>
        <w:footnoteReference w:id="138"/>
      </w:r>
    </w:p>
    <w:p w14:paraId="72506091" w14:textId="77777777" w:rsidR="00B13E39" w:rsidRPr="00D55644" w:rsidRDefault="00B13E39" w:rsidP="009D2420">
      <w:pPr>
        <w:spacing w:line="360" w:lineRule="auto"/>
        <w:rPr>
          <w:sz w:val="26"/>
          <w:szCs w:val="26"/>
        </w:rPr>
      </w:pPr>
    </w:p>
    <w:p w14:paraId="10958946" w14:textId="77777777" w:rsidR="00B13E39" w:rsidRPr="00D55644" w:rsidRDefault="00B13E39" w:rsidP="009D2420">
      <w:pPr>
        <w:spacing w:line="360" w:lineRule="auto"/>
        <w:rPr>
          <w:sz w:val="26"/>
          <w:szCs w:val="26"/>
        </w:rPr>
      </w:pPr>
      <w:r w:rsidRPr="00D55644">
        <w:rPr>
          <w:sz w:val="26"/>
          <w:szCs w:val="26"/>
        </w:rPr>
        <w:tab/>
      </w:r>
      <w:r w:rsidR="000340AB" w:rsidRPr="00D55644">
        <w:rPr>
          <w:sz w:val="26"/>
          <w:szCs w:val="26"/>
        </w:rPr>
        <w:t>Although in its Petition</w:t>
      </w:r>
      <w:r w:rsidRPr="00D55644">
        <w:rPr>
          <w:sz w:val="26"/>
          <w:szCs w:val="26"/>
        </w:rPr>
        <w:t xml:space="preserve"> NRG stated that the purpose of its proposed heightened financial requirements was to “enhance consumer protections,”</w:t>
      </w:r>
      <w:r w:rsidRPr="00D55644">
        <w:rPr>
          <w:rStyle w:val="FootnoteReference"/>
          <w:sz w:val="26"/>
          <w:szCs w:val="26"/>
        </w:rPr>
        <w:footnoteReference w:id="139"/>
      </w:r>
      <w:r w:rsidRPr="00D55644">
        <w:rPr>
          <w:sz w:val="26"/>
          <w:szCs w:val="26"/>
        </w:rPr>
        <w:t xml:space="preserve"> based on the comments of Duquesne</w:t>
      </w:r>
      <w:r w:rsidR="00141DA9" w:rsidRPr="00D55644">
        <w:rPr>
          <w:sz w:val="26"/>
          <w:szCs w:val="26"/>
        </w:rPr>
        <w:t>, PECO,</w:t>
      </w:r>
      <w:r w:rsidRPr="00D55644">
        <w:rPr>
          <w:sz w:val="26"/>
          <w:szCs w:val="26"/>
        </w:rPr>
        <w:t xml:space="preserve"> and PPL, NRG addressed financial requirements as they relate to an EDC’s receivables.</w:t>
      </w:r>
      <w:r w:rsidRPr="00D55644">
        <w:rPr>
          <w:rStyle w:val="FootnoteReference"/>
          <w:sz w:val="26"/>
          <w:szCs w:val="26"/>
        </w:rPr>
        <w:footnoteReference w:id="140"/>
      </w:r>
      <w:r w:rsidRPr="00D55644">
        <w:rPr>
          <w:sz w:val="26"/>
          <w:szCs w:val="26"/>
        </w:rPr>
        <w:t xml:space="preserve">  </w:t>
      </w:r>
      <w:r w:rsidR="000340AB" w:rsidRPr="00D55644">
        <w:rPr>
          <w:sz w:val="26"/>
          <w:szCs w:val="26"/>
        </w:rPr>
        <w:t xml:space="preserve">NRG asserts that specific requirements should be addressed through a stakeholder process; however, it suggested requiring </w:t>
      </w:r>
      <w:r w:rsidR="002B567C" w:rsidRPr="00D55644">
        <w:rPr>
          <w:sz w:val="26"/>
          <w:szCs w:val="26"/>
        </w:rPr>
        <w:t>that EGSs offering SCB</w:t>
      </w:r>
      <w:r w:rsidR="000340AB" w:rsidRPr="00D55644">
        <w:rPr>
          <w:sz w:val="26"/>
          <w:szCs w:val="26"/>
        </w:rPr>
        <w:t xml:space="preserve"> post security naming the EDC as beneficiary </w:t>
      </w:r>
      <w:r w:rsidR="002B567C" w:rsidRPr="00D55644">
        <w:rPr>
          <w:sz w:val="26"/>
          <w:szCs w:val="26"/>
        </w:rPr>
        <w:t>in the event the EGS fails to pay the EDC’s transmission and distribution charges.  NRG proposes that the security be set at “two months of distribution charges, using the highest two months in the most recent twelve-month period, which amount is reviewed and adjusted quarterly.”</w:t>
      </w:r>
    </w:p>
    <w:p w14:paraId="06DF103B" w14:textId="4ABB3112" w:rsidR="00580664" w:rsidRDefault="00580664" w:rsidP="00E34B2E">
      <w:pPr>
        <w:overflowPunct/>
        <w:autoSpaceDE/>
        <w:autoSpaceDN/>
        <w:adjustRightInd/>
        <w:spacing w:line="360" w:lineRule="auto"/>
        <w:textAlignment w:val="auto"/>
        <w:rPr>
          <w:sz w:val="26"/>
          <w:szCs w:val="26"/>
        </w:rPr>
      </w:pPr>
    </w:p>
    <w:p w14:paraId="367E6A58" w14:textId="77777777" w:rsidR="009D2420" w:rsidRPr="00580664" w:rsidRDefault="009D2420" w:rsidP="006C5132">
      <w:pPr>
        <w:spacing w:line="360" w:lineRule="auto"/>
        <w:ind w:left="720"/>
        <w:rPr>
          <w:b/>
          <w:sz w:val="26"/>
          <w:szCs w:val="26"/>
        </w:rPr>
      </w:pPr>
      <w:r w:rsidRPr="00580664">
        <w:rPr>
          <w:b/>
          <w:sz w:val="26"/>
          <w:szCs w:val="26"/>
        </w:rPr>
        <w:t>4</w:t>
      </w:r>
      <w:r w:rsidR="00580664" w:rsidRPr="00580664">
        <w:rPr>
          <w:b/>
          <w:sz w:val="26"/>
          <w:szCs w:val="26"/>
        </w:rPr>
        <w:t>.</w:t>
      </w:r>
      <w:r w:rsidR="00580664" w:rsidRPr="00580664">
        <w:rPr>
          <w:b/>
          <w:sz w:val="26"/>
          <w:szCs w:val="26"/>
        </w:rPr>
        <w:tab/>
      </w:r>
      <w:r w:rsidRPr="00580664">
        <w:rPr>
          <w:b/>
          <w:sz w:val="26"/>
          <w:szCs w:val="26"/>
        </w:rPr>
        <w:t>Disposition</w:t>
      </w:r>
    </w:p>
    <w:p w14:paraId="2AC293AD" w14:textId="5E50AF5F" w:rsidR="005E266A" w:rsidRPr="00D55644" w:rsidRDefault="0054630B" w:rsidP="006A2DFB">
      <w:pPr>
        <w:spacing w:line="360" w:lineRule="auto"/>
        <w:rPr>
          <w:sz w:val="26"/>
          <w:szCs w:val="26"/>
        </w:rPr>
      </w:pPr>
      <w:r w:rsidRPr="00D55644">
        <w:rPr>
          <w:sz w:val="26"/>
          <w:szCs w:val="26"/>
        </w:rPr>
        <w:tab/>
      </w:r>
      <w:r w:rsidR="00133859" w:rsidRPr="00D55644">
        <w:rPr>
          <w:sz w:val="26"/>
          <w:szCs w:val="26"/>
        </w:rPr>
        <w:t xml:space="preserve">The POR programs are tied to UCB and </w:t>
      </w:r>
      <w:r w:rsidR="001A0414" w:rsidRPr="00D55644">
        <w:rPr>
          <w:sz w:val="26"/>
          <w:szCs w:val="26"/>
        </w:rPr>
        <w:t xml:space="preserve">the </w:t>
      </w:r>
      <w:r w:rsidR="00133859" w:rsidRPr="00D55644">
        <w:rPr>
          <w:sz w:val="26"/>
          <w:szCs w:val="26"/>
        </w:rPr>
        <w:t>termination of electric service to nonpaying customers.  Under current POR programs, EDCs</w:t>
      </w:r>
      <w:r w:rsidR="001A0414" w:rsidRPr="00D55644">
        <w:rPr>
          <w:sz w:val="26"/>
          <w:szCs w:val="26"/>
        </w:rPr>
        <w:t xml:space="preserve"> p</w:t>
      </w:r>
      <w:r w:rsidR="00133859" w:rsidRPr="00D55644">
        <w:rPr>
          <w:sz w:val="26"/>
          <w:szCs w:val="26"/>
        </w:rPr>
        <w:t>urchase the EGSs’ receivables.  The EGSs receive payment for their generation services from the EDCs.  The EDCs are then responsible for collecting from customers for all charges billed</w:t>
      </w:r>
      <w:r w:rsidR="00384B43" w:rsidRPr="00D55644">
        <w:rPr>
          <w:sz w:val="26"/>
          <w:szCs w:val="26"/>
        </w:rPr>
        <w:t xml:space="preserve">, </w:t>
      </w:r>
      <w:r w:rsidR="00133859" w:rsidRPr="00D55644">
        <w:rPr>
          <w:sz w:val="26"/>
          <w:szCs w:val="26"/>
        </w:rPr>
        <w:t>including the EGSs generation charges</w:t>
      </w:r>
      <w:r w:rsidR="00384B43" w:rsidRPr="00D55644">
        <w:rPr>
          <w:sz w:val="26"/>
          <w:szCs w:val="26"/>
        </w:rPr>
        <w:t xml:space="preserve">, </w:t>
      </w:r>
      <w:r w:rsidR="00133859" w:rsidRPr="00D55644">
        <w:rPr>
          <w:sz w:val="26"/>
          <w:szCs w:val="26"/>
        </w:rPr>
        <w:t xml:space="preserve">and for terminating service to nonpaying customers.  </w:t>
      </w:r>
      <w:proofErr w:type="gramStart"/>
      <w:r w:rsidR="00133859" w:rsidRPr="00D55644">
        <w:rPr>
          <w:sz w:val="26"/>
          <w:szCs w:val="26"/>
        </w:rPr>
        <w:t>As a result of</w:t>
      </w:r>
      <w:proofErr w:type="gramEnd"/>
      <w:r w:rsidR="00133859" w:rsidRPr="00D55644">
        <w:rPr>
          <w:sz w:val="26"/>
          <w:szCs w:val="26"/>
        </w:rPr>
        <w:t xml:space="preserve"> the POR </w:t>
      </w:r>
      <w:r w:rsidR="003562FD" w:rsidRPr="00D55644">
        <w:rPr>
          <w:sz w:val="26"/>
          <w:szCs w:val="26"/>
        </w:rPr>
        <w:t>programs, the EDCs bear the</w:t>
      </w:r>
      <w:r w:rsidR="00133859" w:rsidRPr="00D55644">
        <w:rPr>
          <w:sz w:val="26"/>
          <w:szCs w:val="26"/>
        </w:rPr>
        <w:t xml:space="preserve"> risk of bad debts.  The EGSs</w:t>
      </w:r>
      <w:r w:rsidR="003562FD" w:rsidRPr="00D55644">
        <w:rPr>
          <w:sz w:val="26"/>
          <w:szCs w:val="26"/>
        </w:rPr>
        <w:t>’</w:t>
      </w:r>
      <w:r w:rsidR="00133859" w:rsidRPr="00D55644">
        <w:rPr>
          <w:sz w:val="26"/>
          <w:szCs w:val="26"/>
        </w:rPr>
        <w:t xml:space="preserve"> risk from uncollectible accounts</w:t>
      </w:r>
      <w:r w:rsidR="003562FD" w:rsidRPr="00D55644">
        <w:rPr>
          <w:sz w:val="26"/>
          <w:szCs w:val="26"/>
        </w:rPr>
        <w:t xml:space="preserve"> is mitigated</w:t>
      </w:r>
      <w:r w:rsidR="00133859" w:rsidRPr="00D55644">
        <w:rPr>
          <w:sz w:val="26"/>
          <w:szCs w:val="26"/>
        </w:rPr>
        <w:t xml:space="preserve"> because their charges </w:t>
      </w:r>
      <w:r w:rsidR="003562FD" w:rsidRPr="00D55644">
        <w:rPr>
          <w:sz w:val="26"/>
          <w:szCs w:val="26"/>
        </w:rPr>
        <w:t>are</w:t>
      </w:r>
      <w:r w:rsidR="00133859" w:rsidRPr="00D55644">
        <w:rPr>
          <w:sz w:val="26"/>
          <w:szCs w:val="26"/>
        </w:rPr>
        <w:t xml:space="preserve"> paid—although at a cost/discount—by the EDCs.</w:t>
      </w:r>
    </w:p>
    <w:p w14:paraId="05A8284C" w14:textId="77777777" w:rsidR="00133859" w:rsidRPr="00D55644" w:rsidRDefault="00133859" w:rsidP="006A2DFB">
      <w:pPr>
        <w:spacing w:line="360" w:lineRule="auto"/>
        <w:rPr>
          <w:sz w:val="26"/>
          <w:szCs w:val="26"/>
        </w:rPr>
      </w:pPr>
    </w:p>
    <w:p w14:paraId="1F1E93EC" w14:textId="77777777" w:rsidR="00133859" w:rsidRPr="00D55644" w:rsidRDefault="00133859" w:rsidP="006A2DFB">
      <w:pPr>
        <w:spacing w:line="360" w:lineRule="auto"/>
        <w:rPr>
          <w:sz w:val="26"/>
          <w:szCs w:val="26"/>
        </w:rPr>
      </w:pPr>
      <w:r w:rsidRPr="00D55644">
        <w:rPr>
          <w:sz w:val="26"/>
          <w:szCs w:val="26"/>
        </w:rPr>
        <w:tab/>
      </w:r>
      <w:r w:rsidR="00E52A80" w:rsidRPr="00D55644">
        <w:rPr>
          <w:sz w:val="26"/>
          <w:szCs w:val="26"/>
        </w:rPr>
        <w:t xml:space="preserve">The existing POR programs under UCB are voluntary.  In its Petition, NRG claims that EGSs offering SCB would have to continue the POR programs by purchasing the EDCs receivables.  </w:t>
      </w:r>
      <w:r w:rsidR="00E64917" w:rsidRPr="00D55644">
        <w:rPr>
          <w:sz w:val="26"/>
          <w:szCs w:val="26"/>
        </w:rPr>
        <w:t>However,</w:t>
      </w:r>
      <w:r w:rsidR="00516CD0" w:rsidRPr="00D55644">
        <w:rPr>
          <w:sz w:val="26"/>
          <w:szCs w:val="26"/>
        </w:rPr>
        <w:t xml:space="preserve"> just like it cannot now force EDCs to participate in POR programs,</w:t>
      </w:r>
      <w:r w:rsidR="00E52A80" w:rsidRPr="00D55644">
        <w:rPr>
          <w:sz w:val="26"/>
          <w:szCs w:val="26"/>
        </w:rPr>
        <w:t xml:space="preserve"> </w:t>
      </w:r>
      <w:r w:rsidR="00E64917" w:rsidRPr="00D55644">
        <w:rPr>
          <w:sz w:val="26"/>
          <w:szCs w:val="26"/>
        </w:rPr>
        <w:t>the</w:t>
      </w:r>
      <w:r w:rsidR="00516CD0" w:rsidRPr="00D55644">
        <w:rPr>
          <w:sz w:val="26"/>
          <w:szCs w:val="26"/>
        </w:rPr>
        <w:t xml:space="preserve"> Commission could </w:t>
      </w:r>
      <w:r w:rsidR="00E52A80" w:rsidRPr="00D55644">
        <w:rPr>
          <w:sz w:val="26"/>
          <w:szCs w:val="26"/>
        </w:rPr>
        <w:t xml:space="preserve">not require EGSs offering SCB to purchase the accounts receivable of EDCs.  POR programs </w:t>
      </w:r>
      <w:r w:rsidR="00516CD0" w:rsidRPr="00D55644">
        <w:rPr>
          <w:sz w:val="26"/>
          <w:szCs w:val="26"/>
        </w:rPr>
        <w:t>under SCB would remain</w:t>
      </w:r>
      <w:r w:rsidR="00722D2A" w:rsidRPr="00D55644">
        <w:rPr>
          <w:sz w:val="26"/>
          <w:szCs w:val="26"/>
        </w:rPr>
        <w:t xml:space="preserve"> voluntary as NRG has not identified any legal authority under which the Commission could </w:t>
      </w:r>
      <w:r w:rsidR="00E52A80" w:rsidRPr="00D55644">
        <w:rPr>
          <w:sz w:val="26"/>
          <w:szCs w:val="26"/>
        </w:rPr>
        <w:t>require EGSs to continue them.</w:t>
      </w:r>
    </w:p>
    <w:p w14:paraId="731D93EE" w14:textId="77777777" w:rsidR="00E52A80" w:rsidRPr="00D55644" w:rsidRDefault="00E52A80" w:rsidP="006A2DFB">
      <w:pPr>
        <w:spacing w:line="360" w:lineRule="auto"/>
        <w:rPr>
          <w:sz w:val="26"/>
          <w:szCs w:val="26"/>
        </w:rPr>
      </w:pPr>
    </w:p>
    <w:p w14:paraId="50C11170" w14:textId="77777777" w:rsidR="00BD5B13" w:rsidRPr="00D55644" w:rsidRDefault="00BD5B13" w:rsidP="006A2DFB">
      <w:pPr>
        <w:spacing w:line="360" w:lineRule="auto"/>
        <w:rPr>
          <w:sz w:val="26"/>
          <w:szCs w:val="26"/>
        </w:rPr>
      </w:pPr>
      <w:r w:rsidRPr="00D55644">
        <w:rPr>
          <w:sz w:val="26"/>
          <w:szCs w:val="26"/>
        </w:rPr>
        <w:tab/>
        <w:t>In addition, as noted by First Energy</w:t>
      </w:r>
      <w:r w:rsidR="00094807" w:rsidRPr="00D55644">
        <w:rPr>
          <w:sz w:val="26"/>
          <w:szCs w:val="26"/>
        </w:rPr>
        <w:t xml:space="preserve"> and the PA AF</w:t>
      </w:r>
      <w:r w:rsidR="0052311E" w:rsidRPr="00D55644">
        <w:rPr>
          <w:sz w:val="26"/>
          <w:szCs w:val="26"/>
        </w:rPr>
        <w:t>L-CIO</w:t>
      </w:r>
      <w:r w:rsidRPr="00D55644">
        <w:rPr>
          <w:sz w:val="26"/>
          <w:szCs w:val="26"/>
        </w:rPr>
        <w:t>, the</w:t>
      </w:r>
      <w:r w:rsidR="004D47D1" w:rsidRPr="00D55644">
        <w:rPr>
          <w:sz w:val="26"/>
          <w:szCs w:val="26"/>
        </w:rPr>
        <w:t xml:space="preserve"> Commission agrees that the</w:t>
      </w:r>
      <w:r w:rsidRPr="00D55644">
        <w:rPr>
          <w:sz w:val="26"/>
          <w:szCs w:val="26"/>
        </w:rPr>
        <w:t xml:space="preserve"> existence of POR programs under SCB raises questions regarding termination of service that NRG has not </w:t>
      </w:r>
      <w:r w:rsidR="00601534" w:rsidRPr="00D55644">
        <w:rPr>
          <w:sz w:val="26"/>
          <w:szCs w:val="26"/>
        </w:rPr>
        <w:t xml:space="preserve">adequately </w:t>
      </w:r>
      <w:r w:rsidRPr="00D55644">
        <w:rPr>
          <w:sz w:val="26"/>
          <w:szCs w:val="26"/>
        </w:rPr>
        <w:t xml:space="preserve">addressed in its Petition or Reply Comments.  </w:t>
      </w:r>
      <w:r w:rsidR="00601534" w:rsidRPr="00D55644">
        <w:rPr>
          <w:sz w:val="26"/>
          <w:szCs w:val="26"/>
        </w:rPr>
        <w:t>Despite NRG’s assertion that Chapter 14</w:t>
      </w:r>
      <w:r w:rsidR="00094807" w:rsidRPr="00D55644">
        <w:rPr>
          <w:sz w:val="26"/>
          <w:szCs w:val="26"/>
        </w:rPr>
        <w:t xml:space="preserve"> allows an EDC to terminate service for a customer’s nonpayment to an EGS, we are not convinced that </w:t>
      </w:r>
      <w:r w:rsidR="00BE298A" w:rsidRPr="00D55644">
        <w:rPr>
          <w:sz w:val="26"/>
          <w:szCs w:val="26"/>
        </w:rPr>
        <w:t>this</w:t>
      </w:r>
      <w:r w:rsidR="00094807" w:rsidRPr="00D55644">
        <w:rPr>
          <w:sz w:val="26"/>
          <w:szCs w:val="26"/>
        </w:rPr>
        <w:t xml:space="preserve"> interp</w:t>
      </w:r>
      <w:r w:rsidR="009D1C5A" w:rsidRPr="00D55644">
        <w:rPr>
          <w:sz w:val="26"/>
          <w:szCs w:val="26"/>
        </w:rPr>
        <w:t>retation is correct.</w:t>
      </w:r>
    </w:p>
    <w:p w14:paraId="19C6D8D2" w14:textId="77777777" w:rsidR="009D1C5A" w:rsidRPr="00D55644" w:rsidRDefault="009D1C5A" w:rsidP="006A2DFB">
      <w:pPr>
        <w:spacing w:line="360" w:lineRule="auto"/>
        <w:rPr>
          <w:sz w:val="26"/>
          <w:szCs w:val="26"/>
        </w:rPr>
      </w:pPr>
    </w:p>
    <w:p w14:paraId="7C78AFAD" w14:textId="39CF6B8D" w:rsidR="000C174D" w:rsidRPr="00D55644" w:rsidRDefault="009D1C5A" w:rsidP="006A2DFB">
      <w:pPr>
        <w:spacing w:line="360" w:lineRule="auto"/>
        <w:rPr>
          <w:sz w:val="26"/>
          <w:szCs w:val="26"/>
        </w:rPr>
      </w:pPr>
      <w:r w:rsidRPr="00D55644">
        <w:rPr>
          <w:sz w:val="26"/>
          <w:szCs w:val="26"/>
        </w:rPr>
        <w:tab/>
        <w:t>As noted in Section A above,</w:t>
      </w:r>
      <w:r w:rsidR="000F291E" w:rsidRPr="00D55644">
        <w:rPr>
          <w:sz w:val="26"/>
          <w:szCs w:val="26"/>
        </w:rPr>
        <w:t xml:space="preserve"> NRG does not adequately address the legal basis for an EDC to terminate a customer’s electric service when the EDC is not owed any money.  Another issue discussed in Section A is that </w:t>
      </w:r>
      <w:r w:rsidRPr="00D55644">
        <w:rPr>
          <w:sz w:val="26"/>
          <w:szCs w:val="26"/>
        </w:rPr>
        <w:t xml:space="preserve">an EDC’s power to terminate service is based on its obligation as DSP to </w:t>
      </w:r>
      <w:r w:rsidR="000F291E" w:rsidRPr="00D55644">
        <w:rPr>
          <w:sz w:val="26"/>
          <w:szCs w:val="26"/>
        </w:rPr>
        <w:t xml:space="preserve">provide electric </w:t>
      </w:r>
      <w:r w:rsidRPr="00D55644">
        <w:rPr>
          <w:sz w:val="26"/>
          <w:szCs w:val="26"/>
        </w:rPr>
        <w:t>serv</w:t>
      </w:r>
      <w:r w:rsidR="000F291E" w:rsidRPr="00D55644">
        <w:rPr>
          <w:sz w:val="26"/>
          <w:szCs w:val="26"/>
        </w:rPr>
        <w:t>ic</w:t>
      </w:r>
      <w:r w:rsidRPr="00D55644">
        <w:rPr>
          <w:sz w:val="26"/>
          <w:szCs w:val="26"/>
        </w:rPr>
        <w:t xml:space="preserve">e </w:t>
      </w:r>
      <w:r w:rsidR="000F291E" w:rsidRPr="00D55644">
        <w:rPr>
          <w:sz w:val="26"/>
          <w:szCs w:val="26"/>
        </w:rPr>
        <w:t xml:space="preserve">to </w:t>
      </w:r>
      <w:r w:rsidRPr="00D55644">
        <w:rPr>
          <w:sz w:val="26"/>
          <w:szCs w:val="26"/>
        </w:rPr>
        <w:t xml:space="preserve">all customers in its territory.  Since an EGS is not required to serve any customer, </w:t>
      </w:r>
      <w:r w:rsidR="008373BB" w:rsidRPr="00D55644">
        <w:rPr>
          <w:sz w:val="26"/>
          <w:szCs w:val="26"/>
        </w:rPr>
        <w:t xml:space="preserve">there is </w:t>
      </w:r>
      <w:r w:rsidR="007E76C6">
        <w:rPr>
          <w:sz w:val="26"/>
          <w:szCs w:val="26"/>
        </w:rPr>
        <w:t>less</w:t>
      </w:r>
      <w:r w:rsidR="007E76C6" w:rsidRPr="00D55644">
        <w:rPr>
          <w:sz w:val="26"/>
          <w:szCs w:val="26"/>
        </w:rPr>
        <w:t xml:space="preserve"> </w:t>
      </w:r>
      <w:r w:rsidR="008373BB" w:rsidRPr="00D55644">
        <w:rPr>
          <w:sz w:val="26"/>
          <w:szCs w:val="26"/>
        </w:rPr>
        <w:t>justification for granting it the power to terminate service.  If an EGS wants to terminate</w:t>
      </w:r>
      <w:r w:rsidR="000C174D" w:rsidRPr="00D55644">
        <w:rPr>
          <w:sz w:val="26"/>
          <w:szCs w:val="26"/>
        </w:rPr>
        <w:t xml:space="preserve"> a customer’s</w:t>
      </w:r>
      <w:r w:rsidR="008373BB" w:rsidRPr="00D55644">
        <w:rPr>
          <w:sz w:val="26"/>
          <w:szCs w:val="26"/>
        </w:rPr>
        <w:t xml:space="preserve"> service, it is effectively saying that it no longer wants to serve t</w:t>
      </w:r>
      <w:r w:rsidR="000C174D" w:rsidRPr="00D55644">
        <w:rPr>
          <w:sz w:val="26"/>
          <w:szCs w:val="26"/>
        </w:rPr>
        <w:t>hat</w:t>
      </w:r>
      <w:r w:rsidR="008373BB" w:rsidRPr="00D55644">
        <w:rPr>
          <w:sz w:val="26"/>
          <w:szCs w:val="26"/>
        </w:rPr>
        <w:t xml:space="preserve"> customer.  In that case, the EDC/DSP is obligated under 66 Pa. C.S. § 2807(e)</w:t>
      </w:r>
      <w:r w:rsidR="00D53E5B" w:rsidRPr="00D55644">
        <w:rPr>
          <w:sz w:val="26"/>
          <w:szCs w:val="26"/>
        </w:rPr>
        <w:t xml:space="preserve"> </w:t>
      </w:r>
      <w:r w:rsidR="0021640B" w:rsidRPr="00D55644">
        <w:rPr>
          <w:sz w:val="26"/>
          <w:szCs w:val="26"/>
        </w:rPr>
        <w:t xml:space="preserve">to provide electric </w:t>
      </w:r>
      <w:r w:rsidR="00726053" w:rsidRPr="00D55644">
        <w:rPr>
          <w:sz w:val="26"/>
          <w:szCs w:val="26"/>
        </w:rPr>
        <w:t>service</w:t>
      </w:r>
      <w:r w:rsidR="000C174D" w:rsidRPr="00D55644">
        <w:rPr>
          <w:sz w:val="26"/>
          <w:szCs w:val="26"/>
        </w:rPr>
        <w:t xml:space="preserve"> to the</w:t>
      </w:r>
      <w:r w:rsidR="0021640B" w:rsidRPr="00D55644">
        <w:rPr>
          <w:sz w:val="26"/>
          <w:szCs w:val="26"/>
        </w:rPr>
        <w:t xml:space="preserve"> customer</w:t>
      </w:r>
      <w:r w:rsidR="00726053" w:rsidRPr="00D55644">
        <w:rPr>
          <w:sz w:val="26"/>
          <w:szCs w:val="26"/>
        </w:rPr>
        <w:t>.</w:t>
      </w:r>
      <w:r w:rsidR="000C174D" w:rsidRPr="00D55644">
        <w:rPr>
          <w:sz w:val="26"/>
          <w:szCs w:val="26"/>
        </w:rPr>
        <w:t xml:space="preserve">  </w:t>
      </w:r>
      <w:r w:rsidR="006F413D">
        <w:rPr>
          <w:sz w:val="26"/>
          <w:szCs w:val="26"/>
        </w:rPr>
        <w:t>One</w:t>
      </w:r>
      <w:r w:rsidR="000C174D" w:rsidRPr="00D55644">
        <w:rPr>
          <w:sz w:val="26"/>
          <w:szCs w:val="26"/>
        </w:rPr>
        <w:t xml:space="preserve"> option available to the EGS</w:t>
      </w:r>
      <w:r w:rsidR="00143D0E" w:rsidRPr="00D55644">
        <w:rPr>
          <w:sz w:val="26"/>
          <w:szCs w:val="26"/>
        </w:rPr>
        <w:t xml:space="preserve"> at that point</w:t>
      </w:r>
      <w:r w:rsidR="000C174D" w:rsidRPr="00D55644">
        <w:rPr>
          <w:sz w:val="26"/>
          <w:szCs w:val="26"/>
        </w:rPr>
        <w:t xml:space="preserve"> is to drop the customer to default service and pursue any other available means to collect from the customer.  While the Public Utility Code and regulations allow the Commission to designate a supplier as DSP for a given service territory or specific customer class, NRG has not proposed to take on that role in its Petition.</w:t>
      </w:r>
      <w:r w:rsidR="000C174D" w:rsidRPr="00D55644">
        <w:rPr>
          <w:rStyle w:val="FootnoteReference"/>
          <w:sz w:val="26"/>
          <w:szCs w:val="26"/>
        </w:rPr>
        <w:footnoteReference w:id="141"/>
      </w:r>
    </w:p>
    <w:p w14:paraId="3CF87350" w14:textId="77777777" w:rsidR="00E52A80" w:rsidRPr="00D55644" w:rsidRDefault="00E52A80" w:rsidP="006A2DFB">
      <w:pPr>
        <w:spacing w:line="360" w:lineRule="auto"/>
        <w:rPr>
          <w:sz w:val="26"/>
          <w:szCs w:val="26"/>
        </w:rPr>
      </w:pPr>
    </w:p>
    <w:p w14:paraId="226C9A75" w14:textId="77777777" w:rsidR="00051359" w:rsidRPr="00D55644" w:rsidRDefault="00051359" w:rsidP="006A2DFB">
      <w:pPr>
        <w:spacing w:line="360" w:lineRule="auto"/>
        <w:rPr>
          <w:sz w:val="26"/>
          <w:szCs w:val="26"/>
        </w:rPr>
      </w:pPr>
      <w:r w:rsidRPr="00D55644">
        <w:rPr>
          <w:sz w:val="26"/>
          <w:szCs w:val="26"/>
        </w:rPr>
        <w:tab/>
        <w:t>NRG also failed to address questions regarding the voluntary nature of the POR programs.  Since the programs are voluntary, the Commission could not require an EGS to purchase the accounts receivable of an EDC.  If an EGS offered SCB but did not want to purchase the EDC’s receivables, SCB may not be practical</w:t>
      </w:r>
      <w:r w:rsidR="00A422F0" w:rsidRPr="00D55644">
        <w:rPr>
          <w:sz w:val="26"/>
          <w:szCs w:val="26"/>
        </w:rPr>
        <w:t>.</w:t>
      </w:r>
    </w:p>
    <w:p w14:paraId="3B6E3E8A" w14:textId="77777777" w:rsidR="00051359" w:rsidRPr="00D55644" w:rsidRDefault="00051359" w:rsidP="006A2DFB">
      <w:pPr>
        <w:spacing w:line="360" w:lineRule="auto"/>
        <w:rPr>
          <w:sz w:val="26"/>
          <w:szCs w:val="26"/>
        </w:rPr>
      </w:pPr>
    </w:p>
    <w:p w14:paraId="0F620B47" w14:textId="69857899" w:rsidR="005C755D" w:rsidRPr="00D55644" w:rsidRDefault="005C755D" w:rsidP="006A2DFB">
      <w:pPr>
        <w:spacing w:line="360" w:lineRule="auto"/>
        <w:rPr>
          <w:sz w:val="26"/>
          <w:szCs w:val="26"/>
        </w:rPr>
      </w:pPr>
      <w:r w:rsidRPr="00D55644">
        <w:rPr>
          <w:sz w:val="26"/>
          <w:szCs w:val="26"/>
        </w:rPr>
        <w:tab/>
        <w:t>Under the POR programs as proposed by NRG, the EGS would bear the full risk of bad debts because it would purchase 100% of the EDC’s receivables (that is, with no discount).  As such,</w:t>
      </w:r>
      <w:r w:rsidR="00065B19" w:rsidRPr="00D55644">
        <w:rPr>
          <w:sz w:val="26"/>
          <w:szCs w:val="26"/>
        </w:rPr>
        <w:t xml:space="preserve"> to ensure that EDCs are paid,</w:t>
      </w:r>
      <w:r w:rsidRPr="00D55644">
        <w:rPr>
          <w:sz w:val="26"/>
          <w:szCs w:val="26"/>
        </w:rPr>
        <w:t xml:space="preserve"> the Commission must establish a higher level of financial security for EGSs that offer SCB, a point which NRG acknowledged in its</w:t>
      </w:r>
      <w:r w:rsidR="00065B19" w:rsidRPr="00D55644">
        <w:rPr>
          <w:sz w:val="26"/>
          <w:szCs w:val="26"/>
        </w:rPr>
        <w:t xml:space="preserve"> Reply Comments</w:t>
      </w:r>
      <w:r w:rsidR="00377D7D" w:rsidRPr="00D55644">
        <w:rPr>
          <w:sz w:val="26"/>
          <w:szCs w:val="26"/>
        </w:rPr>
        <w:t xml:space="preserve">.  Although NRG proposed a bonding level of two months of distribution charges, </w:t>
      </w:r>
      <w:r w:rsidR="00065B19" w:rsidRPr="00D55644">
        <w:rPr>
          <w:sz w:val="26"/>
          <w:szCs w:val="26"/>
        </w:rPr>
        <w:t xml:space="preserve">it failed to provide a basis to support this level of financial responsibility.  </w:t>
      </w:r>
      <w:r w:rsidR="001F03D4" w:rsidRPr="00D55644">
        <w:rPr>
          <w:sz w:val="26"/>
          <w:szCs w:val="26"/>
        </w:rPr>
        <w:t>As such, the Commission cannot determine whether that level is sufficient.  Accordingly, NRG has failed to provide adequate evidence to support its Petition.</w:t>
      </w:r>
    </w:p>
    <w:p w14:paraId="3F575FC9" w14:textId="77777777" w:rsidR="005C755D" w:rsidRPr="00D55644" w:rsidRDefault="005C755D" w:rsidP="006A2DFB">
      <w:pPr>
        <w:spacing w:line="360" w:lineRule="auto"/>
        <w:rPr>
          <w:sz w:val="26"/>
          <w:szCs w:val="26"/>
        </w:rPr>
      </w:pPr>
    </w:p>
    <w:p w14:paraId="16027651" w14:textId="77777777" w:rsidR="00E52A80" w:rsidRPr="00D55644" w:rsidRDefault="00E52A80" w:rsidP="006A2DFB">
      <w:pPr>
        <w:spacing w:line="360" w:lineRule="auto"/>
        <w:rPr>
          <w:sz w:val="26"/>
          <w:szCs w:val="26"/>
        </w:rPr>
      </w:pPr>
      <w:r w:rsidRPr="00D55644">
        <w:rPr>
          <w:sz w:val="26"/>
          <w:szCs w:val="26"/>
        </w:rPr>
        <w:tab/>
        <w:t>The Commission finds that NRG’s proposal regarding POR programs is not in the public interest</w:t>
      </w:r>
      <w:r w:rsidR="00BD5B13" w:rsidRPr="00D55644">
        <w:rPr>
          <w:sz w:val="26"/>
          <w:szCs w:val="26"/>
        </w:rPr>
        <w:t xml:space="preserve"> given that it </w:t>
      </w:r>
      <w:r w:rsidR="00880E2C" w:rsidRPr="00D55644">
        <w:rPr>
          <w:sz w:val="26"/>
          <w:szCs w:val="26"/>
        </w:rPr>
        <w:t xml:space="preserve">leaves </w:t>
      </w:r>
      <w:proofErr w:type="gramStart"/>
      <w:r w:rsidR="00880E2C" w:rsidRPr="00D55644">
        <w:rPr>
          <w:sz w:val="26"/>
          <w:szCs w:val="26"/>
        </w:rPr>
        <w:t>a number of</w:t>
      </w:r>
      <w:proofErr w:type="gramEnd"/>
      <w:r w:rsidR="00880E2C" w:rsidRPr="00D55644">
        <w:rPr>
          <w:sz w:val="26"/>
          <w:szCs w:val="26"/>
        </w:rPr>
        <w:t xml:space="preserve"> significant questions unanswered</w:t>
      </w:r>
      <w:r w:rsidRPr="00D55644">
        <w:rPr>
          <w:sz w:val="26"/>
          <w:szCs w:val="26"/>
        </w:rPr>
        <w:t>.</w:t>
      </w:r>
      <w:r w:rsidR="00BD5B13" w:rsidRPr="00D55644">
        <w:rPr>
          <w:sz w:val="26"/>
          <w:szCs w:val="26"/>
        </w:rPr>
        <w:t xml:space="preserve">  NRG has not met its burden </w:t>
      </w:r>
      <w:r w:rsidR="00D47D02" w:rsidRPr="00D55644">
        <w:rPr>
          <w:sz w:val="26"/>
          <w:szCs w:val="26"/>
        </w:rPr>
        <w:t xml:space="preserve">of proof </w:t>
      </w:r>
      <w:r w:rsidR="00EB7DF9" w:rsidRPr="00D55644">
        <w:rPr>
          <w:sz w:val="26"/>
          <w:szCs w:val="26"/>
        </w:rPr>
        <w:t>regarding</w:t>
      </w:r>
      <w:r w:rsidR="00D47D02" w:rsidRPr="00D55644">
        <w:rPr>
          <w:sz w:val="26"/>
          <w:szCs w:val="26"/>
        </w:rPr>
        <w:t xml:space="preserve"> its proposal for EGS POR programs.</w:t>
      </w:r>
    </w:p>
    <w:p w14:paraId="7781C229" w14:textId="77777777" w:rsidR="00344960" w:rsidRPr="00D55644" w:rsidRDefault="00344960" w:rsidP="00E34B2E">
      <w:pPr>
        <w:spacing w:line="360" w:lineRule="auto"/>
        <w:rPr>
          <w:sz w:val="26"/>
          <w:szCs w:val="26"/>
        </w:rPr>
      </w:pPr>
    </w:p>
    <w:p w14:paraId="48029CB3" w14:textId="77777777" w:rsidR="005C20AB" w:rsidRPr="00D55644" w:rsidRDefault="005C20AB" w:rsidP="005C20AB">
      <w:pPr>
        <w:spacing w:line="360" w:lineRule="auto"/>
        <w:jc w:val="center"/>
        <w:rPr>
          <w:b/>
          <w:sz w:val="26"/>
          <w:szCs w:val="26"/>
        </w:rPr>
      </w:pPr>
      <w:r w:rsidRPr="00D55644">
        <w:rPr>
          <w:b/>
          <w:sz w:val="26"/>
          <w:szCs w:val="26"/>
        </w:rPr>
        <w:t>CONCLUSION</w:t>
      </w:r>
    </w:p>
    <w:p w14:paraId="1CDD427E" w14:textId="63BE8C41" w:rsidR="00CE01B5" w:rsidRDefault="00E7717B" w:rsidP="00B91D7E">
      <w:pPr>
        <w:spacing w:line="360" w:lineRule="auto"/>
        <w:rPr>
          <w:sz w:val="26"/>
          <w:szCs w:val="26"/>
        </w:rPr>
      </w:pPr>
      <w:r>
        <w:rPr>
          <w:sz w:val="26"/>
          <w:szCs w:val="26"/>
        </w:rPr>
        <w:tab/>
      </w:r>
      <w:r w:rsidR="004437EC">
        <w:rPr>
          <w:sz w:val="26"/>
          <w:szCs w:val="26"/>
        </w:rPr>
        <w:t>Upon review, we find that the</w:t>
      </w:r>
      <w:r w:rsidR="00CE01B5">
        <w:rPr>
          <w:sz w:val="26"/>
          <w:szCs w:val="26"/>
        </w:rPr>
        <w:t xml:space="preserve"> record in this proceeding lacks sufficient detail to substantiate a definitive determination on both the policy prudence and legality of numerous pivotal issues.  While the Commission has a long history of deliberating SCB, </w:t>
      </w:r>
      <w:r w:rsidR="00EA7F02">
        <w:rPr>
          <w:sz w:val="26"/>
          <w:szCs w:val="26"/>
        </w:rPr>
        <w:t>the question of its legality under Chapter</w:t>
      </w:r>
      <w:r w:rsidR="00D21E87">
        <w:rPr>
          <w:sz w:val="26"/>
          <w:szCs w:val="26"/>
        </w:rPr>
        <w:t>s 14 and 28</w:t>
      </w:r>
      <w:r w:rsidR="004437EC">
        <w:rPr>
          <w:sz w:val="26"/>
          <w:szCs w:val="26"/>
        </w:rPr>
        <w:t xml:space="preserve"> </w:t>
      </w:r>
      <w:r w:rsidR="00EA7F02">
        <w:rPr>
          <w:sz w:val="26"/>
          <w:szCs w:val="26"/>
        </w:rPr>
        <w:t xml:space="preserve">of the </w:t>
      </w:r>
      <w:r w:rsidR="0046677F">
        <w:rPr>
          <w:sz w:val="26"/>
          <w:szCs w:val="26"/>
        </w:rPr>
        <w:t xml:space="preserve">Public Utility </w:t>
      </w:r>
      <w:r w:rsidR="00EA7F02">
        <w:rPr>
          <w:sz w:val="26"/>
          <w:szCs w:val="26"/>
        </w:rPr>
        <w:t xml:space="preserve">Code has never been directly addressed.  </w:t>
      </w:r>
      <w:r w:rsidR="004437EC">
        <w:rPr>
          <w:sz w:val="26"/>
          <w:szCs w:val="26"/>
        </w:rPr>
        <w:t xml:space="preserve">Neither </w:t>
      </w:r>
      <w:r w:rsidR="00120EB4">
        <w:rPr>
          <w:sz w:val="26"/>
          <w:szCs w:val="26"/>
        </w:rPr>
        <w:t>NRG’s Petition</w:t>
      </w:r>
      <w:r w:rsidR="004437EC">
        <w:rPr>
          <w:sz w:val="26"/>
          <w:szCs w:val="26"/>
        </w:rPr>
        <w:t xml:space="preserve"> nor the comments</w:t>
      </w:r>
      <w:r w:rsidR="00D21E87">
        <w:rPr>
          <w:sz w:val="26"/>
          <w:szCs w:val="26"/>
        </w:rPr>
        <w:t xml:space="preserve"> </w:t>
      </w:r>
      <w:r w:rsidR="00120EB4">
        <w:rPr>
          <w:sz w:val="26"/>
          <w:szCs w:val="26"/>
        </w:rPr>
        <w:t>adequately address</w:t>
      </w:r>
      <w:r w:rsidR="004437EC">
        <w:rPr>
          <w:sz w:val="26"/>
          <w:szCs w:val="26"/>
        </w:rPr>
        <w:t xml:space="preserve"> this fundamental issue regarding</w:t>
      </w:r>
      <w:r w:rsidR="00120EB4">
        <w:rPr>
          <w:sz w:val="26"/>
          <w:szCs w:val="26"/>
        </w:rPr>
        <w:t xml:space="preserve"> the legality of SCB</w:t>
      </w:r>
      <w:r w:rsidR="004437EC">
        <w:rPr>
          <w:sz w:val="26"/>
          <w:szCs w:val="26"/>
        </w:rPr>
        <w:t xml:space="preserve"> under the Public Utility Code</w:t>
      </w:r>
      <w:r w:rsidR="00EA7F02">
        <w:rPr>
          <w:sz w:val="26"/>
          <w:szCs w:val="26"/>
        </w:rPr>
        <w:t xml:space="preserve">.  Also, while issues such as termination procedures, purchase of receivables design, bill format, distinguishing between basic and non-basic charges, and customer assistance program design are contemplated in this Petition, the Petition is not fully developed to show compliance with the Code, our regulations, and Commission orders.  As such, </w:t>
      </w:r>
      <w:r w:rsidR="00120EB4">
        <w:rPr>
          <w:sz w:val="26"/>
          <w:szCs w:val="26"/>
        </w:rPr>
        <w:t>the Commission</w:t>
      </w:r>
      <w:r w:rsidR="00EA7F02">
        <w:rPr>
          <w:sz w:val="26"/>
          <w:szCs w:val="26"/>
        </w:rPr>
        <w:t xml:space="preserve"> find</w:t>
      </w:r>
      <w:r w:rsidR="00120EB4">
        <w:rPr>
          <w:sz w:val="26"/>
          <w:szCs w:val="26"/>
        </w:rPr>
        <w:t>s that</w:t>
      </w:r>
      <w:r w:rsidR="00EA7F02">
        <w:rPr>
          <w:sz w:val="26"/>
          <w:szCs w:val="26"/>
        </w:rPr>
        <w:t xml:space="preserve"> NRG has not met its burden of proof in this proceeding and </w:t>
      </w:r>
      <w:r w:rsidR="004437EC">
        <w:rPr>
          <w:sz w:val="26"/>
          <w:szCs w:val="26"/>
        </w:rPr>
        <w:t xml:space="preserve">hereby </w:t>
      </w:r>
      <w:r w:rsidR="00D21E87">
        <w:rPr>
          <w:sz w:val="26"/>
          <w:szCs w:val="26"/>
        </w:rPr>
        <w:t>denies NRG’s Petition</w:t>
      </w:r>
      <w:r w:rsidR="00EA7F02">
        <w:rPr>
          <w:sz w:val="26"/>
          <w:szCs w:val="26"/>
        </w:rPr>
        <w:t>.</w:t>
      </w:r>
    </w:p>
    <w:p w14:paraId="6F4CA580" w14:textId="77777777" w:rsidR="00EA7F02" w:rsidRDefault="00EA7F02" w:rsidP="00B91D7E">
      <w:pPr>
        <w:spacing w:line="360" w:lineRule="auto"/>
        <w:rPr>
          <w:sz w:val="26"/>
          <w:szCs w:val="26"/>
        </w:rPr>
      </w:pPr>
    </w:p>
    <w:p w14:paraId="6A761583" w14:textId="27F3DC4D" w:rsidR="00EA7F02" w:rsidRDefault="00EA7F02" w:rsidP="00B91D7E">
      <w:pPr>
        <w:spacing w:line="360" w:lineRule="auto"/>
        <w:rPr>
          <w:sz w:val="26"/>
          <w:szCs w:val="26"/>
        </w:rPr>
      </w:pPr>
      <w:r>
        <w:rPr>
          <w:sz w:val="26"/>
          <w:szCs w:val="26"/>
        </w:rPr>
        <w:tab/>
        <w:t xml:space="preserve">Although we are denying the Petition, </w:t>
      </w:r>
      <w:r w:rsidR="002D4D22">
        <w:rPr>
          <w:sz w:val="26"/>
          <w:szCs w:val="26"/>
        </w:rPr>
        <w:t xml:space="preserve">we continue to be of the opinion previously expressed by the Commission as part of our </w:t>
      </w:r>
      <w:r w:rsidR="006C3CDF">
        <w:rPr>
          <w:sz w:val="26"/>
          <w:szCs w:val="26"/>
        </w:rPr>
        <w:t>R</w:t>
      </w:r>
      <w:r w:rsidR="002D4D22">
        <w:rPr>
          <w:sz w:val="26"/>
          <w:szCs w:val="26"/>
        </w:rPr>
        <w:t xml:space="preserve">etail </w:t>
      </w:r>
      <w:r w:rsidR="006C3CDF">
        <w:rPr>
          <w:sz w:val="26"/>
          <w:szCs w:val="26"/>
        </w:rPr>
        <w:t>E</w:t>
      </w:r>
      <w:r w:rsidR="002D4D22">
        <w:rPr>
          <w:sz w:val="26"/>
          <w:szCs w:val="26"/>
        </w:rPr>
        <w:t xml:space="preserve">lectric </w:t>
      </w:r>
      <w:r w:rsidR="006C3CDF">
        <w:rPr>
          <w:sz w:val="26"/>
          <w:szCs w:val="26"/>
        </w:rPr>
        <w:t>M</w:t>
      </w:r>
      <w:r w:rsidR="002D4D22">
        <w:rPr>
          <w:sz w:val="26"/>
          <w:szCs w:val="26"/>
        </w:rPr>
        <w:t xml:space="preserve">arket </w:t>
      </w:r>
      <w:r w:rsidR="006C3CDF">
        <w:rPr>
          <w:sz w:val="26"/>
          <w:szCs w:val="26"/>
        </w:rPr>
        <w:t>I</w:t>
      </w:r>
      <w:r w:rsidR="002D4D22">
        <w:rPr>
          <w:sz w:val="26"/>
          <w:szCs w:val="26"/>
        </w:rPr>
        <w:t>nvestigation that “SCB will facilitate the offering of innovative new products and services and will also help the supplier in establishing a brand identity with the customer.”</w:t>
      </w:r>
      <w:r w:rsidR="002D4D22">
        <w:rPr>
          <w:rStyle w:val="FootnoteReference"/>
          <w:sz w:val="26"/>
          <w:szCs w:val="26"/>
        </w:rPr>
        <w:footnoteReference w:id="142"/>
      </w:r>
      <w:r w:rsidR="00F51122">
        <w:rPr>
          <w:sz w:val="26"/>
          <w:szCs w:val="26"/>
        </w:rPr>
        <w:t xml:space="preserve">  </w:t>
      </w:r>
      <w:r w:rsidR="00F64BA9">
        <w:rPr>
          <w:sz w:val="26"/>
          <w:szCs w:val="26"/>
        </w:rPr>
        <w:t>In order to continue the consideration of SCB</w:t>
      </w:r>
      <w:r w:rsidR="002E1EC0">
        <w:rPr>
          <w:sz w:val="26"/>
          <w:szCs w:val="26"/>
        </w:rPr>
        <w:t xml:space="preserve"> and other programs that can promote a competitive market and benefit customers, </w:t>
      </w:r>
      <w:r w:rsidR="00120EB4">
        <w:rPr>
          <w:sz w:val="26"/>
          <w:szCs w:val="26"/>
        </w:rPr>
        <w:t>the Commission</w:t>
      </w:r>
      <w:r w:rsidR="002E1EC0">
        <w:rPr>
          <w:sz w:val="26"/>
          <w:szCs w:val="26"/>
        </w:rPr>
        <w:t xml:space="preserve"> find</w:t>
      </w:r>
      <w:r w:rsidR="00120EB4">
        <w:rPr>
          <w:sz w:val="26"/>
          <w:szCs w:val="26"/>
        </w:rPr>
        <w:t>s</w:t>
      </w:r>
      <w:r w:rsidR="002E1EC0">
        <w:rPr>
          <w:sz w:val="26"/>
          <w:szCs w:val="26"/>
        </w:rPr>
        <w:t xml:space="preserve"> that it is necessary to seek further information, clarification, and comment regarding the implementation of SCB by conducting an </w:t>
      </w:r>
      <w:proofErr w:type="spellStart"/>
      <w:r w:rsidR="002E1EC0">
        <w:rPr>
          <w:i/>
          <w:sz w:val="26"/>
          <w:szCs w:val="26"/>
        </w:rPr>
        <w:t>en</w:t>
      </w:r>
      <w:proofErr w:type="spellEnd"/>
      <w:r w:rsidR="002E1EC0">
        <w:rPr>
          <w:i/>
          <w:sz w:val="26"/>
          <w:szCs w:val="26"/>
        </w:rPr>
        <w:t xml:space="preserve"> banc</w:t>
      </w:r>
      <w:r w:rsidR="002E1EC0">
        <w:rPr>
          <w:sz w:val="26"/>
          <w:szCs w:val="26"/>
        </w:rPr>
        <w:t xml:space="preserve"> hearing before the Commission.</w:t>
      </w:r>
    </w:p>
    <w:p w14:paraId="727FF3E2" w14:textId="1A5BD66F" w:rsidR="00CE01B5" w:rsidRPr="00D55644" w:rsidRDefault="00CE01B5" w:rsidP="00B91D7E">
      <w:pPr>
        <w:spacing w:line="360" w:lineRule="auto"/>
        <w:rPr>
          <w:sz w:val="26"/>
          <w:szCs w:val="26"/>
        </w:rPr>
      </w:pPr>
    </w:p>
    <w:p w14:paraId="31BC28E7" w14:textId="77777777" w:rsidR="004F0F95" w:rsidRPr="00D55644" w:rsidRDefault="00224364" w:rsidP="008E54D4">
      <w:pPr>
        <w:spacing w:line="360" w:lineRule="auto"/>
        <w:rPr>
          <w:b/>
          <w:sz w:val="26"/>
          <w:szCs w:val="26"/>
        </w:rPr>
      </w:pPr>
      <w:r w:rsidRPr="00D55644">
        <w:rPr>
          <w:sz w:val="26"/>
          <w:szCs w:val="26"/>
        </w:rPr>
        <w:tab/>
        <w:t>Given the vital importance of electric service to Pennsylvania consumers, and considering the number of issues associated with the implementation of SCB not adequately addressed,</w:t>
      </w:r>
      <w:r w:rsidR="003B1A7C" w:rsidRPr="00D55644">
        <w:rPr>
          <w:sz w:val="26"/>
          <w:szCs w:val="26"/>
        </w:rPr>
        <w:t xml:space="preserve"> NRG has not met its burden of proof as the moving party. </w:t>
      </w:r>
      <w:r w:rsidRPr="00D55644">
        <w:rPr>
          <w:sz w:val="26"/>
          <w:szCs w:val="26"/>
        </w:rPr>
        <w:t xml:space="preserve"> </w:t>
      </w:r>
      <w:r w:rsidR="003B1A7C" w:rsidRPr="00D55644">
        <w:rPr>
          <w:sz w:val="26"/>
          <w:szCs w:val="26"/>
        </w:rPr>
        <w:t>T</w:t>
      </w:r>
      <w:r w:rsidRPr="00D55644">
        <w:rPr>
          <w:sz w:val="26"/>
          <w:szCs w:val="26"/>
        </w:rPr>
        <w:t xml:space="preserve">he </w:t>
      </w:r>
      <w:r w:rsidR="0025645B" w:rsidRPr="00D55644">
        <w:rPr>
          <w:sz w:val="26"/>
          <w:szCs w:val="26"/>
        </w:rPr>
        <w:t xml:space="preserve">potential </w:t>
      </w:r>
      <w:r w:rsidRPr="00D55644">
        <w:rPr>
          <w:sz w:val="26"/>
          <w:szCs w:val="26"/>
        </w:rPr>
        <w:t>risk</w:t>
      </w:r>
      <w:r w:rsidR="0025645B" w:rsidRPr="00D55644">
        <w:rPr>
          <w:sz w:val="26"/>
          <w:szCs w:val="26"/>
        </w:rPr>
        <w:t>s</w:t>
      </w:r>
      <w:r w:rsidRPr="00D55644">
        <w:rPr>
          <w:sz w:val="26"/>
          <w:szCs w:val="26"/>
        </w:rPr>
        <w:t xml:space="preserve"> to consumers and the retail electric market in general are such that the Commission must deny NRG’s Petition</w:t>
      </w:r>
      <w:r w:rsidR="006E0EAA">
        <w:rPr>
          <w:sz w:val="26"/>
          <w:szCs w:val="26"/>
        </w:rPr>
        <w:t xml:space="preserve">; </w:t>
      </w:r>
      <w:r w:rsidR="001C72BC" w:rsidRPr="00D55644">
        <w:rPr>
          <w:b/>
          <w:sz w:val="26"/>
          <w:szCs w:val="26"/>
        </w:rPr>
        <w:t>THEREFORE,</w:t>
      </w:r>
    </w:p>
    <w:p w14:paraId="1A79ECE1" w14:textId="77777777" w:rsidR="001C72BC" w:rsidRPr="00D55644" w:rsidRDefault="001C72BC" w:rsidP="008E54D4">
      <w:pPr>
        <w:spacing w:line="360" w:lineRule="auto"/>
        <w:rPr>
          <w:sz w:val="26"/>
          <w:szCs w:val="26"/>
        </w:rPr>
      </w:pPr>
    </w:p>
    <w:p w14:paraId="528127BD" w14:textId="77777777" w:rsidR="001C72BC" w:rsidRPr="00D55644" w:rsidRDefault="001C72BC" w:rsidP="008E54D4">
      <w:pPr>
        <w:spacing w:line="360" w:lineRule="auto"/>
        <w:rPr>
          <w:b/>
          <w:sz w:val="26"/>
          <w:szCs w:val="26"/>
        </w:rPr>
      </w:pPr>
      <w:r w:rsidRPr="00D55644">
        <w:rPr>
          <w:b/>
          <w:sz w:val="26"/>
          <w:szCs w:val="26"/>
        </w:rPr>
        <w:tab/>
        <w:t>IT IS ORDERED:</w:t>
      </w:r>
    </w:p>
    <w:p w14:paraId="3FDE59BF" w14:textId="77777777" w:rsidR="004F0F95" w:rsidRPr="00D55644" w:rsidRDefault="004F0F95" w:rsidP="008E54D4">
      <w:pPr>
        <w:spacing w:line="360" w:lineRule="auto"/>
        <w:rPr>
          <w:sz w:val="26"/>
          <w:szCs w:val="26"/>
        </w:rPr>
      </w:pPr>
    </w:p>
    <w:p w14:paraId="5025D74B" w14:textId="23CF762A" w:rsidR="001C72BC" w:rsidRDefault="001C72BC" w:rsidP="00D17031">
      <w:pPr>
        <w:spacing w:line="360" w:lineRule="auto"/>
        <w:rPr>
          <w:sz w:val="26"/>
          <w:szCs w:val="26"/>
        </w:rPr>
      </w:pPr>
      <w:r w:rsidRPr="00D55644">
        <w:rPr>
          <w:sz w:val="26"/>
          <w:szCs w:val="26"/>
        </w:rPr>
        <w:tab/>
        <w:t>1.</w:t>
      </w:r>
      <w:r w:rsidRPr="00D55644">
        <w:rPr>
          <w:sz w:val="26"/>
          <w:szCs w:val="26"/>
        </w:rPr>
        <w:tab/>
      </w:r>
      <w:r w:rsidR="00A01EE1" w:rsidRPr="00D55644">
        <w:rPr>
          <w:sz w:val="26"/>
          <w:szCs w:val="26"/>
        </w:rPr>
        <w:t>That the Petition</w:t>
      </w:r>
      <w:r w:rsidR="003E56C8" w:rsidRPr="00D55644">
        <w:rPr>
          <w:sz w:val="26"/>
          <w:szCs w:val="26"/>
        </w:rPr>
        <w:t xml:space="preserve"> of </w:t>
      </w:r>
      <w:r w:rsidR="00DC3E07" w:rsidRPr="00D55644">
        <w:rPr>
          <w:sz w:val="26"/>
          <w:szCs w:val="26"/>
        </w:rPr>
        <w:t xml:space="preserve">NRG Energy, Inc. for Implementation of Electric Generation Supplier Consolidated Billing </w:t>
      </w:r>
      <w:r w:rsidR="00A01EE1" w:rsidRPr="00D55644">
        <w:rPr>
          <w:sz w:val="26"/>
          <w:szCs w:val="26"/>
        </w:rPr>
        <w:t xml:space="preserve">is </w:t>
      </w:r>
      <w:r w:rsidR="008C29BA" w:rsidRPr="00D55644">
        <w:rPr>
          <w:sz w:val="26"/>
          <w:szCs w:val="26"/>
        </w:rPr>
        <w:t xml:space="preserve">hereby </w:t>
      </w:r>
      <w:r w:rsidR="00DC3E07" w:rsidRPr="00D55644">
        <w:rPr>
          <w:sz w:val="26"/>
          <w:szCs w:val="26"/>
        </w:rPr>
        <w:t>denied</w:t>
      </w:r>
      <w:r w:rsidR="0042601F" w:rsidRPr="00D55644">
        <w:rPr>
          <w:sz w:val="26"/>
          <w:szCs w:val="26"/>
        </w:rPr>
        <w:t>, consistent with this Order.</w:t>
      </w:r>
    </w:p>
    <w:p w14:paraId="68F4EAD1" w14:textId="77777777" w:rsidR="00C927E3" w:rsidRPr="00D55644" w:rsidRDefault="00C927E3" w:rsidP="00D17031">
      <w:pPr>
        <w:spacing w:line="360" w:lineRule="auto"/>
        <w:rPr>
          <w:sz w:val="26"/>
          <w:szCs w:val="26"/>
        </w:rPr>
      </w:pPr>
    </w:p>
    <w:p w14:paraId="4B52572F" w14:textId="77777777" w:rsidR="0042601F" w:rsidRDefault="0042601F" w:rsidP="00D17031">
      <w:pPr>
        <w:overflowPunct/>
        <w:autoSpaceDE/>
        <w:autoSpaceDN/>
        <w:adjustRightInd/>
        <w:spacing w:line="360" w:lineRule="auto"/>
        <w:textAlignment w:val="auto"/>
        <w:rPr>
          <w:sz w:val="26"/>
          <w:szCs w:val="26"/>
        </w:rPr>
      </w:pPr>
      <w:r w:rsidRPr="00D55644">
        <w:rPr>
          <w:sz w:val="26"/>
          <w:szCs w:val="26"/>
        </w:rPr>
        <w:tab/>
        <w:t>2.</w:t>
      </w:r>
      <w:r w:rsidRPr="00D55644">
        <w:rPr>
          <w:sz w:val="26"/>
          <w:szCs w:val="26"/>
        </w:rPr>
        <w:tab/>
        <w:t>That this docket be marked closed.</w:t>
      </w:r>
    </w:p>
    <w:p w14:paraId="30E77B45" w14:textId="77777777" w:rsidR="002E1EC0" w:rsidRDefault="002E1EC0" w:rsidP="00D17031">
      <w:pPr>
        <w:spacing w:line="360" w:lineRule="auto"/>
        <w:rPr>
          <w:sz w:val="26"/>
          <w:szCs w:val="26"/>
        </w:rPr>
      </w:pPr>
    </w:p>
    <w:p w14:paraId="3B70CDB3" w14:textId="5417F57B" w:rsidR="002E1EC0" w:rsidRDefault="002E1EC0" w:rsidP="00D17031">
      <w:pPr>
        <w:spacing w:line="360" w:lineRule="auto"/>
        <w:rPr>
          <w:sz w:val="26"/>
          <w:szCs w:val="26"/>
        </w:rPr>
      </w:pPr>
      <w:r>
        <w:rPr>
          <w:sz w:val="26"/>
          <w:szCs w:val="26"/>
        </w:rPr>
        <w:tab/>
        <w:t>3.</w:t>
      </w:r>
      <w:r>
        <w:rPr>
          <w:sz w:val="26"/>
          <w:szCs w:val="26"/>
        </w:rPr>
        <w:tab/>
        <w:t xml:space="preserve">That the Law Bureau and the Office of Competitive Market Oversight organize an </w:t>
      </w:r>
      <w:proofErr w:type="spellStart"/>
      <w:r>
        <w:rPr>
          <w:i/>
          <w:sz w:val="26"/>
          <w:szCs w:val="26"/>
        </w:rPr>
        <w:t>en</w:t>
      </w:r>
      <w:proofErr w:type="spellEnd"/>
      <w:r>
        <w:rPr>
          <w:i/>
          <w:sz w:val="26"/>
          <w:szCs w:val="26"/>
        </w:rPr>
        <w:t xml:space="preserve"> banc</w:t>
      </w:r>
      <w:r>
        <w:rPr>
          <w:sz w:val="26"/>
          <w:szCs w:val="26"/>
        </w:rPr>
        <w:t xml:space="preserve"> hearing, to take place on or before June 14, 2018, seeking comments on Supplier Consolidated Billing and other possible alternatives to the competitive market that would promote shopping and the inclusion of EGS value</w:t>
      </w:r>
      <w:r w:rsidR="00BD5162">
        <w:rPr>
          <w:sz w:val="26"/>
          <w:szCs w:val="26"/>
        </w:rPr>
        <w:t>-</w:t>
      </w:r>
      <w:r>
        <w:rPr>
          <w:sz w:val="26"/>
          <w:szCs w:val="26"/>
        </w:rPr>
        <w:t>added services.</w:t>
      </w:r>
    </w:p>
    <w:p w14:paraId="71901860" w14:textId="77777777" w:rsidR="002E1EC0" w:rsidRDefault="002E1EC0" w:rsidP="0042601F">
      <w:pPr>
        <w:spacing w:line="360" w:lineRule="auto"/>
        <w:rPr>
          <w:sz w:val="26"/>
          <w:szCs w:val="26"/>
        </w:rPr>
      </w:pPr>
    </w:p>
    <w:p w14:paraId="40041E99" w14:textId="77777777" w:rsidR="002E1EC0" w:rsidRDefault="002E1EC0" w:rsidP="0042601F">
      <w:pPr>
        <w:spacing w:line="360" w:lineRule="auto"/>
        <w:rPr>
          <w:sz w:val="26"/>
          <w:szCs w:val="26"/>
        </w:rPr>
      </w:pPr>
      <w:r>
        <w:rPr>
          <w:sz w:val="26"/>
          <w:szCs w:val="26"/>
        </w:rPr>
        <w:tab/>
        <w:t>4.</w:t>
      </w:r>
      <w:r>
        <w:rPr>
          <w:sz w:val="26"/>
          <w:szCs w:val="26"/>
        </w:rPr>
        <w:tab/>
        <w:t xml:space="preserve">That the Law Bureau prepare a Secretarial Letter initiating an </w:t>
      </w:r>
      <w:proofErr w:type="spellStart"/>
      <w:r>
        <w:rPr>
          <w:i/>
          <w:sz w:val="26"/>
          <w:szCs w:val="26"/>
        </w:rPr>
        <w:t>en</w:t>
      </w:r>
      <w:proofErr w:type="spellEnd"/>
      <w:r>
        <w:rPr>
          <w:i/>
          <w:sz w:val="26"/>
          <w:szCs w:val="26"/>
        </w:rPr>
        <w:t xml:space="preserve"> banc</w:t>
      </w:r>
      <w:r>
        <w:rPr>
          <w:sz w:val="26"/>
          <w:szCs w:val="26"/>
        </w:rPr>
        <w:t xml:space="preserve"> proceeding consistent with this Order.</w:t>
      </w:r>
    </w:p>
    <w:p w14:paraId="7916BA01" w14:textId="77777777" w:rsidR="002E1EC0" w:rsidRDefault="002E1EC0" w:rsidP="0042601F">
      <w:pPr>
        <w:spacing w:line="360" w:lineRule="auto"/>
        <w:rPr>
          <w:sz w:val="26"/>
          <w:szCs w:val="26"/>
        </w:rPr>
      </w:pPr>
    </w:p>
    <w:p w14:paraId="77EAC42D" w14:textId="45527165" w:rsidR="002E1EC0" w:rsidRPr="002E1EC0" w:rsidRDefault="002E1EC0" w:rsidP="0042601F">
      <w:pPr>
        <w:spacing w:line="360" w:lineRule="auto"/>
        <w:rPr>
          <w:sz w:val="26"/>
          <w:szCs w:val="26"/>
        </w:rPr>
      </w:pPr>
      <w:r>
        <w:rPr>
          <w:sz w:val="26"/>
          <w:szCs w:val="26"/>
        </w:rPr>
        <w:tab/>
        <w:t>5.</w:t>
      </w:r>
      <w:r>
        <w:rPr>
          <w:sz w:val="26"/>
          <w:szCs w:val="26"/>
        </w:rPr>
        <w:tab/>
        <w:t xml:space="preserve">That the Secretary’s Bureau create a </w:t>
      </w:r>
      <w:r w:rsidR="00654901">
        <w:rPr>
          <w:sz w:val="26"/>
          <w:szCs w:val="26"/>
        </w:rPr>
        <w:t xml:space="preserve">new </w:t>
      </w:r>
      <w:r>
        <w:rPr>
          <w:sz w:val="26"/>
          <w:szCs w:val="26"/>
        </w:rPr>
        <w:t xml:space="preserve">Docket Number for the </w:t>
      </w:r>
      <w:proofErr w:type="spellStart"/>
      <w:r>
        <w:rPr>
          <w:i/>
          <w:sz w:val="26"/>
          <w:szCs w:val="26"/>
        </w:rPr>
        <w:t>en</w:t>
      </w:r>
      <w:proofErr w:type="spellEnd"/>
      <w:r>
        <w:rPr>
          <w:i/>
          <w:sz w:val="26"/>
          <w:szCs w:val="26"/>
        </w:rPr>
        <w:t xml:space="preserve"> banc</w:t>
      </w:r>
      <w:r>
        <w:rPr>
          <w:sz w:val="26"/>
          <w:szCs w:val="26"/>
        </w:rPr>
        <w:t xml:space="preserve"> proceeding.</w:t>
      </w:r>
    </w:p>
    <w:p w14:paraId="0474F075" w14:textId="77777777" w:rsidR="000D68A5" w:rsidRPr="00D55644" w:rsidRDefault="000D68A5">
      <w:pPr>
        <w:overflowPunct/>
        <w:autoSpaceDE/>
        <w:autoSpaceDN/>
        <w:adjustRightInd/>
        <w:textAlignment w:val="auto"/>
        <w:rPr>
          <w:sz w:val="26"/>
          <w:szCs w:val="26"/>
        </w:rPr>
      </w:pPr>
    </w:p>
    <w:p w14:paraId="15396098" w14:textId="77777777" w:rsidR="008C29BA" w:rsidRPr="00D55644" w:rsidRDefault="008C29BA">
      <w:pPr>
        <w:overflowPunct/>
        <w:autoSpaceDE/>
        <w:autoSpaceDN/>
        <w:adjustRightInd/>
        <w:textAlignment w:val="auto"/>
        <w:rPr>
          <w:sz w:val="26"/>
          <w:szCs w:val="26"/>
        </w:rPr>
      </w:pPr>
    </w:p>
    <w:p w14:paraId="553B6183" w14:textId="3DCCA1BA" w:rsidR="00A25A83" w:rsidRPr="00D55644" w:rsidRDefault="00DC22D6" w:rsidP="007B13C0">
      <w:pPr>
        <w:pStyle w:val="p17"/>
        <w:ind w:left="5057"/>
        <w:rPr>
          <w:b/>
          <w:bCs/>
          <w:sz w:val="26"/>
          <w:szCs w:val="26"/>
        </w:rPr>
      </w:pPr>
      <w:r>
        <w:rPr>
          <w:noProof/>
        </w:rPr>
        <w:drawing>
          <wp:anchor distT="0" distB="0" distL="114300" distR="114300" simplePos="0" relativeHeight="251659264" behindDoc="1" locked="0" layoutInCell="1" allowOverlap="1" wp14:anchorId="423A12A7" wp14:editId="5549FF00">
            <wp:simplePos x="0" y="0"/>
            <wp:positionH relativeFrom="column">
              <wp:posOffset>3086100</wp:posOffset>
            </wp:positionH>
            <wp:positionV relativeFrom="paragraph">
              <wp:posOffset>160655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25A83" w:rsidRPr="00D55644">
        <w:rPr>
          <w:b/>
          <w:bCs/>
          <w:sz w:val="26"/>
          <w:szCs w:val="26"/>
        </w:rPr>
        <w:t>BY THE COMMISSION</w:t>
      </w:r>
    </w:p>
    <w:p w14:paraId="6218C491" w14:textId="0E01DAB7" w:rsidR="00A25A83" w:rsidRPr="00D55644" w:rsidRDefault="00A25A83" w:rsidP="00A25A83">
      <w:pPr>
        <w:tabs>
          <w:tab w:val="left" w:pos="5057"/>
        </w:tabs>
        <w:rPr>
          <w:bCs/>
          <w:sz w:val="26"/>
          <w:szCs w:val="26"/>
        </w:rPr>
      </w:pPr>
    </w:p>
    <w:p w14:paraId="79941D6F" w14:textId="5AB0702F" w:rsidR="00DC22D6" w:rsidRDefault="00DC22D6"/>
    <w:p w14:paraId="6B39D0AE" w14:textId="77777777" w:rsidR="00734381" w:rsidRPr="00D55644" w:rsidRDefault="00734381" w:rsidP="00A25A83">
      <w:pPr>
        <w:tabs>
          <w:tab w:val="left" w:pos="5057"/>
        </w:tabs>
        <w:rPr>
          <w:bCs/>
          <w:sz w:val="26"/>
          <w:szCs w:val="26"/>
        </w:rPr>
      </w:pPr>
    </w:p>
    <w:p w14:paraId="24079388" w14:textId="77777777" w:rsidR="00EE68FA" w:rsidRPr="00D55644" w:rsidRDefault="00EE68FA" w:rsidP="00A25A83">
      <w:pPr>
        <w:tabs>
          <w:tab w:val="left" w:pos="5057"/>
        </w:tabs>
        <w:rPr>
          <w:bCs/>
          <w:sz w:val="26"/>
          <w:szCs w:val="26"/>
        </w:rPr>
      </w:pPr>
    </w:p>
    <w:p w14:paraId="51B386AC" w14:textId="77777777" w:rsidR="00A25A83" w:rsidRPr="00D55644" w:rsidRDefault="00A25A83" w:rsidP="00A25A83">
      <w:pPr>
        <w:pStyle w:val="p18"/>
        <w:ind w:left="5062"/>
        <w:rPr>
          <w:sz w:val="26"/>
          <w:szCs w:val="26"/>
        </w:rPr>
      </w:pPr>
      <w:r w:rsidRPr="00D55644">
        <w:rPr>
          <w:sz w:val="26"/>
          <w:szCs w:val="26"/>
        </w:rPr>
        <w:t>Rosemary Chiavetta</w:t>
      </w:r>
    </w:p>
    <w:p w14:paraId="6F424C26" w14:textId="77777777" w:rsidR="00A25A83" w:rsidRPr="00D55644" w:rsidRDefault="00A25A83" w:rsidP="00A25A83">
      <w:pPr>
        <w:pStyle w:val="p18"/>
        <w:ind w:left="5062"/>
        <w:rPr>
          <w:sz w:val="26"/>
          <w:szCs w:val="26"/>
        </w:rPr>
      </w:pPr>
      <w:r w:rsidRPr="00D55644">
        <w:rPr>
          <w:sz w:val="26"/>
          <w:szCs w:val="26"/>
        </w:rPr>
        <w:t>Secretary</w:t>
      </w:r>
    </w:p>
    <w:p w14:paraId="5D703B93" w14:textId="77777777" w:rsidR="002C3494" w:rsidRPr="00D55644" w:rsidRDefault="002C3494" w:rsidP="00A25A83">
      <w:pPr>
        <w:pStyle w:val="p14"/>
        <w:rPr>
          <w:sz w:val="26"/>
          <w:szCs w:val="26"/>
        </w:rPr>
      </w:pPr>
    </w:p>
    <w:p w14:paraId="35AA544A" w14:textId="77777777" w:rsidR="00F30875" w:rsidRPr="00D55644" w:rsidRDefault="00F30875" w:rsidP="00A25A83">
      <w:pPr>
        <w:pStyle w:val="p14"/>
        <w:rPr>
          <w:sz w:val="26"/>
          <w:szCs w:val="26"/>
        </w:rPr>
      </w:pPr>
    </w:p>
    <w:p w14:paraId="62706536" w14:textId="77777777" w:rsidR="00A25A83" w:rsidRPr="00D55644" w:rsidRDefault="00F92618" w:rsidP="00A25A83">
      <w:pPr>
        <w:pStyle w:val="p14"/>
        <w:rPr>
          <w:sz w:val="26"/>
          <w:szCs w:val="26"/>
        </w:rPr>
      </w:pPr>
      <w:r w:rsidRPr="00D55644">
        <w:rPr>
          <w:sz w:val="26"/>
          <w:szCs w:val="26"/>
        </w:rPr>
        <w:t>(</w:t>
      </w:r>
      <w:r w:rsidR="00A25A83" w:rsidRPr="00D55644">
        <w:rPr>
          <w:sz w:val="26"/>
          <w:szCs w:val="26"/>
        </w:rPr>
        <w:t>SEAL)</w:t>
      </w:r>
    </w:p>
    <w:p w14:paraId="0CE7A9A7" w14:textId="77777777" w:rsidR="00A25A83" w:rsidRPr="00D55644" w:rsidRDefault="00A25A83" w:rsidP="00A25A83">
      <w:pPr>
        <w:tabs>
          <w:tab w:val="left" w:pos="204"/>
        </w:tabs>
        <w:rPr>
          <w:sz w:val="26"/>
          <w:szCs w:val="26"/>
        </w:rPr>
      </w:pPr>
    </w:p>
    <w:p w14:paraId="2E6427C3" w14:textId="77777777" w:rsidR="00A25A83" w:rsidRPr="00D55644" w:rsidRDefault="00A25A83" w:rsidP="00A25A83">
      <w:pPr>
        <w:pStyle w:val="p14"/>
        <w:rPr>
          <w:sz w:val="26"/>
          <w:szCs w:val="26"/>
        </w:rPr>
      </w:pPr>
      <w:r w:rsidRPr="00D55644">
        <w:rPr>
          <w:sz w:val="26"/>
          <w:szCs w:val="26"/>
        </w:rPr>
        <w:t xml:space="preserve">ORDER ADOPTED:  </w:t>
      </w:r>
      <w:r w:rsidR="00345386">
        <w:rPr>
          <w:sz w:val="26"/>
          <w:szCs w:val="26"/>
        </w:rPr>
        <w:t>January 18, 2018</w:t>
      </w:r>
    </w:p>
    <w:p w14:paraId="5356313D" w14:textId="77777777" w:rsidR="00A25A83" w:rsidRPr="00D55644" w:rsidRDefault="00A25A83" w:rsidP="00A25A83">
      <w:pPr>
        <w:pStyle w:val="p14"/>
        <w:rPr>
          <w:sz w:val="26"/>
          <w:szCs w:val="26"/>
        </w:rPr>
      </w:pPr>
    </w:p>
    <w:p w14:paraId="2CABE35A" w14:textId="7375BFB7" w:rsidR="00B71120" w:rsidRPr="00D55644" w:rsidRDefault="00A25A83" w:rsidP="001C7938">
      <w:pPr>
        <w:pStyle w:val="p14"/>
        <w:rPr>
          <w:sz w:val="26"/>
          <w:szCs w:val="26"/>
        </w:rPr>
      </w:pPr>
      <w:r w:rsidRPr="00D55644">
        <w:rPr>
          <w:sz w:val="26"/>
          <w:szCs w:val="26"/>
        </w:rPr>
        <w:t xml:space="preserve">ORDER ENTERED:  </w:t>
      </w:r>
      <w:r w:rsidR="00DC22D6">
        <w:rPr>
          <w:sz w:val="26"/>
          <w:szCs w:val="26"/>
        </w:rPr>
        <w:t xml:space="preserve"> January 31, 2018</w:t>
      </w:r>
    </w:p>
    <w:p w14:paraId="593DC6A4" w14:textId="77777777" w:rsidR="006E25A0" w:rsidRPr="00D55644" w:rsidRDefault="006E25A0" w:rsidP="001C7938">
      <w:pPr>
        <w:pStyle w:val="p14"/>
        <w:rPr>
          <w:sz w:val="26"/>
          <w:szCs w:val="26"/>
        </w:rPr>
      </w:pPr>
    </w:p>
    <w:sectPr w:rsidR="006E25A0" w:rsidRPr="00D55644" w:rsidSect="0026034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E848" w14:textId="77777777" w:rsidR="003035C7" w:rsidRDefault="003035C7">
      <w:r>
        <w:separator/>
      </w:r>
    </w:p>
  </w:endnote>
  <w:endnote w:type="continuationSeparator" w:id="0">
    <w:p w14:paraId="101677CF" w14:textId="77777777" w:rsidR="003035C7" w:rsidRDefault="0030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11388"/>
      <w:docPartObj>
        <w:docPartGallery w:val="Page Numbers (Bottom of Page)"/>
        <w:docPartUnique/>
      </w:docPartObj>
    </w:sdtPr>
    <w:sdtEndPr>
      <w:rPr>
        <w:noProof/>
        <w:sz w:val="22"/>
        <w:szCs w:val="22"/>
      </w:rPr>
    </w:sdtEndPr>
    <w:sdtContent>
      <w:p w14:paraId="4EC51A34" w14:textId="6B27E088" w:rsidR="00B4135F" w:rsidRPr="006E0EAA" w:rsidRDefault="00B4135F" w:rsidP="006E0EAA">
        <w:pPr>
          <w:pStyle w:val="Footer"/>
          <w:jc w:val="center"/>
          <w:rPr>
            <w:sz w:val="22"/>
            <w:szCs w:val="22"/>
          </w:rPr>
        </w:pPr>
        <w:r w:rsidRPr="006E0EAA">
          <w:rPr>
            <w:sz w:val="22"/>
            <w:szCs w:val="22"/>
          </w:rPr>
          <w:fldChar w:fldCharType="begin"/>
        </w:r>
        <w:r w:rsidRPr="006E0EAA">
          <w:rPr>
            <w:sz w:val="22"/>
            <w:szCs w:val="22"/>
          </w:rPr>
          <w:instrText xml:space="preserve"> PAGE   \* MERGEFORMAT </w:instrText>
        </w:r>
        <w:r w:rsidRPr="006E0EAA">
          <w:rPr>
            <w:sz w:val="22"/>
            <w:szCs w:val="22"/>
          </w:rPr>
          <w:fldChar w:fldCharType="separate"/>
        </w:r>
        <w:r w:rsidR="00DC22D6">
          <w:rPr>
            <w:noProof/>
            <w:sz w:val="22"/>
            <w:szCs w:val="22"/>
          </w:rPr>
          <w:t>21</w:t>
        </w:r>
        <w:r w:rsidRPr="006E0EAA">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4F64" w14:textId="77777777" w:rsidR="003035C7" w:rsidRDefault="003035C7">
      <w:r>
        <w:separator/>
      </w:r>
    </w:p>
  </w:footnote>
  <w:footnote w:type="continuationSeparator" w:id="0">
    <w:p w14:paraId="3C20828C" w14:textId="77777777" w:rsidR="003035C7" w:rsidRDefault="003035C7">
      <w:r>
        <w:continuationSeparator/>
      </w:r>
    </w:p>
  </w:footnote>
  <w:footnote w:id="1">
    <w:p w14:paraId="04461425" w14:textId="77777777" w:rsidR="00B4135F" w:rsidRPr="007A13F1" w:rsidRDefault="00B4135F" w:rsidP="00222387">
      <w:pPr>
        <w:pStyle w:val="FootnoteText"/>
        <w:rPr>
          <w:sz w:val="22"/>
          <w:szCs w:val="22"/>
        </w:rPr>
      </w:pPr>
      <w:r w:rsidRPr="007A13F1">
        <w:rPr>
          <w:rStyle w:val="FootnoteReference"/>
          <w:sz w:val="22"/>
          <w:szCs w:val="22"/>
        </w:rPr>
        <w:footnoteRef/>
      </w:r>
      <w:r w:rsidRPr="007A13F1">
        <w:rPr>
          <w:sz w:val="22"/>
          <w:szCs w:val="22"/>
        </w:rPr>
        <w:t xml:space="preserve"> </w:t>
      </w:r>
      <w:r w:rsidRPr="001E4826">
        <w:rPr>
          <w:sz w:val="22"/>
          <w:szCs w:val="22"/>
        </w:rPr>
        <w:t>Petition of NRG Energy, Inc. for Implementation of Electric Generation Supplier Consolidated Billing</w:t>
      </w:r>
      <w:r w:rsidRPr="001E4826">
        <w:rPr>
          <w:i/>
          <w:sz w:val="22"/>
          <w:szCs w:val="22"/>
        </w:rPr>
        <w:t xml:space="preserve"> </w:t>
      </w:r>
      <w:r w:rsidRPr="001E4826">
        <w:rPr>
          <w:sz w:val="22"/>
          <w:szCs w:val="22"/>
        </w:rPr>
        <w:t xml:space="preserve">at </w:t>
      </w:r>
      <w:r>
        <w:rPr>
          <w:sz w:val="22"/>
          <w:szCs w:val="22"/>
        </w:rPr>
        <w:t>2 (FN 1)</w:t>
      </w:r>
      <w:r w:rsidRPr="001E4826">
        <w:rPr>
          <w:sz w:val="22"/>
          <w:szCs w:val="22"/>
        </w:rPr>
        <w:t>, Docket No. P-2016-2579249 (Petition filed December 8, 2016) (NRG Petition).</w:t>
      </w:r>
    </w:p>
  </w:footnote>
  <w:footnote w:id="2">
    <w:p w14:paraId="0F7F7F19"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Investigation of Pennsylvania’s Retail Electricity Market:  End State of Default Service Final Order</w:t>
      </w:r>
      <w:r w:rsidRPr="009A2676">
        <w:rPr>
          <w:sz w:val="22"/>
          <w:szCs w:val="22"/>
        </w:rPr>
        <w:t xml:space="preserve"> at pgs. 11-12, Docket No. I-2011-2237952 (Order entered February 15, 2013)</w:t>
      </w:r>
      <w:r w:rsidRPr="009A2676">
        <w:rPr>
          <w:i/>
          <w:sz w:val="22"/>
          <w:szCs w:val="22"/>
        </w:rPr>
        <w:t xml:space="preserve"> </w:t>
      </w:r>
      <w:r w:rsidRPr="009A2676">
        <w:rPr>
          <w:sz w:val="22"/>
          <w:szCs w:val="22"/>
        </w:rPr>
        <w:t>(</w:t>
      </w:r>
      <w:r w:rsidRPr="009A2676">
        <w:rPr>
          <w:i/>
          <w:sz w:val="22"/>
          <w:szCs w:val="22"/>
        </w:rPr>
        <w:t>End State Final Order</w:t>
      </w:r>
      <w:r w:rsidRPr="009A2676">
        <w:rPr>
          <w:sz w:val="22"/>
          <w:szCs w:val="22"/>
        </w:rPr>
        <w:t>).</w:t>
      </w:r>
    </w:p>
  </w:footnote>
  <w:footnote w:id="3">
    <w:p w14:paraId="293BA9A4"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 xml:space="preserve">End State Final Order </w:t>
      </w:r>
      <w:r w:rsidRPr="009A2676">
        <w:rPr>
          <w:sz w:val="22"/>
          <w:szCs w:val="22"/>
        </w:rPr>
        <w:t>at pgs. 12-15.</w:t>
      </w:r>
    </w:p>
  </w:footnote>
  <w:footnote w:id="4">
    <w:p w14:paraId="664A5076" w14:textId="77777777" w:rsidR="00B4135F" w:rsidRPr="003A4157" w:rsidRDefault="00B4135F" w:rsidP="0007458E">
      <w:pPr>
        <w:pStyle w:val="FootnoteText"/>
        <w:rPr>
          <w:sz w:val="22"/>
          <w:szCs w:val="22"/>
        </w:rPr>
      </w:pPr>
      <w:r w:rsidRPr="003A4157">
        <w:rPr>
          <w:rStyle w:val="FootnoteReference"/>
          <w:sz w:val="22"/>
          <w:szCs w:val="22"/>
        </w:rPr>
        <w:footnoteRef/>
      </w:r>
      <w:r w:rsidRPr="003A4157">
        <w:rPr>
          <w:sz w:val="22"/>
          <w:szCs w:val="22"/>
        </w:rPr>
        <w:t xml:space="preserve"> </w:t>
      </w:r>
      <w:r w:rsidRPr="003A4157">
        <w:rPr>
          <w:i/>
          <w:sz w:val="22"/>
          <w:szCs w:val="22"/>
        </w:rPr>
        <w:t>See</w:t>
      </w:r>
      <w:r w:rsidRPr="003A4157">
        <w:rPr>
          <w:sz w:val="22"/>
          <w:szCs w:val="22"/>
        </w:rPr>
        <w:t xml:space="preserve"> PP&amp;L, Inc. Tariff Electric Pa. P.U.C. No. 1s. </w:t>
      </w:r>
    </w:p>
  </w:footnote>
  <w:footnote w:id="5">
    <w:p w14:paraId="70E7BDF6"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 xml:space="preserve">End State Final Order </w:t>
      </w:r>
      <w:r w:rsidRPr="009A2676">
        <w:rPr>
          <w:sz w:val="22"/>
          <w:szCs w:val="22"/>
        </w:rPr>
        <w:t>at pgs. 62-63.</w:t>
      </w:r>
    </w:p>
  </w:footnote>
  <w:footnote w:id="6">
    <w:p w14:paraId="056F67DA"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End State Final Order</w:t>
      </w:r>
      <w:r w:rsidRPr="009A2676">
        <w:rPr>
          <w:sz w:val="22"/>
          <w:szCs w:val="22"/>
        </w:rPr>
        <w:t xml:space="preserve"> at pgs. 63-64.</w:t>
      </w:r>
    </w:p>
  </w:footnote>
  <w:footnote w:id="7">
    <w:p w14:paraId="1DEFD5D0"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End State Final Order</w:t>
      </w:r>
      <w:r w:rsidRPr="009A2676">
        <w:rPr>
          <w:sz w:val="22"/>
          <w:szCs w:val="22"/>
        </w:rPr>
        <w:t xml:space="preserve"> at pgs. 66-67.</w:t>
      </w:r>
    </w:p>
  </w:footnote>
  <w:footnote w:id="8">
    <w:p w14:paraId="14EA4835"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 xml:space="preserve">End State Final Order </w:t>
      </w:r>
      <w:r w:rsidRPr="009A2676">
        <w:rPr>
          <w:sz w:val="22"/>
          <w:szCs w:val="22"/>
        </w:rPr>
        <w:t>at pg. 67.</w:t>
      </w:r>
    </w:p>
  </w:footnote>
  <w:footnote w:id="9">
    <w:p w14:paraId="7AE0E334"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End State Final Order</w:t>
      </w:r>
      <w:r w:rsidRPr="009A2676">
        <w:rPr>
          <w:sz w:val="22"/>
          <w:szCs w:val="22"/>
        </w:rPr>
        <w:t xml:space="preserve"> at pgs. 67-68.</w:t>
      </w:r>
    </w:p>
  </w:footnote>
  <w:footnote w:id="10">
    <w:p w14:paraId="20794CCF" w14:textId="77777777" w:rsidR="00B4135F" w:rsidRPr="009A2676" w:rsidRDefault="00B4135F">
      <w:pPr>
        <w:pStyle w:val="FootnoteText"/>
        <w:rPr>
          <w:sz w:val="22"/>
          <w:szCs w:val="22"/>
        </w:rPr>
      </w:pPr>
      <w:r w:rsidRPr="009A2676">
        <w:rPr>
          <w:rStyle w:val="FootnoteReference"/>
          <w:sz w:val="22"/>
          <w:szCs w:val="22"/>
        </w:rPr>
        <w:footnoteRef/>
      </w:r>
      <w:r w:rsidRPr="009A2676">
        <w:rPr>
          <w:sz w:val="22"/>
          <w:szCs w:val="22"/>
        </w:rPr>
        <w:t xml:space="preserve"> </w:t>
      </w:r>
      <w:r w:rsidRPr="009A2676">
        <w:rPr>
          <w:i/>
          <w:sz w:val="22"/>
          <w:szCs w:val="22"/>
        </w:rPr>
        <w:t xml:space="preserve">End State Final Order </w:t>
      </w:r>
      <w:r w:rsidRPr="009A2676">
        <w:rPr>
          <w:sz w:val="22"/>
          <w:szCs w:val="22"/>
        </w:rPr>
        <w:t>at pg. 68.</w:t>
      </w:r>
    </w:p>
  </w:footnote>
  <w:footnote w:id="11">
    <w:p w14:paraId="6884720B" w14:textId="77777777" w:rsidR="00B4135F" w:rsidRPr="0033398F" w:rsidRDefault="00B4135F">
      <w:pPr>
        <w:pStyle w:val="FootnoteText"/>
        <w:rPr>
          <w:sz w:val="22"/>
          <w:szCs w:val="22"/>
        </w:rPr>
      </w:pPr>
      <w:r w:rsidRPr="0033398F">
        <w:rPr>
          <w:rStyle w:val="FootnoteReference"/>
          <w:sz w:val="22"/>
          <w:szCs w:val="22"/>
        </w:rPr>
        <w:footnoteRef/>
      </w:r>
      <w:r w:rsidRPr="0033398F">
        <w:rPr>
          <w:sz w:val="22"/>
          <w:szCs w:val="22"/>
        </w:rPr>
        <w:t xml:space="preserve"> </w:t>
      </w:r>
      <w:r w:rsidRPr="0033398F">
        <w:rPr>
          <w:i/>
          <w:sz w:val="22"/>
          <w:szCs w:val="22"/>
        </w:rPr>
        <w:t>Investigation of Pennsylvania’s Retail Electricity Market:  Joint Electric Distribution Company – Electri</w:t>
      </w:r>
      <w:r>
        <w:rPr>
          <w:i/>
          <w:sz w:val="22"/>
          <w:szCs w:val="22"/>
        </w:rPr>
        <w:t>c Generation Supplier Bill Tentative</w:t>
      </w:r>
      <w:r w:rsidRPr="0033398F">
        <w:rPr>
          <w:i/>
          <w:sz w:val="22"/>
          <w:szCs w:val="22"/>
        </w:rPr>
        <w:t xml:space="preserve"> Order</w:t>
      </w:r>
      <w:r w:rsidRPr="0033398F">
        <w:rPr>
          <w:sz w:val="22"/>
          <w:szCs w:val="22"/>
        </w:rPr>
        <w:t>, Docket No. M-20</w:t>
      </w:r>
      <w:r>
        <w:rPr>
          <w:sz w:val="22"/>
          <w:szCs w:val="22"/>
        </w:rPr>
        <w:t>14-2401345 (Order entered February 6</w:t>
      </w:r>
      <w:r w:rsidRPr="0033398F">
        <w:rPr>
          <w:sz w:val="22"/>
          <w:szCs w:val="22"/>
        </w:rPr>
        <w:t>, 2014) (</w:t>
      </w:r>
      <w:r>
        <w:rPr>
          <w:i/>
          <w:sz w:val="22"/>
          <w:szCs w:val="22"/>
        </w:rPr>
        <w:t>Joint Bill Tentative</w:t>
      </w:r>
      <w:r w:rsidRPr="0033398F">
        <w:rPr>
          <w:i/>
          <w:sz w:val="22"/>
          <w:szCs w:val="22"/>
        </w:rPr>
        <w:t xml:space="preserve"> Order</w:t>
      </w:r>
      <w:r w:rsidRPr="0033398F">
        <w:rPr>
          <w:sz w:val="22"/>
          <w:szCs w:val="22"/>
        </w:rPr>
        <w:t>).</w:t>
      </w:r>
    </w:p>
  </w:footnote>
  <w:footnote w:id="12">
    <w:p w14:paraId="3C180FD3" w14:textId="77777777" w:rsidR="00B4135F" w:rsidRPr="00562726" w:rsidRDefault="00B4135F">
      <w:pPr>
        <w:pStyle w:val="FootnoteText"/>
        <w:rPr>
          <w:sz w:val="22"/>
          <w:szCs w:val="22"/>
        </w:rPr>
      </w:pPr>
      <w:r w:rsidRPr="00562726">
        <w:rPr>
          <w:rStyle w:val="FootnoteReference"/>
          <w:sz w:val="22"/>
          <w:szCs w:val="22"/>
        </w:rPr>
        <w:footnoteRef/>
      </w:r>
      <w:r w:rsidRPr="00562726">
        <w:rPr>
          <w:sz w:val="22"/>
          <w:szCs w:val="22"/>
        </w:rPr>
        <w:t xml:space="preserve"> </w:t>
      </w:r>
      <w:r w:rsidRPr="00562726">
        <w:rPr>
          <w:i/>
          <w:sz w:val="22"/>
          <w:szCs w:val="22"/>
        </w:rPr>
        <w:t>Investigation of Pennsylvania’s Retail Electricity Market:  Joint Electric Distribution Company – Electric Generation Supplier Bill Final Order</w:t>
      </w:r>
      <w:r w:rsidRPr="00562726">
        <w:rPr>
          <w:sz w:val="22"/>
          <w:szCs w:val="22"/>
        </w:rPr>
        <w:t xml:space="preserve"> at pgs. 3-20, Docket No. M-2014-2401345 (Order entered May 23, 2014) (</w:t>
      </w:r>
      <w:r w:rsidRPr="00562726">
        <w:rPr>
          <w:i/>
          <w:sz w:val="22"/>
          <w:szCs w:val="22"/>
        </w:rPr>
        <w:t>Joint Bill Final Order</w:t>
      </w:r>
      <w:r w:rsidRPr="00562726">
        <w:rPr>
          <w:sz w:val="22"/>
          <w:szCs w:val="22"/>
        </w:rPr>
        <w:t>).</w:t>
      </w:r>
    </w:p>
  </w:footnote>
  <w:footnote w:id="13">
    <w:p w14:paraId="0223E6DA" w14:textId="77777777" w:rsidR="00B4135F" w:rsidRPr="00562726" w:rsidRDefault="00B4135F">
      <w:pPr>
        <w:pStyle w:val="FootnoteText"/>
        <w:rPr>
          <w:sz w:val="22"/>
          <w:szCs w:val="22"/>
        </w:rPr>
      </w:pPr>
      <w:r w:rsidRPr="00562726">
        <w:rPr>
          <w:rStyle w:val="FootnoteReference"/>
          <w:sz w:val="22"/>
          <w:szCs w:val="22"/>
        </w:rPr>
        <w:footnoteRef/>
      </w:r>
      <w:r w:rsidRPr="00562726">
        <w:rPr>
          <w:sz w:val="22"/>
          <w:szCs w:val="22"/>
        </w:rPr>
        <w:t xml:space="preserve"> </w:t>
      </w:r>
      <w:r w:rsidRPr="00562726">
        <w:rPr>
          <w:i/>
          <w:sz w:val="22"/>
          <w:szCs w:val="22"/>
        </w:rPr>
        <w:t xml:space="preserve">Joint Bill Final Order </w:t>
      </w:r>
      <w:r w:rsidRPr="00562726">
        <w:rPr>
          <w:sz w:val="22"/>
          <w:szCs w:val="22"/>
        </w:rPr>
        <w:t>at pgs. 20, 22-24, &amp; 26-28.</w:t>
      </w:r>
    </w:p>
  </w:footnote>
  <w:footnote w:id="14">
    <w:p w14:paraId="365BDA77" w14:textId="77777777" w:rsidR="00B4135F" w:rsidRPr="00562726" w:rsidRDefault="00B4135F">
      <w:pPr>
        <w:pStyle w:val="FootnoteText"/>
        <w:rPr>
          <w:sz w:val="22"/>
          <w:szCs w:val="22"/>
        </w:rPr>
      </w:pPr>
      <w:r w:rsidRPr="00562726">
        <w:rPr>
          <w:rStyle w:val="FootnoteReference"/>
          <w:sz w:val="22"/>
          <w:szCs w:val="22"/>
        </w:rPr>
        <w:footnoteRef/>
      </w:r>
      <w:r w:rsidRPr="00562726">
        <w:rPr>
          <w:sz w:val="22"/>
          <w:szCs w:val="22"/>
        </w:rPr>
        <w:t xml:space="preserve"> </w:t>
      </w:r>
      <w:r>
        <w:rPr>
          <w:sz w:val="22"/>
          <w:szCs w:val="22"/>
        </w:rPr>
        <w:t xml:space="preserve">NRG </w:t>
      </w:r>
      <w:r w:rsidRPr="00B11957">
        <w:rPr>
          <w:sz w:val="22"/>
          <w:szCs w:val="22"/>
        </w:rPr>
        <w:t>Petition</w:t>
      </w:r>
      <w:r w:rsidRPr="00562726">
        <w:rPr>
          <w:i/>
          <w:sz w:val="22"/>
          <w:szCs w:val="22"/>
        </w:rPr>
        <w:t xml:space="preserve"> </w:t>
      </w:r>
      <w:r w:rsidRPr="00562726">
        <w:rPr>
          <w:sz w:val="22"/>
          <w:szCs w:val="22"/>
        </w:rPr>
        <w:t>at ¶¶ 1-3.</w:t>
      </w:r>
    </w:p>
  </w:footnote>
  <w:footnote w:id="15">
    <w:p w14:paraId="7CD8D395" w14:textId="77777777" w:rsidR="00B4135F" w:rsidRPr="0035645F" w:rsidRDefault="00B4135F">
      <w:pPr>
        <w:pStyle w:val="FootnoteText"/>
        <w:rPr>
          <w:sz w:val="22"/>
        </w:rPr>
      </w:pPr>
      <w:r w:rsidRPr="0035645F">
        <w:rPr>
          <w:rStyle w:val="FootnoteReference"/>
          <w:sz w:val="22"/>
        </w:rPr>
        <w:footnoteRef/>
      </w:r>
      <w:r w:rsidRPr="0035645F">
        <w:rPr>
          <w:sz w:val="22"/>
        </w:rPr>
        <w:t xml:space="preserve"> NRG Petition at 8-9.</w:t>
      </w:r>
    </w:p>
  </w:footnote>
  <w:footnote w:id="16">
    <w:p w14:paraId="2539EF7F" w14:textId="77777777" w:rsidR="00B4135F" w:rsidRPr="00D05F59" w:rsidRDefault="00B4135F">
      <w:pPr>
        <w:pStyle w:val="FootnoteText"/>
        <w:rPr>
          <w:sz w:val="22"/>
          <w:szCs w:val="22"/>
        </w:rPr>
      </w:pPr>
      <w:r w:rsidRPr="00D05F59">
        <w:rPr>
          <w:rStyle w:val="FootnoteReference"/>
          <w:sz w:val="22"/>
          <w:szCs w:val="22"/>
        </w:rPr>
        <w:footnoteRef/>
      </w:r>
      <w:r w:rsidRPr="00D05F59">
        <w:rPr>
          <w:sz w:val="22"/>
          <w:szCs w:val="22"/>
        </w:rPr>
        <w:t xml:space="preserve"> </w:t>
      </w:r>
      <w:r w:rsidRPr="00B11957">
        <w:rPr>
          <w:sz w:val="22"/>
          <w:szCs w:val="22"/>
        </w:rPr>
        <w:t>NRG Petition</w:t>
      </w:r>
      <w:r w:rsidRPr="00D05F59">
        <w:rPr>
          <w:i/>
          <w:sz w:val="22"/>
          <w:szCs w:val="22"/>
        </w:rPr>
        <w:t xml:space="preserve"> </w:t>
      </w:r>
      <w:r w:rsidRPr="00D05F59">
        <w:rPr>
          <w:sz w:val="22"/>
          <w:szCs w:val="22"/>
        </w:rPr>
        <w:t>at ¶¶ 4-7.</w:t>
      </w:r>
    </w:p>
  </w:footnote>
  <w:footnote w:id="17">
    <w:p w14:paraId="3AA5920F"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i/>
          <w:sz w:val="22"/>
          <w:szCs w:val="22"/>
        </w:rPr>
        <w:t xml:space="preserve"> </w:t>
      </w:r>
      <w:r w:rsidRPr="002A1AF2">
        <w:rPr>
          <w:sz w:val="22"/>
          <w:szCs w:val="22"/>
        </w:rPr>
        <w:t>at ¶ 10.</w:t>
      </w:r>
    </w:p>
  </w:footnote>
  <w:footnote w:id="18">
    <w:p w14:paraId="7CE128C1"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i/>
          <w:sz w:val="22"/>
          <w:szCs w:val="22"/>
        </w:rPr>
        <w:t xml:space="preserve"> </w:t>
      </w:r>
      <w:r w:rsidRPr="002A1AF2">
        <w:rPr>
          <w:sz w:val="22"/>
          <w:szCs w:val="22"/>
        </w:rPr>
        <w:t>at ¶ 11.</w:t>
      </w:r>
    </w:p>
  </w:footnote>
  <w:footnote w:id="19">
    <w:p w14:paraId="64E5761D"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i/>
          <w:sz w:val="22"/>
          <w:szCs w:val="22"/>
        </w:rPr>
        <w:t xml:space="preserve"> </w:t>
      </w:r>
      <w:r w:rsidRPr="002A1AF2">
        <w:rPr>
          <w:sz w:val="22"/>
          <w:szCs w:val="22"/>
        </w:rPr>
        <w:t>at ¶¶ 12-15.</w:t>
      </w:r>
    </w:p>
  </w:footnote>
  <w:footnote w:id="20">
    <w:p w14:paraId="51F11611"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i/>
          <w:sz w:val="22"/>
          <w:szCs w:val="22"/>
        </w:rPr>
        <w:t xml:space="preserve"> </w:t>
      </w:r>
      <w:r w:rsidRPr="002A1AF2">
        <w:rPr>
          <w:sz w:val="22"/>
          <w:szCs w:val="22"/>
        </w:rPr>
        <w:t>at ¶¶ 16-17.</w:t>
      </w:r>
    </w:p>
  </w:footnote>
  <w:footnote w:id="21">
    <w:p w14:paraId="28E87AB8" w14:textId="77777777" w:rsidR="00B4135F" w:rsidRPr="001B11DF" w:rsidRDefault="00B4135F">
      <w:pPr>
        <w:pStyle w:val="FootnoteText"/>
        <w:rPr>
          <w:sz w:val="22"/>
          <w:szCs w:val="22"/>
        </w:rPr>
      </w:pPr>
      <w:r>
        <w:rPr>
          <w:rStyle w:val="FootnoteReference"/>
        </w:rPr>
        <w:footnoteRef/>
      </w:r>
      <w:r>
        <w:t xml:space="preserve"> </w:t>
      </w:r>
      <w:r>
        <w:rPr>
          <w:sz w:val="22"/>
          <w:szCs w:val="22"/>
        </w:rPr>
        <w:t>NRG Petition at ¶ 15</w:t>
      </w:r>
    </w:p>
  </w:footnote>
  <w:footnote w:id="22">
    <w:p w14:paraId="79B8B7F0"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sz w:val="22"/>
          <w:szCs w:val="22"/>
        </w:rPr>
        <w:t xml:space="preserve"> at ¶¶ 26-28, 34, 54.</w:t>
      </w:r>
    </w:p>
  </w:footnote>
  <w:footnote w:id="23">
    <w:p w14:paraId="3E755CE3" w14:textId="77777777" w:rsidR="00B4135F" w:rsidRPr="002A1AF2" w:rsidRDefault="00B4135F">
      <w:pPr>
        <w:pStyle w:val="FootnoteText"/>
        <w:rPr>
          <w:sz w:val="22"/>
          <w:szCs w:val="22"/>
        </w:rPr>
      </w:pPr>
      <w:r w:rsidRPr="002A1AF2">
        <w:rPr>
          <w:rStyle w:val="FootnoteReference"/>
          <w:sz w:val="22"/>
          <w:szCs w:val="22"/>
        </w:rPr>
        <w:footnoteRef/>
      </w:r>
      <w:r w:rsidRPr="002A1AF2">
        <w:rPr>
          <w:sz w:val="22"/>
          <w:szCs w:val="22"/>
        </w:rPr>
        <w:t xml:space="preserve"> </w:t>
      </w:r>
      <w:r w:rsidRPr="00B11957">
        <w:rPr>
          <w:sz w:val="22"/>
          <w:szCs w:val="22"/>
        </w:rPr>
        <w:t>NRG Petition</w:t>
      </w:r>
      <w:r w:rsidRPr="002A1AF2">
        <w:rPr>
          <w:i/>
          <w:sz w:val="22"/>
          <w:szCs w:val="22"/>
        </w:rPr>
        <w:t xml:space="preserve"> </w:t>
      </w:r>
      <w:r w:rsidRPr="002A1AF2">
        <w:rPr>
          <w:sz w:val="22"/>
          <w:szCs w:val="22"/>
        </w:rPr>
        <w:t>at ¶¶ 29-30.</w:t>
      </w:r>
    </w:p>
  </w:footnote>
  <w:footnote w:id="24">
    <w:p w14:paraId="37793D1E"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31-32.</w:t>
      </w:r>
    </w:p>
  </w:footnote>
  <w:footnote w:id="25">
    <w:p w14:paraId="412A7AC5"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33.</w:t>
      </w:r>
    </w:p>
  </w:footnote>
  <w:footnote w:id="26">
    <w:p w14:paraId="15B4AD5D"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37a.</w:t>
      </w:r>
    </w:p>
  </w:footnote>
  <w:footnote w:id="27">
    <w:p w14:paraId="4F6B7B70"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37b, c, &amp; f.</w:t>
      </w:r>
    </w:p>
  </w:footnote>
  <w:footnote w:id="28">
    <w:p w14:paraId="696B496F"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37e.</w:t>
      </w:r>
    </w:p>
  </w:footnote>
  <w:footnote w:id="29">
    <w:p w14:paraId="53ED07AE"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37d.</w:t>
      </w:r>
    </w:p>
  </w:footnote>
  <w:footnote w:id="30">
    <w:p w14:paraId="474C8EAE" w14:textId="77777777" w:rsidR="00B4135F" w:rsidRPr="00362B6E" w:rsidRDefault="00B4135F" w:rsidP="00AF298E">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38.</w:t>
      </w:r>
    </w:p>
  </w:footnote>
  <w:footnote w:id="31">
    <w:p w14:paraId="5F0A7556"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sz w:val="22"/>
          <w:szCs w:val="22"/>
        </w:rPr>
        <w:t xml:space="preserve"> at ¶¶ 39-43.</w:t>
      </w:r>
    </w:p>
  </w:footnote>
  <w:footnote w:id="32">
    <w:p w14:paraId="2F445310"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i/>
          <w:sz w:val="22"/>
          <w:szCs w:val="22"/>
        </w:rPr>
        <w:t xml:space="preserve"> </w:t>
      </w:r>
      <w:r w:rsidRPr="00362B6E">
        <w:rPr>
          <w:sz w:val="22"/>
          <w:szCs w:val="22"/>
        </w:rPr>
        <w:t>at ¶ 44.</w:t>
      </w:r>
    </w:p>
  </w:footnote>
  <w:footnote w:id="33">
    <w:p w14:paraId="6B335916"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i/>
          <w:sz w:val="22"/>
          <w:szCs w:val="22"/>
        </w:rPr>
        <w:t xml:space="preserve"> </w:t>
      </w:r>
      <w:r w:rsidRPr="00362B6E">
        <w:rPr>
          <w:sz w:val="22"/>
          <w:szCs w:val="22"/>
        </w:rPr>
        <w:t>at ¶¶ 45-46.</w:t>
      </w:r>
    </w:p>
  </w:footnote>
  <w:footnote w:id="34">
    <w:p w14:paraId="2BED9DC0" w14:textId="77777777" w:rsidR="00B4135F" w:rsidRPr="00362B6E" w:rsidRDefault="00B4135F">
      <w:pPr>
        <w:pStyle w:val="FootnoteText"/>
        <w:rPr>
          <w:sz w:val="22"/>
          <w:szCs w:val="22"/>
        </w:rPr>
      </w:pPr>
      <w:r w:rsidRPr="00362B6E">
        <w:rPr>
          <w:rStyle w:val="FootnoteReference"/>
          <w:sz w:val="22"/>
          <w:szCs w:val="22"/>
        </w:rPr>
        <w:footnoteRef/>
      </w:r>
      <w:r w:rsidRPr="00362B6E">
        <w:rPr>
          <w:sz w:val="22"/>
          <w:szCs w:val="22"/>
        </w:rPr>
        <w:t xml:space="preserve"> </w:t>
      </w:r>
      <w:r w:rsidRPr="00B11957">
        <w:rPr>
          <w:sz w:val="22"/>
          <w:szCs w:val="22"/>
        </w:rPr>
        <w:t>NRG Petition</w:t>
      </w:r>
      <w:r w:rsidRPr="00362B6E">
        <w:rPr>
          <w:i/>
          <w:sz w:val="22"/>
          <w:szCs w:val="22"/>
        </w:rPr>
        <w:t xml:space="preserve"> </w:t>
      </w:r>
      <w:r w:rsidRPr="00362B6E">
        <w:rPr>
          <w:sz w:val="22"/>
          <w:szCs w:val="22"/>
        </w:rPr>
        <w:t>at ¶¶ 48-51.</w:t>
      </w:r>
    </w:p>
  </w:footnote>
  <w:footnote w:id="35">
    <w:p w14:paraId="55C992DC" w14:textId="77777777" w:rsidR="00B4135F" w:rsidRPr="0029417F" w:rsidRDefault="00B4135F">
      <w:pPr>
        <w:pStyle w:val="FootnoteText"/>
        <w:rPr>
          <w:sz w:val="22"/>
          <w:szCs w:val="22"/>
        </w:rPr>
      </w:pPr>
      <w:r w:rsidRPr="0029417F">
        <w:rPr>
          <w:rStyle w:val="FootnoteReference"/>
          <w:sz w:val="22"/>
          <w:szCs w:val="22"/>
        </w:rPr>
        <w:footnoteRef/>
      </w:r>
      <w:r w:rsidRPr="0029417F">
        <w:rPr>
          <w:sz w:val="22"/>
          <w:szCs w:val="22"/>
        </w:rPr>
        <w:t xml:space="preserve"> </w:t>
      </w:r>
      <w:r w:rsidRPr="00B11957">
        <w:rPr>
          <w:sz w:val="22"/>
          <w:szCs w:val="22"/>
        </w:rPr>
        <w:t>NRG Petition</w:t>
      </w:r>
      <w:r w:rsidRPr="0029417F">
        <w:rPr>
          <w:i/>
          <w:sz w:val="22"/>
          <w:szCs w:val="22"/>
        </w:rPr>
        <w:t xml:space="preserve"> </w:t>
      </w:r>
      <w:r w:rsidRPr="0029417F">
        <w:rPr>
          <w:sz w:val="22"/>
          <w:szCs w:val="22"/>
        </w:rPr>
        <w:t>at ¶¶ 52-53.</w:t>
      </w:r>
    </w:p>
  </w:footnote>
  <w:footnote w:id="36">
    <w:p w14:paraId="3113E008" w14:textId="77777777" w:rsidR="00B4135F" w:rsidRPr="0029417F" w:rsidRDefault="00B4135F">
      <w:pPr>
        <w:pStyle w:val="FootnoteText"/>
        <w:rPr>
          <w:sz w:val="22"/>
          <w:szCs w:val="22"/>
        </w:rPr>
      </w:pPr>
      <w:r w:rsidRPr="0029417F">
        <w:rPr>
          <w:rStyle w:val="FootnoteReference"/>
          <w:sz w:val="22"/>
          <w:szCs w:val="22"/>
        </w:rPr>
        <w:footnoteRef/>
      </w:r>
      <w:r w:rsidRPr="0029417F">
        <w:rPr>
          <w:sz w:val="22"/>
          <w:szCs w:val="22"/>
        </w:rPr>
        <w:t xml:space="preserve"> </w:t>
      </w:r>
      <w:r w:rsidRPr="00B11957">
        <w:rPr>
          <w:sz w:val="22"/>
          <w:szCs w:val="22"/>
        </w:rPr>
        <w:t>NRG Petition</w:t>
      </w:r>
      <w:r w:rsidRPr="0029417F">
        <w:rPr>
          <w:i/>
          <w:sz w:val="22"/>
          <w:szCs w:val="22"/>
        </w:rPr>
        <w:t xml:space="preserve"> </w:t>
      </w:r>
      <w:r w:rsidRPr="0029417F">
        <w:rPr>
          <w:sz w:val="22"/>
          <w:szCs w:val="22"/>
        </w:rPr>
        <w:t>at ¶¶ 55-58.</w:t>
      </w:r>
    </w:p>
  </w:footnote>
  <w:footnote w:id="37">
    <w:p w14:paraId="62867223" w14:textId="77777777" w:rsidR="00B4135F" w:rsidRPr="0084602E" w:rsidRDefault="00B4135F">
      <w:pPr>
        <w:pStyle w:val="FootnoteText"/>
        <w:rPr>
          <w:sz w:val="22"/>
          <w:szCs w:val="22"/>
        </w:rPr>
      </w:pPr>
      <w:r w:rsidRPr="0084602E">
        <w:rPr>
          <w:rStyle w:val="FootnoteReference"/>
          <w:sz w:val="22"/>
          <w:szCs w:val="22"/>
        </w:rPr>
        <w:footnoteRef/>
      </w:r>
      <w:r w:rsidRPr="0084602E">
        <w:rPr>
          <w:sz w:val="22"/>
          <w:szCs w:val="22"/>
        </w:rPr>
        <w:t xml:space="preserve"> </w:t>
      </w:r>
      <w:r w:rsidRPr="00B11957">
        <w:rPr>
          <w:sz w:val="22"/>
          <w:szCs w:val="22"/>
        </w:rPr>
        <w:t>NRG Petition</w:t>
      </w:r>
      <w:r w:rsidRPr="0084602E">
        <w:rPr>
          <w:i/>
          <w:sz w:val="22"/>
          <w:szCs w:val="22"/>
        </w:rPr>
        <w:t xml:space="preserve"> </w:t>
      </w:r>
      <w:r w:rsidRPr="0084602E">
        <w:rPr>
          <w:sz w:val="22"/>
          <w:szCs w:val="22"/>
        </w:rPr>
        <w:t>at ¶¶ 59-62.</w:t>
      </w:r>
    </w:p>
  </w:footnote>
  <w:footnote w:id="38">
    <w:p w14:paraId="5AD5A3BF" w14:textId="77777777" w:rsidR="00B4135F" w:rsidRPr="0084602E" w:rsidRDefault="00B4135F">
      <w:pPr>
        <w:pStyle w:val="FootnoteText"/>
        <w:rPr>
          <w:sz w:val="22"/>
          <w:szCs w:val="22"/>
        </w:rPr>
      </w:pPr>
      <w:r w:rsidRPr="0084602E">
        <w:rPr>
          <w:rStyle w:val="FootnoteReference"/>
          <w:sz w:val="22"/>
          <w:szCs w:val="22"/>
        </w:rPr>
        <w:footnoteRef/>
      </w:r>
      <w:r w:rsidRPr="0084602E">
        <w:rPr>
          <w:sz w:val="22"/>
          <w:szCs w:val="22"/>
        </w:rPr>
        <w:t xml:space="preserve"> </w:t>
      </w:r>
      <w:r w:rsidRPr="00B11957">
        <w:rPr>
          <w:sz w:val="22"/>
          <w:szCs w:val="22"/>
        </w:rPr>
        <w:t>NRG Petition</w:t>
      </w:r>
      <w:r w:rsidRPr="0084602E">
        <w:rPr>
          <w:i/>
          <w:sz w:val="22"/>
          <w:szCs w:val="22"/>
        </w:rPr>
        <w:t xml:space="preserve"> </w:t>
      </w:r>
      <w:r w:rsidRPr="0084602E">
        <w:rPr>
          <w:sz w:val="22"/>
          <w:szCs w:val="22"/>
        </w:rPr>
        <w:t>at ¶ 63.</w:t>
      </w:r>
    </w:p>
  </w:footnote>
  <w:footnote w:id="39">
    <w:p w14:paraId="50F7B9F7" w14:textId="77777777" w:rsidR="00B4135F" w:rsidRPr="0084602E" w:rsidRDefault="00B4135F">
      <w:pPr>
        <w:pStyle w:val="FootnoteText"/>
        <w:rPr>
          <w:sz w:val="22"/>
          <w:szCs w:val="22"/>
        </w:rPr>
      </w:pPr>
      <w:r w:rsidRPr="0084602E">
        <w:rPr>
          <w:rStyle w:val="FootnoteReference"/>
          <w:sz w:val="22"/>
          <w:szCs w:val="22"/>
        </w:rPr>
        <w:footnoteRef/>
      </w:r>
      <w:r w:rsidRPr="0084602E">
        <w:rPr>
          <w:sz w:val="22"/>
          <w:szCs w:val="22"/>
        </w:rPr>
        <w:t xml:space="preserve"> </w:t>
      </w:r>
      <w:r w:rsidRPr="00B11957">
        <w:rPr>
          <w:sz w:val="22"/>
          <w:szCs w:val="22"/>
        </w:rPr>
        <w:t>NRG Petition</w:t>
      </w:r>
      <w:r w:rsidRPr="0084602E">
        <w:rPr>
          <w:i/>
          <w:sz w:val="22"/>
          <w:szCs w:val="22"/>
        </w:rPr>
        <w:t xml:space="preserve"> </w:t>
      </w:r>
      <w:r w:rsidRPr="0084602E">
        <w:rPr>
          <w:sz w:val="22"/>
          <w:szCs w:val="22"/>
        </w:rPr>
        <w:t>at ¶¶ 64-67.</w:t>
      </w:r>
    </w:p>
  </w:footnote>
  <w:footnote w:id="40">
    <w:p w14:paraId="4AA621EE" w14:textId="77777777" w:rsidR="00B4135F" w:rsidRPr="0084602E" w:rsidRDefault="00B4135F">
      <w:pPr>
        <w:pStyle w:val="FootnoteText"/>
        <w:rPr>
          <w:sz w:val="22"/>
          <w:szCs w:val="22"/>
        </w:rPr>
      </w:pPr>
      <w:r w:rsidRPr="0084602E">
        <w:rPr>
          <w:rStyle w:val="FootnoteReference"/>
          <w:sz w:val="22"/>
          <w:szCs w:val="22"/>
        </w:rPr>
        <w:footnoteRef/>
      </w:r>
      <w:r w:rsidRPr="0084602E">
        <w:rPr>
          <w:sz w:val="22"/>
          <w:szCs w:val="22"/>
        </w:rPr>
        <w:t xml:space="preserve"> </w:t>
      </w:r>
      <w:r w:rsidRPr="00B11957">
        <w:rPr>
          <w:sz w:val="22"/>
          <w:szCs w:val="22"/>
        </w:rPr>
        <w:t>NRG Petition</w:t>
      </w:r>
      <w:r w:rsidRPr="0084602E">
        <w:rPr>
          <w:i/>
          <w:sz w:val="22"/>
          <w:szCs w:val="22"/>
        </w:rPr>
        <w:t xml:space="preserve"> </w:t>
      </w:r>
      <w:r w:rsidRPr="0084602E">
        <w:rPr>
          <w:sz w:val="22"/>
          <w:szCs w:val="22"/>
        </w:rPr>
        <w:t>at ¶ 68.</w:t>
      </w:r>
    </w:p>
  </w:footnote>
  <w:footnote w:id="41">
    <w:p w14:paraId="62708233" w14:textId="77777777" w:rsidR="00B4135F" w:rsidRPr="006E0EAA" w:rsidRDefault="00B4135F">
      <w:pPr>
        <w:pStyle w:val="FootnoteText"/>
        <w:rPr>
          <w:sz w:val="22"/>
          <w:szCs w:val="22"/>
        </w:rPr>
      </w:pPr>
      <w:r w:rsidRPr="006E0EAA">
        <w:rPr>
          <w:rStyle w:val="FootnoteReference"/>
          <w:sz w:val="22"/>
          <w:szCs w:val="22"/>
        </w:rPr>
        <w:footnoteRef/>
      </w:r>
      <w:r w:rsidRPr="006E0EAA">
        <w:rPr>
          <w:sz w:val="22"/>
          <w:szCs w:val="22"/>
        </w:rPr>
        <w:t xml:space="preserve"> NRG Petition at ¶¶ 15, 69-75.</w:t>
      </w:r>
    </w:p>
  </w:footnote>
  <w:footnote w:id="42">
    <w:p w14:paraId="113FB719" w14:textId="77777777" w:rsidR="00B4135F" w:rsidRPr="006E0EAA" w:rsidRDefault="00B4135F">
      <w:pPr>
        <w:pStyle w:val="FootnoteText"/>
        <w:rPr>
          <w:sz w:val="22"/>
          <w:szCs w:val="22"/>
        </w:rPr>
      </w:pPr>
      <w:r w:rsidRPr="006E0EAA">
        <w:rPr>
          <w:rStyle w:val="FootnoteReference"/>
          <w:sz w:val="22"/>
          <w:szCs w:val="22"/>
        </w:rPr>
        <w:footnoteRef/>
      </w:r>
      <w:r w:rsidRPr="006E0EAA">
        <w:rPr>
          <w:sz w:val="22"/>
          <w:szCs w:val="22"/>
        </w:rPr>
        <w:t xml:space="preserve"> Calpine Comments at 2-3.</w:t>
      </w:r>
    </w:p>
  </w:footnote>
  <w:footnote w:id="43">
    <w:p w14:paraId="545FE205" w14:textId="77777777" w:rsidR="00B4135F" w:rsidRPr="006E0EAA" w:rsidRDefault="00B4135F">
      <w:pPr>
        <w:pStyle w:val="FootnoteText"/>
        <w:rPr>
          <w:sz w:val="22"/>
          <w:szCs w:val="22"/>
        </w:rPr>
      </w:pPr>
      <w:r w:rsidRPr="006E0EAA">
        <w:rPr>
          <w:rStyle w:val="FootnoteReference"/>
          <w:sz w:val="22"/>
          <w:szCs w:val="22"/>
        </w:rPr>
        <w:footnoteRef/>
      </w:r>
      <w:r w:rsidRPr="006E0EAA">
        <w:rPr>
          <w:sz w:val="22"/>
          <w:szCs w:val="22"/>
        </w:rPr>
        <w:t xml:space="preserve"> NRG Petition at ¶¶ 16, 69; Reply Comments at 42-48.</w:t>
      </w:r>
    </w:p>
  </w:footnote>
  <w:footnote w:id="44">
    <w:p w14:paraId="7D6EAC89" w14:textId="77777777" w:rsidR="00B4135F" w:rsidRPr="00F82D9A" w:rsidRDefault="00B4135F">
      <w:pPr>
        <w:pStyle w:val="FootnoteText"/>
        <w:rPr>
          <w:sz w:val="22"/>
        </w:rPr>
      </w:pPr>
      <w:r w:rsidRPr="006E0EAA">
        <w:rPr>
          <w:rStyle w:val="FootnoteReference"/>
          <w:sz w:val="22"/>
          <w:szCs w:val="22"/>
        </w:rPr>
        <w:footnoteRef/>
      </w:r>
      <w:r w:rsidRPr="006E0EAA">
        <w:rPr>
          <w:sz w:val="22"/>
          <w:szCs w:val="22"/>
        </w:rPr>
        <w:t xml:space="preserve"> CAUSE PA Answer at ¶¶ 15-16; OSBA Comments at 3-4; PA AFL-CIO Comments at 4-7; PECO at 9</w:t>
      </w:r>
      <w:r>
        <w:rPr>
          <w:sz w:val="22"/>
          <w:szCs w:val="22"/>
        </w:rPr>
        <w:noBreakHyphen/>
      </w:r>
      <w:r w:rsidRPr="006E0EAA">
        <w:rPr>
          <w:sz w:val="22"/>
          <w:szCs w:val="22"/>
        </w:rPr>
        <w:t>11; PPL Comments at 23-25; and TURN Comments at 4-11.</w:t>
      </w:r>
    </w:p>
  </w:footnote>
  <w:footnote w:id="45">
    <w:p w14:paraId="19DDF1FE" w14:textId="77777777" w:rsidR="00B4135F" w:rsidRPr="002311D6" w:rsidRDefault="00B4135F">
      <w:pPr>
        <w:pStyle w:val="FootnoteText"/>
        <w:rPr>
          <w:sz w:val="22"/>
        </w:rPr>
      </w:pPr>
      <w:r w:rsidRPr="002311D6">
        <w:rPr>
          <w:rStyle w:val="FootnoteReference"/>
          <w:sz w:val="22"/>
        </w:rPr>
        <w:footnoteRef/>
      </w:r>
      <w:r w:rsidRPr="002311D6">
        <w:rPr>
          <w:sz w:val="22"/>
        </w:rPr>
        <w:t xml:space="preserve"> 66 Pa. C.S. Ch. 14.</w:t>
      </w:r>
    </w:p>
  </w:footnote>
  <w:footnote w:id="46">
    <w:p w14:paraId="7299583D" w14:textId="77777777" w:rsidR="00B4135F" w:rsidRPr="002311D6" w:rsidRDefault="00B4135F">
      <w:pPr>
        <w:pStyle w:val="FootnoteText"/>
        <w:rPr>
          <w:sz w:val="22"/>
        </w:rPr>
      </w:pPr>
      <w:r w:rsidRPr="002311D6">
        <w:rPr>
          <w:rStyle w:val="FootnoteReference"/>
          <w:sz w:val="22"/>
        </w:rPr>
        <w:footnoteRef/>
      </w:r>
      <w:r w:rsidRPr="002311D6">
        <w:rPr>
          <w:sz w:val="22"/>
        </w:rPr>
        <w:t xml:space="preserve"> 52 Pa. Code Ch. 56.</w:t>
      </w:r>
    </w:p>
  </w:footnote>
  <w:footnote w:id="47">
    <w:p w14:paraId="7FDB1A7C" w14:textId="77777777" w:rsidR="00B4135F" w:rsidRPr="00323014" w:rsidRDefault="00B4135F">
      <w:pPr>
        <w:pStyle w:val="FootnoteText"/>
        <w:rPr>
          <w:sz w:val="22"/>
        </w:rPr>
      </w:pPr>
      <w:r w:rsidRPr="00323014">
        <w:rPr>
          <w:rStyle w:val="FootnoteReference"/>
          <w:sz w:val="22"/>
        </w:rPr>
        <w:footnoteRef/>
      </w:r>
      <w:r w:rsidRPr="00323014">
        <w:rPr>
          <w:sz w:val="22"/>
        </w:rPr>
        <w:t xml:space="preserve"> NRG Petition at ¶ 30.</w:t>
      </w:r>
    </w:p>
  </w:footnote>
  <w:footnote w:id="48">
    <w:p w14:paraId="139410D8" w14:textId="77777777" w:rsidR="00B4135F" w:rsidRPr="00323014" w:rsidRDefault="00B4135F">
      <w:pPr>
        <w:pStyle w:val="FootnoteText"/>
        <w:rPr>
          <w:sz w:val="22"/>
        </w:rPr>
      </w:pPr>
      <w:r w:rsidRPr="00323014">
        <w:rPr>
          <w:rStyle w:val="FootnoteReference"/>
          <w:sz w:val="22"/>
        </w:rPr>
        <w:footnoteRef/>
      </w:r>
      <w:r w:rsidRPr="00323014">
        <w:rPr>
          <w:sz w:val="22"/>
        </w:rPr>
        <w:t xml:space="preserve"> NRG Petition</w:t>
      </w:r>
      <w:r>
        <w:rPr>
          <w:sz w:val="22"/>
        </w:rPr>
        <w:t xml:space="preserve"> at</w:t>
      </w:r>
      <w:r w:rsidRPr="00323014">
        <w:rPr>
          <w:sz w:val="22"/>
        </w:rPr>
        <w:t xml:space="preserve"> Appendix A, Question #2 and ¶ 30 (FN 50).</w:t>
      </w:r>
    </w:p>
  </w:footnote>
  <w:footnote w:id="49">
    <w:p w14:paraId="3256E372" w14:textId="77777777" w:rsidR="00B4135F" w:rsidRPr="00081FE5" w:rsidRDefault="00B4135F">
      <w:pPr>
        <w:pStyle w:val="FootnoteText"/>
        <w:rPr>
          <w:sz w:val="22"/>
        </w:rPr>
      </w:pPr>
      <w:r w:rsidRPr="00081FE5">
        <w:rPr>
          <w:rStyle w:val="FootnoteReference"/>
          <w:sz w:val="22"/>
        </w:rPr>
        <w:footnoteRef/>
      </w:r>
      <w:r w:rsidRPr="00081FE5">
        <w:rPr>
          <w:sz w:val="22"/>
        </w:rPr>
        <w:t xml:space="preserve"> NRG Petition at ¶ 48 (FN 81).</w:t>
      </w:r>
    </w:p>
  </w:footnote>
  <w:footnote w:id="50">
    <w:p w14:paraId="4A605000" w14:textId="77777777" w:rsidR="00B4135F" w:rsidRPr="00081FE5" w:rsidRDefault="00B4135F">
      <w:pPr>
        <w:pStyle w:val="FootnoteText"/>
        <w:rPr>
          <w:sz w:val="22"/>
        </w:rPr>
      </w:pPr>
      <w:r w:rsidRPr="00081FE5">
        <w:rPr>
          <w:rStyle w:val="FootnoteReference"/>
          <w:sz w:val="22"/>
        </w:rPr>
        <w:footnoteRef/>
      </w:r>
      <w:r w:rsidRPr="00081FE5">
        <w:rPr>
          <w:sz w:val="22"/>
        </w:rPr>
        <w:t xml:space="preserve"> NRG Petition at ¶ 32.</w:t>
      </w:r>
    </w:p>
  </w:footnote>
  <w:footnote w:id="51">
    <w:p w14:paraId="6BE9E3B1" w14:textId="77777777" w:rsidR="00B4135F" w:rsidRPr="00AF3270" w:rsidRDefault="00B4135F">
      <w:pPr>
        <w:pStyle w:val="FootnoteText"/>
        <w:rPr>
          <w:sz w:val="22"/>
          <w:szCs w:val="22"/>
        </w:rPr>
      </w:pPr>
      <w:r w:rsidRPr="00AF3270">
        <w:rPr>
          <w:rStyle w:val="FootnoteReference"/>
          <w:sz w:val="22"/>
          <w:szCs w:val="22"/>
        </w:rPr>
        <w:footnoteRef/>
      </w:r>
      <w:r w:rsidRPr="00AF3270">
        <w:rPr>
          <w:sz w:val="22"/>
          <w:szCs w:val="22"/>
        </w:rPr>
        <w:t xml:space="preserve"> NRG Petition at ¶ 31.</w:t>
      </w:r>
    </w:p>
  </w:footnote>
  <w:footnote w:id="52">
    <w:p w14:paraId="06D0F963" w14:textId="77777777" w:rsidR="00B4135F" w:rsidRPr="00AF3270" w:rsidRDefault="00B4135F">
      <w:pPr>
        <w:pStyle w:val="FootnoteText"/>
        <w:rPr>
          <w:sz w:val="22"/>
          <w:szCs w:val="22"/>
        </w:rPr>
      </w:pPr>
      <w:r w:rsidRPr="00AF3270">
        <w:rPr>
          <w:rStyle w:val="FootnoteReference"/>
          <w:sz w:val="22"/>
          <w:szCs w:val="22"/>
        </w:rPr>
        <w:footnoteRef/>
      </w:r>
      <w:r w:rsidRPr="00AF3270">
        <w:rPr>
          <w:sz w:val="22"/>
          <w:szCs w:val="22"/>
        </w:rPr>
        <w:t xml:space="preserve"> NRG Petition at 2 and</w:t>
      </w:r>
      <w:r>
        <w:rPr>
          <w:sz w:val="22"/>
          <w:szCs w:val="22"/>
        </w:rPr>
        <w:t xml:space="preserve"> ¶ 29; CAUSE PA Answer at ¶ 29.</w:t>
      </w:r>
    </w:p>
  </w:footnote>
  <w:footnote w:id="53">
    <w:p w14:paraId="19FBF6A7" w14:textId="77777777" w:rsidR="00B4135F" w:rsidRPr="00AD0215" w:rsidRDefault="00B4135F">
      <w:pPr>
        <w:pStyle w:val="FootnoteText"/>
        <w:rPr>
          <w:sz w:val="22"/>
        </w:rPr>
      </w:pPr>
      <w:r w:rsidRPr="00AD0215">
        <w:rPr>
          <w:rStyle w:val="FootnoteReference"/>
          <w:sz w:val="22"/>
        </w:rPr>
        <w:footnoteRef/>
      </w:r>
      <w:r w:rsidRPr="00AD0215">
        <w:rPr>
          <w:sz w:val="22"/>
        </w:rPr>
        <w:t xml:space="preserve"> CAUSE PA Answer at ¶ 29.</w:t>
      </w:r>
    </w:p>
  </w:footnote>
  <w:footnote w:id="54">
    <w:p w14:paraId="7232142B" w14:textId="77777777" w:rsidR="00B4135F" w:rsidRPr="0036643D" w:rsidRDefault="00B4135F">
      <w:pPr>
        <w:pStyle w:val="FootnoteText"/>
        <w:rPr>
          <w:sz w:val="22"/>
        </w:rPr>
      </w:pPr>
      <w:r w:rsidRPr="0036643D">
        <w:rPr>
          <w:rStyle w:val="FootnoteReference"/>
          <w:sz w:val="22"/>
        </w:rPr>
        <w:footnoteRef/>
      </w:r>
      <w:r w:rsidRPr="0036643D">
        <w:rPr>
          <w:sz w:val="22"/>
        </w:rPr>
        <w:t xml:space="preserve"> Calpine Comments at 3-5.</w:t>
      </w:r>
    </w:p>
  </w:footnote>
  <w:footnote w:id="55">
    <w:p w14:paraId="063CBBF9" w14:textId="77777777" w:rsidR="00B4135F" w:rsidRPr="00C940F1" w:rsidRDefault="00B4135F">
      <w:pPr>
        <w:pStyle w:val="FootnoteText"/>
        <w:rPr>
          <w:sz w:val="22"/>
        </w:rPr>
      </w:pPr>
      <w:r w:rsidRPr="00C940F1">
        <w:rPr>
          <w:rStyle w:val="FootnoteReference"/>
          <w:sz w:val="22"/>
        </w:rPr>
        <w:footnoteRef/>
      </w:r>
      <w:r w:rsidRPr="00C940F1">
        <w:rPr>
          <w:sz w:val="22"/>
        </w:rPr>
        <w:t xml:space="preserve"> Duquesne Comments at 17-18; FirstEnergy PA Comments at 6-8; Industrial Customer Alliances Comments at 3-4; OCA Comments at 6; PPL Comments at 12-13; TURN Comments at 5-6.</w:t>
      </w:r>
    </w:p>
  </w:footnote>
  <w:footnote w:id="56">
    <w:p w14:paraId="6303E6CB" w14:textId="77777777" w:rsidR="00B4135F" w:rsidRPr="00C940F1" w:rsidRDefault="00B4135F">
      <w:pPr>
        <w:pStyle w:val="FootnoteText"/>
        <w:rPr>
          <w:sz w:val="22"/>
        </w:rPr>
      </w:pPr>
      <w:r w:rsidRPr="00C940F1">
        <w:rPr>
          <w:rStyle w:val="FootnoteReference"/>
          <w:sz w:val="22"/>
        </w:rPr>
        <w:footnoteRef/>
      </w:r>
      <w:r w:rsidRPr="00C940F1">
        <w:rPr>
          <w:sz w:val="22"/>
        </w:rPr>
        <w:t xml:space="preserve"> FirstEnergy PA Comments at 8; PECO Comments at 21.</w:t>
      </w:r>
    </w:p>
  </w:footnote>
  <w:footnote w:id="57">
    <w:p w14:paraId="27B9E173" w14:textId="77777777" w:rsidR="00B4135F" w:rsidRPr="00E9589B" w:rsidRDefault="00B4135F">
      <w:pPr>
        <w:pStyle w:val="FootnoteText"/>
        <w:rPr>
          <w:sz w:val="22"/>
        </w:rPr>
      </w:pPr>
      <w:r w:rsidRPr="00E9589B">
        <w:rPr>
          <w:rStyle w:val="FootnoteReference"/>
          <w:sz w:val="22"/>
        </w:rPr>
        <w:footnoteRef/>
      </w:r>
      <w:r w:rsidRPr="00E9589B">
        <w:rPr>
          <w:sz w:val="22"/>
        </w:rPr>
        <w:t xml:space="preserve"> CAUSE PA Answer at ¶ 31; Duquesne Comments at 10, 12; EAP Comments at 2, 8-9; PPL Comments at 5.</w:t>
      </w:r>
    </w:p>
  </w:footnote>
  <w:footnote w:id="58">
    <w:p w14:paraId="210ABB3E" w14:textId="77777777" w:rsidR="00B4135F" w:rsidRPr="00305AAC" w:rsidRDefault="00B4135F">
      <w:pPr>
        <w:pStyle w:val="FootnoteText"/>
        <w:rPr>
          <w:sz w:val="22"/>
        </w:rPr>
      </w:pPr>
      <w:r w:rsidRPr="00305AAC">
        <w:rPr>
          <w:rStyle w:val="FootnoteReference"/>
          <w:sz w:val="22"/>
        </w:rPr>
        <w:footnoteRef/>
      </w:r>
      <w:r w:rsidRPr="00305AAC">
        <w:rPr>
          <w:sz w:val="22"/>
        </w:rPr>
        <w:t xml:space="preserve"> FirstEnergy PA Comments at 5-6; PA AFL-CIO Comments at 3-4.</w:t>
      </w:r>
    </w:p>
  </w:footnote>
  <w:footnote w:id="59">
    <w:p w14:paraId="33BDF16C" w14:textId="77777777" w:rsidR="00B4135F" w:rsidRPr="00447693" w:rsidRDefault="00B4135F">
      <w:pPr>
        <w:pStyle w:val="FootnoteText"/>
        <w:rPr>
          <w:sz w:val="22"/>
        </w:rPr>
      </w:pPr>
      <w:r w:rsidRPr="00447693">
        <w:rPr>
          <w:rStyle w:val="FootnoteReference"/>
          <w:sz w:val="22"/>
        </w:rPr>
        <w:footnoteRef/>
      </w:r>
      <w:r w:rsidRPr="00447693">
        <w:rPr>
          <w:sz w:val="22"/>
        </w:rPr>
        <w:t xml:space="preserve"> OCA Comments at 8-9.</w:t>
      </w:r>
    </w:p>
  </w:footnote>
  <w:footnote w:id="60">
    <w:p w14:paraId="18E3830B" w14:textId="77777777" w:rsidR="00B4135F" w:rsidRPr="00A36EE4" w:rsidRDefault="00B4135F">
      <w:pPr>
        <w:pStyle w:val="FootnoteText"/>
        <w:rPr>
          <w:sz w:val="22"/>
        </w:rPr>
      </w:pPr>
      <w:r w:rsidRPr="00A36EE4">
        <w:rPr>
          <w:rStyle w:val="FootnoteReference"/>
          <w:sz w:val="22"/>
        </w:rPr>
        <w:footnoteRef/>
      </w:r>
      <w:r w:rsidRPr="00A36EE4">
        <w:rPr>
          <w:sz w:val="22"/>
        </w:rPr>
        <w:t xml:space="preserve"> PPL Comments at 9-13.</w:t>
      </w:r>
    </w:p>
  </w:footnote>
  <w:footnote w:id="61">
    <w:p w14:paraId="6B27096C" w14:textId="77777777" w:rsidR="00B4135F" w:rsidRPr="00675F6D" w:rsidRDefault="00B4135F">
      <w:pPr>
        <w:pStyle w:val="FootnoteText"/>
        <w:rPr>
          <w:sz w:val="22"/>
        </w:rPr>
      </w:pPr>
      <w:r w:rsidRPr="00675F6D">
        <w:rPr>
          <w:rStyle w:val="FootnoteReference"/>
          <w:sz w:val="22"/>
        </w:rPr>
        <w:footnoteRef/>
      </w:r>
      <w:r w:rsidRPr="00675F6D">
        <w:rPr>
          <w:sz w:val="22"/>
        </w:rPr>
        <w:t xml:space="preserve"> NRG Reply Comments at 16-17, 82-84.</w:t>
      </w:r>
    </w:p>
  </w:footnote>
  <w:footnote w:id="62">
    <w:p w14:paraId="53A15890" w14:textId="77777777" w:rsidR="00B4135F" w:rsidRPr="00675F6D" w:rsidRDefault="00B4135F">
      <w:pPr>
        <w:pStyle w:val="FootnoteText"/>
        <w:rPr>
          <w:sz w:val="22"/>
        </w:rPr>
      </w:pPr>
      <w:r w:rsidRPr="00675F6D">
        <w:rPr>
          <w:rStyle w:val="FootnoteReference"/>
          <w:sz w:val="22"/>
        </w:rPr>
        <w:footnoteRef/>
      </w:r>
      <w:r w:rsidRPr="00675F6D">
        <w:rPr>
          <w:sz w:val="22"/>
        </w:rPr>
        <w:t xml:space="preserve"> NRG Reply Comments at 17, 81-83.</w:t>
      </w:r>
    </w:p>
  </w:footnote>
  <w:footnote w:id="63">
    <w:p w14:paraId="6FCF6E8A" w14:textId="77777777" w:rsidR="00B4135F" w:rsidRPr="00AD3CB5" w:rsidRDefault="00B4135F">
      <w:pPr>
        <w:pStyle w:val="FootnoteText"/>
        <w:rPr>
          <w:sz w:val="22"/>
        </w:rPr>
      </w:pPr>
      <w:r w:rsidRPr="00AD3CB5">
        <w:rPr>
          <w:rStyle w:val="FootnoteReference"/>
          <w:sz w:val="22"/>
        </w:rPr>
        <w:footnoteRef/>
      </w:r>
      <w:r w:rsidRPr="00AD3CB5">
        <w:rPr>
          <w:sz w:val="22"/>
        </w:rPr>
        <w:t xml:space="preserve"> NRG Reply Comments at 83-84.</w:t>
      </w:r>
    </w:p>
  </w:footnote>
  <w:footnote w:id="64">
    <w:p w14:paraId="03D0A95C" w14:textId="77777777" w:rsidR="00B4135F" w:rsidRPr="00AC4C52" w:rsidRDefault="00B4135F">
      <w:pPr>
        <w:pStyle w:val="FootnoteText"/>
        <w:rPr>
          <w:sz w:val="22"/>
        </w:rPr>
      </w:pPr>
      <w:r w:rsidRPr="00AC4C52">
        <w:rPr>
          <w:rStyle w:val="FootnoteReference"/>
          <w:sz w:val="22"/>
        </w:rPr>
        <w:footnoteRef/>
      </w:r>
      <w:r w:rsidRPr="00AC4C52">
        <w:rPr>
          <w:sz w:val="22"/>
        </w:rPr>
        <w:t xml:space="preserve"> NRG Reply Comments at 16-17, 84.</w:t>
      </w:r>
    </w:p>
  </w:footnote>
  <w:footnote w:id="65">
    <w:p w14:paraId="76FDE065" w14:textId="77777777" w:rsidR="00B4135F" w:rsidRPr="00AC4C52" w:rsidRDefault="00B4135F">
      <w:pPr>
        <w:pStyle w:val="FootnoteText"/>
        <w:rPr>
          <w:sz w:val="22"/>
        </w:rPr>
      </w:pPr>
      <w:r w:rsidRPr="00AC4C52">
        <w:rPr>
          <w:rStyle w:val="FootnoteReference"/>
          <w:sz w:val="22"/>
        </w:rPr>
        <w:footnoteRef/>
      </w:r>
      <w:r w:rsidRPr="00AC4C52">
        <w:rPr>
          <w:sz w:val="22"/>
        </w:rPr>
        <w:t xml:space="preserve"> NRG Reply Comments at 85.</w:t>
      </w:r>
    </w:p>
  </w:footnote>
  <w:footnote w:id="66">
    <w:p w14:paraId="049688D1" w14:textId="77777777" w:rsidR="00B4135F" w:rsidRPr="00AC4C52" w:rsidRDefault="00B4135F">
      <w:pPr>
        <w:pStyle w:val="FootnoteText"/>
        <w:rPr>
          <w:sz w:val="22"/>
        </w:rPr>
      </w:pPr>
      <w:r w:rsidRPr="00AC4C52">
        <w:rPr>
          <w:rStyle w:val="FootnoteReference"/>
          <w:sz w:val="22"/>
        </w:rPr>
        <w:footnoteRef/>
      </w:r>
      <w:r w:rsidRPr="00AC4C52">
        <w:rPr>
          <w:sz w:val="22"/>
        </w:rPr>
        <w:t xml:space="preserve"> NRG Reply Comments at 84.</w:t>
      </w:r>
    </w:p>
  </w:footnote>
  <w:footnote w:id="67">
    <w:p w14:paraId="1E0B72CC" w14:textId="77777777" w:rsidR="00B4135F" w:rsidRPr="006B202D" w:rsidRDefault="00B4135F">
      <w:pPr>
        <w:pStyle w:val="FootnoteText"/>
        <w:rPr>
          <w:sz w:val="22"/>
        </w:rPr>
      </w:pPr>
      <w:r w:rsidRPr="006B202D">
        <w:rPr>
          <w:rStyle w:val="FootnoteReference"/>
          <w:sz w:val="22"/>
        </w:rPr>
        <w:footnoteRef/>
      </w:r>
      <w:r>
        <w:rPr>
          <w:sz w:val="22"/>
        </w:rPr>
        <w:t xml:space="preserve"> PPL Comments at 11</w:t>
      </w:r>
      <w:r w:rsidRPr="006B202D">
        <w:rPr>
          <w:sz w:val="22"/>
        </w:rPr>
        <w:t>.</w:t>
      </w:r>
    </w:p>
  </w:footnote>
  <w:footnote w:id="68">
    <w:p w14:paraId="383FD0C7" w14:textId="77777777" w:rsidR="00B4135F" w:rsidRPr="00853793" w:rsidRDefault="00B4135F">
      <w:pPr>
        <w:pStyle w:val="FootnoteText"/>
        <w:rPr>
          <w:sz w:val="22"/>
        </w:rPr>
      </w:pPr>
      <w:r w:rsidRPr="00853793">
        <w:rPr>
          <w:rStyle w:val="FootnoteReference"/>
          <w:sz w:val="22"/>
        </w:rPr>
        <w:footnoteRef/>
      </w:r>
      <w:r w:rsidRPr="00853793">
        <w:rPr>
          <w:sz w:val="22"/>
        </w:rPr>
        <w:t xml:space="preserve"> OCA Comments at 17-18; PECO Comments at 21, 22.</w:t>
      </w:r>
    </w:p>
  </w:footnote>
  <w:footnote w:id="69">
    <w:p w14:paraId="473A6536" w14:textId="77777777" w:rsidR="00B4135F" w:rsidRPr="00BA25ED" w:rsidRDefault="00B4135F">
      <w:pPr>
        <w:pStyle w:val="FootnoteText"/>
        <w:rPr>
          <w:sz w:val="22"/>
        </w:rPr>
      </w:pPr>
      <w:r w:rsidRPr="00BA25ED">
        <w:rPr>
          <w:rStyle w:val="FootnoteReference"/>
          <w:sz w:val="22"/>
        </w:rPr>
        <w:footnoteRef/>
      </w:r>
      <w:r w:rsidRPr="00BA25ED">
        <w:rPr>
          <w:sz w:val="22"/>
        </w:rPr>
        <w:t xml:space="preserve"> 66 Pa. C.S. § 1403; 52 Pa. Code § 56.2.</w:t>
      </w:r>
    </w:p>
  </w:footnote>
  <w:footnote w:id="70">
    <w:p w14:paraId="2649A35C" w14:textId="77777777" w:rsidR="00B4135F" w:rsidRPr="000E1785" w:rsidRDefault="00B4135F">
      <w:pPr>
        <w:pStyle w:val="FootnoteText"/>
        <w:rPr>
          <w:sz w:val="22"/>
        </w:rPr>
      </w:pPr>
      <w:r w:rsidRPr="000E1785">
        <w:rPr>
          <w:rStyle w:val="FootnoteReference"/>
          <w:sz w:val="22"/>
        </w:rPr>
        <w:footnoteRef/>
      </w:r>
      <w:r w:rsidRPr="000E1785">
        <w:rPr>
          <w:sz w:val="22"/>
        </w:rPr>
        <w:t xml:space="preserve"> 66 Pa. C.S. §§ 2802(16) and 2807(d).</w:t>
      </w:r>
    </w:p>
  </w:footnote>
  <w:footnote w:id="71">
    <w:p w14:paraId="720CC9A0" w14:textId="77777777" w:rsidR="00B4135F" w:rsidRPr="00F659EC" w:rsidRDefault="00B4135F">
      <w:pPr>
        <w:pStyle w:val="FootnoteText"/>
        <w:rPr>
          <w:sz w:val="22"/>
        </w:rPr>
      </w:pPr>
      <w:r w:rsidRPr="00F659EC">
        <w:rPr>
          <w:rStyle w:val="FootnoteReference"/>
          <w:sz w:val="22"/>
        </w:rPr>
        <w:footnoteRef/>
      </w:r>
      <w:r w:rsidRPr="00F659EC">
        <w:rPr>
          <w:sz w:val="22"/>
        </w:rPr>
        <w:t xml:space="preserve"> 66 Pa. C.S. § 2809(e).</w:t>
      </w:r>
    </w:p>
  </w:footnote>
  <w:footnote w:id="72">
    <w:p w14:paraId="6F9FEAB8" w14:textId="77777777" w:rsidR="00B4135F" w:rsidRPr="00FF15A2" w:rsidRDefault="00B4135F">
      <w:pPr>
        <w:pStyle w:val="FootnoteText"/>
        <w:rPr>
          <w:sz w:val="22"/>
        </w:rPr>
      </w:pPr>
      <w:r w:rsidRPr="00FF15A2">
        <w:rPr>
          <w:rStyle w:val="FootnoteReference"/>
          <w:sz w:val="22"/>
        </w:rPr>
        <w:footnoteRef/>
      </w:r>
      <w:r w:rsidRPr="00FF15A2">
        <w:rPr>
          <w:sz w:val="22"/>
        </w:rPr>
        <w:t xml:space="preserve"> 66 Pa. C.S. § 2802(16).</w:t>
      </w:r>
    </w:p>
  </w:footnote>
  <w:footnote w:id="73">
    <w:p w14:paraId="64FC8EC0" w14:textId="77777777" w:rsidR="00B4135F" w:rsidRPr="00FF15A2" w:rsidRDefault="00B4135F">
      <w:pPr>
        <w:pStyle w:val="FootnoteText"/>
        <w:rPr>
          <w:sz w:val="22"/>
        </w:rPr>
      </w:pPr>
      <w:r w:rsidRPr="00FF15A2">
        <w:rPr>
          <w:rStyle w:val="FootnoteReference"/>
          <w:sz w:val="22"/>
        </w:rPr>
        <w:footnoteRef/>
      </w:r>
      <w:r w:rsidRPr="00FF15A2">
        <w:rPr>
          <w:sz w:val="22"/>
        </w:rPr>
        <w:t xml:space="preserve"> 66 Pa. C.S. §§ 2803 and 2807(e</w:t>
      </w:r>
      <w:proofErr w:type="gramStart"/>
      <w:r w:rsidRPr="00FF15A2">
        <w:rPr>
          <w:sz w:val="22"/>
        </w:rPr>
        <w:t>)(</w:t>
      </w:r>
      <w:proofErr w:type="gramEnd"/>
      <w:r w:rsidRPr="00FF15A2">
        <w:rPr>
          <w:sz w:val="22"/>
        </w:rPr>
        <w:t>3.1).</w:t>
      </w:r>
    </w:p>
  </w:footnote>
  <w:footnote w:id="74">
    <w:p w14:paraId="47FD49F8" w14:textId="77777777" w:rsidR="00B4135F" w:rsidRPr="00580664" w:rsidRDefault="00B4135F">
      <w:pPr>
        <w:pStyle w:val="FootnoteText"/>
        <w:rPr>
          <w:sz w:val="22"/>
          <w:szCs w:val="22"/>
        </w:rPr>
      </w:pPr>
      <w:r w:rsidRPr="00580664">
        <w:rPr>
          <w:rStyle w:val="FootnoteReference"/>
          <w:sz w:val="22"/>
          <w:szCs w:val="22"/>
        </w:rPr>
        <w:footnoteRef/>
      </w:r>
      <w:r w:rsidRPr="00580664">
        <w:rPr>
          <w:sz w:val="22"/>
          <w:szCs w:val="22"/>
        </w:rPr>
        <w:t xml:space="preserve"> See 66 Pa. C.S. § 2803 (definition of default service provider).</w:t>
      </w:r>
    </w:p>
  </w:footnote>
  <w:footnote w:id="75">
    <w:p w14:paraId="5B0B9059" w14:textId="77777777" w:rsidR="00B4135F" w:rsidRPr="00580664" w:rsidRDefault="00B4135F">
      <w:pPr>
        <w:pStyle w:val="FootnoteText"/>
        <w:rPr>
          <w:sz w:val="22"/>
          <w:szCs w:val="22"/>
        </w:rPr>
      </w:pPr>
      <w:r w:rsidRPr="00580664">
        <w:rPr>
          <w:rStyle w:val="FootnoteReference"/>
          <w:sz w:val="22"/>
          <w:szCs w:val="22"/>
        </w:rPr>
        <w:footnoteRef/>
      </w:r>
      <w:r w:rsidRPr="00580664">
        <w:rPr>
          <w:sz w:val="22"/>
          <w:szCs w:val="22"/>
        </w:rPr>
        <w:t xml:space="preserve"> See 52 Pa. Code § 54.183.</w:t>
      </w:r>
    </w:p>
  </w:footnote>
  <w:footnote w:id="76">
    <w:p w14:paraId="65AD9DB1" w14:textId="77777777" w:rsidR="00B4135F" w:rsidRPr="00580664" w:rsidRDefault="00B4135F">
      <w:pPr>
        <w:pStyle w:val="FootnoteText"/>
        <w:rPr>
          <w:sz w:val="22"/>
          <w:szCs w:val="22"/>
        </w:rPr>
      </w:pPr>
      <w:r w:rsidRPr="00580664">
        <w:rPr>
          <w:rStyle w:val="FootnoteReference"/>
          <w:sz w:val="22"/>
          <w:szCs w:val="22"/>
        </w:rPr>
        <w:footnoteRef/>
      </w:r>
      <w:r w:rsidRPr="00580664">
        <w:rPr>
          <w:sz w:val="22"/>
          <w:szCs w:val="22"/>
        </w:rPr>
        <w:t xml:space="preserve"> Many of the Commission’s prior discussions of SCB occurred before the General Assembly added provisions such as Chapter 14 to the Public Utility Code. </w:t>
      </w:r>
    </w:p>
  </w:footnote>
  <w:footnote w:id="77">
    <w:p w14:paraId="508776B3" w14:textId="77777777" w:rsidR="00B4135F" w:rsidRDefault="00B4135F">
      <w:pPr>
        <w:pStyle w:val="FootnoteText"/>
      </w:pPr>
      <w:r w:rsidRPr="00580664">
        <w:rPr>
          <w:rStyle w:val="FootnoteReference"/>
          <w:sz w:val="22"/>
          <w:szCs w:val="22"/>
        </w:rPr>
        <w:footnoteRef/>
      </w:r>
      <w:r w:rsidRPr="00580664">
        <w:rPr>
          <w:sz w:val="22"/>
          <w:szCs w:val="22"/>
        </w:rPr>
        <w:t xml:space="preserve"> </w:t>
      </w:r>
      <w:r w:rsidRPr="00580664">
        <w:rPr>
          <w:i/>
          <w:color w:val="333333"/>
          <w:sz w:val="22"/>
          <w:szCs w:val="22"/>
        </w:rPr>
        <w:t>Dauphin County Industrial Development Authority v. Pa. P</w:t>
      </w:r>
      <w:r>
        <w:rPr>
          <w:i/>
          <w:color w:val="333333"/>
          <w:sz w:val="22"/>
          <w:szCs w:val="22"/>
        </w:rPr>
        <w:t>ublic Utility Commission</w:t>
      </w:r>
      <w:r w:rsidRPr="00580664">
        <w:rPr>
          <w:color w:val="333333"/>
          <w:sz w:val="22"/>
          <w:szCs w:val="22"/>
        </w:rPr>
        <w:t xml:space="preserve">, 123 A.3d 1124 (Pa. </w:t>
      </w:r>
      <w:proofErr w:type="spellStart"/>
      <w:r w:rsidRPr="00580664">
        <w:rPr>
          <w:color w:val="333333"/>
          <w:sz w:val="22"/>
          <w:szCs w:val="22"/>
        </w:rPr>
        <w:t>C</w:t>
      </w:r>
      <w:r>
        <w:rPr>
          <w:color w:val="333333"/>
          <w:sz w:val="22"/>
          <w:szCs w:val="22"/>
        </w:rPr>
        <w:t>mwlth</w:t>
      </w:r>
      <w:proofErr w:type="spellEnd"/>
      <w:r>
        <w:rPr>
          <w:color w:val="333333"/>
          <w:sz w:val="22"/>
          <w:szCs w:val="22"/>
        </w:rPr>
        <w:t>.</w:t>
      </w:r>
      <w:r w:rsidRPr="00580664">
        <w:rPr>
          <w:color w:val="333333"/>
          <w:sz w:val="22"/>
          <w:szCs w:val="22"/>
        </w:rPr>
        <w:t xml:space="preserve"> 2015)</w:t>
      </w:r>
      <w:r w:rsidRPr="00580664">
        <w:rPr>
          <w:sz w:val="22"/>
          <w:szCs w:val="22"/>
        </w:rPr>
        <w:t xml:space="preserve"> Citation.</w:t>
      </w:r>
    </w:p>
  </w:footnote>
  <w:footnote w:id="78">
    <w:p w14:paraId="77E1A457" w14:textId="77777777" w:rsidR="00B4135F" w:rsidRPr="00A22998" w:rsidRDefault="00B4135F">
      <w:pPr>
        <w:pStyle w:val="FootnoteText"/>
        <w:rPr>
          <w:sz w:val="22"/>
        </w:rPr>
      </w:pPr>
      <w:r w:rsidRPr="00A22998">
        <w:rPr>
          <w:rStyle w:val="FootnoteReference"/>
          <w:sz w:val="22"/>
        </w:rPr>
        <w:footnoteRef/>
      </w:r>
      <w:r w:rsidRPr="00A22998">
        <w:rPr>
          <w:sz w:val="22"/>
        </w:rPr>
        <w:t xml:space="preserve"> NRG Petition at ¶ 37(e).</w:t>
      </w:r>
    </w:p>
  </w:footnote>
  <w:footnote w:id="79">
    <w:p w14:paraId="266A8C5A" w14:textId="77777777" w:rsidR="00B4135F" w:rsidRPr="00811157" w:rsidRDefault="00B4135F">
      <w:pPr>
        <w:pStyle w:val="FootnoteText"/>
        <w:rPr>
          <w:sz w:val="22"/>
        </w:rPr>
      </w:pPr>
      <w:r w:rsidRPr="00811157">
        <w:rPr>
          <w:rStyle w:val="FootnoteReference"/>
          <w:sz w:val="22"/>
        </w:rPr>
        <w:footnoteRef/>
      </w:r>
      <w:r w:rsidRPr="00811157">
        <w:rPr>
          <w:sz w:val="22"/>
        </w:rPr>
        <w:t xml:space="preserve"> CAUSE PA Answer at ¶ 37(e); Calpine Comments at 7; Duquesne Comments at 22-23; PECO Comments at 20; PPL Comments at 13-14.</w:t>
      </w:r>
    </w:p>
  </w:footnote>
  <w:footnote w:id="80">
    <w:p w14:paraId="60971E27" w14:textId="77777777" w:rsidR="00B4135F" w:rsidRPr="000436EE" w:rsidRDefault="00B4135F">
      <w:pPr>
        <w:pStyle w:val="FootnoteText"/>
        <w:rPr>
          <w:sz w:val="22"/>
        </w:rPr>
      </w:pPr>
      <w:r w:rsidRPr="000436EE">
        <w:rPr>
          <w:rStyle w:val="FootnoteReference"/>
          <w:sz w:val="22"/>
        </w:rPr>
        <w:footnoteRef/>
      </w:r>
      <w:r w:rsidRPr="000436EE">
        <w:rPr>
          <w:sz w:val="22"/>
        </w:rPr>
        <w:t xml:space="preserve"> NRG Reply Comments at 18.</w:t>
      </w:r>
    </w:p>
  </w:footnote>
  <w:footnote w:id="81">
    <w:p w14:paraId="206CA69F" w14:textId="77777777" w:rsidR="00B4135F" w:rsidRPr="009133A3" w:rsidRDefault="00B4135F">
      <w:pPr>
        <w:pStyle w:val="FootnoteText"/>
        <w:rPr>
          <w:sz w:val="22"/>
        </w:rPr>
      </w:pPr>
      <w:r w:rsidRPr="009133A3">
        <w:rPr>
          <w:rStyle w:val="FootnoteReference"/>
          <w:sz w:val="22"/>
        </w:rPr>
        <w:footnoteRef/>
      </w:r>
      <w:r w:rsidRPr="009133A3">
        <w:rPr>
          <w:sz w:val="22"/>
        </w:rPr>
        <w:t xml:space="preserve"> 66 Pa. C.S. §§ 2802(3), (12), (13); 2804(2).</w:t>
      </w:r>
    </w:p>
  </w:footnote>
  <w:footnote w:id="82">
    <w:p w14:paraId="0340DD2F" w14:textId="77777777" w:rsidR="00B4135F" w:rsidRPr="00DD3395" w:rsidRDefault="00B4135F">
      <w:pPr>
        <w:pStyle w:val="FootnoteText"/>
        <w:rPr>
          <w:sz w:val="22"/>
        </w:rPr>
      </w:pPr>
      <w:r w:rsidRPr="00DD3395">
        <w:rPr>
          <w:rStyle w:val="FootnoteReference"/>
          <w:sz w:val="22"/>
        </w:rPr>
        <w:footnoteRef/>
      </w:r>
      <w:r w:rsidRPr="00DD3395">
        <w:rPr>
          <w:sz w:val="22"/>
        </w:rPr>
        <w:t xml:space="preserve"> 66 Pa. C.S. §§ 2802(3), (5), (7), (12); 2804(2).</w:t>
      </w:r>
    </w:p>
  </w:footnote>
  <w:footnote w:id="83">
    <w:p w14:paraId="6A72091F" w14:textId="77777777" w:rsidR="00B4135F" w:rsidRPr="00936E65" w:rsidRDefault="00B4135F">
      <w:pPr>
        <w:pStyle w:val="FootnoteText"/>
        <w:rPr>
          <w:sz w:val="22"/>
        </w:rPr>
      </w:pPr>
      <w:r w:rsidRPr="00936E65">
        <w:rPr>
          <w:rStyle w:val="FootnoteReference"/>
          <w:sz w:val="22"/>
        </w:rPr>
        <w:footnoteRef/>
      </w:r>
      <w:r w:rsidRPr="00936E65">
        <w:rPr>
          <w:sz w:val="22"/>
        </w:rPr>
        <w:t xml:space="preserve"> NRG Petition at 1-2; ¶¶ 48-53.</w:t>
      </w:r>
    </w:p>
  </w:footnote>
  <w:footnote w:id="84">
    <w:p w14:paraId="33D4DB2F" w14:textId="77777777" w:rsidR="00B4135F" w:rsidRPr="007B4D62" w:rsidRDefault="00B4135F">
      <w:pPr>
        <w:pStyle w:val="FootnoteText"/>
        <w:rPr>
          <w:sz w:val="22"/>
        </w:rPr>
      </w:pPr>
      <w:r w:rsidRPr="007B4D62">
        <w:rPr>
          <w:rStyle w:val="FootnoteReference"/>
          <w:sz w:val="22"/>
        </w:rPr>
        <w:footnoteRef/>
      </w:r>
      <w:r w:rsidRPr="007B4D62">
        <w:rPr>
          <w:sz w:val="22"/>
        </w:rPr>
        <w:t xml:space="preserve"> NRG Petition at 1-2; ¶¶ </w:t>
      </w:r>
      <w:r>
        <w:rPr>
          <w:sz w:val="22"/>
        </w:rPr>
        <w:t xml:space="preserve">15, </w:t>
      </w:r>
      <w:r w:rsidRPr="007B4D62">
        <w:rPr>
          <w:sz w:val="22"/>
        </w:rPr>
        <w:t>22, 44, 46, 48-53 51, 55-57, 62.</w:t>
      </w:r>
    </w:p>
  </w:footnote>
  <w:footnote w:id="85">
    <w:p w14:paraId="07E95A4B" w14:textId="77777777" w:rsidR="00B4135F" w:rsidRPr="00CB7ED2" w:rsidRDefault="00B4135F">
      <w:pPr>
        <w:pStyle w:val="FootnoteText"/>
        <w:rPr>
          <w:sz w:val="22"/>
        </w:rPr>
      </w:pPr>
      <w:r w:rsidRPr="00CB7ED2">
        <w:rPr>
          <w:rStyle w:val="FootnoteReference"/>
          <w:sz w:val="22"/>
        </w:rPr>
        <w:footnoteRef/>
      </w:r>
      <w:r w:rsidRPr="00CB7ED2">
        <w:rPr>
          <w:sz w:val="22"/>
        </w:rPr>
        <w:t xml:space="preserve"> NRG Petition at ¶ 48, FN 81.</w:t>
      </w:r>
    </w:p>
  </w:footnote>
  <w:footnote w:id="86">
    <w:p w14:paraId="1E3995E9" w14:textId="77777777" w:rsidR="00B4135F" w:rsidRPr="00501039" w:rsidRDefault="00B4135F">
      <w:pPr>
        <w:pStyle w:val="FootnoteText"/>
        <w:rPr>
          <w:sz w:val="22"/>
        </w:rPr>
      </w:pPr>
      <w:r w:rsidRPr="00501039">
        <w:rPr>
          <w:rStyle w:val="FootnoteReference"/>
          <w:sz w:val="22"/>
        </w:rPr>
        <w:footnoteRef/>
      </w:r>
      <w:r w:rsidRPr="00501039">
        <w:rPr>
          <w:sz w:val="22"/>
        </w:rPr>
        <w:t xml:space="preserve"> NRG Petition at ¶ 37(d), Appendix A #</w:t>
      </w:r>
      <w:r>
        <w:rPr>
          <w:sz w:val="22"/>
        </w:rPr>
        <w:t xml:space="preserve"> 5 &amp; </w:t>
      </w:r>
      <w:r w:rsidRPr="00501039">
        <w:rPr>
          <w:sz w:val="22"/>
        </w:rPr>
        <w:t>8.</w:t>
      </w:r>
    </w:p>
  </w:footnote>
  <w:footnote w:id="87">
    <w:p w14:paraId="2238DAFF" w14:textId="77777777" w:rsidR="00B4135F" w:rsidRPr="00900402" w:rsidRDefault="00B4135F">
      <w:pPr>
        <w:pStyle w:val="FootnoteText"/>
        <w:rPr>
          <w:sz w:val="22"/>
        </w:rPr>
      </w:pPr>
      <w:r w:rsidRPr="00900402">
        <w:rPr>
          <w:rStyle w:val="FootnoteReference"/>
          <w:sz w:val="22"/>
        </w:rPr>
        <w:footnoteRef/>
      </w:r>
      <w:r w:rsidRPr="00900402">
        <w:rPr>
          <w:sz w:val="22"/>
        </w:rPr>
        <w:t xml:space="preserve"> Direct Energy Comments at 2-3; RESA Comments at 6-7.</w:t>
      </w:r>
    </w:p>
  </w:footnote>
  <w:footnote w:id="88">
    <w:p w14:paraId="7A3629D2" w14:textId="77777777" w:rsidR="00B4135F" w:rsidRPr="00771D21" w:rsidRDefault="00B4135F">
      <w:pPr>
        <w:pStyle w:val="FootnoteText"/>
        <w:rPr>
          <w:sz w:val="22"/>
        </w:rPr>
      </w:pPr>
      <w:r w:rsidRPr="00771D21">
        <w:rPr>
          <w:rStyle w:val="FootnoteReference"/>
          <w:sz w:val="22"/>
        </w:rPr>
        <w:footnoteRef/>
      </w:r>
      <w:r w:rsidRPr="00771D21">
        <w:rPr>
          <w:sz w:val="22"/>
        </w:rPr>
        <w:t xml:space="preserve"> CAUSE PA Answer at ¶ 46.</w:t>
      </w:r>
    </w:p>
  </w:footnote>
  <w:footnote w:id="89">
    <w:p w14:paraId="0AEF5E8B" w14:textId="77777777" w:rsidR="00B4135F" w:rsidRPr="0007169A" w:rsidRDefault="00B4135F" w:rsidP="005E266A">
      <w:pPr>
        <w:pStyle w:val="FootnoteText"/>
        <w:rPr>
          <w:sz w:val="22"/>
        </w:rPr>
      </w:pPr>
      <w:r w:rsidRPr="0007169A">
        <w:rPr>
          <w:rStyle w:val="FootnoteReference"/>
          <w:sz w:val="22"/>
        </w:rPr>
        <w:footnoteRef/>
      </w:r>
      <w:r w:rsidRPr="0007169A">
        <w:rPr>
          <w:sz w:val="22"/>
        </w:rPr>
        <w:t xml:space="preserve"> OCA Comments at 17-18.</w:t>
      </w:r>
    </w:p>
  </w:footnote>
  <w:footnote w:id="90">
    <w:p w14:paraId="1C0ABAB6" w14:textId="77777777" w:rsidR="00B4135F" w:rsidRPr="0007169A" w:rsidRDefault="00B4135F" w:rsidP="005E266A">
      <w:pPr>
        <w:pStyle w:val="FootnoteText"/>
        <w:rPr>
          <w:sz w:val="22"/>
        </w:rPr>
      </w:pPr>
      <w:r w:rsidRPr="0007169A">
        <w:rPr>
          <w:rStyle w:val="FootnoteReference"/>
          <w:sz w:val="22"/>
        </w:rPr>
        <w:footnoteRef/>
      </w:r>
      <w:r>
        <w:rPr>
          <w:sz w:val="22"/>
        </w:rPr>
        <w:t xml:space="preserve"> PECO Comments at 21-23</w:t>
      </w:r>
      <w:r w:rsidRPr="0007169A">
        <w:rPr>
          <w:sz w:val="22"/>
        </w:rPr>
        <w:t>.</w:t>
      </w:r>
    </w:p>
  </w:footnote>
  <w:footnote w:id="91">
    <w:p w14:paraId="62A9A524" w14:textId="77777777" w:rsidR="00B4135F" w:rsidRPr="00712C29" w:rsidRDefault="00B4135F">
      <w:pPr>
        <w:pStyle w:val="FootnoteText"/>
        <w:rPr>
          <w:sz w:val="22"/>
        </w:rPr>
      </w:pPr>
      <w:r w:rsidRPr="00712C29">
        <w:rPr>
          <w:rStyle w:val="FootnoteReference"/>
          <w:sz w:val="22"/>
        </w:rPr>
        <w:footnoteRef/>
      </w:r>
      <w:r w:rsidRPr="00712C29">
        <w:rPr>
          <w:sz w:val="22"/>
        </w:rPr>
        <w:t xml:space="preserve"> OCA Comments at 16.</w:t>
      </w:r>
    </w:p>
  </w:footnote>
  <w:footnote w:id="92">
    <w:p w14:paraId="21314BCB" w14:textId="77777777" w:rsidR="00B4135F" w:rsidRPr="002923AC" w:rsidRDefault="00B4135F">
      <w:pPr>
        <w:pStyle w:val="FootnoteText"/>
        <w:rPr>
          <w:sz w:val="22"/>
        </w:rPr>
      </w:pPr>
      <w:r w:rsidRPr="002923AC">
        <w:rPr>
          <w:rStyle w:val="FootnoteReference"/>
          <w:sz w:val="22"/>
        </w:rPr>
        <w:footnoteRef/>
      </w:r>
      <w:r w:rsidRPr="002923AC">
        <w:rPr>
          <w:sz w:val="22"/>
        </w:rPr>
        <w:t xml:space="preserve"> FirstEnergy Answer at ¶ 56.</w:t>
      </w:r>
    </w:p>
  </w:footnote>
  <w:footnote w:id="93">
    <w:p w14:paraId="7B356BEE" w14:textId="77777777" w:rsidR="00B4135F" w:rsidRPr="000C1DD1" w:rsidRDefault="00B4135F">
      <w:pPr>
        <w:pStyle w:val="FootnoteText"/>
        <w:rPr>
          <w:sz w:val="22"/>
        </w:rPr>
      </w:pPr>
      <w:r w:rsidRPr="000C1DD1">
        <w:rPr>
          <w:rStyle w:val="FootnoteReference"/>
          <w:sz w:val="22"/>
        </w:rPr>
        <w:footnoteRef/>
      </w:r>
      <w:r w:rsidRPr="000C1DD1">
        <w:rPr>
          <w:sz w:val="22"/>
        </w:rPr>
        <w:t xml:space="preserve"> FirstEnergy Answer at 4-5, 8-9, ¶ 50.</w:t>
      </w:r>
    </w:p>
  </w:footnote>
  <w:footnote w:id="94">
    <w:p w14:paraId="4B7A8AB6" w14:textId="77777777" w:rsidR="00B4135F" w:rsidRPr="00B8058C" w:rsidRDefault="00B4135F">
      <w:pPr>
        <w:pStyle w:val="FootnoteText"/>
        <w:rPr>
          <w:sz w:val="22"/>
        </w:rPr>
      </w:pPr>
      <w:r w:rsidRPr="00B8058C">
        <w:rPr>
          <w:rStyle w:val="FootnoteReference"/>
          <w:sz w:val="22"/>
        </w:rPr>
        <w:footnoteRef/>
      </w:r>
      <w:r w:rsidRPr="00B8058C">
        <w:rPr>
          <w:sz w:val="22"/>
        </w:rPr>
        <w:t xml:space="preserve"> CAUSE PA Answer at ¶¶ 16-18, 26-27, 29, 33, 37(d); Duquesne Comments at 17-18, 22.</w:t>
      </w:r>
    </w:p>
  </w:footnote>
  <w:footnote w:id="95">
    <w:p w14:paraId="37284EB2" w14:textId="77777777" w:rsidR="00B4135F" w:rsidRPr="00B8058C" w:rsidRDefault="00B4135F">
      <w:pPr>
        <w:pStyle w:val="FootnoteText"/>
        <w:rPr>
          <w:sz w:val="22"/>
        </w:rPr>
      </w:pPr>
      <w:r w:rsidRPr="00B8058C">
        <w:rPr>
          <w:rStyle w:val="FootnoteReference"/>
          <w:sz w:val="22"/>
        </w:rPr>
        <w:footnoteRef/>
      </w:r>
      <w:r w:rsidRPr="00B8058C">
        <w:rPr>
          <w:sz w:val="22"/>
        </w:rPr>
        <w:t xml:space="preserve"> CAUSE PA Answer at ¶ 18; TURN Comments at 6-7.</w:t>
      </w:r>
    </w:p>
  </w:footnote>
  <w:footnote w:id="96">
    <w:p w14:paraId="205FCFB1" w14:textId="77777777" w:rsidR="00B4135F" w:rsidRPr="00387F86" w:rsidRDefault="00B4135F">
      <w:pPr>
        <w:pStyle w:val="FootnoteText"/>
        <w:rPr>
          <w:sz w:val="22"/>
        </w:rPr>
      </w:pPr>
      <w:r w:rsidRPr="00387F86">
        <w:rPr>
          <w:rStyle w:val="FootnoteReference"/>
          <w:sz w:val="22"/>
        </w:rPr>
        <w:footnoteRef/>
      </w:r>
      <w:r w:rsidRPr="00387F86">
        <w:rPr>
          <w:sz w:val="22"/>
        </w:rPr>
        <w:t xml:space="preserve"> TURN Comments at 7.</w:t>
      </w:r>
    </w:p>
  </w:footnote>
  <w:footnote w:id="97">
    <w:p w14:paraId="16AF88A7" w14:textId="77777777" w:rsidR="00B4135F" w:rsidRPr="00B8058C" w:rsidRDefault="00B4135F">
      <w:pPr>
        <w:pStyle w:val="FootnoteText"/>
        <w:rPr>
          <w:sz w:val="22"/>
        </w:rPr>
      </w:pPr>
      <w:r w:rsidRPr="00B8058C">
        <w:rPr>
          <w:rStyle w:val="FootnoteReference"/>
          <w:sz w:val="22"/>
        </w:rPr>
        <w:footnoteRef/>
      </w:r>
      <w:r w:rsidRPr="00B8058C">
        <w:rPr>
          <w:sz w:val="22"/>
        </w:rPr>
        <w:t xml:space="preserve"> OCA Comments at 19</w:t>
      </w:r>
      <w:r>
        <w:rPr>
          <w:sz w:val="22"/>
        </w:rPr>
        <w:t>, 24</w:t>
      </w:r>
      <w:r w:rsidRPr="00B8058C">
        <w:rPr>
          <w:sz w:val="22"/>
        </w:rPr>
        <w:t>.</w:t>
      </w:r>
    </w:p>
  </w:footnote>
  <w:footnote w:id="98">
    <w:p w14:paraId="671A2FDB" w14:textId="77777777" w:rsidR="00B4135F" w:rsidRPr="00B8058C" w:rsidRDefault="00B4135F">
      <w:pPr>
        <w:pStyle w:val="FootnoteText"/>
        <w:rPr>
          <w:sz w:val="22"/>
        </w:rPr>
      </w:pPr>
      <w:r w:rsidRPr="00B8058C">
        <w:rPr>
          <w:rStyle w:val="FootnoteReference"/>
          <w:sz w:val="22"/>
        </w:rPr>
        <w:footnoteRef/>
      </w:r>
      <w:r w:rsidRPr="00B8058C">
        <w:rPr>
          <w:sz w:val="22"/>
        </w:rPr>
        <w:t xml:space="preserve"> PECO Comments at 15-16</w:t>
      </w:r>
      <w:r>
        <w:rPr>
          <w:sz w:val="22"/>
        </w:rPr>
        <w:t>, 24</w:t>
      </w:r>
      <w:r w:rsidRPr="00B8058C">
        <w:rPr>
          <w:sz w:val="22"/>
        </w:rPr>
        <w:t>.</w:t>
      </w:r>
    </w:p>
  </w:footnote>
  <w:footnote w:id="99">
    <w:p w14:paraId="72AABF72" w14:textId="77777777" w:rsidR="00B4135F" w:rsidRPr="00B8058C" w:rsidRDefault="00B4135F">
      <w:pPr>
        <w:pStyle w:val="FootnoteText"/>
        <w:rPr>
          <w:sz w:val="22"/>
        </w:rPr>
      </w:pPr>
      <w:r w:rsidRPr="00B8058C">
        <w:rPr>
          <w:rStyle w:val="FootnoteReference"/>
          <w:sz w:val="22"/>
        </w:rPr>
        <w:footnoteRef/>
      </w:r>
      <w:r w:rsidRPr="00B8058C">
        <w:rPr>
          <w:sz w:val="22"/>
        </w:rPr>
        <w:t xml:space="preserve"> PPL Comments at 16-17.</w:t>
      </w:r>
    </w:p>
  </w:footnote>
  <w:footnote w:id="100">
    <w:p w14:paraId="1B7F5EEB" w14:textId="77777777" w:rsidR="00B4135F" w:rsidRPr="00AC19D2" w:rsidRDefault="00B4135F">
      <w:pPr>
        <w:pStyle w:val="FootnoteText"/>
        <w:rPr>
          <w:sz w:val="22"/>
        </w:rPr>
      </w:pPr>
      <w:r w:rsidRPr="00AC19D2">
        <w:rPr>
          <w:rStyle w:val="FootnoteReference"/>
          <w:sz w:val="22"/>
        </w:rPr>
        <w:footnoteRef/>
      </w:r>
      <w:r w:rsidRPr="00AC19D2">
        <w:rPr>
          <w:sz w:val="22"/>
        </w:rPr>
        <w:t xml:space="preserve"> NRG Reply Comments at 1-2, 53-57, 62, 64.</w:t>
      </w:r>
    </w:p>
  </w:footnote>
  <w:footnote w:id="101">
    <w:p w14:paraId="0069236F" w14:textId="77777777" w:rsidR="00B4135F" w:rsidRPr="00AC19D2" w:rsidRDefault="00B4135F">
      <w:pPr>
        <w:pStyle w:val="FootnoteText"/>
        <w:rPr>
          <w:sz w:val="22"/>
        </w:rPr>
      </w:pPr>
      <w:r w:rsidRPr="00AC19D2">
        <w:rPr>
          <w:rStyle w:val="FootnoteReference"/>
          <w:sz w:val="22"/>
        </w:rPr>
        <w:footnoteRef/>
      </w:r>
      <w:r w:rsidRPr="00AC19D2">
        <w:rPr>
          <w:sz w:val="22"/>
        </w:rPr>
        <w:t xml:space="preserve"> NRG Reply Comments at 8-9, 37-39.</w:t>
      </w:r>
    </w:p>
  </w:footnote>
  <w:footnote w:id="102">
    <w:p w14:paraId="5C81066E" w14:textId="77777777" w:rsidR="00B4135F" w:rsidRPr="00774D5B" w:rsidRDefault="00B4135F">
      <w:pPr>
        <w:pStyle w:val="FootnoteText"/>
        <w:rPr>
          <w:sz w:val="22"/>
        </w:rPr>
      </w:pPr>
      <w:r w:rsidRPr="00774D5B">
        <w:rPr>
          <w:rStyle w:val="FootnoteReference"/>
          <w:sz w:val="22"/>
        </w:rPr>
        <w:footnoteRef/>
      </w:r>
      <w:r w:rsidRPr="00774D5B">
        <w:rPr>
          <w:sz w:val="22"/>
        </w:rPr>
        <w:t xml:space="preserve"> NRG Reply Comments at 85.</w:t>
      </w:r>
    </w:p>
  </w:footnote>
  <w:footnote w:id="103">
    <w:p w14:paraId="5CE09123" w14:textId="77777777" w:rsidR="00B4135F" w:rsidRPr="00AC19D2" w:rsidRDefault="00B4135F">
      <w:pPr>
        <w:pStyle w:val="FootnoteText"/>
        <w:rPr>
          <w:sz w:val="22"/>
        </w:rPr>
      </w:pPr>
      <w:r w:rsidRPr="00AC19D2">
        <w:rPr>
          <w:rStyle w:val="FootnoteReference"/>
          <w:sz w:val="22"/>
        </w:rPr>
        <w:footnoteRef/>
      </w:r>
      <w:r w:rsidRPr="00AC19D2">
        <w:rPr>
          <w:sz w:val="22"/>
        </w:rPr>
        <w:t xml:space="preserve"> NRG Reply Comments at 19, 73</w:t>
      </w:r>
      <w:r>
        <w:rPr>
          <w:sz w:val="22"/>
        </w:rPr>
        <w:t>, 80-81</w:t>
      </w:r>
      <w:r w:rsidRPr="00AC19D2">
        <w:rPr>
          <w:sz w:val="22"/>
        </w:rPr>
        <w:t>.</w:t>
      </w:r>
    </w:p>
  </w:footnote>
  <w:footnote w:id="104">
    <w:p w14:paraId="2E2CD883" w14:textId="77777777" w:rsidR="00B4135F" w:rsidRPr="00774D5B" w:rsidRDefault="00B4135F">
      <w:pPr>
        <w:pStyle w:val="FootnoteText"/>
        <w:rPr>
          <w:sz w:val="22"/>
        </w:rPr>
      </w:pPr>
      <w:r w:rsidRPr="00774D5B">
        <w:rPr>
          <w:rStyle w:val="FootnoteReference"/>
          <w:sz w:val="22"/>
        </w:rPr>
        <w:footnoteRef/>
      </w:r>
      <w:r w:rsidRPr="00774D5B">
        <w:rPr>
          <w:sz w:val="22"/>
        </w:rPr>
        <w:t xml:space="preserve"> NRG Reply Comments at 19.</w:t>
      </w:r>
    </w:p>
  </w:footnote>
  <w:footnote w:id="105">
    <w:p w14:paraId="097AE98B" w14:textId="77777777" w:rsidR="00B4135F" w:rsidRPr="00350700" w:rsidRDefault="00B4135F">
      <w:pPr>
        <w:pStyle w:val="FootnoteText"/>
        <w:rPr>
          <w:sz w:val="22"/>
        </w:rPr>
      </w:pPr>
      <w:r w:rsidRPr="00350700">
        <w:rPr>
          <w:rStyle w:val="FootnoteReference"/>
          <w:sz w:val="22"/>
        </w:rPr>
        <w:footnoteRef/>
      </w:r>
      <w:r w:rsidRPr="00350700">
        <w:rPr>
          <w:sz w:val="22"/>
        </w:rPr>
        <w:t xml:space="preserve"> NRG Reply Comments at 86.</w:t>
      </w:r>
    </w:p>
  </w:footnote>
  <w:footnote w:id="106">
    <w:p w14:paraId="4B5E25B4" w14:textId="77777777" w:rsidR="00B4135F" w:rsidRPr="00A03C98" w:rsidRDefault="00B4135F">
      <w:pPr>
        <w:pStyle w:val="FootnoteText"/>
        <w:rPr>
          <w:sz w:val="22"/>
        </w:rPr>
      </w:pPr>
      <w:r w:rsidRPr="00A03C98">
        <w:rPr>
          <w:rStyle w:val="FootnoteReference"/>
          <w:sz w:val="22"/>
        </w:rPr>
        <w:footnoteRef/>
      </w:r>
      <w:r w:rsidRPr="00A03C98">
        <w:rPr>
          <w:sz w:val="22"/>
        </w:rPr>
        <w:t xml:space="preserve"> </w:t>
      </w:r>
      <w:r w:rsidRPr="00A03C98">
        <w:rPr>
          <w:i/>
          <w:sz w:val="22"/>
        </w:rPr>
        <w:t>See Petition of PPL Electric Utilities Corporation for Approval of a Default Service Program and Procurement for the Period June 1, 2017 Through May 31, 2021</w:t>
      </w:r>
      <w:r w:rsidRPr="00A03C98">
        <w:rPr>
          <w:sz w:val="22"/>
        </w:rPr>
        <w:t xml:space="preserve">, Docket No. P-2016-2526627 </w:t>
      </w:r>
      <w:r>
        <w:rPr>
          <w:sz w:val="22"/>
        </w:rPr>
        <w:t xml:space="preserve">(Order </w:t>
      </w:r>
      <w:r w:rsidRPr="00A03C98">
        <w:rPr>
          <w:sz w:val="22"/>
        </w:rPr>
        <w:t>entered January 26, 2017</w:t>
      </w:r>
      <w:r>
        <w:rPr>
          <w:sz w:val="22"/>
        </w:rPr>
        <w:t>)</w:t>
      </w:r>
      <w:r w:rsidRPr="00A03C98">
        <w:rPr>
          <w:sz w:val="22"/>
        </w:rPr>
        <w:t>.</w:t>
      </w:r>
    </w:p>
  </w:footnote>
  <w:footnote w:id="107">
    <w:p w14:paraId="75D94AAC" w14:textId="77777777" w:rsidR="00B4135F" w:rsidRPr="00A03C98" w:rsidRDefault="00B4135F">
      <w:pPr>
        <w:pStyle w:val="FootnoteText"/>
        <w:rPr>
          <w:sz w:val="22"/>
        </w:rPr>
      </w:pPr>
      <w:r w:rsidRPr="00A03C98">
        <w:rPr>
          <w:rStyle w:val="FootnoteReference"/>
          <w:sz w:val="22"/>
        </w:rPr>
        <w:footnoteRef/>
      </w:r>
      <w:r w:rsidRPr="00A03C98">
        <w:rPr>
          <w:sz w:val="22"/>
        </w:rPr>
        <w:t xml:space="preserve"> </w:t>
      </w:r>
      <w:r w:rsidRPr="00A03C98">
        <w:rPr>
          <w:i/>
          <w:sz w:val="22"/>
        </w:rPr>
        <w:t>RESA v. Pa. P</w:t>
      </w:r>
      <w:r>
        <w:rPr>
          <w:i/>
          <w:sz w:val="22"/>
        </w:rPr>
        <w:t>ublic Utility Commission</w:t>
      </w:r>
      <w:r w:rsidRPr="00A03C98">
        <w:rPr>
          <w:sz w:val="22"/>
        </w:rPr>
        <w:t>, 230 C.D. 2017.</w:t>
      </w:r>
    </w:p>
  </w:footnote>
  <w:footnote w:id="108">
    <w:p w14:paraId="2C1291FC" w14:textId="77777777" w:rsidR="00B4135F" w:rsidRPr="008C1538" w:rsidRDefault="00B4135F">
      <w:pPr>
        <w:pStyle w:val="FootnoteText"/>
        <w:rPr>
          <w:sz w:val="22"/>
        </w:rPr>
      </w:pPr>
      <w:r w:rsidRPr="008C1538">
        <w:rPr>
          <w:rStyle w:val="FootnoteReference"/>
          <w:sz w:val="22"/>
        </w:rPr>
        <w:footnoteRef/>
      </w:r>
      <w:r w:rsidRPr="008C1538">
        <w:rPr>
          <w:sz w:val="22"/>
        </w:rPr>
        <w:t xml:space="preserve"> NRG Petition at 2-3, ¶¶ 15, 22-23, 25, 44-53.</w:t>
      </w:r>
    </w:p>
  </w:footnote>
  <w:footnote w:id="109">
    <w:p w14:paraId="5F7740CB" w14:textId="77777777" w:rsidR="00B4135F" w:rsidRPr="00C54D9C" w:rsidRDefault="00B4135F" w:rsidP="00957119">
      <w:pPr>
        <w:pStyle w:val="FootnoteText"/>
        <w:rPr>
          <w:sz w:val="22"/>
        </w:rPr>
      </w:pPr>
      <w:r w:rsidRPr="00C54D9C">
        <w:rPr>
          <w:rStyle w:val="FootnoteReference"/>
          <w:sz w:val="22"/>
        </w:rPr>
        <w:footnoteRef/>
      </w:r>
      <w:r>
        <w:rPr>
          <w:sz w:val="22"/>
        </w:rPr>
        <w:t xml:space="preserve"> NRG Petition at ¶¶ 12-15</w:t>
      </w:r>
      <w:r w:rsidRPr="00C54D9C">
        <w:rPr>
          <w:sz w:val="22"/>
        </w:rPr>
        <w:t>, 25, 55.</w:t>
      </w:r>
    </w:p>
  </w:footnote>
  <w:footnote w:id="110">
    <w:p w14:paraId="7CFD9A30" w14:textId="77777777" w:rsidR="00B4135F" w:rsidRPr="00FD29EE" w:rsidRDefault="00B4135F">
      <w:pPr>
        <w:pStyle w:val="FootnoteText"/>
        <w:rPr>
          <w:sz w:val="22"/>
        </w:rPr>
      </w:pPr>
      <w:r w:rsidRPr="00FD29EE">
        <w:rPr>
          <w:rStyle w:val="FootnoteReference"/>
          <w:sz w:val="22"/>
        </w:rPr>
        <w:footnoteRef/>
      </w:r>
      <w:r w:rsidRPr="00FD29EE">
        <w:rPr>
          <w:sz w:val="22"/>
        </w:rPr>
        <w:t xml:space="preserve"> NRG Petition at 2, </w:t>
      </w:r>
      <w:r>
        <w:rPr>
          <w:sz w:val="22"/>
        </w:rPr>
        <w:t>¶¶ 37(c), 57.</w:t>
      </w:r>
    </w:p>
  </w:footnote>
  <w:footnote w:id="111">
    <w:p w14:paraId="2811199A" w14:textId="77777777" w:rsidR="00B4135F" w:rsidRPr="00FD29EE" w:rsidRDefault="00B4135F" w:rsidP="002779C6">
      <w:pPr>
        <w:pStyle w:val="FootnoteText"/>
        <w:rPr>
          <w:sz w:val="22"/>
        </w:rPr>
      </w:pPr>
      <w:r w:rsidRPr="00FD29EE">
        <w:rPr>
          <w:rStyle w:val="FootnoteReference"/>
          <w:sz w:val="22"/>
        </w:rPr>
        <w:footnoteRef/>
      </w:r>
      <w:r w:rsidRPr="00FD29EE">
        <w:rPr>
          <w:sz w:val="22"/>
        </w:rPr>
        <w:t xml:space="preserve"> NRG Petition at </w:t>
      </w:r>
      <w:r>
        <w:rPr>
          <w:sz w:val="22"/>
        </w:rPr>
        <w:t xml:space="preserve">2, </w:t>
      </w:r>
      <w:r w:rsidRPr="00FD29EE">
        <w:rPr>
          <w:sz w:val="22"/>
        </w:rPr>
        <w:t>¶ 33 (See FN 54 for list of potential standards and requirements.).</w:t>
      </w:r>
    </w:p>
  </w:footnote>
  <w:footnote w:id="112">
    <w:p w14:paraId="330FEDA8" w14:textId="77777777" w:rsidR="00B4135F" w:rsidRPr="00A54D46" w:rsidRDefault="00B4135F">
      <w:pPr>
        <w:pStyle w:val="FootnoteText"/>
        <w:rPr>
          <w:sz w:val="22"/>
        </w:rPr>
      </w:pPr>
      <w:r w:rsidRPr="00A54D46">
        <w:rPr>
          <w:rStyle w:val="FootnoteReference"/>
          <w:sz w:val="22"/>
        </w:rPr>
        <w:footnoteRef/>
      </w:r>
      <w:r w:rsidRPr="00A54D46">
        <w:rPr>
          <w:sz w:val="22"/>
        </w:rPr>
        <w:t xml:space="preserve"> NRG Petition at ¶ 37(f).</w:t>
      </w:r>
    </w:p>
  </w:footnote>
  <w:footnote w:id="113">
    <w:p w14:paraId="051D0F2A" w14:textId="77777777" w:rsidR="00B4135F" w:rsidRPr="00FD29EE" w:rsidRDefault="00B4135F">
      <w:pPr>
        <w:pStyle w:val="FootnoteText"/>
        <w:rPr>
          <w:sz w:val="22"/>
        </w:rPr>
      </w:pPr>
      <w:r w:rsidRPr="00FD29EE">
        <w:rPr>
          <w:rStyle w:val="FootnoteReference"/>
          <w:sz w:val="22"/>
        </w:rPr>
        <w:footnoteRef/>
      </w:r>
      <w:r w:rsidRPr="00FD29EE">
        <w:rPr>
          <w:sz w:val="22"/>
        </w:rPr>
        <w:t xml:space="preserve"> NRG Petition at 3, ¶¶ 11, </w:t>
      </w:r>
      <w:r>
        <w:rPr>
          <w:sz w:val="22"/>
        </w:rPr>
        <w:t>35, 42, 54, 63-68.</w:t>
      </w:r>
    </w:p>
  </w:footnote>
  <w:footnote w:id="114">
    <w:p w14:paraId="46DB7C86" w14:textId="77777777" w:rsidR="00B4135F" w:rsidRPr="00F201C2" w:rsidRDefault="00B4135F">
      <w:pPr>
        <w:pStyle w:val="FootnoteText"/>
        <w:rPr>
          <w:sz w:val="22"/>
        </w:rPr>
      </w:pPr>
      <w:r w:rsidRPr="00F201C2">
        <w:rPr>
          <w:rStyle w:val="FootnoteReference"/>
          <w:sz w:val="22"/>
        </w:rPr>
        <w:footnoteRef/>
      </w:r>
      <w:r w:rsidRPr="00F201C2">
        <w:rPr>
          <w:sz w:val="22"/>
        </w:rPr>
        <w:t xml:space="preserve"> Direct Energy Comments at 4-5; RESA Comments at 4-8; WGL Energy Comments at 3-4.</w:t>
      </w:r>
    </w:p>
  </w:footnote>
  <w:footnote w:id="115">
    <w:p w14:paraId="6D44F858" w14:textId="77777777" w:rsidR="00B4135F" w:rsidRPr="00444415" w:rsidRDefault="00B4135F">
      <w:pPr>
        <w:pStyle w:val="FootnoteText"/>
        <w:rPr>
          <w:sz w:val="22"/>
        </w:rPr>
      </w:pPr>
      <w:r w:rsidRPr="00444415">
        <w:rPr>
          <w:rStyle w:val="FootnoteReference"/>
          <w:sz w:val="22"/>
        </w:rPr>
        <w:footnoteRef/>
      </w:r>
      <w:r w:rsidRPr="00444415">
        <w:rPr>
          <w:sz w:val="22"/>
        </w:rPr>
        <w:t xml:space="preserve"> FirstEnergy Answer at 17, ¶ 20; PPL at 19; UGI Answer at ¶ 48.</w:t>
      </w:r>
    </w:p>
  </w:footnote>
  <w:footnote w:id="116">
    <w:p w14:paraId="09F835BE" w14:textId="77777777" w:rsidR="00B4135F" w:rsidRPr="00444415" w:rsidRDefault="00B4135F">
      <w:pPr>
        <w:pStyle w:val="FootnoteText"/>
        <w:rPr>
          <w:sz w:val="22"/>
        </w:rPr>
      </w:pPr>
      <w:r w:rsidRPr="00444415">
        <w:rPr>
          <w:rStyle w:val="FootnoteReference"/>
          <w:sz w:val="22"/>
        </w:rPr>
        <w:footnoteRef/>
      </w:r>
      <w:r w:rsidRPr="00444415">
        <w:rPr>
          <w:sz w:val="22"/>
        </w:rPr>
        <w:t xml:space="preserve"> PECO</w:t>
      </w:r>
      <w:r>
        <w:rPr>
          <w:sz w:val="22"/>
        </w:rPr>
        <w:t xml:space="preserve"> Comments</w:t>
      </w:r>
      <w:r w:rsidRPr="00444415">
        <w:rPr>
          <w:sz w:val="22"/>
        </w:rPr>
        <w:t xml:space="preserve"> at 30</w:t>
      </w:r>
    </w:p>
  </w:footnote>
  <w:footnote w:id="117">
    <w:p w14:paraId="1232718C" w14:textId="77777777" w:rsidR="00B4135F" w:rsidRPr="00444415" w:rsidRDefault="00B4135F">
      <w:pPr>
        <w:pStyle w:val="FootnoteText"/>
        <w:rPr>
          <w:sz w:val="22"/>
        </w:rPr>
      </w:pPr>
      <w:r w:rsidRPr="00444415">
        <w:rPr>
          <w:rStyle w:val="FootnoteReference"/>
          <w:sz w:val="22"/>
        </w:rPr>
        <w:footnoteRef/>
      </w:r>
      <w:r w:rsidRPr="00444415">
        <w:rPr>
          <w:sz w:val="22"/>
        </w:rPr>
        <w:t xml:space="preserve"> PPL</w:t>
      </w:r>
      <w:r>
        <w:rPr>
          <w:sz w:val="22"/>
        </w:rPr>
        <w:t xml:space="preserve"> Comments</w:t>
      </w:r>
      <w:r w:rsidRPr="00444415">
        <w:rPr>
          <w:sz w:val="22"/>
        </w:rPr>
        <w:t xml:space="preserve"> at 19.</w:t>
      </w:r>
    </w:p>
  </w:footnote>
  <w:footnote w:id="118">
    <w:p w14:paraId="343AD230" w14:textId="77777777" w:rsidR="00B4135F" w:rsidRPr="0012725D" w:rsidRDefault="00B4135F">
      <w:pPr>
        <w:pStyle w:val="FootnoteText"/>
        <w:rPr>
          <w:sz w:val="22"/>
        </w:rPr>
      </w:pPr>
      <w:r w:rsidRPr="0012725D">
        <w:rPr>
          <w:rStyle w:val="FootnoteReference"/>
          <w:sz w:val="22"/>
        </w:rPr>
        <w:footnoteRef/>
      </w:r>
      <w:r w:rsidRPr="0012725D">
        <w:rPr>
          <w:sz w:val="22"/>
        </w:rPr>
        <w:t xml:space="preserve"> RESA Reply Comments at 7.</w:t>
      </w:r>
    </w:p>
  </w:footnote>
  <w:footnote w:id="119">
    <w:p w14:paraId="4F9E5C78" w14:textId="77777777" w:rsidR="00B4135F" w:rsidRPr="00E53D90" w:rsidRDefault="00B4135F">
      <w:pPr>
        <w:pStyle w:val="FootnoteText"/>
        <w:rPr>
          <w:sz w:val="22"/>
        </w:rPr>
      </w:pPr>
      <w:r w:rsidRPr="00E53D90">
        <w:rPr>
          <w:rStyle w:val="FootnoteReference"/>
          <w:sz w:val="22"/>
        </w:rPr>
        <w:footnoteRef/>
      </w:r>
      <w:r w:rsidRPr="00E53D90">
        <w:rPr>
          <w:sz w:val="22"/>
        </w:rPr>
        <w:t xml:space="preserve"> CAUSE PA Answer at ¶ 37(c); </w:t>
      </w:r>
      <w:r>
        <w:rPr>
          <w:sz w:val="22"/>
        </w:rPr>
        <w:t>Calpine Comments at 6; Industrial Customer Alliances Comments at 2</w:t>
      </w:r>
      <w:r>
        <w:rPr>
          <w:sz w:val="22"/>
        </w:rPr>
        <w:noBreakHyphen/>
        <w:t>3; OSBA Comments at 6; PECO Comments at 17-18; PPL Comments at 5, 17.</w:t>
      </w:r>
    </w:p>
  </w:footnote>
  <w:footnote w:id="120">
    <w:p w14:paraId="094E4A0E" w14:textId="77777777" w:rsidR="00B4135F" w:rsidRPr="001D7959" w:rsidRDefault="00B4135F">
      <w:pPr>
        <w:pStyle w:val="FootnoteText"/>
        <w:rPr>
          <w:sz w:val="22"/>
        </w:rPr>
      </w:pPr>
      <w:r w:rsidRPr="001D7959">
        <w:rPr>
          <w:rStyle w:val="FootnoteReference"/>
          <w:sz w:val="22"/>
        </w:rPr>
        <w:footnoteRef/>
      </w:r>
      <w:r w:rsidRPr="001D7959">
        <w:rPr>
          <w:sz w:val="22"/>
        </w:rPr>
        <w:t xml:space="preserve"> CAUSE PA Answer at ¶ 37(f); OCA Comments at 13; PECO Comments at 18-19.</w:t>
      </w:r>
    </w:p>
  </w:footnote>
  <w:footnote w:id="121">
    <w:p w14:paraId="1B7BA220" w14:textId="77777777" w:rsidR="00B4135F" w:rsidRPr="0039251E" w:rsidRDefault="00B4135F">
      <w:pPr>
        <w:pStyle w:val="FootnoteText"/>
        <w:rPr>
          <w:sz w:val="22"/>
        </w:rPr>
      </w:pPr>
      <w:r w:rsidRPr="0039251E">
        <w:rPr>
          <w:rStyle w:val="FootnoteReference"/>
          <w:sz w:val="22"/>
        </w:rPr>
        <w:footnoteRef/>
      </w:r>
      <w:r w:rsidRPr="0039251E">
        <w:rPr>
          <w:sz w:val="22"/>
        </w:rPr>
        <w:t xml:space="preserve"> CAUSE PA Answer at ¶¶ 15, 23, 35, 42, 67; </w:t>
      </w:r>
      <w:r>
        <w:rPr>
          <w:sz w:val="22"/>
        </w:rPr>
        <w:t>Citizens &amp; Wellsboro Comments at 2-6; Duquesne Comments at 18-20; FirstEnergy Answer at ¶¶ 64-65; Industrial Customer Alliances Comments at 5; OCA Comments at 5, 13-14, 17; PA AFL-CIO Comments at 5; PECO Comments at 14, 29, 33-34; PPL Comments at 19-21; TURN Comments at 4-5; UGI Comments at 4-5, Answer at ¶ 54.</w:t>
      </w:r>
    </w:p>
  </w:footnote>
  <w:footnote w:id="122">
    <w:p w14:paraId="71077173" w14:textId="77777777" w:rsidR="00B4135F" w:rsidRPr="00046BD0" w:rsidRDefault="00B4135F" w:rsidP="00C942B5">
      <w:pPr>
        <w:pStyle w:val="FootnoteText"/>
        <w:rPr>
          <w:sz w:val="22"/>
        </w:rPr>
      </w:pPr>
      <w:r w:rsidRPr="00046BD0">
        <w:rPr>
          <w:rStyle w:val="FootnoteReference"/>
          <w:sz w:val="22"/>
        </w:rPr>
        <w:footnoteRef/>
      </w:r>
      <w:r w:rsidRPr="00046BD0">
        <w:rPr>
          <w:sz w:val="22"/>
        </w:rPr>
        <w:t xml:space="preserve"> CAUSE PA Answer at ¶ 35; </w:t>
      </w:r>
      <w:r>
        <w:rPr>
          <w:sz w:val="22"/>
        </w:rPr>
        <w:t>Calpine Comments at 5-6; OCA Comments at 20.</w:t>
      </w:r>
    </w:p>
  </w:footnote>
  <w:footnote w:id="123">
    <w:p w14:paraId="45984216" w14:textId="77777777" w:rsidR="00B4135F" w:rsidRPr="004410A2" w:rsidRDefault="00B4135F">
      <w:pPr>
        <w:pStyle w:val="FootnoteText"/>
        <w:rPr>
          <w:sz w:val="22"/>
        </w:rPr>
      </w:pPr>
      <w:r w:rsidRPr="004410A2">
        <w:rPr>
          <w:rStyle w:val="FootnoteReference"/>
          <w:sz w:val="22"/>
        </w:rPr>
        <w:footnoteRef/>
      </w:r>
      <w:r w:rsidRPr="004410A2">
        <w:rPr>
          <w:sz w:val="22"/>
        </w:rPr>
        <w:t xml:space="preserve"> OCA Comments at 14-15.</w:t>
      </w:r>
    </w:p>
  </w:footnote>
  <w:footnote w:id="124">
    <w:p w14:paraId="7D2C22D3" w14:textId="77777777" w:rsidR="00B4135F" w:rsidRPr="00551269" w:rsidRDefault="00B4135F">
      <w:pPr>
        <w:pStyle w:val="FootnoteText"/>
        <w:rPr>
          <w:sz w:val="22"/>
        </w:rPr>
      </w:pPr>
      <w:r w:rsidRPr="00551269">
        <w:rPr>
          <w:rStyle w:val="FootnoteReference"/>
          <w:sz w:val="22"/>
        </w:rPr>
        <w:footnoteRef/>
      </w:r>
      <w:r w:rsidRPr="00551269">
        <w:rPr>
          <w:sz w:val="22"/>
        </w:rPr>
        <w:t xml:space="preserve"> NRG Reply Comments at 50-53.</w:t>
      </w:r>
    </w:p>
  </w:footnote>
  <w:footnote w:id="125">
    <w:p w14:paraId="2140FAE1" w14:textId="77777777" w:rsidR="00B4135F" w:rsidRPr="00985A72" w:rsidRDefault="00B4135F">
      <w:pPr>
        <w:pStyle w:val="FootnoteText"/>
        <w:rPr>
          <w:sz w:val="22"/>
        </w:rPr>
      </w:pPr>
      <w:r w:rsidRPr="00985A72">
        <w:rPr>
          <w:rStyle w:val="FootnoteReference"/>
          <w:sz w:val="22"/>
        </w:rPr>
        <w:footnoteRef/>
      </w:r>
      <w:r>
        <w:rPr>
          <w:sz w:val="22"/>
        </w:rPr>
        <w:t xml:space="preserve"> Calpine, the only EGS to raise any concerns about the ability of smaller EGSs to compete under SCB, did not oppose the Petition</w:t>
      </w:r>
      <w:r w:rsidRPr="00985A72">
        <w:rPr>
          <w:sz w:val="22"/>
        </w:rPr>
        <w:t>.</w:t>
      </w:r>
    </w:p>
  </w:footnote>
  <w:footnote w:id="126">
    <w:p w14:paraId="54E557E3" w14:textId="77777777" w:rsidR="00B4135F" w:rsidRPr="002F627E" w:rsidRDefault="00B4135F">
      <w:pPr>
        <w:pStyle w:val="FootnoteText"/>
        <w:rPr>
          <w:sz w:val="22"/>
        </w:rPr>
      </w:pPr>
      <w:r w:rsidRPr="002F627E">
        <w:rPr>
          <w:rStyle w:val="FootnoteReference"/>
          <w:sz w:val="22"/>
        </w:rPr>
        <w:footnoteRef/>
      </w:r>
      <w:r w:rsidRPr="002F627E">
        <w:rPr>
          <w:sz w:val="22"/>
        </w:rPr>
        <w:t xml:space="preserve"> NRG Reply Comments at 87-88.</w:t>
      </w:r>
    </w:p>
  </w:footnote>
  <w:footnote w:id="127">
    <w:p w14:paraId="7D698A9C" w14:textId="77777777" w:rsidR="00B4135F" w:rsidRPr="00E42153" w:rsidRDefault="00B4135F">
      <w:pPr>
        <w:pStyle w:val="FootnoteText"/>
        <w:rPr>
          <w:sz w:val="22"/>
        </w:rPr>
      </w:pPr>
      <w:r w:rsidRPr="00E42153">
        <w:rPr>
          <w:rStyle w:val="FootnoteReference"/>
          <w:sz w:val="22"/>
        </w:rPr>
        <w:footnoteRef/>
      </w:r>
      <w:r w:rsidRPr="00E42153">
        <w:rPr>
          <w:sz w:val="22"/>
        </w:rPr>
        <w:t xml:space="preserve"> NRG Reply Comments at 73.</w:t>
      </w:r>
    </w:p>
  </w:footnote>
  <w:footnote w:id="128">
    <w:p w14:paraId="54F77922" w14:textId="77777777" w:rsidR="00B4135F" w:rsidRPr="00551269" w:rsidRDefault="00B4135F">
      <w:pPr>
        <w:pStyle w:val="FootnoteText"/>
        <w:rPr>
          <w:sz w:val="22"/>
        </w:rPr>
      </w:pPr>
      <w:r w:rsidRPr="00551269">
        <w:rPr>
          <w:rStyle w:val="FootnoteReference"/>
          <w:sz w:val="22"/>
        </w:rPr>
        <w:footnoteRef/>
      </w:r>
      <w:r w:rsidRPr="00551269">
        <w:rPr>
          <w:sz w:val="22"/>
        </w:rPr>
        <w:t xml:space="preserve"> NRG Reply Comments at 78- 81.</w:t>
      </w:r>
    </w:p>
  </w:footnote>
  <w:footnote w:id="129">
    <w:p w14:paraId="34EEEDEF" w14:textId="77777777" w:rsidR="00B4135F" w:rsidRPr="009133A3" w:rsidRDefault="00B4135F" w:rsidP="006414BA">
      <w:pPr>
        <w:pStyle w:val="FootnoteText"/>
        <w:rPr>
          <w:sz w:val="22"/>
        </w:rPr>
      </w:pPr>
      <w:r w:rsidRPr="009133A3">
        <w:rPr>
          <w:rStyle w:val="FootnoteReference"/>
          <w:sz w:val="22"/>
        </w:rPr>
        <w:footnoteRef/>
      </w:r>
      <w:r w:rsidRPr="009133A3">
        <w:rPr>
          <w:sz w:val="22"/>
        </w:rPr>
        <w:t xml:space="preserve"> 66 Pa. C.S. §§ 2802(3), (12), (13); 2804(2).</w:t>
      </w:r>
    </w:p>
  </w:footnote>
  <w:footnote w:id="130">
    <w:p w14:paraId="4D2AC8D5" w14:textId="77777777" w:rsidR="00B4135F" w:rsidRPr="00FD29EE" w:rsidRDefault="00B4135F">
      <w:pPr>
        <w:pStyle w:val="FootnoteText"/>
        <w:rPr>
          <w:sz w:val="22"/>
        </w:rPr>
      </w:pPr>
      <w:r w:rsidRPr="00FD29EE">
        <w:rPr>
          <w:rStyle w:val="FootnoteReference"/>
          <w:sz w:val="22"/>
        </w:rPr>
        <w:footnoteRef/>
      </w:r>
      <w:r w:rsidRPr="00FD29EE">
        <w:rPr>
          <w:sz w:val="22"/>
        </w:rPr>
        <w:t xml:space="preserve"> NRG Petition at ¶¶ </w:t>
      </w:r>
      <w:r>
        <w:rPr>
          <w:sz w:val="22"/>
        </w:rPr>
        <w:t xml:space="preserve">27, </w:t>
      </w:r>
      <w:r w:rsidRPr="00FD29EE">
        <w:rPr>
          <w:sz w:val="22"/>
        </w:rPr>
        <w:t>28</w:t>
      </w:r>
      <w:r>
        <w:rPr>
          <w:sz w:val="22"/>
        </w:rPr>
        <w:t>, 37(a), 54, Appendix A, Question #4.</w:t>
      </w:r>
    </w:p>
  </w:footnote>
  <w:footnote w:id="131">
    <w:p w14:paraId="7D677981" w14:textId="77777777" w:rsidR="00B4135F" w:rsidRPr="009E5637" w:rsidRDefault="00B4135F">
      <w:pPr>
        <w:pStyle w:val="FootnoteText"/>
        <w:rPr>
          <w:sz w:val="22"/>
        </w:rPr>
      </w:pPr>
      <w:r w:rsidRPr="009E5637">
        <w:rPr>
          <w:rStyle w:val="FootnoteReference"/>
          <w:sz w:val="22"/>
        </w:rPr>
        <w:footnoteRef/>
      </w:r>
      <w:r w:rsidRPr="009E5637">
        <w:rPr>
          <w:sz w:val="22"/>
        </w:rPr>
        <w:t xml:space="preserve"> CAUSE PA Answer at ¶ 15; </w:t>
      </w:r>
      <w:r>
        <w:rPr>
          <w:sz w:val="22"/>
        </w:rPr>
        <w:t>OCA Comments at 3-5; OSBA Comments at 4; PECO Comments at 13.</w:t>
      </w:r>
    </w:p>
  </w:footnote>
  <w:footnote w:id="132">
    <w:p w14:paraId="05AD39CF" w14:textId="77777777" w:rsidR="00B4135F" w:rsidRPr="009E5637" w:rsidRDefault="00B4135F">
      <w:pPr>
        <w:pStyle w:val="FootnoteText"/>
        <w:rPr>
          <w:sz w:val="22"/>
        </w:rPr>
      </w:pPr>
      <w:r w:rsidRPr="009E5637">
        <w:rPr>
          <w:rStyle w:val="FootnoteReference"/>
          <w:sz w:val="22"/>
        </w:rPr>
        <w:footnoteRef/>
      </w:r>
      <w:r w:rsidRPr="009E5637">
        <w:rPr>
          <w:sz w:val="22"/>
        </w:rPr>
        <w:t xml:space="preserve"> </w:t>
      </w:r>
      <w:r>
        <w:rPr>
          <w:sz w:val="22"/>
        </w:rPr>
        <w:t>FirstEnergy Answer at 9; PA AFL-CIO Comments at 3-4.</w:t>
      </w:r>
    </w:p>
  </w:footnote>
  <w:footnote w:id="133">
    <w:p w14:paraId="618F7C0F" w14:textId="77777777" w:rsidR="00B4135F" w:rsidRPr="0077069B" w:rsidRDefault="00B4135F">
      <w:pPr>
        <w:pStyle w:val="FootnoteText"/>
        <w:rPr>
          <w:sz w:val="22"/>
        </w:rPr>
      </w:pPr>
      <w:r w:rsidRPr="0077069B">
        <w:rPr>
          <w:rStyle w:val="FootnoteReference"/>
          <w:sz w:val="22"/>
        </w:rPr>
        <w:footnoteRef/>
      </w:r>
      <w:r w:rsidRPr="0077069B">
        <w:rPr>
          <w:sz w:val="22"/>
        </w:rPr>
        <w:t xml:space="preserve"> Duquesne Comments at 18-19.</w:t>
      </w:r>
    </w:p>
  </w:footnote>
  <w:footnote w:id="134">
    <w:p w14:paraId="58973EB0" w14:textId="77777777" w:rsidR="00B4135F" w:rsidRPr="003B0CF6" w:rsidRDefault="00B4135F">
      <w:pPr>
        <w:pStyle w:val="FootnoteText"/>
        <w:rPr>
          <w:sz w:val="22"/>
        </w:rPr>
      </w:pPr>
      <w:r w:rsidRPr="003B0CF6">
        <w:rPr>
          <w:rStyle w:val="FootnoteReference"/>
          <w:sz w:val="22"/>
        </w:rPr>
        <w:footnoteRef/>
      </w:r>
      <w:r w:rsidRPr="003B0CF6">
        <w:rPr>
          <w:sz w:val="22"/>
        </w:rPr>
        <w:t xml:space="preserve"> PECO Comments at 30.</w:t>
      </w:r>
    </w:p>
  </w:footnote>
  <w:footnote w:id="135">
    <w:p w14:paraId="3D4CCDB7" w14:textId="77777777" w:rsidR="00B4135F" w:rsidRPr="00451141" w:rsidRDefault="00B4135F">
      <w:pPr>
        <w:pStyle w:val="FootnoteText"/>
        <w:rPr>
          <w:sz w:val="22"/>
        </w:rPr>
      </w:pPr>
      <w:r w:rsidRPr="00451141">
        <w:rPr>
          <w:rStyle w:val="FootnoteReference"/>
          <w:sz w:val="22"/>
        </w:rPr>
        <w:footnoteRef/>
      </w:r>
      <w:r w:rsidRPr="00451141">
        <w:rPr>
          <w:sz w:val="22"/>
        </w:rPr>
        <w:t xml:space="preserve"> PPL Comments at 21-22.</w:t>
      </w:r>
    </w:p>
  </w:footnote>
  <w:footnote w:id="136">
    <w:p w14:paraId="467CAEE9" w14:textId="77777777" w:rsidR="00B4135F" w:rsidRPr="007055E2" w:rsidRDefault="00B4135F">
      <w:pPr>
        <w:pStyle w:val="FootnoteText"/>
        <w:rPr>
          <w:sz w:val="22"/>
        </w:rPr>
      </w:pPr>
      <w:r w:rsidRPr="007055E2">
        <w:rPr>
          <w:rStyle w:val="FootnoteReference"/>
          <w:sz w:val="22"/>
        </w:rPr>
        <w:footnoteRef/>
      </w:r>
      <w:r w:rsidRPr="007055E2">
        <w:rPr>
          <w:sz w:val="22"/>
        </w:rPr>
        <w:t xml:space="preserve"> OSBA Comments at 6.</w:t>
      </w:r>
    </w:p>
  </w:footnote>
  <w:footnote w:id="137">
    <w:p w14:paraId="384EFAC9" w14:textId="77777777" w:rsidR="00B4135F" w:rsidRPr="0013281A" w:rsidRDefault="00B4135F">
      <w:pPr>
        <w:pStyle w:val="FootnoteText"/>
        <w:rPr>
          <w:sz w:val="22"/>
        </w:rPr>
      </w:pPr>
      <w:r w:rsidRPr="0013281A">
        <w:rPr>
          <w:rStyle w:val="FootnoteReference"/>
          <w:sz w:val="22"/>
        </w:rPr>
        <w:footnoteRef/>
      </w:r>
      <w:r w:rsidRPr="0013281A">
        <w:rPr>
          <w:sz w:val="22"/>
        </w:rPr>
        <w:t xml:space="preserve"> NRG Reply Comments at 56-58.</w:t>
      </w:r>
    </w:p>
  </w:footnote>
  <w:footnote w:id="138">
    <w:p w14:paraId="48F7B834" w14:textId="77777777" w:rsidR="00B4135F" w:rsidRPr="008C7F62" w:rsidRDefault="00B4135F">
      <w:pPr>
        <w:pStyle w:val="FootnoteText"/>
        <w:rPr>
          <w:sz w:val="22"/>
        </w:rPr>
      </w:pPr>
      <w:r w:rsidRPr="008C7F62">
        <w:rPr>
          <w:rStyle w:val="FootnoteReference"/>
          <w:sz w:val="22"/>
        </w:rPr>
        <w:footnoteRef/>
      </w:r>
      <w:r w:rsidRPr="008C7F62">
        <w:rPr>
          <w:sz w:val="22"/>
        </w:rPr>
        <w:t xml:space="preserve"> NRG Reply Comments at 84.</w:t>
      </w:r>
    </w:p>
  </w:footnote>
  <w:footnote w:id="139">
    <w:p w14:paraId="62626BCB" w14:textId="77777777" w:rsidR="00B4135F" w:rsidRPr="00B13E39" w:rsidRDefault="00B4135F">
      <w:pPr>
        <w:pStyle w:val="FootnoteText"/>
        <w:rPr>
          <w:sz w:val="22"/>
        </w:rPr>
      </w:pPr>
      <w:r w:rsidRPr="00B13E39">
        <w:rPr>
          <w:rStyle w:val="FootnoteReference"/>
          <w:sz w:val="22"/>
        </w:rPr>
        <w:footnoteRef/>
      </w:r>
      <w:r w:rsidRPr="00B13E39">
        <w:rPr>
          <w:sz w:val="22"/>
        </w:rPr>
        <w:t xml:space="preserve"> NRG Petition at ¶ 33.</w:t>
      </w:r>
    </w:p>
  </w:footnote>
  <w:footnote w:id="140">
    <w:p w14:paraId="74CE40D5" w14:textId="77777777" w:rsidR="00B4135F" w:rsidRPr="00B13E39" w:rsidRDefault="00B4135F">
      <w:pPr>
        <w:pStyle w:val="FootnoteText"/>
        <w:rPr>
          <w:sz w:val="22"/>
        </w:rPr>
      </w:pPr>
      <w:r w:rsidRPr="00B13E39">
        <w:rPr>
          <w:rStyle w:val="FootnoteReference"/>
          <w:sz w:val="22"/>
        </w:rPr>
        <w:footnoteRef/>
      </w:r>
      <w:r w:rsidRPr="00B13E39">
        <w:rPr>
          <w:sz w:val="22"/>
        </w:rPr>
        <w:t xml:space="preserve"> NRG Reply Comments at 14-15.</w:t>
      </w:r>
    </w:p>
  </w:footnote>
  <w:footnote w:id="141">
    <w:p w14:paraId="279A0F69" w14:textId="77777777" w:rsidR="00B4135F" w:rsidRPr="000C174D" w:rsidRDefault="00B4135F">
      <w:pPr>
        <w:pStyle w:val="FootnoteText"/>
        <w:rPr>
          <w:sz w:val="22"/>
        </w:rPr>
      </w:pPr>
      <w:r w:rsidRPr="000C174D">
        <w:rPr>
          <w:rStyle w:val="FootnoteReference"/>
          <w:sz w:val="22"/>
        </w:rPr>
        <w:footnoteRef/>
      </w:r>
      <w:r w:rsidRPr="000C174D">
        <w:rPr>
          <w:sz w:val="22"/>
        </w:rPr>
        <w:t xml:space="preserve"> See 66 Pa. C.S. §§ 2802(16), 2803 (definition of default service provider), and 2807(e</w:t>
      </w:r>
      <w:proofErr w:type="gramStart"/>
      <w:r w:rsidRPr="000C174D">
        <w:rPr>
          <w:sz w:val="22"/>
        </w:rPr>
        <w:t>)(</w:t>
      </w:r>
      <w:proofErr w:type="gramEnd"/>
      <w:r w:rsidRPr="000C174D">
        <w:rPr>
          <w:sz w:val="22"/>
        </w:rPr>
        <w:t>3.1); 52 Pa. Code § 54.183.</w:t>
      </w:r>
    </w:p>
  </w:footnote>
  <w:footnote w:id="142">
    <w:p w14:paraId="5C4DF580" w14:textId="77777777" w:rsidR="00B4135F" w:rsidRPr="00DB6D55" w:rsidRDefault="00B4135F">
      <w:pPr>
        <w:pStyle w:val="FootnoteText"/>
        <w:rPr>
          <w:sz w:val="22"/>
        </w:rPr>
      </w:pPr>
      <w:r w:rsidRPr="00DB6D55">
        <w:rPr>
          <w:rStyle w:val="FootnoteReference"/>
          <w:sz w:val="22"/>
        </w:rPr>
        <w:footnoteRef/>
      </w:r>
      <w:r w:rsidRPr="00DB6D55">
        <w:rPr>
          <w:sz w:val="22"/>
        </w:rPr>
        <w:t xml:space="preserve"> </w:t>
      </w:r>
      <w:r w:rsidRPr="00DB6D55">
        <w:rPr>
          <w:i/>
          <w:sz w:val="22"/>
        </w:rPr>
        <w:t>End State Final Order</w:t>
      </w:r>
      <w:r w:rsidRPr="00DB6D55">
        <w:rPr>
          <w:sz w:val="22"/>
        </w:rPr>
        <w:t xml:space="preserve"> at pgs. 66-67.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5AB0DE4"/>
    <w:multiLevelType w:val="hybridMultilevel"/>
    <w:tmpl w:val="2E2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6F68"/>
    <w:multiLevelType w:val="hybridMultilevel"/>
    <w:tmpl w:val="E0385B3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12B0"/>
    <w:multiLevelType w:val="hybridMultilevel"/>
    <w:tmpl w:val="C1986A28"/>
    <w:lvl w:ilvl="0" w:tplc="CB342F9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546E4"/>
    <w:multiLevelType w:val="hybridMultilevel"/>
    <w:tmpl w:val="4C085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7614E"/>
    <w:multiLevelType w:val="hybridMultilevel"/>
    <w:tmpl w:val="6D9ED0B4"/>
    <w:lvl w:ilvl="0" w:tplc="04090011">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 w15:restartNumberingAfterBreak="0">
    <w:nsid w:val="2D8D4207"/>
    <w:multiLevelType w:val="hybridMultilevel"/>
    <w:tmpl w:val="D116C3C4"/>
    <w:lvl w:ilvl="0" w:tplc="DD9E776A">
      <w:start w:val="1"/>
      <w:numFmt w:val="lowerRoman"/>
      <w:lvlText w:val="(%1)"/>
      <w:lvlJc w:val="left"/>
      <w:pPr>
        <w:ind w:left="2520" w:hanging="720"/>
      </w:pPr>
      <w:rPr>
        <w:rFonts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7" w15:restartNumberingAfterBreak="0">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266AAC"/>
    <w:multiLevelType w:val="hybridMultilevel"/>
    <w:tmpl w:val="0A1E8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B074B37"/>
    <w:multiLevelType w:val="hybridMultilevel"/>
    <w:tmpl w:val="9C8E8968"/>
    <w:lvl w:ilvl="0" w:tplc="40207138">
      <w:start w:val="1"/>
      <w:numFmt w:val="upperRoman"/>
      <w:lvlText w:val="%1."/>
      <w:lvlJc w:val="left"/>
      <w:pPr>
        <w:ind w:left="225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BA08C7"/>
    <w:multiLevelType w:val="hybridMultilevel"/>
    <w:tmpl w:val="B2922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06924"/>
    <w:multiLevelType w:val="hybridMultilevel"/>
    <w:tmpl w:val="37400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24815"/>
    <w:multiLevelType w:val="hybridMultilevel"/>
    <w:tmpl w:val="188C2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F7300"/>
    <w:multiLevelType w:val="hybridMultilevel"/>
    <w:tmpl w:val="6A92C3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BF646E"/>
    <w:multiLevelType w:val="hybridMultilevel"/>
    <w:tmpl w:val="46A6B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7"/>
  </w:num>
  <w:num w:numId="3">
    <w:abstractNumId w:val="15"/>
  </w:num>
  <w:num w:numId="4">
    <w:abstractNumId w:val="6"/>
  </w:num>
  <w:num w:numId="5">
    <w:abstractNumId w:val="2"/>
  </w:num>
  <w:num w:numId="6">
    <w:abstractNumId w:val="8"/>
  </w:num>
  <w:num w:numId="7">
    <w:abstractNumId w:val="1"/>
  </w:num>
  <w:num w:numId="8">
    <w:abstractNumId w:val="12"/>
  </w:num>
  <w:num w:numId="9">
    <w:abstractNumId w:val="14"/>
  </w:num>
  <w:num w:numId="10">
    <w:abstractNumId w:val="13"/>
  </w:num>
  <w:num w:numId="11">
    <w:abstractNumId w:val="5"/>
  </w:num>
  <w:num w:numId="12">
    <w:abstractNumId w:val="11"/>
  </w:num>
  <w:num w:numId="13">
    <w:abstractNumId w:val="10"/>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B90"/>
    <w:rsid w:val="00000D4B"/>
    <w:rsid w:val="0000186B"/>
    <w:rsid w:val="000033FA"/>
    <w:rsid w:val="00003550"/>
    <w:rsid w:val="0000404D"/>
    <w:rsid w:val="00005604"/>
    <w:rsid w:val="00006328"/>
    <w:rsid w:val="000078A9"/>
    <w:rsid w:val="000104B8"/>
    <w:rsid w:val="000113F3"/>
    <w:rsid w:val="00013160"/>
    <w:rsid w:val="00013F5C"/>
    <w:rsid w:val="0001427A"/>
    <w:rsid w:val="00014625"/>
    <w:rsid w:val="00014627"/>
    <w:rsid w:val="0001476B"/>
    <w:rsid w:val="00014C9D"/>
    <w:rsid w:val="00014D84"/>
    <w:rsid w:val="00014E04"/>
    <w:rsid w:val="000171C0"/>
    <w:rsid w:val="000178EA"/>
    <w:rsid w:val="00020E3F"/>
    <w:rsid w:val="000214D0"/>
    <w:rsid w:val="00021B6B"/>
    <w:rsid w:val="00023014"/>
    <w:rsid w:val="00023996"/>
    <w:rsid w:val="00023C01"/>
    <w:rsid w:val="00023CBA"/>
    <w:rsid w:val="00025631"/>
    <w:rsid w:val="00025E38"/>
    <w:rsid w:val="00026186"/>
    <w:rsid w:val="00032074"/>
    <w:rsid w:val="00032633"/>
    <w:rsid w:val="000326C9"/>
    <w:rsid w:val="00033986"/>
    <w:rsid w:val="000340AB"/>
    <w:rsid w:val="000354DB"/>
    <w:rsid w:val="00035782"/>
    <w:rsid w:val="000357B4"/>
    <w:rsid w:val="000358B8"/>
    <w:rsid w:val="00035E87"/>
    <w:rsid w:val="00037BDE"/>
    <w:rsid w:val="00040095"/>
    <w:rsid w:val="00040110"/>
    <w:rsid w:val="000404ED"/>
    <w:rsid w:val="000405BA"/>
    <w:rsid w:val="00040771"/>
    <w:rsid w:val="000408A3"/>
    <w:rsid w:val="00041050"/>
    <w:rsid w:val="00041AAB"/>
    <w:rsid w:val="00042BD2"/>
    <w:rsid w:val="000436EE"/>
    <w:rsid w:val="000442E2"/>
    <w:rsid w:val="00044369"/>
    <w:rsid w:val="000445A0"/>
    <w:rsid w:val="0004576B"/>
    <w:rsid w:val="00045992"/>
    <w:rsid w:val="00046BD0"/>
    <w:rsid w:val="00046E64"/>
    <w:rsid w:val="0004702C"/>
    <w:rsid w:val="00047941"/>
    <w:rsid w:val="000503F6"/>
    <w:rsid w:val="000508CC"/>
    <w:rsid w:val="000509E7"/>
    <w:rsid w:val="000512EE"/>
    <w:rsid w:val="00051359"/>
    <w:rsid w:val="0005200D"/>
    <w:rsid w:val="00052A56"/>
    <w:rsid w:val="00053278"/>
    <w:rsid w:val="00056097"/>
    <w:rsid w:val="0005613C"/>
    <w:rsid w:val="00057B14"/>
    <w:rsid w:val="0006065A"/>
    <w:rsid w:val="00060A2D"/>
    <w:rsid w:val="00060BD8"/>
    <w:rsid w:val="00060C2E"/>
    <w:rsid w:val="00060D77"/>
    <w:rsid w:val="000612AD"/>
    <w:rsid w:val="00061698"/>
    <w:rsid w:val="00061D82"/>
    <w:rsid w:val="000626B0"/>
    <w:rsid w:val="000635C2"/>
    <w:rsid w:val="0006454D"/>
    <w:rsid w:val="0006482A"/>
    <w:rsid w:val="000651AC"/>
    <w:rsid w:val="0006536F"/>
    <w:rsid w:val="00065AF8"/>
    <w:rsid w:val="00065B19"/>
    <w:rsid w:val="00065F38"/>
    <w:rsid w:val="000660E4"/>
    <w:rsid w:val="00066765"/>
    <w:rsid w:val="000673C2"/>
    <w:rsid w:val="00067454"/>
    <w:rsid w:val="000675A4"/>
    <w:rsid w:val="00067E5F"/>
    <w:rsid w:val="000705BB"/>
    <w:rsid w:val="00070AF3"/>
    <w:rsid w:val="00070F7D"/>
    <w:rsid w:val="000712EB"/>
    <w:rsid w:val="000713C1"/>
    <w:rsid w:val="0007169A"/>
    <w:rsid w:val="00072560"/>
    <w:rsid w:val="00073945"/>
    <w:rsid w:val="000740DC"/>
    <w:rsid w:val="0007458E"/>
    <w:rsid w:val="00075D62"/>
    <w:rsid w:val="00075EB1"/>
    <w:rsid w:val="000771E5"/>
    <w:rsid w:val="000772AE"/>
    <w:rsid w:val="00077431"/>
    <w:rsid w:val="0007790A"/>
    <w:rsid w:val="00080FD3"/>
    <w:rsid w:val="000811B9"/>
    <w:rsid w:val="00081FB8"/>
    <w:rsid w:val="00081FE5"/>
    <w:rsid w:val="00082051"/>
    <w:rsid w:val="00082E5E"/>
    <w:rsid w:val="00082E6B"/>
    <w:rsid w:val="00082FDD"/>
    <w:rsid w:val="00083D3A"/>
    <w:rsid w:val="000846BC"/>
    <w:rsid w:val="0008477A"/>
    <w:rsid w:val="00084E41"/>
    <w:rsid w:val="0008513C"/>
    <w:rsid w:val="00085A75"/>
    <w:rsid w:val="000868F6"/>
    <w:rsid w:val="000905EB"/>
    <w:rsid w:val="00091EA5"/>
    <w:rsid w:val="0009221B"/>
    <w:rsid w:val="00092C0A"/>
    <w:rsid w:val="00094807"/>
    <w:rsid w:val="00094A82"/>
    <w:rsid w:val="00094F9A"/>
    <w:rsid w:val="0009531E"/>
    <w:rsid w:val="0009657F"/>
    <w:rsid w:val="00096FC3"/>
    <w:rsid w:val="000A0802"/>
    <w:rsid w:val="000A117A"/>
    <w:rsid w:val="000A162D"/>
    <w:rsid w:val="000A2228"/>
    <w:rsid w:val="000A2476"/>
    <w:rsid w:val="000A2B43"/>
    <w:rsid w:val="000A2C5F"/>
    <w:rsid w:val="000A3C15"/>
    <w:rsid w:val="000A3FB6"/>
    <w:rsid w:val="000A41AE"/>
    <w:rsid w:val="000A4A45"/>
    <w:rsid w:val="000A6AC7"/>
    <w:rsid w:val="000B1222"/>
    <w:rsid w:val="000B1788"/>
    <w:rsid w:val="000B1AB3"/>
    <w:rsid w:val="000B20C3"/>
    <w:rsid w:val="000B2D3E"/>
    <w:rsid w:val="000B3458"/>
    <w:rsid w:val="000B35D7"/>
    <w:rsid w:val="000B37C2"/>
    <w:rsid w:val="000B386C"/>
    <w:rsid w:val="000B4252"/>
    <w:rsid w:val="000B4407"/>
    <w:rsid w:val="000B58B0"/>
    <w:rsid w:val="000B68D3"/>
    <w:rsid w:val="000B6A8E"/>
    <w:rsid w:val="000B6ADF"/>
    <w:rsid w:val="000B75BC"/>
    <w:rsid w:val="000C0B47"/>
    <w:rsid w:val="000C15F4"/>
    <w:rsid w:val="000C174D"/>
    <w:rsid w:val="000C1972"/>
    <w:rsid w:val="000C1BC1"/>
    <w:rsid w:val="000C1DD1"/>
    <w:rsid w:val="000C2809"/>
    <w:rsid w:val="000C4B19"/>
    <w:rsid w:val="000C4CE7"/>
    <w:rsid w:val="000C54F6"/>
    <w:rsid w:val="000C5B97"/>
    <w:rsid w:val="000C5CF7"/>
    <w:rsid w:val="000C6D0E"/>
    <w:rsid w:val="000C7DF1"/>
    <w:rsid w:val="000D024E"/>
    <w:rsid w:val="000D0650"/>
    <w:rsid w:val="000D17A8"/>
    <w:rsid w:val="000D1902"/>
    <w:rsid w:val="000D3868"/>
    <w:rsid w:val="000D38C8"/>
    <w:rsid w:val="000D411D"/>
    <w:rsid w:val="000D4CF2"/>
    <w:rsid w:val="000D585D"/>
    <w:rsid w:val="000D5E68"/>
    <w:rsid w:val="000D64D3"/>
    <w:rsid w:val="000D65F3"/>
    <w:rsid w:val="000D66CF"/>
    <w:rsid w:val="000D68A5"/>
    <w:rsid w:val="000D6E5C"/>
    <w:rsid w:val="000D78F9"/>
    <w:rsid w:val="000D7C1B"/>
    <w:rsid w:val="000E097C"/>
    <w:rsid w:val="000E1785"/>
    <w:rsid w:val="000E19F2"/>
    <w:rsid w:val="000E1E51"/>
    <w:rsid w:val="000E2640"/>
    <w:rsid w:val="000E2CE6"/>
    <w:rsid w:val="000E2DF0"/>
    <w:rsid w:val="000E3A65"/>
    <w:rsid w:val="000E3DA5"/>
    <w:rsid w:val="000E3ECD"/>
    <w:rsid w:val="000E3F46"/>
    <w:rsid w:val="000E44F6"/>
    <w:rsid w:val="000E45CE"/>
    <w:rsid w:val="000E4A72"/>
    <w:rsid w:val="000E4C15"/>
    <w:rsid w:val="000E6410"/>
    <w:rsid w:val="000E641F"/>
    <w:rsid w:val="000E64D7"/>
    <w:rsid w:val="000E6873"/>
    <w:rsid w:val="000E72DB"/>
    <w:rsid w:val="000E791E"/>
    <w:rsid w:val="000F0080"/>
    <w:rsid w:val="000F038F"/>
    <w:rsid w:val="000F0AB8"/>
    <w:rsid w:val="000F13B9"/>
    <w:rsid w:val="000F1611"/>
    <w:rsid w:val="000F291E"/>
    <w:rsid w:val="000F2B89"/>
    <w:rsid w:val="000F2D50"/>
    <w:rsid w:val="000F2DF9"/>
    <w:rsid w:val="000F3610"/>
    <w:rsid w:val="000F3689"/>
    <w:rsid w:val="000F42EC"/>
    <w:rsid w:val="000F452F"/>
    <w:rsid w:val="000F69A3"/>
    <w:rsid w:val="000F7EB5"/>
    <w:rsid w:val="0010058B"/>
    <w:rsid w:val="00100962"/>
    <w:rsid w:val="0010119B"/>
    <w:rsid w:val="0010211D"/>
    <w:rsid w:val="0010242F"/>
    <w:rsid w:val="001029A3"/>
    <w:rsid w:val="00102BD3"/>
    <w:rsid w:val="00103709"/>
    <w:rsid w:val="00103976"/>
    <w:rsid w:val="00103EC7"/>
    <w:rsid w:val="001053ED"/>
    <w:rsid w:val="00105C9F"/>
    <w:rsid w:val="00106D84"/>
    <w:rsid w:val="00107AB8"/>
    <w:rsid w:val="0011036C"/>
    <w:rsid w:val="00110D3A"/>
    <w:rsid w:val="001114CC"/>
    <w:rsid w:val="001119EF"/>
    <w:rsid w:val="00111F40"/>
    <w:rsid w:val="0011216F"/>
    <w:rsid w:val="001128EC"/>
    <w:rsid w:val="00113868"/>
    <w:rsid w:val="00114624"/>
    <w:rsid w:val="00114C8F"/>
    <w:rsid w:val="0011608A"/>
    <w:rsid w:val="0011723F"/>
    <w:rsid w:val="00117384"/>
    <w:rsid w:val="0011754B"/>
    <w:rsid w:val="0011764D"/>
    <w:rsid w:val="001209AE"/>
    <w:rsid w:val="001209EC"/>
    <w:rsid w:val="00120EB4"/>
    <w:rsid w:val="00121653"/>
    <w:rsid w:val="00121A96"/>
    <w:rsid w:val="00121BCA"/>
    <w:rsid w:val="00121FFF"/>
    <w:rsid w:val="0012202D"/>
    <w:rsid w:val="00122AE2"/>
    <w:rsid w:val="001238FC"/>
    <w:rsid w:val="00123C9D"/>
    <w:rsid w:val="001250D3"/>
    <w:rsid w:val="00125C15"/>
    <w:rsid w:val="001269BE"/>
    <w:rsid w:val="00126A2D"/>
    <w:rsid w:val="0012725D"/>
    <w:rsid w:val="00127415"/>
    <w:rsid w:val="00130289"/>
    <w:rsid w:val="00130A50"/>
    <w:rsid w:val="00130ADC"/>
    <w:rsid w:val="001316CF"/>
    <w:rsid w:val="0013281A"/>
    <w:rsid w:val="00133859"/>
    <w:rsid w:val="001346C9"/>
    <w:rsid w:val="00134879"/>
    <w:rsid w:val="00134966"/>
    <w:rsid w:val="00134C77"/>
    <w:rsid w:val="00136678"/>
    <w:rsid w:val="00136B2B"/>
    <w:rsid w:val="00137392"/>
    <w:rsid w:val="00137C85"/>
    <w:rsid w:val="00137D8F"/>
    <w:rsid w:val="00140201"/>
    <w:rsid w:val="0014064D"/>
    <w:rsid w:val="0014091E"/>
    <w:rsid w:val="001411BD"/>
    <w:rsid w:val="00141B71"/>
    <w:rsid w:val="00141D63"/>
    <w:rsid w:val="00141DA9"/>
    <w:rsid w:val="00141EEB"/>
    <w:rsid w:val="001424A2"/>
    <w:rsid w:val="00142688"/>
    <w:rsid w:val="00142828"/>
    <w:rsid w:val="0014311D"/>
    <w:rsid w:val="0014399D"/>
    <w:rsid w:val="00143D0E"/>
    <w:rsid w:val="00144622"/>
    <w:rsid w:val="0014501C"/>
    <w:rsid w:val="001458B8"/>
    <w:rsid w:val="00145DA1"/>
    <w:rsid w:val="001463C3"/>
    <w:rsid w:val="00146842"/>
    <w:rsid w:val="001468B4"/>
    <w:rsid w:val="00147689"/>
    <w:rsid w:val="0015038F"/>
    <w:rsid w:val="00150770"/>
    <w:rsid w:val="001515E4"/>
    <w:rsid w:val="00151AE9"/>
    <w:rsid w:val="00152B33"/>
    <w:rsid w:val="00154534"/>
    <w:rsid w:val="0015549B"/>
    <w:rsid w:val="00155C30"/>
    <w:rsid w:val="001565A6"/>
    <w:rsid w:val="00156E6C"/>
    <w:rsid w:val="00157412"/>
    <w:rsid w:val="0016035C"/>
    <w:rsid w:val="001612DB"/>
    <w:rsid w:val="00161717"/>
    <w:rsid w:val="001617A8"/>
    <w:rsid w:val="00162196"/>
    <w:rsid w:val="001627EC"/>
    <w:rsid w:val="00163108"/>
    <w:rsid w:val="0016373C"/>
    <w:rsid w:val="001638CB"/>
    <w:rsid w:val="00163B63"/>
    <w:rsid w:val="001647BF"/>
    <w:rsid w:val="00165677"/>
    <w:rsid w:val="001657F6"/>
    <w:rsid w:val="001667BB"/>
    <w:rsid w:val="00167670"/>
    <w:rsid w:val="00167996"/>
    <w:rsid w:val="00170473"/>
    <w:rsid w:val="001708C8"/>
    <w:rsid w:val="001710DE"/>
    <w:rsid w:val="00171412"/>
    <w:rsid w:val="001716A9"/>
    <w:rsid w:val="001728CF"/>
    <w:rsid w:val="00172FC1"/>
    <w:rsid w:val="00173D35"/>
    <w:rsid w:val="00174434"/>
    <w:rsid w:val="00174984"/>
    <w:rsid w:val="00174D02"/>
    <w:rsid w:val="00176893"/>
    <w:rsid w:val="00177564"/>
    <w:rsid w:val="001776B7"/>
    <w:rsid w:val="00180759"/>
    <w:rsid w:val="00180816"/>
    <w:rsid w:val="00181355"/>
    <w:rsid w:val="001816E3"/>
    <w:rsid w:val="0018197E"/>
    <w:rsid w:val="0018336F"/>
    <w:rsid w:val="00184860"/>
    <w:rsid w:val="0018597F"/>
    <w:rsid w:val="00185C4F"/>
    <w:rsid w:val="00186363"/>
    <w:rsid w:val="0018681B"/>
    <w:rsid w:val="001877EA"/>
    <w:rsid w:val="00187C10"/>
    <w:rsid w:val="00187DDC"/>
    <w:rsid w:val="00187E40"/>
    <w:rsid w:val="00187E41"/>
    <w:rsid w:val="00191351"/>
    <w:rsid w:val="0019216D"/>
    <w:rsid w:val="00192453"/>
    <w:rsid w:val="001926B5"/>
    <w:rsid w:val="00193303"/>
    <w:rsid w:val="00193645"/>
    <w:rsid w:val="00193B6C"/>
    <w:rsid w:val="00193ED1"/>
    <w:rsid w:val="001959C3"/>
    <w:rsid w:val="001962BB"/>
    <w:rsid w:val="00197362"/>
    <w:rsid w:val="001A0414"/>
    <w:rsid w:val="001A0551"/>
    <w:rsid w:val="001A10C6"/>
    <w:rsid w:val="001A11DF"/>
    <w:rsid w:val="001A161C"/>
    <w:rsid w:val="001A1B43"/>
    <w:rsid w:val="001A29B7"/>
    <w:rsid w:val="001A2E25"/>
    <w:rsid w:val="001A37E3"/>
    <w:rsid w:val="001A381A"/>
    <w:rsid w:val="001A3993"/>
    <w:rsid w:val="001A4034"/>
    <w:rsid w:val="001A418E"/>
    <w:rsid w:val="001A4668"/>
    <w:rsid w:val="001A5E3E"/>
    <w:rsid w:val="001A5FA6"/>
    <w:rsid w:val="001A6C02"/>
    <w:rsid w:val="001A6EBE"/>
    <w:rsid w:val="001A6F18"/>
    <w:rsid w:val="001A75D8"/>
    <w:rsid w:val="001A7725"/>
    <w:rsid w:val="001B0B9C"/>
    <w:rsid w:val="001B11DF"/>
    <w:rsid w:val="001B2690"/>
    <w:rsid w:val="001B3491"/>
    <w:rsid w:val="001B48E3"/>
    <w:rsid w:val="001B518C"/>
    <w:rsid w:val="001B5590"/>
    <w:rsid w:val="001B590E"/>
    <w:rsid w:val="001B5A72"/>
    <w:rsid w:val="001B600F"/>
    <w:rsid w:val="001B66FA"/>
    <w:rsid w:val="001B69E6"/>
    <w:rsid w:val="001B6DC1"/>
    <w:rsid w:val="001B6E66"/>
    <w:rsid w:val="001B7012"/>
    <w:rsid w:val="001B7588"/>
    <w:rsid w:val="001B7CA4"/>
    <w:rsid w:val="001C0496"/>
    <w:rsid w:val="001C0E7A"/>
    <w:rsid w:val="001C2B09"/>
    <w:rsid w:val="001C3976"/>
    <w:rsid w:val="001C3EAC"/>
    <w:rsid w:val="001C43DA"/>
    <w:rsid w:val="001C4CA9"/>
    <w:rsid w:val="001C5035"/>
    <w:rsid w:val="001C5A87"/>
    <w:rsid w:val="001C62C5"/>
    <w:rsid w:val="001C63C1"/>
    <w:rsid w:val="001C6D60"/>
    <w:rsid w:val="001C6F60"/>
    <w:rsid w:val="001C72BC"/>
    <w:rsid w:val="001C7337"/>
    <w:rsid w:val="001C7561"/>
    <w:rsid w:val="001C7938"/>
    <w:rsid w:val="001D19E9"/>
    <w:rsid w:val="001D1F5F"/>
    <w:rsid w:val="001D202D"/>
    <w:rsid w:val="001D3A17"/>
    <w:rsid w:val="001D3EB5"/>
    <w:rsid w:val="001D41D0"/>
    <w:rsid w:val="001D4E7B"/>
    <w:rsid w:val="001D5BA1"/>
    <w:rsid w:val="001D5C9E"/>
    <w:rsid w:val="001D5F2E"/>
    <w:rsid w:val="001D65B7"/>
    <w:rsid w:val="001D7959"/>
    <w:rsid w:val="001D7DAD"/>
    <w:rsid w:val="001D7F5E"/>
    <w:rsid w:val="001D7FAB"/>
    <w:rsid w:val="001E0C3D"/>
    <w:rsid w:val="001E17A2"/>
    <w:rsid w:val="001E27B0"/>
    <w:rsid w:val="001E2990"/>
    <w:rsid w:val="001E2CDC"/>
    <w:rsid w:val="001E323E"/>
    <w:rsid w:val="001E337E"/>
    <w:rsid w:val="001E3846"/>
    <w:rsid w:val="001E4826"/>
    <w:rsid w:val="001E5039"/>
    <w:rsid w:val="001E585C"/>
    <w:rsid w:val="001E5BB5"/>
    <w:rsid w:val="001E5C39"/>
    <w:rsid w:val="001E61C7"/>
    <w:rsid w:val="001E6A34"/>
    <w:rsid w:val="001E6AD2"/>
    <w:rsid w:val="001E6E85"/>
    <w:rsid w:val="001E7766"/>
    <w:rsid w:val="001F0330"/>
    <w:rsid w:val="001F03D4"/>
    <w:rsid w:val="001F1819"/>
    <w:rsid w:val="001F2033"/>
    <w:rsid w:val="001F3BD7"/>
    <w:rsid w:val="001F3F2E"/>
    <w:rsid w:val="001F4061"/>
    <w:rsid w:val="001F41AA"/>
    <w:rsid w:val="001F4E2F"/>
    <w:rsid w:val="001F51D4"/>
    <w:rsid w:val="001F53E9"/>
    <w:rsid w:val="001F5E9B"/>
    <w:rsid w:val="001F6D82"/>
    <w:rsid w:val="001F7F9C"/>
    <w:rsid w:val="0020031B"/>
    <w:rsid w:val="0020058E"/>
    <w:rsid w:val="0020081E"/>
    <w:rsid w:val="002017DB"/>
    <w:rsid w:val="0020298D"/>
    <w:rsid w:val="00203823"/>
    <w:rsid w:val="00203D12"/>
    <w:rsid w:val="002041EB"/>
    <w:rsid w:val="002048CF"/>
    <w:rsid w:val="00204B93"/>
    <w:rsid w:val="002057D6"/>
    <w:rsid w:val="00205B8D"/>
    <w:rsid w:val="00205E91"/>
    <w:rsid w:val="00205F92"/>
    <w:rsid w:val="002065F7"/>
    <w:rsid w:val="00206F17"/>
    <w:rsid w:val="002072D7"/>
    <w:rsid w:val="00207733"/>
    <w:rsid w:val="00207CB5"/>
    <w:rsid w:val="002105BE"/>
    <w:rsid w:val="002109D0"/>
    <w:rsid w:val="00211178"/>
    <w:rsid w:val="00211505"/>
    <w:rsid w:val="00212B60"/>
    <w:rsid w:val="00213981"/>
    <w:rsid w:val="00213CEC"/>
    <w:rsid w:val="002143F4"/>
    <w:rsid w:val="00214C36"/>
    <w:rsid w:val="002150C1"/>
    <w:rsid w:val="0021640B"/>
    <w:rsid w:val="00216B36"/>
    <w:rsid w:val="00216B9B"/>
    <w:rsid w:val="002174A6"/>
    <w:rsid w:val="002175DA"/>
    <w:rsid w:val="00217EF7"/>
    <w:rsid w:val="00220B7B"/>
    <w:rsid w:val="00220DFC"/>
    <w:rsid w:val="00221A5F"/>
    <w:rsid w:val="00221E66"/>
    <w:rsid w:val="00221F4C"/>
    <w:rsid w:val="0022217F"/>
    <w:rsid w:val="00222387"/>
    <w:rsid w:val="002223C1"/>
    <w:rsid w:val="0022244A"/>
    <w:rsid w:val="002231BB"/>
    <w:rsid w:val="00223594"/>
    <w:rsid w:val="00224364"/>
    <w:rsid w:val="00224EA4"/>
    <w:rsid w:val="0022503C"/>
    <w:rsid w:val="002264FC"/>
    <w:rsid w:val="002302C1"/>
    <w:rsid w:val="002306BC"/>
    <w:rsid w:val="00230CF0"/>
    <w:rsid w:val="00230D58"/>
    <w:rsid w:val="00230ECC"/>
    <w:rsid w:val="002311D6"/>
    <w:rsid w:val="002319A3"/>
    <w:rsid w:val="002327E7"/>
    <w:rsid w:val="0023283C"/>
    <w:rsid w:val="002328D6"/>
    <w:rsid w:val="00232A47"/>
    <w:rsid w:val="002345DF"/>
    <w:rsid w:val="00235506"/>
    <w:rsid w:val="00235BE3"/>
    <w:rsid w:val="0023633E"/>
    <w:rsid w:val="00236A53"/>
    <w:rsid w:val="00236B3D"/>
    <w:rsid w:val="00240051"/>
    <w:rsid w:val="002404F5"/>
    <w:rsid w:val="00240B9B"/>
    <w:rsid w:val="00241C94"/>
    <w:rsid w:val="00241DE4"/>
    <w:rsid w:val="00241E2F"/>
    <w:rsid w:val="00242247"/>
    <w:rsid w:val="00242FAF"/>
    <w:rsid w:val="00243ECD"/>
    <w:rsid w:val="00244D4D"/>
    <w:rsid w:val="00245D4A"/>
    <w:rsid w:val="002468E8"/>
    <w:rsid w:val="002475DE"/>
    <w:rsid w:val="00250087"/>
    <w:rsid w:val="00250657"/>
    <w:rsid w:val="002507BF"/>
    <w:rsid w:val="0025082A"/>
    <w:rsid w:val="002512D8"/>
    <w:rsid w:val="0025181E"/>
    <w:rsid w:val="00251B1A"/>
    <w:rsid w:val="00251C2E"/>
    <w:rsid w:val="00251C6E"/>
    <w:rsid w:val="00251DC3"/>
    <w:rsid w:val="00251E71"/>
    <w:rsid w:val="0025255F"/>
    <w:rsid w:val="00252DA4"/>
    <w:rsid w:val="0025318F"/>
    <w:rsid w:val="00253D49"/>
    <w:rsid w:val="0025429D"/>
    <w:rsid w:val="00255A8A"/>
    <w:rsid w:val="00255E2A"/>
    <w:rsid w:val="0025610B"/>
    <w:rsid w:val="0025645B"/>
    <w:rsid w:val="00257E80"/>
    <w:rsid w:val="00260343"/>
    <w:rsid w:val="00260425"/>
    <w:rsid w:val="002606E4"/>
    <w:rsid w:val="00260C80"/>
    <w:rsid w:val="00261B00"/>
    <w:rsid w:val="00262AB2"/>
    <w:rsid w:val="00262B26"/>
    <w:rsid w:val="00262BB8"/>
    <w:rsid w:val="00263470"/>
    <w:rsid w:val="002640EC"/>
    <w:rsid w:val="0026471D"/>
    <w:rsid w:val="00264819"/>
    <w:rsid w:val="002652E8"/>
    <w:rsid w:val="002655A5"/>
    <w:rsid w:val="00265A7A"/>
    <w:rsid w:val="002666EE"/>
    <w:rsid w:val="00266A03"/>
    <w:rsid w:val="00270377"/>
    <w:rsid w:val="002703B8"/>
    <w:rsid w:val="00271983"/>
    <w:rsid w:val="0027224E"/>
    <w:rsid w:val="00272942"/>
    <w:rsid w:val="002730DD"/>
    <w:rsid w:val="002735F2"/>
    <w:rsid w:val="0027422B"/>
    <w:rsid w:val="00275744"/>
    <w:rsid w:val="00275A13"/>
    <w:rsid w:val="0027625A"/>
    <w:rsid w:val="00276C2F"/>
    <w:rsid w:val="0027704A"/>
    <w:rsid w:val="0027790E"/>
    <w:rsid w:val="002779C6"/>
    <w:rsid w:val="0028068F"/>
    <w:rsid w:val="002815A9"/>
    <w:rsid w:val="00281E3B"/>
    <w:rsid w:val="00282031"/>
    <w:rsid w:val="0028331D"/>
    <w:rsid w:val="002838CC"/>
    <w:rsid w:val="002840A5"/>
    <w:rsid w:val="00285157"/>
    <w:rsid w:val="00285173"/>
    <w:rsid w:val="0028555A"/>
    <w:rsid w:val="00285BEF"/>
    <w:rsid w:val="00287349"/>
    <w:rsid w:val="002874DE"/>
    <w:rsid w:val="00290835"/>
    <w:rsid w:val="00290A3D"/>
    <w:rsid w:val="00290B3C"/>
    <w:rsid w:val="00290FEB"/>
    <w:rsid w:val="00291685"/>
    <w:rsid w:val="002923AC"/>
    <w:rsid w:val="002924AE"/>
    <w:rsid w:val="0029343A"/>
    <w:rsid w:val="002937CF"/>
    <w:rsid w:val="00293AD4"/>
    <w:rsid w:val="0029417F"/>
    <w:rsid w:val="00294DD9"/>
    <w:rsid w:val="0029561B"/>
    <w:rsid w:val="00295A65"/>
    <w:rsid w:val="0029665B"/>
    <w:rsid w:val="00296B0A"/>
    <w:rsid w:val="002976CD"/>
    <w:rsid w:val="00297B7F"/>
    <w:rsid w:val="002A1069"/>
    <w:rsid w:val="002A1A08"/>
    <w:rsid w:val="002A1AF2"/>
    <w:rsid w:val="002A239F"/>
    <w:rsid w:val="002A23AC"/>
    <w:rsid w:val="002A24C6"/>
    <w:rsid w:val="002A2660"/>
    <w:rsid w:val="002A288D"/>
    <w:rsid w:val="002A2A3E"/>
    <w:rsid w:val="002A385F"/>
    <w:rsid w:val="002A398F"/>
    <w:rsid w:val="002A4DC0"/>
    <w:rsid w:val="002A514F"/>
    <w:rsid w:val="002A6008"/>
    <w:rsid w:val="002A6DDC"/>
    <w:rsid w:val="002A6E34"/>
    <w:rsid w:val="002A6F26"/>
    <w:rsid w:val="002B09C9"/>
    <w:rsid w:val="002B18E0"/>
    <w:rsid w:val="002B1A5B"/>
    <w:rsid w:val="002B21C2"/>
    <w:rsid w:val="002B2C93"/>
    <w:rsid w:val="002B49E8"/>
    <w:rsid w:val="002B4B52"/>
    <w:rsid w:val="002B51BB"/>
    <w:rsid w:val="002B567C"/>
    <w:rsid w:val="002B6513"/>
    <w:rsid w:val="002B6E6F"/>
    <w:rsid w:val="002B73F1"/>
    <w:rsid w:val="002B757C"/>
    <w:rsid w:val="002B7D3A"/>
    <w:rsid w:val="002C19D7"/>
    <w:rsid w:val="002C20B0"/>
    <w:rsid w:val="002C2638"/>
    <w:rsid w:val="002C30F7"/>
    <w:rsid w:val="002C3494"/>
    <w:rsid w:val="002C3597"/>
    <w:rsid w:val="002C36CB"/>
    <w:rsid w:val="002C37EC"/>
    <w:rsid w:val="002C3A95"/>
    <w:rsid w:val="002C4A88"/>
    <w:rsid w:val="002C4ABC"/>
    <w:rsid w:val="002C5000"/>
    <w:rsid w:val="002C5052"/>
    <w:rsid w:val="002C5368"/>
    <w:rsid w:val="002C5B35"/>
    <w:rsid w:val="002C5BF8"/>
    <w:rsid w:val="002C757E"/>
    <w:rsid w:val="002C7630"/>
    <w:rsid w:val="002D0567"/>
    <w:rsid w:val="002D1BE2"/>
    <w:rsid w:val="002D286C"/>
    <w:rsid w:val="002D3843"/>
    <w:rsid w:val="002D3BB8"/>
    <w:rsid w:val="002D3C48"/>
    <w:rsid w:val="002D4D22"/>
    <w:rsid w:val="002D4FAF"/>
    <w:rsid w:val="002D5D28"/>
    <w:rsid w:val="002D5E08"/>
    <w:rsid w:val="002D6B3C"/>
    <w:rsid w:val="002D6FC9"/>
    <w:rsid w:val="002D7DAA"/>
    <w:rsid w:val="002E0624"/>
    <w:rsid w:val="002E064E"/>
    <w:rsid w:val="002E1EC0"/>
    <w:rsid w:val="002E2872"/>
    <w:rsid w:val="002E28D8"/>
    <w:rsid w:val="002E2A06"/>
    <w:rsid w:val="002E2B14"/>
    <w:rsid w:val="002E2C03"/>
    <w:rsid w:val="002E2F42"/>
    <w:rsid w:val="002E3A73"/>
    <w:rsid w:val="002E3DDD"/>
    <w:rsid w:val="002E4F97"/>
    <w:rsid w:val="002E51DF"/>
    <w:rsid w:val="002E5236"/>
    <w:rsid w:val="002E5652"/>
    <w:rsid w:val="002E73DC"/>
    <w:rsid w:val="002E742A"/>
    <w:rsid w:val="002F036C"/>
    <w:rsid w:val="002F0C09"/>
    <w:rsid w:val="002F0F1F"/>
    <w:rsid w:val="002F1036"/>
    <w:rsid w:val="002F2E99"/>
    <w:rsid w:val="002F439A"/>
    <w:rsid w:val="002F5F7B"/>
    <w:rsid w:val="002F627E"/>
    <w:rsid w:val="002F6D5B"/>
    <w:rsid w:val="002F7691"/>
    <w:rsid w:val="002F7CE4"/>
    <w:rsid w:val="003000B4"/>
    <w:rsid w:val="0030096E"/>
    <w:rsid w:val="003035C7"/>
    <w:rsid w:val="003043CF"/>
    <w:rsid w:val="00304809"/>
    <w:rsid w:val="00304A7F"/>
    <w:rsid w:val="003050A0"/>
    <w:rsid w:val="00305867"/>
    <w:rsid w:val="00305AAC"/>
    <w:rsid w:val="003075A4"/>
    <w:rsid w:val="003077F9"/>
    <w:rsid w:val="00307A57"/>
    <w:rsid w:val="00307DA6"/>
    <w:rsid w:val="00311379"/>
    <w:rsid w:val="00311F08"/>
    <w:rsid w:val="00311FF5"/>
    <w:rsid w:val="0031309F"/>
    <w:rsid w:val="00313482"/>
    <w:rsid w:val="00313A38"/>
    <w:rsid w:val="00314242"/>
    <w:rsid w:val="00314C94"/>
    <w:rsid w:val="00315193"/>
    <w:rsid w:val="00315B4B"/>
    <w:rsid w:val="003160C1"/>
    <w:rsid w:val="0031627E"/>
    <w:rsid w:val="00316A30"/>
    <w:rsid w:val="00317882"/>
    <w:rsid w:val="00317A4F"/>
    <w:rsid w:val="00320093"/>
    <w:rsid w:val="003206F5"/>
    <w:rsid w:val="003212A0"/>
    <w:rsid w:val="00321710"/>
    <w:rsid w:val="00321E72"/>
    <w:rsid w:val="00322932"/>
    <w:rsid w:val="00323014"/>
    <w:rsid w:val="00323D04"/>
    <w:rsid w:val="00325991"/>
    <w:rsid w:val="003268D2"/>
    <w:rsid w:val="003279D9"/>
    <w:rsid w:val="00330A65"/>
    <w:rsid w:val="00330B6A"/>
    <w:rsid w:val="00331874"/>
    <w:rsid w:val="003318A2"/>
    <w:rsid w:val="00333409"/>
    <w:rsid w:val="0033398F"/>
    <w:rsid w:val="003341C3"/>
    <w:rsid w:val="00334A02"/>
    <w:rsid w:val="003352A7"/>
    <w:rsid w:val="00335A17"/>
    <w:rsid w:val="0033672D"/>
    <w:rsid w:val="00337769"/>
    <w:rsid w:val="00341DB2"/>
    <w:rsid w:val="00342090"/>
    <w:rsid w:val="00342885"/>
    <w:rsid w:val="00343521"/>
    <w:rsid w:val="00344209"/>
    <w:rsid w:val="00344960"/>
    <w:rsid w:val="00344A57"/>
    <w:rsid w:val="00344C81"/>
    <w:rsid w:val="0034512A"/>
    <w:rsid w:val="00345386"/>
    <w:rsid w:val="0034596B"/>
    <w:rsid w:val="00345A98"/>
    <w:rsid w:val="003463FF"/>
    <w:rsid w:val="00346424"/>
    <w:rsid w:val="003474FE"/>
    <w:rsid w:val="0035040B"/>
    <w:rsid w:val="003505D0"/>
    <w:rsid w:val="00350700"/>
    <w:rsid w:val="00350E49"/>
    <w:rsid w:val="00351C87"/>
    <w:rsid w:val="003527A9"/>
    <w:rsid w:val="00352D15"/>
    <w:rsid w:val="00353735"/>
    <w:rsid w:val="0035390F"/>
    <w:rsid w:val="00353A13"/>
    <w:rsid w:val="00353C75"/>
    <w:rsid w:val="00354201"/>
    <w:rsid w:val="00355FA3"/>
    <w:rsid w:val="0035623D"/>
    <w:rsid w:val="00356260"/>
    <w:rsid w:val="003562FD"/>
    <w:rsid w:val="0035645F"/>
    <w:rsid w:val="00356E17"/>
    <w:rsid w:val="003579C4"/>
    <w:rsid w:val="003606FC"/>
    <w:rsid w:val="00361756"/>
    <w:rsid w:val="00361AA3"/>
    <w:rsid w:val="00362A0E"/>
    <w:rsid w:val="00362B6E"/>
    <w:rsid w:val="003635D1"/>
    <w:rsid w:val="00363C2D"/>
    <w:rsid w:val="00363E39"/>
    <w:rsid w:val="00364C2E"/>
    <w:rsid w:val="0036643D"/>
    <w:rsid w:val="00366694"/>
    <w:rsid w:val="00367387"/>
    <w:rsid w:val="00367824"/>
    <w:rsid w:val="00370B68"/>
    <w:rsid w:val="00370D88"/>
    <w:rsid w:val="003740B5"/>
    <w:rsid w:val="00374935"/>
    <w:rsid w:val="0037497E"/>
    <w:rsid w:val="0037593C"/>
    <w:rsid w:val="00375D98"/>
    <w:rsid w:val="00375DB7"/>
    <w:rsid w:val="003764E0"/>
    <w:rsid w:val="003777D5"/>
    <w:rsid w:val="003778D6"/>
    <w:rsid w:val="00377D7D"/>
    <w:rsid w:val="00380783"/>
    <w:rsid w:val="003816C0"/>
    <w:rsid w:val="00381C45"/>
    <w:rsid w:val="00382630"/>
    <w:rsid w:val="00382B8F"/>
    <w:rsid w:val="00382C45"/>
    <w:rsid w:val="00383945"/>
    <w:rsid w:val="00384740"/>
    <w:rsid w:val="00384B43"/>
    <w:rsid w:val="00385424"/>
    <w:rsid w:val="0038558B"/>
    <w:rsid w:val="003855B8"/>
    <w:rsid w:val="00387234"/>
    <w:rsid w:val="00387812"/>
    <w:rsid w:val="00387B92"/>
    <w:rsid w:val="00387F78"/>
    <w:rsid w:val="00387F86"/>
    <w:rsid w:val="00390542"/>
    <w:rsid w:val="00390B1B"/>
    <w:rsid w:val="003915A1"/>
    <w:rsid w:val="003916B6"/>
    <w:rsid w:val="00391BDF"/>
    <w:rsid w:val="0039202C"/>
    <w:rsid w:val="00392041"/>
    <w:rsid w:val="0039251E"/>
    <w:rsid w:val="00394141"/>
    <w:rsid w:val="00396EF5"/>
    <w:rsid w:val="00397F49"/>
    <w:rsid w:val="003A004F"/>
    <w:rsid w:val="003A00A7"/>
    <w:rsid w:val="003A01A0"/>
    <w:rsid w:val="003A2B55"/>
    <w:rsid w:val="003A3052"/>
    <w:rsid w:val="003A3338"/>
    <w:rsid w:val="003A4157"/>
    <w:rsid w:val="003A55F6"/>
    <w:rsid w:val="003A619B"/>
    <w:rsid w:val="003A6202"/>
    <w:rsid w:val="003A7043"/>
    <w:rsid w:val="003B0CF6"/>
    <w:rsid w:val="003B1A7C"/>
    <w:rsid w:val="003B1A8C"/>
    <w:rsid w:val="003B1DC5"/>
    <w:rsid w:val="003B1F52"/>
    <w:rsid w:val="003B2ABA"/>
    <w:rsid w:val="003B2F61"/>
    <w:rsid w:val="003B332A"/>
    <w:rsid w:val="003B39FE"/>
    <w:rsid w:val="003B3CF1"/>
    <w:rsid w:val="003B4EE1"/>
    <w:rsid w:val="003B52CC"/>
    <w:rsid w:val="003B5418"/>
    <w:rsid w:val="003B5A2A"/>
    <w:rsid w:val="003B5F6D"/>
    <w:rsid w:val="003B6362"/>
    <w:rsid w:val="003B6D41"/>
    <w:rsid w:val="003C1168"/>
    <w:rsid w:val="003C186E"/>
    <w:rsid w:val="003C1BE0"/>
    <w:rsid w:val="003C2EB9"/>
    <w:rsid w:val="003C3E2C"/>
    <w:rsid w:val="003C4197"/>
    <w:rsid w:val="003C4D4E"/>
    <w:rsid w:val="003C5E7F"/>
    <w:rsid w:val="003C5E82"/>
    <w:rsid w:val="003C6544"/>
    <w:rsid w:val="003C6A99"/>
    <w:rsid w:val="003D00AF"/>
    <w:rsid w:val="003D05A3"/>
    <w:rsid w:val="003D12B9"/>
    <w:rsid w:val="003D19F7"/>
    <w:rsid w:val="003D2DA2"/>
    <w:rsid w:val="003D2DEC"/>
    <w:rsid w:val="003D357D"/>
    <w:rsid w:val="003D38B7"/>
    <w:rsid w:val="003D3F62"/>
    <w:rsid w:val="003D51F3"/>
    <w:rsid w:val="003D5746"/>
    <w:rsid w:val="003D6BD4"/>
    <w:rsid w:val="003D6C08"/>
    <w:rsid w:val="003D6D7F"/>
    <w:rsid w:val="003D7EE2"/>
    <w:rsid w:val="003E0FFA"/>
    <w:rsid w:val="003E1327"/>
    <w:rsid w:val="003E16FE"/>
    <w:rsid w:val="003E1E1C"/>
    <w:rsid w:val="003E3173"/>
    <w:rsid w:val="003E3210"/>
    <w:rsid w:val="003E3CB8"/>
    <w:rsid w:val="003E40B7"/>
    <w:rsid w:val="003E4882"/>
    <w:rsid w:val="003E4E1D"/>
    <w:rsid w:val="003E501F"/>
    <w:rsid w:val="003E503A"/>
    <w:rsid w:val="003E56C8"/>
    <w:rsid w:val="003E6C5B"/>
    <w:rsid w:val="003E72DC"/>
    <w:rsid w:val="003E7B74"/>
    <w:rsid w:val="003E7F8E"/>
    <w:rsid w:val="003F133F"/>
    <w:rsid w:val="003F1B7F"/>
    <w:rsid w:val="003F265C"/>
    <w:rsid w:val="003F2762"/>
    <w:rsid w:val="003F327A"/>
    <w:rsid w:val="003F3741"/>
    <w:rsid w:val="003F3E46"/>
    <w:rsid w:val="003F3FF4"/>
    <w:rsid w:val="003F5AAA"/>
    <w:rsid w:val="003F6A27"/>
    <w:rsid w:val="00402DB2"/>
    <w:rsid w:val="004039D5"/>
    <w:rsid w:val="00405045"/>
    <w:rsid w:val="004055FA"/>
    <w:rsid w:val="004058B1"/>
    <w:rsid w:val="004060A7"/>
    <w:rsid w:val="004066EB"/>
    <w:rsid w:val="00407257"/>
    <w:rsid w:val="004073A1"/>
    <w:rsid w:val="00407D08"/>
    <w:rsid w:val="0041115B"/>
    <w:rsid w:val="00412306"/>
    <w:rsid w:val="004134C7"/>
    <w:rsid w:val="0041352A"/>
    <w:rsid w:val="00413E6C"/>
    <w:rsid w:val="004168C9"/>
    <w:rsid w:val="00416C40"/>
    <w:rsid w:val="004175C9"/>
    <w:rsid w:val="00417BD9"/>
    <w:rsid w:val="00420A88"/>
    <w:rsid w:val="00421350"/>
    <w:rsid w:val="004218AB"/>
    <w:rsid w:val="00422867"/>
    <w:rsid w:val="00423555"/>
    <w:rsid w:val="004254E9"/>
    <w:rsid w:val="00425908"/>
    <w:rsid w:val="00425E31"/>
    <w:rsid w:val="0042601F"/>
    <w:rsid w:val="00426721"/>
    <w:rsid w:val="00426FAC"/>
    <w:rsid w:val="00427441"/>
    <w:rsid w:val="00427AF5"/>
    <w:rsid w:val="00427E88"/>
    <w:rsid w:val="004302BB"/>
    <w:rsid w:val="00430D18"/>
    <w:rsid w:val="00430FD9"/>
    <w:rsid w:val="00431C9F"/>
    <w:rsid w:val="00432BF1"/>
    <w:rsid w:val="00432E9F"/>
    <w:rsid w:val="00434325"/>
    <w:rsid w:val="00434A12"/>
    <w:rsid w:val="00435346"/>
    <w:rsid w:val="00435749"/>
    <w:rsid w:val="00435806"/>
    <w:rsid w:val="00436C2C"/>
    <w:rsid w:val="00440590"/>
    <w:rsid w:val="004410A2"/>
    <w:rsid w:val="00441557"/>
    <w:rsid w:val="00441ED4"/>
    <w:rsid w:val="00441F6C"/>
    <w:rsid w:val="0044205E"/>
    <w:rsid w:val="00442107"/>
    <w:rsid w:val="004437EC"/>
    <w:rsid w:val="00443BC8"/>
    <w:rsid w:val="004440A7"/>
    <w:rsid w:val="004442CB"/>
    <w:rsid w:val="00444415"/>
    <w:rsid w:val="00444742"/>
    <w:rsid w:val="00444C67"/>
    <w:rsid w:val="00444FC1"/>
    <w:rsid w:val="004454D2"/>
    <w:rsid w:val="00445786"/>
    <w:rsid w:val="004457CC"/>
    <w:rsid w:val="00445893"/>
    <w:rsid w:val="00445D52"/>
    <w:rsid w:val="00446567"/>
    <w:rsid w:val="00447693"/>
    <w:rsid w:val="00447FB4"/>
    <w:rsid w:val="00451039"/>
    <w:rsid w:val="00451141"/>
    <w:rsid w:val="00451464"/>
    <w:rsid w:val="00451738"/>
    <w:rsid w:val="004520BD"/>
    <w:rsid w:val="00452522"/>
    <w:rsid w:val="00452903"/>
    <w:rsid w:val="00452BAB"/>
    <w:rsid w:val="004548C0"/>
    <w:rsid w:val="004557A9"/>
    <w:rsid w:val="00455C3E"/>
    <w:rsid w:val="00455DA0"/>
    <w:rsid w:val="00455F45"/>
    <w:rsid w:val="004562FB"/>
    <w:rsid w:val="00456D3B"/>
    <w:rsid w:val="00457F58"/>
    <w:rsid w:val="00460926"/>
    <w:rsid w:val="00460B0E"/>
    <w:rsid w:val="00461119"/>
    <w:rsid w:val="004614D1"/>
    <w:rsid w:val="00461AF2"/>
    <w:rsid w:val="00461AF9"/>
    <w:rsid w:val="00462483"/>
    <w:rsid w:val="00462D14"/>
    <w:rsid w:val="00463120"/>
    <w:rsid w:val="004638AB"/>
    <w:rsid w:val="00463E6C"/>
    <w:rsid w:val="00464B47"/>
    <w:rsid w:val="00465AFE"/>
    <w:rsid w:val="00465CD9"/>
    <w:rsid w:val="00466029"/>
    <w:rsid w:val="0046677F"/>
    <w:rsid w:val="004669E7"/>
    <w:rsid w:val="00467060"/>
    <w:rsid w:val="00467183"/>
    <w:rsid w:val="0047349D"/>
    <w:rsid w:val="00474830"/>
    <w:rsid w:val="004751A1"/>
    <w:rsid w:val="004757D1"/>
    <w:rsid w:val="00475BDD"/>
    <w:rsid w:val="00475E6A"/>
    <w:rsid w:val="004768B5"/>
    <w:rsid w:val="004776F4"/>
    <w:rsid w:val="00480669"/>
    <w:rsid w:val="00481808"/>
    <w:rsid w:val="00483359"/>
    <w:rsid w:val="00483EAE"/>
    <w:rsid w:val="004852F9"/>
    <w:rsid w:val="00485312"/>
    <w:rsid w:val="00485891"/>
    <w:rsid w:val="00485C09"/>
    <w:rsid w:val="004866B4"/>
    <w:rsid w:val="004875FF"/>
    <w:rsid w:val="00490CE7"/>
    <w:rsid w:val="004916B2"/>
    <w:rsid w:val="00491FAA"/>
    <w:rsid w:val="0049282F"/>
    <w:rsid w:val="00493D77"/>
    <w:rsid w:val="004944C6"/>
    <w:rsid w:val="00494A04"/>
    <w:rsid w:val="00494B69"/>
    <w:rsid w:val="00495ACC"/>
    <w:rsid w:val="00495F22"/>
    <w:rsid w:val="0049643C"/>
    <w:rsid w:val="00497A92"/>
    <w:rsid w:val="00497AC2"/>
    <w:rsid w:val="004A06D9"/>
    <w:rsid w:val="004A1100"/>
    <w:rsid w:val="004A1472"/>
    <w:rsid w:val="004A25D3"/>
    <w:rsid w:val="004A27C2"/>
    <w:rsid w:val="004A3F3E"/>
    <w:rsid w:val="004A4472"/>
    <w:rsid w:val="004A4683"/>
    <w:rsid w:val="004A491A"/>
    <w:rsid w:val="004A5743"/>
    <w:rsid w:val="004A5AD7"/>
    <w:rsid w:val="004A6CFD"/>
    <w:rsid w:val="004A70D5"/>
    <w:rsid w:val="004A789F"/>
    <w:rsid w:val="004B0D2D"/>
    <w:rsid w:val="004B15B3"/>
    <w:rsid w:val="004B1843"/>
    <w:rsid w:val="004B259A"/>
    <w:rsid w:val="004B2FB1"/>
    <w:rsid w:val="004B2FB7"/>
    <w:rsid w:val="004B3D8A"/>
    <w:rsid w:val="004B3E92"/>
    <w:rsid w:val="004B46C2"/>
    <w:rsid w:val="004B4C97"/>
    <w:rsid w:val="004B4FE1"/>
    <w:rsid w:val="004B5A80"/>
    <w:rsid w:val="004B5C65"/>
    <w:rsid w:val="004B69CC"/>
    <w:rsid w:val="004B6D3C"/>
    <w:rsid w:val="004B6FE4"/>
    <w:rsid w:val="004B7235"/>
    <w:rsid w:val="004B7452"/>
    <w:rsid w:val="004B7D14"/>
    <w:rsid w:val="004C00F6"/>
    <w:rsid w:val="004C0F98"/>
    <w:rsid w:val="004C105F"/>
    <w:rsid w:val="004C1607"/>
    <w:rsid w:val="004C232A"/>
    <w:rsid w:val="004C27F4"/>
    <w:rsid w:val="004C2C63"/>
    <w:rsid w:val="004C3301"/>
    <w:rsid w:val="004C3B24"/>
    <w:rsid w:val="004C3DBE"/>
    <w:rsid w:val="004C3EC8"/>
    <w:rsid w:val="004C450C"/>
    <w:rsid w:val="004C4941"/>
    <w:rsid w:val="004C49E2"/>
    <w:rsid w:val="004C4D68"/>
    <w:rsid w:val="004C5470"/>
    <w:rsid w:val="004C5AC8"/>
    <w:rsid w:val="004C7D20"/>
    <w:rsid w:val="004D04F0"/>
    <w:rsid w:val="004D11D3"/>
    <w:rsid w:val="004D1DE6"/>
    <w:rsid w:val="004D2044"/>
    <w:rsid w:val="004D22FD"/>
    <w:rsid w:val="004D29A3"/>
    <w:rsid w:val="004D2F8C"/>
    <w:rsid w:val="004D40F5"/>
    <w:rsid w:val="004D4704"/>
    <w:rsid w:val="004D47D1"/>
    <w:rsid w:val="004D5637"/>
    <w:rsid w:val="004D74EF"/>
    <w:rsid w:val="004D7E69"/>
    <w:rsid w:val="004E029A"/>
    <w:rsid w:val="004E073A"/>
    <w:rsid w:val="004E10D6"/>
    <w:rsid w:val="004E205D"/>
    <w:rsid w:val="004E2874"/>
    <w:rsid w:val="004E373F"/>
    <w:rsid w:val="004E3C76"/>
    <w:rsid w:val="004E5396"/>
    <w:rsid w:val="004E54D9"/>
    <w:rsid w:val="004E54ED"/>
    <w:rsid w:val="004E58A5"/>
    <w:rsid w:val="004E62BF"/>
    <w:rsid w:val="004E64E5"/>
    <w:rsid w:val="004E6576"/>
    <w:rsid w:val="004E6E33"/>
    <w:rsid w:val="004E71FF"/>
    <w:rsid w:val="004F0575"/>
    <w:rsid w:val="004F07BB"/>
    <w:rsid w:val="004F0F95"/>
    <w:rsid w:val="004F1B4E"/>
    <w:rsid w:val="004F370A"/>
    <w:rsid w:val="004F4FCD"/>
    <w:rsid w:val="004F7352"/>
    <w:rsid w:val="00501039"/>
    <w:rsid w:val="00501897"/>
    <w:rsid w:val="00501E03"/>
    <w:rsid w:val="00502030"/>
    <w:rsid w:val="005022F6"/>
    <w:rsid w:val="00502783"/>
    <w:rsid w:val="005030FA"/>
    <w:rsid w:val="00503BA5"/>
    <w:rsid w:val="00506828"/>
    <w:rsid w:val="00507FC9"/>
    <w:rsid w:val="00510F97"/>
    <w:rsid w:val="00511087"/>
    <w:rsid w:val="005111BF"/>
    <w:rsid w:val="00511C20"/>
    <w:rsid w:val="00511CDD"/>
    <w:rsid w:val="00511CE4"/>
    <w:rsid w:val="00513563"/>
    <w:rsid w:val="00513753"/>
    <w:rsid w:val="005148A0"/>
    <w:rsid w:val="00514917"/>
    <w:rsid w:val="00516CD0"/>
    <w:rsid w:val="005200F1"/>
    <w:rsid w:val="00520427"/>
    <w:rsid w:val="0052079D"/>
    <w:rsid w:val="00520F8F"/>
    <w:rsid w:val="0052157B"/>
    <w:rsid w:val="00521E93"/>
    <w:rsid w:val="00522931"/>
    <w:rsid w:val="0052311E"/>
    <w:rsid w:val="00523A8C"/>
    <w:rsid w:val="005245AF"/>
    <w:rsid w:val="00524B6D"/>
    <w:rsid w:val="0052591B"/>
    <w:rsid w:val="00525B42"/>
    <w:rsid w:val="005269C5"/>
    <w:rsid w:val="00527568"/>
    <w:rsid w:val="005278EA"/>
    <w:rsid w:val="0053035F"/>
    <w:rsid w:val="005303AA"/>
    <w:rsid w:val="00530A51"/>
    <w:rsid w:val="00530F6A"/>
    <w:rsid w:val="0053248E"/>
    <w:rsid w:val="00532BF6"/>
    <w:rsid w:val="00532D34"/>
    <w:rsid w:val="00532E3B"/>
    <w:rsid w:val="00534238"/>
    <w:rsid w:val="0053509F"/>
    <w:rsid w:val="005374DD"/>
    <w:rsid w:val="00537E57"/>
    <w:rsid w:val="00541524"/>
    <w:rsid w:val="00541710"/>
    <w:rsid w:val="005426BD"/>
    <w:rsid w:val="00543616"/>
    <w:rsid w:val="005443AD"/>
    <w:rsid w:val="00545EDB"/>
    <w:rsid w:val="0054630B"/>
    <w:rsid w:val="005464F1"/>
    <w:rsid w:val="0054684E"/>
    <w:rsid w:val="00546E0E"/>
    <w:rsid w:val="00547345"/>
    <w:rsid w:val="00551269"/>
    <w:rsid w:val="00551E71"/>
    <w:rsid w:val="00551F83"/>
    <w:rsid w:val="005529E9"/>
    <w:rsid w:val="00552DDB"/>
    <w:rsid w:val="00553629"/>
    <w:rsid w:val="00553780"/>
    <w:rsid w:val="005541C7"/>
    <w:rsid w:val="00554983"/>
    <w:rsid w:val="00554A9B"/>
    <w:rsid w:val="005551D7"/>
    <w:rsid w:val="00557E9F"/>
    <w:rsid w:val="00561D41"/>
    <w:rsid w:val="005622D5"/>
    <w:rsid w:val="0056235F"/>
    <w:rsid w:val="00562664"/>
    <w:rsid w:val="00562726"/>
    <w:rsid w:val="0056290D"/>
    <w:rsid w:val="00562A86"/>
    <w:rsid w:val="005639F3"/>
    <w:rsid w:val="00564243"/>
    <w:rsid w:val="00565FA8"/>
    <w:rsid w:val="00566427"/>
    <w:rsid w:val="00566E5D"/>
    <w:rsid w:val="00567BB4"/>
    <w:rsid w:val="00567DAA"/>
    <w:rsid w:val="005705F0"/>
    <w:rsid w:val="00570697"/>
    <w:rsid w:val="00571027"/>
    <w:rsid w:val="00571742"/>
    <w:rsid w:val="005717CB"/>
    <w:rsid w:val="00571AA6"/>
    <w:rsid w:val="00571DCD"/>
    <w:rsid w:val="00572841"/>
    <w:rsid w:val="00572919"/>
    <w:rsid w:val="00572CCC"/>
    <w:rsid w:val="00573D4D"/>
    <w:rsid w:val="0057490E"/>
    <w:rsid w:val="00575B03"/>
    <w:rsid w:val="005761E1"/>
    <w:rsid w:val="00576F9A"/>
    <w:rsid w:val="00576FC7"/>
    <w:rsid w:val="00577869"/>
    <w:rsid w:val="005779F6"/>
    <w:rsid w:val="0058011E"/>
    <w:rsid w:val="0058036D"/>
    <w:rsid w:val="00580664"/>
    <w:rsid w:val="00580755"/>
    <w:rsid w:val="00580AF9"/>
    <w:rsid w:val="00580BD1"/>
    <w:rsid w:val="005812D7"/>
    <w:rsid w:val="00582145"/>
    <w:rsid w:val="00582313"/>
    <w:rsid w:val="005836AD"/>
    <w:rsid w:val="00584B1B"/>
    <w:rsid w:val="00584D9D"/>
    <w:rsid w:val="00585287"/>
    <w:rsid w:val="00585464"/>
    <w:rsid w:val="005856E6"/>
    <w:rsid w:val="00586861"/>
    <w:rsid w:val="0059014B"/>
    <w:rsid w:val="005902C0"/>
    <w:rsid w:val="00590611"/>
    <w:rsid w:val="00590B4C"/>
    <w:rsid w:val="00592246"/>
    <w:rsid w:val="00595B37"/>
    <w:rsid w:val="005961F5"/>
    <w:rsid w:val="005962ED"/>
    <w:rsid w:val="00596469"/>
    <w:rsid w:val="005A150B"/>
    <w:rsid w:val="005A209A"/>
    <w:rsid w:val="005A255C"/>
    <w:rsid w:val="005A266B"/>
    <w:rsid w:val="005A31B0"/>
    <w:rsid w:val="005A3907"/>
    <w:rsid w:val="005A390E"/>
    <w:rsid w:val="005A521A"/>
    <w:rsid w:val="005A6D6C"/>
    <w:rsid w:val="005A6F35"/>
    <w:rsid w:val="005A6FCE"/>
    <w:rsid w:val="005A7356"/>
    <w:rsid w:val="005B08B3"/>
    <w:rsid w:val="005B08C7"/>
    <w:rsid w:val="005B17F9"/>
    <w:rsid w:val="005B3962"/>
    <w:rsid w:val="005B48DB"/>
    <w:rsid w:val="005B4B37"/>
    <w:rsid w:val="005B4C5C"/>
    <w:rsid w:val="005B4EC3"/>
    <w:rsid w:val="005B5365"/>
    <w:rsid w:val="005B61A2"/>
    <w:rsid w:val="005B6B96"/>
    <w:rsid w:val="005B732D"/>
    <w:rsid w:val="005B752F"/>
    <w:rsid w:val="005B7C05"/>
    <w:rsid w:val="005C0493"/>
    <w:rsid w:val="005C0EAE"/>
    <w:rsid w:val="005C139E"/>
    <w:rsid w:val="005C16E3"/>
    <w:rsid w:val="005C1758"/>
    <w:rsid w:val="005C20AB"/>
    <w:rsid w:val="005C2A03"/>
    <w:rsid w:val="005C350C"/>
    <w:rsid w:val="005C4561"/>
    <w:rsid w:val="005C4A48"/>
    <w:rsid w:val="005C552C"/>
    <w:rsid w:val="005C56A4"/>
    <w:rsid w:val="005C5857"/>
    <w:rsid w:val="005C73BA"/>
    <w:rsid w:val="005C755D"/>
    <w:rsid w:val="005D0370"/>
    <w:rsid w:val="005D03E0"/>
    <w:rsid w:val="005D0DFD"/>
    <w:rsid w:val="005D1C25"/>
    <w:rsid w:val="005D45B5"/>
    <w:rsid w:val="005D5CE0"/>
    <w:rsid w:val="005D7841"/>
    <w:rsid w:val="005D7AF8"/>
    <w:rsid w:val="005D7C9A"/>
    <w:rsid w:val="005E0F40"/>
    <w:rsid w:val="005E25A6"/>
    <w:rsid w:val="005E266A"/>
    <w:rsid w:val="005E267A"/>
    <w:rsid w:val="005E3C4A"/>
    <w:rsid w:val="005E58F4"/>
    <w:rsid w:val="005E7230"/>
    <w:rsid w:val="005F0A34"/>
    <w:rsid w:val="005F1C61"/>
    <w:rsid w:val="005F2168"/>
    <w:rsid w:val="005F25AD"/>
    <w:rsid w:val="005F2787"/>
    <w:rsid w:val="005F33CF"/>
    <w:rsid w:val="005F3889"/>
    <w:rsid w:val="005F4F06"/>
    <w:rsid w:val="005F51B8"/>
    <w:rsid w:val="005F5601"/>
    <w:rsid w:val="005F5EA5"/>
    <w:rsid w:val="005F659B"/>
    <w:rsid w:val="005F7B65"/>
    <w:rsid w:val="00600276"/>
    <w:rsid w:val="006008E6"/>
    <w:rsid w:val="00600A17"/>
    <w:rsid w:val="00601534"/>
    <w:rsid w:val="00601614"/>
    <w:rsid w:val="00601750"/>
    <w:rsid w:val="00602785"/>
    <w:rsid w:val="006027A7"/>
    <w:rsid w:val="00603158"/>
    <w:rsid w:val="00604654"/>
    <w:rsid w:val="00604885"/>
    <w:rsid w:val="006048E2"/>
    <w:rsid w:val="00606289"/>
    <w:rsid w:val="006066F6"/>
    <w:rsid w:val="00606754"/>
    <w:rsid w:val="00606ADD"/>
    <w:rsid w:val="006079B8"/>
    <w:rsid w:val="00610BF7"/>
    <w:rsid w:val="00610DF8"/>
    <w:rsid w:val="006113A8"/>
    <w:rsid w:val="00611621"/>
    <w:rsid w:val="0061316F"/>
    <w:rsid w:val="00613182"/>
    <w:rsid w:val="006132DA"/>
    <w:rsid w:val="00613CD5"/>
    <w:rsid w:val="00613F69"/>
    <w:rsid w:val="006149C4"/>
    <w:rsid w:val="006150B1"/>
    <w:rsid w:val="00616176"/>
    <w:rsid w:val="006166E3"/>
    <w:rsid w:val="006208F5"/>
    <w:rsid w:val="00620A3D"/>
    <w:rsid w:val="00620DD7"/>
    <w:rsid w:val="00621EEE"/>
    <w:rsid w:val="00622AFA"/>
    <w:rsid w:val="0062322F"/>
    <w:rsid w:val="0062344D"/>
    <w:rsid w:val="006239CE"/>
    <w:rsid w:val="00623F39"/>
    <w:rsid w:val="006240B0"/>
    <w:rsid w:val="00624600"/>
    <w:rsid w:val="00624702"/>
    <w:rsid w:val="006248E8"/>
    <w:rsid w:val="0062515E"/>
    <w:rsid w:val="00625A67"/>
    <w:rsid w:val="00625C54"/>
    <w:rsid w:val="00626D24"/>
    <w:rsid w:val="0062750C"/>
    <w:rsid w:val="00627DCD"/>
    <w:rsid w:val="00627DED"/>
    <w:rsid w:val="00627EA4"/>
    <w:rsid w:val="00630214"/>
    <w:rsid w:val="0063097F"/>
    <w:rsid w:val="00630C09"/>
    <w:rsid w:val="006311E3"/>
    <w:rsid w:val="0063143B"/>
    <w:rsid w:val="00631CD3"/>
    <w:rsid w:val="00632F56"/>
    <w:rsid w:val="00632F8B"/>
    <w:rsid w:val="0063313F"/>
    <w:rsid w:val="006334A6"/>
    <w:rsid w:val="00633A96"/>
    <w:rsid w:val="00634D01"/>
    <w:rsid w:val="006351B7"/>
    <w:rsid w:val="00635628"/>
    <w:rsid w:val="00635934"/>
    <w:rsid w:val="00635C4E"/>
    <w:rsid w:val="00636952"/>
    <w:rsid w:val="006372C4"/>
    <w:rsid w:val="006405CB"/>
    <w:rsid w:val="006409A2"/>
    <w:rsid w:val="00640BFA"/>
    <w:rsid w:val="00640EE3"/>
    <w:rsid w:val="006414BA"/>
    <w:rsid w:val="006425C7"/>
    <w:rsid w:val="006431B5"/>
    <w:rsid w:val="0064413A"/>
    <w:rsid w:val="006443F2"/>
    <w:rsid w:val="0064452F"/>
    <w:rsid w:val="0064453C"/>
    <w:rsid w:val="0064463D"/>
    <w:rsid w:val="006448B0"/>
    <w:rsid w:val="00644D9F"/>
    <w:rsid w:val="006466E2"/>
    <w:rsid w:val="00647C27"/>
    <w:rsid w:val="00650A8D"/>
    <w:rsid w:val="006523ED"/>
    <w:rsid w:val="006524AD"/>
    <w:rsid w:val="006535DC"/>
    <w:rsid w:val="00653AB6"/>
    <w:rsid w:val="00654901"/>
    <w:rsid w:val="00654A41"/>
    <w:rsid w:val="00654D6D"/>
    <w:rsid w:val="0065793A"/>
    <w:rsid w:val="00657F42"/>
    <w:rsid w:val="00660773"/>
    <w:rsid w:val="006609D3"/>
    <w:rsid w:val="00660ED7"/>
    <w:rsid w:val="006617E0"/>
    <w:rsid w:val="00663A0A"/>
    <w:rsid w:val="00664271"/>
    <w:rsid w:val="0066438D"/>
    <w:rsid w:val="006643C7"/>
    <w:rsid w:val="006656C5"/>
    <w:rsid w:val="00665ABE"/>
    <w:rsid w:val="00665BA3"/>
    <w:rsid w:val="00665DFF"/>
    <w:rsid w:val="00665E06"/>
    <w:rsid w:val="00666695"/>
    <w:rsid w:val="006668D7"/>
    <w:rsid w:val="00667E00"/>
    <w:rsid w:val="00670940"/>
    <w:rsid w:val="006715BA"/>
    <w:rsid w:val="00672556"/>
    <w:rsid w:val="00672821"/>
    <w:rsid w:val="00672929"/>
    <w:rsid w:val="0067506A"/>
    <w:rsid w:val="00675F6D"/>
    <w:rsid w:val="00676380"/>
    <w:rsid w:val="00676922"/>
    <w:rsid w:val="00676D6C"/>
    <w:rsid w:val="00676F99"/>
    <w:rsid w:val="0067723C"/>
    <w:rsid w:val="00677D16"/>
    <w:rsid w:val="00680D39"/>
    <w:rsid w:val="006822DD"/>
    <w:rsid w:val="00683F0A"/>
    <w:rsid w:val="00684099"/>
    <w:rsid w:val="00684275"/>
    <w:rsid w:val="006848A4"/>
    <w:rsid w:val="0068571C"/>
    <w:rsid w:val="006861C4"/>
    <w:rsid w:val="006868B1"/>
    <w:rsid w:val="006873B4"/>
    <w:rsid w:val="0068755C"/>
    <w:rsid w:val="006876EE"/>
    <w:rsid w:val="00687958"/>
    <w:rsid w:val="00687D44"/>
    <w:rsid w:val="006901E2"/>
    <w:rsid w:val="00690293"/>
    <w:rsid w:val="006903AC"/>
    <w:rsid w:val="006912BA"/>
    <w:rsid w:val="006919B8"/>
    <w:rsid w:val="006922FF"/>
    <w:rsid w:val="006936E8"/>
    <w:rsid w:val="006938DF"/>
    <w:rsid w:val="006939F0"/>
    <w:rsid w:val="00693AE0"/>
    <w:rsid w:val="00694175"/>
    <w:rsid w:val="00694598"/>
    <w:rsid w:val="0069479A"/>
    <w:rsid w:val="006967A7"/>
    <w:rsid w:val="00696FAF"/>
    <w:rsid w:val="00697266"/>
    <w:rsid w:val="00697E11"/>
    <w:rsid w:val="006A01F9"/>
    <w:rsid w:val="006A0D97"/>
    <w:rsid w:val="006A118E"/>
    <w:rsid w:val="006A17CF"/>
    <w:rsid w:val="006A2241"/>
    <w:rsid w:val="006A242F"/>
    <w:rsid w:val="006A24B1"/>
    <w:rsid w:val="006A2A83"/>
    <w:rsid w:val="006A2BC4"/>
    <w:rsid w:val="006A2DFB"/>
    <w:rsid w:val="006A359A"/>
    <w:rsid w:val="006A3FC0"/>
    <w:rsid w:val="006A46AB"/>
    <w:rsid w:val="006A4B5A"/>
    <w:rsid w:val="006A5A88"/>
    <w:rsid w:val="006A5D31"/>
    <w:rsid w:val="006A6919"/>
    <w:rsid w:val="006A6C84"/>
    <w:rsid w:val="006A7181"/>
    <w:rsid w:val="006B11F0"/>
    <w:rsid w:val="006B1962"/>
    <w:rsid w:val="006B202D"/>
    <w:rsid w:val="006B235E"/>
    <w:rsid w:val="006B2928"/>
    <w:rsid w:val="006B2984"/>
    <w:rsid w:val="006B2C08"/>
    <w:rsid w:val="006B316E"/>
    <w:rsid w:val="006B36CD"/>
    <w:rsid w:val="006B3C2F"/>
    <w:rsid w:val="006B3F74"/>
    <w:rsid w:val="006B45A6"/>
    <w:rsid w:val="006B49FA"/>
    <w:rsid w:val="006B6CA8"/>
    <w:rsid w:val="006B7098"/>
    <w:rsid w:val="006B7414"/>
    <w:rsid w:val="006B77BE"/>
    <w:rsid w:val="006C0425"/>
    <w:rsid w:val="006C0500"/>
    <w:rsid w:val="006C1E6A"/>
    <w:rsid w:val="006C2E04"/>
    <w:rsid w:val="006C2FDB"/>
    <w:rsid w:val="006C322F"/>
    <w:rsid w:val="006C37AC"/>
    <w:rsid w:val="006C3CDF"/>
    <w:rsid w:val="006C41C4"/>
    <w:rsid w:val="006C46E7"/>
    <w:rsid w:val="006C5132"/>
    <w:rsid w:val="006C60C1"/>
    <w:rsid w:val="006C6971"/>
    <w:rsid w:val="006C6989"/>
    <w:rsid w:val="006C702B"/>
    <w:rsid w:val="006C7321"/>
    <w:rsid w:val="006D1F5E"/>
    <w:rsid w:val="006D2F39"/>
    <w:rsid w:val="006D37B3"/>
    <w:rsid w:val="006D37E6"/>
    <w:rsid w:val="006D49F8"/>
    <w:rsid w:val="006D5F72"/>
    <w:rsid w:val="006D5FCA"/>
    <w:rsid w:val="006D6C63"/>
    <w:rsid w:val="006D6D3A"/>
    <w:rsid w:val="006D78C0"/>
    <w:rsid w:val="006E0036"/>
    <w:rsid w:val="006E0EAA"/>
    <w:rsid w:val="006E13C1"/>
    <w:rsid w:val="006E25A0"/>
    <w:rsid w:val="006E35D1"/>
    <w:rsid w:val="006E40E2"/>
    <w:rsid w:val="006E4633"/>
    <w:rsid w:val="006E4EC6"/>
    <w:rsid w:val="006E5E11"/>
    <w:rsid w:val="006E5FD2"/>
    <w:rsid w:val="006E6EC2"/>
    <w:rsid w:val="006E79FA"/>
    <w:rsid w:val="006E7EAA"/>
    <w:rsid w:val="006E7FF2"/>
    <w:rsid w:val="006F08ED"/>
    <w:rsid w:val="006F1D04"/>
    <w:rsid w:val="006F23C4"/>
    <w:rsid w:val="006F2464"/>
    <w:rsid w:val="006F24D5"/>
    <w:rsid w:val="006F25CF"/>
    <w:rsid w:val="006F325A"/>
    <w:rsid w:val="006F34CC"/>
    <w:rsid w:val="006F3D90"/>
    <w:rsid w:val="006F413D"/>
    <w:rsid w:val="006F4D00"/>
    <w:rsid w:val="006F567E"/>
    <w:rsid w:val="006F70D3"/>
    <w:rsid w:val="006F71A5"/>
    <w:rsid w:val="006F778F"/>
    <w:rsid w:val="00700E5B"/>
    <w:rsid w:val="00701703"/>
    <w:rsid w:val="00701D7A"/>
    <w:rsid w:val="00702497"/>
    <w:rsid w:val="007034E4"/>
    <w:rsid w:val="00703FC8"/>
    <w:rsid w:val="00704546"/>
    <w:rsid w:val="00704898"/>
    <w:rsid w:val="00704FB6"/>
    <w:rsid w:val="007055E2"/>
    <w:rsid w:val="00705709"/>
    <w:rsid w:val="0070596B"/>
    <w:rsid w:val="00705FA3"/>
    <w:rsid w:val="00706011"/>
    <w:rsid w:val="0070761E"/>
    <w:rsid w:val="00707A7B"/>
    <w:rsid w:val="00707ED7"/>
    <w:rsid w:val="007110B9"/>
    <w:rsid w:val="007112B3"/>
    <w:rsid w:val="00711438"/>
    <w:rsid w:val="007115CA"/>
    <w:rsid w:val="00712C29"/>
    <w:rsid w:val="007136DF"/>
    <w:rsid w:val="00713BF4"/>
    <w:rsid w:val="0071683C"/>
    <w:rsid w:val="00717BC5"/>
    <w:rsid w:val="007200D2"/>
    <w:rsid w:val="0072097D"/>
    <w:rsid w:val="00720EA8"/>
    <w:rsid w:val="00721D53"/>
    <w:rsid w:val="00722225"/>
    <w:rsid w:val="00722B9A"/>
    <w:rsid w:val="00722C63"/>
    <w:rsid w:val="00722D2A"/>
    <w:rsid w:val="00723334"/>
    <w:rsid w:val="007238B5"/>
    <w:rsid w:val="00724454"/>
    <w:rsid w:val="00724ABC"/>
    <w:rsid w:val="00724D51"/>
    <w:rsid w:val="00724E34"/>
    <w:rsid w:val="00725A28"/>
    <w:rsid w:val="00726053"/>
    <w:rsid w:val="00726A36"/>
    <w:rsid w:val="00726F84"/>
    <w:rsid w:val="0072763E"/>
    <w:rsid w:val="00727A75"/>
    <w:rsid w:val="00727BF3"/>
    <w:rsid w:val="007302AD"/>
    <w:rsid w:val="007308CF"/>
    <w:rsid w:val="00731ADE"/>
    <w:rsid w:val="00732999"/>
    <w:rsid w:val="00732B86"/>
    <w:rsid w:val="00734381"/>
    <w:rsid w:val="00735447"/>
    <w:rsid w:val="0073596B"/>
    <w:rsid w:val="00736655"/>
    <w:rsid w:val="00737146"/>
    <w:rsid w:val="007424BC"/>
    <w:rsid w:val="00742D43"/>
    <w:rsid w:val="00743569"/>
    <w:rsid w:val="007436D2"/>
    <w:rsid w:val="0074532D"/>
    <w:rsid w:val="007458CF"/>
    <w:rsid w:val="00745A39"/>
    <w:rsid w:val="007463D0"/>
    <w:rsid w:val="00746719"/>
    <w:rsid w:val="0074675D"/>
    <w:rsid w:val="00746C7B"/>
    <w:rsid w:val="00747283"/>
    <w:rsid w:val="007475F2"/>
    <w:rsid w:val="00747848"/>
    <w:rsid w:val="00747FF1"/>
    <w:rsid w:val="00751500"/>
    <w:rsid w:val="007515C0"/>
    <w:rsid w:val="007527CA"/>
    <w:rsid w:val="00752922"/>
    <w:rsid w:val="007537B2"/>
    <w:rsid w:val="00753BB3"/>
    <w:rsid w:val="00754FE8"/>
    <w:rsid w:val="007559DD"/>
    <w:rsid w:val="00755F0E"/>
    <w:rsid w:val="00757063"/>
    <w:rsid w:val="0075781E"/>
    <w:rsid w:val="00757C3E"/>
    <w:rsid w:val="00760230"/>
    <w:rsid w:val="0076054E"/>
    <w:rsid w:val="00761502"/>
    <w:rsid w:val="00762AF6"/>
    <w:rsid w:val="00763295"/>
    <w:rsid w:val="007632B0"/>
    <w:rsid w:val="007633A3"/>
    <w:rsid w:val="0076401C"/>
    <w:rsid w:val="007642B4"/>
    <w:rsid w:val="00764339"/>
    <w:rsid w:val="00764A76"/>
    <w:rsid w:val="007650FE"/>
    <w:rsid w:val="00765AF1"/>
    <w:rsid w:val="007663B5"/>
    <w:rsid w:val="00766BC6"/>
    <w:rsid w:val="00766BD8"/>
    <w:rsid w:val="0076706B"/>
    <w:rsid w:val="007701CC"/>
    <w:rsid w:val="0077069B"/>
    <w:rsid w:val="00770B20"/>
    <w:rsid w:val="00770CC9"/>
    <w:rsid w:val="00771D21"/>
    <w:rsid w:val="0077290F"/>
    <w:rsid w:val="0077310A"/>
    <w:rsid w:val="007737CB"/>
    <w:rsid w:val="00773BD4"/>
    <w:rsid w:val="00773FE2"/>
    <w:rsid w:val="00774407"/>
    <w:rsid w:val="00774B63"/>
    <w:rsid w:val="00774D5B"/>
    <w:rsid w:val="00774DD2"/>
    <w:rsid w:val="007757D0"/>
    <w:rsid w:val="00775EC0"/>
    <w:rsid w:val="00776DD2"/>
    <w:rsid w:val="00776F80"/>
    <w:rsid w:val="0077723B"/>
    <w:rsid w:val="007772A9"/>
    <w:rsid w:val="00777484"/>
    <w:rsid w:val="00777A67"/>
    <w:rsid w:val="00780637"/>
    <w:rsid w:val="00780B33"/>
    <w:rsid w:val="00780BA4"/>
    <w:rsid w:val="00781078"/>
    <w:rsid w:val="00781E2C"/>
    <w:rsid w:val="007825FC"/>
    <w:rsid w:val="00782A96"/>
    <w:rsid w:val="00782E70"/>
    <w:rsid w:val="00783D6B"/>
    <w:rsid w:val="00784612"/>
    <w:rsid w:val="0078496F"/>
    <w:rsid w:val="00786D37"/>
    <w:rsid w:val="00787BB8"/>
    <w:rsid w:val="0079101B"/>
    <w:rsid w:val="007914A6"/>
    <w:rsid w:val="0079159E"/>
    <w:rsid w:val="007917D8"/>
    <w:rsid w:val="007919B6"/>
    <w:rsid w:val="00791D58"/>
    <w:rsid w:val="00792D5B"/>
    <w:rsid w:val="00793004"/>
    <w:rsid w:val="0079391D"/>
    <w:rsid w:val="00793991"/>
    <w:rsid w:val="00793B3C"/>
    <w:rsid w:val="00793E97"/>
    <w:rsid w:val="00794042"/>
    <w:rsid w:val="007940CA"/>
    <w:rsid w:val="00794B39"/>
    <w:rsid w:val="00794C64"/>
    <w:rsid w:val="00795F11"/>
    <w:rsid w:val="00797F05"/>
    <w:rsid w:val="007A00E9"/>
    <w:rsid w:val="007A0F29"/>
    <w:rsid w:val="007A13F1"/>
    <w:rsid w:val="007A1862"/>
    <w:rsid w:val="007A36BF"/>
    <w:rsid w:val="007A42BB"/>
    <w:rsid w:val="007A4E67"/>
    <w:rsid w:val="007A51B1"/>
    <w:rsid w:val="007A5F1E"/>
    <w:rsid w:val="007A67EB"/>
    <w:rsid w:val="007A707E"/>
    <w:rsid w:val="007A7930"/>
    <w:rsid w:val="007A7AE5"/>
    <w:rsid w:val="007B0EF1"/>
    <w:rsid w:val="007B114A"/>
    <w:rsid w:val="007B13C0"/>
    <w:rsid w:val="007B19C4"/>
    <w:rsid w:val="007B1D6F"/>
    <w:rsid w:val="007B2569"/>
    <w:rsid w:val="007B282C"/>
    <w:rsid w:val="007B28AC"/>
    <w:rsid w:val="007B2BA5"/>
    <w:rsid w:val="007B395C"/>
    <w:rsid w:val="007B3E5E"/>
    <w:rsid w:val="007B3ED9"/>
    <w:rsid w:val="007B4D62"/>
    <w:rsid w:val="007B506F"/>
    <w:rsid w:val="007B5AB0"/>
    <w:rsid w:val="007B5C7B"/>
    <w:rsid w:val="007B646C"/>
    <w:rsid w:val="007B65EA"/>
    <w:rsid w:val="007B676D"/>
    <w:rsid w:val="007B744C"/>
    <w:rsid w:val="007B794A"/>
    <w:rsid w:val="007B7FEF"/>
    <w:rsid w:val="007C0029"/>
    <w:rsid w:val="007C0210"/>
    <w:rsid w:val="007C02CF"/>
    <w:rsid w:val="007C06F1"/>
    <w:rsid w:val="007C1B93"/>
    <w:rsid w:val="007C1D48"/>
    <w:rsid w:val="007C251A"/>
    <w:rsid w:val="007C3A81"/>
    <w:rsid w:val="007C56CC"/>
    <w:rsid w:val="007C57BE"/>
    <w:rsid w:val="007C5BBD"/>
    <w:rsid w:val="007C64B7"/>
    <w:rsid w:val="007C65F9"/>
    <w:rsid w:val="007C6CA9"/>
    <w:rsid w:val="007C7AEE"/>
    <w:rsid w:val="007C7B99"/>
    <w:rsid w:val="007C7D7F"/>
    <w:rsid w:val="007D04B3"/>
    <w:rsid w:val="007D1A21"/>
    <w:rsid w:val="007D1E26"/>
    <w:rsid w:val="007D28BB"/>
    <w:rsid w:val="007D326F"/>
    <w:rsid w:val="007D3648"/>
    <w:rsid w:val="007D368E"/>
    <w:rsid w:val="007D4A8A"/>
    <w:rsid w:val="007D56FA"/>
    <w:rsid w:val="007D669A"/>
    <w:rsid w:val="007D6A23"/>
    <w:rsid w:val="007D6A5F"/>
    <w:rsid w:val="007D6C58"/>
    <w:rsid w:val="007D6CA6"/>
    <w:rsid w:val="007D7D44"/>
    <w:rsid w:val="007E22AF"/>
    <w:rsid w:val="007E26BE"/>
    <w:rsid w:val="007E2D57"/>
    <w:rsid w:val="007E2E1F"/>
    <w:rsid w:val="007E2F6E"/>
    <w:rsid w:val="007E4006"/>
    <w:rsid w:val="007E465B"/>
    <w:rsid w:val="007E48D6"/>
    <w:rsid w:val="007E4F3A"/>
    <w:rsid w:val="007E533C"/>
    <w:rsid w:val="007E5C51"/>
    <w:rsid w:val="007E5EFF"/>
    <w:rsid w:val="007E62E1"/>
    <w:rsid w:val="007E6337"/>
    <w:rsid w:val="007E6598"/>
    <w:rsid w:val="007E69C3"/>
    <w:rsid w:val="007E76C6"/>
    <w:rsid w:val="007F0AE0"/>
    <w:rsid w:val="007F0B9E"/>
    <w:rsid w:val="007F1419"/>
    <w:rsid w:val="007F1BCE"/>
    <w:rsid w:val="007F20F0"/>
    <w:rsid w:val="007F23C9"/>
    <w:rsid w:val="007F2CF7"/>
    <w:rsid w:val="007F37C1"/>
    <w:rsid w:val="007F3AA1"/>
    <w:rsid w:val="007F4BF7"/>
    <w:rsid w:val="007F4DBA"/>
    <w:rsid w:val="007F5987"/>
    <w:rsid w:val="007F6649"/>
    <w:rsid w:val="007F6CEC"/>
    <w:rsid w:val="007F731D"/>
    <w:rsid w:val="007F7C7E"/>
    <w:rsid w:val="007F7CBD"/>
    <w:rsid w:val="00800EEC"/>
    <w:rsid w:val="00802028"/>
    <w:rsid w:val="008028CE"/>
    <w:rsid w:val="00802D89"/>
    <w:rsid w:val="0080388A"/>
    <w:rsid w:val="00803ACB"/>
    <w:rsid w:val="00803C37"/>
    <w:rsid w:val="0080492E"/>
    <w:rsid w:val="00804BF8"/>
    <w:rsid w:val="00805EE2"/>
    <w:rsid w:val="00806086"/>
    <w:rsid w:val="0080649B"/>
    <w:rsid w:val="00806591"/>
    <w:rsid w:val="00806E34"/>
    <w:rsid w:val="00806E35"/>
    <w:rsid w:val="00806EFE"/>
    <w:rsid w:val="00807A2B"/>
    <w:rsid w:val="00807A50"/>
    <w:rsid w:val="00810980"/>
    <w:rsid w:val="00810D06"/>
    <w:rsid w:val="00810FC4"/>
    <w:rsid w:val="00811157"/>
    <w:rsid w:val="00811B2A"/>
    <w:rsid w:val="00812525"/>
    <w:rsid w:val="0081271C"/>
    <w:rsid w:val="00814B13"/>
    <w:rsid w:val="00815F8D"/>
    <w:rsid w:val="00816287"/>
    <w:rsid w:val="00816A18"/>
    <w:rsid w:val="00817704"/>
    <w:rsid w:val="00817849"/>
    <w:rsid w:val="00817DF2"/>
    <w:rsid w:val="008208B6"/>
    <w:rsid w:val="00820A7D"/>
    <w:rsid w:val="00820EC4"/>
    <w:rsid w:val="00820F30"/>
    <w:rsid w:val="008217CF"/>
    <w:rsid w:val="00821B04"/>
    <w:rsid w:val="00822936"/>
    <w:rsid w:val="00822AD3"/>
    <w:rsid w:val="00822B36"/>
    <w:rsid w:val="00824475"/>
    <w:rsid w:val="00824ABD"/>
    <w:rsid w:val="00824B6F"/>
    <w:rsid w:val="00825374"/>
    <w:rsid w:val="0082614B"/>
    <w:rsid w:val="00833039"/>
    <w:rsid w:val="008339EC"/>
    <w:rsid w:val="00833BCD"/>
    <w:rsid w:val="008343EE"/>
    <w:rsid w:val="008351D1"/>
    <w:rsid w:val="00835BE7"/>
    <w:rsid w:val="00836AE6"/>
    <w:rsid w:val="008373BB"/>
    <w:rsid w:val="0083769E"/>
    <w:rsid w:val="00837B54"/>
    <w:rsid w:val="00837FA4"/>
    <w:rsid w:val="00840408"/>
    <w:rsid w:val="008407CA"/>
    <w:rsid w:val="008412E9"/>
    <w:rsid w:val="008431E5"/>
    <w:rsid w:val="00843527"/>
    <w:rsid w:val="00843B27"/>
    <w:rsid w:val="0084422C"/>
    <w:rsid w:val="0084523B"/>
    <w:rsid w:val="00845685"/>
    <w:rsid w:val="00845FCA"/>
    <w:rsid w:val="0084602E"/>
    <w:rsid w:val="00846079"/>
    <w:rsid w:val="00846411"/>
    <w:rsid w:val="00847469"/>
    <w:rsid w:val="008475B9"/>
    <w:rsid w:val="00847B77"/>
    <w:rsid w:val="00847CB3"/>
    <w:rsid w:val="00851D37"/>
    <w:rsid w:val="00851EEC"/>
    <w:rsid w:val="0085245B"/>
    <w:rsid w:val="00852E6A"/>
    <w:rsid w:val="00853793"/>
    <w:rsid w:val="00854A2B"/>
    <w:rsid w:val="00854EB5"/>
    <w:rsid w:val="00855008"/>
    <w:rsid w:val="00855BA2"/>
    <w:rsid w:val="0085727F"/>
    <w:rsid w:val="0086027D"/>
    <w:rsid w:val="00860794"/>
    <w:rsid w:val="00861D25"/>
    <w:rsid w:val="00862C3D"/>
    <w:rsid w:val="008638CA"/>
    <w:rsid w:val="008642E6"/>
    <w:rsid w:val="00864AFF"/>
    <w:rsid w:val="00865158"/>
    <w:rsid w:val="00865ACC"/>
    <w:rsid w:val="008665A7"/>
    <w:rsid w:val="00866AC8"/>
    <w:rsid w:val="008677CC"/>
    <w:rsid w:val="008704E6"/>
    <w:rsid w:val="00871549"/>
    <w:rsid w:val="00871AD9"/>
    <w:rsid w:val="00871C84"/>
    <w:rsid w:val="00872112"/>
    <w:rsid w:val="008723B8"/>
    <w:rsid w:val="008729F6"/>
    <w:rsid w:val="00873709"/>
    <w:rsid w:val="00875253"/>
    <w:rsid w:val="008757A2"/>
    <w:rsid w:val="00875C69"/>
    <w:rsid w:val="00877D73"/>
    <w:rsid w:val="008802B6"/>
    <w:rsid w:val="00880E2C"/>
    <w:rsid w:val="00881B32"/>
    <w:rsid w:val="008824E4"/>
    <w:rsid w:val="00882DA9"/>
    <w:rsid w:val="00884487"/>
    <w:rsid w:val="00884D8C"/>
    <w:rsid w:val="008851CA"/>
    <w:rsid w:val="008864DD"/>
    <w:rsid w:val="00887304"/>
    <w:rsid w:val="00887670"/>
    <w:rsid w:val="008877C6"/>
    <w:rsid w:val="00890A18"/>
    <w:rsid w:val="00890AC8"/>
    <w:rsid w:val="00890E4A"/>
    <w:rsid w:val="00892772"/>
    <w:rsid w:val="00892933"/>
    <w:rsid w:val="00892D65"/>
    <w:rsid w:val="008931CE"/>
    <w:rsid w:val="00893AA9"/>
    <w:rsid w:val="008957E6"/>
    <w:rsid w:val="0089644F"/>
    <w:rsid w:val="00896A3C"/>
    <w:rsid w:val="008972CB"/>
    <w:rsid w:val="0089738A"/>
    <w:rsid w:val="008976A4"/>
    <w:rsid w:val="008A080F"/>
    <w:rsid w:val="008A0A9D"/>
    <w:rsid w:val="008A14A3"/>
    <w:rsid w:val="008A17C5"/>
    <w:rsid w:val="008A1D23"/>
    <w:rsid w:val="008A1F01"/>
    <w:rsid w:val="008A1F30"/>
    <w:rsid w:val="008A1F40"/>
    <w:rsid w:val="008A2A31"/>
    <w:rsid w:val="008A3129"/>
    <w:rsid w:val="008A3245"/>
    <w:rsid w:val="008A3637"/>
    <w:rsid w:val="008A39C7"/>
    <w:rsid w:val="008A3D75"/>
    <w:rsid w:val="008A4BDC"/>
    <w:rsid w:val="008A4D4E"/>
    <w:rsid w:val="008A560E"/>
    <w:rsid w:val="008A61BD"/>
    <w:rsid w:val="008A6FFB"/>
    <w:rsid w:val="008A7DE7"/>
    <w:rsid w:val="008B0045"/>
    <w:rsid w:val="008B2162"/>
    <w:rsid w:val="008B22F4"/>
    <w:rsid w:val="008B2AA7"/>
    <w:rsid w:val="008B2E88"/>
    <w:rsid w:val="008B34AD"/>
    <w:rsid w:val="008B356A"/>
    <w:rsid w:val="008B4114"/>
    <w:rsid w:val="008B4A94"/>
    <w:rsid w:val="008B5467"/>
    <w:rsid w:val="008B5653"/>
    <w:rsid w:val="008B58B5"/>
    <w:rsid w:val="008B74A8"/>
    <w:rsid w:val="008B7AF1"/>
    <w:rsid w:val="008B7D1C"/>
    <w:rsid w:val="008C0471"/>
    <w:rsid w:val="008C1538"/>
    <w:rsid w:val="008C191E"/>
    <w:rsid w:val="008C1CC6"/>
    <w:rsid w:val="008C1F14"/>
    <w:rsid w:val="008C24AE"/>
    <w:rsid w:val="008C28C1"/>
    <w:rsid w:val="008C29BA"/>
    <w:rsid w:val="008C3256"/>
    <w:rsid w:val="008C3272"/>
    <w:rsid w:val="008C3A09"/>
    <w:rsid w:val="008C3A76"/>
    <w:rsid w:val="008C423C"/>
    <w:rsid w:val="008C4C98"/>
    <w:rsid w:val="008C6E66"/>
    <w:rsid w:val="008C7224"/>
    <w:rsid w:val="008C73E9"/>
    <w:rsid w:val="008C749E"/>
    <w:rsid w:val="008C7733"/>
    <w:rsid w:val="008C7ABF"/>
    <w:rsid w:val="008C7C9F"/>
    <w:rsid w:val="008C7F62"/>
    <w:rsid w:val="008D01A3"/>
    <w:rsid w:val="008D0DFA"/>
    <w:rsid w:val="008D1033"/>
    <w:rsid w:val="008D145C"/>
    <w:rsid w:val="008D1531"/>
    <w:rsid w:val="008D16AC"/>
    <w:rsid w:val="008D1829"/>
    <w:rsid w:val="008D2747"/>
    <w:rsid w:val="008D2A10"/>
    <w:rsid w:val="008D34CF"/>
    <w:rsid w:val="008D4D81"/>
    <w:rsid w:val="008D66F8"/>
    <w:rsid w:val="008D6DBE"/>
    <w:rsid w:val="008D72C9"/>
    <w:rsid w:val="008D7309"/>
    <w:rsid w:val="008D7890"/>
    <w:rsid w:val="008D7EDF"/>
    <w:rsid w:val="008E1307"/>
    <w:rsid w:val="008E187D"/>
    <w:rsid w:val="008E196B"/>
    <w:rsid w:val="008E28F6"/>
    <w:rsid w:val="008E2EF9"/>
    <w:rsid w:val="008E35C1"/>
    <w:rsid w:val="008E389F"/>
    <w:rsid w:val="008E52D1"/>
    <w:rsid w:val="008E54D4"/>
    <w:rsid w:val="008E7C62"/>
    <w:rsid w:val="008E7DF5"/>
    <w:rsid w:val="008F067F"/>
    <w:rsid w:val="008F1AF4"/>
    <w:rsid w:val="008F1DB7"/>
    <w:rsid w:val="008F2981"/>
    <w:rsid w:val="008F2A73"/>
    <w:rsid w:val="008F3665"/>
    <w:rsid w:val="008F37D2"/>
    <w:rsid w:val="008F397A"/>
    <w:rsid w:val="008F4F78"/>
    <w:rsid w:val="008F633B"/>
    <w:rsid w:val="008F7104"/>
    <w:rsid w:val="008F7B27"/>
    <w:rsid w:val="00900402"/>
    <w:rsid w:val="0090095E"/>
    <w:rsid w:val="00900C82"/>
    <w:rsid w:val="00900F07"/>
    <w:rsid w:val="009016C4"/>
    <w:rsid w:val="00901D93"/>
    <w:rsid w:val="00902A62"/>
    <w:rsid w:val="00903BE2"/>
    <w:rsid w:val="0090541B"/>
    <w:rsid w:val="009054C6"/>
    <w:rsid w:val="009062FC"/>
    <w:rsid w:val="00910DEE"/>
    <w:rsid w:val="00910FA3"/>
    <w:rsid w:val="009114A4"/>
    <w:rsid w:val="0091150F"/>
    <w:rsid w:val="00911D6F"/>
    <w:rsid w:val="009133A3"/>
    <w:rsid w:val="00914539"/>
    <w:rsid w:val="009149FB"/>
    <w:rsid w:val="0091603C"/>
    <w:rsid w:val="009202EB"/>
    <w:rsid w:val="009205C7"/>
    <w:rsid w:val="009207D0"/>
    <w:rsid w:val="00920F41"/>
    <w:rsid w:val="0092105E"/>
    <w:rsid w:val="0092195F"/>
    <w:rsid w:val="009229E2"/>
    <w:rsid w:val="00922E25"/>
    <w:rsid w:val="00923436"/>
    <w:rsid w:val="009239D3"/>
    <w:rsid w:val="00923CFA"/>
    <w:rsid w:val="00924417"/>
    <w:rsid w:val="009248F5"/>
    <w:rsid w:val="00924C14"/>
    <w:rsid w:val="00924D0B"/>
    <w:rsid w:val="00924FB9"/>
    <w:rsid w:val="009254B2"/>
    <w:rsid w:val="00925E56"/>
    <w:rsid w:val="009260B5"/>
    <w:rsid w:val="009262F5"/>
    <w:rsid w:val="009267C4"/>
    <w:rsid w:val="009273B5"/>
    <w:rsid w:val="00927823"/>
    <w:rsid w:val="009302DA"/>
    <w:rsid w:val="00930BDC"/>
    <w:rsid w:val="00932DFD"/>
    <w:rsid w:val="00933C7E"/>
    <w:rsid w:val="00934588"/>
    <w:rsid w:val="009345BB"/>
    <w:rsid w:val="0093520F"/>
    <w:rsid w:val="0093552A"/>
    <w:rsid w:val="00935642"/>
    <w:rsid w:val="00935868"/>
    <w:rsid w:val="00935E5E"/>
    <w:rsid w:val="00936E65"/>
    <w:rsid w:val="009374CE"/>
    <w:rsid w:val="0093771F"/>
    <w:rsid w:val="00937B2D"/>
    <w:rsid w:val="00937CC7"/>
    <w:rsid w:val="00937E77"/>
    <w:rsid w:val="00940F24"/>
    <w:rsid w:val="00940FF7"/>
    <w:rsid w:val="00941451"/>
    <w:rsid w:val="00941A65"/>
    <w:rsid w:val="00942100"/>
    <w:rsid w:val="0094233C"/>
    <w:rsid w:val="0094401C"/>
    <w:rsid w:val="009445F4"/>
    <w:rsid w:val="00944748"/>
    <w:rsid w:val="00944E48"/>
    <w:rsid w:val="0094550D"/>
    <w:rsid w:val="00945E51"/>
    <w:rsid w:val="009467FB"/>
    <w:rsid w:val="009475F9"/>
    <w:rsid w:val="00947DB5"/>
    <w:rsid w:val="00950C07"/>
    <w:rsid w:val="009510C0"/>
    <w:rsid w:val="009516A3"/>
    <w:rsid w:val="00951C33"/>
    <w:rsid w:val="00951C85"/>
    <w:rsid w:val="00952AB0"/>
    <w:rsid w:val="00952BF5"/>
    <w:rsid w:val="009534F4"/>
    <w:rsid w:val="00953ECC"/>
    <w:rsid w:val="0095429E"/>
    <w:rsid w:val="00955813"/>
    <w:rsid w:val="00955D69"/>
    <w:rsid w:val="00955DC7"/>
    <w:rsid w:val="00955F2B"/>
    <w:rsid w:val="00956958"/>
    <w:rsid w:val="009570EE"/>
    <w:rsid w:val="00957119"/>
    <w:rsid w:val="00957129"/>
    <w:rsid w:val="009617FE"/>
    <w:rsid w:val="00961BFA"/>
    <w:rsid w:val="00961E01"/>
    <w:rsid w:val="00961E9B"/>
    <w:rsid w:val="00962BB6"/>
    <w:rsid w:val="00962D04"/>
    <w:rsid w:val="00963C30"/>
    <w:rsid w:val="0096430B"/>
    <w:rsid w:val="00964403"/>
    <w:rsid w:val="009644A8"/>
    <w:rsid w:val="0096499E"/>
    <w:rsid w:val="00964E17"/>
    <w:rsid w:val="00965099"/>
    <w:rsid w:val="00967D30"/>
    <w:rsid w:val="0097026A"/>
    <w:rsid w:val="009705A2"/>
    <w:rsid w:val="00970F33"/>
    <w:rsid w:val="0097185C"/>
    <w:rsid w:val="009718B7"/>
    <w:rsid w:val="00971B63"/>
    <w:rsid w:val="00971EEC"/>
    <w:rsid w:val="00972D4C"/>
    <w:rsid w:val="00972D62"/>
    <w:rsid w:val="009731DC"/>
    <w:rsid w:val="0097334F"/>
    <w:rsid w:val="00973895"/>
    <w:rsid w:val="00973FF8"/>
    <w:rsid w:val="00974285"/>
    <w:rsid w:val="009774E8"/>
    <w:rsid w:val="009777BC"/>
    <w:rsid w:val="009817C9"/>
    <w:rsid w:val="00981EE0"/>
    <w:rsid w:val="00982173"/>
    <w:rsid w:val="00982BD4"/>
    <w:rsid w:val="00982D62"/>
    <w:rsid w:val="00983A71"/>
    <w:rsid w:val="00984F60"/>
    <w:rsid w:val="00985472"/>
    <w:rsid w:val="0098566A"/>
    <w:rsid w:val="00985A72"/>
    <w:rsid w:val="00986244"/>
    <w:rsid w:val="00986851"/>
    <w:rsid w:val="00987799"/>
    <w:rsid w:val="0098789B"/>
    <w:rsid w:val="00987CCE"/>
    <w:rsid w:val="00987D18"/>
    <w:rsid w:val="00990D0B"/>
    <w:rsid w:val="0099100E"/>
    <w:rsid w:val="00991FA1"/>
    <w:rsid w:val="009930B7"/>
    <w:rsid w:val="00993635"/>
    <w:rsid w:val="00993DC9"/>
    <w:rsid w:val="00993E38"/>
    <w:rsid w:val="00994355"/>
    <w:rsid w:val="00994598"/>
    <w:rsid w:val="00994B28"/>
    <w:rsid w:val="0099546C"/>
    <w:rsid w:val="00995FFD"/>
    <w:rsid w:val="0099633B"/>
    <w:rsid w:val="00997AF7"/>
    <w:rsid w:val="00997C1F"/>
    <w:rsid w:val="009A0173"/>
    <w:rsid w:val="009A0CC0"/>
    <w:rsid w:val="009A21DD"/>
    <w:rsid w:val="009A2676"/>
    <w:rsid w:val="009A280A"/>
    <w:rsid w:val="009A29A3"/>
    <w:rsid w:val="009A30A4"/>
    <w:rsid w:val="009A351D"/>
    <w:rsid w:val="009A5193"/>
    <w:rsid w:val="009A5717"/>
    <w:rsid w:val="009A6282"/>
    <w:rsid w:val="009A6465"/>
    <w:rsid w:val="009A6678"/>
    <w:rsid w:val="009A67BD"/>
    <w:rsid w:val="009A6839"/>
    <w:rsid w:val="009A7D38"/>
    <w:rsid w:val="009B1998"/>
    <w:rsid w:val="009B1EDB"/>
    <w:rsid w:val="009B1F35"/>
    <w:rsid w:val="009B2865"/>
    <w:rsid w:val="009B3C92"/>
    <w:rsid w:val="009B3D58"/>
    <w:rsid w:val="009B4718"/>
    <w:rsid w:val="009B52DC"/>
    <w:rsid w:val="009B55A7"/>
    <w:rsid w:val="009B5845"/>
    <w:rsid w:val="009B5C11"/>
    <w:rsid w:val="009B60AA"/>
    <w:rsid w:val="009B65AB"/>
    <w:rsid w:val="009B6D8F"/>
    <w:rsid w:val="009C08BB"/>
    <w:rsid w:val="009C0D51"/>
    <w:rsid w:val="009C1AC8"/>
    <w:rsid w:val="009C355F"/>
    <w:rsid w:val="009C3886"/>
    <w:rsid w:val="009C3FD6"/>
    <w:rsid w:val="009C4B9F"/>
    <w:rsid w:val="009C5642"/>
    <w:rsid w:val="009C6209"/>
    <w:rsid w:val="009C6EBA"/>
    <w:rsid w:val="009C7084"/>
    <w:rsid w:val="009D024E"/>
    <w:rsid w:val="009D1C5A"/>
    <w:rsid w:val="009D204D"/>
    <w:rsid w:val="009D2420"/>
    <w:rsid w:val="009D2EB5"/>
    <w:rsid w:val="009D304B"/>
    <w:rsid w:val="009D3507"/>
    <w:rsid w:val="009D351F"/>
    <w:rsid w:val="009D48C7"/>
    <w:rsid w:val="009D4CC6"/>
    <w:rsid w:val="009D4CED"/>
    <w:rsid w:val="009D4E6A"/>
    <w:rsid w:val="009D5320"/>
    <w:rsid w:val="009D5EB5"/>
    <w:rsid w:val="009D5F04"/>
    <w:rsid w:val="009D618A"/>
    <w:rsid w:val="009D7506"/>
    <w:rsid w:val="009D7AC5"/>
    <w:rsid w:val="009D7E94"/>
    <w:rsid w:val="009D7FD5"/>
    <w:rsid w:val="009E0B53"/>
    <w:rsid w:val="009E0FE3"/>
    <w:rsid w:val="009E149A"/>
    <w:rsid w:val="009E14D4"/>
    <w:rsid w:val="009E18C3"/>
    <w:rsid w:val="009E1AE0"/>
    <w:rsid w:val="009E1DEF"/>
    <w:rsid w:val="009E379A"/>
    <w:rsid w:val="009E3C2A"/>
    <w:rsid w:val="009E4C14"/>
    <w:rsid w:val="009E55D9"/>
    <w:rsid w:val="009E5637"/>
    <w:rsid w:val="009E5F60"/>
    <w:rsid w:val="009E6D0F"/>
    <w:rsid w:val="009F0A1E"/>
    <w:rsid w:val="009F0C15"/>
    <w:rsid w:val="009F0D9B"/>
    <w:rsid w:val="009F10EE"/>
    <w:rsid w:val="009F1EB2"/>
    <w:rsid w:val="009F232A"/>
    <w:rsid w:val="009F241C"/>
    <w:rsid w:val="009F2AB8"/>
    <w:rsid w:val="009F345E"/>
    <w:rsid w:val="009F388D"/>
    <w:rsid w:val="009F3916"/>
    <w:rsid w:val="009F45CA"/>
    <w:rsid w:val="009F4E33"/>
    <w:rsid w:val="009F4E6D"/>
    <w:rsid w:val="009F4F61"/>
    <w:rsid w:val="009F5583"/>
    <w:rsid w:val="009F5AFB"/>
    <w:rsid w:val="009F6707"/>
    <w:rsid w:val="009F73CB"/>
    <w:rsid w:val="00A01292"/>
    <w:rsid w:val="00A01EE1"/>
    <w:rsid w:val="00A01FA4"/>
    <w:rsid w:val="00A0353A"/>
    <w:rsid w:val="00A03C98"/>
    <w:rsid w:val="00A04776"/>
    <w:rsid w:val="00A047BB"/>
    <w:rsid w:val="00A04B76"/>
    <w:rsid w:val="00A04D04"/>
    <w:rsid w:val="00A04DFA"/>
    <w:rsid w:val="00A064E3"/>
    <w:rsid w:val="00A065EB"/>
    <w:rsid w:val="00A0677E"/>
    <w:rsid w:val="00A067FC"/>
    <w:rsid w:val="00A06B76"/>
    <w:rsid w:val="00A073D5"/>
    <w:rsid w:val="00A077C3"/>
    <w:rsid w:val="00A07967"/>
    <w:rsid w:val="00A11735"/>
    <w:rsid w:val="00A11A64"/>
    <w:rsid w:val="00A11AEA"/>
    <w:rsid w:val="00A13804"/>
    <w:rsid w:val="00A13B8A"/>
    <w:rsid w:val="00A13BCF"/>
    <w:rsid w:val="00A13FDD"/>
    <w:rsid w:val="00A146E7"/>
    <w:rsid w:val="00A14747"/>
    <w:rsid w:val="00A14F84"/>
    <w:rsid w:val="00A1547C"/>
    <w:rsid w:val="00A1570C"/>
    <w:rsid w:val="00A159E4"/>
    <w:rsid w:val="00A17273"/>
    <w:rsid w:val="00A17620"/>
    <w:rsid w:val="00A206B3"/>
    <w:rsid w:val="00A20BE8"/>
    <w:rsid w:val="00A2113B"/>
    <w:rsid w:val="00A21D9D"/>
    <w:rsid w:val="00A22998"/>
    <w:rsid w:val="00A22A54"/>
    <w:rsid w:val="00A233C8"/>
    <w:rsid w:val="00A243E9"/>
    <w:rsid w:val="00A24964"/>
    <w:rsid w:val="00A24D9F"/>
    <w:rsid w:val="00A2578F"/>
    <w:rsid w:val="00A25A83"/>
    <w:rsid w:val="00A27533"/>
    <w:rsid w:val="00A2754A"/>
    <w:rsid w:val="00A27C90"/>
    <w:rsid w:val="00A307B0"/>
    <w:rsid w:val="00A307E8"/>
    <w:rsid w:val="00A33459"/>
    <w:rsid w:val="00A338FD"/>
    <w:rsid w:val="00A33B2B"/>
    <w:rsid w:val="00A345E5"/>
    <w:rsid w:val="00A35037"/>
    <w:rsid w:val="00A354D2"/>
    <w:rsid w:val="00A35BCA"/>
    <w:rsid w:val="00A3629E"/>
    <w:rsid w:val="00A36C9F"/>
    <w:rsid w:val="00A36E1A"/>
    <w:rsid w:val="00A36EE4"/>
    <w:rsid w:val="00A375BE"/>
    <w:rsid w:val="00A4010E"/>
    <w:rsid w:val="00A411D7"/>
    <w:rsid w:val="00A422F0"/>
    <w:rsid w:val="00A436A1"/>
    <w:rsid w:val="00A4378B"/>
    <w:rsid w:val="00A43A7D"/>
    <w:rsid w:val="00A43F46"/>
    <w:rsid w:val="00A44AD6"/>
    <w:rsid w:val="00A44D47"/>
    <w:rsid w:val="00A45BB5"/>
    <w:rsid w:val="00A45BE6"/>
    <w:rsid w:val="00A46A10"/>
    <w:rsid w:val="00A46CA8"/>
    <w:rsid w:val="00A508B3"/>
    <w:rsid w:val="00A50E34"/>
    <w:rsid w:val="00A5196E"/>
    <w:rsid w:val="00A5227C"/>
    <w:rsid w:val="00A53319"/>
    <w:rsid w:val="00A53432"/>
    <w:rsid w:val="00A53A6C"/>
    <w:rsid w:val="00A53B34"/>
    <w:rsid w:val="00A53C80"/>
    <w:rsid w:val="00A53E13"/>
    <w:rsid w:val="00A54D46"/>
    <w:rsid w:val="00A5536B"/>
    <w:rsid w:val="00A56487"/>
    <w:rsid w:val="00A56E10"/>
    <w:rsid w:val="00A56E41"/>
    <w:rsid w:val="00A60873"/>
    <w:rsid w:val="00A60B97"/>
    <w:rsid w:val="00A62C9D"/>
    <w:rsid w:val="00A630F4"/>
    <w:rsid w:val="00A63565"/>
    <w:rsid w:val="00A635A6"/>
    <w:rsid w:val="00A64694"/>
    <w:rsid w:val="00A65616"/>
    <w:rsid w:val="00A66FD1"/>
    <w:rsid w:val="00A676B9"/>
    <w:rsid w:val="00A7099F"/>
    <w:rsid w:val="00A70BC0"/>
    <w:rsid w:val="00A71540"/>
    <w:rsid w:val="00A71B86"/>
    <w:rsid w:val="00A71BDC"/>
    <w:rsid w:val="00A72C10"/>
    <w:rsid w:val="00A72DA3"/>
    <w:rsid w:val="00A732AC"/>
    <w:rsid w:val="00A739D4"/>
    <w:rsid w:val="00A73AB3"/>
    <w:rsid w:val="00A75D27"/>
    <w:rsid w:val="00A7762A"/>
    <w:rsid w:val="00A77790"/>
    <w:rsid w:val="00A80785"/>
    <w:rsid w:val="00A81BB0"/>
    <w:rsid w:val="00A82B74"/>
    <w:rsid w:val="00A82FC9"/>
    <w:rsid w:val="00A83043"/>
    <w:rsid w:val="00A83A5E"/>
    <w:rsid w:val="00A83C62"/>
    <w:rsid w:val="00A84622"/>
    <w:rsid w:val="00A858A8"/>
    <w:rsid w:val="00A8596F"/>
    <w:rsid w:val="00A86020"/>
    <w:rsid w:val="00A867EB"/>
    <w:rsid w:val="00A86ABA"/>
    <w:rsid w:val="00A86BBE"/>
    <w:rsid w:val="00A86D18"/>
    <w:rsid w:val="00A87975"/>
    <w:rsid w:val="00A87AD2"/>
    <w:rsid w:val="00A87BF1"/>
    <w:rsid w:val="00A9040A"/>
    <w:rsid w:val="00A90D73"/>
    <w:rsid w:val="00A90DB3"/>
    <w:rsid w:val="00A920ED"/>
    <w:rsid w:val="00A923C2"/>
    <w:rsid w:val="00A9265D"/>
    <w:rsid w:val="00A937A3"/>
    <w:rsid w:val="00A950E9"/>
    <w:rsid w:val="00A95444"/>
    <w:rsid w:val="00A95BB1"/>
    <w:rsid w:val="00A966A6"/>
    <w:rsid w:val="00A96AA8"/>
    <w:rsid w:val="00A96E83"/>
    <w:rsid w:val="00A97137"/>
    <w:rsid w:val="00A97A7B"/>
    <w:rsid w:val="00AA01DA"/>
    <w:rsid w:val="00AA09A9"/>
    <w:rsid w:val="00AA292E"/>
    <w:rsid w:val="00AA2B5D"/>
    <w:rsid w:val="00AA2C83"/>
    <w:rsid w:val="00AA3480"/>
    <w:rsid w:val="00AA3528"/>
    <w:rsid w:val="00AA4A68"/>
    <w:rsid w:val="00AA4BCD"/>
    <w:rsid w:val="00AA50AB"/>
    <w:rsid w:val="00AA5A11"/>
    <w:rsid w:val="00AA633F"/>
    <w:rsid w:val="00AA6C8D"/>
    <w:rsid w:val="00AA72AF"/>
    <w:rsid w:val="00AB0102"/>
    <w:rsid w:val="00AB0162"/>
    <w:rsid w:val="00AB1473"/>
    <w:rsid w:val="00AB2CF1"/>
    <w:rsid w:val="00AB2D6E"/>
    <w:rsid w:val="00AB2DCD"/>
    <w:rsid w:val="00AB3BFA"/>
    <w:rsid w:val="00AB3FC7"/>
    <w:rsid w:val="00AB4174"/>
    <w:rsid w:val="00AB43C9"/>
    <w:rsid w:val="00AB4A84"/>
    <w:rsid w:val="00AB5211"/>
    <w:rsid w:val="00AB5BBE"/>
    <w:rsid w:val="00AB664A"/>
    <w:rsid w:val="00AB6DB2"/>
    <w:rsid w:val="00AB6F19"/>
    <w:rsid w:val="00AB738E"/>
    <w:rsid w:val="00AB74B6"/>
    <w:rsid w:val="00AB7FCA"/>
    <w:rsid w:val="00AC0081"/>
    <w:rsid w:val="00AC00B3"/>
    <w:rsid w:val="00AC065B"/>
    <w:rsid w:val="00AC0E74"/>
    <w:rsid w:val="00AC10BA"/>
    <w:rsid w:val="00AC19D2"/>
    <w:rsid w:val="00AC1ADB"/>
    <w:rsid w:val="00AC1FA9"/>
    <w:rsid w:val="00AC240C"/>
    <w:rsid w:val="00AC2892"/>
    <w:rsid w:val="00AC30DF"/>
    <w:rsid w:val="00AC3BF9"/>
    <w:rsid w:val="00AC3C77"/>
    <w:rsid w:val="00AC4C52"/>
    <w:rsid w:val="00AC650F"/>
    <w:rsid w:val="00AC78E5"/>
    <w:rsid w:val="00AC7C29"/>
    <w:rsid w:val="00AD0215"/>
    <w:rsid w:val="00AD02B8"/>
    <w:rsid w:val="00AD0442"/>
    <w:rsid w:val="00AD0B0E"/>
    <w:rsid w:val="00AD0F80"/>
    <w:rsid w:val="00AD169C"/>
    <w:rsid w:val="00AD25A8"/>
    <w:rsid w:val="00AD2AE1"/>
    <w:rsid w:val="00AD2B41"/>
    <w:rsid w:val="00AD32D6"/>
    <w:rsid w:val="00AD3A66"/>
    <w:rsid w:val="00AD3AAF"/>
    <w:rsid w:val="00AD3CB5"/>
    <w:rsid w:val="00AD4647"/>
    <w:rsid w:val="00AD4E30"/>
    <w:rsid w:val="00AD5209"/>
    <w:rsid w:val="00AD599B"/>
    <w:rsid w:val="00AD5F40"/>
    <w:rsid w:val="00AD7558"/>
    <w:rsid w:val="00AE008A"/>
    <w:rsid w:val="00AE024A"/>
    <w:rsid w:val="00AE1A78"/>
    <w:rsid w:val="00AE1F2E"/>
    <w:rsid w:val="00AE31A2"/>
    <w:rsid w:val="00AE3254"/>
    <w:rsid w:val="00AE3E24"/>
    <w:rsid w:val="00AE3FCE"/>
    <w:rsid w:val="00AE47C5"/>
    <w:rsid w:val="00AE4D6A"/>
    <w:rsid w:val="00AE4D90"/>
    <w:rsid w:val="00AE56C8"/>
    <w:rsid w:val="00AE69A9"/>
    <w:rsid w:val="00AE7036"/>
    <w:rsid w:val="00AE75B3"/>
    <w:rsid w:val="00AF07FA"/>
    <w:rsid w:val="00AF298E"/>
    <w:rsid w:val="00AF2F48"/>
    <w:rsid w:val="00AF3270"/>
    <w:rsid w:val="00AF33CA"/>
    <w:rsid w:val="00AF372B"/>
    <w:rsid w:val="00AF392A"/>
    <w:rsid w:val="00AF3B0E"/>
    <w:rsid w:val="00AF476B"/>
    <w:rsid w:val="00AF47AB"/>
    <w:rsid w:val="00AF4F75"/>
    <w:rsid w:val="00AF50D6"/>
    <w:rsid w:val="00AF6E17"/>
    <w:rsid w:val="00AF74FE"/>
    <w:rsid w:val="00AF7CEB"/>
    <w:rsid w:val="00B002AB"/>
    <w:rsid w:val="00B00CF4"/>
    <w:rsid w:val="00B0148A"/>
    <w:rsid w:val="00B01496"/>
    <w:rsid w:val="00B01F66"/>
    <w:rsid w:val="00B020B6"/>
    <w:rsid w:val="00B023D8"/>
    <w:rsid w:val="00B029D8"/>
    <w:rsid w:val="00B02CF2"/>
    <w:rsid w:val="00B02DA2"/>
    <w:rsid w:val="00B03621"/>
    <w:rsid w:val="00B03E36"/>
    <w:rsid w:val="00B04232"/>
    <w:rsid w:val="00B042FC"/>
    <w:rsid w:val="00B04456"/>
    <w:rsid w:val="00B04EF8"/>
    <w:rsid w:val="00B05ED1"/>
    <w:rsid w:val="00B071B9"/>
    <w:rsid w:val="00B0766B"/>
    <w:rsid w:val="00B0769B"/>
    <w:rsid w:val="00B0779D"/>
    <w:rsid w:val="00B07D26"/>
    <w:rsid w:val="00B07F5E"/>
    <w:rsid w:val="00B1042C"/>
    <w:rsid w:val="00B10704"/>
    <w:rsid w:val="00B10F16"/>
    <w:rsid w:val="00B11957"/>
    <w:rsid w:val="00B12B86"/>
    <w:rsid w:val="00B12EB5"/>
    <w:rsid w:val="00B1336B"/>
    <w:rsid w:val="00B13E39"/>
    <w:rsid w:val="00B13F3F"/>
    <w:rsid w:val="00B13F9F"/>
    <w:rsid w:val="00B14273"/>
    <w:rsid w:val="00B14AEF"/>
    <w:rsid w:val="00B14F0A"/>
    <w:rsid w:val="00B15225"/>
    <w:rsid w:val="00B2009D"/>
    <w:rsid w:val="00B2023E"/>
    <w:rsid w:val="00B2205A"/>
    <w:rsid w:val="00B22612"/>
    <w:rsid w:val="00B22EE9"/>
    <w:rsid w:val="00B22FC4"/>
    <w:rsid w:val="00B23034"/>
    <w:rsid w:val="00B2328A"/>
    <w:rsid w:val="00B2368F"/>
    <w:rsid w:val="00B24609"/>
    <w:rsid w:val="00B24F39"/>
    <w:rsid w:val="00B25567"/>
    <w:rsid w:val="00B2606E"/>
    <w:rsid w:val="00B26D68"/>
    <w:rsid w:val="00B26FAE"/>
    <w:rsid w:val="00B279EE"/>
    <w:rsid w:val="00B27D19"/>
    <w:rsid w:val="00B30B05"/>
    <w:rsid w:val="00B3128B"/>
    <w:rsid w:val="00B3246D"/>
    <w:rsid w:val="00B32B3D"/>
    <w:rsid w:val="00B330BA"/>
    <w:rsid w:val="00B34DB2"/>
    <w:rsid w:val="00B363B0"/>
    <w:rsid w:val="00B36740"/>
    <w:rsid w:val="00B36A46"/>
    <w:rsid w:val="00B36AF0"/>
    <w:rsid w:val="00B36F6E"/>
    <w:rsid w:val="00B375DA"/>
    <w:rsid w:val="00B379FC"/>
    <w:rsid w:val="00B37C21"/>
    <w:rsid w:val="00B40453"/>
    <w:rsid w:val="00B4098A"/>
    <w:rsid w:val="00B40BDA"/>
    <w:rsid w:val="00B40F44"/>
    <w:rsid w:val="00B4135F"/>
    <w:rsid w:val="00B41946"/>
    <w:rsid w:val="00B41BBD"/>
    <w:rsid w:val="00B41F8D"/>
    <w:rsid w:val="00B43EC2"/>
    <w:rsid w:val="00B44853"/>
    <w:rsid w:val="00B46D8A"/>
    <w:rsid w:val="00B4764A"/>
    <w:rsid w:val="00B476D8"/>
    <w:rsid w:val="00B50A4F"/>
    <w:rsid w:val="00B50D3B"/>
    <w:rsid w:val="00B517F6"/>
    <w:rsid w:val="00B52CE4"/>
    <w:rsid w:val="00B53389"/>
    <w:rsid w:val="00B537DA"/>
    <w:rsid w:val="00B5383D"/>
    <w:rsid w:val="00B53AC7"/>
    <w:rsid w:val="00B5586A"/>
    <w:rsid w:val="00B55BD3"/>
    <w:rsid w:val="00B564DC"/>
    <w:rsid w:val="00B56B0A"/>
    <w:rsid w:val="00B56CED"/>
    <w:rsid w:val="00B56E95"/>
    <w:rsid w:val="00B574C7"/>
    <w:rsid w:val="00B57A0F"/>
    <w:rsid w:val="00B57B62"/>
    <w:rsid w:val="00B57F99"/>
    <w:rsid w:val="00B60683"/>
    <w:rsid w:val="00B60B02"/>
    <w:rsid w:val="00B60C45"/>
    <w:rsid w:val="00B60EDB"/>
    <w:rsid w:val="00B611F8"/>
    <w:rsid w:val="00B61A36"/>
    <w:rsid w:val="00B61D06"/>
    <w:rsid w:val="00B61F36"/>
    <w:rsid w:val="00B65477"/>
    <w:rsid w:val="00B65540"/>
    <w:rsid w:val="00B66A3A"/>
    <w:rsid w:val="00B70382"/>
    <w:rsid w:val="00B7065D"/>
    <w:rsid w:val="00B7083E"/>
    <w:rsid w:val="00B70F6B"/>
    <w:rsid w:val="00B71120"/>
    <w:rsid w:val="00B71A48"/>
    <w:rsid w:val="00B71BF2"/>
    <w:rsid w:val="00B72FB8"/>
    <w:rsid w:val="00B74658"/>
    <w:rsid w:val="00B74CCF"/>
    <w:rsid w:val="00B75CD6"/>
    <w:rsid w:val="00B75FA3"/>
    <w:rsid w:val="00B76C48"/>
    <w:rsid w:val="00B76DD7"/>
    <w:rsid w:val="00B76F44"/>
    <w:rsid w:val="00B7780A"/>
    <w:rsid w:val="00B8041B"/>
    <w:rsid w:val="00B8058C"/>
    <w:rsid w:val="00B81038"/>
    <w:rsid w:val="00B8192F"/>
    <w:rsid w:val="00B81A30"/>
    <w:rsid w:val="00B81C0D"/>
    <w:rsid w:val="00B82CEB"/>
    <w:rsid w:val="00B83382"/>
    <w:rsid w:val="00B843FB"/>
    <w:rsid w:val="00B84705"/>
    <w:rsid w:val="00B84AE7"/>
    <w:rsid w:val="00B84E27"/>
    <w:rsid w:val="00B8544A"/>
    <w:rsid w:val="00B85674"/>
    <w:rsid w:val="00B85C2A"/>
    <w:rsid w:val="00B86B7B"/>
    <w:rsid w:val="00B870DA"/>
    <w:rsid w:val="00B87A9F"/>
    <w:rsid w:val="00B90FAB"/>
    <w:rsid w:val="00B90FFC"/>
    <w:rsid w:val="00B913A1"/>
    <w:rsid w:val="00B91D7E"/>
    <w:rsid w:val="00B922DC"/>
    <w:rsid w:val="00B92341"/>
    <w:rsid w:val="00B92CB6"/>
    <w:rsid w:val="00B9643A"/>
    <w:rsid w:val="00B9662F"/>
    <w:rsid w:val="00B96FEE"/>
    <w:rsid w:val="00BA0D79"/>
    <w:rsid w:val="00BA147A"/>
    <w:rsid w:val="00BA17A7"/>
    <w:rsid w:val="00BA1B2A"/>
    <w:rsid w:val="00BA2264"/>
    <w:rsid w:val="00BA249A"/>
    <w:rsid w:val="00BA25ED"/>
    <w:rsid w:val="00BA33B5"/>
    <w:rsid w:val="00BA36ED"/>
    <w:rsid w:val="00BA3B10"/>
    <w:rsid w:val="00BA3B90"/>
    <w:rsid w:val="00BA408F"/>
    <w:rsid w:val="00BA4EBE"/>
    <w:rsid w:val="00BA50B1"/>
    <w:rsid w:val="00BA53D7"/>
    <w:rsid w:val="00BA54DB"/>
    <w:rsid w:val="00BA554A"/>
    <w:rsid w:val="00BA5BAD"/>
    <w:rsid w:val="00BA5D6C"/>
    <w:rsid w:val="00BB02BC"/>
    <w:rsid w:val="00BB039E"/>
    <w:rsid w:val="00BB0565"/>
    <w:rsid w:val="00BB1171"/>
    <w:rsid w:val="00BB2699"/>
    <w:rsid w:val="00BB27FC"/>
    <w:rsid w:val="00BB2BFC"/>
    <w:rsid w:val="00BB5134"/>
    <w:rsid w:val="00BB65DC"/>
    <w:rsid w:val="00BB6DD8"/>
    <w:rsid w:val="00BC0763"/>
    <w:rsid w:val="00BC152B"/>
    <w:rsid w:val="00BC15CE"/>
    <w:rsid w:val="00BC1F3B"/>
    <w:rsid w:val="00BC2418"/>
    <w:rsid w:val="00BC2BB9"/>
    <w:rsid w:val="00BC2BDF"/>
    <w:rsid w:val="00BC3761"/>
    <w:rsid w:val="00BC3CD2"/>
    <w:rsid w:val="00BC404D"/>
    <w:rsid w:val="00BC46F3"/>
    <w:rsid w:val="00BC5329"/>
    <w:rsid w:val="00BC596E"/>
    <w:rsid w:val="00BC5AC0"/>
    <w:rsid w:val="00BC6AAB"/>
    <w:rsid w:val="00BC7164"/>
    <w:rsid w:val="00BC72EF"/>
    <w:rsid w:val="00BC72F7"/>
    <w:rsid w:val="00BD14C2"/>
    <w:rsid w:val="00BD2007"/>
    <w:rsid w:val="00BD2097"/>
    <w:rsid w:val="00BD22A1"/>
    <w:rsid w:val="00BD23EA"/>
    <w:rsid w:val="00BD24E0"/>
    <w:rsid w:val="00BD290B"/>
    <w:rsid w:val="00BD29C4"/>
    <w:rsid w:val="00BD2BD6"/>
    <w:rsid w:val="00BD3C50"/>
    <w:rsid w:val="00BD4D6C"/>
    <w:rsid w:val="00BD5162"/>
    <w:rsid w:val="00BD544F"/>
    <w:rsid w:val="00BD57B3"/>
    <w:rsid w:val="00BD5B13"/>
    <w:rsid w:val="00BD6D24"/>
    <w:rsid w:val="00BD770B"/>
    <w:rsid w:val="00BD7C30"/>
    <w:rsid w:val="00BE06F6"/>
    <w:rsid w:val="00BE08F2"/>
    <w:rsid w:val="00BE1A22"/>
    <w:rsid w:val="00BE2339"/>
    <w:rsid w:val="00BE2437"/>
    <w:rsid w:val="00BE298A"/>
    <w:rsid w:val="00BE2C19"/>
    <w:rsid w:val="00BE2E67"/>
    <w:rsid w:val="00BE4157"/>
    <w:rsid w:val="00BE4633"/>
    <w:rsid w:val="00BE46C8"/>
    <w:rsid w:val="00BE499A"/>
    <w:rsid w:val="00BE4B53"/>
    <w:rsid w:val="00BE5642"/>
    <w:rsid w:val="00BE639E"/>
    <w:rsid w:val="00BE63D7"/>
    <w:rsid w:val="00BE64B3"/>
    <w:rsid w:val="00BE67F6"/>
    <w:rsid w:val="00BE7948"/>
    <w:rsid w:val="00BF0F44"/>
    <w:rsid w:val="00BF11EE"/>
    <w:rsid w:val="00BF1B8A"/>
    <w:rsid w:val="00BF2043"/>
    <w:rsid w:val="00BF2B71"/>
    <w:rsid w:val="00BF33AE"/>
    <w:rsid w:val="00BF408F"/>
    <w:rsid w:val="00BF63BE"/>
    <w:rsid w:val="00BF6679"/>
    <w:rsid w:val="00BF6DEB"/>
    <w:rsid w:val="00BF72DB"/>
    <w:rsid w:val="00BF7A28"/>
    <w:rsid w:val="00BF7B60"/>
    <w:rsid w:val="00C001AD"/>
    <w:rsid w:val="00C0023B"/>
    <w:rsid w:val="00C00EBF"/>
    <w:rsid w:val="00C0122F"/>
    <w:rsid w:val="00C017DA"/>
    <w:rsid w:val="00C01AD1"/>
    <w:rsid w:val="00C01B5E"/>
    <w:rsid w:val="00C01D96"/>
    <w:rsid w:val="00C02185"/>
    <w:rsid w:val="00C022AE"/>
    <w:rsid w:val="00C031E2"/>
    <w:rsid w:val="00C03609"/>
    <w:rsid w:val="00C04441"/>
    <w:rsid w:val="00C0451E"/>
    <w:rsid w:val="00C04B75"/>
    <w:rsid w:val="00C05098"/>
    <w:rsid w:val="00C05E02"/>
    <w:rsid w:val="00C06535"/>
    <w:rsid w:val="00C07483"/>
    <w:rsid w:val="00C076EE"/>
    <w:rsid w:val="00C07DCC"/>
    <w:rsid w:val="00C10F05"/>
    <w:rsid w:val="00C113A0"/>
    <w:rsid w:val="00C11426"/>
    <w:rsid w:val="00C11EA7"/>
    <w:rsid w:val="00C13187"/>
    <w:rsid w:val="00C13B2B"/>
    <w:rsid w:val="00C14B6E"/>
    <w:rsid w:val="00C14F34"/>
    <w:rsid w:val="00C15138"/>
    <w:rsid w:val="00C15C86"/>
    <w:rsid w:val="00C15D81"/>
    <w:rsid w:val="00C165DB"/>
    <w:rsid w:val="00C171BE"/>
    <w:rsid w:val="00C207AF"/>
    <w:rsid w:val="00C20BC7"/>
    <w:rsid w:val="00C21859"/>
    <w:rsid w:val="00C21C35"/>
    <w:rsid w:val="00C21D98"/>
    <w:rsid w:val="00C2209A"/>
    <w:rsid w:val="00C220F7"/>
    <w:rsid w:val="00C22F32"/>
    <w:rsid w:val="00C22F6E"/>
    <w:rsid w:val="00C22FD8"/>
    <w:rsid w:val="00C23A19"/>
    <w:rsid w:val="00C23B4A"/>
    <w:rsid w:val="00C242C3"/>
    <w:rsid w:val="00C2432C"/>
    <w:rsid w:val="00C24A83"/>
    <w:rsid w:val="00C25479"/>
    <w:rsid w:val="00C25866"/>
    <w:rsid w:val="00C260FD"/>
    <w:rsid w:val="00C262C0"/>
    <w:rsid w:val="00C270ED"/>
    <w:rsid w:val="00C27528"/>
    <w:rsid w:val="00C3031F"/>
    <w:rsid w:val="00C30C8E"/>
    <w:rsid w:val="00C33473"/>
    <w:rsid w:val="00C340E8"/>
    <w:rsid w:val="00C34D62"/>
    <w:rsid w:val="00C35CB9"/>
    <w:rsid w:val="00C3601E"/>
    <w:rsid w:val="00C3631D"/>
    <w:rsid w:val="00C366C7"/>
    <w:rsid w:val="00C40276"/>
    <w:rsid w:val="00C410FE"/>
    <w:rsid w:val="00C421C2"/>
    <w:rsid w:val="00C4223A"/>
    <w:rsid w:val="00C424A3"/>
    <w:rsid w:val="00C42648"/>
    <w:rsid w:val="00C42905"/>
    <w:rsid w:val="00C43690"/>
    <w:rsid w:val="00C4388E"/>
    <w:rsid w:val="00C43FF0"/>
    <w:rsid w:val="00C4486C"/>
    <w:rsid w:val="00C44DCB"/>
    <w:rsid w:val="00C44F2C"/>
    <w:rsid w:val="00C46DC2"/>
    <w:rsid w:val="00C476C3"/>
    <w:rsid w:val="00C509AC"/>
    <w:rsid w:val="00C5155F"/>
    <w:rsid w:val="00C51695"/>
    <w:rsid w:val="00C5245D"/>
    <w:rsid w:val="00C5342D"/>
    <w:rsid w:val="00C5353F"/>
    <w:rsid w:val="00C54D9C"/>
    <w:rsid w:val="00C54F85"/>
    <w:rsid w:val="00C561FB"/>
    <w:rsid w:val="00C56E92"/>
    <w:rsid w:val="00C56F0E"/>
    <w:rsid w:val="00C579A7"/>
    <w:rsid w:val="00C605C2"/>
    <w:rsid w:val="00C61FC4"/>
    <w:rsid w:val="00C62652"/>
    <w:rsid w:val="00C626CA"/>
    <w:rsid w:val="00C62CA9"/>
    <w:rsid w:val="00C63570"/>
    <w:rsid w:val="00C63A72"/>
    <w:rsid w:val="00C64154"/>
    <w:rsid w:val="00C64344"/>
    <w:rsid w:val="00C6718C"/>
    <w:rsid w:val="00C67456"/>
    <w:rsid w:val="00C70559"/>
    <w:rsid w:val="00C708F8"/>
    <w:rsid w:val="00C71FE3"/>
    <w:rsid w:val="00C72065"/>
    <w:rsid w:val="00C72409"/>
    <w:rsid w:val="00C72BCA"/>
    <w:rsid w:val="00C73274"/>
    <w:rsid w:val="00C73514"/>
    <w:rsid w:val="00C73A74"/>
    <w:rsid w:val="00C7461B"/>
    <w:rsid w:val="00C74B02"/>
    <w:rsid w:val="00C74F4B"/>
    <w:rsid w:val="00C75FAB"/>
    <w:rsid w:val="00C800DA"/>
    <w:rsid w:val="00C80187"/>
    <w:rsid w:val="00C80F83"/>
    <w:rsid w:val="00C8173E"/>
    <w:rsid w:val="00C819B7"/>
    <w:rsid w:val="00C81EE7"/>
    <w:rsid w:val="00C82104"/>
    <w:rsid w:val="00C827AF"/>
    <w:rsid w:val="00C82A77"/>
    <w:rsid w:val="00C84003"/>
    <w:rsid w:val="00C856EF"/>
    <w:rsid w:val="00C8674A"/>
    <w:rsid w:val="00C86D7C"/>
    <w:rsid w:val="00C90526"/>
    <w:rsid w:val="00C90527"/>
    <w:rsid w:val="00C90E7D"/>
    <w:rsid w:val="00C916B1"/>
    <w:rsid w:val="00C91E00"/>
    <w:rsid w:val="00C923A6"/>
    <w:rsid w:val="00C927E3"/>
    <w:rsid w:val="00C92A70"/>
    <w:rsid w:val="00C93872"/>
    <w:rsid w:val="00C93DFD"/>
    <w:rsid w:val="00C940F1"/>
    <w:rsid w:val="00C942B5"/>
    <w:rsid w:val="00C94B92"/>
    <w:rsid w:val="00C957AF"/>
    <w:rsid w:val="00C95E3F"/>
    <w:rsid w:val="00C96AAB"/>
    <w:rsid w:val="00C96CCB"/>
    <w:rsid w:val="00C97049"/>
    <w:rsid w:val="00C9777D"/>
    <w:rsid w:val="00C97C7E"/>
    <w:rsid w:val="00CA054D"/>
    <w:rsid w:val="00CA08C7"/>
    <w:rsid w:val="00CA0946"/>
    <w:rsid w:val="00CA3154"/>
    <w:rsid w:val="00CA34EF"/>
    <w:rsid w:val="00CA4001"/>
    <w:rsid w:val="00CA4717"/>
    <w:rsid w:val="00CA5126"/>
    <w:rsid w:val="00CA5221"/>
    <w:rsid w:val="00CA5772"/>
    <w:rsid w:val="00CA5C08"/>
    <w:rsid w:val="00CA7760"/>
    <w:rsid w:val="00CA78BE"/>
    <w:rsid w:val="00CA7B29"/>
    <w:rsid w:val="00CA7FDA"/>
    <w:rsid w:val="00CA7FF8"/>
    <w:rsid w:val="00CB0278"/>
    <w:rsid w:val="00CB196A"/>
    <w:rsid w:val="00CB209C"/>
    <w:rsid w:val="00CB371B"/>
    <w:rsid w:val="00CB3B06"/>
    <w:rsid w:val="00CB4145"/>
    <w:rsid w:val="00CB4676"/>
    <w:rsid w:val="00CB5554"/>
    <w:rsid w:val="00CB70B0"/>
    <w:rsid w:val="00CB7ED2"/>
    <w:rsid w:val="00CC17E6"/>
    <w:rsid w:val="00CC19D2"/>
    <w:rsid w:val="00CC221E"/>
    <w:rsid w:val="00CC22EA"/>
    <w:rsid w:val="00CC454E"/>
    <w:rsid w:val="00CC4C7A"/>
    <w:rsid w:val="00CC50FF"/>
    <w:rsid w:val="00CC5962"/>
    <w:rsid w:val="00CC597A"/>
    <w:rsid w:val="00CC5D30"/>
    <w:rsid w:val="00CC5EB9"/>
    <w:rsid w:val="00CC777C"/>
    <w:rsid w:val="00CD1939"/>
    <w:rsid w:val="00CD196E"/>
    <w:rsid w:val="00CD21AB"/>
    <w:rsid w:val="00CD2AE8"/>
    <w:rsid w:val="00CD2B37"/>
    <w:rsid w:val="00CD2D8E"/>
    <w:rsid w:val="00CD3868"/>
    <w:rsid w:val="00CD414B"/>
    <w:rsid w:val="00CD4FEC"/>
    <w:rsid w:val="00CD5115"/>
    <w:rsid w:val="00CD5671"/>
    <w:rsid w:val="00CD5BEF"/>
    <w:rsid w:val="00CD5F26"/>
    <w:rsid w:val="00CD6C97"/>
    <w:rsid w:val="00CD7842"/>
    <w:rsid w:val="00CD79C6"/>
    <w:rsid w:val="00CE00B9"/>
    <w:rsid w:val="00CE01B5"/>
    <w:rsid w:val="00CE0847"/>
    <w:rsid w:val="00CE0898"/>
    <w:rsid w:val="00CE0F27"/>
    <w:rsid w:val="00CE2376"/>
    <w:rsid w:val="00CE2690"/>
    <w:rsid w:val="00CE3DD6"/>
    <w:rsid w:val="00CE61D7"/>
    <w:rsid w:val="00CE6506"/>
    <w:rsid w:val="00CE74CC"/>
    <w:rsid w:val="00CF0AE2"/>
    <w:rsid w:val="00CF233A"/>
    <w:rsid w:val="00CF278F"/>
    <w:rsid w:val="00CF2D35"/>
    <w:rsid w:val="00CF50B8"/>
    <w:rsid w:val="00CF5AA6"/>
    <w:rsid w:val="00CF60CD"/>
    <w:rsid w:val="00CF77C7"/>
    <w:rsid w:val="00CF7B5B"/>
    <w:rsid w:val="00CF7B73"/>
    <w:rsid w:val="00D009BD"/>
    <w:rsid w:val="00D01523"/>
    <w:rsid w:val="00D02042"/>
    <w:rsid w:val="00D02409"/>
    <w:rsid w:val="00D02443"/>
    <w:rsid w:val="00D029FB"/>
    <w:rsid w:val="00D02BC4"/>
    <w:rsid w:val="00D02F16"/>
    <w:rsid w:val="00D03989"/>
    <w:rsid w:val="00D0412B"/>
    <w:rsid w:val="00D04144"/>
    <w:rsid w:val="00D05928"/>
    <w:rsid w:val="00D05F59"/>
    <w:rsid w:val="00D0704A"/>
    <w:rsid w:val="00D11170"/>
    <w:rsid w:val="00D119DD"/>
    <w:rsid w:val="00D11FC1"/>
    <w:rsid w:val="00D14322"/>
    <w:rsid w:val="00D1498C"/>
    <w:rsid w:val="00D14C99"/>
    <w:rsid w:val="00D14F6C"/>
    <w:rsid w:val="00D151DF"/>
    <w:rsid w:val="00D15A9D"/>
    <w:rsid w:val="00D15E63"/>
    <w:rsid w:val="00D16146"/>
    <w:rsid w:val="00D16350"/>
    <w:rsid w:val="00D1663C"/>
    <w:rsid w:val="00D16868"/>
    <w:rsid w:val="00D16DCC"/>
    <w:rsid w:val="00D17031"/>
    <w:rsid w:val="00D1798C"/>
    <w:rsid w:val="00D20181"/>
    <w:rsid w:val="00D2019A"/>
    <w:rsid w:val="00D208EE"/>
    <w:rsid w:val="00D21237"/>
    <w:rsid w:val="00D21E87"/>
    <w:rsid w:val="00D226AF"/>
    <w:rsid w:val="00D22A4A"/>
    <w:rsid w:val="00D23688"/>
    <w:rsid w:val="00D26685"/>
    <w:rsid w:val="00D268D0"/>
    <w:rsid w:val="00D272CE"/>
    <w:rsid w:val="00D275DD"/>
    <w:rsid w:val="00D2785D"/>
    <w:rsid w:val="00D306E4"/>
    <w:rsid w:val="00D3080B"/>
    <w:rsid w:val="00D31E4E"/>
    <w:rsid w:val="00D31F6A"/>
    <w:rsid w:val="00D32BF0"/>
    <w:rsid w:val="00D34049"/>
    <w:rsid w:val="00D3440F"/>
    <w:rsid w:val="00D352F8"/>
    <w:rsid w:val="00D35FD8"/>
    <w:rsid w:val="00D36458"/>
    <w:rsid w:val="00D36960"/>
    <w:rsid w:val="00D36A0A"/>
    <w:rsid w:val="00D3724A"/>
    <w:rsid w:val="00D374CC"/>
    <w:rsid w:val="00D37624"/>
    <w:rsid w:val="00D3786A"/>
    <w:rsid w:val="00D37E9E"/>
    <w:rsid w:val="00D40326"/>
    <w:rsid w:val="00D4061C"/>
    <w:rsid w:val="00D4134C"/>
    <w:rsid w:val="00D41B5D"/>
    <w:rsid w:val="00D41C2F"/>
    <w:rsid w:val="00D420A4"/>
    <w:rsid w:val="00D426C6"/>
    <w:rsid w:val="00D43433"/>
    <w:rsid w:val="00D43552"/>
    <w:rsid w:val="00D436A6"/>
    <w:rsid w:val="00D43A2F"/>
    <w:rsid w:val="00D43D14"/>
    <w:rsid w:val="00D44008"/>
    <w:rsid w:val="00D448C4"/>
    <w:rsid w:val="00D44F6C"/>
    <w:rsid w:val="00D45B97"/>
    <w:rsid w:val="00D45BA0"/>
    <w:rsid w:val="00D45C1A"/>
    <w:rsid w:val="00D4619D"/>
    <w:rsid w:val="00D46A78"/>
    <w:rsid w:val="00D47D02"/>
    <w:rsid w:val="00D50F79"/>
    <w:rsid w:val="00D515A0"/>
    <w:rsid w:val="00D51C01"/>
    <w:rsid w:val="00D52011"/>
    <w:rsid w:val="00D52790"/>
    <w:rsid w:val="00D52B3F"/>
    <w:rsid w:val="00D53CF7"/>
    <w:rsid w:val="00D53D9D"/>
    <w:rsid w:val="00D53E5B"/>
    <w:rsid w:val="00D549C9"/>
    <w:rsid w:val="00D54DF9"/>
    <w:rsid w:val="00D55644"/>
    <w:rsid w:val="00D57CDA"/>
    <w:rsid w:val="00D57D82"/>
    <w:rsid w:val="00D6003D"/>
    <w:rsid w:val="00D60B6A"/>
    <w:rsid w:val="00D61F9F"/>
    <w:rsid w:val="00D6227D"/>
    <w:rsid w:val="00D62516"/>
    <w:rsid w:val="00D63719"/>
    <w:rsid w:val="00D64054"/>
    <w:rsid w:val="00D646D9"/>
    <w:rsid w:val="00D64723"/>
    <w:rsid w:val="00D64E7A"/>
    <w:rsid w:val="00D66408"/>
    <w:rsid w:val="00D6654E"/>
    <w:rsid w:val="00D66F35"/>
    <w:rsid w:val="00D6760A"/>
    <w:rsid w:val="00D67D48"/>
    <w:rsid w:val="00D701F5"/>
    <w:rsid w:val="00D70FA5"/>
    <w:rsid w:val="00D72E78"/>
    <w:rsid w:val="00D73C38"/>
    <w:rsid w:val="00D74217"/>
    <w:rsid w:val="00D7432E"/>
    <w:rsid w:val="00D7497F"/>
    <w:rsid w:val="00D773C3"/>
    <w:rsid w:val="00D779E9"/>
    <w:rsid w:val="00D77A1B"/>
    <w:rsid w:val="00D77D96"/>
    <w:rsid w:val="00D77E3A"/>
    <w:rsid w:val="00D80286"/>
    <w:rsid w:val="00D8067C"/>
    <w:rsid w:val="00D82CE4"/>
    <w:rsid w:val="00D82E61"/>
    <w:rsid w:val="00D82FEF"/>
    <w:rsid w:val="00D830CD"/>
    <w:rsid w:val="00D83182"/>
    <w:rsid w:val="00D834FF"/>
    <w:rsid w:val="00D838ED"/>
    <w:rsid w:val="00D846D8"/>
    <w:rsid w:val="00D84E46"/>
    <w:rsid w:val="00D850D4"/>
    <w:rsid w:val="00D85CBB"/>
    <w:rsid w:val="00D85DB9"/>
    <w:rsid w:val="00D86BF7"/>
    <w:rsid w:val="00D877B0"/>
    <w:rsid w:val="00D90095"/>
    <w:rsid w:val="00D90D20"/>
    <w:rsid w:val="00D916FB"/>
    <w:rsid w:val="00D91B49"/>
    <w:rsid w:val="00D91BC0"/>
    <w:rsid w:val="00D92258"/>
    <w:rsid w:val="00D94FC1"/>
    <w:rsid w:val="00D95E18"/>
    <w:rsid w:val="00D95FB8"/>
    <w:rsid w:val="00D96CA8"/>
    <w:rsid w:val="00D96CA9"/>
    <w:rsid w:val="00D96EE5"/>
    <w:rsid w:val="00D96F1E"/>
    <w:rsid w:val="00D97761"/>
    <w:rsid w:val="00D97CFF"/>
    <w:rsid w:val="00D97D37"/>
    <w:rsid w:val="00DA031F"/>
    <w:rsid w:val="00DA071E"/>
    <w:rsid w:val="00DA15A6"/>
    <w:rsid w:val="00DA196C"/>
    <w:rsid w:val="00DA204D"/>
    <w:rsid w:val="00DA2949"/>
    <w:rsid w:val="00DA2D5F"/>
    <w:rsid w:val="00DA2D75"/>
    <w:rsid w:val="00DA4F7F"/>
    <w:rsid w:val="00DA5C6C"/>
    <w:rsid w:val="00DA61BC"/>
    <w:rsid w:val="00DA7166"/>
    <w:rsid w:val="00DB0933"/>
    <w:rsid w:val="00DB0A30"/>
    <w:rsid w:val="00DB0F28"/>
    <w:rsid w:val="00DB1D70"/>
    <w:rsid w:val="00DB4D46"/>
    <w:rsid w:val="00DB538F"/>
    <w:rsid w:val="00DB574F"/>
    <w:rsid w:val="00DB58BE"/>
    <w:rsid w:val="00DB5AC0"/>
    <w:rsid w:val="00DB623A"/>
    <w:rsid w:val="00DB69F2"/>
    <w:rsid w:val="00DB6D55"/>
    <w:rsid w:val="00DB701C"/>
    <w:rsid w:val="00DB729D"/>
    <w:rsid w:val="00DB7C8E"/>
    <w:rsid w:val="00DC12A6"/>
    <w:rsid w:val="00DC13A6"/>
    <w:rsid w:val="00DC1A09"/>
    <w:rsid w:val="00DC22D6"/>
    <w:rsid w:val="00DC30C9"/>
    <w:rsid w:val="00DC3716"/>
    <w:rsid w:val="00DC3769"/>
    <w:rsid w:val="00DC3861"/>
    <w:rsid w:val="00DC3E07"/>
    <w:rsid w:val="00DC3EB1"/>
    <w:rsid w:val="00DC59DE"/>
    <w:rsid w:val="00DC5A10"/>
    <w:rsid w:val="00DC654D"/>
    <w:rsid w:val="00DC716A"/>
    <w:rsid w:val="00DC7F2D"/>
    <w:rsid w:val="00DD001A"/>
    <w:rsid w:val="00DD1691"/>
    <w:rsid w:val="00DD16B1"/>
    <w:rsid w:val="00DD1E2F"/>
    <w:rsid w:val="00DD1ED3"/>
    <w:rsid w:val="00DD1F5D"/>
    <w:rsid w:val="00DD3395"/>
    <w:rsid w:val="00DD37B6"/>
    <w:rsid w:val="00DD3CA8"/>
    <w:rsid w:val="00DD4DD3"/>
    <w:rsid w:val="00DD5D95"/>
    <w:rsid w:val="00DD5E1F"/>
    <w:rsid w:val="00DD64AD"/>
    <w:rsid w:val="00DD7631"/>
    <w:rsid w:val="00DD7929"/>
    <w:rsid w:val="00DE056C"/>
    <w:rsid w:val="00DE0A19"/>
    <w:rsid w:val="00DE0F77"/>
    <w:rsid w:val="00DE146C"/>
    <w:rsid w:val="00DE152F"/>
    <w:rsid w:val="00DE1705"/>
    <w:rsid w:val="00DE351F"/>
    <w:rsid w:val="00DE39C4"/>
    <w:rsid w:val="00DE45A2"/>
    <w:rsid w:val="00DE47D1"/>
    <w:rsid w:val="00DE4CDA"/>
    <w:rsid w:val="00DE4D5E"/>
    <w:rsid w:val="00DE515A"/>
    <w:rsid w:val="00DE516C"/>
    <w:rsid w:val="00DE520F"/>
    <w:rsid w:val="00DE5C2F"/>
    <w:rsid w:val="00DE5E11"/>
    <w:rsid w:val="00DE64E2"/>
    <w:rsid w:val="00DE6BEF"/>
    <w:rsid w:val="00DF025C"/>
    <w:rsid w:val="00DF0453"/>
    <w:rsid w:val="00DF0470"/>
    <w:rsid w:val="00DF0829"/>
    <w:rsid w:val="00DF0A3F"/>
    <w:rsid w:val="00DF17D6"/>
    <w:rsid w:val="00DF189C"/>
    <w:rsid w:val="00DF1A66"/>
    <w:rsid w:val="00DF219C"/>
    <w:rsid w:val="00DF2208"/>
    <w:rsid w:val="00DF23FD"/>
    <w:rsid w:val="00DF280C"/>
    <w:rsid w:val="00DF286B"/>
    <w:rsid w:val="00DF2AFF"/>
    <w:rsid w:val="00DF2E06"/>
    <w:rsid w:val="00DF2E9F"/>
    <w:rsid w:val="00DF33B9"/>
    <w:rsid w:val="00DF3843"/>
    <w:rsid w:val="00DF45A2"/>
    <w:rsid w:val="00DF5990"/>
    <w:rsid w:val="00DF5CC0"/>
    <w:rsid w:val="00DF6196"/>
    <w:rsid w:val="00DF62E8"/>
    <w:rsid w:val="00DF774D"/>
    <w:rsid w:val="00DF7953"/>
    <w:rsid w:val="00DF79F4"/>
    <w:rsid w:val="00DF7E3E"/>
    <w:rsid w:val="00E0028C"/>
    <w:rsid w:val="00E00325"/>
    <w:rsid w:val="00E00C07"/>
    <w:rsid w:val="00E013C1"/>
    <w:rsid w:val="00E01515"/>
    <w:rsid w:val="00E0159A"/>
    <w:rsid w:val="00E01ACA"/>
    <w:rsid w:val="00E01C5B"/>
    <w:rsid w:val="00E02900"/>
    <w:rsid w:val="00E02931"/>
    <w:rsid w:val="00E02971"/>
    <w:rsid w:val="00E0346D"/>
    <w:rsid w:val="00E03B25"/>
    <w:rsid w:val="00E04956"/>
    <w:rsid w:val="00E04BAF"/>
    <w:rsid w:val="00E050CF"/>
    <w:rsid w:val="00E0587A"/>
    <w:rsid w:val="00E06B8D"/>
    <w:rsid w:val="00E06D72"/>
    <w:rsid w:val="00E100E1"/>
    <w:rsid w:val="00E1073C"/>
    <w:rsid w:val="00E10C72"/>
    <w:rsid w:val="00E11062"/>
    <w:rsid w:val="00E11A5F"/>
    <w:rsid w:val="00E13180"/>
    <w:rsid w:val="00E13274"/>
    <w:rsid w:val="00E13662"/>
    <w:rsid w:val="00E13EFE"/>
    <w:rsid w:val="00E14883"/>
    <w:rsid w:val="00E14C41"/>
    <w:rsid w:val="00E15458"/>
    <w:rsid w:val="00E15934"/>
    <w:rsid w:val="00E15D1A"/>
    <w:rsid w:val="00E15EDD"/>
    <w:rsid w:val="00E174C8"/>
    <w:rsid w:val="00E1789A"/>
    <w:rsid w:val="00E20E18"/>
    <w:rsid w:val="00E215A9"/>
    <w:rsid w:val="00E21777"/>
    <w:rsid w:val="00E21E5D"/>
    <w:rsid w:val="00E23E13"/>
    <w:rsid w:val="00E24300"/>
    <w:rsid w:val="00E26557"/>
    <w:rsid w:val="00E2676E"/>
    <w:rsid w:val="00E273ED"/>
    <w:rsid w:val="00E276D7"/>
    <w:rsid w:val="00E30B53"/>
    <w:rsid w:val="00E30E04"/>
    <w:rsid w:val="00E311FE"/>
    <w:rsid w:val="00E31649"/>
    <w:rsid w:val="00E31AD3"/>
    <w:rsid w:val="00E31BF2"/>
    <w:rsid w:val="00E32001"/>
    <w:rsid w:val="00E323DF"/>
    <w:rsid w:val="00E32806"/>
    <w:rsid w:val="00E3281A"/>
    <w:rsid w:val="00E3345A"/>
    <w:rsid w:val="00E348E4"/>
    <w:rsid w:val="00E348FD"/>
    <w:rsid w:val="00E34B2E"/>
    <w:rsid w:val="00E361C3"/>
    <w:rsid w:val="00E36544"/>
    <w:rsid w:val="00E3669E"/>
    <w:rsid w:val="00E37165"/>
    <w:rsid w:val="00E37A46"/>
    <w:rsid w:val="00E37D59"/>
    <w:rsid w:val="00E40B96"/>
    <w:rsid w:val="00E40D8B"/>
    <w:rsid w:val="00E40E5B"/>
    <w:rsid w:val="00E41BDD"/>
    <w:rsid w:val="00E41C20"/>
    <w:rsid w:val="00E42153"/>
    <w:rsid w:val="00E42471"/>
    <w:rsid w:val="00E42578"/>
    <w:rsid w:val="00E42A87"/>
    <w:rsid w:val="00E43076"/>
    <w:rsid w:val="00E43E4F"/>
    <w:rsid w:val="00E441B6"/>
    <w:rsid w:val="00E441EC"/>
    <w:rsid w:val="00E44350"/>
    <w:rsid w:val="00E44EF3"/>
    <w:rsid w:val="00E44F3E"/>
    <w:rsid w:val="00E45FAB"/>
    <w:rsid w:val="00E462E9"/>
    <w:rsid w:val="00E4661D"/>
    <w:rsid w:val="00E46729"/>
    <w:rsid w:val="00E470B2"/>
    <w:rsid w:val="00E47B6C"/>
    <w:rsid w:val="00E50896"/>
    <w:rsid w:val="00E51054"/>
    <w:rsid w:val="00E51670"/>
    <w:rsid w:val="00E516AE"/>
    <w:rsid w:val="00E51E21"/>
    <w:rsid w:val="00E52703"/>
    <w:rsid w:val="00E52A80"/>
    <w:rsid w:val="00E52BE6"/>
    <w:rsid w:val="00E52E18"/>
    <w:rsid w:val="00E52F08"/>
    <w:rsid w:val="00E53D90"/>
    <w:rsid w:val="00E53FF3"/>
    <w:rsid w:val="00E546B5"/>
    <w:rsid w:val="00E55927"/>
    <w:rsid w:val="00E564FD"/>
    <w:rsid w:val="00E5690C"/>
    <w:rsid w:val="00E573F8"/>
    <w:rsid w:val="00E57486"/>
    <w:rsid w:val="00E57B23"/>
    <w:rsid w:val="00E61038"/>
    <w:rsid w:val="00E611A5"/>
    <w:rsid w:val="00E61511"/>
    <w:rsid w:val="00E62476"/>
    <w:rsid w:val="00E62D9C"/>
    <w:rsid w:val="00E62DCE"/>
    <w:rsid w:val="00E630D1"/>
    <w:rsid w:val="00E64917"/>
    <w:rsid w:val="00E64928"/>
    <w:rsid w:val="00E65234"/>
    <w:rsid w:val="00E653B7"/>
    <w:rsid w:val="00E700CB"/>
    <w:rsid w:val="00E7088F"/>
    <w:rsid w:val="00E70AF4"/>
    <w:rsid w:val="00E72324"/>
    <w:rsid w:val="00E7287F"/>
    <w:rsid w:val="00E73065"/>
    <w:rsid w:val="00E74164"/>
    <w:rsid w:val="00E7465D"/>
    <w:rsid w:val="00E74674"/>
    <w:rsid w:val="00E7507D"/>
    <w:rsid w:val="00E75368"/>
    <w:rsid w:val="00E7552B"/>
    <w:rsid w:val="00E75885"/>
    <w:rsid w:val="00E75E4F"/>
    <w:rsid w:val="00E7601C"/>
    <w:rsid w:val="00E764D7"/>
    <w:rsid w:val="00E76659"/>
    <w:rsid w:val="00E76814"/>
    <w:rsid w:val="00E76AD9"/>
    <w:rsid w:val="00E7717B"/>
    <w:rsid w:val="00E778A4"/>
    <w:rsid w:val="00E811C2"/>
    <w:rsid w:val="00E812E7"/>
    <w:rsid w:val="00E8258D"/>
    <w:rsid w:val="00E82AC5"/>
    <w:rsid w:val="00E8397A"/>
    <w:rsid w:val="00E84069"/>
    <w:rsid w:val="00E856EE"/>
    <w:rsid w:val="00E85C49"/>
    <w:rsid w:val="00E863B6"/>
    <w:rsid w:val="00E86593"/>
    <w:rsid w:val="00E866AD"/>
    <w:rsid w:val="00E8681F"/>
    <w:rsid w:val="00E869F6"/>
    <w:rsid w:val="00E86F9F"/>
    <w:rsid w:val="00E871B9"/>
    <w:rsid w:val="00E929C6"/>
    <w:rsid w:val="00E93756"/>
    <w:rsid w:val="00E93843"/>
    <w:rsid w:val="00E9395D"/>
    <w:rsid w:val="00E93CC6"/>
    <w:rsid w:val="00E9589B"/>
    <w:rsid w:val="00E95E8A"/>
    <w:rsid w:val="00E95EE4"/>
    <w:rsid w:val="00E9625D"/>
    <w:rsid w:val="00E9655A"/>
    <w:rsid w:val="00E96680"/>
    <w:rsid w:val="00E9712F"/>
    <w:rsid w:val="00E97491"/>
    <w:rsid w:val="00E97C77"/>
    <w:rsid w:val="00EA16B7"/>
    <w:rsid w:val="00EA1AFC"/>
    <w:rsid w:val="00EA2183"/>
    <w:rsid w:val="00EA3AA2"/>
    <w:rsid w:val="00EA3CFE"/>
    <w:rsid w:val="00EA4B51"/>
    <w:rsid w:val="00EA5865"/>
    <w:rsid w:val="00EA5B39"/>
    <w:rsid w:val="00EA78E6"/>
    <w:rsid w:val="00EA7A30"/>
    <w:rsid w:val="00EA7F02"/>
    <w:rsid w:val="00EB175F"/>
    <w:rsid w:val="00EB17C1"/>
    <w:rsid w:val="00EB273D"/>
    <w:rsid w:val="00EB2887"/>
    <w:rsid w:val="00EB3458"/>
    <w:rsid w:val="00EB3530"/>
    <w:rsid w:val="00EB37F2"/>
    <w:rsid w:val="00EB3A38"/>
    <w:rsid w:val="00EB53A1"/>
    <w:rsid w:val="00EB59BC"/>
    <w:rsid w:val="00EB5A1C"/>
    <w:rsid w:val="00EB68F5"/>
    <w:rsid w:val="00EB6ABE"/>
    <w:rsid w:val="00EB7DF9"/>
    <w:rsid w:val="00EC0A08"/>
    <w:rsid w:val="00EC0C09"/>
    <w:rsid w:val="00EC1E10"/>
    <w:rsid w:val="00EC221D"/>
    <w:rsid w:val="00EC3518"/>
    <w:rsid w:val="00EC3F5A"/>
    <w:rsid w:val="00EC4CCF"/>
    <w:rsid w:val="00EC53F8"/>
    <w:rsid w:val="00EC6C5D"/>
    <w:rsid w:val="00EC7973"/>
    <w:rsid w:val="00EC7CA6"/>
    <w:rsid w:val="00ED0866"/>
    <w:rsid w:val="00ED1381"/>
    <w:rsid w:val="00ED1510"/>
    <w:rsid w:val="00ED19A5"/>
    <w:rsid w:val="00ED2055"/>
    <w:rsid w:val="00ED2363"/>
    <w:rsid w:val="00ED30DB"/>
    <w:rsid w:val="00ED32D7"/>
    <w:rsid w:val="00ED3410"/>
    <w:rsid w:val="00ED3ACE"/>
    <w:rsid w:val="00ED3F37"/>
    <w:rsid w:val="00ED4FC6"/>
    <w:rsid w:val="00ED5DBD"/>
    <w:rsid w:val="00ED749B"/>
    <w:rsid w:val="00ED7DE0"/>
    <w:rsid w:val="00EE0126"/>
    <w:rsid w:val="00EE173B"/>
    <w:rsid w:val="00EE19D1"/>
    <w:rsid w:val="00EE19EC"/>
    <w:rsid w:val="00EE1AFE"/>
    <w:rsid w:val="00EE1C91"/>
    <w:rsid w:val="00EE40D7"/>
    <w:rsid w:val="00EE480F"/>
    <w:rsid w:val="00EE59FB"/>
    <w:rsid w:val="00EE5FE0"/>
    <w:rsid w:val="00EE68FA"/>
    <w:rsid w:val="00EE6A57"/>
    <w:rsid w:val="00EE6AD2"/>
    <w:rsid w:val="00EE6DDD"/>
    <w:rsid w:val="00EE7279"/>
    <w:rsid w:val="00EE73D0"/>
    <w:rsid w:val="00EE786C"/>
    <w:rsid w:val="00EE7B8F"/>
    <w:rsid w:val="00EE7F8C"/>
    <w:rsid w:val="00EF0A7B"/>
    <w:rsid w:val="00EF0FED"/>
    <w:rsid w:val="00EF20D2"/>
    <w:rsid w:val="00EF3294"/>
    <w:rsid w:val="00EF43F4"/>
    <w:rsid w:val="00EF4AC4"/>
    <w:rsid w:val="00EF4B5D"/>
    <w:rsid w:val="00EF530C"/>
    <w:rsid w:val="00EF6D83"/>
    <w:rsid w:val="00EF7277"/>
    <w:rsid w:val="00EF7D84"/>
    <w:rsid w:val="00EF7E08"/>
    <w:rsid w:val="00F0039C"/>
    <w:rsid w:val="00F00AB3"/>
    <w:rsid w:val="00F00BE5"/>
    <w:rsid w:val="00F0165A"/>
    <w:rsid w:val="00F02462"/>
    <w:rsid w:val="00F0279D"/>
    <w:rsid w:val="00F02AC2"/>
    <w:rsid w:val="00F03BE4"/>
    <w:rsid w:val="00F04AC2"/>
    <w:rsid w:val="00F04BE7"/>
    <w:rsid w:val="00F04C25"/>
    <w:rsid w:val="00F04D24"/>
    <w:rsid w:val="00F05A6F"/>
    <w:rsid w:val="00F05E0C"/>
    <w:rsid w:val="00F0610E"/>
    <w:rsid w:val="00F062CC"/>
    <w:rsid w:val="00F06F0B"/>
    <w:rsid w:val="00F10030"/>
    <w:rsid w:val="00F107DE"/>
    <w:rsid w:val="00F10E29"/>
    <w:rsid w:val="00F1113F"/>
    <w:rsid w:val="00F11DCE"/>
    <w:rsid w:val="00F12302"/>
    <w:rsid w:val="00F14E32"/>
    <w:rsid w:val="00F15A31"/>
    <w:rsid w:val="00F15C6B"/>
    <w:rsid w:val="00F16904"/>
    <w:rsid w:val="00F16919"/>
    <w:rsid w:val="00F16B61"/>
    <w:rsid w:val="00F171A8"/>
    <w:rsid w:val="00F17496"/>
    <w:rsid w:val="00F201C2"/>
    <w:rsid w:val="00F20ADB"/>
    <w:rsid w:val="00F20E4B"/>
    <w:rsid w:val="00F20FA5"/>
    <w:rsid w:val="00F2137E"/>
    <w:rsid w:val="00F22059"/>
    <w:rsid w:val="00F22073"/>
    <w:rsid w:val="00F22F89"/>
    <w:rsid w:val="00F234AB"/>
    <w:rsid w:val="00F2430D"/>
    <w:rsid w:val="00F25BE6"/>
    <w:rsid w:val="00F262B7"/>
    <w:rsid w:val="00F266AF"/>
    <w:rsid w:val="00F27679"/>
    <w:rsid w:val="00F27D44"/>
    <w:rsid w:val="00F30780"/>
    <w:rsid w:val="00F30875"/>
    <w:rsid w:val="00F31011"/>
    <w:rsid w:val="00F3118A"/>
    <w:rsid w:val="00F31C2F"/>
    <w:rsid w:val="00F3276B"/>
    <w:rsid w:val="00F335C5"/>
    <w:rsid w:val="00F33CF3"/>
    <w:rsid w:val="00F33F40"/>
    <w:rsid w:val="00F350DB"/>
    <w:rsid w:val="00F35406"/>
    <w:rsid w:val="00F3552C"/>
    <w:rsid w:val="00F35920"/>
    <w:rsid w:val="00F359BF"/>
    <w:rsid w:val="00F35B97"/>
    <w:rsid w:val="00F35C8B"/>
    <w:rsid w:val="00F35E36"/>
    <w:rsid w:val="00F36D0B"/>
    <w:rsid w:val="00F37090"/>
    <w:rsid w:val="00F37DAA"/>
    <w:rsid w:val="00F37E50"/>
    <w:rsid w:val="00F40E23"/>
    <w:rsid w:val="00F417F4"/>
    <w:rsid w:val="00F41C9C"/>
    <w:rsid w:val="00F4266B"/>
    <w:rsid w:val="00F4359F"/>
    <w:rsid w:val="00F4390E"/>
    <w:rsid w:val="00F4545D"/>
    <w:rsid w:val="00F45908"/>
    <w:rsid w:val="00F45D5C"/>
    <w:rsid w:val="00F477FC"/>
    <w:rsid w:val="00F5096D"/>
    <w:rsid w:val="00F50A49"/>
    <w:rsid w:val="00F50B76"/>
    <w:rsid w:val="00F51122"/>
    <w:rsid w:val="00F517AD"/>
    <w:rsid w:val="00F51939"/>
    <w:rsid w:val="00F52A06"/>
    <w:rsid w:val="00F53F1D"/>
    <w:rsid w:val="00F548BE"/>
    <w:rsid w:val="00F54D8E"/>
    <w:rsid w:val="00F555E0"/>
    <w:rsid w:val="00F55770"/>
    <w:rsid w:val="00F55B91"/>
    <w:rsid w:val="00F610AD"/>
    <w:rsid w:val="00F62F87"/>
    <w:rsid w:val="00F63ABE"/>
    <w:rsid w:val="00F649E4"/>
    <w:rsid w:val="00F64BA9"/>
    <w:rsid w:val="00F659EC"/>
    <w:rsid w:val="00F661DD"/>
    <w:rsid w:val="00F66423"/>
    <w:rsid w:val="00F666F4"/>
    <w:rsid w:val="00F66740"/>
    <w:rsid w:val="00F70310"/>
    <w:rsid w:val="00F7132C"/>
    <w:rsid w:val="00F713B7"/>
    <w:rsid w:val="00F71442"/>
    <w:rsid w:val="00F71BA1"/>
    <w:rsid w:val="00F72991"/>
    <w:rsid w:val="00F729CC"/>
    <w:rsid w:val="00F72AF3"/>
    <w:rsid w:val="00F72E46"/>
    <w:rsid w:val="00F72F10"/>
    <w:rsid w:val="00F7310F"/>
    <w:rsid w:val="00F7395A"/>
    <w:rsid w:val="00F742C5"/>
    <w:rsid w:val="00F747D2"/>
    <w:rsid w:val="00F74C2A"/>
    <w:rsid w:val="00F75A1A"/>
    <w:rsid w:val="00F75D9D"/>
    <w:rsid w:val="00F760D2"/>
    <w:rsid w:val="00F77132"/>
    <w:rsid w:val="00F77763"/>
    <w:rsid w:val="00F77DA1"/>
    <w:rsid w:val="00F80429"/>
    <w:rsid w:val="00F80738"/>
    <w:rsid w:val="00F814D4"/>
    <w:rsid w:val="00F81CFD"/>
    <w:rsid w:val="00F82581"/>
    <w:rsid w:val="00F82D9A"/>
    <w:rsid w:val="00F83629"/>
    <w:rsid w:val="00F83957"/>
    <w:rsid w:val="00F846E3"/>
    <w:rsid w:val="00F84ADE"/>
    <w:rsid w:val="00F84E55"/>
    <w:rsid w:val="00F85330"/>
    <w:rsid w:val="00F86913"/>
    <w:rsid w:val="00F86C3E"/>
    <w:rsid w:val="00F87B9F"/>
    <w:rsid w:val="00F87E11"/>
    <w:rsid w:val="00F90145"/>
    <w:rsid w:val="00F90E4F"/>
    <w:rsid w:val="00F90EF1"/>
    <w:rsid w:val="00F92560"/>
    <w:rsid w:val="00F925AF"/>
    <w:rsid w:val="00F92618"/>
    <w:rsid w:val="00F926EB"/>
    <w:rsid w:val="00F93D96"/>
    <w:rsid w:val="00F950A6"/>
    <w:rsid w:val="00F95B42"/>
    <w:rsid w:val="00F969CF"/>
    <w:rsid w:val="00F96CD3"/>
    <w:rsid w:val="00F96EE8"/>
    <w:rsid w:val="00F972FB"/>
    <w:rsid w:val="00FA1E0B"/>
    <w:rsid w:val="00FA29A2"/>
    <w:rsid w:val="00FA3C2B"/>
    <w:rsid w:val="00FA40BB"/>
    <w:rsid w:val="00FA550F"/>
    <w:rsid w:val="00FA586B"/>
    <w:rsid w:val="00FA58E0"/>
    <w:rsid w:val="00FA58EC"/>
    <w:rsid w:val="00FA6647"/>
    <w:rsid w:val="00FA6AE4"/>
    <w:rsid w:val="00FA7368"/>
    <w:rsid w:val="00FA7628"/>
    <w:rsid w:val="00FA7C95"/>
    <w:rsid w:val="00FB1110"/>
    <w:rsid w:val="00FB1773"/>
    <w:rsid w:val="00FB23E5"/>
    <w:rsid w:val="00FB2984"/>
    <w:rsid w:val="00FB2C61"/>
    <w:rsid w:val="00FB2D77"/>
    <w:rsid w:val="00FB2E07"/>
    <w:rsid w:val="00FB3024"/>
    <w:rsid w:val="00FB32F5"/>
    <w:rsid w:val="00FB4180"/>
    <w:rsid w:val="00FB5220"/>
    <w:rsid w:val="00FB5A70"/>
    <w:rsid w:val="00FB5C96"/>
    <w:rsid w:val="00FB6F1D"/>
    <w:rsid w:val="00FB7AD8"/>
    <w:rsid w:val="00FC0587"/>
    <w:rsid w:val="00FC0778"/>
    <w:rsid w:val="00FC10A8"/>
    <w:rsid w:val="00FC18C7"/>
    <w:rsid w:val="00FC1B43"/>
    <w:rsid w:val="00FC21A8"/>
    <w:rsid w:val="00FC24D6"/>
    <w:rsid w:val="00FC31B5"/>
    <w:rsid w:val="00FC3464"/>
    <w:rsid w:val="00FC4B0F"/>
    <w:rsid w:val="00FC6073"/>
    <w:rsid w:val="00FC7B65"/>
    <w:rsid w:val="00FD0141"/>
    <w:rsid w:val="00FD09B7"/>
    <w:rsid w:val="00FD17D4"/>
    <w:rsid w:val="00FD1989"/>
    <w:rsid w:val="00FD2973"/>
    <w:rsid w:val="00FD29EE"/>
    <w:rsid w:val="00FD2B4D"/>
    <w:rsid w:val="00FD3DF9"/>
    <w:rsid w:val="00FD4146"/>
    <w:rsid w:val="00FD4570"/>
    <w:rsid w:val="00FD4A6A"/>
    <w:rsid w:val="00FD5942"/>
    <w:rsid w:val="00FD5E94"/>
    <w:rsid w:val="00FD6465"/>
    <w:rsid w:val="00FD7230"/>
    <w:rsid w:val="00FD79E9"/>
    <w:rsid w:val="00FD7E68"/>
    <w:rsid w:val="00FD7F7A"/>
    <w:rsid w:val="00FE06D8"/>
    <w:rsid w:val="00FE0DE8"/>
    <w:rsid w:val="00FE10BB"/>
    <w:rsid w:val="00FE1805"/>
    <w:rsid w:val="00FE19FB"/>
    <w:rsid w:val="00FE1C94"/>
    <w:rsid w:val="00FE1D4C"/>
    <w:rsid w:val="00FE2B3B"/>
    <w:rsid w:val="00FE2CBA"/>
    <w:rsid w:val="00FE3AAD"/>
    <w:rsid w:val="00FE3D71"/>
    <w:rsid w:val="00FE61B9"/>
    <w:rsid w:val="00FE74D9"/>
    <w:rsid w:val="00FE75BA"/>
    <w:rsid w:val="00FF110D"/>
    <w:rsid w:val="00FF1444"/>
    <w:rsid w:val="00FF15A2"/>
    <w:rsid w:val="00FF1FEB"/>
    <w:rsid w:val="00FF43ED"/>
    <w:rsid w:val="00FF456A"/>
    <w:rsid w:val="00FF4B24"/>
    <w:rsid w:val="00FF4C12"/>
    <w:rsid w:val="00FF6AAE"/>
    <w:rsid w:val="00FF6CCD"/>
    <w:rsid w:val="00FF6D26"/>
    <w:rsid w:val="00FF6D35"/>
    <w:rsid w:val="00FF762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AD3CD"/>
  <w15:docId w15:val="{5F2C30FA-FEA9-4C56-903D-29A7138C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semiHidden/>
    <w:unhideWhenUsed/>
    <w:rsid w:val="0010119B"/>
    <w:rPr>
      <w:color w:val="800080" w:themeColor="followedHyperlink"/>
      <w:u w:val="single"/>
    </w:rPr>
  </w:style>
  <w:style w:type="paragraph" w:styleId="EndnoteText">
    <w:name w:val="endnote text"/>
    <w:basedOn w:val="Normal"/>
    <w:link w:val="EndnoteTextChar"/>
    <w:semiHidden/>
    <w:unhideWhenUsed/>
    <w:rsid w:val="00D05F59"/>
    <w:rPr>
      <w:sz w:val="20"/>
    </w:rPr>
  </w:style>
  <w:style w:type="character" w:customStyle="1" w:styleId="EndnoteTextChar">
    <w:name w:val="Endnote Text Char"/>
    <w:basedOn w:val="DefaultParagraphFont"/>
    <w:link w:val="EndnoteText"/>
    <w:semiHidden/>
    <w:rsid w:val="00D05F59"/>
  </w:style>
  <w:style w:type="character" w:styleId="EndnoteReference">
    <w:name w:val="endnote reference"/>
    <w:basedOn w:val="DefaultParagraphFont"/>
    <w:semiHidden/>
    <w:unhideWhenUsed/>
    <w:rsid w:val="00D05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12088759">
      <w:bodyDiv w:val="1"/>
      <w:marLeft w:val="0"/>
      <w:marRight w:val="0"/>
      <w:marTop w:val="0"/>
      <w:marBottom w:val="0"/>
      <w:divBdr>
        <w:top w:val="none" w:sz="0" w:space="0" w:color="auto"/>
        <w:left w:val="none" w:sz="0" w:space="0" w:color="auto"/>
        <w:bottom w:val="none" w:sz="0" w:space="0" w:color="auto"/>
        <w:right w:val="none" w:sz="0" w:space="0" w:color="auto"/>
      </w:divBdr>
      <w:divsChild>
        <w:div w:id="203819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2C7D-F84F-415F-82C2-C933C18E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16278</Words>
  <Characters>92790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108851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Reynolds, Doris</cp:lastModifiedBy>
  <cp:revision>4</cp:revision>
  <cp:lastPrinted>2018-01-31T18:41:00Z</cp:lastPrinted>
  <dcterms:created xsi:type="dcterms:W3CDTF">2018-01-31T17:34:00Z</dcterms:created>
  <dcterms:modified xsi:type="dcterms:W3CDTF">2018-01-31T18:43:00Z</dcterms:modified>
</cp:coreProperties>
</file>