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DF96" w14:textId="77777777" w:rsidR="00B4613A" w:rsidRPr="002A5D4B" w:rsidRDefault="00B4613A" w:rsidP="00B4613A">
      <w:pPr>
        <w:spacing w:line="240" w:lineRule="auto"/>
        <w:ind w:firstLine="0"/>
        <w:rPr>
          <w:b/>
          <w:sz w:val="26"/>
          <w:szCs w:val="26"/>
        </w:rPr>
      </w:pPr>
      <w:r w:rsidRPr="002A5D4B">
        <w:rPr>
          <w:b/>
          <w:sz w:val="26"/>
          <w:szCs w:val="26"/>
        </w:rPr>
        <w:t>PENNSYLVANIA</w:t>
      </w:r>
    </w:p>
    <w:p w14:paraId="158037A4" w14:textId="77777777" w:rsidR="00B4613A" w:rsidRPr="002A5D4B" w:rsidRDefault="00B4613A" w:rsidP="00B4613A">
      <w:pPr>
        <w:spacing w:line="240" w:lineRule="auto"/>
        <w:ind w:firstLine="0"/>
        <w:rPr>
          <w:b/>
          <w:sz w:val="26"/>
          <w:szCs w:val="26"/>
        </w:rPr>
      </w:pPr>
      <w:r w:rsidRPr="002A5D4B">
        <w:rPr>
          <w:b/>
          <w:sz w:val="26"/>
          <w:szCs w:val="26"/>
        </w:rPr>
        <w:t>PUBLIC UTILITY COMMISSION</w:t>
      </w:r>
    </w:p>
    <w:p w14:paraId="72E34041" w14:textId="77777777" w:rsidR="00B4613A" w:rsidRDefault="00B4613A" w:rsidP="00B4613A">
      <w:pPr>
        <w:spacing w:line="240" w:lineRule="auto"/>
        <w:ind w:firstLine="0"/>
        <w:rPr>
          <w:b/>
          <w:sz w:val="26"/>
          <w:szCs w:val="26"/>
        </w:rPr>
      </w:pPr>
      <w:smartTag w:uri="urn:schemas-microsoft-com:office:smarttags" w:element="City">
        <w:r w:rsidRPr="002A5D4B">
          <w:rPr>
            <w:b/>
            <w:sz w:val="26"/>
            <w:szCs w:val="26"/>
          </w:rPr>
          <w:t>Harrisburg</w:t>
        </w:r>
      </w:smartTag>
      <w:r w:rsidRPr="002A5D4B">
        <w:rPr>
          <w:b/>
          <w:sz w:val="26"/>
          <w:szCs w:val="26"/>
        </w:rPr>
        <w:t xml:space="preserve">, </w:t>
      </w:r>
      <w:smartTag w:uri="urn:schemas-microsoft-com:office:smarttags" w:element="State">
        <w:r w:rsidRPr="002A5D4B">
          <w:rPr>
            <w:b/>
            <w:sz w:val="26"/>
            <w:szCs w:val="26"/>
          </w:rPr>
          <w:t>PA</w:t>
        </w:r>
      </w:smartTag>
      <w:r w:rsidRPr="002A5D4B">
        <w:rPr>
          <w:b/>
          <w:sz w:val="26"/>
          <w:szCs w:val="26"/>
        </w:rPr>
        <w:t xml:space="preserve"> 17105-3265</w:t>
      </w:r>
    </w:p>
    <w:p w14:paraId="1324E7DD" w14:textId="77777777" w:rsidR="00B4613A" w:rsidRPr="00BA66A4" w:rsidRDefault="00B4613A" w:rsidP="00B4613A">
      <w:pPr>
        <w:spacing w:line="240" w:lineRule="auto"/>
        <w:ind w:firstLine="0"/>
        <w:jc w:val="left"/>
        <w:rPr>
          <w:sz w:val="26"/>
          <w:szCs w:val="26"/>
        </w:rPr>
      </w:pPr>
    </w:p>
    <w:p w14:paraId="09DFD2A5" w14:textId="77777777" w:rsidR="00B4613A" w:rsidRPr="002A5D4B" w:rsidRDefault="00B4613A" w:rsidP="00B4613A">
      <w:pPr>
        <w:ind w:firstLine="0"/>
        <w:jc w:val="right"/>
        <w:rPr>
          <w:sz w:val="26"/>
          <w:szCs w:val="26"/>
        </w:rPr>
      </w:pPr>
      <w:r>
        <w:rPr>
          <w:sz w:val="26"/>
          <w:szCs w:val="26"/>
        </w:rPr>
        <w:t>P</w:t>
      </w:r>
      <w:r w:rsidRPr="002A5D4B">
        <w:rPr>
          <w:sz w:val="26"/>
          <w:szCs w:val="26"/>
        </w:rPr>
        <w:t xml:space="preserve">ublic Meeting held </w:t>
      </w:r>
      <w:r w:rsidR="005C6800">
        <w:rPr>
          <w:sz w:val="26"/>
          <w:szCs w:val="26"/>
        </w:rPr>
        <w:t>February</w:t>
      </w:r>
      <w:r>
        <w:rPr>
          <w:sz w:val="26"/>
          <w:szCs w:val="26"/>
        </w:rPr>
        <w:t xml:space="preserve"> </w:t>
      </w:r>
      <w:r w:rsidR="005C041B">
        <w:rPr>
          <w:sz w:val="26"/>
          <w:szCs w:val="26"/>
        </w:rPr>
        <w:t>8</w:t>
      </w:r>
      <w:r>
        <w:rPr>
          <w:sz w:val="26"/>
          <w:szCs w:val="26"/>
        </w:rPr>
        <w:t>,</w:t>
      </w:r>
      <w:r w:rsidRPr="00B01CA9">
        <w:rPr>
          <w:kern w:val="1"/>
          <w:sz w:val="26"/>
          <w:szCs w:val="26"/>
        </w:rPr>
        <w:t xml:space="preserve"> 20</w:t>
      </w:r>
      <w:r>
        <w:rPr>
          <w:kern w:val="1"/>
          <w:sz w:val="26"/>
          <w:szCs w:val="26"/>
        </w:rPr>
        <w:t>1</w:t>
      </w:r>
      <w:r w:rsidR="005C041B">
        <w:rPr>
          <w:kern w:val="1"/>
          <w:sz w:val="26"/>
          <w:szCs w:val="26"/>
        </w:rPr>
        <w:t>8</w:t>
      </w:r>
    </w:p>
    <w:p w14:paraId="6AA0B0BF" w14:textId="77777777" w:rsidR="00B4613A" w:rsidRPr="002A5D4B" w:rsidRDefault="00B4613A" w:rsidP="00B4613A">
      <w:pPr>
        <w:spacing w:line="240" w:lineRule="auto"/>
        <w:ind w:firstLine="0"/>
        <w:jc w:val="left"/>
        <w:rPr>
          <w:sz w:val="26"/>
          <w:szCs w:val="26"/>
        </w:rPr>
      </w:pPr>
    </w:p>
    <w:p w14:paraId="31A9810E" w14:textId="77777777" w:rsidR="00B4613A" w:rsidRPr="002A5D4B" w:rsidRDefault="00B4613A" w:rsidP="00B4613A">
      <w:pPr>
        <w:spacing w:line="240" w:lineRule="auto"/>
        <w:ind w:firstLine="0"/>
        <w:jc w:val="left"/>
        <w:rPr>
          <w:sz w:val="26"/>
          <w:szCs w:val="26"/>
        </w:rPr>
      </w:pPr>
      <w:r w:rsidRPr="002A5D4B">
        <w:rPr>
          <w:sz w:val="26"/>
          <w:szCs w:val="26"/>
        </w:rPr>
        <w:t>Commissioners Present:</w:t>
      </w:r>
    </w:p>
    <w:p w14:paraId="4EC8BE9E" w14:textId="77777777" w:rsidR="00B4613A" w:rsidRPr="002A5D4B" w:rsidRDefault="00B4613A" w:rsidP="00B4613A">
      <w:pPr>
        <w:spacing w:line="240" w:lineRule="auto"/>
        <w:ind w:firstLine="0"/>
        <w:jc w:val="left"/>
        <w:rPr>
          <w:sz w:val="26"/>
          <w:szCs w:val="26"/>
        </w:rPr>
      </w:pPr>
    </w:p>
    <w:p w14:paraId="064586A6" w14:textId="77777777" w:rsidR="00B4613A" w:rsidRPr="002A5D4B" w:rsidRDefault="00B4613A" w:rsidP="00B4613A">
      <w:pPr>
        <w:spacing w:line="240" w:lineRule="auto"/>
        <w:ind w:firstLine="0"/>
        <w:jc w:val="left"/>
        <w:rPr>
          <w:sz w:val="26"/>
          <w:szCs w:val="26"/>
        </w:rPr>
      </w:pPr>
      <w:r>
        <w:rPr>
          <w:sz w:val="26"/>
          <w:szCs w:val="26"/>
        </w:rPr>
        <w:tab/>
        <w:t>Gladys M. Brown</w:t>
      </w:r>
      <w:r w:rsidRPr="002A5D4B">
        <w:rPr>
          <w:sz w:val="26"/>
          <w:szCs w:val="26"/>
        </w:rPr>
        <w:t>, Chairman</w:t>
      </w:r>
    </w:p>
    <w:p w14:paraId="344B3A37" w14:textId="77777777" w:rsidR="00B4613A" w:rsidRDefault="00B4613A" w:rsidP="00B4613A">
      <w:pPr>
        <w:spacing w:line="240" w:lineRule="auto"/>
        <w:ind w:firstLine="0"/>
        <w:jc w:val="left"/>
        <w:rPr>
          <w:sz w:val="26"/>
          <w:szCs w:val="26"/>
        </w:rPr>
      </w:pPr>
      <w:r>
        <w:rPr>
          <w:sz w:val="26"/>
          <w:szCs w:val="26"/>
        </w:rPr>
        <w:tab/>
        <w:t>Andrew G. Place</w:t>
      </w:r>
      <w:r w:rsidRPr="002A5D4B">
        <w:rPr>
          <w:sz w:val="26"/>
          <w:szCs w:val="26"/>
        </w:rPr>
        <w:t>, Vice Chairman</w:t>
      </w:r>
    </w:p>
    <w:p w14:paraId="45051464" w14:textId="77777777" w:rsidR="00B4613A" w:rsidRDefault="00B4613A" w:rsidP="00B4613A">
      <w:pPr>
        <w:spacing w:line="240" w:lineRule="auto"/>
        <w:ind w:firstLine="0"/>
        <w:jc w:val="left"/>
        <w:rPr>
          <w:sz w:val="26"/>
          <w:szCs w:val="26"/>
        </w:rPr>
      </w:pPr>
      <w:r>
        <w:rPr>
          <w:sz w:val="26"/>
          <w:szCs w:val="26"/>
        </w:rPr>
        <w:tab/>
        <w:t>Norman J. Kennard</w:t>
      </w:r>
    </w:p>
    <w:p w14:paraId="6EEC13F2" w14:textId="318DFD0C" w:rsidR="00B4613A" w:rsidRDefault="00882286" w:rsidP="00882286">
      <w:pPr>
        <w:spacing w:line="240" w:lineRule="auto"/>
        <w:ind w:firstLine="0"/>
        <w:jc w:val="left"/>
        <w:rPr>
          <w:sz w:val="26"/>
          <w:szCs w:val="26"/>
        </w:rPr>
      </w:pPr>
      <w:r>
        <w:rPr>
          <w:sz w:val="26"/>
          <w:szCs w:val="26"/>
        </w:rPr>
        <w:tab/>
      </w:r>
      <w:r w:rsidR="00B4613A">
        <w:rPr>
          <w:sz w:val="26"/>
          <w:szCs w:val="26"/>
        </w:rPr>
        <w:t>David W. Sweet</w:t>
      </w:r>
    </w:p>
    <w:p w14:paraId="71C62006" w14:textId="3CA673DB" w:rsidR="00B4613A" w:rsidRPr="002A5D4B" w:rsidRDefault="00882286" w:rsidP="00882286">
      <w:pPr>
        <w:spacing w:line="240" w:lineRule="auto"/>
        <w:ind w:firstLine="0"/>
        <w:jc w:val="left"/>
        <w:rPr>
          <w:sz w:val="26"/>
          <w:szCs w:val="26"/>
        </w:rPr>
      </w:pPr>
      <w:r>
        <w:rPr>
          <w:sz w:val="26"/>
          <w:szCs w:val="26"/>
        </w:rPr>
        <w:tab/>
      </w:r>
      <w:r w:rsidR="00B4613A">
        <w:rPr>
          <w:sz w:val="26"/>
          <w:szCs w:val="26"/>
        </w:rPr>
        <w:t>John F. Coleman, Jr.</w:t>
      </w:r>
    </w:p>
    <w:p w14:paraId="58C782C9" w14:textId="4AB818A6" w:rsidR="00B4613A" w:rsidRPr="002A5D4B" w:rsidRDefault="00B4613A" w:rsidP="00B4613A">
      <w:pPr>
        <w:spacing w:line="240" w:lineRule="auto"/>
        <w:ind w:firstLine="0"/>
        <w:jc w:val="left"/>
        <w:rPr>
          <w:sz w:val="26"/>
          <w:szCs w:val="26"/>
        </w:rPr>
      </w:pPr>
    </w:p>
    <w:p w14:paraId="78F1358E" w14:textId="77777777" w:rsidR="00B4613A" w:rsidRPr="007F73BF" w:rsidRDefault="00B4613A" w:rsidP="00B4613A">
      <w:pPr>
        <w:spacing w:line="240" w:lineRule="auto"/>
        <w:ind w:firstLine="0"/>
        <w:rPr>
          <w:sz w:val="26"/>
          <w:szCs w:val="26"/>
        </w:rPr>
      </w:pPr>
    </w:p>
    <w:p w14:paraId="58A06EF0" w14:textId="77777777" w:rsidR="00B4613A" w:rsidRPr="007F73BF" w:rsidRDefault="00B4613A" w:rsidP="00B4613A">
      <w:pPr>
        <w:spacing w:line="240" w:lineRule="auto"/>
        <w:ind w:firstLine="0"/>
        <w:rPr>
          <w:sz w:val="26"/>
          <w:szCs w:val="26"/>
        </w:rPr>
      </w:pPr>
    </w:p>
    <w:p w14:paraId="1DCCCBD3" w14:textId="77777777" w:rsidR="00B4613A" w:rsidRDefault="00AE6606" w:rsidP="00B4613A">
      <w:pPr>
        <w:tabs>
          <w:tab w:val="left" w:pos="-720"/>
          <w:tab w:val="left" w:pos="0"/>
        </w:tabs>
        <w:suppressAutoHyphens/>
        <w:spacing w:line="240" w:lineRule="auto"/>
        <w:ind w:firstLine="0"/>
        <w:jc w:val="left"/>
        <w:rPr>
          <w:sz w:val="26"/>
          <w:szCs w:val="26"/>
        </w:rPr>
      </w:pPr>
      <w:r>
        <w:rPr>
          <w:sz w:val="26"/>
          <w:szCs w:val="26"/>
        </w:rPr>
        <w:t xml:space="preserve">Harry Larry </w:t>
      </w:r>
      <w:proofErr w:type="spellStart"/>
      <w:r>
        <w:rPr>
          <w:sz w:val="26"/>
          <w:szCs w:val="26"/>
        </w:rPr>
        <w:t>Bierley</w:t>
      </w:r>
      <w:proofErr w:type="spellEnd"/>
      <w:r w:rsidR="00B4613A">
        <w:rPr>
          <w:sz w:val="26"/>
          <w:szCs w:val="26"/>
        </w:rPr>
        <w:t xml:space="preserve"> </w:t>
      </w:r>
      <w:r w:rsidR="00B4613A">
        <w:rPr>
          <w:sz w:val="26"/>
          <w:szCs w:val="26"/>
        </w:rPr>
        <w:tab/>
      </w:r>
      <w:r w:rsidR="00B4613A">
        <w:rPr>
          <w:sz w:val="26"/>
          <w:szCs w:val="26"/>
        </w:rPr>
        <w:tab/>
      </w:r>
      <w:r w:rsidR="00B4613A">
        <w:rPr>
          <w:sz w:val="26"/>
          <w:szCs w:val="26"/>
        </w:rPr>
        <w:tab/>
      </w:r>
      <w:r w:rsidR="00B4613A">
        <w:rPr>
          <w:sz w:val="26"/>
          <w:szCs w:val="26"/>
        </w:rPr>
        <w:tab/>
      </w:r>
      <w:r w:rsidR="00B4613A">
        <w:rPr>
          <w:sz w:val="26"/>
          <w:szCs w:val="26"/>
        </w:rPr>
        <w:tab/>
      </w:r>
      <w:r w:rsidR="00B4613A">
        <w:rPr>
          <w:sz w:val="26"/>
          <w:szCs w:val="26"/>
        </w:rPr>
        <w:tab/>
      </w:r>
      <w:r>
        <w:rPr>
          <w:sz w:val="26"/>
          <w:szCs w:val="26"/>
        </w:rPr>
        <w:t xml:space="preserve">           </w:t>
      </w:r>
      <w:r>
        <w:rPr>
          <w:sz w:val="26"/>
          <w:szCs w:val="26"/>
        </w:rPr>
        <w:tab/>
      </w:r>
      <w:r>
        <w:rPr>
          <w:sz w:val="26"/>
          <w:szCs w:val="26"/>
        </w:rPr>
        <w:tab/>
        <w:t>C-2016-2553988</w:t>
      </w:r>
    </w:p>
    <w:p w14:paraId="54B420F0" w14:textId="77777777" w:rsidR="00B4613A" w:rsidRDefault="00B4613A" w:rsidP="00B4613A">
      <w:pPr>
        <w:tabs>
          <w:tab w:val="left" w:pos="-720"/>
          <w:tab w:val="left" w:pos="0"/>
        </w:tabs>
        <w:suppressAutoHyphens/>
        <w:spacing w:line="240" w:lineRule="auto"/>
        <w:ind w:firstLine="0"/>
        <w:jc w:val="left"/>
        <w:rPr>
          <w:b/>
          <w:sz w:val="26"/>
          <w:szCs w:val="26"/>
        </w:rPr>
      </w:pPr>
    </w:p>
    <w:p w14:paraId="1D607560" w14:textId="77777777" w:rsidR="00B4613A" w:rsidRDefault="00B4613A" w:rsidP="00B4613A">
      <w:pPr>
        <w:tabs>
          <w:tab w:val="left" w:pos="-720"/>
          <w:tab w:val="left" w:pos="0"/>
        </w:tabs>
        <w:suppressAutoHyphens/>
        <w:spacing w:line="240" w:lineRule="auto"/>
        <w:ind w:firstLine="0"/>
        <w:jc w:val="left"/>
        <w:rPr>
          <w:sz w:val="26"/>
          <w:szCs w:val="26"/>
        </w:rPr>
      </w:pPr>
      <w:r>
        <w:rPr>
          <w:b/>
          <w:sz w:val="26"/>
          <w:szCs w:val="26"/>
        </w:rPr>
        <w:tab/>
        <w:t xml:space="preserve">     </w:t>
      </w:r>
      <w:r>
        <w:rPr>
          <w:sz w:val="26"/>
          <w:szCs w:val="26"/>
        </w:rPr>
        <w:t>v.</w:t>
      </w:r>
    </w:p>
    <w:p w14:paraId="1883A3B7" w14:textId="77777777" w:rsidR="00B4613A" w:rsidRDefault="00B4613A" w:rsidP="00B4613A">
      <w:pPr>
        <w:tabs>
          <w:tab w:val="left" w:pos="-720"/>
          <w:tab w:val="left" w:pos="0"/>
        </w:tabs>
        <w:suppressAutoHyphens/>
        <w:spacing w:line="240" w:lineRule="auto"/>
        <w:ind w:firstLine="0"/>
        <w:jc w:val="left"/>
        <w:rPr>
          <w:sz w:val="26"/>
          <w:szCs w:val="26"/>
        </w:rPr>
      </w:pPr>
    </w:p>
    <w:p w14:paraId="0D2C7408" w14:textId="77777777" w:rsidR="00B4613A" w:rsidRDefault="00AE6606" w:rsidP="00B4613A">
      <w:pPr>
        <w:tabs>
          <w:tab w:val="left" w:pos="-720"/>
          <w:tab w:val="left" w:pos="0"/>
        </w:tabs>
        <w:suppressAutoHyphens/>
        <w:spacing w:line="240" w:lineRule="auto"/>
        <w:ind w:firstLine="0"/>
        <w:jc w:val="left"/>
        <w:rPr>
          <w:sz w:val="26"/>
          <w:szCs w:val="26"/>
        </w:rPr>
      </w:pPr>
      <w:r>
        <w:rPr>
          <w:sz w:val="26"/>
          <w:szCs w:val="26"/>
        </w:rPr>
        <w:t>National Fuel Gas Distribution Corporation</w:t>
      </w:r>
    </w:p>
    <w:p w14:paraId="7D6C147E" w14:textId="77777777" w:rsidR="00B4613A" w:rsidRPr="001E0694" w:rsidRDefault="00B4613A" w:rsidP="00B4613A">
      <w:pPr>
        <w:tabs>
          <w:tab w:val="left" w:pos="-720"/>
          <w:tab w:val="left" w:pos="0"/>
        </w:tabs>
        <w:suppressAutoHyphens/>
        <w:spacing w:line="240" w:lineRule="auto"/>
        <w:ind w:firstLine="0"/>
        <w:jc w:val="left"/>
        <w:rPr>
          <w:sz w:val="26"/>
          <w:szCs w:val="26"/>
        </w:rPr>
      </w:pPr>
    </w:p>
    <w:p w14:paraId="365B31D1" w14:textId="77777777" w:rsidR="00B4613A" w:rsidRDefault="00B4613A" w:rsidP="00B4613A">
      <w:pPr>
        <w:tabs>
          <w:tab w:val="left" w:pos="-720"/>
        </w:tabs>
        <w:suppressAutoHyphens/>
        <w:ind w:firstLine="0"/>
        <w:jc w:val="left"/>
        <w:rPr>
          <w:sz w:val="26"/>
        </w:rPr>
      </w:pPr>
    </w:p>
    <w:p w14:paraId="6392E522" w14:textId="77777777" w:rsidR="00B4613A" w:rsidRDefault="00B4613A" w:rsidP="00B4613A">
      <w:pPr>
        <w:suppressAutoHyphens/>
        <w:ind w:firstLine="0"/>
        <w:rPr>
          <w:b/>
          <w:sz w:val="26"/>
        </w:rPr>
      </w:pPr>
      <w:r w:rsidRPr="00624B80">
        <w:rPr>
          <w:b/>
          <w:sz w:val="26"/>
        </w:rPr>
        <w:t xml:space="preserve">OPINION </w:t>
      </w:r>
      <w:smartTag w:uri="urn:schemas-microsoft-com:office:smarttags" w:element="stockticker">
        <w:r w:rsidRPr="00624B80">
          <w:rPr>
            <w:b/>
            <w:sz w:val="26"/>
          </w:rPr>
          <w:t>AND</w:t>
        </w:r>
      </w:smartTag>
      <w:r w:rsidRPr="00624B80">
        <w:rPr>
          <w:b/>
          <w:sz w:val="26"/>
        </w:rPr>
        <w:t xml:space="preserve"> ORDER</w:t>
      </w:r>
    </w:p>
    <w:p w14:paraId="156D2AC3" w14:textId="77777777" w:rsidR="00B4613A" w:rsidRDefault="00B4613A" w:rsidP="00B4613A">
      <w:pPr>
        <w:suppressAutoHyphens/>
        <w:ind w:firstLine="0"/>
        <w:rPr>
          <w:b/>
          <w:sz w:val="26"/>
          <w:szCs w:val="26"/>
        </w:rPr>
      </w:pPr>
    </w:p>
    <w:p w14:paraId="180E336A" w14:textId="77777777" w:rsidR="00B4613A" w:rsidRDefault="00B4613A" w:rsidP="00B4613A">
      <w:pPr>
        <w:tabs>
          <w:tab w:val="left" w:pos="-720"/>
        </w:tabs>
        <w:suppressAutoHyphens/>
        <w:ind w:firstLine="0"/>
        <w:jc w:val="left"/>
        <w:rPr>
          <w:sz w:val="26"/>
        </w:rPr>
      </w:pPr>
      <w:r w:rsidRPr="00624B80">
        <w:rPr>
          <w:b/>
          <w:sz w:val="26"/>
        </w:rPr>
        <w:t>BY THE COMMISSION:</w:t>
      </w:r>
    </w:p>
    <w:p w14:paraId="73D7224D" w14:textId="77777777" w:rsidR="00B4613A" w:rsidRDefault="00B4613A" w:rsidP="00B4613A">
      <w:pPr>
        <w:ind w:firstLine="0"/>
        <w:jc w:val="left"/>
        <w:rPr>
          <w:sz w:val="26"/>
          <w:szCs w:val="26"/>
        </w:rPr>
      </w:pPr>
    </w:p>
    <w:p w14:paraId="1F4BD80A" w14:textId="420C724C" w:rsidR="00DE4328" w:rsidRDefault="00D51C18" w:rsidP="00D51C18">
      <w:pPr>
        <w:ind w:firstLine="1440"/>
        <w:jc w:val="left"/>
        <w:rPr>
          <w:sz w:val="26"/>
          <w:szCs w:val="26"/>
        </w:rPr>
      </w:pPr>
      <w:r w:rsidRPr="00FD25A0">
        <w:rPr>
          <w:sz w:val="26"/>
          <w:szCs w:val="26"/>
        </w:rPr>
        <w:t xml:space="preserve">Before the Pennsylvania Public Utility Commission (Commission) for consideration and disposition are the Exceptions filed by </w:t>
      </w:r>
      <w:r w:rsidR="00AE6606">
        <w:rPr>
          <w:sz w:val="26"/>
          <w:szCs w:val="26"/>
        </w:rPr>
        <w:t xml:space="preserve">Harry Larry </w:t>
      </w:r>
      <w:proofErr w:type="spellStart"/>
      <w:r w:rsidR="00AE6606">
        <w:rPr>
          <w:sz w:val="26"/>
          <w:szCs w:val="26"/>
        </w:rPr>
        <w:t>Bierley</w:t>
      </w:r>
      <w:proofErr w:type="spellEnd"/>
      <w:r w:rsidRPr="00FD25A0">
        <w:rPr>
          <w:sz w:val="26"/>
          <w:szCs w:val="26"/>
        </w:rPr>
        <w:t xml:space="preserve"> (</w:t>
      </w:r>
      <w:r w:rsidR="00401160">
        <w:rPr>
          <w:sz w:val="26"/>
          <w:szCs w:val="26"/>
        </w:rPr>
        <w:t xml:space="preserve">the </w:t>
      </w:r>
      <w:r w:rsidRPr="00FD25A0">
        <w:rPr>
          <w:sz w:val="26"/>
          <w:szCs w:val="26"/>
        </w:rPr>
        <w:t>Complainant</w:t>
      </w:r>
      <w:r w:rsidR="00FD17AA">
        <w:rPr>
          <w:sz w:val="26"/>
          <w:szCs w:val="26"/>
        </w:rPr>
        <w:t>)</w:t>
      </w:r>
      <w:r w:rsidR="00AE6606">
        <w:rPr>
          <w:sz w:val="26"/>
          <w:szCs w:val="26"/>
        </w:rPr>
        <w:t xml:space="preserve"> on September 20, 2017</w:t>
      </w:r>
      <w:r w:rsidRPr="00FD25A0">
        <w:rPr>
          <w:sz w:val="26"/>
          <w:szCs w:val="26"/>
        </w:rPr>
        <w:t xml:space="preserve">, to the Initial Decision (I.D.) of Administrative Law Judge (ALJ) </w:t>
      </w:r>
      <w:r w:rsidR="00AE6606">
        <w:rPr>
          <w:sz w:val="26"/>
          <w:szCs w:val="26"/>
        </w:rPr>
        <w:t>Jeffrey A. Watson</w:t>
      </w:r>
      <w:r w:rsidR="007603D5">
        <w:rPr>
          <w:sz w:val="26"/>
          <w:szCs w:val="26"/>
        </w:rPr>
        <w:t>,</w:t>
      </w:r>
      <w:r w:rsidR="00AE6606">
        <w:rPr>
          <w:sz w:val="26"/>
          <w:szCs w:val="26"/>
        </w:rPr>
        <w:t xml:space="preserve"> issued on August 14, 2017</w:t>
      </w:r>
      <w:r w:rsidRPr="00FD25A0">
        <w:rPr>
          <w:sz w:val="26"/>
          <w:szCs w:val="26"/>
        </w:rPr>
        <w:t xml:space="preserve">.  Replies to </w:t>
      </w:r>
      <w:r w:rsidR="00DE4328">
        <w:rPr>
          <w:sz w:val="26"/>
          <w:szCs w:val="26"/>
        </w:rPr>
        <w:t xml:space="preserve">the </w:t>
      </w:r>
      <w:r w:rsidRPr="00FD25A0">
        <w:rPr>
          <w:sz w:val="26"/>
          <w:szCs w:val="26"/>
        </w:rPr>
        <w:t xml:space="preserve">Exceptions </w:t>
      </w:r>
      <w:r w:rsidR="00DE4328">
        <w:rPr>
          <w:sz w:val="26"/>
          <w:szCs w:val="26"/>
        </w:rPr>
        <w:t xml:space="preserve">of the Complainant </w:t>
      </w:r>
      <w:r w:rsidRPr="00FD25A0">
        <w:rPr>
          <w:sz w:val="26"/>
          <w:szCs w:val="26"/>
        </w:rPr>
        <w:t xml:space="preserve">were filed by </w:t>
      </w:r>
      <w:r w:rsidR="00AE6606">
        <w:rPr>
          <w:sz w:val="26"/>
          <w:szCs w:val="26"/>
        </w:rPr>
        <w:t xml:space="preserve">National Fuel Gas Distribution </w:t>
      </w:r>
      <w:r w:rsidR="00FB5CAE">
        <w:rPr>
          <w:sz w:val="26"/>
          <w:szCs w:val="26"/>
        </w:rPr>
        <w:t>Corporation</w:t>
      </w:r>
      <w:r w:rsidR="00AE6606">
        <w:rPr>
          <w:sz w:val="26"/>
          <w:szCs w:val="26"/>
        </w:rPr>
        <w:t xml:space="preserve"> (NFGDC</w:t>
      </w:r>
      <w:r w:rsidR="00FD17AA">
        <w:rPr>
          <w:sz w:val="26"/>
          <w:szCs w:val="26"/>
        </w:rPr>
        <w:t>)</w:t>
      </w:r>
      <w:r w:rsidRPr="00FD25A0">
        <w:rPr>
          <w:sz w:val="26"/>
          <w:szCs w:val="26"/>
        </w:rPr>
        <w:t xml:space="preserve"> on </w:t>
      </w:r>
      <w:r w:rsidR="00AE6606">
        <w:rPr>
          <w:sz w:val="26"/>
          <w:szCs w:val="26"/>
        </w:rPr>
        <w:t>October 2, 2017</w:t>
      </w:r>
      <w:r w:rsidRPr="00FD25A0">
        <w:rPr>
          <w:sz w:val="26"/>
          <w:szCs w:val="26"/>
        </w:rPr>
        <w:t>.</w:t>
      </w:r>
      <w:r w:rsidR="00F27014">
        <w:rPr>
          <w:sz w:val="26"/>
          <w:szCs w:val="26"/>
        </w:rPr>
        <w:t xml:space="preserve">  </w:t>
      </w:r>
      <w:r w:rsidR="00FD19B9" w:rsidRPr="006E1AA7">
        <w:rPr>
          <w:sz w:val="26"/>
          <w:szCs w:val="26"/>
        </w:rPr>
        <w:t>On consider</w:t>
      </w:r>
      <w:r w:rsidR="004C38DC" w:rsidRPr="006E1AA7">
        <w:rPr>
          <w:sz w:val="26"/>
          <w:szCs w:val="26"/>
        </w:rPr>
        <w:t xml:space="preserve">ation of the </w:t>
      </w:r>
      <w:r w:rsidR="00837378">
        <w:rPr>
          <w:sz w:val="26"/>
          <w:szCs w:val="26"/>
        </w:rPr>
        <w:t xml:space="preserve">pleadings and </w:t>
      </w:r>
      <w:r w:rsidR="006E1AA7" w:rsidRPr="006E1AA7">
        <w:rPr>
          <w:sz w:val="26"/>
          <w:szCs w:val="26"/>
        </w:rPr>
        <w:t>the record in this proceeding</w:t>
      </w:r>
      <w:r w:rsidR="00FD19B9" w:rsidRPr="006E1AA7">
        <w:rPr>
          <w:sz w:val="26"/>
          <w:szCs w:val="26"/>
        </w:rPr>
        <w:t xml:space="preserve">, we shall </w:t>
      </w:r>
      <w:r w:rsidR="006E1AA7" w:rsidRPr="006E1AA7">
        <w:rPr>
          <w:sz w:val="26"/>
          <w:szCs w:val="26"/>
        </w:rPr>
        <w:t>grant</w:t>
      </w:r>
      <w:r w:rsidR="00093206" w:rsidRPr="006E1AA7">
        <w:rPr>
          <w:sz w:val="26"/>
          <w:szCs w:val="26"/>
        </w:rPr>
        <w:t xml:space="preserve"> the Exceptions</w:t>
      </w:r>
      <w:r w:rsidR="006E1AA7" w:rsidRPr="006E1AA7">
        <w:rPr>
          <w:sz w:val="26"/>
          <w:szCs w:val="26"/>
        </w:rPr>
        <w:t>, in part, deny the</w:t>
      </w:r>
      <w:r w:rsidR="00837378">
        <w:rPr>
          <w:sz w:val="26"/>
          <w:szCs w:val="26"/>
        </w:rPr>
        <w:t>m, in part,</w:t>
      </w:r>
      <w:r w:rsidR="00FD19B9" w:rsidRPr="006E1AA7">
        <w:rPr>
          <w:sz w:val="26"/>
          <w:szCs w:val="26"/>
        </w:rPr>
        <w:t xml:space="preserve"> and</w:t>
      </w:r>
      <w:r w:rsidR="006E1AA7" w:rsidRPr="006E1AA7">
        <w:rPr>
          <w:sz w:val="26"/>
          <w:szCs w:val="26"/>
        </w:rPr>
        <w:t xml:space="preserve"> modify</w:t>
      </w:r>
      <w:r w:rsidR="00FD19B9" w:rsidRPr="006E1AA7">
        <w:rPr>
          <w:sz w:val="26"/>
          <w:szCs w:val="26"/>
        </w:rPr>
        <w:t xml:space="preserve"> the Initial Decision, consistent with this Opinion and Order.</w:t>
      </w:r>
    </w:p>
    <w:p w14:paraId="3BABB90C" w14:textId="77777777" w:rsidR="004A44D1" w:rsidRDefault="004A44D1">
      <w:pPr>
        <w:spacing w:after="200" w:line="276" w:lineRule="auto"/>
        <w:ind w:firstLine="0"/>
        <w:jc w:val="left"/>
        <w:rPr>
          <w:sz w:val="26"/>
          <w:szCs w:val="26"/>
        </w:rPr>
      </w:pPr>
    </w:p>
    <w:p w14:paraId="45E6CACA" w14:textId="77777777" w:rsidR="00B4613A" w:rsidRDefault="00B4613A" w:rsidP="00882286">
      <w:pPr>
        <w:pStyle w:val="ListParagraph"/>
        <w:keepNext/>
        <w:keepLines/>
        <w:ind w:left="0" w:firstLine="0"/>
        <w:rPr>
          <w:b/>
          <w:sz w:val="26"/>
          <w:szCs w:val="26"/>
        </w:rPr>
      </w:pPr>
      <w:r w:rsidRPr="00D46080">
        <w:rPr>
          <w:b/>
          <w:sz w:val="26"/>
          <w:szCs w:val="26"/>
        </w:rPr>
        <w:lastRenderedPageBreak/>
        <w:t>History of the Proceeding</w:t>
      </w:r>
    </w:p>
    <w:p w14:paraId="41FE8186" w14:textId="77777777" w:rsidR="00D46080" w:rsidRDefault="00D46080" w:rsidP="00882286">
      <w:pPr>
        <w:pStyle w:val="ListParagraph"/>
        <w:keepNext/>
        <w:keepLines/>
        <w:ind w:left="0" w:firstLine="0"/>
        <w:jc w:val="both"/>
        <w:rPr>
          <w:b/>
          <w:sz w:val="26"/>
          <w:szCs w:val="26"/>
        </w:rPr>
      </w:pPr>
    </w:p>
    <w:p w14:paraId="5BBBB8DC" w14:textId="609D0188" w:rsidR="00D46080" w:rsidRDefault="00607935" w:rsidP="006101F6">
      <w:pPr>
        <w:pStyle w:val="Default"/>
        <w:spacing w:line="360" w:lineRule="auto"/>
        <w:ind w:firstLine="1440"/>
        <w:rPr>
          <w:color w:val="auto"/>
          <w:sz w:val="26"/>
          <w:szCs w:val="26"/>
        </w:rPr>
      </w:pPr>
      <w:r>
        <w:rPr>
          <w:sz w:val="26"/>
          <w:szCs w:val="26"/>
        </w:rPr>
        <w:t xml:space="preserve">In his </w:t>
      </w:r>
      <w:r w:rsidR="00816A2B">
        <w:rPr>
          <w:sz w:val="26"/>
          <w:szCs w:val="26"/>
        </w:rPr>
        <w:t xml:space="preserve">Formal </w:t>
      </w:r>
      <w:r>
        <w:rPr>
          <w:sz w:val="26"/>
          <w:szCs w:val="26"/>
        </w:rPr>
        <w:t>Complaint</w:t>
      </w:r>
      <w:r w:rsidR="00816A2B">
        <w:rPr>
          <w:sz w:val="26"/>
          <w:szCs w:val="26"/>
        </w:rPr>
        <w:t xml:space="preserve"> (Complaint)</w:t>
      </w:r>
      <w:r>
        <w:rPr>
          <w:sz w:val="26"/>
          <w:szCs w:val="26"/>
        </w:rPr>
        <w:t>, filed on</w:t>
      </w:r>
      <w:r w:rsidR="00C83BF5">
        <w:rPr>
          <w:sz w:val="26"/>
          <w:szCs w:val="26"/>
        </w:rPr>
        <w:t xml:space="preserve"> June 27, 2016, </w:t>
      </w:r>
      <w:r w:rsidR="00FD17AA">
        <w:rPr>
          <w:sz w:val="26"/>
          <w:szCs w:val="26"/>
        </w:rPr>
        <w:t>the Complainant</w:t>
      </w:r>
      <w:r>
        <w:rPr>
          <w:sz w:val="26"/>
          <w:szCs w:val="26"/>
        </w:rPr>
        <w:t xml:space="preserve"> alleged </w:t>
      </w:r>
      <w:r w:rsidR="00C83BF5">
        <w:rPr>
          <w:sz w:val="26"/>
          <w:szCs w:val="26"/>
        </w:rPr>
        <w:t>the existence of incorrect charges on his bill and requested a payment arrangement</w:t>
      </w:r>
      <w:r>
        <w:rPr>
          <w:sz w:val="26"/>
          <w:szCs w:val="26"/>
        </w:rPr>
        <w:t>.</w:t>
      </w:r>
      <w:r w:rsidR="00C83BF5">
        <w:rPr>
          <w:sz w:val="26"/>
          <w:szCs w:val="26"/>
        </w:rPr>
        <w:t xml:space="preserve">  Complaint at </w:t>
      </w:r>
      <w:r w:rsidR="00C83BF5" w:rsidRPr="001F5B6C">
        <w:rPr>
          <w:sz w:val="26"/>
          <w:szCs w:val="26"/>
        </w:rPr>
        <w:t>¶</w:t>
      </w:r>
      <w:r w:rsidR="00C83BF5">
        <w:rPr>
          <w:sz w:val="26"/>
          <w:szCs w:val="26"/>
        </w:rPr>
        <w:t xml:space="preserve"> 4.  The Complainant essentially averred that on May 20, 2016, he received an unusually high gas bill from </w:t>
      </w:r>
      <w:r w:rsidR="00AE2E06">
        <w:rPr>
          <w:sz w:val="26"/>
          <w:szCs w:val="26"/>
        </w:rPr>
        <w:t>NFGDC</w:t>
      </w:r>
      <w:r w:rsidR="00816A2B">
        <w:rPr>
          <w:sz w:val="26"/>
          <w:szCs w:val="26"/>
        </w:rPr>
        <w:t xml:space="preserve"> that resulted from</w:t>
      </w:r>
      <w:r w:rsidR="00C83BF5">
        <w:rPr>
          <w:sz w:val="26"/>
          <w:szCs w:val="26"/>
        </w:rPr>
        <w:t xml:space="preserve"> a gas leak at his property</w:t>
      </w:r>
      <w:r w:rsidR="00816A2B">
        <w:rPr>
          <w:sz w:val="26"/>
          <w:szCs w:val="26"/>
        </w:rPr>
        <w:t xml:space="preserve">.  Further, he averred that the gas leak </w:t>
      </w:r>
      <w:r w:rsidR="00C83BF5">
        <w:rPr>
          <w:sz w:val="26"/>
          <w:szCs w:val="26"/>
        </w:rPr>
        <w:t xml:space="preserve">resulted in health issues.  </w:t>
      </w:r>
      <w:r w:rsidR="00FD17AA">
        <w:rPr>
          <w:sz w:val="26"/>
          <w:szCs w:val="26"/>
        </w:rPr>
        <w:t>The Complainant</w:t>
      </w:r>
      <w:r w:rsidR="00C83BF5">
        <w:rPr>
          <w:sz w:val="26"/>
          <w:szCs w:val="26"/>
        </w:rPr>
        <w:t xml:space="preserve"> </w:t>
      </w:r>
      <w:r w:rsidR="00816A2B">
        <w:rPr>
          <w:sz w:val="26"/>
          <w:szCs w:val="26"/>
        </w:rPr>
        <w:t>stated</w:t>
      </w:r>
      <w:r w:rsidR="00C83BF5">
        <w:rPr>
          <w:sz w:val="26"/>
          <w:szCs w:val="26"/>
        </w:rPr>
        <w:t xml:space="preserve"> that </w:t>
      </w:r>
      <w:r w:rsidR="00AE2E06">
        <w:rPr>
          <w:sz w:val="26"/>
          <w:szCs w:val="26"/>
        </w:rPr>
        <w:t>NFGDC</w:t>
      </w:r>
      <w:r w:rsidR="00C83BF5">
        <w:rPr>
          <w:sz w:val="26"/>
          <w:szCs w:val="26"/>
        </w:rPr>
        <w:t xml:space="preserve"> should have notified him of the gas leak in a timely manner.  As relief, the Complainant requested a refund of the amount alleged to have been overpaid to Respondent as a result of the alleged gas leak.  Complaint at ¶ </w:t>
      </w:r>
      <w:r w:rsidR="00E56C73" w:rsidRPr="001F5B6C">
        <w:rPr>
          <w:sz w:val="26"/>
          <w:szCs w:val="26"/>
        </w:rPr>
        <w:t>5.</w:t>
      </w:r>
    </w:p>
    <w:p w14:paraId="4BAFBF31" w14:textId="77777777" w:rsidR="006101F6" w:rsidRPr="00D46080" w:rsidRDefault="006101F6" w:rsidP="006101F6">
      <w:pPr>
        <w:pStyle w:val="Default"/>
        <w:spacing w:line="360" w:lineRule="auto"/>
        <w:ind w:firstLine="1440"/>
        <w:rPr>
          <w:color w:val="auto"/>
          <w:sz w:val="26"/>
          <w:szCs w:val="26"/>
        </w:rPr>
      </w:pPr>
    </w:p>
    <w:p w14:paraId="30468A87" w14:textId="089C9277" w:rsidR="00F47463" w:rsidRDefault="000B5458" w:rsidP="006101F6">
      <w:pPr>
        <w:pStyle w:val="Default"/>
        <w:spacing w:line="360" w:lineRule="auto"/>
        <w:ind w:firstLine="1440"/>
        <w:rPr>
          <w:color w:val="auto"/>
          <w:sz w:val="26"/>
          <w:szCs w:val="26"/>
        </w:rPr>
      </w:pPr>
      <w:r w:rsidRPr="00357E45">
        <w:rPr>
          <w:color w:val="auto"/>
          <w:sz w:val="26"/>
          <w:szCs w:val="26"/>
        </w:rPr>
        <w:t xml:space="preserve">On </w:t>
      </w:r>
      <w:r w:rsidR="00B63502" w:rsidRPr="00357E45">
        <w:rPr>
          <w:color w:val="auto"/>
          <w:sz w:val="26"/>
          <w:szCs w:val="26"/>
        </w:rPr>
        <w:t>July 20, 2016,</w:t>
      </w:r>
      <w:r w:rsidR="00B63502">
        <w:rPr>
          <w:color w:val="auto"/>
          <w:sz w:val="26"/>
          <w:szCs w:val="26"/>
        </w:rPr>
        <w:t xml:space="preserve"> NFGDC</w:t>
      </w:r>
      <w:r w:rsidR="00D46080" w:rsidRPr="00D46080">
        <w:rPr>
          <w:color w:val="auto"/>
          <w:sz w:val="26"/>
          <w:szCs w:val="26"/>
        </w:rPr>
        <w:t xml:space="preserve"> filed an </w:t>
      </w:r>
      <w:r w:rsidR="001D698E">
        <w:rPr>
          <w:color w:val="auto"/>
          <w:sz w:val="26"/>
          <w:szCs w:val="26"/>
        </w:rPr>
        <w:t>A</w:t>
      </w:r>
      <w:r w:rsidR="00D46080" w:rsidRPr="00D46080">
        <w:rPr>
          <w:color w:val="auto"/>
          <w:sz w:val="26"/>
          <w:szCs w:val="26"/>
        </w:rPr>
        <w:t>nswer</w:t>
      </w:r>
      <w:r w:rsidR="00D75E22">
        <w:rPr>
          <w:color w:val="auto"/>
          <w:sz w:val="26"/>
          <w:szCs w:val="26"/>
        </w:rPr>
        <w:t xml:space="preserve"> admitting</w:t>
      </w:r>
      <w:r w:rsidR="00836ACC">
        <w:rPr>
          <w:color w:val="auto"/>
          <w:sz w:val="26"/>
          <w:szCs w:val="26"/>
        </w:rPr>
        <w:t>,</w:t>
      </w:r>
      <w:r w:rsidR="00D75E22">
        <w:rPr>
          <w:color w:val="auto"/>
          <w:sz w:val="26"/>
          <w:szCs w:val="26"/>
        </w:rPr>
        <w:t xml:space="preserve"> in part</w:t>
      </w:r>
      <w:r w:rsidR="00836ACC">
        <w:rPr>
          <w:color w:val="auto"/>
          <w:sz w:val="26"/>
          <w:szCs w:val="26"/>
        </w:rPr>
        <w:t>,</w:t>
      </w:r>
      <w:r w:rsidR="00D75E22">
        <w:rPr>
          <w:color w:val="auto"/>
          <w:sz w:val="26"/>
          <w:szCs w:val="26"/>
        </w:rPr>
        <w:t xml:space="preserve"> and denying</w:t>
      </w:r>
      <w:r w:rsidR="00836ACC">
        <w:rPr>
          <w:color w:val="auto"/>
          <w:sz w:val="26"/>
          <w:szCs w:val="26"/>
        </w:rPr>
        <w:t>,</w:t>
      </w:r>
      <w:r w:rsidR="00D75E22">
        <w:rPr>
          <w:color w:val="auto"/>
          <w:sz w:val="26"/>
          <w:szCs w:val="26"/>
        </w:rPr>
        <w:t xml:space="preserve"> in part</w:t>
      </w:r>
      <w:r w:rsidR="00836ACC">
        <w:rPr>
          <w:color w:val="auto"/>
          <w:sz w:val="26"/>
          <w:szCs w:val="26"/>
        </w:rPr>
        <w:t>,</w:t>
      </w:r>
      <w:r w:rsidR="00D75E22">
        <w:rPr>
          <w:color w:val="auto"/>
          <w:sz w:val="26"/>
          <w:szCs w:val="26"/>
        </w:rPr>
        <w:t xml:space="preserve"> the material allegations set forth in the Complaint along with</w:t>
      </w:r>
      <w:r w:rsidR="001D698E">
        <w:rPr>
          <w:color w:val="auto"/>
          <w:sz w:val="26"/>
          <w:szCs w:val="26"/>
        </w:rPr>
        <w:t xml:space="preserve"> N</w:t>
      </w:r>
      <w:r w:rsidR="00D46080" w:rsidRPr="00D46080">
        <w:rPr>
          <w:color w:val="auto"/>
          <w:sz w:val="26"/>
          <w:szCs w:val="26"/>
        </w:rPr>
        <w:t xml:space="preserve">ew </w:t>
      </w:r>
      <w:r w:rsidR="001D698E">
        <w:rPr>
          <w:color w:val="auto"/>
          <w:sz w:val="26"/>
          <w:szCs w:val="26"/>
        </w:rPr>
        <w:t>M</w:t>
      </w:r>
      <w:r w:rsidR="00D46080" w:rsidRPr="00D46080">
        <w:rPr>
          <w:color w:val="auto"/>
          <w:sz w:val="26"/>
          <w:szCs w:val="26"/>
        </w:rPr>
        <w:t>atter</w:t>
      </w:r>
      <w:r w:rsidR="00E455D3">
        <w:rPr>
          <w:color w:val="auto"/>
          <w:sz w:val="26"/>
          <w:szCs w:val="26"/>
        </w:rPr>
        <w:t xml:space="preserve">.  </w:t>
      </w:r>
      <w:r w:rsidR="00AE2E06">
        <w:rPr>
          <w:color w:val="auto"/>
          <w:sz w:val="26"/>
          <w:szCs w:val="26"/>
        </w:rPr>
        <w:t>NFGDC</w:t>
      </w:r>
      <w:r w:rsidR="00E455D3">
        <w:rPr>
          <w:color w:val="auto"/>
          <w:sz w:val="26"/>
          <w:szCs w:val="26"/>
        </w:rPr>
        <w:t xml:space="preserve"> denied that there are incorrect charges on the Complainant</w:t>
      </w:r>
      <w:r w:rsidR="007771D2">
        <w:rPr>
          <w:color w:val="auto"/>
          <w:sz w:val="26"/>
          <w:szCs w:val="26"/>
        </w:rPr>
        <w:t>’</w:t>
      </w:r>
      <w:r w:rsidR="00E455D3">
        <w:rPr>
          <w:color w:val="auto"/>
          <w:sz w:val="26"/>
          <w:szCs w:val="26"/>
        </w:rPr>
        <w:t xml:space="preserve">s gas bill and averred that a gas leak existed on </w:t>
      </w:r>
      <w:r w:rsidR="007771D2">
        <w:rPr>
          <w:color w:val="auto"/>
          <w:sz w:val="26"/>
          <w:szCs w:val="26"/>
        </w:rPr>
        <w:t xml:space="preserve">the </w:t>
      </w:r>
      <w:r w:rsidR="00E455D3">
        <w:rPr>
          <w:color w:val="auto"/>
          <w:sz w:val="26"/>
          <w:szCs w:val="26"/>
        </w:rPr>
        <w:t xml:space="preserve">Complainant’s house line, for which </w:t>
      </w:r>
      <w:r w:rsidR="00AE2E06">
        <w:rPr>
          <w:color w:val="auto"/>
          <w:sz w:val="26"/>
          <w:szCs w:val="26"/>
        </w:rPr>
        <w:t>NFGDC</w:t>
      </w:r>
      <w:r w:rsidR="00357E45">
        <w:rPr>
          <w:color w:val="auto"/>
          <w:sz w:val="26"/>
          <w:szCs w:val="26"/>
        </w:rPr>
        <w:t xml:space="preserve"> is not responsible. </w:t>
      </w:r>
    </w:p>
    <w:p w14:paraId="1D3D1AB6" w14:textId="77777777" w:rsidR="00AD3D5F" w:rsidRDefault="00AD3D5F" w:rsidP="006101F6">
      <w:pPr>
        <w:pStyle w:val="Default"/>
        <w:spacing w:line="360" w:lineRule="auto"/>
        <w:ind w:firstLine="1440"/>
        <w:rPr>
          <w:color w:val="auto"/>
          <w:sz w:val="26"/>
          <w:szCs w:val="26"/>
        </w:rPr>
      </w:pPr>
    </w:p>
    <w:p w14:paraId="4C367E66" w14:textId="25A1E17C" w:rsidR="00357E45" w:rsidRDefault="00B556E4" w:rsidP="006101F6">
      <w:pPr>
        <w:pStyle w:val="Default"/>
        <w:spacing w:line="360" w:lineRule="auto"/>
        <w:ind w:firstLine="1440"/>
        <w:rPr>
          <w:sz w:val="26"/>
          <w:szCs w:val="26"/>
        </w:rPr>
      </w:pPr>
      <w:r>
        <w:rPr>
          <w:color w:val="auto"/>
          <w:sz w:val="26"/>
          <w:szCs w:val="26"/>
        </w:rPr>
        <w:t>The Complainant filed a Reply</w:t>
      </w:r>
      <w:r w:rsidR="00357E45" w:rsidRPr="00EA7851">
        <w:rPr>
          <w:color w:val="auto"/>
          <w:sz w:val="26"/>
          <w:szCs w:val="26"/>
        </w:rPr>
        <w:t xml:space="preserve"> to </w:t>
      </w:r>
      <w:r w:rsidR="00FD17AA">
        <w:rPr>
          <w:color w:val="auto"/>
          <w:sz w:val="26"/>
          <w:szCs w:val="26"/>
        </w:rPr>
        <w:t>NFGDC</w:t>
      </w:r>
      <w:r w:rsidR="00357E45" w:rsidRPr="00EA7851">
        <w:rPr>
          <w:color w:val="auto"/>
          <w:sz w:val="26"/>
          <w:szCs w:val="26"/>
        </w:rPr>
        <w:t>’s Answer and New Matter on September 12, 2016.</w:t>
      </w:r>
      <w:r w:rsidR="00EA7851">
        <w:rPr>
          <w:color w:val="auto"/>
          <w:sz w:val="26"/>
          <w:szCs w:val="26"/>
        </w:rPr>
        <w:t xml:space="preserve">  </w:t>
      </w:r>
      <w:r w:rsidR="00837378">
        <w:rPr>
          <w:color w:val="auto"/>
          <w:sz w:val="26"/>
          <w:szCs w:val="26"/>
        </w:rPr>
        <w:t xml:space="preserve">The </w:t>
      </w:r>
      <w:r w:rsidR="00EA7851">
        <w:rPr>
          <w:color w:val="auto"/>
          <w:sz w:val="26"/>
          <w:szCs w:val="26"/>
        </w:rPr>
        <w:t xml:space="preserve">Complainant alleged, </w:t>
      </w:r>
      <w:r w:rsidR="00EA7851" w:rsidRPr="00EA7851">
        <w:rPr>
          <w:i/>
          <w:color w:val="auto"/>
          <w:sz w:val="26"/>
          <w:szCs w:val="26"/>
        </w:rPr>
        <w:t>inter alia</w:t>
      </w:r>
      <w:r w:rsidR="00EA7851">
        <w:rPr>
          <w:color w:val="auto"/>
          <w:sz w:val="26"/>
          <w:szCs w:val="26"/>
        </w:rPr>
        <w:t>, that the Company’s failure to warn him of a gas leak at 242 East 32</w:t>
      </w:r>
      <w:r w:rsidR="00EA7851" w:rsidRPr="00EA7851">
        <w:rPr>
          <w:color w:val="auto"/>
          <w:sz w:val="26"/>
          <w:szCs w:val="26"/>
          <w:vertAlign w:val="superscript"/>
        </w:rPr>
        <w:t>nd</w:t>
      </w:r>
      <w:r w:rsidR="00EA7851">
        <w:rPr>
          <w:color w:val="auto"/>
          <w:sz w:val="26"/>
          <w:szCs w:val="26"/>
        </w:rPr>
        <w:t xml:space="preserve"> Street, Erie, Pennsylvania 16504 (service location or service address) constituted “carelessness, reckless endangerment, and dereliction of duty.”  Reply at </w:t>
      </w:r>
      <w:r w:rsidR="00EA7851">
        <w:rPr>
          <w:sz w:val="26"/>
          <w:szCs w:val="26"/>
        </w:rPr>
        <w:t xml:space="preserve">¶ 13.  Furthermore, the Complainant requested that the Commission award him five hundred thousand dollars ($500,000) </w:t>
      </w:r>
      <w:r w:rsidR="00816A2B">
        <w:rPr>
          <w:sz w:val="26"/>
          <w:szCs w:val="26"/>
        </w:rPr>
        <w:t xml:space="preserve">as </w:t>
      </w:r>
      <w:r w:rsidR="00EA7851">
        <w:rPr>
          <w:sz w:val="26"/>
          <w:szCs w:val="26"/>
        </w:rPr>
        <w:t xml:space="preserve">compensation for the </w:t>
      </w:r>
      <w:r w:rsidR="00D26508">
        <w:rPr>
          <w:sz w:val="26"/>
          <w:szCs w:val="26"/>
        </w:rPr>
        <w:t xml:space="preserve">alleged harm </w:t>
      </w:r>
      <w:r w:rsidR="00EA7851">
        <w:rPr>
          <w:sz w:val="26"/>
          <w:szCs w:val="26"/>
        </w:rPr>
        <w:t>he “suffered and is still suffering.”  Reply at ¶ 13.</w:t>
      </w:r>
    </w:p>
    <w:p w14:paraId="619BF76E" w14:textId="77777777" w:rsidR="00B556E4" w:rsidRDefault="00B556E4" w:rsidP="006101F6">
      <w:pPr>
        <w:pStyle w:val="Default"/>
        <w:spacing w:line="360" w:lineRule="auto"/>
        <w:ind w:firstLine="1440"/>
        <w:rPr>
          <w:sz w:val="26"/>
          <w:szCs w:val="26"/>
        </w:rPr>
      </w:pPr>
    </w:p>
    <w:p w14:paraId="377011C6" w14:textId="283E9E3E" w:rsidR="00B556E4" w:rsidRDefault="00B556E4" w:rsidP="006101F6">
      <w:pPr>
        <w:pStyle w:val="Default"/>
        <w:spacing w:line="360" w:lineRule="auto"/>
        <w:ind w:firstLine="1440"/>
        <w:rPr>
          <w:color w:val="auto"/>
          <w:sz w:val="26"/>
          <w:szCs w:val="26"/>
        </w:rPr>
      </w:pPr>
      <w:r>
        <w:rPr>
          <w:color w:val="auto"/>
          <w:sz w:val="26"/>
          <w:szCs w:val="26"/>
        </w:rPr>
        <w:t xml:space="preserve">On September 22, 2016, </w:t>
      </w:r>
      <w:r w:rsidR="00FD17AA">
        <w:rPr>
          <w:color w:val="auto"/>
          <w:sz w:val="26"/>
          <w:szCs w:val="26"/>
        </w:rPr>
        <w:t>NFGDC</w:t>
      </w:r>
      <w:r>
        <w:rPr>
          <w:color w:val="auto"/>
          <w:sz w:val="26"/>
          <w:szCs w:val="26"/>
        </w:rPr>
        <w:t xml:space="preserve"> filed Preliminary Objections to the Reply of the Complainant.</w:t>
      </w:r>
      <w:r w:rsidR="00577A7C">
        <w:rPr>
          <w:color w:val="auto"/>
          <w:sz w:val="26"/>
          <w:szCs w:val="26"/>
        </w:rPr>
        <w:t xml:space="preserve">  </w:t>
      </w:r>
      <w:r w:rsidR="00FD17AA">
        <w:rPr>
          <w:color w:val="auto"/>
          <w:sz w:val="26"/>
          <w:szCs w:val="26"/>
        </w:rPr>
        <w:t>NFGDC</w:t>
      </w:r>
      <w:r w:rsidR="00577A7C">
        <w:rPr>
          <w:color w:val="auto"/>
          <w:sz w:val="26"/>
          <w:szCs w:val="26"/>
        </w:rPr>
        <w:t xml:space="preserve"> </w:t>
      </w:r>
      <w:r w:rsidR="00D26508">
        <w:rPr>
          <w:color w:val="auto"/>
          <w:sz w:val="26"/>
          <w:szCs w:val="26"/>
        </w:rPr>
        <w:t>asserted</w:t>
      </w:r>
      <w:r w:rsidR="00577A7C">
        <w:rPr>
          <w:color w:val="auto"/>
          <w:sz w:val="26"/>
          <w:szCs w:val="26"/>
        </w:rPr>
        <w:t xml:space="preserve"> that the Commission does not have the power an</w:t>
      </w:r>
      <w:r w:rsidR="007603D5">
        <w:rPr>
          <w:color w:val="auto"/>
          <w:sz w:val="26"/>
          <w:szCs w:val="26"/>
        </w:rPr>
        <w:t>d legal authority to award monetary</w:t>
      </w:r>
      <w:r w:rsidR="00577A7C">
        <w:rPr>
          <w:color w:val="auto"/>
          <w:sz w:val="26"/>
          <w:szCs w:val="26"/>
        </w:rPr>
        <w:t xml:space="preserve"> damage</w:t>
      </w:r>
      <w:r w:rsidR="00170121">
        <w:rPr>
          <w:color w:val="auto"/>
          <w:sz w:val="26"/>
          <w:szCs w:val="26"/>
        </w:rPr>
        <w:t>s</w:t>
      </w:r>
      <w:r w:rsidR="00577A7C">
        <w:rPr>
          <w:color w:val="auto"/>
          <w:sz w:val="26"/>
          <w:szCs w:val="26"/>
        </w:rPr>
        <w:t xml:space="preserve">.  Additionally, </w:t>
      </w:r>
      <w:r w:rsidR="00FD17AA">
        <w:rPr>
          <w:color w:val="auto"/>
          <w:sz w:val="26"/>
          <w:szCs w:val="26"/>
        </w:rPr>
        <w:t>NFGDC</w:t>
      </w:r>
      <w:r w:rsidR="00577A7C">
        <w:rPr>
          <w:color w:val="auto"/>
          <w:sz w:val="26"/>
          <w:szCs w:val="26"/>
        </w:rPr>
        <w:t xml:space="preserve"> </w:t>
      </w:r>
      <w:r w:rsidR="00D26508">
        <w:rPr>
          <w:color w:val="auto"/>
          <w:sz w:val="26"/>
          <w:szCs w:val="26"/>
        </w:rPr>
        <w:t>stated</w:t>
      </w:r>
      <w:r w:rsidR="00577A7C">
        <w:rPr>
          <w:color w:val="auto"/>
          <w:sz w:val="26"/>
          <w:szCs w:val="26"/>
        </w:rPr>
        <w:t xml:space="preserve"> </w:t>
      </w:r>
      <w:r w:rsidR="007771D2">
        <w:rPr>
          <w:color w:val="auto"/>
          <w:sz w:val="26"/>
          <w:szCs w:val="26"/>
        </w:rPr>
        <w:t xml:space="preserve">that </w:t>
      </w:r>
      <w:r w:rsidR="00577A7C">
        <w:rPr>
          <w:color w:val="auto"/>
          <w:sz w:val="26"/>
          <w:szCs w:val="26"/>
        </w:rPr>
        <w:t xml:space="preserve">the Commission does not have subject matter jurisdiction over negligence or </w:t>
      </w:r>
      <w:r w:rsidR="007603D5">
        <w:rPr>
          <w:color w:val="auto"/>
          <w:sz w:val="26"/>
          <w:szCs w:val="26"/>
        </w:rPr>
        <w:t>reckless</w:t>
      </w:r>
      <w:r w:rsidR="00837378">
        <w:rPr>
          <w:color w:val="auto"/>
          <w:sz w:val="26"/>
          <w:szCs w:val="26"/>
        </w:rPr>
        <w:t>ness</w:t>
      </w:r>
      <w:r w:rsidR="007603D5">
        <w:rPr>
          <w:color w:val="auto"/>
          <w:sz w:val="26"/>
          <w:szCs w:val="26"/>
        </w:rPr>
        <w:t xml:space="preserve"> </w:t>
      </w:r>
      <w:r w:rsidR="007603D5">
        <w:rPr>
          <w:color w:val="auto"/>
          <w:sz w:val="26"/>
          <w:szCs w:val="26"/>
        </w:rPr>
        <w:lastRenderedPageBreak/>
        <w:t>claims.  Therefore, NFGDC requested that its Preliminary O</w:t>
      </w:r>
      <w:r w:rsidR="00577A7C">
        <w:rPr>
          <w:color w:val="auto"/>
          <w:sz w:val="26"/>
          <w:szCs w:val="26"/>
        </w:rPr>
        <w:t>bjections be granted and that the Commission</w:t>
      </w:r>
      <w:r w:rsidR="007771D2">
        <w:rPr>
          <w:color w:val="auto"/>
          <w:sz w:val="26"/>
          <w:szCs w:val="26"/>
        </w:rPr>
        <w:t xml:space="preserve"> (1)</w:t>
      </w:r>
      <w:r w:rsidR="00577A7C">
        <w:rPr>
          <w:color w:val="auto"/>
          <w:sz w:val="26"/>
          <w:szCs w:val="26"/>
        </w:rPr>
        <w:t xml:space="preserve"> strike all allegati</w:t>
      </w:r>
      <w:r w:rsidR="007603D5">
        <w:rPr>
          <w:color w:val="auto"/>
          <w:sz w:val="26"/>
          <w:szCs w:val="26"/>
        </w:rPr>
        <w:t>ons in the Reply regarding monetary</w:t>
      </w:r>
      <w:r w:rsidR="00577A7C">
        <w:rPr>
          <w:color w:val="auto"/>
          <w:sz w:val="26"/>
          <w:szCs w:val="26"/>
        </w:rPr>
        <w:t xml:space="preserve"> damages; </w:t>
      </w:r>
      <w:r w:rsidR="007771D2">
        <w:rPr>
          <w:color w:val="auto"/>
          <w:sz w:val="26"/>
          <w:szCs w:val="26"/>
        </w:rPr>
        <w:t>(2) </w:t>
      </w:r>
      <w:r w:rsidR="00577A7C">
        <w:rPr>
          <w:color w:val="auto"/>
          <w:sz w:val="26"/>
          <w:szCs w:val="26"/>
        </w:rPr>
        <w:t>prohibit the Complainant from introducing at hearing any evid</w:t>
      </w:r>
      <w:r w:rsidR="007603D5">
        <w:rPr>
          <w:color w:val="auto"/>
          <w:sz w:val="26"/>
          <w:szCs w:val="26"/>
        </w:rPr>
        <w:t>ence purporting to address monetary</w:t>
      </w:r>
      <w:r w:rsidR="00577A7C">
        <w:rPr>
          <w:color w:val="auto"/>
          <w:sz w:val="26"/>
          <w:szCs w:val="26"/>
        </w:rPr>
        <w:t xml:space="preserve"> damages; </w:t>
      </w:r>
      <w:r w:rsidR="002A4FD9">
        <w:rPr>
          <w:color w:val="auto"/>
          <w:sz w:val="26"/>
          <w:szCs w:val="26"/>
        </w:rPr>
        <w:t xml:space="preserve">(3) </w:t>
      </w:r>
      <w:r w:rsidR="00577A7C">
        <w:rPr>
          <w:color w:val="auto"/>
          <w:sz w:val="26"/>
          <w:szCs w:val="26"/>
        </w:rPr>
        <w:t>dismiss the Complainant’s negligence and recklessness claims;</w:t>
      </w:r>
      <w:r w:rsidR="007603D5">
        <w:rPr>
          <w:color w:val="auto"/>
          <w:sz w:val="26"/>
          <w:szCs w:val="26"/>
        </w:rPr>
        <w:t xml:space="preserve"> and </w:t>
      </w:r>
      <w:r w:rsidR="002A4FD9">
        <w:rPr>
          <w:color w:val="auto"/>
          <w:sz w:val="26"/>
          <w:szCs w:val="26"/>
        </w:rPr>
        <w:t xml:space="preserve">(4) </w:t>
      </w:r>
      <w:r w:rsidR="007603D5">
        <w:rPr>
          <w:color w:val="auto"/>
          <w:sz w:val="26"/>
          <w:szCs w:val="26"/>
        </w:rPr>
        <w:t>grant</w:t>
      </w:r>
      <w:r w:rsidR="00577A7C">
        <w:rPr>
          <w:color w:val="auto"/>
          <w:sz w:val="26"/>
          <w:szCs w:val="26"/>
        </w:rPr>
        <w:t xml:space="preserve"> NFGDC any other relief as may be just and reasonable under the circumstances.</w:t>
      </w:r>
    </w:p>
    <w:p w14:paraId="6166B876" w14:textId="77777777" w:rsidR="00B556E4" w:rsidRDefault="00B556E4" w:rsidP="006101F6">
      <w:pPr>
        <w:pStyle w:val="Default"/>
        <w:spacing w:line="360" w:lineRule="auto"/>
        <w:ind w:firstLine="1440"/>
        <w:rPr>
          <w:color w:val="auto"/>
          <w:sz w:val="26"/>
          <w:szCs w:val="26"/>
        </w:rPr>
      </w:pPr>
    </w:p>
    <w:p w14:paraId="3CBF7769" w14:textId="1D49F66F" w:rsidR="00357E45" w:rsidRDefault="00051432" w:rsidP="006101F6">
      <w:pPr>
        <w:pStyle w:val="Default"/>
        <w:spacing w:line="360" w:lineRule="auto"/>
        <w:ind w:firstLine="1440"/>
        <w:rPr>
          <w:color w:val="auto"/>
          <w:sz w:val="26"/>
          <w:szCs w:val="26"/>
        </w:rPr>
      </w:pPr>
      <w:r>
        <w:rPr>
          <w:color w:val="auto"/>
          <w:sz w:val="26"/>
          <w:szCs w:val="26"/>
        </w:rPr>
        <w:t>On March 23</w:t>
      </w:r>
      <w:r w:rsidR="00E615CF">
        <w:rPr>
          <w:color w:val="auto"/>
          <w:sz w:val="26"/>
          <w:szCs w:val="26"/>
        </w:rPr>
        <w:t>, 2017</w:t>
      </w:r>
      <w:r>
        <w:rPr>
          <w:color w:val="auto"/>
          <w:sz w:val="26"/>
          <w:szCs w:val="26"/>
        </w:rPr>
        <w:t xml:space="preserve">, </w:t>
      </w:r>
      <w:r w:rsidR="00D26508">
        <w:rPr>
          <w:color w:val="auto"/>
          <w:sz w:val="26"/>
          <w:szCs w:val="26"/>
        </w:rPr>
        <w:t>the ALJ issued an</w:t>
      </w:r>
      <w:r>
        <w:rPr>
          <w:color w:val="auto"/>
          <w:sz w:val="26"/>
          <w:szCs w:val="26"/>
        </w:rPr>
        <w:t xml:space="preserve"> Interim Order granting</w:t>
      </w:r>
      <w:r w:rsidR="002A4FD9">
        <w:rPr>
          <w:color w:val="auto"/>
          <w:sz w:val="26"/>
          <w:szCs w:val="26"/>
        </w:rPr>
        <w:t>,</w:t>
      </w:r>
      <w:r>
        <w:rPr>
          <w:color w:val="auto"/>
          <w:sz w:val="26"/>
          <w:szCs w:val="26"/>
        </w:rPr>
        <w:t xml:space="preserve"> in part</w:t>
      </w:r>
      <w:r w:rsidR="002A4FD9">
        <w:rPr>
          <w:color w:val="auto"/>
          <w:sz w:val="26"/>
          <w:szCs w:val="26"/>
        </w:rPr>
        <w:t>,</w:t>
      </w:r>
      <w:r>
        <w:rPr>
          <w:color w:val="auto"/>
          <w:sz w:val="26"/>
          <w:szCs w:val="26"/>
        </w:rPr>
        <w:t xml:space="preserve"> and denying</w:t>
      </w:r>
      <w:r w:rsidR="002A4FD9">
        <w:rPr>
          <w:color w:val="auto"/>
          <w:sz w:val="26"/>
          <w:szCs w:val="26"/>
        </w:rPr>
        <w:t>,</w:t>
      </w:r>
      <w:r>
        <w:rPr>
          <w:color w:val="auto"/>
          <w:sz w:val="26"/>
          <w:szCs w:val="26"/>
        </w:rPr>
        <w:t xml:space="preserve"> in part</w:t>
      </w:r>
      <w:r w:rsidR="002A4FD9">
        <w:rPr>
          <w:color w:val="auto"/>
          <w:sz w:val="26"/>
          <w:szCs w:val="26"/>
        </w:rPr>
        <w:t>,</w:t>
      </w:r>
      <w:r>
        <w:rPr>
          <w:color w:val="auto"/>
          <w:sz w:val="26"/>
          <w:szCs w:val="26"/>
        </w:rPr>
        <w:t xml:space="preserve"> the Preliminary Objections of </w:t>
      </w:r>
      <w:r w:rsidR="00FD17AA">
        <w:rPr>
          <w:color w:val="auto"/>
          <w:sz w:val="26"/>
          <w:szCs w:val="26"/>
        </w:rPr>
        <w:t>NFGDC</w:t>
      </w:r>
      <w:r>
        <w:rPr>
          <w:color w:val="auto"/>
          <w:sz w:val="26"/>
          <w:szCs w:val="26"/>
        </w:rPr>
        <w:t>.</w:t>
      </w:r>
      <w:r>
        <w:rPr>
          <w:rStyle w:val="FootnoteReference"/>
          <w:color w:val="auto"/>
          <w:sz w:val="26"/>
          <w:szCs w:val="26"/>
        </w:rPr>
        <w:footnoteReference w:id="1"/>
      </w:r>
    </w:p>
    <w:p w14:paraId="1854CA3E" w14:textId="77777777" w:rsidR="0004245D" w:rsidRDefault="0004245D" w:rsidP="006101F6">
      <w:pPr>
        <w:pStyle w:val="Default"/>
        <w:spacing w:line="360" w:lineRule="auto"/>
        <w:ind w:firstLine="1440"/>
        <w:rPr>
          <w:color w:val="auto"/>
          <w:sz w:val="26"/>
          <w:szCs w:val="26"/>
        </w:rPr>
      </w:pPr>
    </w:p>
    <w:p w14:paraId="07DF70DD" w14:textId="30205A39" w:rsidR="0004245D" w:rsidRDefault="0004245D" w:rsidP="006101F6">
      <w:pPr>
        <w:pStyle w:val="Default"/>
        <w:spacing w:line="360" w:lineRule="auto"/>
        <w:ind w:firstLine="1440"/>
        <w:rPr>
          <w:color w:val="auto"/>
          <w:sz w:val="26"/>
          <w:szCs w:val="26"/>
        </w:rPr>
      </w:pPr>
      <w:r w:rsidRPr="009B317C">
        <w:rPr>
          <w:color w:val="auto"/>
          <w:sz w:val="26"/>
          <w:szCs w:val="26"/>
        </w:rPr>
        <w:t xml:space="preserve">An evidentiary hearing was held in this matter on May 18, 2017.  The Complainant appeared </w:t>
      </w:r>
      <w:r w:rsidR="00530632" w:rsidRPr="009B317C">
        <w:rPr>
          <w:i/>
          <w:color w:val="auto"/>
          <w:sz w:val="26"/>
          <w:szCs w:val="26"/>
        </w:rPr>
        <w:t>pro se</w:t>
      </w:r>
      <w:r w:rsidR="009B317C">
        <w:rPr>
          <w:i/>
          <w:color w:val="auto"/>
          <w:sz w:val="26"/>
          <w:szCs w:val="26"/>
        </w:rPr>
        <w:t xml:space="preserve"> </w:t>
      </w:r>
      <w:r w:rsidR="009B317C">
        <w:rPr>
          <w:color w:val="auto"/>
          <w:sz w:val="26"/>
          <w:szCs w:val="26"/>
        </w:rPr>
        <w:t>and testi</w:t>
      </w:r>
      <w:r w:rsidR="00D26508">
        <w:rPr>
          <w:color w:val="auto"/>
          <w:sz w:val="26"/>
          <w:szCs w:val="26"/>
        </w:rPr>
        <w:t>fied</w:t>
      </w:r>
      <w:r w:rsidR="00530632" w:rsidRPr="009B317C">
        <w:rPr>
          <w:color w:val="auto"/>
          <w:sz w:val="26"/>
          <w:szCs w:val="26"/>
        </w:rPr>
        <w:t xml:space="preserve">, while </w:t>
      </w:r>
      <w:r w:rsidR="00FD17AA">
        <w:rPr>
          <w:color w:val="auto"/>
          <w:sz w:val="26"/>
          <w:szCs w:val="26"/>
        </w:rPr>
        <w:t>NFGDC</w:t>
      </w:r>
      <w:r w:rsidR="00530632" w:rsidRPr="009B317C">
        <w:rPr>
          <w:color w:val="auto"/>
          <w:sz w:val="26"/>
          <w:szCs w:val="26"/>
        </w:rPr>
        <w:t xml:space="preserve"> was represented by </w:t>
      </w:r>
      <w:r w:rsidR="00837378">
        <w:rPr>
          <w:color w:val="auto"/>
          <w:sz w:val="26"/>
          <w:szCs w:val="26"/>
        </w:rPr>
        <w:t>counsel who</w:t>
      </w:r>
      <w:r w:rsidR="009B317C">
        <w:rPr>
          <w:color w:val="auto"/>
          <w:sz w:val="26"/>
          <w:szCs w:val="26"/>
        </w:rPr>
        <w:t xml:space="preserve"> presented </w:t>
      </w:r>
      <w:r w:rsidR="00D26508">
        <w:rPr>
          <w:color w:val="auto"/>
          <w:sz w:val="26"/>
          <w:szCs w:val="26"/>
        </w:rPr>
        <w:t xml:space="preserve">the </w:t>
      </w:r>
      <w:r w:rsidR="009B317C">
        <w:rPr>
          <w:color w:val="auto"/>
          <w:sz w:val="26"/>
          <w:szCs w:val="26"/>
        </w:rPr>
        <w:t>testimony of two witnesses</w:t>
      </w:r>
      <w:r w:rsidRPr="009B317C">
        <w:rPr>
          <w:color w:val="auto"/>
          <w:sz w:val="26"/>
          <w:szCs w:val="26"/>
        </w:rPr>
        <w:t xml:space="preserve">.  The </w:t>
      </w:r>
      <w:r w:rsidR="00530632" w:rsidRPr="009B317C">
        <w:rPr>
          <w:color w:val="auto"/>
          <w:sz w:val="26"/>
          <w:szCs w:val="26"/>
        </w:rPr>
        <w:t>record in</w:t>
      </w:r>
      <w:r w:rsidR="008034ED" w:rsidRPr="009B317C">
        <w:rPr>
          <w:color w:val="auto"/>
          <w:sz w:val="26"/>
          <w:szCs w:val="26"/>
        </w:rPr>
        <w:t xml:space="preserve"> this proceeding consists of 101</w:t>
      </w:r>
      <w:r w:rsidR="00530632" w:rsidRPr="009B317C">
        <w:rPr>
          <w:color w:val="auto"/>
          <w:sz w:val="26"/>
          <w:szCs w:val="26"/>
        </w:rPr>
        <w:t xml:space="preserve"> </w:t>
      </w:r>
      <w:r w:rsidR="00837378">
        <w:rPr>
          <w:color w:val="auto"/>
          <w:sz w:val="26"/>
          <w:szCs w:val="26"/>
        </w:rPr>
        <w:t xml:space="preserve">transcript </w:t>
      </w:r>
      <w:r w:rsidR="00530632" w:rsidRPr="009B317C">
        <w:rPr>
          <w:color w:val="auto"/>
          <w:sz w:val="26"/>
          <w:szCs w:val="26"/>
        </w:rPr>
        <w:t xml:space="preserve">pages, as well as </w:t>
      </w:r>
      <w:r w:rsidR="00E033D0" w:rsidRPr="009B317C">
        <w:rPr>
          <w:color w:val="auto"/>
          <w:sz w:val="26"/>
          <w:szCs w:val="26"/>
        </w:rPr>
        <w:t>Complainant Exhibits A through C</w:t>
      </w:r>
      <w:r w:rsidR="00530632" w:rsidRPr="009B317C">
        <w:rPr>
          <w:color w:val="auto"/>
          <w:sz w:val="26"/>
          <w:szCs w:val="26"/>
        </w:rPr>
        <w:t xml:space="preserve"> and </w:t>
      </w:r>
      <w:r w:rsidR="00E033D0" w:rsidRPr="009B317C">
        <w:rPr>
          <w:color w:val="auto"/>
          <w:sz w:val="26"/>
          <w:szCs w:val="26"/>
        </w:rPr>
        <w:t>Respondent Exhibits one through eight</w:t>
      </w:r>
      <w:r w:rsidR="008034ED" w:rsidRPr="009B317C">
        <w:rPr>
          <w:color w:val="auto"/>
          <w:sz w:val="26"/>
          <w:szCs w:val="26"/>
        </w:rPr>
        <w:t>,</w:t>
      </w:r>
      <w:r w:rsidR="00E033D0" w:rsidRPr="009B317C">
        <w:rPr>
          <w:color w:val="auto"/>
          <w:sz w:val="26"/>
          <w:szCs w:val="26"/>
        </w:rPr>
        <w:t xml:space="preserve"> which were admitted into evidence.</w:t>
      </w:r>
    </w:p>
    <w:p w14:paraId="21F97493" w14:textId="77777777" w:rsidR="00051432" w:rsidRDefault="00051432" w:rsidP="006101F6">
      <w:pPr>
        <w:pStyle w:val="Default"/>
        <w:spacing w:line="360" w:lineRule="auto"/>
        <w:ind w:firstLine="1440"/>
        <w:rPr>
          <w:color w:val="auto"/>
          <w:sz w:val="26"/>
          <w:szCs w:val="26"/>
        </w:rPr>
      </w:pPr>
    </w:p>
    <w:p w14:paraId="79F9FE45" w14:textId="3A638661" w:rsidR="00FB43BA" w:rsidRPr="009B317C" w:rsidRDefault="0088484F" w:rsidP="009B317C">
      <w:pPr>
        <w:pStyle w:val="Default"/>
        <w:spacing w:line="360" w:lineRule="auto"/>
        <w:ind w:firstLine="1440"/>
        <w:rPr>
          <w:color w:val="auto"/>
          <w:sz w:val="26"/>
          <w:szCs w:val="26"/>
        </w:rPr>
      </w:pPr>
      <w:r>
        <w:rPr>
          <w:sz w:val="26"/>
          <w:szCs w:val="26"/>
        </w:rPr>
        <w:t>I</w:t>
      </w:r>
      <w:r w:rsidR="00FB43BA">
        <w:rPr>
          <w:sz w:val="26"/>
          <w:szCs w:val="26"/>
        </w:rPr>
        <w:t>n his</w:t>
      </w:r>
      <w:r>
        <w:rPr>
          <w:sz w:val="26"/>
          <w:szCs w:val="26"/>
        </w:rPr>
        <w:t xml:space="preserve"> Initial Decis</w:t>
      </w:r>
      <w:r w:rsidR="00FB43BA">
        <w:rPr>
          <w:sz w:val="26"/>
          <w:szCs w:val="26"/>
        </w:rPr>
        <w:t xml:space="preserve">ion issued on </w:t>
      </w:r>
      <w:r w:rsidR="00A121B1">
        <w:rPr>
          <w:sz w:val="26"/>
          <w:szCs w:val="26"/>
        </w:rPr>
        <w:t>August 14, 2017, ALJ Watson</w:t>
      </w:r>
      <w:r>
        <w:rPr>
          <w:sz w:val="26"/>
          <w:szCs w:val="26"/>
        </w:rPr>
        <w:t xml:space="preserve"> </w:t>
      </w:r>
      <w:r w:rsidR="00A121B1">
        <w:rPr>
          <w:sz w:val="26"/>
          <w:szCs w:val="26"/>
        </w:rPr>
        <w:t>recommended that the Complaint be d</w:t>
      </w:r>
      <w:r w:rsidR="00D26508">
        <w:rPr>
          <w:sz w:val="26"/>
          <w:szCs w:val="26"/>
        </w:rPr>
        <w:t>ismissed</w:t>
      </w:r>
      <w:r w:rsidR="00AA5728">
        <w:rPr>
          <w:sz w:val="26"/>
          <w:szCs w:val="26"/>
        </w:rPr>
        <w:t xml:space="preserve"> because </w:t>
      </w:r>
      <w:r w:rsidR="00837378">
        <w:rPr>
          <w:sz w:val="26"/>
          <w:szCs w:val="26"/>
        </w:rPr>
        <w:t>the Complainant failed to carry his burden of proof on his allegations that the Company violated the Public Utility Code</w:t>
      </w:r>
      <w:r w:rsidR="00A05DBD">
        <w:rPr>
          <w:sz w:val="26"/>
          <w:szCs w:val="26"/>
        </w:rPr>
        <w:t xml:space="preserve"> (“Code”)</w:t>
      </w:r>
      <w:r w:rsidR="00837378">
        <w:rPr>
          <w:sz w:val="26"/>
          <w:szCs w:val="26"/>
        </w:rPr>
        <w:t>, Commission Regulation</w:t>
      </w:r>
      <w:r w:rsidR="00D26508">
        <w:rPr>
          <w:sz w:val="26"/>
          <w:szCs w:val="26"/>
        </w:rPr>
        <w:t>s</w:t>
      </w:r>
      <w:r w:rsidR="00837378">
        <w:rPr>
          <w:sz w:val="26"/>
          <w:szCs w:val="26"/>
        </w:rPr>
        <w:t xml:space="preserve">, or </w:t>
      </w:r>
      <w:r w:rsidR="00AA5728">
        <w:rPr>
          <w:sz w:val="26"/>
          <w:szCs w:val="26"/>
        </w:rPr>
        <w:t>O</w:t>
      </w:r>
      <w:r w:rsidR="00837378">
        <w:rPr>
          <w:sz w:val="26"/>
          <w:szCs w:val="26"/>
        </w:rPr>
        <w:t>rder</w:t>
      </w:r>
      <w:r w:rsidR="00D26508">
        <w:rPr>
          <w:sz w:val="26"/>
          <w:szCs w:val="26"/>
        </w:rPr>
        <w:t>s</w:t>
      </w:r>
      <w:r w:rsidR="00837378">
        <w:rPr>
          <w:sz w:val="26"/>
          <w:szCs w:val="26"/>
        </w:rPr>
        <w:t>, or was otherwise responsible for incorrect charges on his gas bill.  The ALJ also rejected the customer service allegations raised in the Complaint.  I.D. at 8-9; Conclusions of Law Nos. 9, 12, 13.</w:t>
      </w:r>
    </w:p>
    <w:p w14:paraId="069C993A" w14:textId="77777777" w:rsidR="0088484F" w:rsidRPr="00B3046D" w:rsidRDefault="0088484F" w:rsidP="00B3046D">
      <w:pPr>
        <w:ind w:firstLine="0"/>
        <w:jc w:val="both"/>
        <w:rPr>
          <w:sz w:val="26"/>
          <w:szCs w:val="26"/>
        </w:rPr>
      </w:pPr>
    </w:p>
    <w:p w14:paraId="40AEF8CC" w14:textId="7775ACD7" w:rsidR="0088484F" w:rsidRDefault="004A44D1" w:rsidP="00AA5728">
      <w:pPr>
        <w:pStyle w:val="ListParagraph"/>
        <w:ind w:left="0" w:firstLine="1440"/>
        <w:jc w:val="left"/>
        <w:rPr>
          <w:sz w:val="26"/>
          <w:szCs w:val="26"/>
        </w:rPr>
      </w:pPr>
      <w:r w:rsidRPr="00750E23">
        <w:rPr>
          <w:sz w:val="26"/>
          <w:szCs w:val="26"/>
        </w:rPr>
        <w:t>As previously noted, o</w:t>
      </w:r>
      <w:r w:rsidR="00B3046D" w:rsidRPr="00750E23">
        <w:rPr>
          <w:sz w:val="26"/>
          <w:szCs w:val="26"/>
        </w:rPr>
        <w:t xml:space="preserve">n </w:t>
      </w:r>
      <w:r w:rsidR="00A121B1" w:rsidRPr="00750E23">
        <w:rPr>
          <w:sz w:val="26"/>
          <w:szCs w:val="26"/>
        </w:rPr>
        <w:t xml:space="preserve">September 20, 2017, </w:t>
      </w:r>
      <w:r w:rsidR="00FD17AA">
        <w:rPr>
          <w:sz w:val="26"/>
          <w:szCs w:val="26"/>
        </w:rPr>
        <w:t>the Complainant</w:t>
      </w:r>
      <w:r w:rsidR="00B3046D" w:rsidRPr="00750E23">
        <w:rPr>
          <w:sz w:val="26"/>
          <w:szCs w:val="26"/>
        </w:rPr>
        <w:t xml:space="preserve"> </w:t>
      </w:r>
      <w:r w:rsidR="0088484F" w:rsidRPr="00750E23">
        <w:rPr>
          <w:sz w:val="26"/>
          <w:szCs w:val="26"/>
        </w:rPr>
        <w:t>filed Exceptions to</w:t>
      </w:r>
      <w:r w:rsidR="00A121B1" w:rsidRPr="00750E23">
        <w:rPr>
          <w:sz w:val="26"/>
          <w:szCs w:val="26"/>
        </w:rPr>
        <w:t xml:space="preserve"> the Initial Decision.  NFGDC</w:t>
      </w:r>
      <w:r w:rsidR="0088484F" w:rsidRPr="00750E23">
        <w:rPr>
          <w:sz w:val="26"/>
          <w:szCs w:val="26"/>
        </w:rPr>
        <w:t xml:space="preserve"> filed Rep</w:t>
      </w:r>
      <w:r w:rsidR="00B3046D" w:rsidRPr="00750E23">
        <w:rPr>
          <w:sz w:val="26"/>
          <w:szCs w:val="26"/>
        </w:rPr>
        <w:t xml:space="preserve">lies </w:t>
      </w:r>
      <w:r w:rsidR="00A121B1" w:rsidRPr="00750E23">
        <w:rPr>
          <w:sz w:val="26"/>
          <w:szCs w:val="26"/>
        </w:rPr>
        <w:t>to Exceptions on October 2, 2017</w:t>
      </w:r>
      <w:r w:rsidR="0088484F" w:rsidRPr="00750E23">
        <w:rPr>
          <w:sz w:val="26"/>
          <w:szCs w:val="26"/>
        </w:rPr>
        <w:t>.</w:t>
      </w:r>
    </w:p>
    <w:p w14:paraId="138B82D4" w14:textId="77777777" w:rsidR="00F15367" w:rsidRDefault="00F15367" w:rsidP="009F3CA9">
      <w:pPr>
        <w:pStyle w:val="ListParagraph"/>
        <w:ind w:left="0" w:firstLine="1440"/>
        <w:jc w:val="both"/>
        <w:rPr>
          <w:sz w:val="26"/>
          <w:szCs w:val="26"/>
        </w:rPr>
      </w:pPr>
    </w:p>
    <w:p w14:paraId="6A26B4E3" w14:textId="77777777" w:rsidR="00F15367" w:rsidRDefault="00F15367" w:rsidP="00AA5728">
      <w:pPr>
        <w:keepNext/>
        <w:keepLines/>
        <w:ind w:firstLine="0"/>
        <w:rPr>
          <w:b/>
          <w:sz w:val="26"/>
          <w:szCs w:val="26"/>
        </w:rPr>
      </w:pPr>
      <w:r>
        <w:rPr>
          <w:b/>
          <w:sz w:val="26"/>
          <w:szCs w:val="26"/>
        </w:rPr>
        <w:t>Background</w:t>
      </w:r>
    </w:p>
    <w:p w14:paraId="69F6594E" w14:textId="77777777" w:rsidR="00F15367" w:rsidRDefault="00F15367" w:rsidP="00AA5728">
      <w:pPr>
        <w:keepNext/>
        <w:keepLines/>
        <w:ind w:firstLine="0"/>
        <w:jc w:val="both"/>
        <w:rPr>
          <w:b/>
          <w:sz w:val="26"/>
          <w:szCs w:val="26"/>
        </w:rPr>
      </w:pPr>
    </w:p>
    <w:p w14:paraId="2ACCF44E" w14:textId="56E27904" w:rsidR="00917E49" w:rsidRDefault="00F15367" w:rsidP="00F15367">
      <w:pPr>
        <w:ind w:firstLine="0"/>
        <w:jc w:val="both"/>
        <w:rPr>
          <w:sz w:val="26"/>
          <w:szCs w:val="26"/>
        </w:rPr>
      </w:pPr>
      <w:r>
        <w:rPr>
          <w:b/>
          <w:sz w:val="26"/>
          <w:szCs w:val="26"/>
        </w:rPr>
        <w:tab/>
      </w:r>
      <w:r>
        <w:rPr>
          <w:b/>
          <w:sz w:val="26"/>
          <w:szCs w:val="26"/>
        </w:rPr>
        <w:tab/>
      </w:r>
      <w:r w:rsidR="00AA5728" w:rsidRPr="00AA5728">
        <w:rPr>
          <w:sz w:val="26"/>
          <w:szCs w:val="26"/>
        </w:rPr>
        <w:t xml:space="preserve">In </w:t>
      </w:r>
      <w:r w:rsidR="00AA5728">
        <w:rPr>
          <w:sz w:val="26"/>
          <w:szCs w:val="26"/>
        </w:rPr>
        <w:t>his Complaint, t</w:t>
      </w:r>
      <w:r w:rsidR="00FD17AA">
        <w:rPr>
          <w:sz w:val="26"/>
          <w:szCs w:val="26"/>
        </w:rPr>
        <w:t>he Complainant</w:t>
      </w:r>
      <w:r w:rsidR="009A0EFE">
        <w:rPr>
          <w:sz w:val="26"/>
          <w:szCs w:val="26"/>
        </w:rPr>
        <w:t xml:space="preserve"> alleges he received a “huge gas bill”</w:t>
      </w:r>
      <w:r w:rsidR="00013AD6">
        <w:rPr>
          <w:sz w:val="26"/>
          <w:szCs w:val="26"/>
        </w:rPr>
        <w:t xml:space="preserve"> on May 20, 2016</w:t>
      </w:r>
      <w:r w:rsidR="007603D5">
        <w:rPr>
          <w:sz w:val="26"/>
          <w:szCs w:val="26"/>
        </w:rPr>
        <w:t>,</w:t>
      </w:r>
      <w:r w:rsidR="00013AD6">
        <w:rPr>
          <w:sz w:val="26"/>
          <w:szCs w:val="26"/>
        </w:rPr>
        <w:t xml:space="preserve"> for services as of May 4, 2016</w:t>
      </w:r>
      <w:r w:rsidR="009A0EFE">
        <w:rPr>
          <w:sz w:val="26"/>
          <w:szCs w:val="26"/>
        </w:rPr>
        <w:t>.</w:t>
      </w:r>
      <w:r w:rsidR="009A0EFE">
        <w:rPr>
          <w:rStyle w:val="FootnoteReference"/>
          <w:sz w:val="26"/>
          <w:szCs w:val="26"/>
        </w:rPr>
        <w:footnoteReference w:id="2"/>
      </w:r>
      <w:r w:rsidR="00353058">
        <w:rPr>
          <w:sz w:val="26"/>
          <w:szCs w:val="26"/>
        </w:rPr>
        <w:t xml:space="preserve">  Upon receiving the bill, the Complainant called NFGDC to contest the disputed bill.  During the teleph</w:t>
      </w:r>
      <w:r w:rsidR="006C3B00">
        <w:rPr>
          <w:sz w:val="26"/>
          <w:szCs w:val="26"/>
        </w:rPr>
        <w:t>one conversation on May 20, 201</w:t>
      </w:r>
      <w:r w:rsidR="00013AD6">
        <w:rPr>
          <w:sz w:val="26"/>
          <w:szCs w:val="26"/>
        </w:rPr>
        <w:t>6</w:t>
      </w:r>
      <w:r w:rsidR="00353058">
        <w:rPr>
          <w:sz w:val="26"/>
          <w:szCs w:val="26"/>
        </w:rPr>
        <w:t xml:space="preserve">, </w:t>
      </w:r>
      <w:r w:rsidR="00AE2E06">
        <w:rPr>
          <w:sz w:val="26"/>
          <w:szCs w:val="26"/>
        </w:rPr>
        <w:t>NFGDC</w:t>
      </w:r>
      <w:r w:rsidR="00353058">
        <w:rPr>
          <w:sz w:val="26"/>
          <w:szCs w:val="26"/>
        </w:rPr>
        <w:t xml:space="preserve"> explained </w:t>
      </w:r>
      <w:r w:rsidR="00CC6168">
        <w:rPr>
          <w:sz w:val="26"/>
          <w:szCs w:val="26"/>
        </w:rPr>
        <w:t xml:space="preserve">to </w:t>
      </w:r>
      <w:r w:rsidR="00FD17AA">
        <w:rPr>
          <w:sz w:val="26"/>
          <w:szCs w:val="26"/>
        </w:rPr>
        <w:t>the Complainant</w:t>
      </w:r>
      <w:r w:rsidR="00CC6168">
        <w:rPr>
          <w:sz w:val="26"/>
          <w:szCs w:val="26"/>
        </w:rPr>
        <w:t xml:space="preserve"> that because his prior three months of gas usage were estimated, his gas bill now reflected an actual meter reading and consisted of gas usage that had not been billed previously.</w:t>
      </w:r>
      <w:r w:rsidR="006C3B00">
        <w:rPr>
          <w:rStyle w:val="FootnoteReference"/>
          <w:sz w:val="26"/>
          <w:szCs w:val="26"/>
        </w:rPr>
        <w:footnoteReference w:id="3"/>
      </w:r>
      <w:r w:rsidR="00EA63F6">
        <w:rPr>
          <w:sz w:val="26"/>
          <w:szCs w:val="26"/>
        </w:rPr>
        <w:t xml:space="preserve">  </w:t>
      </w:r>
      <w:r w:rsidR="00CC6168">
        <w:rPr>
          <w:sz w:val="26"/>
          <w:szCs w:val="26"/>
        </w:rPr>
        <w:t xml:space="preserve">Tr. </w:t>
      </w:r>
      <w:r w:rsidR="00EA63F6">
        <w:rPr>
          <w:sz w:val="26"/>
          <w:szCs w:val="26"/>
        </w:rPr>
        <w:t>a</w:t>
      </w:r>
      <w:r w:rsidR="00CC6168">
        <w:rPr>
          <w:sz w:val="26"/>
          <w:szCs w:val="26"/>
        </w:rPr>
        <w:t xml:space="preserve">t 65.  </w:t>
      </w:r>
      <w:r w:rsidR="00AE2E06">
        <w:rPr>
          <w:sz w:val="26"/>
          <w:szCs w:val="26"/>
        </w:rPr>
        <w:t>NFGDC</w:t>
      </w:r>
      <w:r w:rsidR="00CC6168">
        <w:rPr>
          <w:sz w:val="26"/>
          <w:szCs w:val="26"/>
        </w:rPr>
        <w:t xml:space="preserve"> had the Complainant read the gas meter over the telephone, which confirmed that </w:t>
      </w:r>
      <w:r w:rsidR="00AE2E06">
        <w:rPr>
          <w:sz w:val="26"/>
          <w:szCs w:val="26"/>
        </w:rPr>
        <w:t>NFGDC</w:t>
      </w:r>
      <w:r w:rsidR="00CC6168">
        <w:rPr>
          <w:sz w:val="26"/>
          <w:szCs w:val="26"/>
        </w:rPr>
        <w:t>’s reading used to</w:t>
      </w:r>
      <w:r w:rsidR="00013AD6">
        <w:rPr>
          <w:sz w:val="26"/>
          <w:szCs w:val="26"/>
        </w:rPr>
        <w:t xml:space="preserve"> calculate the disputed May 2016 bill</w:t>
      </w:r>
      <w:r w:rsidR="00CC6168">
        <w:rPr>
          <w:sz w:val="26"/>
          <w:szCs w:val="26"/>
        </w:rPr>
        <w:t xml:space="preserve"> was correct.</w:t>
      </w:r>
    </w:p>
    <w:p w14:paraId="13C52E8D" w14:textId="77777777" w:rsidR="00917E49" w:rsidRDefault="00917E49" w:rsidP="00F15367">
      <w:pPr>
        <w:ind w:firstLine="0"/>
        <w:jc w:val="both"/>
        <w:rPr>
          <w:sz w:val="26"/>
          <w:szCs w:val="26"/>
        </w:rPr>
      </w:pPr>
    </w:p>
    <w:p w14:paraId="0E97A560" w14:textId="5188F98D" w:rsidR="00F15367" w:rsidRDefault="00917E49" w:rsidP="00917E49">
      <w:pPr>
        <w:ind w:firstLine="1440"/>
        <w:jc w:val="both"/>
        <w:rPr>
          <w:sz w:val="26"/>
          <w:szCs w:val="26"/>
        </w:rPr>
      </w:pPr>
      <w:r>
        <w:rPr>
          <w:sz w:val="26"/>
          <w:szCs w:val="26"/>
        </w:rPr>
        <w:t xml:space="preserve">Once the NFGDC representative became aware during the telephone call that the Complainant could smell gas, </w:t>
      </w:r>
      <w:r w:rsidR="00531489">
        <w:rPr>
          <w:sz w:val="26"/>
          <w:szCs w:val="26"/>
        </w:rPr>
        <w:t xml:space="preserve">the </w:t>
      </w:r>
      <w:r w:rsidR="00AE2E06">
        <w:rPr>
          <w:sz w:val="26"/>
          <w:szCs w:val="26"/>
        </w:rPr>
        <w:t>N</w:t>
      </w:r>
      <w:r>
        <w:rPr>
          <w:sz w:val="26"/>
          <w:szCs w:val="26"/>
        </w:rPr>
        <w:t>FGDC representative dispatched an emergency order and sent a representative to the service location to check for a potential leak.  I.D. at</w:t>
      </w:r>
      <w:r w:rsidR="00AE2E06">
        <w:rPr>
          <w:sz w:val="26"/>
          <w:szCs w:val="26"/>
        </w:rPr>
        <w:t> </w:t>
      </w:r>
      <w:r>
        <w:rPr>
          <w:sz w:val="26"/>
          <w:szCs w:val="26"/>
        </w:rPr>
        <w:t>3</w:t>
      </w:r>
      <w:r w:rsidR="00734483">
        <w:rPr>
          <w:sz w:val="26"/>
          <w:szCs w:val="26"/>
        </w:rPr>
        <w:t>; Finding of Fact No. 7</w:t>
      </w:r>
      <w:r>
        <w:rPr>
          <w:sz w:val="26"/>
          <w:szCs w:val="26"/>
        </w:rPr>
        <w:t>.  In light of a potential gas leak at the service location, the NFGDC representative advised the Complainant to open the doors and windows, evacuate to a safe distance</w:t>
      </w:r>
      <w:r w:rsidR="00531489">
        <w:rPr>
          <w:sz w:val="26"/>
          <w:szCs w:val="26"/>
        </w:rPr>
        <w:t>,</w:t>
      </w:r>
      <w:r>
        <w:rPr>
          <w:sz w:val="26"/>
          <w:szCs w:val="26"/>
        </w:rPr>
        <w:t xml:space="preserve"> and watch for service personnel to arrive and evaluate the situation.  I.D. at 4</w:t>
      </w:r>
      <w:r w:rsidR="00734483">
        <w:rPr>
          <w:spacing w:val="-3"/>
          <w:sz w:val="26"/>
          <w:szCs w:val="26"/>
        </w:rPr>
        <w:t>; Finding of Fact No. 8.</w:t>
      </w:r>
      <w:r>
        <w:rPr>
          <w:sz w:val="26"/>
          <w:szCs w:val="26"/>
        </w:rPr>
        <w:t xml:space="preserve"> </w:t>
      </w:r>
    </w:p>
    <w:p w14:paraId="6AB018A8" w14:textId="77777777" w:rsidR="00963445" w:rsidRDefault="00963445" w:rsidP="00917E49">
      <w:pPr>
        <w:ind w:firstLine="1440"/>
        <w:jc w:val="both"/>
        <w:rPr>
          <w:sz w:val="26"/>
          <w:szCs w:val="26"/>
        </w:rPr>
      </w:pPr>
    </w:p>
    <w:p w14:paraId="00AEDB7F" w14:textId="3F773158" w:rsidR="00E615CF" w:rsidRDefault="00963445" w:rsidP="00917E49">
      <w:pPr>
        <w:ind w:firstLine="1440"/>
        <w:jc w:val="both"/>
        <w:rPr>
          <w:sz w:val="26"/>
          <w:szCs w:val="26"/>
        </w:rPr>
      </w:pPr>
      <w:r>
        <w:rPr>
          <w:sz w:val="26"/>
          <w:szCs w:val="26"/>
        </w:rPr>
        <w:t xml:space="preserve">A service representative arrived at the service location less than five minutes after the Complainant’s phone call with </w:t>
      </w:r>
      <w:r w:rsidR="00AE2E06">
        <w:rPr>
          <w:sz w:val="26"/>
          <w:szCs w:val="26"/>
        </w:rPr>
        <w:t>NFGDC</w:t>
      </w:r>
      <w:r>
        <w:rPr>
          <w:sz w:val="26"/>
          <w:szCs w:val="26"/>
        </w:rPr>
        <w:t xml:space="preserve"> ended, and the gas leak was identified on the Complainant’s private service line to his clothes dryer</w:t>
      </w:r>
      <w:r w:rsidR="00531489">
        <w:rPr>
          <w:sz w:val="26"/>
          <w:szCs w:val="26"/>
        </w:rPr>
        <w:t xml:space="preserve">, </w:t>
      </w:r>
      <w:r w:rsidR="000478A2">
        <w:rPr>
          <w:sz w:val="26"/>
          <w:szCs w:val="26"/>
        </w:rPr>
        <w:t>isolated</w:t>
      </w:r>
      <w:r w:rsidR="00531489">
        <w:rPr>
          <w:sz w:val="26"/>
          <w:szCs w:val="26"/>
        </w:rPr>
        <w:t>,</w:t>
      </w:r>
      <w:r w:rsidR="000478A2">
        <w:rPr>
          <w:sz w:val="26"/>
          <w:szCs w:val="26"/>
        </w:rPr>
        <w:t xml:space="preserve"> and made safe</w:t>
      </w:r>
      <w:r w:rsidR="007603D5">
        <w:rPr>
          <w:sz w:val="26"/>
          <w:szCs w:val="26"/>
        </w:rPr>
        <w:t xml:space="preserve"> within </w:t>
      </w:r>
      <w:r w:rsidR="007603D5">
        <w:rPr>
          <w:sz w:val="26"/>
          <w:szCs w:val="26"/>
        </w:rPr>
        <w:lastRenderedPageBreak/>
        <w:t>nineteen</w:t>
      </w:r>
      <w:r>
        <w:rPr>
          <w:sz w:val="26"/>
          <w:szCs w:val="26"/>
        </w:rPr>
        <w:t xml:space="preserve"> minutes of his arrival at the service location.  I.D. at 4</w:t>
      </w:r>
      <w:r w:rsidR="00734483">
        <w:rPr>
          <w:sz w:val="26"/>
          <w:szCs w:val="26"/>
        </w:rPr>
        <w:t>; Finding of Fact Nos. 9-10</w:t>
      </w:r>
      <w:r>
        <w:rPr>
          <w:sz w:val="26"/>
          <w:szCs w:val="26"/>
        </w:rPr>
        <w:t xml:space="preserve">.  </w:t>
      </w:r>
      <w:r w:rsidR="00734483">
        <w:rPr>
          <w:sz w:val="26"/>
          <w:szCs w:val="26"/>
        </w:rPr>
        <w:t xml:space="preserve">Additionally, the service representative advised the Complainant </w:t>
      </w:r>
      <w:r w:rsidR="00B053CE">
        <w:rPr>
          <w:sz w:val="26"/>
          <w:szCs w:val="26"/>
        </w:rPr>
        <w:t xml:space="preserve">via a written </w:t>
      </w:r>
      <w:r w:rsidR="00E615CF">
        <w:rPr>
          <w:sz w:val="26"/>
          <w:szCs w:val="26"/>
        </w:rPr>
        <w:t>Receipt of Advice</w:t>
      </w:r>
      <w:r w:rsidR="00734483">
        <w:rPr>
          <w:sz w:val="26"/>
          <w:szCs w:val="26"/>
        </w:rPr>
        <w:t xml:space="preserve"> to have a professional contractor fully repair and check the service line to his dryer, because the leak was </w:t>
      </w:r>
      <w:r w:rsidR="00B053CE">
        <w:rPr>
          <w:sz w:val="26"/>
          <w:szCs w:val="26"/>
        </w:rPr>
        <w:t>in</w:t>
      </w:r>
      <w:r w:rsidR="00734483">
        <w:rPr>
          <w:sz w:val="26"/>
          <w:szCs w:val="26"/>
        </w:rPr>
        <w:t xml:space="preserve"> the Complainant’s private gas line.  I.D</w:t>
      </w:r>
      <w:r w:rsidR="00E615CF">
        <w:rPr>
          <w:sz w:val="26"/>
          <w:szCs w:val="26"/>
        </w:rPr>
        <w:t>.</w:t>
      </w:r>
      <w:r w:rsidR="00734483">
        <w:rPr>
          <w:sz w:val="26"/>
          <w:szCs w:val="26"/>
        </w:rPr>
        <w:t xml:space="preserve"> at 4; Finding of Fact No.</w:t>
      </w:r>
      <w:r w:rsidR="00B053CE">
        <w:rPr>
          <w:sz w:val="26"/>
          <w:szCs w:val="26"/>
        </w:rPr>
        <w:t> </w:t>
      </w:r>
      <w:r w:rsidR="00734483">
        <w:rPr>
          <w:sz w:val="26"/>
          <w:szCs w:val="26"/>
        </w:rPr>
        <w:t>11.</w:t>
      </w:r>
    </w:p>
    <w:p w14:paraId="4F275148" w14:textId="77777777" w:rsidR="00E615CF" w:rsidRDefault="00E615CF" w:rsidP="00917E49">
      <w:pPr>
        <w:ind w:firstLine="1440"/>
        <w:jc w:val="both"/>
        <w:rPr>
          <w:sz w:val="26"/>
          <w:szCs w:val="26"/>
        </w:rPr>
      </w:pPr>
    </w:p>
    <w:p w14:paraId="32660F33" w14:textId="020DE46E" w:rsidR="00963445" w:rsidRDefault="00E615CF" w:rsidP="00917E49">
      <w:pPr>
        <w:ind w:firstLine="1440"/>
        <w:jc w:val="both"/>
        <w:rPr>
          <w:sz w:val="26"/>
          <w:szCs w:val="26"/>
        </w:rPr>
      </w:pPr>
      <w:r>
        <w:rPr>
          <w:sz w:val="26"/>
          <w:szCs w:val="26"/>
        </w:rPr>
        <w:t xml:space="preserve">On May 24, 2016, </w:t>
      </w:r>
      <w:r w:rsidR="00677EFC">
        <w:rPr>
          <w:sz w:val="26"/>
          <w:szCs w:val="26"/>
        </w:rPr>
        <w:t>the Complainant contacted</w:t>
      </w:r>
      <w:r>
        <w:rPr>
          <w:sz w:val="26"/>
          <w:szCs w:val="26"/>
        </w:rPr>
        <w:t xml:space="preserve"> </w:t>
      </w:r>
      <w:r w:rsidR="00AE2E06">
        <w:rPr>
          <w:sz w:val="26"/>
          <w:szCs w:val="26"/>
        </w:rPr>
        <w:t>NFGDC</w:t>
      </w:r>
      <w:r w:rsidR="00677EFC">
        <w:rPr>
          <w:sz w:val="26"/>
          <w:szCs w:val="26"/>
        </w:rPr>
        <w:t xml:space="preserve"> </w:t>
      </w:r>
      <w:r w:rsidR="005B6A65">
        <w:rPr>
          <w:sz w:val="26"/>
          <w:szCs w:val="26"/>
        </w:rPr>
        <w:t xml:space="preserve">again </w:t>
      </w:r>
      <w:r w:rsidR="00677EFC">
        <w:rPr>
          <w:sz w:val="26"/>
          <w:szCs w:val="26"/>
        </w:rPr>
        <w:t xml:space="preserve">to advise that the leak was repaired by a contractor and </w:t>
      </w:r>
      <w:r>
        <w:rPr>
          <w:sz w:val="26"/>
          <w:szCs w:val="26"/>
        </w:rPr>
        <w:t>to ask for an adjustment of the disputed bill</w:t>
      </w:r>
      <w:r w:rsidR="00B053CE">
        <w:rPr>
          <w:sz w:val="26"/>
          <w:szCs w:val="26"/>
        </w:rPr>
        <w:t xml:space="preserve"> </w:t>
      </w:r>
      <w:r>
        <w:rPr>
          <w:sz w:val="26"/>
          <w:szCs w:val="26"/>
        </w:rPr>
        <w:t>as a result of the gas leak on his private service line.  I.D. at 4; Finding of Fact No. 12</w:t>
      </w:r>
      <w:r w:rsidR="00677EFC">
        <w:rPr>
          <w:sz w:val="26"/>
          <w:szCs w:val="26"/>
        </w:rPr>
        <w:t>; Tr. at</w:t>
      </w:r>
      <w:r w:rsidR="00B053CE">
        <w:rPr>
          <w:sz w:val="26"/>
          <w:szCs w:val="26"/>
        </w:rPr>
        <w:t> </w:t>
      </w:r>
      <w:r w:rsidR="00677EFC">
        <w:rPr>
          <w:sz w:val="26"/>
          <w:szCs w:val="26"/>
        </w:rPr>
        <w:t>67</w:t>
      </w:r>
      <w:r w:rsidR="00E6760A">
        <w:rPr>
          <w:sz w:val="26"/>
          <w:szCs w:val="26"/>
        </w:rPr>
        <w:t xml:space="preserve">.  During the telephone call, </w:t>
      </w:r>
      <w:r w:rsidR="00AE2E06">
        <w:rPr>
          <w:sz w:val="26"/>
          <w:szCs w:val="26"/>
        </w:rPr>
        <w:t>NFGDC</w:t>
      </w:r>
      <w:r w:rsidR="00E6760A">
        <w:rPr>
          <w:sz w:val="26"/>
          <w:szCs w:val="26"/>
        </w:rPr>
        <w:t xml:space="preserve"> explained to the Complainant that because the gas leak occurred on his house line, the Complainant was responsible for the disputed gas bill.</w:t>
      </w:r>
      <w:r w:rsidR="003A1EF6">
        <w:rPr>
          <w:sz w:val="26"/>
          <w:szCs w:val="26"/>
        </w:rPr>
        <w:t xml:space="preserve">  I.D. at</w:t>
      </w:r>
      <w:r w:rsidR="00E10E50">
        <w:rPr>
          <w:sz w:val="26"/>
          <w:szCs w:val="26"/>
        </w:rPr>
        <w:t> </w:t>
      </w:r>
      <w:r w:rsidR="003A1EF6">
        <w:rPr>
          <w:sz w:val="26"/>
          <w:szCs w:val="26"/>
        </w:rPr>
        <w:t>4; Finding of Fact No. 13.</w:t>
      </w:r>
      <w:r w:rsidR="00E6760A">
        <w:rPr>
          <w:sz w:val="26"/>
          <w:szCs w:val="26"/>
        </w:rPr>
        <w:t xml:space="preserve">  </w:t>
      </w:r>
      <w:r w:rsidR="00AE2E06">
        <w:rPr>
          <w:sz w:val="26"/>
          <w:szCs w:val="26"/>
        </w:rPr>
        <w:t>NFGDC</w:t>
      </w:r>
      <w:r w:rsidR="00E6760A">
        <w:rPr>
          <w:sz w:val="26"/>
          <w:szCs w:val="26"/>
        </w:rPr>
        <w:t xml:space="preserve"> </w:t>
      </w:r>
      <w:r w:rsidR="007A4121">
        <w:rPr>
          <w:sz w:val="26"/>
          <w:szCs w:val="26"/>
        </w:rPr>
        <w:t xml:space="preserve">subsequently </w:t>
      </w:r>
      <w:r w:rsidR="00E6760A">
        <w:rPr>
          <w:sz w:val="26"/>
          <w:szCs w:val="26"/>
        </w:rPr>
        <w:t>explain</w:t>
      </w:r>
      <w:r w:rsidR="007A4121">
        <w:rPr>
          <w:sz w:val="26"/>
          <w:szCs w:val="26"/>
        </w:rPr>
        <w:t>ed</w:t>
      </w:r>
      <w:r w:rsidR="00E6760A">
        <w:rPr>
          <w:sz w:val="26"/>
          <w:szCs w:val="26"/>
        </w:rPr>
        <w:t xml:space="preserve"> </w:t>
      </w:r>
      <w:r w:rsidR="007A4121">
        <w:rPr>
          <w:sz w:val="26"/>
          <w:szCs w:val="26"/>
        </w:rPr>
        <w:t>that</w:t>
      </w:r>
      <w:r w:rsidR="00E6760A">
        <w:rPr>
          <w:sz w:val="26"/>
          <w:szCs w:val="26"/>
        </w:rPr>
        <w:t xml:space="preserve"> </w:t>
      </w:r>
      <w:r w:rsidR="007A4121">
        <w:rPr>
          <w:sz w:val="26"/>
          <w:szCs w:val="26"/>
        </w:rPr>
        <w:t>the Complainant</w:t>
      </w:r>
      <w:r w:rsidR="00E6760A">
        <w:rPr>
          <w:sz w:val="26"/>
          <w:szCs w:val="26"/>
        </w:rPr>
        <w:t xml:space="preserve"> could purchase a gas detector for the service location if he was concerned with a gas leak occurring in the future.  </w:t>
      </w:r>
      <w:r w:rsidR="00572342">
        <w:rPr>
          <w:sz w:val="26"/>
          <w:szCs w:val="26"/>
        </w:rPr>
        <w:t>During this</w:t>
      </w:r>
      <w:r w:rsidR="007A4121">
        <w:rPr>
          <w:sz w:val="26"/>
          <w:szCs w:val="26"/>
        </w:rPr>
        <w:t xml:space="preserve"> May 24, 2016 telephone call</w:t>
      </w:r>
      <w:r w:rsidR="007603D5">
        <w:rPr>
          <w:sz w:val="26"/>
          <w:szCs w:val="26"/>
        </w:rPr>
        <w:t>,</w:t>
      </w:r>
      <w:r w:rsidR="007A4121">
        <w:rPr>
          <w:sz w:val="26"/>
          <w:szCs w:val="26"/>
        </w:rPr>
        <w:t xml:space="preserve"> </w:t>
      </w:r>
      <w:r w:rsidR="00AE2E06">
        <w:rPr>
          <w:sz w:val="26"/>
          <w:szCs w:val="26"/>
        </w:rPr>
        <w:t>NFGDC</w:t>
      </w:r>
      <w:r w:rsidR="00E6760A">
        <w:rPr>
          <w:sz w:val="26"/>
          <w:szCs w:val="26"/>
        </w:rPr>
        <w:t xml:space="preserve"> offered the Complainant a payment arrangement for the disputed bill</w:t>
      </w:r>
      <w:r w:rsidR="007A4121">
        <w:rPr>
          <w:sz w:val="26"/>
          <w:szCs w:val="26"/>
        </w:rPr>
        <w:t>.  A</w:t>
      </w:r>
      <w:r w:rsidR="00A05DBD">
        <w:rPr>
          <w:sz w:val="26"/>
          <w:szCs w:val="26"/>
        </w:rPr>
        <w:t>ccordingly</w:t>
      </w:r>
      <w:r w:rsidR="007A4121">
        <w:rPr>
          <w:sz w:val="26"/>
          <w:szCs w:val="26"/>
        </w:rPr>
        <w:t xml:space="preserve">, </w:t>
      </w:r>
      <w:r w:rsidR="00E10E50">
        <w:rPr>
          <w:sz w:val="26"/>
          <w:szCs w:val="26"/>
        </w:rPr>
        <w:t xml:space="preserve">NFGDC enrolled </w:t>
      </w:r>
      <w:r w:rsidR="007A4121">
        <w:rPr>
          <w:sz w:val="26"/>
          <w:szCs w:val="26"/>
        </w:rPr>
        <w:t xml:space="preserve">the Complainant </w:t>
      </w:r>
      <w:r w:rsidR="00572342">
        <w:rPr>
          <w:sz w:val="26"/>
          <w:szCs w:val="26"/>
        </w:rPr>
        <w:t xml:space="preserve">into </w:t>
      </w:r>
      <w:r w:rsidR="00AE2E06">
        <w:rPr>
          <w:sz w:val="26"/>
          <w:szCs w:val="26"/>
        </w:rPr>
        <w:t>NFGDC</w:t>
      </w:r>
      <w:r w:rsidR="00572342">
        <w:rPr>
          <w:sz w:val="26"/>
          <w:szCs w:val="26"/>
        </w:rPr>
        <w:t xml:space="preserve">’s Low-Income Residential Assistance (LIRA) </w:t>
      </w:r>
      <w:r w:rsidR="00EB5B12">
        <w:rPr>
          <w:sz w:val="26"/>
          <w:szCs w:val="26"/>
        </w:rPr>
        <w:t>Progr</w:t>
      </w:r>
      <w:r w:rsidR="00572342">
        <w:rPr>
          <w:sz w:val="26"/>
          <w:szCs w:val="26"/>
        </w:rPr>
        <w:t xml:space="preserve">am, in which </w:t>
      </w:r>
      <w:r w:rsidR="003A1EF6">
        <w:rPr>
          <w:sz w:val="26"/>
          <w:szCs w:val="26"/>
        </w:rPr>
        <w:t>the Complainant receives a discount based on his income.  I.D. at 4; Finding of Fact No. 14; Tr. at 61-62.</w:t>
      </w:r>
    </w:p>
    <w:p w14:paraId="1061E6E1" w14:textId="77777777" w:rsidR="00705EA0" w:rsidRDefault="00705EA0" w:rsidP="00917E49">
      <w:pPr>
        <w:ind w:firstLine="1440"/>
        <w:jc w:val="both"/>
        <w:rPr>
          <w:sz w:val="26"/>
          <w:szCs w:val="26"/>
        </w:rPr>
      </w:pPr>
    </w:p>
    <w:p w14:paraId="16E306EE" w14:textId="28D2A9DF" w:rsidR="00705EA0" w:rsidRDefault="00705EA0" w:rsidP="00F27014">
      <w:pPr>
        <w:ind w:firstLine="1440"/>
        <w:jc w:val="left"/>
        <w:rPr>
          <w:sz w:val="26"/>
          <w:szCs w:val="26"/>
        </w:rPr>
      </w:pPr>
      <w:r>
        <w:rPr>
          <w:sz w:val="26"/>
          <w:szCs w:val="26"/>
        </w:rPr>
        <w:t>As a result of the above referenced payment arrang</w:t>
      </w:r>
      <w:r w:rsidR="000F3EFD">
        <w:rPr>
          <w:sz w:val="26"/>
          <w:szCs w:val="26"/>
        </w:rPr>
        <w:t>ement that the Complainant</w:t>
      </w:r>
      <w:r>
        <w:rPr>
          <w:sz w:val="26"/>
          <w:szCs w:val="26"/>
        </w:rPr>
        <w:t xml:space="preserve"> entered into </w:t>
      </w:r>
      <w:r w:rsidR="000F3EFD">
        <w:rPr>
          <w:sz w:val="26"/>
          <w:szCs w:val="26"/>
        </w:rPr>
        <w:t xml:space="preserve">with </w:t>
      </w:r>
      <w:r w:rsidR="00AE2E06">
        <w:rPr>
          <w:sz w:val="26"/>
          <w:szCs w:val="26"/>
        </w:rPr>
        <w:t>NFGDC</w:t>
      </w:r>
      <w:r w:rsidR="000F3EFD">
        <w:rPr>
          <w:sz w:val="26"/>
          <w:szCs w:val="26"/>
        </w:rPr>
        <w:t xml:space="preserve">, as of the evidentiary hearing date of May 18, 2017, the </w:t>
      </w:r>
      <w:r w:rsidR="008D5A51">
        <w:rPr>
          <w:sz w:val="26"/>
          <w:szCs w:val="26"/>
        </w:rPr>
        <w:t>Complainant had</w:t>
      </w:r>
      <w:r w:rsidR="000F3EFD">
        <w:rPr>
          <w:sz w:val="26"/>
          <w:szCs w:val="26"/>
        </w:rPr>
        <w:t xml:space="preserve"> a credit balance of $116.  Tr. at 60; Respondent </w:t>
      </w:r>
      <w:proofErr w:type="spellStart"/>
      <w:r w:rsidR="000F3EFD">
        <w:rPr>
          <w:sz w:val="26"/>
          <w:szCs w:val="26"/>
        </w:rPr>
        <w:t>Exh</w:t>
      </w:r>
      <w:proofErr w:type="spellEnd"/>
      <w:r w:rsidR="000F3EFD">
        <w:rPr>
          <w:sz w:val="26"/>
          <w:szCs w:val="26"/>
        </w:rPr>
        <w:t>. 1.</w:t>
      </w:r>
    </w:p>
    <w:p w14:paraId="1E8D8CFD" w14:textId="77777777" w:rsidR="00001CD3" w:rsidRPr="00155364" w:rsidRDefault="00001CD3" w:rsidP="00155364">
      <w:pPr>
        <w:ind w:firstLine="0"/>
        <w:jc w:val="both"/>
        <w:rPr>
          <w:sz w:val="26"/>
          <w:szCs w:val="26"/>
        </w:rPr>
      </w:pPr>
    </w:p>
    <w:p w14:paraId="3766860D" w14:textId="77777777" w:rsidR="00001CD3" w:rsidRPr="004A44D1" w:rsidRDefault="00001CD3" w:rsidP="004A44D1">
      <w:pPr>
        <w:ind w:firstLine="0"/>
        <w:rPr>
          <w:b/>
          <w:sz w:val="26"/>
          <w:szCs w:val="26"/>
        </w:rPr>
      </w:pPr>
      <w:r w:rsidRPr="004A44D1">
        <w:rPr>
          <w:b/>
          <w:sz w:val="26"/>
          <w:szCs w:val="26"/>
        </w:rPr>
        <w:t>Discussion</w:t>
      </w:r>
    </w:p>
    <w:p w14:paraId="733166C7" w14:textId="77777777" w:rsidR="004A44D1" w:rsidRDefault="004A44D1" w:rsidP="004A44D1">
      <w:pPr>
        <w:ind w:firstLine="0"/>
        <w:jc w:val="left"/>
      </w:pPr>
    </w:p>
    <w:p w14:paraId="4940DA20" w14:textId="77777777" w:rsidR="004A44D1" w:rsidRDefault="004A44D1" w:rsidP="004A44D1">
      <w:pPr>
        <w:autoSpaceDE w:val="0"/>
        <w:autoSpaceDN w:val="0"/>
        <w:adjustRightInd w:val="0"/>
        <w:ind w:firstLine="0"/>
        <w:jc w:val="left"/>
        <w:rPr>
          <w:rFonts w:eastAsiaTheme="minorHAnsi"/>
          <w:b/>
          <w:color w:val="000000"/>
          <w:sz w:val="26"/>
          <w:szCs w:val="26"/>
        </w:rPr>
      </w:pPr>
      <w:r>
        <w:rPr>
          <w:rFonts w:eastAsiaTheme="minorHAnsi"/>
          <w:b/>
          <w:color w:val="000000"/>
          <w:sz w:val="26"/>
          <w:szCs w:val="26"/>
        </w:rPr>
        <w:t>Legal Standards</w:t>
      </w:r>
    </w:p>
    <w:p w14:paraId="57FCE4F3" w14:textId="77777777" w:rsidR="00B94E5C" w:rsidRDefault="00B94E5C" w:rsidP="004A44D1">
      <w:pPr>
        <w:autoSpaceDE w:val="0"/>
        <w:autoSpaceDN w:val="0"/>
        <w:adjustRightInd w:val="0"/>
        <w:ind w:firstLine="0"/>
        <w:jc w:val="left"/>
        <w:rPr>
          <w:rFonts w:eastAsiaTheme="minorHAnsi"/>
          <w:b/>
          <w:color w:val="000000"/>
          <w:sz w:val="26"/>
          <w:szCs w:val="26"/>
        </w:rPr>
      </w:pPr>
    </w:p>
    <w:p w14:paraId="1BE82AA0" w14:textId="278C54D9" w:rsidR="004B7217" w:rsidRDefault="004B7217" w:rsidP="004B7217">
      <w:pPr>
        <w:ind w:firstLine="1440"/>
        <w:jc w:val="left"/>
        <w:rPr>
          <w:rFonts w:ascii="Times New (W1)" w:hAnsi="Times New (W1)"/>
          <w:sz w:val="26"/>
          <w:szCs w:val="26"/>
        </w:rPr>
      </w:pPr>
      <w:r w:rsidRPr="0066037B">
        <w:rPr>
          <w:rFonts w:ascii="Times New (W1)" w:hAnsi="Times New (W1)"/>
          <w:sz w:val="26"/>
          <w:szCs w:val="26"/>
        </w:rPr>
        <w:t>As the proponent of a rule or order, the Complainant in this proceeding bear</w:t>
      </w:r>
      <w:r>
        <w:rPr>
          <w:rFonts w:ascii="Times New (W1)" w:hAnsi="Times New (W1)"/>
          <w:sz w:val="26"/>
          <w:szCs w:val="26"/>
        </w:rPr>
        <w:t>s</w:t>
      </w:r>
      <w:r w:rsidRPr="0066037B">
        <w:rPr>
          <w:rFonts w:ascii="Times New (W1)" w:hAnsi="Times New (W1)"/>
          <w:sz w:val="26"/>
          <w:szCs w:val="26"/>
        </w:rPr>
        <w:t xml:space="preserve"> the burden of proof pursuant to Section 332(a) of the Code.  66 </w:t>
      </w:r>
      <w:smartTag w:uri="urn:schemas-microsoft-com:office:smarttags" w:element="place">
        <w:smartTag w:uri="urn:schemas-microsoft-com:office:smarttags" w:element="State">
          <w:r w:rsidRPr="0066037B">
            <w:rPr>
              <w:rFonts w:ascii="Times New (W1)" w:hAnsi="Times New (W1)"/>
              <w:sz w:val="26"/>
              <w:szCs w:val="26"/>
            </w:rPr>
            <w:t>Pa.</w:t>
          </w:r>
        </w:smartTag>
      </w:smartTag>
      <w:r>
        <w:rPr>
          <w:rFonts w:ascii="Times New (W1)" w:hAnsi="Times New (W1)"/>
          <w:sz w:val="26"/>
          <w:szCs w:val="26"/>
        </w:rPr>
        <w:t xml:space="preserve"> C.S. § 332(a), </w:t>
      </w:r>
      <w:r>
        <w:rPr>
          <w:rFonts w:ascii="Times New (W1)" w:hAnsi="Times New (W1)"/>
          <w:sz w:val="26"/>
          <w:szCs w:val="26"/>
        </w:rPr>
        <w:lastRenderedPageBreak/>
        <w:t>which provides that the party seeking a rule or order from the Commission has the burden of proof in that proceeding.  It is axiomatic that “[a] litigant’s burden of proof before administrative tribunals as well as before most civil proceedings is satisfied by establishing a preponderance of evidence which is substantial and legally credible.”</w:t>
      </w:r>
      <w:r w:rsidRPr="0066037B">
        <w:rPr>
          <w:rFonts w:ascii="Times New (W1)" w:hAnsi="Times New (W1)"/>
          <w:sz w:val="26"/>
          <w:szCs w:val="26"/>
        </w:rPr>
        <w:t xml:space="preserve">  </w:t>
      </w:r>
      <w:r w:rsidRPr="0066037B">
        <w:rPr>
          <w:rFonts w:ascii="Times New (W1)" w:hAnsi="Times New (W1)"/>
          <w:i/>
          <w:iCs/>
          <w:sz w:val="26"/>
          <w:szCs w:val="26"/>
        </w:rPr>
        <w:t xml:space="preserve">Samuel J. </w:t>
      </w:r>
      <w:proofErr w:type="spellStart"/>
      <w:r w:rsidRPr="0066037B">
        <w:rPr>
          <w:rFonts w:ascii="Times New (W1)" w:hAnsi="Times New (W1)"/>
          <w:i/>
          <w:iCs/>
          <w:sz w:val="26"/>
          <w:szCs w:val="26"/>
        </w:rPr>
        <w:t>Lansberry</w:t>
      </w:r>
      <w:proofErr w:type="spellEnd"/>
      <w:r w:rsidRPr="0066037B">
        <w:rPr>
          <w:rFonts w:ascii="Times New (W1)" w:hAnsi="Times New (W1)"/>
          <w:i/>
          <w:iCs/>
          <w:sz w:val="26"/>
          <w:szCs w:val="26"/>
        </w:rPr>
        <w:t xml:space="preserve">, Inc. v. </w:t>
      </w:r>
      <w:r w:rsidR="000246BF">
        <w:rPr>
          <w:rFonts w:ascii="Times New (W1)" w:hAnsi="Times New (W1)"/>
          <w:i/>
          <w:iCs/>
          <w:sz w:val="26"/>
          <w:szCs w:val="26"/>
        </w:rPr>
        <w:t>Pa. PUC</w:t>
      </w:r>
      <w:r w:rsidRPr="0066037B">
        <w:rPr>
          <w:rFonts w:ascii="Times New (W1)" w:hAnsi="Times New (W1)"/>
          <w:sz w:val="26"/>
          <w:szCs w:val="26"/>
        </w:rPr>
        <w:t>, 578 A.2d 600</w:t>
      </w:r>
      <w:r>
        <w:rPr>
          <w:rFonts w:ascii="Times New (W1)" w:hAnsi="Times New (W1)"/>
          <w:sz w:val="26"/>
          <w:szCs w:val="26"/>
        </w:rPr>
        <w:t>, 602</w:t>
      </w:r>
      <w:r w:rsidRPr="0066037B">
        <w:rPr>
          <w:rFonts w:ascii="Times New (W1)" w:hAnsi="Times New (W1)"/>
          <w:sz w:val="26"/>
          <w:szCs w:val="26"/>
        </w:rPr>
        <w:t xml:space="preserve"> (Pa. </w:t>
      </w:r>
      <w:proofErr w:type="spellStart"/>
      <w:r w:rsidRPr="0066037B">
        <w:rPr>
          <w:rFonts w:ascii="Times New (W1)" w:hAnsi="Times New (W1)"/>
          <w:sz w:val="26"/>
          <w:szCs w:val="26"/>
        </w:rPr>
        <w:t>Cmwlth</w:t>
      </w:r>
      <w:proofErr w:type="spellEnd"/>
      <w:r w:rsidRPr="0066037B">
        <w:rPr>
          <w:rFonts w:ascii="Times New (W1)" w:hAnsi="Times New (W1)"/>
          <w:sz w:val="26"/>
          <w:szCs w:val="26"/>
        </w:rPr>
        <w:t>. 1990)</w:t>
      </w:r>
      <w:r w:rsidR="0040414E">
        <w:rPr>
          <w:rFonts w:ascii="Times New (W1)" w:hAnsi="Times New (W1)"/>
          <w:sz w:val="26"/>
          <w:szCs w:val="26"/>
        </w:rPr>
        <w:t xml:space="preserve">, </w:t>
      </w:r>
      <w:proofErr w:type="spellStart"/>
      <w:r w:rsidR="0040414E">
        <w:rPr>
          <w:rFonts w:ascii="Times New (W1)" w:hAnsi="Times New (W1)"/>
          <w:i/>
          <w:sz w:val="26"/>
          <w:szCs w:val="26"/>
        </w:rPr>
        <w:t>alloc</w:t>
      </w:r>
      <w:proofErr w:type="spellEnd"/>
      <w:r w:rsidR="0040414E">
        <w:rPr>
          <w:rFonts w:ascii="Times New (W1)" w:hAnsi="Times New (W1)"/>
          <w:i/>
          <w:sz w:val="26"/>
          <w:szCs w:val="26"/>
        </w:rPr>
        <w:t>. denied</w:t>
      </w:r>
      <w:r w:rsidR="0040414E">
        <w:rPr>
          <w:rFonts w:ascii="Times New (W1)" w:hAnsi="Times New (W1)"/>
          <w:sz w:val="26"/>
          <w:szCs w:val="26"/>
        </w:rPr>
        <w:t>, 529 Pa. 654, 602 A.2d 863 (1992)</w:t>
      </w:r>
      <w:r w:rsidRPr="0066037B">
        <w:rPr>
          <w:rFonts w:ascii="Times New (W1)" w:hAnsi="Times New (W1)"/>
          <w:sz w:val="26"/>
          <w:szCs w:val="26"/>
        </w:rPr>
        <w:t>.</w:t>
      </w:r>
    </w:p>
    <w:p w14:paraId="34B808A1" w14:textId="77777777" w:rsidR="004B7217" w:rsidRDefault="004B7217" w:rsidP="004B7217">
      <w:pPr>
        <w:ind w:firstLine="1440"/>
        <w:jc w:val="left"/>
        <w:rPr>
          <w:rFonts w:ascii="Times New (W1)" w:hAnsi="Times New (W1)"/>
          <w:sz w:val="26"/>
          <w:szCs w:val="26"/>
        </w:rPr>
      </w:pPr>
    </w:p>
    <w:p w14:paraId="132FCD6D" w14:textId="1831F203" w:rsidR="004B7217" w:rsidRDefault="004B7217" w:rsidP="004B7217">
      <w:pPr>
        <w:ind w:firstLine="1440"/>
        <w:jc w:val="left"/>
        <w:rPr>
          <w:rFonts w:ascii="Times New (W1)" w:hAnsi="Times New (W1)"/>
          <w:sz w:val="26"/>
          <w:szCs w:val="26"/>
        </w:rPr>
      </w:pPr>
      <w:r w:rsidRPr="006649E6">
        <w:rPr>
          <w:rFonts w:ascii="Times New (W1)" w:hAnsi="Times New (W1)"/>
          <w:sz w:val="26"/>
          <w:szCs w:val="26"/>
        </w:rPr>
        <w:t xml:space="preserve">“Burden of proof” means to establish a fact by a preponderance of the evidence, or evidence more convincing, by even the smallest degree, than the evidence presented by the other party.  </w:t>
      </w:r>
      <w:r w:rsidRPr="006649E6">
        <w:rPr>
          <w:rFonts w:ascii="Times New (W1)" w:hAnsi="Times New (W1)"/>
          <w:i/>
          <w:sz w:val="26"/>
          <w:szCs w:val="26"/>
        </w:rPr>
        <w:t xml:space="preserve">Se-Ling Hosiery v. Margulies, </w:t>
      </w:r>
      <w:r w:rsidR="001402EC" w:rsidRPr="006649E6">
        <w:rPr>
          <w:rFonts w:ascii="Times New (W1)" w:hAnsi="Times New (W1)"/>
          <w:sz w:val="26"/>
          <w:szCs w:val="26"/>
        </w:rPr>
        <w:t>364 Pa.</w:t>
      </w:r>
      <w:r w:rsidR="0040414E">
        <w:rPr>
          <w:rFonts w:ascii="Times New (W1)" w:hAnsi="Times New (W1)"/>
          <w:sz w:val="26"/>
          <w:szCs w:val="26"/>
        </w:rPr>
        <w:t xml:space="preserve"> </w:t>
      </w:r>
      <w:r w:rsidR="001402EC" w:rsidRPr="006649E6">
        <w:rPr>
          <w:rFonts w:ascii="Times New (W1)" w:hAnsi="Times New (W1)"/>
          <w:sz w:val="26"/>
          <w:szCs w:val="26"/>
        </w:rPr>
        <w:t>45,</w:t>
      </w:r>
      <w:r w:rsidR="0040414E">
        <w:rPr>
          <w:rFonts w:ascii="Times New (W1)" w:hAnsi="Times New (W1)"/>
          <w:sz w:val="26"/>
          <w:szCs w:val="26"/>
        </w:rPr>
        <w:t xml:space="preserve"> </w:t>
      </w:r>
      <w:r w:rsidR="001402EC" w:rsidRPr="006649E6">
        <w:rPr>
          <w:rFonts w:ascii="Times New (W1)" w:hAnsi="Times New (W1)"/>
          <w:sz w:val="26"/>
          <w:szCs w:val="26"/>
        </w:rPr>
        <w:t xml:space="preserve">70 A.2d 854 (1950).  In order to prevail in this proceeding, the Complainant has the burden of showing that </w:t>
      </w:r>
      <w:r w:rsidR="00AE2E06">
        <w:rPr>
          <w:rFonts w:ascii="Times New (W1)" w:hAnsi="Times New (W1)"/>
          <w:sz w:val="26"/>
          <w:szCs w:val="26"/>
        </w:rPr>
        <w:t>NFGDC</w:t>
      </w:r>
      <w:r w:rsidR="001402EC" w:rsidRPr="006649E6">
        <w:rPr>
          <w:rFonts w:ascii="Times New (W1)" w:hAnsi="Times New (W1)"/>
          <w:sz w:val="26"/>
          <w:szCs w:val="26"/>
        </w:rPr>
        <w:t xml:space="preserve"> is responsible or accountable for the problem described in the Complaint.  </w:t>
      </w:r>
      <w:r w:rsidR="001402EC" w:rsidRPr="006649E6">
        <w:rPr>
          <w:rFonts w:ascii="Times New (W1)" w:hAnsi="Times New (W1)"/>
          <w:i/>
          <w:sz w:val="26"/>
          <w:szCs w:val="26"/>
        </w:rPr>
        <w:t xml:space="preserve">Patterson v. Bell Telephone Company of Pennsylvania, </w:t>
      </w:r>
      <w:r w:rsidR="0040414E">
        <w:rPr>
          <w:rFonts w:ascii="Times New (W1)" w:hAnsi="Times New (W1)"/>
          <w:sz w:val="26"/>
          <w:szCs w:val="26"/>
        </w:rPr>
        <w:t>72 Pa. P.U.C. 196 (</w:t>
      </w:r>
      <w:r w:rsidR="001402EC" w:rsidRPr="006649E6">
        <w:rPr>
          <w:rFonts w:ascii="Times New (W1)" w:hAnsi="Times New (W1)"/>
          <w:sz w:val="26"/>
          <w:szCs w:val="26"/>
        </w:rPr>
        <w:t>1990).</w:t>
      </w:r>
    </w:p>
    <w:p w14:paraId="2BE88645" w14:textId="77777777" w:rsidR="007B34A4" w:rsidRDefault="007B34A4" w:rsidP="007B34A4">
      <w:pPr>
        <w:ind w:firstLine="1440"/>
        <w:jc w:val="left"/>
        <w:rPr>
          <w:rFonts w:ascii="Times New (W1)" w:hAnsi="Times New (W1)"/>
          <w:sz w:val="26"/>
          <w:szCs w:val="26"/>
        </w:rPr>
      </w:pPr>
    </w:p>
    <w:p w14:paraId="1273DD56" w14:textId="77777777" w:rsidR="007B34A4" w:rsidRPr="005E00AF" w:rsidRDefault="007B34A4" w:rsidP="007B34A4">
      <w:pPr>
        <w:ind w:firstLine="1440"/>
        <w:jc w:val="left"/>
        <w:rPr>
          <w:i/>
          <w:sz w:val="26"/>
          <w:szCs w:val="26"/>
        </w:rPr>
      </w:pPr>
      <w:r w:rsidRPr="005E00AF">
        <w:rPr>
          <w:sz w:val="26"/>
          <w:szCs w:val="26"/>
        </w:rPr>
        <w:t xml:space="preserve">Upon the presentation by the Complainant of evidence sufficient to initially satisfy the burden of proof, the burden of going forward with the evidence to rebut the evidence of the Complainant shifts to </w:t>
      </w:r>
      <w:r>
        <w:rPr>
          <w:sz w:val="26"/>
          <w:szCs w:val="26"/>
        </w:rPr>
        <w:t>NFGDC</w:t>
      </w:r>
      <w:r w:rsidRPr="005E00AF">
        <w:rPr>
          <w:sz w:val="26"/>
          <w:szCs w:val="26"/>
        </w:rPr>
        <w:t xml:space="preserve">.  If the evidence presented by </w:t>
      </w:r>
      <w:r>
        <w:rPr>
          <w:sz w:val="26"/>
          <w:szCs w:val="26"/>
        </w:rPr>
        <w:t>NFGDC</w:t>
      </w:r>
      <w:r w:rsidRPr="005E00AF">
        <w:rPr>
          <w:sz w:val="26"/>
          <w:szCs w:val="26"/>
        </w:rPr>
        <w:t xml:space="preserve"> is of co-equal value or “weight,” the burden of proof has not been satisfied.  The Complainant now has to provide some additional evidence to rebut that of </w:t>
      </w:r>
      <w:r>
        <w:rPr>
          <w:sz w:val="26"/>
          <w:szCs w:val="26"/>
        </w:rPr>
        <w:t>NFGDC</w:t>
      </w:r>
      <w:r w:rsidRPr="005E00AF">
        <w:rPr>
          <w:sz w:val="26"/>
          <w:szCs w:val="26"/>
        </w:rPr>
        <w:t xml:space="preserve">. </w:t>
      </w:r>
      <w:r w:rsidRPr="005E00AF">
        <w:rPr>
          <w:iCs/>
          <w:sz w:val="26"/>
          <w:szCs w:val="26"/>
        </w:rPr>
        <w:t xml:space="preserve"> </w:t>
      </w:r>
      <w:r w:rsidRPr="005E00AF">
        <w:rPr>
          <w:i/>
          <w:iCs/>
          <w:sz w:val="26"/>
          <w:szCs w:val="26"/>
        </w:rPr>
        <w:t>Burleson v. Pa. PUC,</w:t>
      </w:r>
      <w:r w:rsidRPr="005E00AF">
        <w:rPr>
          <w:iCs/>
          <w:sz w:val="26"/>
          <w:szCs w:val="26"/>
        </w:rPr>
        <w:t xml:space="preserve"> 443 A.2d 1373 (Pa. </w:t>
      </w:r>
      <w:proofErr w:type="spellStart"/>
      <w:r w:rsidRPr="005E00AF">
        <w:rPr>
          <w:iCs/>
          <w:sz w:val="26"/>
          <w:szCs w:val="26"/>
        </w:rPr>
        <w:t>Cmwlth</w:t>
      </w:r>
      <w:proofErr w:type="spellEnd"/>
      <w:r w:rsidRPr="005E00AF">
        <w:rPr>
          <w:iCs/>
          <w:sz w:val="26"/>
          <w:szCs w:val="26"/>
        </w:rPr>
        <w:t xml:space="preserve">. 1982), </w:t>
      </w:r>
      <w:r w:rsidRPr="005E00AF">
        <w:rPr>
          <w:i/>
          <w:iCs/>
          <w:sz w:val="26"/>
          <w:szCs w:val="26"/>
        </w:rPr>
        <w:t>aff’d,</w:t>
      </w:r>
      <w:r w:rsidRPr="005E00AF">
        <w:rPr>
          <w:iCs/>
          <w:sz w:val="26"/>
          <w:szCs w:val="26"/>
        </w:rPr>
        <w:t xml:space="preserve"> 501 Pa. 433, 461 A.2d 1234 (1983).</w:t>
      </w:r>
    </w:p>
    <w:p w14:paraId="29B12954" w14:textId="77777777" w:rsidR="00C10A53" w:rsidRDefault="00C10A53" w:rsidP="004B7217">
      <w:pPr>
        <w:ind w:firstLine="1440"/>
        <w:jc w:val="left"/>
        <w:rPr>
          <w:rFonts w:ascii="Times New (W1)" w:hAnsi="Times New (W1)"/>
          <w:sz w:val="26"/>
          <w:szCs w:val="26"/>
        </w:rPr>
      </w:pPr>
    </w:p>
    <w:p w14:paraId="0C8B41E1" w14:textId="77777777" w:rsidR="00C10A53" w:rsidRDefault="00C10A53" w:rsidP="004B7217">
      <w:pPr>
        <w:ind w:firstLine="1440"/>
        <w:jc w:val="left"/>
        <w:rPr>
          <w:rFonts w:ascii="Times New (W1)" w:hAnsi="Times New (W1)"/>
          <w:sz w:val="26"/>
          <w:szCs w:val="26"/>
        </w:rPr>
      </w:pPr>
      <w:r>
        <w:rPr>
          <w:rFonts w:ascii="Times New (W1)" w:hAnsi="Times New (W1)"/>
          <w:sz w:val="26"/>
          <w:szCs w:val="26"/>
        </w:rPr>
        <w:t xml:space="preserve">While the burden of persuasion may shift back and forth during a proceeding, the burden of proof always remains on the party seeking affirmative relief from the Commission.  </w:t>
      </w:r>
      <w:proofErr w:type="spellStart"/>
      <w:r>
        <w:rPr>
          <w:rFonts w:ascii="Times New (W1)" w:hAnsi="Times New (W1)"/>
          <w:i/>
          <w:sz w:val="26"/>
          <w:szCs w:val="26"/>
        </w:rPr>
        <w:t>Milkie</w:t>
      </w:r>
      <w:proofErr w:type="spellEnd"/>
      <w:r>
        <w:rPr>
          <w:rFonts w:ascii="Times New (W1)" w:hAnsi="Times New (W1)"/>
          <w:i/>
          <w:sz w:val="26"/>
          <w:szCs w:val="26"/>
        </w:rPr>
        <w:t xml:space="preserve"> v. Pa. PUC, </w:t>
      </w:r>
      <w:r>
        <w:rPr>
          <w:rFonts w:ascii="Times New (W1)" w:hAnsi="Times New (W1)"/>
          <w:sz w:val="26"/>
          <w:szCs w:val="26"/>
        </w:rPr>
        <w:t xml:space="preserve">768 A.2d 1217 (Pa. </w:t>
      </w:r>
      <w:proofErr w:type="spellStart"/>
      <w:r>
        <w:rPr>
          <w:rFonts w:ascii="Times New (W1)" w:hAnsi="Times New (W1)"/>
          <w:sz w:val="26"/>
          <w:szCs w:val="26"/>
        </w:rPr>
        <w:t>Cmwlth</w:t>
      </w:r>
      <w:proofErr w:type="spellEnd"/>
      <w:r>
        <w:rPr>
          <w:rFonts w:ascii="Times New (W1)" w:hAnsi="Times New (W1)"/>
          <w:sz w:val="26"/>
          <w:szCs w:val="26"/>
        </w:rPr>
        <w:t>. 2001).</w:t>
      </w:r>
    </w:p>
    <w:p w14:paraId="556B0E5B" w14:textId="77777777" w:rsidR="0040414E" w:rsidRPr="00C10A53" w:rsidRDefault="0040414E" w:rsidP="004B7217">
      <w:pPr>
        <w:ind w:firstLine="1440"/>
        <w:jc w:val="left"/>
        <w:rPr>
          <w:rFonts w:ascii="Times New (W1)" w:hAnsi="Times New (W1)"/>
          <w:sz w:val="26"/>
          <w:szCs w:val="26"/>
        </w:rPr>
      </w:pPr>
    </w:p>
    <w:p w14:paraId="0712AD0D" w14:textId="77777777" w:rsidR="0027544D" w:rsidRPr="0027544D" w:rsidRDefault="0027544D" w:rsidP="0027544D">
      <w:pPr>
        <w:ind w:firstLine="0"/>
        <w:jc w:val="left"/>
        <w:rPr>
          <w:rFonts w:eastAsia="Times New Roman"/>
          <w:sz w:val="26"/>
          <w:szCs w:val="26"/>
        </w:rPr>
      </w:pPr>
      <w:r>
        <w:rPr>
          <w:rFonts w:eastAsia="Times New Roman"/>
          <w:sz w:val="26"/>
          <w:szCs w:val="26"/>
        </w:rPr>
        <w:tab/>
      </w:r>
      <w:r>
        <w:rPr>
          <w:rFonts w:eastAsia="Times New Roman"/>
          <w:sz w:val="26"/>
          <w:szCs w:val="26"/>
        </w:rPr>
        <w:tab/>
      </w:r>
      <w:r w:rsidRPr="0027544D">
        <w:rPr>
          <w:rFonts w:eastAsia="Times New Roman"/>
          <w:sz w:val="26"/>
          <w:szCs w:val="26"/>
        </w:rPr>
        <w:t xml:space="preserve">The burden of proof for “high bill” complaints has been explained in </w:t>
      </w:r>
      <w:hyperlink r:id="rId8" w:history="1">
        <w:r w:rsidRPr="0027544D">
          <w:rPr>
            <w:rFonts w:eastAsia="Times New Roman"/>
            <w:bCs/>
            <w:i/>
            <w:iCs/>
            <w:sz w:val="26"/>
            <w:szCs w:val="26"/>
          </w:rPr>
          <w:t>Waldron</w:t>
        </w:r>
        <w:r w:rsidRPr="0027544D">
          <w:rPr>
            <w:rFonts w:eastAsia="Times New Roman"/>
            <w:i/>
            <w:iCs/>
            <w:sz w:val="26"/>
            <w:szCs w:val="26"/>
          </w:rPr>
          <w:t xml:space="preserve"> v. Philadelphia Electric Company,</w:t>
        </w:r>
        <w:r w:rsidRPr="0027544D">
          <w:rPr>
            <w:rFonts w:eastAsia="Times New Roman"/>
            <w:sz w:val="26"/>
            <w:szCs w:val="26"/>
          </w:rPr>
          <w:t xml:space="preserve"> 54 Pa. P.U.C. 98 (1980)</w:t>
        </w:r>
      </w:hyperlink>
      <w:r w:rsidR="00B250B9">
        <w:rPr>
          <w:rFonts w:eastAsia="Times New Roman"/>
          <w:sz w:val="26"/>
          <w:szCs w:val="26"/>
        </w:rPr>
        <w:t xml:space="preserve"> (</w:t>
      </w:r>
      <w:r w:rsidR="00B250B9">
        <w:rPr>
          <w:rFonts w:eastAsia="Times New Roman"/>
          <w:i/>
          <w:sz w:val="26"/>
          <w:szCs w:val="26"/>
        </w:rPr>
        <w:t>Waldron</w:t>
      </w:r>
      <w:r w:rsidR="00B250B9">
        <w:rPr>
          <w:rFonts w:eastAsia="Times New Roman"/>
          <w:sz w:val="26"/>
          <w:szCs w:val="26"/>
        </w:rPr>
        <w:t>)</w:t>
      </w:r>
      <w:r w:rsidRPr="0027544D">
        <w:rPr>
          <w:rFonts w:eastAsia="Times New Roman"/>
          <w:sz w:val="26"/>
          <w:szCs w:val="26"/>
        </w:rPr>
        <w:t xml:space="preserve">, and its </w:t>
      </w:r>
      <w:r w:rsidRPr="0027544D">
        <w:rPr>
          <w:rFonts w:eastAsia="Times New Roman"/>
          <w:sz w:val="26"/>
          <w:szCs w:val="26"/>
        </w:rPr>
        <w:lastRenderedPageBreak/>
        <w:t xml:space="preserve">progeny. </w:t>
      </w:r>
      <w:r w:rsidR="00B250B9">
        <w:rPr>
          <w:rFonts w:eastAsia="Times New Roman"/>
          <w:sz w:val="26"/>
          <w:szCs w:val="26"/>
        </w:rPr>
        <w:t xml:space="preserve"> </w:t>
      </w:r>
      <w:r w:rsidRPr="0027544D">
        <w:rPr>
          <w:rFonts w:eastAsia="Times New Roman"/>
          <w:sz w:val="26"/>
          <w:szCs w:val="26"/>
        </w:rPr>
        <w:t xml:space="preserve">In </w:t>
      </w:r>
      <w:r w:rsidRPr="0027544D">
        <w:rPr>
          <w:rFonts w:eastAsia="Times New Roman"/>
          <w:bCs/>
          <w:i/>
          <w:iCs/>
          <w:sz w:val="26"/>
          <w:szCs w:val="26"/>
        </w:rPr>
        <w:t>Waldron</w:t>
      </w:r>
      <w:r w:rsidRPr="0027544D">
        <w:rPr>
          <w:rFonts w:eastAsia="Times New Roman"/>
          <w:sz w:val="26"/>
          <w:szCs w:val="26"/>
        </w:rPr>
        <w:t xml:space="preserve">, we stated that while the accuracy of the meter is an important factor in resolving billing disputes, it is not the sole criterion.  </w:t>
      </w:r>
      <w:r w:rsidR="00837378">
        <w:rPr>
          <w:rFonts w:eastAsia="Times New Roman"/>
          <w:sz w:val="26"/>
          <w:szCs w:val="26"/>
        </w:rPr>
        <w:t xml:space="preserve">We indicated that we would also consider </w:t>
      </w:r>
      <w:r w:rsidRPr="0027544D">
        <w:rPr>
          <w:rFonts w:eastAsia="Times New Roman"/>
          <w:sz w:val="26"/>
          <w:szCs w:val="26"/>
        </w:rPr>
        <w:t xml:space="preserve">the following factors: the billing history of the complainant; any change in the number of occupants residing at the household; the potential for energy utilization; and any other relevant facts or circumstances that are brought to light during the complaint proceeding. </w:t>
      </w:r>
      <w:r w:rsidRPr="0027544D">
        <w:rPr>
          <w:rFonts w:eastAsia="Times New Roman"/>
          <w:bCs/>
          <w:i/>
          <w:iCs/>
          <w:sz w:val="26"/>
          <w:szCs w:val="26"/>
        </w:rPr>
        <w:t>Waldron</w:t>
      </w:r>
      <w:r w:rsidRPr="0027544D">
        <w:rPr>
          <w:rFonts w:eastAsia="Times New Roman"/>
          <w:sz w:val="26"/>
          <w:szCs w:val="26"/>
        </w:rPr>
        <w:t xml:space="preserve"> at 100.</w:t>
      </w:r>
    </w:p>
    <w:p w14:paraId="72858617" w14:textId="77777777" w:rsidR="0027544D" w:rsidRPr="0027544D" w:rsidRDefault="0027544D" w:rsidP="0027544D">
      <w:pPr>
        <w:ind w:firstLine="0"/>
        <w:jc w:val="left"/>
        <w:rPr>
          <w:rFonts w:eastAsia="Times New Roman"/>
          <w:sz w:val="26"/>
          <w:szCs w:val="26"/>
        </w:rPr>
      </w:pPr>
    </w:p>
    <w:p w14:paraId="07760D4E" w14:textId="77777777" w:rsidR="0027544D" w:rsidRPr="0027544D" w:rsidRDefault="0027544D" w:rsidP="0027544D">
      <w:pPr>
        <w:ind w:firstLine="0"/>
        <w:jc w:val="left"/>
        <w:rPr>
          <w:rFonts w:eastAsia="Times New Roman"/>
          <w:sz w:val="26"/>
          <w:szCs w:val="26"/>
        </w:rPr>
      </w:pPr>
      <w:r w:rsidRPr="0027544D">
        <w:rPr>
          <w:rFonts w:eastAsia="Times New Roman"/>
          <w:sz w:val="26"/>
          <w:szCs w:val="26"/>
        </w:rPr>
        <w:tab/>
      </w:r>
      <w:r w:rsidRPr="0027544D">
        <w:rPr>
          <w:rFonts w:eastAsia="Times New Roman"/>
          <w:sz w:val="26"/>
          <w:szCs w:val="26"/>
        </w:rPr>
        <w:tab/>
      </w:r>
      <w:r w:rsidR="00837378">
        <w:rPr>
          <w:rFonts w:eastAsia="Times New Roman"/>
          <w:sz w:val="26"/>
          <w:szCs w:val="26"/>
        </w:rPr>
        <w:t>We</w:t>
      </w:r>
      <w:r w:rsidRPr="0027544D">
        <w:rPr>
          <w:rFonts w:eastAsia="Times New Roman"/>
          <w:sz w:val="26"/>
          <w:szCs w:val="26"/>
        </w:rPr>
        <w:t xml:space="preserve"> explained the burden of proof set forth in </w:t>
      </w:r>
      <w:r w:rsidRPr="0027544D">
        <w:rPr>
          <w:rFonts w:eastAsia="Times New Roman"/>
          <w:bCs/>
          <w:i/>
          <w:iCs/>
          <w:sz w:val="26"/>
          <w:szCs w:val="26"/>
        </w:rPr>
        <w:t>Waldron</w:t>
      </w:r>
      <w:r w:rsidRPr="0027544D">
        <w:rPr>
          <w:rFonts w:eastAsia="Times New Roman"/>
          <w:sz w:val="26"/>
          <w:szCs w:val="26"/>
        </w:rPr>
        <w:t xml:space="preserve"> as follows:</w:t>
      </w:r>
    </w:p>
    <w:p w14:paraId="56E92102" w14:textId="77777777" w:rsidR="0027544D" w:rsidRPr="0027544D" w:rsidRDefault="0027544D" w:rsidP="0027544D">
      <w:pPr>
        <w:ind w:firstLine="0"/>
        <w:jc w:val="left"/>
        <w:rPr>
          <w:rFonts w:eastAsia="Times New Roman"/>
          <w:sz w:val="26"/>
          <w:szCs w:val="26"/>
        </w:rPr>
      </w:pPr>
    </w:p>
    <w:p w14:paraId="48A421FE" w14:textId="1175E717" w:rsidR="0027544D" w:rsidRDefault="0027544D" w:rsidP="0027544D">
      <w:pPr>
        <w:spacing w:line="240" w:lineRule="auto"/>
        <w:ind w:left="1440" w:right="1440" w:firstLine="0"/>
        <w:jc w:val="left"/>
        <w:rPr>
          <w:rFonts w:eastAsia="Times New Roman"/>
          <w:sz w:val="26"/>
          <w:szCs w:val="26"/>
        </w:rPr>
      </w:pPr>
      <w:r w:rsidRPr="0027544D">
        <w:rPr>
          <w:rFonts w:eastAsia="Times New Roman"/>
          <w:sz w:val="26"/>
          <w:szCs w:val="26"/>
        </w:rPr>
        <w:t xml:space="preserve">[T]he </w:t>
      </w:r>
      <w:r w:rsidRPr="0027544D">
        <w:rPr>
          <w:rFonts w:eastAsia="Times New Roman"/>
          <w:bCs/>
          <w:i/>
          <w:iCs/>
          <w:sz w:val="26"/>
          <w:szCs w:val="26"/>
        </w:rPr>
        <w:t>Waldron</w:t>
      </w:r>
      <w:r w:rsidRPr="0027544D">
        <w:rPr>
          <w:rFonts w:eastAsia="Times New Roman"/>
          <w:sz w:val="26"/>
          <w:szCs w:val="26"/>
        </w:rPr>
        <w:t xml:space="preserve"> Rule allows a complainant to establish a </w:t>
      </w:r>
      <w:r w:rsidRPr="0027544D">
        <w:rPr>
          <w:rFonts w:eastAsia="Times New Roman"/>
          <w:i/>
          <w:iCs/>
          <w:sz w:val="26"/>
          <w:szCs w:val="26"/>
        </w:rPr>
        <w:t>prima facie</w:t>
      </w:r>
      <w:r w:rsidRPr="0027544D">
        <w:rPr>
          <w:rFonts w:eastAsia="Times New Roman"/>
          <w:sz w:val="26"/>
          <w:szCs w:val="26"/>
        </w:rPr>
        <w:t xml:space="preserve"> case in a “high bill” complaint by showing that the disputed bill is abnormally high when compared to prior usage patterns and his or her pattern of usage has not changed </w:t>
      </w:r>
      <w:r w:rsidRPr="0027544D">
        <w:rPr>
          <w:rFonts w:eastAsia="Times New Roman"/>
          <w:i/>
          <w:iCs/>
          <w:sz w:val="26"/>
          <w:szCs w:val="26"/>
        </w:rPr>
        <w:t>or by providing other relevant evidence showing that the disputed bill is unreasonably high</w:t>
      </w:r>
      <w:r w:rsidRPr="0027544D">
        <w:rPr>
          <w:rFonts w:eastAsia="Times New Roman"/>
          <w:sz w:val="26"/>
          <w:szCs w:val="26"/>
        </w:rPr>
        <w:t xml:space="preserve">.  In evaluating a “high bill” complaint, the Commission may consider such evidence as “the billing history of the account, any change in usage patterns (such as a change in the number of occupants residing in the household or potential energy utilization), </w:t>
      </w:r>
      <w:r w:rsidRPr="0027544D">
        <w:rPr>
          <w:rFonts w:eastAsia="Times New Roman"/>
          <w:i/>
          <w:iCs/>
          <w:sz w:val="26"/>
          <w:szCs w:val="26"/>
        </w:rPr>
        <w:t>and any other relevant facts or circumstances that come to light during the proceeding</w:t>
      </w:r>
      <w:r w:rsidRPr="0027544D">
        <w:rPr>
          <w:rFonts w:eastAsia="Times New Roman"/>
          <w:sz w:val="26"/>
          <w:szCs w:val="26"/>
        </w:rPr>
        <w:t>.”</w:t>
      </w:r>
    </w:p>
    <w:p w14:paraId="732F1061" w14:textId="0C22E2B9" w:rsidR="0004268A" w:rsidRDefault="0004268A" w:rsidP="0027544D">
      <w:pPr>
        <w:spacing w:line="240" w:lineRule="auto"/>
        <w:ind w:left="1440" w:right="1440" w:firstLine="0"/>
        <w:jc w:val="left"/>
        <w:rPr>
          <w:rFonts w:eastAsia="Times New Roman"/>
          <w:sz w:val="26"/>
          <w:szCs w:val="26"/>
        </w:rPr>
      </w:pPr>
    </w:p>
    <w:p w14:paraId="316080B1" w14:textId="77777777" w:rsidR="0004268A" w:rsidRPr="0027544D" w:rsidRDefault="0004268A" w:rsidP="0027544D">
      <w:pPr>
        <w:spacing w:line="240" w:lineRule="auto"/>
        <w:ind w:left="1440" w:right="1440" w:firstLine="0"/>
        <w:jc w:val="left"/>
        <w:rPr>
          <w:rFonts w:eastAsia="Times New Roman"/>
          <w:sz w:val="26"/>
          <w:szCs w:val="26"/>
        </w:rPr>
      </w:pPr>
    </w:p>
    <w:p w14:paraId="5F5ED704" w14:textId="35947F5D" w:rsidR="0027544D" w:rsidRPr="0027544D" w:rsidRDefault="0027544D" w:rsidP="0027544D">
      <w:pPr>
        <w:ind w:firstLine="0"/>
        <w:jc w:val="left"/>
        <w:rPr>
          <w:rFonts w:eastAsia="Times New Roman"/>
          <w:sz w:val="26"/>
          <w:szCs w:val="26"/>
        </w:rPr>
      </w:pPr>
      <w:r w:rsidRPr="0027544D">
        <w:rPr>
          <w:rFonts w:eastAsia="Times New Roman"/>
          <w:i/>
          <w:iCs/>
          <w:sz w:val="26"/>
          <w:szCs w:val="26"/>
        </w:rPr>
        <w:t>Thomas v. PECO Energy Company,</w:t>
      </w:r>
      <w:r w:rsidRPr="0027544D">
        <w:rPr>
          <w:rFonts w:eastAsia="Times New Roman"/>
          <w:sz w:val="26"/>
          <w:szCs w:val="26"/>
        </w:rPr>
        <w:t xml:space="preserve"> Docket No. C-2010-2187197 (Order entered November 15, 2011) at 5 (quoting </w:t>
      </w:r>
      <w:r w:rsidRPr="0027544D">
        <w:rPr>
          <w:rFonts w:eastAsia="Times New Roman"/>
          <w:i/>
          <w:iCs/>
          <w:sz w:val="26"/>
          <w:szCs w:val="26"/>
        </w:rPr>
        <w:t>Bennett v. The Peoples Natural Gas Company,</w:t>
      </w:r>
      <w:r w:rsidRPr="0027544D">
        <w:rPr>
          <w:rFonts w:eastAsia="Times New Roman"/>
          <w:sz w:val="26"/>
          <w:szCs w:val="26"/>
        </w:rPr>
        <w:t xml:space="preserve"> Docket No. C-2009-2122979 (Order entered October 13, 2010)) (emphasis in original).</w:t>
      </w:r>
    </w:p>
    <w:p w14:paraId="546BA12C" w14:textId="77777777" w:rsidR="004B7217" w:rsidRDefault="004B7217" w:rsidP="004B7217">
      <w:pPr>
        <w:ind w:firstLine="1440"/>
        <w:jc w:val="left"/>
        <w:rPr>
          <w:rFonts w:ascii="Times New (W1)" w:hAnsi="Times New (W1)"/>
          <w:sz w:val="26"/>
        </w:rPr>
      </w:pPr>
    </w:p>
    <w:p w14:paraId="40130454" w14:textId="3B972FFC" w:rsidR="002252FF" w:rsidRDefault="00D71357" w:rsidP="00D71357">
      <w:pPr>
        <w:ind w:firstLine="1440"/>
        <w:jc w:val="left"/>
        <w:rPr>
          <w:rFonts w:ascii="Times New (W1)" w:hAnsi="Times New (W1)"/>
          <w:sz w:val="26"/>
          <w:szCs w:val="26"/>
        </w:rPr>
      </w:pPr>
      <w:r>
        <w:rPr>
          <w:rFonts w:ascii="Times New (W1)" w:hAnsi="Times New (W1)"/>
          <w:sz w:val="26"/>
          <w:szCs w:val="26"/>
        </w:rPr>
        <w:t xml:space="preserve">Additionally, Section 1501 of the Code requires that every public utility “furnish and maintain adequate, efficient, safe, and reasonable service and facilities and to make all such repairs, changes, alterations, substitutions, extensions and improvements in or to such service and facilities as shall be necessary or proper for the accommodation, convenience and safety of its patrons, employees and the public.” </w:t>
      </w:r>
      <w:r w:rsidR="0040414E">
        <w:rPr>
          <w:rFonts w:ascii="Times New (W1)" w:hAnsi="Times New (W1)"/>
          <w:sz w:val="26"/>
          <w:szCs w:val="26"/>
        </w:rPr>
        <w:t xml:space="preserve"> </w:t>
      </w:r>
      <w:r>
        <w:rPr>
          <w:rFonts w:ascii="Times New (W1)" w:hAnsi="Times New (W1)"/>
          <w:sz w:val="26"/>
          <w:szCs w:val="26"/>
        </w:rPr>
        <w:t xml:space="preserve">66 Pa. C.S </w:t>
      </w:r>
      <w:r>
        <w:rPr>
          <w:sz w:val="26"/>
          <w:szCs w:val="26"/>
        </w:rPr>
        <w:t>§</w:t>
      </w:r>
      <w:r>
        <w:rPr>
          <w:rFonts w:ascii="Times New (W1)" w:hAnsi="Times New (W1)"/>
          <w:sz w:val="26"/>
          <w:szCs w:val="26"/>
        </w:rPr>
        <w:t xml:space="preserve"> 1501.</w:t>
      </w:r>
    </w:p>
    <w:p w14:paraId="3499E135" w14:textId="77777777" w:rsidR="002252FF" w:rsidRDefault="002252FF" w:rsidP="00D71357">
      <w:pPr>
        <w:ind w:firstLine="1440"/>
        <w:jc w:val="left"/>
        <w:rPr>
          <w:rFonts w:ascii="Times New (W1)" w:hAnsi="Times New (W1)"/>
          <w:sz w:val="26"/>
          <w:szCs w:val="26"/>
        </w:rPr>
      </w:pPr>
    </w:p>
    <w:p w14:paraId="0E618E2A" w14:textId="11605453" w:rsidR="00D71357" w:rsidRPr="002252FF" w:rsidRDefault="00843E64" w:rsidP="00D71357">
      <w:pPr>
        <w:ind w:firstLine="1440"/>
        <w:jc w:val="left"/>
        <w:rPr>
          <w:rFonts w:ascii="Times New (W1)" w:hAnsi="Times New (W1)"/>
          <w:sz w:val="26"/>
          <w:szCs w:val="26"/>
        </w:rPr>
      </w:pPr>
      <w:r>
        <w:rPr>
          <w:rFonts w:ascii="Times New (W1)" w:hAnsi="Times New (W1)"/>
          <w:sz w:val="26"/>
          <w:szCs w:val="26"/>
        </w:rPr>
        <w:lastRenderedPageBreak/>
        <w:t xml:space="preserve">However, as a general proposition, neither the Commission’s Regulations nor the Code require public utilities to provide constantly flawless service.  </w:t>
      </w:r>
      <w:r>
        <w:rPr>
          <w:rFonts w:ascii="Times New (W1)" w:hAnsi="Times New (W1)"/>
          <w:i/>
          <w:sz w:val="26"/>
          <w:szCs w:val="26"/>
        </w:rPr>
        <w:t xml:space="preserve">Bennett v. UGI Central Penn Gas, Inc., </w:t>
      </w:r>
      <w:r>
        <w:rPr>
          <w:rFonts w:ascii="Times New (W1)" w:hAnsi="Times New (W1)"/>
          <w:sz w:val="26"/>
          <w:szCs w:val="26"/>
        </w:rPr>
        <w:t>Docket No. F-2013-2396611 (</w:t>
      </w:r>
      <w:r w:rsidR="0040414E">
        <w:rPr>
          <w:rFonts w:ascii="Times New (W1)" w:hAnsi="Times New (W1)"/>
          <w:sz w:val="26"/>
          <w:szCs w:val="26"/>
        </w:rPr>
        <w:t>Initial Decision issued April</w:t>
      </w:r>
      <w:r w:rsidR="00974B4E">
        <w:t> </w:t>
      </w:r>
      <w:r w:rsidR="0040414E">
        <w:rPr>
          <w:rFonts w:ascii="Times New (W1)" w:hAnsi="Times New (W1)"/>
          <w:sz w:val="26"/>
          <w:szCs w:val="26"/>
        </w:rPr>
        <w:t xml:space="preserve">22, 2014; </w:t>
      </w:r>
      <w:r w:rsidR="000D2DC4">
        <w:rPr>
          <w:rFonts w:ascii="Times New (W1)" w:hAnsi="Times New (W1)"/>
          <w:sz w:val="26"/>
          <w:szCs w:val="26"/>
        </w:rPr>
        <w:t xml:space="preserve">Final Order entered </w:t>
      </w:r>
      <w:r w:rsidR="0040414E">
        <w:rPr>
          <w:rFonts w:ascii="Times New (W1)" w:hAnsi="Times New (W1)"/>
          <w:sz w:val="26"/>
          <w:szCs w:val="26"/>
        </w:rPr>
        <w:t>May 29</w:t>
      </w:r>
      <w:r w:rsidR="000D2DC4">
        <w:rPr>
          <w:rFonts w:ascii="Times New (W1)" w:hAnsi="Times New (W1)"/>
          <w:sz w:val="26"/>
          <w:szCs w:val="26"/>
        </w:rPr>
        <w:t>, 2014).</w:t>
      </w:r>
      <w:r w:rsidR="002252FF">
        <w:rPr>
          <w:rFonts w:ascii="Times New (W1)" w:hAnsi="Times New (W1)"/>
          <w:sz w:val="26"/>
          <w:szCs w:val="26"/>
        </w:rPr>
        <w:t xml:space="preserve">  </w:t>
      </w:r>
      <w:r w:rsidR="0040414E">
        <w:rPr>
          <w:rFonts w:ascii="Times New (W1)" w:hAnsi="Times New (W1)"/>
          <w:sz w:val="26"/>
          <w:szCs w:val="26"/>
        </w:rPr>
        <w:t>We affirmed t</w:t>
      </w:r>
      <w:r w:rsidR="002252FF">
        <w:rPr>
          <w:rFonts w:ascii="Times New (W1)" w:hAnsi="Times New (W1)"/>
          <w:sz w:val="26"/>
          <w:szCs w:val="26"/>
        </w:rPr>
        <w:t xml:space="preserve">he same principle in </w:t>
      </w:r>
      <w:r w:rsidR="002252FF">
        <w:rPr>
          <w:rFonts w:ascii="Times New (W1)" w:hAnsi="Times New (W1)"/>
          <w:i/>
          <w:sz w:val="26"/>
          <w:szCs w:val="26"/>
        </w:rPr>
        <w:t xml:space="preserve">Emerald Art Glass v. Duquesne Light Co., </w:t>
      </w:r>
      <w:r w:rsidR="0040414E">
        <w:rPr>
          <w:rFonts w:ascii="Times New (W1)" w:hAnsi="Times New (W1)"/>
          <w:sz w:val="26"/>
          <w:szCs w:val="26"/>
        </w:rPr>
        <w:t>finding</w:t>
      </w:r>
      <w:r w:rsidR="002252FF">
        <w:rPr>
          <w:rFonts w:ascii="Times New (W1)" w:hAnsi="Times New (W1)"/>
          <w:sz w:val="26"/>
          <w:szCs w:val="26"/>
        </w:rPr>
        <w:t xml:space="preserve"> that Section 1501 of the Code does not translate into a duty to provide perfect service.  Docket No. C-00015494 (Order entered </w:t>
      </w:r>
      <w:r w:rsidR="0040414E">
        <w:rPr>
          <w:rFonts w:ascii="Times New (W1)" w:hAnsi="Times New (W1)"/>
          <w:sz w:val="26"/>
          <w:szCs w:val="26"/>
        </w:rPr>
        <w:t>June 14, 2002</w:t>
      </w:r>
      <w:r w:rsidR="002252FF">
        <w:rPr>
          <w:rFonts w:ascii="Times New (W1)" w:hAnsi="Times New (W1)"/>
          <w:sz w:val="26"/>
          <w:szCs w:val="26"/>
        </w:rPr>
        <w:t>).</w:t>
      </w:r>
    </w:p>
    <w:p w14:paraId="4F97A7EA" w14:textId="77777777" w:rsidR="004A44D1" w:rsidRDefault="004A44D1" w:rsidP="00784492">
      <w:pPr>
        <w:autoSpaceDE w:val="0"/>
        <w:autoSpaceDN w:val="0"/>
        <w:adjustRightInd w:val="0"/>
        <w:ind w:firstLine="0"/>
        <w:jc w:val="left"/>
        <w:rPr>
          <w:rStyle w:val="Hyperlink"/>
          <w:color w:val="000000"/>
          <w:sz w:val="26"/>
          <w:szCs w:val="26"/>
        </w:rPr>
      </w:pPr>
    </w:p>
    <w:p w14:paraId="0811A0DD" w14:textId="77777777" w:rsidR="004A44D1" w:rsidRPr="00D64605" w:rsidRDefault="004A44D1" w:rsidP="004A44D1">
      <w:pPr>
        <w:keepNext/>
        <w:ind w:firstLine="0"/>
        <w:jc w:val="left"/>
        <w:rPr>
          <w:b/>
          <w:color w:val="000000"/>
          <w:sz w:val="26"/>
          <w:szCs w:val="26"/>
        </w:rPr>
      </w:pPr>
      <w:r>
        <w:rPr>
          <w:b/>
          <w:color w:val="000000"/>
          <w:sz w:val="26"/>
          <w:szCs w:val="26"/>
        </w:rPr>
        <w:t>ALJ</w:t>
      </w:r>
      <w:r w:rsidRPr="00D64605">
        <w:rPr>
          <w:b/>
          <w:color w:val="000000"/>
          <w:sz w:val="26"/>
          <w:szCs w:val="26"/>
        </w:rPr>
        <w:t>’s Initial Decision</w:t>
      </w:r>
    </w:p>
    <w:p w14:paraId="2755047F" w14:textId="77777777" w:rsidR="004A44D1" w:rsidRPr="00D64605" w:rsidRDefault="004A44D1" w:rsidP="004A44D1">
      <w:pPr>
        <w:keepNext/>
        <w:ind w:firstLine="1440"/>
        <w:jc w:val="left"/>
        <w:rPr>
          <w:rStyle w:val="Hyperlink"/>
          <w:color w:val="000000"/>
          <w:sz w:val="26"/>
          <w:szCs w:val="26"/>
        </w:rPr>
      </w:pPr>
    </w:p>
    <w:p w14:paraId="039A372F" w14:textId="77777777" w:rsidR="00A61546" w:rsidRDefault="00D2044A" w:rsidP="00B53CCA">
      <w:pPr>
        <w:autoSpaceDE w:val="0"/>
        <w:autoSpaceDN w:val="0"/>
        <w:adjustRightInd w:val="0"/>
        <w:ind w:firstLine="1440"/>
        <w:jc w:val="left"/>
        <w:rPr>
          <w:sz w:val="26"/>
          <w:szCs w:val="26"/>
        </w:rPr>
      </w:pPr>
      <w:r>
        <w:rPr>
          <w:sz w:val="26"/>
          <w:szCs w:val="26"/>
        </w:rPr>
        <w:t>ALJ Watson made fourteen</w:t>
      </w:r>
      <w:r w:rsidR="00A61546">
        <w:rPr>
          <w:sz w:val="26"/>
          <w:szCs w:val="26"/>
        </w:rPr>
        <w:t xml:space="preserve"> </w:t>
      </w:r>
      <w:r>
        <w:rPr>
          <w:sz w:val="26"/>
          <w:szCs w:val="26"/>
        </w:rPr>
        <w:t>Findings of Fact and reached thirteen</w:t>
      </w:r>
      <w:r w:rsidR="00A61546">
        <w:rPr>
          <w:sz w:val="26"/>
          <w:szCs w:val="26"/>
        </w:rPr>
        <w:t xml:space="preserve"> Conclusions of Law.  I.D. at 3</w:t>
      </w:r>
      <w:r w:rsidR="004543AC">
        <w:rPr>
          <w:sz w:val="26"/>
          <w:szCs w:val="26"/>
        </w:rPr>
        <w:t>-4, 12-13</w:t>
      </w:r>
      <w:r w:rsidR="00A61546">
        <w:rPr>
          <w:sz w:val="26"/>
          <w:szCs w:val="26"/>
        </w:rPr>
        <w:t xml:space="preserve">.  </w:t>
      </w:r>
      <w:r w:rsidR="00A61546" w:rsidRPr="00081322">
        <w:rPr>
          <w:sz w:val="26"/>
          <w:szCs w:val="26"/>
        </w:rPr>
        <w:t>The Findings of Fact and Conclusions of Law are incorporated herein by reference and are adopted without comment unless they are either expressly or by necessary implication rejected or modified by this Opinion and Order</w:t>
      </w:r>
      <w:r w:rsidR="00202599">
        <w:rPr>
          <w:sz w:val="26"/>
          <w:szCs w:val="26"/>
        </w:rPr>
        <w:t>.</w:t>
      </w:r>
    </w:p>
    <w:p w14:paraId="4E43BEA5" w14:textId="77777777" w:rsidR="00202599" w:rsidRDefault="00202599" w:rsidP="00B53CCA">
      <w:pPr>
        <w:autoSpaceDE w:val="0"/>
        <w:autoSpaceDN w:val="0"/>
        <w:adjustRightInd w:val="0"/>
        <w:ind w:firstLine="1440"/>
        <w:jc w:val="left"/>
        <w:rPr>
          <w:sz w:val="26"/>
          <w:szCs w:val="26"/>
        </w:rPr>
      </w:pPr>
    </w:p>
    <w:p w14:paraId="17F59F1A" w14:textId="70355807" w:rsidR="007E448F" w:rsidRDefault="007E448F" w:rsidP="00B53CCA">
      <w:pPr>
        <w:autoSpaceDE w:val="0"/>
        <w:autoSpaceDN w:val="0"/>
        <w:adjustRightInd w:val="0"/>
        <w:ind w:firstLine="1440"/>
        <w:jc w:val="left"/>
        <w:rPr>
          <w:sz w:val="26"/>
          <w:szCs w:val="26"/>
        </w:rPr>
      </w:pPr>
      <w:r>
        <w:rPr>
          <w:sz w:val="26"/>
          <w:szCs w:val="26"/>
        </w:rPr>
        <w:t xml:space="preserve">The ALJ first addressed the Complainant’s claim that </w:t>
      </w:r>
      <w:r w:rsidR="00AE2E06">
        <w:rPr>
          <w:sz w:val="26"/>
          <w:szCs w:val="26"/>
        </w:rPr>
        <w:t>NFGDC</w:t>
      </w:r>
      <w:r>
        <w:rPr>
          <w:sz w:val="26"/>
          <w:szCs w:val="26"/>
        </w:rPr>
        <w:t xml:space="preserve"> failed to provide safe, adequate and reasonable service to the service location.</w:t>
      </w:r>
      <w:r w:rsidR="007C5499">
        <w:rPr>
          <w:sz w:val="26"/>
          <w:szCs w:val="26"/>
        </w:rPr>
        <w:t xml:space="preserve">  The ALJ found that the Complainant failed to meet his burden </w:t>
      </w:r>
      <w:r w:rsidR="002D6DA3">
        <w:rPr>
          <w:sz w:val="26"/>
          <w:szCs w:val="26"/>
        </w:rPr>
        <w:t>of proof regarding this claim, noting that the Complainant’s evidence does not establish that the Company did anything that could be characterized as unreasonable service at any time relevant to this proceeding.  I.D at 8.</w:t>
      </w:r>
    </w:p>
    <w:p w14:paraId="44E57625" w14:textId="77777777" w:rsidR="003C3B50" w:rsidRDefault="003C3B50" w:rsidP="00B53CCA">
      <w:pPr>
        <w:autoSpaceDE w:val="0"/>
        <w:autoSpaceDN w:val="0"/>
        <w:adjustRightInd w:val="0"/>
        <w:ind w:firstLine="1440"/>
        <w:jc w:val="left"/>
        <w:rPr>
          <w:sz w:val="26"/>
          <w:szCs w:val="26"/>
        </w:rPr>
      </w:pPr>
    </w:p>
    <w:p w14:paraId="31F25125" w14:textId="55E8DC7F" w:rsidR="002D6DA3" w:rsidRDefault="00792E6A" w:rsidP="00B53CCA">
      <w:pPr>
        <w:autoSpaceDE w:val="0"/>
        <w:autoSpaceDN w:val="0"/>
        <w:adjustRightInd w:val="0"/>
        <w:ind w:firstLine="1440"/>
        <w:jc w:val="left"/>
        <w:rPr>
          <w:sz w:val="26"/>
          <w:szCs w:val="26"/>
        </w:rPr>
      </w:pPr>
      <w:r>
        <w:rPr>
          <w:sz w:val="26"/>
          <w:szCs w:val="26"/>
        </w:rPr>
        <w:t xml:space="preserve">The ALJ’s reasoning concerning this finding was based on three </w:t>
      </w:r>
      <w:r w:rsidR="00D17C2D">
        <w:rPr>
          <w:sz w:val="26"/>
          <w:szCs w:val="26"/>
        </w:rPr>
        <w:t>Conclusions of Law</w:t>
      </w:r>
      <w:r>
        <w:rPr>
          <w:sz w:val="26"/>
          <w:szCs w:val="26"/>
        </w:rPr>
        <w:t>: (1) a public utility does not provide inadequate or unreasonable service merely because it failed to anticipate unforeseen or unusual circumstances;</w:t>
      </w:r>
      <w:r>
        <w:rPr>
          <w:rStyle w:val="FootnoteReference"/>
          <w:sz w:val="26"/>
          <w:szCs w:val="26"/>
        </w:rPr>
        <w:footnoteReference w:id="4"/>
      </w:r>
      <w:r w:rsidR="00D674DA">
        <w:rPr>
          <w:sz w:val="26"/>
          <w:szCs w:val="26"/>
        </w:rPr>
        <w:t xml:space="preserve"> (2)</w:t>
      </w:r>
      <w:r w:rsidR="00AE2E06">
        <w:rPr>
          <w:sz w:val="26"/>
          <w:szCs w:val="26"/>
        </w:rPr>
        <w:t> NFGDC</w:t>
      </w:r>
      <w:r w:rsidR="00D674DA">
        <w:rPr>
          <w:sz w:val="26"/>
          <w:szCs w:val="26"/>
        </w:rPr>
        <w:t xml:space="preserve"> has no</w:t>
      </w:r>
      <w:r>
        <w:rPr>
          <w:sz w:val="26"/>
          <w:szCs w:val="26"/>
        </w:rPr>
        <w:t xml:space="preserve"> duty to inspect a Complainant’s internal service line and the </w:t>
      </w:r>
      <w:r>
        <w:rPr>
          <w:sz w:val="26"/>
          <w:szCs w:val="26"/>
        </w:rPr>
        <w:lastRenderedPageBreak/>
        <w:t>Complainant is responsible for any leaks located on the customer side of the gas meter;</w:t>
      </w:r>
      <w:r w:rsidR="003213FC">
        <w:rPr>
          <w:rStyle w:val="FootnoteReference"/>
          <w:sz w:val="26"/>
          <w:szCs w:val="26"/>
        </w:rPr>
        <w:footnoteReference w:id="5"/>
      </w:r>
      <w:r>
        <w:rPr>
          <w:sz w:val="26"/>
          <w:szCs w:val="26"/>
        </w:rPr>
        <w:t xml:space="preserve"> and (3) at all times relating to the Complaint, </w:t>
      </w:r>
      <w:r w:rsidR="00AE2E06">
        <w:rPr>
          <w:sz w:val="26"/>
          <w:szCs w:val="26"/>
        </w:rPr>
        <w:t>NFGDC</w:t>
      </w:r>
      <w:r>
        <w:rPr>
          <w:sz w:val="26"/>
          <w:szCs w:val="26"/>
        </w:rPr>
        <w:t xml:space="preserve"> provided reasonable, safe, efficient and adequate service to the Complainant.</w:t>
      </w:r>
      <w:r w:rsidR="000275E7">
        <w:rPr>
          <w:rStyle w:val="FootnoteReference"/>
          <w:sz w:val="26"/>
          <w:szCs w:val="26"/>
        </w:rPr>
        <w:footnoteReference w:id="6"/>
      </w:r>
    </w:p>
    <w:p w14:paraId="381FBAE7" w14:textId="77777777" w:rsidR="002D6DA3" w:rsidRDefault="002D6DA3" w:rsidP="00B53CCA">
      <w:pPr>
        <w:autoSpaceDE w:val="0"/>
        <w:autoSpaceDN w:val="0"/>
        <w:adjustRightInd w:val="0"/>
        <w:ind w:firstLine="1440"/>
        <w:jc w:val="left"/>
        <w:rPr>
          <w:sz w:val="26"/>
          <w:szCs w:val="26"/>
        </w:rPr>
      </w:pPr>
    </w:p>
    <w:p w14:paraId="34520E2E" w14:textId="101B4F1E" w:rsidR="0049549E" w:rsidRDefault="00840AEB" w:rsidP="00B53CCA">
      <w:pPr>
        <w:autoSpaceDE w:val="0"/>
        <w:autoSpaceDN w:val="0"/>
        <w:adjustRightInd w:val="0"/>
        <w:ind w:firstLine="1440"/>
        <w:jc w:val="left"/>
        <w:rPr>
          <w:sz w:val="26"/>
          <w:szCs w:val="26"/>
        </w:rPr>
      </w:pPr>
      <w:r>
        <w:rPr>
          <w:sz w:val="26"/>
          <w:szCs w:val="26"/>
        </w:rPr>
        <w:t>Conclusion of Law No. 11</w:t>
      </w:r>
      <w:r w:rsidR="0049549E">
        <w:rPr>
          <w:sz w:val="26"/>
          <w:szCs w:val="26"/>
        </w:rPr>
        <w:t xml:space="preserve">, </w:t>
      </w:r>
      <w:r w:rsidR="000845C0">
        <w:rPr>
          <w:sz w:val="26"/>
          <w:szCs w:val="26"/>
        </w:rPr>
        <w:t>was</w:t>
      </w:r>
      <w:r>
        <w:rPr>
          <w:sz w:val="26"/>
          <w:szCs w:val="26"/>
        </w:rPr>
        <w:t xml:space="preserve"> reached by the ALJ</w:t>
      </w:r>
      <w:r w:rsidR="000845C0">
        <w:rPr>
          <w:sz w:val="26"/>
          <w:szCs w:val="26"/>
        </w:rPr>
        <w:t xml:space="preserve"> in response to </w:t>
      </w:r>
      <w:r w:rsidR="0049549E">
        <w:rPr>
          <w:sz w:val="26"/>
          <w:szCs w:val="26"/>
        </w:rPr>
        <w:t>the Complainant’s assertion</w:t>
      </w:r>
      <w:r w:rsidR="000845C0">
        <w:rPr>
          <w:sz w:val="26"/>
          <w:szCs w:val="26"/>
        </w:rPr>
        <w:t xml:space="preserve">s that: (1) </w:t>
      </w:r>
      <w:r w:rsidR="00AE2E06">
        <w:rPr>
          <w:sz w:val="26"/>
          <w:szCs w:val="26"/>
        </w:rPr>
        <w:t>NFGDC</w:t>
      </w:r>
      <w:r w:rsidR="000845C0">
        <w:rPr>
          <w:sz w:val="26"/>
          <w:szCs w:val="26"/>
        </w:rPr>
        <w:t xml:space="preserve"> should have informed him immediately when there was an increase in gas usage at the service location</w:t>
      </w:r>
      <w:r w:rsidR="00D674DA">
        <w:rPr>
          <w:sz w:val="26"/>
          <w:szCs w:val="26"/>
        </w:rPr>
        <w:t xml:space="preserve">; (2) </w:t>
      </w:r>
      <w:r w:rsidR="00AE2E06">
        <w:rPr>
          <w:sz w:val="26"/>
          <w:szCs w:val="26"/>
        </w:rPr>
        <w:t>NFGDC</w:t>
      </w:r>
      <w:r w:rsidR="00D674DA">
        <w:rPr>
          <w:sz w:val="26"/>
          <w:szCs w:val="26"/>
        </w:rPr>
        <w:t xml:space="preserve"> “should have known” to investigate his home (even before there was any indication of a gas leak at the service location)</w:t>
      </w:r>
      <w:r w:rsidR="00055A4E">
        <w:rPr>
          <w:sz w:val="26"/>
          <w:szCs w:val="26"/>
        </w:rPr>
        <w:t>;</w:t>
      </w:r>
      <w:r w:rsidR="005F4030">
        <w:rPr>
          <w:rStyle w:val="FootnoteReference"/>
          <w:sz w:val="26"/>
          <w:szCs w:val="26"/>
        </w:rPr>
        <w:footnoteReference w:id="7"/>
      </w:r>
      <w:r w:rsidR="00D674DA">
        <w:rPr>
          <w:sz w:val="26"/>
          <w:szCs w:val="26"/>
        </w:rPr>
        <w:t xml:space="preserve"> and (3)</w:t>
      </w:r>
      <w:r w:rsidR="005F4030">
        <w:rPr>
          <w:sz w:val="26"/>
          <w:szCs w:val="26"/>
        </w:rPr>
        <w:t xml:space="preserve"> </w:t>
      </w:r>
      <w:r w:rsidR="00AE2E06">
        <w:rPr>
          <w:sz w:val="26"/>
          <w:szCs w:val="26"/>
        </w:rPr>
        <w:t>NFGDC</w:t>
      </w:r>
      <w:r w:rsidR="005F4030">
        <w:rPr>
          <w:sz w:val="26"/>
          <w:szCs w:val="26"/>
        </w:rPr>
        <w:t xml:space="preserve"> should have sent emergency medical personnel to the service location in addition to the service representative.  I.D at 9.</w:t>
      </w:r>
    </w:p>
    <w:p w14:paraId="4AF6C185" w14:textId="77777777" w:rsidR="00236FC7" w:rsidRDefault="00236FC7" w:rsidP="00B53CCA">
      <w:pPr>
        <w:autoSpaceDE w:val="0"/>
        <w:autoSpaceDN w:val="0"/>
        <w:adjustRightInd w:val="0"/>
        <w:ind w:firstLine="1440"/>
        <w:jc w:val="left"/>
        <w:rPr>
          <w:sz w:val="26"/>
          <w:szCs w:val="26"/>
        </w:rPr>
      </w:pPr>
    </w:p>
    <w:p w14:paraId="776AD7BD" w14:textId="631259E7" w:rsidR="00236FC7" w:rsidRDefault="00D90A05" w:rsidP="00B53CCA">
      <w:pPr>
        <w:autoSpaceDE w:val="0"/>
        <w:autoSpaceDN w:val="0"/>
        <w:adjustRightInd w:val="0"/>
        <w:ind w:firstLine="1440"/>
        <w:jc w:val="left"/>
        <w:rPr>
          <w:sz w:val="26"/>
          <w:szCs w:val="26"/>
        </w:rPr>
      </w:pPr>
      <w:r>
        <w:rPr>
          <w:sz w:val="26"/>
          <w:szCs w:val="26"/>
        </w:rPr>
        <w:t xml:space="preserve">The ALJ found no basis in any of these claims, pointing to the testimony supplied by </w:t>
      </w:r>
      <w:r w:rsidR="00AE2E06">
        <w:rPr>
          <w:sz w:val="26"/>
          <w:szCs w:val="26"/>
        </w:rPr>
        <w:t>NFGDC</w:t>
      </w:r>
      <w:r>
        <w:rPr>
          <w:sz w:val="26"/>
          <w:szCs w:val="26"/>
        </w:rPr>
        <w:t xml:space="preserve">’s witness, Tim </w:t>
      </w:r>
      <w:proofErr w:type="spellStart"/>
      <w:r>
        <w:rPr>
          <w:sz w:val="26"/>
          <w:szCs w:val="26"/>
        </w:rPr>
        <w:t>DeSanto</w:t>
      </w:r>
      <w:proofErr w:type="spellEnd"/>
      <w:r>
        <w:rPr>
          <w:sz w:val="26"/>
          <w:szCs w:val="26"/>
        </w:rPr>
        <w:t xml:space="preserve">, during the hearing, which indicated that the meter reading underlying the disputed bill was within the normal range.  I.D. at 9.  Mr. </w:t>
      </w:r>
      <w:proofErr w:type="spellStart"/>
      <w:r>
        <w:rPr>
          <w:sz w:val="26"/>
          <w:szCs w:val="26"/>
        </w:rPr>
        <w:t>De</w:t>
      </w:r>
      <w:r w:rsidR="008B44B2">
        <w:rPr>
          <w:sz w:val="26"/>
          <w:szCs w:val="26"/>
        </w:rPr>
        <w:t>S</w:t>
      </w:r>
      <w:r>
        <w:rPr>
          <w:sz w:val="26"/>
          <w:szCs w:val="26"/>
        </w:rPr>
        <w:t>anto</w:t>
      </w:r>
      <w:proofErr w:type="spellEnd"/>
      <w:r>
        <w:rPr>
          <w:sz w:val="26"/>
          <w:szCs w:val="26"/>
        </w:rPr>
        <w:t xml:space="preserve"> further testified</w:t>
      </w:r>
      <w:r w:rsidR="003F00A6">
        <w:rPr>
          <w:sz w:val="26"/>
          <w:szCs w:val="26"/>
        </w:rPr>
        <w:t xml:space="preserve"> that </w:t>
      </w:r>
      <w:r w:rsidR="00A9079B">
        <w:rPr>
          <w:sz w:val="26"/>
          <w:szCs w:val="26"/>
        </w:rPr>
        <w:t>according to NFGDC’s tariff,</w:t>
      </w:r>
      <w:r>
        <w:rPr>
          <w:sz w:val="26"/>
          <w:szCs w:val="26"/>
        </w:rPr>
        <w:t xml:space="preserve"> </w:t>
      </w:r>
      <w:r w:rsidR="003F00A6">
        <w:rPr>
          <w:sz w:val="26"/>
          <w:szCs w:val="26"/>
        </w:rPr>
        <w:t xml:space="preserve">NFGDC </w:t>
      </w:r>
      <w:r>
        <w:rPr>
          <w:sz w:val="26"/>
          <w:szCs w:val="26"/>
        </w:rPr>
        <w:t>was under no obligation or duty to inspect the Complainant’s personal gas line in his home prior to a leak being discovered</w:t>
      </w:r>
      <w:r w:rsidR="00A9079B">
        <w:rPr>
          <w:sz w:val="26"/>
          <w:szCs w:val="26"/>
        </w:rPr>
        <w:t xml:space="preserve">.  I.D at 10; Tr. at 78; Respondent </w:t>
      </w:r>
      <w:proofErr w:type="spellStart"/>
      <w:r w:rsidR="00A9079B">
        <w:rPr>
          <w:sz w:val="26"/>
          <w:szCs w:val="26"/>
        </w:rPr>
        <w:t>Exh</w:t>
      </w:r>
      <w:proofErr w:type="spellEnd"/>
      <w:r w:rsidR="00A9079B">
        <w:rPr>
          <w:sz w:val="26"/>
          <w:szCs w:val="26"/>
        </w:rPr>
        <w:t>. 6.</w:t>
      </w:r>
      <w:r w:rsidR="00931126">
        <w:rPr>
          <w:sz w:val="26"/>
          <w:szCs w:val="26"/>
        </w:rPr>
        <w:t xml:space="preserve">  Additionally, the ALJ found that no evidence was presented as to why emergency medical personnel should have been sent to </w:t>
      </w:r>
      <w:r w:rsidR="007603D5">
        <w:rPr>
          <w:sz w:val="26"/>
          <w:szCs w:val="26"/>
        </w:rPr>
        <w:t xml:space="preserve">the </w:t>
      </w:r>
      <w:r w:rsidR="00931126">
        <w:rPr>
          <w:sz w:val="26"/>
          <w:szCs w:val="26"/>
        </w:rPr>
        <w:t>Complainant’s home at the same time the service representative was dispatched to investigate a possible leak at the service location.  I.D. at 9.</w:t>
      </w:r>
    </w:p>
    <w:p w14:paraId="58E3785A" w14:textId="77777777" w:rsidR="00840AEB" w:rsidRDefault="00840AEB" w:rsidP="00B53CCA">
      <w:pPr>
        <w:autoSpaceDE w:val="0"/>
        <w:autoSpaceDN w:val="0"/>
        <w:adjustRightInd w:val="0"/>
        <w:ind w:firstLine="1440"/>
        <w:jc w:val="left"/>
        <w:rPr>
          <w:sz w:val="26"/>
          <w:szCs w:val="26"/>
        </w:rPr>
      </w:pPr>
    </w:p>
    <w:p w14:paraId="298CF6EE" w14:textId="4DAE8B48" w:rsidR="00840AEB" w:rsidRDefault="0035730E" w:rsidP="00B53CCA">
      <w:pPr>
        <w:autoSpaceDE w:val="0"/>
        <w:autoSpaceDN w:val="0"/>
        <w:adjustRightInd w:val="0"/>
        <w:ind w:firstLine="1440"/>
        <w:jc w:val="left"/>
        <w:rPr>
          <w:sz w:val="26"/>
          <w:szCs w:val="26"/>
        </w:rPr>
      </w:pPr>
      <w:r>
        <w:rPr>
          <w:sz w:val="26"/>
          <w:szCs w:val="26"/>
        </w:rPr>
        <w:t xml:space="preserve">Conclusion of Law No. 12, was reached by the ALJ in response to the Complainant’s assertions that </w:t>
      </w:r>
      <w:r w:rsidR="00AE2E06">
        <w:rPr>
          <w:sz w:val="26"/>
          <w:szCs w:val="26"/>
        </w:rPr>
        <w:t>NFGDC</w:t>
      </w:r>
      <w:r>
        <w:rPr>
          <w:sz w:val="26"/>
          <w:szCs w:val="26"/>
        </w:rPr>
        <w:t xml:space="preserve"> should have inspected the Complainant’s personal gas lines at his service location when he bought house.  Tr. at 42.  </w:t>
      </w:r>
      <w:r w:rsidR="005E3D21">
        <w:rPr>
          <w:sz w:val="26"/>
          <w:szCs w:val="26"/>
        </w:rPr>
        <w:t xml:space="preserve">Additionally, the </w:t>
      </w:r>
      <w:r w:rsidR="005E3D21">
        <w:rPr>
          <w:sz w:val="26"/>
          <w:szCs w:val="26"/>
        </w:rPr>
        <w:lastRenderedPageBreak/>
        <w:t xml:space="preserve">Complainant asserts that </w:t>
      </w:r>
      <w:r w:rsidR="00AE2E06">
        <w:rPr>
          <w:sz w:val="26"/>
          <w:szCs w:val="26"/>
        </w:rPr>
        <w:t>NFGDC</w:t>
      </w:r>
      <w:r w:rsidR="005E3D21">
        <w:rPr>
          <w:sz w:val="26"/>
          <w:szCs w:val="26"/>
        </w:rPr>
        <w:t xml:space="preserve"> should conduct regular “sniffer” and visual inspections.  Complainant M.B. at 2.</w:t>
      </w:r>
    </w:p>
    <w:p w14:paraId="1FE9C0F6" w14:textId="77777777" w:rsidR="0079203B" w:rsidRDefault="0079203B" w:rsidP="00B53CCA">
      <w:pPr>
        <w:autoSpaceDE w:val="0"/>
        <w:autoSpaceDN w:val="0"/>
        <w:adjustRightInd w:val="0"/>
        <w:ind w:firstLine="1440"/>
        <w:jc w:val="left"/>
        <w:rPr>
          <w:sz w:val="26"/>
          <w:szCs w:val="26"/>
        </w:rPr>
      </w:pPr>
    </w:p>
    <w:p w14:paraId="659C4F31" w14:textId="6600FF26" w:rsidR="0079203B" w:rsidRDefault="0079203B" w:rsidP="00B53CCA">
      <w:pPr>
        <w:autoSpaceDE w:val="0"/>
        <w:autoSpaceDN w:val="0"/>
        <w:adjustRightInd w:val="0"/>
        <w:ind w:firstLine="1440"/>
        <w:jc w:val="left"/>
        <w:rPr>
          <w:sz w:val="26"/>
          <w:szCs w:val="26"/>
        </w:rPr>
      </w:pPr>
      <w:r>
        <w:rPr>
          <w:sz w:val="26"/>
          <w:szCs w:val="26"/>
        </w:rPr>
        <w:t xml:space="preserve">The ALJ found no basis for the Complainant’s assertion, noting again Mr. </w:t>
      </w:r>
      <w:proofErr w:type="spellStart"/>
      <w:r>
        <w:rPr>
          <w:sz w:val="26"/>
          <w:szCs w:val="26"/>
        </w:rPr>
        <w:t>DeSanto’s</w:t>
      </w:r>
      <w:proofErr w:type="spellEnd"/>
      <w:r>
        <w:rPr>
          <w:sz w:val="26"/>
          <w:szCs w:val="26"/>
        </w:rPr>
        <w:t xml:space="preserve"> testimony, in which he discussed </w:t>
      </w:r>
      <w:r w:rsidR="00AE2E06">
        <w:rPr>
          <w:sz w:val="26"/>
          <w:szCs w:val="26"/>
        </w:rPr>
        <w:t>NFGDC</w:t>
      </w:r>
      <w:r>
        <w:rPr>
          <w:sz w:val="26"/>
          <w:szCs w:val="26"/>
        </w:rPr>
        <w:t xml:space="preserve">’s tariff </w:t>
      </w:r>
      <w:r w:rsidR="009160AE">
        <w:rPr>
          <w:sz w:val="26"/>
          <w:szCs w:val="26"/>
        </w:rPr>
        <w:t xml:space="preserve">that states in pertinent </w:t>
      </w:r>
      <w:r>
        <w:rPr>
          <w:sz w:val="26"/>
          <w:szCs w:val="26"/>
        </w:rPr>
        <w:t xml:space="preserve">part </w:t>
      </w:r>
      <w:r w:rsidR="009160AE">
        <w:rPr>
          <w:sz w:val="26"/>
          <w:szCs w:val="26"/>
        </w:rPr>
        <w:t>that</w:t>
      </w:r>
      <w:r>
        <w:rPr>
          <w:sz w:val="26"/>
          <w:szCs w:val="26"/>
        </w:rPr>
        <w:t xml:space="preserve"> “[t]he responsibility for detecting leaks or defects in piping between the Company’s service connection and the point of consumption shall be upon the customer.  The customer shall give immediate notice to the Company of inadequate, irregular or failing gas supply, leakage, abnormally high or low pressures, or any dangerous conditions.”</w:t>
      </w:r>
      <w:r w:rsidR="00F1588E">
        <w:rPr>
          <w:sz w:val="26"/>
          <w:szCs w:val="26"/>
        </w:rPr>
        <w:t xml:space="preserve">  Respondent </w:t>
      </w:r>
      <w:proofErr w:type="spellStart"/>
      <w:r w:rsidR="00F1588E">
        <w:rPr>
          <w:sz w:val="26"/>
          <w:szCs w:val="26"/>
        </w:rPr>
        <w:t>Exh</w:t>
      </w:r>
      <w:proofErr w:type="spellEnd"/>
      <w:r w:rsidR="00F1588E">
        <w:rPr>
          <w:sz w:val="26"/>
          <w:szCs w:val="26"/>
        </w:rPr>
        <w:t xml:space="preserve">. 7.  </w:t>
      </w:r>
      <w:r>
        <w:rPr>
          <w:sz w:val="26"/>
          <w:szCs w:val="26"/>
        </w:rPr>
        <w:t xml:space="preserve">Mr. </w:t>
      </w:r>
      <w:proofErr w:type="spellStart"/>
      <w:r>
        <w:rPr>
          <w:sz w:val="26"/>
          <w:szCs w:val="26"/>
        </w:rPr>
        <w:t>DeSanto</w:t>
      </w:r>
      <w:proofErr w:type="spellEnd"/>
      <w:r>
        <w:rPr>
          <w:sz w:val="26"/>
          <w:szCs w:val="26"/>
        </w:rPr>
        <w:t xml:space="preserve"> testified that the positioning of the leak at the service location conform</w:t>
      </w:r>
      <w:r w:rsidR="003F0124">
        <w:rPr>
          <w:sz w:val="26"/>
          <w:szCs w:val="26"/>
        </w:rPr>
        <w:t>s</w:t>
      </w:r>
      <w:r>
        <w:rPr>
          <w:sz w:val="26"/>
          <w:szCs w:val="26"/>
        </w:rPr>
        <w:t xml:space="preserve"> to the above description, and therefore it </w:t>
      </w:r>
      <w:r w:rsidR="003F0124">
        <w:rPr>
          <w:sz w:val="26"/>
          <w:szCs w:val="26"/>
        </w:rPr>
        <w:t>is</w:t>
      </w:r>
      <w:r>
        <w:rPr>
          <w:sz w:val="26"/>
          <w:szCs w:val="26"/>
        </w:rPr>
        <w:t xml:space="preserve"> the responsibility of the Complainant to detect leaks that occur on his service line.  I.D. at 10.</w:t>
      </w:r>
    </w:p>
    <w:p w14:paraId="389702FD" w14:textId="77777777" w:rsidR="005F36EC" w:rsidRDefault="005F36EC" w:rsidP="00B53CCA">
      <w:pPr>
        <w:autoSpaceDE w:val="0"/>
        <w:autoSpaceDN w:val="0"/>
        <w:adjustRightInd w:val="0"/>
        <w:ind w:firstLine="1440"/>
        <w:jc w:val="left"/>
        <w:rPr>
          <w:sz w:val="26"/>
          <w:szCs w:val="26"/>
        </w:rPr>
      </w:pPr>
    </w:p>
    <w:p w14:paraId="145A64E0" w14:textId="1B94FDE0" w:rsidR="005F36EC" w:rsidRDefault="005F36EC" w:rsidP="00B53CCA">
      <w:pPr>
        <w:autoSpaceDE w:val="0"/>
        <w:autoSpaceDN w:val="0"/>
        <w:adjustRightInd w:val="0"/>
        <w:ind w:firstLine="1440"/>
        <w:jc w:val="left"/>
        <w:rPr>
          <w:sz w:val="26"/>
          <w:szCs w:val="26"/>
        </w:rPr>
      </w:pPr>
      <w:r>
        <w:rPr>
          <w:sz w:val="26"/>
          <w:szCs w:val="26"/>
        </w:rPr>
        <w:t xml:space="preserve">The ALJ found that based on the evidence, </w:t>
      </w:r>
      <w:r w:rsidR="00AE2E06">
        <w:rPr>
          <w:sz w:val="26"/>
          <w:szCs w:val="26"/>
        </w:rPr>
        <w:t>NFGDC</w:t>
      </w:r>
      <w:r>
        <w:rPr>
          <w:sz w:val="26"/>
          <w:szCs w:val="26"/>
        </w:rPr>
        <w:t xml:space="preserve"> acted reasonably at all times </w:t>
      </w:r>
      <w:r w:rsidR="00A164E9">
        <w:rPr>
          <w:sz w:val="26"/>
          <w:szCs w:val="26"/>
        </w:rPr>
        <w:t>in response to the Complainant’s circumstances</w:t>
      </w:r>
      <w:r>
        <w:rPr>
          <w:sz w:val="26"/>
          <w:szCs w:val="26"/>
        </w:rPr>
        <w:t xml:space="preserve">, including responding immediately to the Complainant’s potential gas leak, and ensuring the situation was safe for the Complainant and </w:t>
      </w:r>
      <w:r w:rsidR="00A164E9">
        <w:rPr>
          <w:sz w:val="26"/>
          <w:szCs w:val="26"/>
        </w:rPr>
        <w:t>adhering to its</w:t>
      </w:r>
      <w:r>
        <w:rPr>
          <w:sz w:val="26"/>
          <w:szCs w:val="26"/>
        </w:rPr>
        <w:t xml:space="preserve"> policy throughout the duration of its dealings with the Complainant.  </w:t>
      </w:r>
      <w:r w:rsidR="00B20755">
        <w:rPr>
          <w:sz w:val="26"/>
          <w:szCs w:val="26"/>
        </w:rPr>
        <w:t xml:space="preserve">Thus, in Conclusion of Law No. 13, the ALJ found that the Company provided reasonable, safe, </w:t>
      </w:r>
      <w:r w:rsidR="008610D3">
        <w:rPr>
          <w:sz w:val="26"/>
          <w:szCs w:val="26"/>
        </w:rPr>
        <w:t xml:space="preserve">efficient and adequate service.  </w:t>
      </w:r>
      <w:r>
        <w:rPr>
          <w:sz w:val="26"/>
          <w:szCs w:val="26"/>
        </w:rPr>
        <w:t>I.D. at 11.</w:t>
      </w:r>
    </w:p>
    <w:p w14:paraId="6ADCAB5B" w14:textId="77777777" w:rsidR="001B3A6F" w:rsidRDefault="001B3A6F" w:rsidP="00B53CCA">
      <w:pPr>
        <w:autoSpaceDE w:val="0"/>
        <w:autoSpaceDN w:val="0"/>
        <w:adjustRightInd w:val="0"/>
        <w:ind w:firstLine="1440"/>
        <w:jc w:val="left"/>
        <w:rPr>
          <w:sz w:val="26"/>
          <w:szCs w:val="26"/>
        </w:rPr>
      </w:pPr>
    </w:p>
    <w:p w14:paraId="2EA6B4ED" w14:textId="2BF11602" w:rsidR="001B3A6F" w:rsidRDefault="001B3A6F" w:rsidP="001B3A6F">
      <w:pPr>
        <w:autoSpaceDE w:val="0"/>
        <w:autoSpaceDN w:val="0"/>
        <w:adjustRightInd w:val="0"/>
        <w:ind w:firstLine="1440"/>
        <w:jc w:val="left"/>
        <w:rPr>
          <w:sz w:val="26"/>
          <w:szCs w:val="26"/>
        </w:rPr>
      </w:pPr>
      <w:r>
        <w:rPr>
          <w:sz w:val="26"/>
          <w:szCs w:val="26"/>
        </w:rPr>
        <w:t xml:space="preserve">Second, the ALJ addressed the Complainant’s assertion that </w:t>
      </w:r>
      <w:r w:rsidR="00AE2E06">
        <w:rPr>
          <w:sz w:val="26"/>
          <w:szCs w:val="26"/>
        </w:rPr>
        <w:t>NFGDC</w:t>
      </w:r>
      <w:r>
        <w:rPr>
          <w:sz w:val="26"/>
          <w:szCs w:val="26"/>
        </w:rPr>
        <w:t xml:space="preserve"> should provide him with a refund for the period </w:t>
      </w:r>
      <w:r w:rsidR="005E52E9">
        <w:rPr>
          <w:sz w:val="26"/>
          <w:szCs w:val="26"/>
        </w:rPr>
        <w:t xml:space="preserve">when </w:t>
      </w:r>
      <w:r>
        <w:rPr>
          <w:sz w:val="26"/>
          <w:szCs w:val="26"/>
        </w:rPr>
        <w:t>the leak existed.  The ALJ found that the Complainant failed to establish any basis for his argument.  I.D. at 11</w:t>
      </w:r>
    </w:p>
    <w:p w14:paraId="4C77AD1B" w14:textId="77777777" w:rsidR="001B3A6F" w:rsidRDefault="001B3A6F" w:rsidP="001B3A6F">
      <w:pPr>
        <w:autoSpaceDE w:val="0"/>
        <w:autoSpaceDN w:val="0"/>
        <w:adjustRightInd w:val="0"/>
        <w:ind w:firstLine="1440"/>
        <w:jc w:val="left"/>
        <w:rPr>
          <w:sz w:val="26"/>
          <w:szCs w:val="26"/>
        </w:rPr>
      </w:pPr>
    </w:p>
    <w:p w14:paraId="2638C9D0" w14:textId="14259286" w:rsidR="002749F4" w:rsidRDefault="002749F4" w:rsidP="001B3A6F">
      <w:pPr>
        <w:autoSpaceDE w:val="0"/>
        <w:autoSpaceDN w:val="0"/>
        <w:adjustRightInd w:val="0"/>
        <w:ind w:firstLine="1440"/>
        <w:jc w:val="left"/>
        <w:rPr>
          <w:sz w:val="26"/>
          <w:szCs w:val="26"/>
        </w:rPr>
      </w:pPr>
      <w:r>
        <w:rPr>
          <w:sz w:val="26"/>
          <w:szCs w:val="26"/>
        </w:rPr>
        <w:t>ALJ Watson concluded that the Complainant failed to carry his burden of proof on his allegation that NFG</w:t>
      </w:r>
      <w:r w:rsidR="008B44B2">
        <w:rPr>
          <w:sz w:val="26"/>
          <w:szCs w:val="26"/>
        </w:rPr>
        <w:t>DC</w:t>
      </w:r>
      <w:r w:rsidRPr="00673D55">
        <w:rPr>
          <w:sz w:val="26"/>
          <w:szCs w:val="26"/>
        </w:rPr>
        <w:t xml:space="preserve"> </w:t>
      </w:r>
      <w:r>
        <w:rPr>
          <w:sz w:val="26"/>
          <w:szCs w:val="26"/>
        </w:rPr>
        <w:t>violated the Code, Commission Regulation</w:t>
      </w:r>
      <w:r w:rsidR="00A05DBD">
        <w:rPr>
          <w:sz w:val="26"/>
          <w:szCs w:val="26"/>
        </w:rPr>
        <w:t>s</w:t>
      </w:r>
      <w:r>
        <w:rPr>
          <w:sz w:val="26"/>
          <w:szCs w:val="26"/>
        </w:rPr>
        <w:t xml:space="preserve"> or Order</w:t>
      </w:r>
      <w:r w:rsidR="00A05DBD">
        <w:rPr>
          <w:sz w:val="26"/>
          <w:szCs w:val="26"/>
        </w:rPr>
        <w:t>s</w:t>
      </w:r>
      <w:r>
        <w:rPr>
          <w:sz w:val="26"/>
          <w:szCs w:val="26"/>
        </w:rPr>
        <w:t>, or was otherwise responsible for incorrect charges on his gas bill and the customer service issues raised in the Complaint.  He, therefore, recommended dismissal of the Complaint</w:t>
      </w:r>
      <w:r w:rsidRPr="00FD73EF">
        <w:rPr>
          <w:sz w:val="26"/>
          <w:szCs w:val="26"/>
        </w:rPr>
        <w:t>.</w:t>
      </w:r>
      <w:r>
        <w:rPr>
          <w:sz w:val="26"/>
          <w:szCs w:val="26"/>
        </w:rPr>
        <w:t xml:space="preserve">  I.D. at 11.</w:t>
      </w:r>
    </w:p>
    <w:p w14:paraId="6BA304B4" w14:textId="6F3F54B4" w:rsidR="00205C67" w:rsidRDefault="00205C67" w:rsidP="002749F4">
      <w:pPr>
        <w:autoSpaceDE w:val="0"/>
        <w:autoSpaceDN w:val="0"/>
        <w:adjustRightInd w:val="0"/>
        <w:ind w:firstLine="0"/>
        <w:jc w:val="left"/>
        <w:rPr>
          <w:sz w:val="26"/>
          <w:szCs w:val="26"/>
        </w:rPr>
      </w:pPr>
    </w:p>
    <w:p w14:paraId="67F86CEB" w14:textId="77777777" w:rsidR="00205C67" w:rsidRDefault="00C24EDB" w:rsidP="005E52E9">
      <w:pPr>
        <w:keepNext/>
        <w:keepLines/>
        <w:autoSpaceDE w:val="0"/>
        <w:autoSpaceDN w:val="0"/>
        <w:adjustRightInd w:val="0"/>
        <w:ind w:firstLine="0"/>
        <w:jc w:val="left"/>
        <w:rPr>
          <w:b/>
          <w:sz w:val="26"/>
          <w:szCs w:val="26"/>
        </w:rPr>
      </w:pPr>
      <w:r>
        <w:rPr>
          <w:b/>
          <w:sz w:val="26"/>
          <w:szCs w:val="26"/>
        </w:rPr>
        <w:t>Exceptions and Reply Exceptions</w:t>
      </w:r>
    </w:p>
    <w:p w14:paraId="40775334" w14:textId="77777777" w:rsidR="00205C67" w:rsidRDefault="00205C67" w:rsidP="005E52E9">
      <w:pPr>
        <w:keepNext/>
        <w:keepLines/>
        <w:autoSpaceDE w:val="0"/>
        <w:autoSpaceDN w:val="0"/>
        <w:adjustRightInd w:val="0"/>
        <w:ind w:firstLine="0"/>
        <w:jc w:val="left"/>
        <w:rPr>
          <w:sz w:val="26"/>
          <w:szCs w:val="26"/>
        </w:rPr>
      </w:pPr>
    </w:p>
    <w:p w14:paraId="3CBFD7F2" w14:textId="77777777" w:rsidR="00F67021" w:rsidRDefault="00F67021" w:rsidP="00F67021">
      <w:pPr>
        <w:ind w:firstLine="1440"/>
        <w:contextualSpacing/>
        <w:jc w:val="left"/>
        <w:rPr>
          <w:sz w:val="26"/>
          <w:szCs w:val="26"/>
        </w:rPr>
      </w:pPr>
      <w:r w:rsidRPr="00837061">
        <w:rPr>
          <w:sz w:val="26"/>
          <w:szCs w:val="26"/>
        </w:rPr>
        <w:t xml:space="preserve">Before addressing the Exceptions, we note that any issue or Exception that we do not specifically address shall be deemed to have been duly considered and denied without further discussion.  The Commission is not required to consider, either expressly or at length, each contention or argument raised by the Parties.  </w:t>
      </w:r>
      <w:r>
        <w:rPr>
          <w:rStyle w:val="Emphasis"/>
          <w:sz w:val="26"/>
          <w:szCs w:val="26"/>
        </w:rPr>
        <w:t>Consolidated Rail Corp. v.</w:t>
      </w:r>
      <w:r w:rsidRPr="00837061">
        <w:rPr>
          <w:rStyle w:val="Emphasis"/>
          <w:sz w:val="26"/>
          <w:szCs w:val="26"/>
        </w:rPr>
        <w:t xml:space="preserve"> Pa. PUC, </w:t>
      </w:r>
      <w:r w:rsidRPr="00837061">
        <w:rPr>
          <w:sz w:val="26"/>
          <w:szCs w:val="26"/>
        </w:rPr>
        <w:t xml:space="preserve">625 A.2d 741 (Pa. </w:t>
      </w:r>
      <w:proofErr w:type="spellStart"/>
      <w:r w:rsidRPr="00837061">
        <w:rPr>
          <w:sz w:val="26"/>
          <w:szCs w:val="26"/>
        </w:rPr>
        <w:t>Cmwlth</w:t>
      </w:r>
      <w:proofErr w:type="spellEnd"/>
      <w:r w:rsidRPr="00837061">
        <w:rPr>
          <w:sz w:val="26"/>
          <w:szCs w:val="26"/>
        </w:rPr>
        <w:t xml:space="preserve">. 1993); </w:t>
      </w:r>
      <w:r w:rsidRPr="00837061">
        <w:rPr>
          <w:i/>
          <w:sz w:val="26"/>
          <w:szCs w:val="26"/>
        </w:rPr>
        <w:t xml:space="preserve">also </w:t>
      </w:r>
      <w:r w:rsidRPr="00837061">
        <w:rPr>
          <w:rStyle w:val="Emphasis"/>
          <w:sz w:val="26"/>
          <w:szCs w:val="26"/>
        </w:rPr>
        <w:t>see, generally, University of Pennsylvania v. Pa. PUC</w:t>
      </w:r>
      <w:r w:rsidRPr="00837061">
        <w:rPr>
          <w:sz w:val="26"/>
          <w:szCs w:val="26"/>
        </w:rPr>
        <w:t xml:space="preserve">, 485 A.2d 1217 (Pa. </w:t>
      </w:r>
      <w:proofErr w:type="spellStart"/>
      <w:r w:rsidRPr="00837061">
        <w:rPr>
          <w:sz w:val="26"/>
          <w:szCs w:val="26"/>
        </w:rPr>
        <w:t>Cmwlth</w:t>
      </w:r>
      <w:proofErr w:type="spellEnd"/>
      <w:r w:rsidRPr="00837061">
        <w:rPr>
          <w:sz w:val="26"/>
          <w:szCs w:val="26"/>
        </w:rPr>
        <w:t>. 1984).</w:t>
      </w:r>
    </w:p>
    <w:p w14:paraId="26CC2187" w14:textId="77777777" w:rsidR="002749F4" w:rsidRDefault="002749F4" w:rsidP="00F67021">
      <w:pPr>
        <w:ind w:firstLine="1440"/>
        <w:contextualSpacing/>
        <w:jc w:val="left"/>
        <w:rPr>
          <w:sz w:val="26"/>
          <w:szCs w:val="26"/>
        </w:rPr>
      </w:pPr>
    </w:p>
    <w:p w14:paraId="51543372" w14:textId="77777777" w:rsidR="005E52E9" w:rsidRDefault="00EA7EEC" w:rsidP="004B536F">
      <w:pPr>
        <w:ind w:firstLine="1440"/>
        <w:contextualSpacing/>
        <w:jc w:val="left"/>
        <w:rPr>
          <w:sz w:val="26"/>
          <w:szCs w:val="26"/>
        </w:rPr>
      </w:pPr>
      <w:r w:rsidRPr="00A75365">
        <w:rPr>
          <w:sz w:val="26"/>
          <w:szCs w:val="26"/>
        </w:rPr>
        <w:t>The Complainant’s Exceptions</w:t>
      </w:r>
      <w:r w:rsidRPr="00A75365">
        <w:rPr>
          <w:sz w:val="26"/>
          <w:szCs w:val="26"/>
          <w:vertAlign w:val="superscript"/>
        </w:rPr>
        <w:footnoteReference w:id="8"/>
      </w:r>
      <w:r w:rsidRPr="00A75365">
        <w:rPr>
          <w:sz w:val="26"/>
          <w:szCs w:val="26"/>
        </w:rPr>
        <w:t xml:space="preserve"> consist of </w:t>
      </w:r>
      <w:r w:rsidR="0077306B">
        <w:rPr>
          <w:sz w:val="26"/>
          <w:szCs w:val="26"/>
        </w:rPr>
        <w:t>five</w:t>
      </w:r>
      <w:r w:rsidR="001F1AD4">
        <w:rPr>
          <w:sz w:val="26"/>
          <w:szCs w:val="26"/>
        </w:rPr>
        <w:t xml:space="preserve"> hand</w:t>
      </w:r>
      <w:r w:rsidRPr="00A75365">
        <w:rPr>
          <w:sz w:val="26"/>
          <w:szCs w:val="26"/>
        </w:rPr>
        <w:t>written page</w:t>
      </w:r>
      <w:r w:rsidR="0077306B">
        <w:rPr>
          <w:sz w:val="26"/>
          <w:szCs w:val="26"/>
        </w:rPr>
        <w:t>s</w:t>
      </w:r>
      <w:r w:rsidRPr="00A75365">
        <w:rPr>
          <w:sz w:val="26"/>
          <w:szCs w:val="26"/>
        </w:rPr>
        <w:t xml:space="preserve"> in</w:t>
      </w:r>
      <w:r w:rsidR="00113BC3">
        <w:rPr>
          <w:sz w:val="26"/>
          <w:szCs w:val="26"/>
        </w:rPr>
        <w:t xml:space="preserve"> which</w:t>
      </w:r>
      <w:r w:rsidRPr="00A75365">
        <w:rPr>
          <w:sz w:val="26"/>
          <w:szCs w:val="26"/>
        </w:rPr>
        <w:t xml:space="preserve"> he generally expresses h</w:t>
      </w:r>
      <w:r w:rsidR="00113BC3">
        <w:rPr>
          <w:sz w:val="26"/>
          <w:szCs w:val="26"/>
        </w:rPr>
        <w:t>is</w:t>
      </w:r>
      <w:r w:rsidR="00597988">
        <w:rPr>
          <w:sz w:val="26"/>
          <w:szCs w:val="26"/>
        </w:rPr>
        <w:t xml:space="preserve"> disagreement with</w:t>
      </w:r>
      <w:r w:rsidRPr="00A75365">
        <w:rPr>
          <w:sz w:val="26"/>
          <w:szCs w:val="26"/>
        </w:rPr>
        <w:t xml:space="preserve"> ALJ</w:t>
      </w:r>
      <w:r w:rsidR="00597988">
        <w:rPr>
          <w:sz w:val="26"/>
          <w:szCs w:val="26"/>
        </w:rPr>
        <w:t xml:space="preserve"> Watson</w:t>
      </w:r>
      <w:r w:rsidRPr="00A75365">
        <w:rPr>
          <w:sz w:val="26"/>
          <w:szCs w:val="26"/>
        </w:rPr>
        <w:t>’s ruling</w:t>
      </w:r>
      <w:r w:rsidR="0077306B">
        <w:rPr>
          <w:sz w:val="26"/>
          <w:szCs w:val="26"/>
        </w:rPr>
        <w:t>s and his decision to dismiss the Complaint</w:t>
      </w:r>
      <w:r w:rsidRPr="00A75365">
        <w:rPr>
          <w:sz w:val="26"/>
          <w:szCs w:val="26"/>
        </w:rPr>
        <w:t>.</w:t>
      </w:r>
      <w:r w:rsidR="007F5012">
        <w:rPr>
          <w:sz w:val="26"/>
          <w:szCs w:val="26"/>
        </w:rPr>
        <w:t xml:space="preserve">  </w:t>
      </w:r>
      <w:r w:rsidR="00FD17AA">
        <w:rPr>
          <w:sz w:val="26"/>
          <w:szCs w:val="26"/>
        </w:rPr>
        <w:t>The Complainant</w:t>
      </w:r>
      <w:r w:rsidR="00DD4A24">
        <w:rPr>
          <w:sz w:val="26"/>
          <w:szCs w:val="26"/>
        </w:rPr>
        <w:t xml:space="preserve"> asserts that the ALJ erroneously concluded that he failed</w:t>
      </w:r>
      <w:r w:rsidR="007603D5">
        <w:rPr>
          <w:sz w:val="26"/>
          <w:szCs w:val="26"/>
        </w:rPr>
        <w:t xml:space="preserve"> to</w:t>
      </w:r>
      <w:r w:rsidR="00DD4A24">
        <w:rPr>
          <w:sz w:val="26"/>
          <w:szCs w:val="26"/>
        </w:rPr>
        <w:t xml:space="preserve"> establish a </w:t>
      </w:r>
      <w:r w:rsidR="00DD4A24" w:rsidRPr="00DD4A24">
        <w:rPr>
          <w:i/>
          <w:sz w:val="26"/>
          <w:szCs w:val="26"/>
        </w:rPr>
        <w:t>prima facie</w:t>
      </w:r>
      <w:r w:rsidR="00DD4A24">
        <w:rPr>
          <w:sz w:val="26"/>
          <w:szCs w:val="26"/>
        </w:rPr>
        <w:t xml:space="preserve"> case in support of his claims and </w:t>
      </w:r>
      <w:r w:rsidR="00803AB0">
        <w:rPr>
          <w:sz w:val="26"/>
          <w:szCs w:val="26"/>
        </w:rPr>
        <w:t xml:space="preserve">excepts to the ALJ’s finding that he did not meet his burden of proving the allegations in his Complaint.  </w:t>
      </w:r>
    </w:p>
    <w:p w14:paraId="6DA0D016" w14:textId="77777777" w:rsidR="005E52E9" w:rsidRDefault="005E52E9" w:rsidP="004B536F">
      <w:pPr>
        <w:ind w:firstLine="1440"/>
        <w:contextualSpacing/>
        <w:jc w:val="left"/>
        <w:rPr>
          <w:sz w:val="26"/>
          <w:szCs w:val="26"/>
        </w:rPr>
      </w:pPr>
    </w:p>
    <w:p w14:paraId="002EFDE1" w14:textId="4485FDB4" w:rsidR="0051783B" w:rsidRDefault="00EF5830" w:rsidP="004B536F">
      <w:pPr>
        <w:ind w:firstLine="1440"/>
        <w:contextualSpacing/>
        <w:jc w:val="left"/>
        <w:rPr>
          <w:sz w:val="26"/>
          <w:szCs w:val="26"/>
        </w:rPr>
      </w:pPr>
      <w:r>
        <w:rPr>
          <w:sz w:val="26"/>
          <w:szCs w:val="26"/>
        </w:rPr>
        <w:t xml:space="preserve">The Complainant begins </w:t>
      </w:r>
      <w:r w:rsidR="005E52E9">
        <w:rPr>
          <w:sz w:val="26"/>
          <w:szCs w:val="26"/>
        </w:rPr>
        <w:t xml:space="preserve">his Exceptions </w:t>
      </w:r>
      <w:r>
        <w:rPr>
          <w:sz w:val="26"/>
          <w:szCs w:val="26"/>
        </w:rPr>
        <w:t>by averring that “[</w:t>
      </w:r>
      <w:proofErr w:type="spellStart"/>
      <w:r>
        <w:rPr>
          <w:sz w:val="26"/>
          <w:szCs w:val="26"/>
        </w:rPr>
        <w:t>i</w:t>
      </w:r>
      <w:proofErr w:type="spellEnd"/>
      <w:r>
        <w:rPr>
          <w:sz w:val="26"/>
          <w:szCs w:val="26"/>
        </w:rPr>
        <w:t>]t is irrebuttable and irrefutable that the gas company is required to instantly check out complaints of suspected gas leaks in appliances or fixtures in a home.”</w:t>
      </w:r>
      <w:r w:rsidR="00A957E2">
        <w:rPr>
          <w:sz w:val="26"/>
          <w:szCs w:val="26"/>
        </w:rPr>
        <w:t xml:space="preserve">  </w:t>
      </w:r>
      <w:r w:rsidR="008610D3">
        <w:rPr>
          <w:sz w:val="26"/>
          <w:szCs w:val="26"/>
        </w:rPr>
        <w:t xml:space="preserve">Exc. at 1.  </w:t>
      </w:r>
      <w:r w:rsidR="00A957E2">
        <w:rPr>
          <w:sz w:val="26"/>
          <w:szCs w:val="26"/>
        </w:rPr>
        <w:t>Further</w:t>
      </w:r>
      <w:r>
        <w:rPr>
          <w:sz w:val="26"/>
          <w:szCs w:val="26"/>
        </w:rPr>
        <w:t xml:space="preserve">, the Complainant submits that it logically follows that the </w:t>
      </w:r>
      <w:r w:rsidR="00A05DBD">
        <w:rPr>
          <w:sz w:val="26"/>
          <w:szCs w:val="26"/>
        </w:rPr>
        <w:t>C</w:t>
      </w:r>
      <w:r>
        <w:rPr>
          <w:sz w:val="26"/>
          <w:szCs w:val="26"/>
        </w:rPr>
        <w:t xml:space="preserve">ompany bears responsibility for any harm that might evolve from a suspected gas leak in an appliance or fixture.  </w:t>
      </w:r>
      <w:r w:rsidR="00FD17AA">
        <w:rPr>
          <w:sz w:val="26"/>
          <w:szCs w:val="26"/>
        </w:rPr>
        <w:t>The Complainant</w:t>
      </w:r>
      <w:r w:rsidR="00257335">
        <w:rPr>
          <w:sz w:val="26"/>
          <w:szCs w:val="26"/>
        </w:rPr>
        <w:t xml:space="preserve"> maintain</w:t>
      </w:r>
      <w:r w:rsidR="0042492F">
        <w:rPr>
          <w:sz w:val="26"/>
          <w:szCs w:val="26"/>
        </w:rPr>
        <w:t>s</w:t>
      </w:r>
      <w:r w:rsidR="00257335">
        <w:rPr>
          <w:sz w:val="26"/>
          <w:szCs w:val="26"/>
        </w:rPr>
        <w:t xml:space="preserve"> that </w:t>
      </w:r>
      <w:r w:rsidR="0042492F">
        <w:rPr>
          <w:sz w:val="26"/>
          <w:szCs w:val="26"/>
        </w:rPr>
        <w:t xml:space="preserve">NFGDC should have </w:t>
      </w:r>
      <w:r w:rsidR="00257335">
        <w:rPr>
          <w:sz w:val="26"/>
          <w:szCs w:val="26"/>
        </w:rPr>
        <w:t xml:space="preserve">dispatched </w:t>
      </w:r>
      <w:r w:rsidR="0042492F">
        <w:rPr>
          <w:sz w:val="26"/>
          <w:szCs w:val="26"/>
        </w:rPr>
        <w:t xml:space="preserve">someone </w:t>
      </w:r>
      <w:r w:rsidR="00257335">
        <w:rPr>
          <w:sz w:val="26"/>
          <w:szCs w:val="26"/>
        </w:rPr>
        <w:t xml:space="preserve">to investigate things as soon as the </w:t>
      </w:r>
      <w:r w:rsidR="00A05DBD">
        <w:rPr>
          <w:sz w:val="26"/>
          <w:szCs w:val="26"/>
        </w:rPr>
        <w:t>C</w:t>
      </w:r>
      <w:r w:rsidR="00257335">
        <w:rPr>
          <w:sz w:val="26"/>
          <w:szCs w:val="26"/>
        </w:rPr>
        <w:t xml:space="preserve">ompany noted a huge increase in consumption.  </w:t>
      </w:r>
      <w:r w:rsidR="008610D3">
        <w:rPr>
          <w:i/>
          <w:sz w:val="26"/>
          <w:szCs w:val="26"/>
        </w:rPr>
        <w:t>Id.</w:t>
      </w:r>
      <w:r w:rsidR="00257335">
        <w:rPr>
          <w:sz w:val="26"/>
          <w:szCs w:val="26"/>
        </w:rPr>
        <w:t xml:space="preserve"> at 1-2.</w:t>
      </w:r>
    </w:p>
    <w:p w14:paraId="25CE5F4E" w14:textId="77777777" w:rsidR="0051783B" w:rsidRDefault="0051783B" w:rsidP="004B536F">
      <w:pPr>
        <w:ind w:firstLine="1440"/>
        <w:contextualSpacing/>
        <w:jc w:val="left"/>
        <w:rPr>
          <w:sz w:val="26"/>
          <w:szCs w:val="26"/>
        </w:rPr>
      </w:pPr>
    </w:p>
    <w:p w14:paraId="792B0083" w14:textId="37CDFFF0" w:rsidR="005671E6" w:rsidRDefault="0051783B" w:rsidP="004B536F">
      <w:pPr>
        <w:ind w:firstLine="1440"/>
        <w:contextualSpacing/>
        <w:jc w:val="left"/>
        <w:rPr>
          <w:sz w:val="26"/>
          <w:szCs w:val="26"/>
        </w:rPr>
      </w:pPr>
      <w:r>
        <w:rPr>
          <w:sz w:val="26"/>
          <w:szCs w:val="26"/>
        </w:rPr>
        <w:t xml:space="preserve">The Complainant </w:t>
      </w:r>
      <w:r w:rsidR="0042492F">
        <w:rPr>
          <w:sz w:val="26"/>
          <w:szCs w:val="26"/>
        </w:rPr>
        <w:t xml:space="preserve">also </w:t>
      </w:r>
      <w:r w:rsidR="003D004B">
        <w:rPr>
          <w:sz w:val="26"/>
          <w:szCs w:val="26"/>
        </w:rPr>
        <w:t xml:space="preserve">excepts to the ALJ’s Finding of Fact No. 4, </w:t>
      </w:r>
      <w:r w:rsidR="0042492F">
        <w:rPr>
          <w:sz w:val="26"/>
          <w:szCs w:val="26"/>
        </w:rPr>
        <w:t xml:space="preserve">that states that </w:t>
      </w:r>
      <w:r w:rsidR="00807CF5">
        <w:rPr>
          <w:sz w:val="26"/>
          <w:szCs w:val="26"/>
        </w:rPr>
        <w:t>“[</w:t>
      </w:r>
      <w:r w:rsidR="003D004B">
        <w:rPr>
          <w:sz w:val="26"/>
          <w:szCs w:val="26"/>
        </w:rPr>
        <w:t>t</w:t>
      </w:r>
      <w:r w:rsidR="00807CF5">
        <w:rPr>
          <w:sz w:val="26"/>
          <w:szCs w:val="26"/>
        </w:rPr>
        <w:t>]</w:t>
      </w:r>
      <w:r w:rsidR="003D004B">
        <w:rPr>
          <w:sz w:val="26"/>
          <w:szCs w:val="26"/>
        </w:rPr>
        <w:t>he service location ha</w:t>
      </w:r>
      <w:r w:rsidR="00807CF5">
        <w:rPr>
          <w:sz w:val="26"/>
          <w:szCs w:val="26"/>
        </w:rPr>
        <w:t>d</w:t>
      </w:r>
      <w:r w:rsidR="003D004B">
        <w:rPr>
          <w:sz w:val="26"/>
          <w:szCs w:val="26"/>
        </w:rPr>
        <w:t xml:space="preserve"> two smoke alarm devices installed in the home at the time the Complainant moved into the home.</w:t>
      </w:r>
      <w:r w:rsidR="00807CF5">
        <w:rPr>
          <w:sz w:val="26"/>
          <w:szCs w:val="26"/>
        </w:rPr>
        <w:t>”</w:t>
      </w:r>
      <w:r w:rsidR="003D004B">
        <w:rPr>
          <w:sz w:val="26"/>
          <w:szCs w:val="26"/>
        </w:rPr>
        <w:t xml:space="preserve">  The Complainant asserts that his home had a smoke alarm and carbon monoxide detector, not two smoke alarms.  Exc. at 2.</w:t>
      </w:r>
    </w:p>
    <w:p w14:paraId="01BF8D44" w14:textId="77777777" w:rsidR="003D004B" w:rsidRDefault="003D004B" w:rsidP="004B536F">
      <w:pPr>
        <w:ind w:firstLine="1440"/>
        <w:contextualSpacing/>
        <w:jc w:val="left"/>
        <w:rPr>
          <w:sz w:val="26"/>
          <w:szCs w:val="26"/>
        </w:rPr>
      </w:pPr>
    </w:p>
    <w:p w14:paraId="2C9B1DEE" w14:textId="77EF5D05" w:rsidR="003D004B" w:rsidRDefault="003D004B" w:rsidP="004B536F">
      <w:pPr>
        <w:ind w:firstLine="1440"/>
        <w:contextualSpacing/>
        <w:jc w:val="left"/>
        <w:rPr>
          <w:sz w:val="26"/>
          <w:szCs w:val="26"/>
        </w:rPr>
      </w:pPr>
      <w:r>
        <w:rPr>
          <w:sz w:val="26"/>
          <w:szCs w:val="26"/>
        </w:rPr>
        <w:t>Additionally, the Complainant disagrees with the ALJ’s Finding of Fact No. 6, which states that “[o]n May 20, 2016, Complainant called the Company to contest the disputed bill</w:t>
      </w:r>
      <w:r w:rsidR="00807CF5">
        <w:rPr>
          <w:sz w:val="26"/>
          <w:szCs w:val="26"/>
        </w:rPr>
        <w:t>.</w:t>
      </w:r>
      <w:r>
        <w:rPr>
          <w:sz w:val="26"/>
          <w:szCs w:val="26"/>
        </w:rPr>
        <w:t xml:space="preserve">” </w:t>
      </w:r>
      <w:r w:rsidR="00807CF5">
        <w:rPr>
          <w:sz w:val="26"/>
          <w:szCs w:val="26"/>
        </w:rPr>
        <w:t xml:space="preserve"> The Complainant </w:t>
      </w:r>
      <w:r>
        <w:rPr>
          <w:sz w:val="26"/>
          <w:szCs w:val="26"/>
        </w:rPr>
        <w:t>su</w:t>
      </w:r>
      <w:r w:rsidR="00F331E2">
        <w:rPr>
          <w:sz w:val="26"/>
          <w:szCs w:val="26"/>
        </w:rPr>
        <w:t xml:space="preserve">bmits that he called </w:t>
      </w:r>
      <w:r w:rsidR="00AE2E06">
        <w:rPr>
          <w:sz w:val="26"/>
          <w:szCs w:val="26"/>
        </w:rPr>
        <w:t>NFGDC</w:t>
      </w:r>
      <w:r>
        <w:rPr>
          <w:sz w:val="26"/>
          <w:szCs w:val="26"/>
        </w:rPr>
        <w:t xml:space="preserve"> on May 20, 2016</w:t>
      </w:r>
      <w:r w:rsidR="00807CF5">
        <w:rPr>
          <w:sz w:val="26"/>
          <w:szCs w:val="26"/>
        </w:rPr>
        <w:t>,</w:t>
      </w:r>
      <w:r>
        <w:rPr>
          <w:sz w:val="26"/>
          <w:szCs w:val="26"/>
        </w:rPr>
        <w:t xml:space="preserve"> to ask why the bill was so huge, not to contest the amount of the bill.  </w:t>
      </w:r>
      <w:r w:rsidR="00F331E2">
        <w:rPr>
          <w:sz w:val="26"/>
          <w:szCs w:val="26"/>
        </w:rPr>
        <w:t>Exc. at 2-3.</w:t>
      </w:r>
    </w:p>
    <w:p w14:paraId="55D7FE17" w14:textId="77777777" w:rsidR="00F331E2" w:rsidRDefault="00F331E2" w:rsidP="004B536F">
      <w:pPr>
        <w:ind w:firstLine="1440"/>
        <w:contextualSpacing/>
        <w:jc w:val="left"/>
        <w:rPr>
          <w:sz w:val="26"/>
          <w:szCs w:val="26"/>
        </w:rPr>
      </w:pPr>
    </w:p>
    <w:p w14:paraId="5A3BA5E6" w14:textId="2B881C79" w:rsidR="00F331E2" w:rsidRDefault="00F331E2" w:rsidP="004B536F">
      <w:pPr>
        <w:ind w:firstLine="1440"/>
        <w:contextualSpacing/>
        <w:jc w:val="left"/>
        <w:rPr>
          <w:sz w:val="26"/>
          <w:szCs w:val="26"/>
        </w:rPr>
      </w:pPr>
      <w:r>
        <w:rPr>
          <w:sz w:val="26"/>
          <w:szCs w:val="26"/>
        </w:rPr>
        <w:t>Further, the Complainant addresses the ALJ’s Finding of Fact No. 7, which states that “[b]</w:t>
      </w:r>
      <w:proofErr w:type="spellStart"/>
      <w:r>
        <w:rPr>
          <w:sz w:val="26"/>
          <w:szCs w:val="26"/>
        </w:rPr>
        <w:t>ased</w:t>
      </w:r>
      <w:proofErr w:type="spellEnd"/>
      <w:r>
        <w:rPr>
          <w:sz w:val="26"/>
          <w:szCs w:val="26"/>
        </w:rPr>
        <w:t xml:space="preserve"> on information provided during a telephone call with Complainant on May 20, 2016, the Company issued an emergency order to investigate a potential gas leak at the service location.”  </w:t>
      </w:r>
      <w:r w:rsidR="00FD17AA">
        <w:rPr>
          <w:sz w:val="26"/>
          <w:szCs w:val="26"/>
        </w:rPr>
        <w:t>The Complainant</w:t>
      </w:r>
      <w:r>
        <w:rPr>
          <w:sz w:val="26"/>
          <w:szCs w:val="26"/>
        </w:rPr>
        <w:t xml:space="preserve"> states that “[a]</w:t>
      </w:r>
      <w:proofErr w:type="spellStart"/>
      <w:r>
        <w:rPr>
          <w:sz w:val="26"/>
          <w:szCs w:val="26"/>
        </w:rPr>
        <w:t>ccording</w:t>
      </w:r>
      <w:proofErr w:type="spellEnd"/>
      <w:r>
        <w:rPr>
          <w:sz w:val="26"/>
          <w:szCs w:val="26"/>
        </w:rPr>
        <w:t xml:space="preserve"> to information received directly from the Erie Fire Chief, in the circumstances</w:t>
      </w:r>
      <w:r w:rsidR="00885639">
        <w:rPr>
          <w:sz w:val="26"/>
          <w:szCs w:val="26"/>
        </w:rPr>
        <w:t xml:space="preserve">, unknown to me at the time, the company should alert all emergency personnel due to the potential of great imminent harm.  They did not.”  Exc. at 3. </w:t>
      </w:r>
    </w:p>
    <w:p w14:paraId="3D5857D3" w14:textId="77777777" w:rsidR="00803AB0" w:rsidRDefault="00803AB0" w:rsidP="004B536F">
      <w:pPr>
        <w:ind w:firstLine="1440"/>
        <w:contextualSpacing/>
        <w:jc w:val="left"/>
        <w:rPr>
          <w:sz w:val="26"/>
          <w:szCs w:val="26"/>
        </w:rPr>
      </w:pPr>
    </w:p>
    <w:p w14:paraId="012E0961" w14:textId="46AF606D" w:rsidR="004B536F" w:rsidRDefault="00803AB0" w:rsidP="00C9509F">
      <w:pPr>
        <w:ind w:firstLine="1440"/>
        <w:contextualSpacing/>
        <w:jc w:val="left"/>
        <w:rPr>
          <w:sz w:val="26"/>
          <w:szCs w:val="26"/>
        </w:rPr>
      </w:pPr>
      <w:r>
        <w:rPr>
          <w:sz w:val="26"/>
          <w:szCs w:val="26"/>
        </w:rPr>
        <w:t>Finally, the Complainant takes issue with the ALJ’s Finding of Fact No. 14,</w:t>
      </w:r>
      <w:r w:rsidR="00992C69">
        <w:rPr>
          <w:sz w:val="26"/>
          <w:szCs w:val="26"/>
        </w:rPr>
        <w:t xml:space="preserve"> </w:t>
      </w:r>
      <w:r w:rsidR="00BD4616">
        <w:rPr>
          <w:sz w:val="26"/>
          <w:szCs w:val="26"/>
        </w:rPr>
        <w:t xml:space="preserve">by contending </w:t>
      </w:r>
      <w:r>
        <w:rPr>
          <w:sz w:val="26"/>
          <w:szCs w:val="26"/>
        </w:rPr>
        <w:t xml:space="preserve">that the fact that </w:t>
      </w:r>
      <w:r w:rsidR="00AE2E06">
        <w:rPr>
          <w:sz w:val="26"/>
          <w:szCs w:val="26"/>
        </w:rPr>
        <w:t>NFGDC</w:t>
      </w:r>
      <w:r>
        <w:rPr>
          <w:sz w:val="26"/>
          <w:szCs w:val="26"/>
        </w:rPr>
        <w:t xml:space="preserve"> offered the Complainant a payment arrangement for the disputed bill is totally irrelevant.  Exc. at 3.</w:t>
      </w:r>
    </w:p>
    <w:p w14:paraId="5E2A8BE7" w14:textId="77777777" w:rsidR="00257335" w:rsidRDefault="00257335" w:rsidP="00C9509F">
      <w:pPr>
        <w:ind w:firstLine="1440"/>
        <w:contextualSpacing/>
        <w:jc w:val="left"/>
        <w:rPr>
          <w:sz w:val="26"/>
          <w:szCs w:val="26"/>
        </w:rPr>
      </w:pPr>
    </w:p>
    <w:p w14:paraId="21460991" w14:textId="13B2F5D1" w:rsidR="005671E6" w:rsidRDefault="00CD3AC9" w:rsidP="00434C01">
      <w:pPr>
        <w:autoSpaceDE w:val="0"/>
        <w:autoSpaceDN w:val="0"/>
        <w:adjustRightInd w:val="0"/>
        <w:ind w:firstLine="0"/>
        <w:jc w:val="left"/>
        <w:rPr>
          <w:sz w:val="26"/>
          <w:szCs w:val="26"/>
        </w:rPr>
      </w:pPr>
      <w:r>
        <w:rPr>
          <w:sz w:val="26"/>
          <w:szCs w:val="26"/>
        </w:rPr>
        <w:tab/>
      </w:r>
      <w:r>
        <w:rPr>
          <w:sz w:val="26"/>
          <w:szCs w:val="26"/>
        </w:rPr>
        <w:tab/>
        <w:t>In it</w:t>
      </w:r>
      <w:r w:rsidR="0050700C">
        <w:rPr>
          <w:sz w:val="26"/>
          <w:szCs w:val="26"/>
        </w:rPr>
        <w:t xml:space="preserve">s Replies to Exceptions, </w:t>
      </w:r>
      <w:r w:rsidR="003419FE">
        <w:rPr>
          <w:sz w:val="26"/>
          <w:szCs w:val="26"/>
        </w:rPr>
        <w:t>NFGDC</w:t>
      </w:r>
      <w:r w:rsidR="0050700C">
        <w:rPr>
          <w:sz w:val="26"/>
          <w:szCs w:val="26"/>
        </w:rPr>
        <w:t xml:space="preserve"> </w:t>
      </w:r>
      <w:r w:rsidR="0031727B">
        <w:rPr>
          <w:sz w:val="26"/>
          <w:szCs w:val="26"/>
        </w:rPr>
        <w:t xml:space="preserve">counters that the Complainant’s Exceptions contain no analysis </w:t>
      </w:r>
      <w:r w:rsidR="00FC3DD6">
        <w:rPr>
          <w:sz w:val="26"/>
          <w:szCs w:val="26"/>
        </w:rPr>
        <w:t>and provides no legal or other basis to challenge the ALJ’s findings, which would warrant</w:t>
      </w:r>
      <w:r w:rsidR="0031727B">
        <w:rPr>
          <w:sz w:val="26"/>
          <w:szCs w:val="26"/>
        </w:rPr>
        <w:t xml:space="preserve"> reversal by the Commission</w:t>
      </w:r>
      <w:r w:rsidR="00FC3DD6">
        <w:rPr>
          <w:sz w:val="26"/>
          <w:szCs w:val="26"/>
        </w:rPr>
        <w:t xml:space="preserve">.  R. Exc. at 2-3.  Additionally, NFGDC points out that the Complainant’s Exceptions contain inappropriate attempts to introduce additional extra-record facts and opinions into this proceeding, which are not permissible after the close of record.  R. Exc. at 3.  Therefore, according to </w:t>
      </w:r>
      <w:r w:rsidR="00FC3DD6">
        <w:rPr>
          <w:sz w:val="26"/>
          <w:szCs w:val="26"/>
        </w:rPr>
        <w:lastRenderedPageBreak/>
        <w:t>NFGDC</w:t>
      </w:r>
      <w:r w:rsidR="009377BD">
        <w:rPr>
          <w:sz w:val="26"/>
          <w:szCs w:val="26"/>
        </w:rPr>
        <w:t xml:space="preserve">, since the </w:t>
      </w:r>
      <w:r w:rsidR="00FC3DD6">
        <w:rPr>
          <w:sz w:val="26"/>
          <w:szCs w:val="26"/>
        </w:rPr>
        <w:t>I</w:t>
      </w:r>
      <w:r w:rsidR="00A05DBD">
        <w:rPr>
          <w:sz w:val="26"/>
          <w:szCs w:val="26"/>
        </w:rPr>
        <w:t>nitial Decision</w:t>
      </w:r>
      <w:r w:rsidR="00FC3DD6">
        <w:rPr>
          <w:sz w:val="26"/>
          <w:szCs w:val="26"/>
        </w:rPr>
        <w:t xml:space="preserve"> properly addressed and disposed of the issues raised by the Complainant in this proceeding</w:t>
      </w:r>
      <w:r w:rsidR="009377BD">
        <w:rPr>
          <w:sz w:val="26"/>
          <w:szCs w:val="26"/>
        </w:rPr>
        <w:t>, the ALJ corre</w:t>
      </w:r>
      <w:r w:rsidR="0050700C">
        <w:rPr>
          <w:sz w:val="26"/>
          <w:szCs w:val="26"/>
        </w:rPr>
        <w:t xml:space="preserve">ctly dismissed the Complaint. </w:t>
      </w:r>
      <w:r w:rsidR="00FC3DD6">
        <w:rPr>
          <w:sz w:val="26"/>
          <w:szCs w:val="26"/>
        </w:rPr>
        <w:t>R.</w:t>
      </w:r>
      <w:r w:rsidR="00A05DBD">
        <w:rPr>
          <w:sz w:val="26"/>
          <w:szCs w:val="26"/>
        </w:rPr>
        <w:t> </w:t>
      </w:r>
      <w:r w:rsidR="00FC3DD6">
        <w:rPr>
          <w:sz w:val="26"/>
          <w:szCs w:val="26"/>
        </w:rPr>
        <w:t>Exc. at 3</w:t>
      </w:r>
      <w:r w:rsidR="004C38DC">
        <w:rPr>
          <w:sz w:val="26"/>
          <w:szCs w:val="26"/>
        </w:rPr>
        <w:t>.</w:t>
      </w:r>
    </w:p>
    <w:p w14:paraId="16E9CD28" w14:textId="1DD20CE3" w:rsidR="00BB3846" w:rsidRDefault="00BB3846" w:rsidP="00434C01">
      <w:pPr>
        <w:autoSpaceDE w:val="0"/>
        <w:autoSpaceDN w:val="0"/>
        <w:adjustRightInd w:val="0"/>
        <w:ind w:firstLine="0"/>
        <w:jc w:val="left"/>
        <w:rPr>
          <w:sz w:val="26"/>
          <w:szCs w:val="26"/>
        </w:rPr>
      </w:pPr>
    </w:p>
    <w:p w14:paraId="227023F7" w14:textId="77777777" w:rsidR="00B776E7" w:rsidRDefault="003C58D6" w:rsidP="00434C01">
      <w:pPr>
        <w:autoSpaceDE w:val="0"/>
        <w:autoSpaceDN w:val="0"/>
        <w:adjustRightInd w:val="0"/>
        <w:ind w:firstLine="0"/>
        <w:jc w:val="left"/>
        <w:rPr>
          <w:b/>
          <w:sz w:val="26"/>
          <w:szCs w:val="26"/>
        </w:rPr>
      </w:pPr>
      <w:r>
        <w:rPr>
          <w:b/>
          <w:sz w:val="26"/>
          <w:szCs w:val="26"/>
        </w:rPr>
        <w:t>Disposition</w:t>
      </w:r>
    </w:p>
    <w:p w14:paraId="5249E9B9" w14:textId="345E5819" w:rsidR="00334A42" w:rsidRDefault="00334A42" w:rsidP="00434C01">
      <w:pPr>
        <w:autoSpaceDE w:val="0"/>
        <w:autoSpaceDN w:val="0"/>
        <w:adjustRightInd w:val="0"/>
        <w:ind w:firstLine="0"/>
        <w:jc w:val="left"/>
        <w:rPr>
          <w:iCs/>
          <w:sz w:val="26"/>
          <w:szCs w:val="26"/>
        </w:rPr>
      </w:pPr>
    </w:p>
    <w:p w14:paraId="288DF5DE" w14:textId="67528FED" w:rsidR="008610D3" w:rsidRDefault="008610D3" w:rsidP="00434C01">
      <w:pPr>
        <w:autoSpaceDE w:val="0"/>
        <w:autoSpaceDN w:val="0"/>
        <w:adjustRightInd w:val="0"/>
        <w:ind w:firstLine="0"/>
        <w:jc w:val="left"/>
        <w:rPr>
          <w:iCs/>
          <w:sz w:val="26"/>
          <w:szCs w:val="26"/>
        </w:rPr>
      </w:pPr>
      <w:r>
        <w:rPr>
          <w:iCs/>
          <w:sz w:val="26"/>
          <w:szCs w:val="26"/>
        </w:rPr>
        <w:tab/>
      </w:r>
      <w:r>
        <w:rPr>
          <w:iCs/>
          <w:sz w:val="26"/>
          <w:szCs w:val="26"/>
        </w:rPr>
        <w:tab/>
        <w:t>Upon review, we shall grant the Exceptions, in part, and deny them, in part.</w:t>
      </w:r>
    </w:p>
    <w:p w14:paraId="063C2695" w14:textId="2CFCCF05" w:rsidR="008610D3" w:rsidRDefault="008610D3" w:rsidP="00434C01">
      <w:pPr>
        <w:autoSpaceDE w:val="0"/>
        <w:autoSpaceDN w:val="0"/>
        <w:adjustRightInd w:val="0"/>
        <w:ind w:firstLine="0"/>
        <w:jc w:val="left"/>
        <w:rPr>
          <w:iCs/>
          <w:sz w:val="26"/>
          <w:szCs w:val="26"/>
        </w:rPr>
      </w:pPr>
    </w:p>
    <w:p w14:paraId="10E22AA0" w14:textId="09D48B33" w:rsidR="008610D3" w:rsidRDefault="008610D3" w:rsidP="008610D3">
      <w:pPr>
        <w:autoSpaceDE w:val="0"/>
        <w:autoSpaceDN w:val="0"/>
        <w:adjustRightInd w:val="0"/>
        <w:ind w:firstLine="1440"/>
        <w:jc w:val="left"/>
        <w:rPr>
          <w:sz w:val="26"/>
          <w:szCs w:val="26"/>
        </w:rPr>
      </w:pPr>
      <w:r>
        <w:rPr>
          <w:iCs/>
          <w:sz w:val="26"/>
          <w:szCs w:val="26"/>
        </w:rPr>
        <w:t xml:space="preserve">Preliminarily, we shall discuss </w:t>
      </w:r>
      <w:r>
        <w:rPr>
          <w:sz w:val="26"/>
          <w:szCs w:val="26"/>
        </w:rPr>
        <w:t xml:space="preserve">the Complainant’s challenge to Finding of Fact No. 4, which states that the service location had two smoke alarms devices installed.  The Complainant avers that his home had a smoke alarm and a carbon monoxide detector.  After review of the record, we agree with the Complainant.  As such, we shall </w:t>
      </w:r>
      <w:r w:rsidR="00C71E5F">
        <w:rPr>
          <w:sz w:val="26"/>
          <w:szCs w:val="26"/>
        </w:rPr>
        <w:t xml:space="preserve">grant the Exception in part as to this argument and </w:t>
      </w:r>
      <w:r>
        <w:rPr>
          <w:sz w:val="26"/>
          <w:szCs w:val="26"/>
        </w:rPr>
        <w:t>modify Finding of Fact No. 4 on page three of the ALJ’s Initial Decision to read as follows:</w:t>
      </w:r>
    </w:p>
    <w:p w14:paraId="39ECE6E3" w14:textId="77777777" w:rsidR="00C71E5F" w:rsidRDefault="00C71E5F" w:rsidP="008610D3">
      <w:pPr>
        <w:autoSpaceDE w:val="0"/>
        <w:autoSpaceDN w:val="0"/>
        <w:adjustRightInd w:val="0"/>
        <w:ind w:firstLine="1440"/>
        <w:jc w:val="left"/>
        <w:rPr>
          <w:sz w:val="26"/>
          <w:szCs w:val="26"/>
        </w:rPr>
      </w:pPr>
    </w:p>
    <w:p w14:paraId="4F8A033B" w14:textId="6CD6535A" w:rsidR="008610D3" w:rsidRDefault="008610D3" w:rsidP="008610D3">
      <w:pPr>
        <w:keepNext/>
        <w:spacing w:line="240" w:lineRule="auto"/>
        <w:ind w:left="1440" w:right="1440" w:firstLine="0"/>
        <w:jc w:val="left"/>
        <w:rPr>
          <w:rFonts w:eastAsia="Times New Roman"/>
          <w:sz w:val="26"/>
          <w:szCs w:val="26"/>
        </w:rPr>
      </w:pPr>
      <w:r>
        <w:rPr>
          <w:rFonts w:eastAsia="Times New Roman"/>
          <w:sz w:val="26"/>
          <w:szCs w:val="26"/>
        </w:rPr>
        <w:t>The service location had one smoke alarm device and one carbon monoxide detector installed in the home at the time Complainant moved into the home.</w:t>
      </w:r>
    </w:p>
    <w:p w14:paraId="754886F9" w14:textId="1330520B" w:rsidR="0079405A" w:rsidRDefault="0079405A" w:rsidP="008610D3">
      <w:pPr>
        <w:keepNext/>
        <w:spacing w:line="240" w:lineRule="auto"/>
        <w:ind w:left="1440" w:right="1440" w:firstLine="0"/>
        <w:jc w:val="left"/>
        <w:rPr>
          <w:rFonts w:eastAsia="Times New Roman"/>
          <w:sz w:val="26"/>
          <w:szCs w:val="26"/>
        </w:rPr>
      </w:pPr>
    </w:p>
    <w:p w14:paraId="3FC8353B" w14:textId="77777777" w:rsidR="0079405A" w:rsidRPr="004B2A99" w:rsidRDefault="0079405A" w:rsidP="008610D3">
      <w:pPr>
        <w:keepNext/>
        <w:spacing w:line="240" w:lineRule="auto"/>
        <w:ind w:left="1440" w:right="1440" w:firstLine="0"/>
        <w:jc w:val="left"/>
        <w:rPr>
          <w:rFonts w:eastAsia="Times New Roman"/>
          <w:sz w:val="26"/>
          <w:szCs w:val="26"/>
        </w:rPr>
      </w:pPr>
    </w:p>
    <w:p w14:paraId="799EABC2" w14:textId="7E711883" w:rsidR="008610D3" w:rsidRDefault="008610D3" w:rsidP="008610D3">
      <w:pPr>
        <w:autoSpaceDE w:val="0"/>
        <w:autoSpaceDN w:val="0"/>
        <w:adjustRightInd w:val="0"/>
        <w:ind w:firstLine="0"/>
        <w:jc w:val="left"/>
        <w:rPr>
          <w:iCs/>
          <w:sz w:val="26"/>
          <w:szCs w:val="26"/>
        </w:rPr>
      </w:pPr>
      <w:r>
        <w:rPr>
          <w:sz w:val="26"/>
          <w:szCs w:val="26"/>
        </w:rPr>
        <w:t>Notwithstanding our modification of this Finding of Fact, we are of the opinion that the Complainant merely misspoke during the evidentiary hearing.  Additionally, the error contained in this Finding of Fact cannot form the basis for overturning the ALJ’s conclusions in his Initial Decision that the Complainant failed to meet his burden of proving that NFG</w:t>
      </w:r>
      <w:r w:rsidR="008B44B2">
        <w:rPr>
          <w:sz w:val="26"/>
          <w:szCs w:val="26"/>
        </w:rPr>
        <w:t>DC</w:t>
      </w:r>
      <w:r w:rsidRPr="00673D55">
        <w:rPr>
          <w:sz w:val="26"/>
          <w:szCs w:val="26"/>
        </w:rPr>
        <w:t xml:space="preserve"> </w:t>
      </w:r>
      <w:r>
        <w:rPr>
          <w:sz w:val="26"/>
          <w:szCs w:val="26"/>
        </w:rPr>
        <w:t>violated the Code, Commission Regulation</w:t>
      </w:r>
      <w:r w:rsidR="0079405A">
        <w:rPr>
          <w:sz w:val="26"/>
          <w:szCs w:val="26"/>
        </w:rPr>
        <w:t>s</w:t>
      </w:r>
      <w:r>
        <w:rPr>
          <w:sz w:val="26"/>
          <w:szCs w:val="26"/>
        </w:rPr>
        <w:t xml:space="preserve"> or Order</w:t>
      </w:r>
      <w:r w:rsidR="0079405A">
        <w:rPr>
          <w:sz w:val="26"/>
          <w:szCs w:val="26"/>
        </w:rPr>
        <w:t>s</w:t>
      </w:r>
      <w:r>
        <w:rPr>
          <w:sz w:val="26"/>
          <w:szCs w:val="26"/>
        </w:rPr>
        <w:t>, or was otherwise responsible for incorrect charges on his gas bill and the customer service issues raised in the Complaint.</w:t>
      </w:r>
    </w:p>
    <w:p w14:paraId="78982F93" w14:textId="77777777" w:rsidR="00334A42" w:rsidRDefault="00334A42" w:rsidP="00434C01">
      <w:pPr>
        <w:autoSpaceDE w:val="0"/>
        <w:autoSpaceDN w:val="0"/>
        <w:adjustRightInd w:val="0"/>
        <w:ind w:firstLine="0"/>
        <w:jc w:val="left"/>
        <w:rPr>
          <w:iCs/>
          <w:sz w:val="26"/>
          <w:szCs w:val="26"/>
        </w:rPr>
      </w:pPr>
    </w:p>
    <w:p w14:paraId="016624A6" w14:textId="74F90ED3" w:rsidR="008D14A0" w:rsidRDefault="00334A42" w:rsidP="00434C01">
      <w:pPr>
        <w:autoSpaceDE w:val="0"/>
        <w:autoSpaceDN w:val="0"/>
        <w:adjustRightInd w:val="0"/>
        <w:ind w:firstLine="0"/>
        <w:jc w:val="left"/>
        <w:rPr>
          <w:iCs/>
          <w:sz w:val="26"/>
          <w:szCs w:val="26"/>
        </w:rPr>
      </w:pPr>
      <w:r>
        <w:rPr>
          <w:iCs/>
          <w:sz w:val="26"/>
          <w:szCs w:val="26"/>
        </w:rPr>
        <w:lastRenderedPageBreak/>
        <w:tab/>
      </w:r>
      <w:r>
        <w:rPr>
          <w:iCs/>
          <w:sz w:val="26"/>
          <w:szCs w:val="26"/>
        </w:rPr>
        <w:tab/>
      </w:r>
      <w:r w:rsidR="00C71E5F">
        <w:rPr>
          <w:iCs/>
          <w:sz w:val="26"/>
          <w:szCs w:val="26"/>
        </w:rPr>
        <w:t>Regarding the high bill allegations, w</w:t>
      </w:r>
      <w:r>
        <w:rPr>
          <w:iCs/>
          <w:sz w:val="26"/>
          <w:szCs w:val="26"/>
        </w:rPr>
        <w:t xml:space="preserve">e have examined </w:t>
      </w:r>
      <w:r w:rsidR="00AE2E06">
        <w:rPr>
          <w:iCs/>
          <w:sz w:val="26"/>
          <w:szCs w:val="26"/>
        </w:rPr>
        <w:t>NFGDC</w:t>
      </w:r>
      <w:r>
        <w:rPr>
          <w:iCs/>
          <w:sz w:val="26"/>
          <w:szCs w:val="26"/>
        </w:rPr>
        <w:t xml:space="preserve">’s Exhibit </w:t>
      </w:r>
      <w:r w:rsidR="008D14A0">
        <w:rPr>
          <w:iCs/>
          <w:sz w:val="26"/>
          <w:szCs w:val="26"/>
        </w:rPr>
        <w:t>No. 3, which shows the following gas consumption</w:t>
      </w:r>
      <w:r w:rsidR="00C71E5F">
        <w:rPr>
          <w:iCs/>
          <w:sz w:val="26"/>
          <w:szCs w:val="26"/>
        </w:rPr>
        <w:t xml:space="preserve"> </w:t>
      </w:r>
      <w:r w:rsidR="004F1A24">
        <w:rPr>
          <w:iCs/>
          <w:sz w:val="26"/>
          <w:szCs w:val="26"/>
        </w:rPr>
        <w:t xml:space="preserve">by the Complainant </w:t>
      </w:r>
      <w:r w:rsidR="00C71E5F">
        <w:rPr>
          <w:iCs/>
          <w:sz w:val="26"/>
          <w:szCs w:val="26"/>
        </w:rPr>
        <w:t>during the disputed period</w:t>
      </w:r>
      <w:r w:rsidR="008D14A0">
        <w:rPr>
          <w:iCs/>
          <w:sz w:val="26"/>
          <w:szCs w:val="26"/>
        </w:rPr>
        <w:t>:</w:t>
      </w:r>
    </w:p>
    <w:p w14:paraId="4698ACBA" w14:textId="77777777" w:rsidR="008D14A0" w:rsidRDefault="008D14A0" w:rsidP="00434C01">
      <w:pPr>
        <w:autoSpaceDE w:val="0"/>
        <w:autoSpaceDN w:val="0"/>
        <w:adjustRightInd w:val="0"/>
        <w:ind w:firstLine="0"/>
        <w:jc w:val="left"/>
        <w:rPr>
          <w:iCs/>
          <w:sz w:val="26"/>
          <w:szCs w:val="26"/>
        </w:rPr>
      </w:pPr>
    </w:p>
    <w:p w14:paraId="6A272CCB" w14:textId="77777777" w:rsidR="008D14A0" w:rsidRDefault="008D14A0" w:rsidP="00434C01">
      <w:pPr>
        <w:autoSpaceDE w:val="0"/>
        <w:autoSpaceDN w:val="0"/>
        <w:adjustRightInd w:val="0"/>
        <w:ind w:firstLine="0"/>
        <w:jc w:val="left"/>
        <w:rPr>
          <w:iCs/>
          <w:sz w:val="26"/>
          <w:szCs w:val="26"/>
        </w:rPr>
      </w:pPr>
      <w:r w:rsidRPr="008D14A0">
        <w:rPr>
          <w:noProof/>
        </w:rPr>
        <w:drawing>
          <wp:inline distT="0" distB="0" distL="0" distR="0" wp14:anchorId="697998AD" wp14:editId="78E30C65">
            <wp:extent cx="5943600" cy="180657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06571"/>
                    </a:xfrm>
                    <a:prstGeom prst="rect">
                      <a:avLst/>
                    </a:prstGeom>
                    <a:noFill/>
                    <a:ln>
                      <a:noFill/>
                    </a:ln>
                  </pic:spPr>
                </pic:pic>
              </a:graphicData>
            </a:graphic>
          </wp:inline>
        </w:drawing>
      </w:r>
    </w:p>
    <w:p w14:paraId="7BEE4926" w14:textId="77777777" w:rsidR="008D14A0" w:rsidRDefault="008D14A0" w:rsidP="00434C01">
      <w:pPr>
        <w:autoSpaceDE w:val="0"/>
        <w:autoSpaceDN w:val="0"/>
        <w:adjustRightInd w:val="0"/>
        <w:ind w:firstLine="0"/>
        <w:jc w:val="left"/>
        <w:rPr>
          <w:iCs/>
          <w:sz w:val="26"/>
          <w:szCs w:val="26"/>
        </w:rPr>
      </w:pPr>
    </w:p>
    <w:p w14:paraId="7F793C19" w14:textId="77777777" w:rsidR="008D14A0" w:rsidRDefault="008D14A0" w:rsidP="00434C01">
      <w:pPr>
        <w:autoSpaceDE w:val="0"/>
        <w:autoSpaceDN w:val="0"/>
        <w:adjustRightInd w:val="0"/>
        <w:ind w:firstLine="0"/>
        <w:jc w:val="left"/>
        <w:rPr>
          <w:iCs/>
          <w:sz w:val="26"/>
          <w:szCs w:val="26"/>
        </w:rPr>
      </w:pPr>
      <w:r>
        <w:rPr>
          <w:iCs/>
          <w:sz w:val="26"/>
          <w:szCs w:val="26"/>
        </w:rPr>
        <w:tab/>
      </w:r>
      <w:r>
        <w:rPr>
          <w:iCs/>
          <w:sz w:val="26"/>
          <w:szCs w:val="26"/>
        </w:rPr>
        <w:tab/>
        <w:t>During the same period for the following year, after the leak was repaired, the following gas consumption is shown:</w:t>
      </w:r>
    </w:p>
    <w:p w14:paraId="690390AD" w14:textId="77777777" w:rsidR="008D14A0" w:rsidRDefault="008D14A0" w:rsidP="00434C01">
      <w:pPr>
        <w:autoSpaceDE w:val="0"/>
        <w:autoSpaceDN w:val="0"/>
        <w:adjustRightInd w:val="0"/>
        <w:ind w:firstLine="0"/>
        <w:jc w:val="left"/>
        <w:rPr>
          <w:iCs/>
          <w:sz w:val="26"/>
          <w:szCs w:val="26"/>
        </w:rPr>
      </w:pPr>
    </w:p>
    <w:p w14:paraId="48D237F4" w14:textId="77777777" w:rsidR="008D14A0" w:rsidRDefault="008D14A0" w:rsidP="00434C01">
      <w:pPr>
        <w:autoSpaceDE w:val="0"/>
        <w:autoSpaceDN w:val="0"/>
        <w:adjustRightInd w:val="0"/>
        <w:ind w:firstLine="0"/>
        <w:jc w:val="left"/>
        <w:rPr>
          <w:iCs/>
          <w:sz w:val="26"/>
          <w:szCs w:val="26"/>
        </w:rPr>
      </w:pPr>
      <w:r w:rsidRPr="008D14A0">
        <w:rPr>
          <w:noProof/>
        </w:rPr>
        <w:drawing>
          <wp:inline distT="0" distB="0" distL="0" distR="0" wp14:anchorId="395F7FF2" wp14:editId="1FBC2721">
            <wp:extent cx="5943600" cy="1815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815271"/>
                    </a:xfrm>
                    <a:prstGeom prst="rect">
                      <a:avLst/>
                    </a:prstGeom>
                    <a:noFill/>
                    <a:ln>
                      <a:noFill/>
                    </a:ln>
                  </pic:spPr>
                </pic:pic>
              </a:graphicData>
            </a:graphic>
          </wp:inline>
        </w:drawing>
      </w:r>
    </w:p>
    <w:p w14:paraId="43B97630" w14:textId="77777777" w:rsidR="008D14A0" w:rsidRDefault="008D14A0" w:rsidP="00434C01">
      <w:pPr>
        <w:autoSpaceDE w:val="0"/>
        <w:autoSpaceDN w:val="0"/>
        <w:adjustRightInd w:val="0"/>
        <w:ind w:firstLine="0"/>
        <w:jc w:val="left"/>
        <w:rPr>
          <w:iCs/>
          <w:sz w:val="26"/>
          <w:szCs w:val="26"/>
        </w:rPr>
      </w:pPr>
    </w:p>
    <w:p w14:paraId="3CF7F484" w14:textId="103C1A71" w:rsidR="00334A42" w:rsidRDefault="00914835" w:rsidP="007A77E7">
      <w:pPr>
        <w:autoSpaceDE w:val="0"/>
        <w:autoSpaceDN w:val="0"/>
        <w:adjustRightInd w:val="0"/>
        <w:ind w:firstLine="1440"/>
        <w:jc w:val="left"/>
        <w:rPr>
          <w:iCs/>
          <w:sz w:val="26"/>
          <w:szCs w:val="26"/>
        </w:rPr>
      </w:pPr>
      <w:r>
        <w:rPr>
          <w:iCs/>
          <w:sz w:val="26"/>
          <w:szCs w:val="26"/>
        </w:rPr>
        <w:t xml:space="preserve">Regarding the bills received on February 3, 2017 through May 4, 2017, </w:t>
      </w:r>
      <w:r w:rsidR="00FD17AA">
        <w:rPr>
          <w:iCs/>
          <w:sz w:val="26"/>
          <w:szCs w:val="26"/>
        </w:rPr>
        <w:t>the Complainant</w:t>
      </w:r>
      <w:r>
        <w:rPr>
          <w:iCs/>
          <w:sz w:val="26"/>
          <w:szCs w:val="26"/>
        </w:rPr>
        <w:t xml:space="preserve"> averaged approximately 3.7 CCFs per day with 0.2 consumption per degree day.  During the previous year, the Complainant averaged 4 CCFs per day with 0.2 consumption per degree day</w:t>
      </w:r>
      <w:r w:rsidR="007A77E7">
        <w:rPr>
          <w:iCs/>
          <w:sz w:val="26"/>
          <w:szCs w:val="26"/>
        </w:rPr>
        <w:t>, even with the leak on</w:t>
      </w:r>
      <w:r w:rsidR="007603D5">
        <w:rPr>
          <w:iCs/>
          <w:sz w:val="26"/>
          <w:szCs w:val="26"/>
        </w:rPr>
        <w:t xml:space="preserve"> the gas line to</w:t>
      </w:r>
      <w:r w:rsidR="007A77E7">
        <w:rPr>
          <w:iCs/>
          <w:sz w:val="26"/>
          <w:szCs w:val="26"/>
        </w:rPr>
        <w:t xml:space="preserve"> his dryer</w:t>
      </w:r>
      <w:r>
        <w:rPr>
          <w:iCs/>
          <w:sz w:val="26"/>
          <w:szCs w:val="26"/>
        </w:rPr>
        <w:t xml:space="preserve">.  </w:t>
      </w:r>
      <w:r w:rsidR="007A77E7">
        <w:rPr>
          <w:iCs/>
          <w:sz w:val="26"/>
          <w:szCs w:val="26"/>
        </w:rPr>
        <w:t>Allowing for usage variances brought about by differing weather conditions</w:t>
      </w:r>
      <w:r w:rsidR="00334A42">
        <w:rPr>
          <w:iCs/>
          <w:sz w:val="26"/>
          <w:szCs w:val="26"/>
        </w:rPr>
        <w:t>, the evidence clearly</w:t>
      </w:r>
      <w:r w:rsidR="0034537A">
        <w:rPr>
          <w:iCs/>
          <w:sz w:val="26"/>
          <w:szCs w:val="26"/>
        </w:rPr>
        <w:t xml:space="preserve"> indicates that the Complainant</w:t>
      </w:r>
      <w:r w:rsidR="007A77E7">
        <w:rPr>
          <w:iCs/>
          <w:sz w:val="26"/>
          <w:szCs w:val="26"/>
        </w:rPr>
        <w:t>’</w:t>
      </w:r>
      <w:r w:rsidR="0034537A">
        <w:rPr>
          <w:iCs/>
          <w:sz w:val="26"/>
          <w:szCs w:val="26"/>
        </w:rPr>
        <w:t>s natural gas bills for the</w:t>
      </w:r>
      <w:r w:rsidR="007A77E7">
        <w:rPr>
          <w:iCs/>
          <w:sz w:val="26"/>
          <w:szCs w:val="26"/>
        </w:rPr>
        <w:t xml:space="preserve"> period</w:t>
      </w:r>
      <w:r w:rsidR="0034537A">
        <w:rPr>
          <w:iCs/>
          <w:sz w:val="26"/>
          <w:szCs w:val="26"/>
        </w:rPr>
        <w:t xml:space="preserve"> </w:t>
      </w:r>
      <w:r w:rsidR="007A77E7">
        <w:rPr>
          <w:iCs/>
          <w:sz w:val="26"/>
          <w:szCs w:val="26"/>
        </w:rPr>
        <w:t xml:space="preserve">during which the alleged </w:t>
      </w:r>
      <w:r w:rsidR="007A77E7">
        <w:rPr>
          <w:iCs/>
          <w:sz w:val="26"/>
          <w:szCs w:val="26"/>
        </w:rPr>
        <w:lastRenderedPageBreak/>
        <w:t>high bill occurred are fairly consistent with the usage experienced during the same period for the following year.</w:t>
      </w:r>
      <w:r w:rsidR="006565D7">
        <w:rPr>
          <w:iCs/>
          <w:sz w:val="26"/>
          <w:szCs w:val="26"/>
        </w:rPr>
        <w:t xml:space="preserve">  Therefore, we conclude that there was no “huge” increase in consumption as the Complainant avers, and we concur with the ALJ’s finding that </w:t>
      </w:r>
      <w:r w:rsidR="00AE2E06">
        <w:rPr>
          <w:iCs/>
          <w:sz w:val="26"/>
          <w:szCs w:val="26"/>
        </w:rPr>
        <w:t>NFGDC</w:t>
      </w:r>
      <w:r w:rsidR="006565D7">
        <w:rPr>
          <w:iCs/>
          <w:sz w:val="26"/>
          <w:szCs w:val="26"/>
        </w:rPr>
        <w:t xml:space="preserve"> was under no obligation or duty to inspect the Complainant’s personal gas line in his home prior to a leak being discovered.</w:t>
      </w:r>
      <w:r w:rsidR="00C71E5F">
        <w:rPr>
          <w:iCs/>
          <w:sz w:val="26"/>
          <w:szCs w:val="26"/>
        </w:rPr>
        <w:t xml:space="preserve">  Accordingly, we shall deny the Complainant’s Exceptions pertaining to the high bill allegations.  </w:t>
      </w:r>
    </w:p>
    <w:p w14:paraId="719E1758" w14:textId="77777777" w:rsidR="007608DA" w:rsidRDefault="007608DA" w:rsidP="004B2A99">
      <w:pPr>
        <w:autoSpaceDE w:val="0"/>
        <w:autoSpaceDN w:val="0"/>
        <w:adjustRightInd w:val="0"/>
        <w:ind w:firstLine="0"/>
        <w:jc w:val="left"/>
        <w:rPr>
          <w:sz w:val="26"/>
          <w:szCs w:val="26"/>
        </w:rPr>
      </w:pPr>
    </w:p>
    <w:p w14:paraId="58F28BB2" w14:textId="7A56035F" w:rsidR="007608DA" w:rsidRDefault="007608DA" w:rsidP="004B2A99">
      <w:pPr>
        <w:autoSpaceDE w:val="0"/>
        <w:autoSpaceDN w:val="0"/>
        <w:adjustRightInd w:val="0"/>
        <w:ind w:firstLine="0"/>
        <w:jc w:val="left"/>
        <w:rPr>
          <w:sz w:val="26"/>
          <w:szCs w:val="26"/>
        </w:rPr>
      </w:pPr>
      <w:r>
        <w:rPr>
          <w:sz w:val="26"/>
          <w:szCs w:val="26"/>
        </w:rPr>
        <w:tab/>
      </w:r>
      <w:r>
        <w:rPr>
          <w:sz w:val="26"/>
          <w:szCs w:val="26"/>
        </w:rPr>
        <w:tab/>
      </w:r>
      <w:r w:rsidR="00A90FA4">
        <w:rPr>
          <w:sz w:val="26"/>
          <w:szCs w:val="26"/>
        </w:rPr>
        <w:t>In his Exception</w:t>
      </w:r>
      <w:r w:rsidR="00C71E5F">
        <w:rPr>
          <w:sz w:val="26"/>
          <w:szCs w:val="26"/>
        </w:rPr>
        <w:t>s</w:t>
      </w:r>
      <w:r w:rsidR="00A90FA4">
        <w:rPr>
          <w:sz w:val="26"/>
          <w:szCs w:val="26"/>
        </w:rPr>
        <w:t xml:space="preserve">, the Complainant disputes Finding of Fact No. 6, wherein the ALJ stated that on May 20, 2016, the Complainant called the Company to “contest” the disputed bill.  The Complainant asserts that he called </w:t>
      </w:r>
      <w:r w:rsidR="00AE2E06">
        <w:rPr>
          <w:sz w:val="26"/>
          <w:szCs w:val="26"/>
        </w:rPr>
        <w:t>NFGDC</w:t>
      </w:r>
      <w:r w:rsidR="00A90FA4">
        <w:rPr>
          <w:sz w:val="26"/>
          <w:szCs w:val="26"/>
        </w:rPr>
        <w:t xml:space="preserve"> on May 20, 2016</w:t>
      </w:r>
      <w:r w:rsidR="00020080">
        <w:rPr>
          <w:sz w:val="26"/>
          <w:szCs w:val="26"/>
        </w:rPr>
        <w:t>,</w:t>
      </w:r>
      <w:r w:rsidR="00A90FA4">
        <w:rPr>
          <w:sz w:val="26"/>
          <w:szCs w:val="26"/>
        </w:rPr>
        <w:t xml:space="preserve"> to ask why the bill was so </w:t>
      </w:r>
      <w:r w:rsidR="00C71E5F">
        <w:rPr>
          <w:sz w:val="26"/>
          <w:szCs w:val="26"/>
        </w:rPr>
        <w:t>large</w:t>
      </w:r>
      <w:r w:rsidR="00A90FA4">
        <w:rPr>
          <w:sz w:val="26"/>
          <w:szCs w:val="26"/>
        </w:rPr>
        <w:t>, not to “contest” the amount of the bill.</w:t>
      </w:r>
      <w:r w:rsidR="0081669B">
        <w:rPr>
          <w:sz w:val="26"/>
          <w:szCs w:val="26"/>
        </w:rPr>
        <w:t xml:space="preserve">  Merriam-Webster Dictionary defines “contest” as “demanding proof of the truth or rightness of.”  Therefore, “contest” could also mean </w:t>
      </w:r>
      <w:r w:rsidR="003F4CE3">
        <w:rPr>
          <w:sz w:val="26"/>
          <w:szCs w:val="26"/>
        </w:rPr>
        <w:t>“</w:t>
      </w:r>
      <w:r w:rsidR="0081669B">
        <w:rPr>
          <w:sz w:val="26"/>
          <w:szCs w:val="26"/>
        </w:rPr>
        <w:t>to call into question</w:t>
      </w:r>
      <w:r w:rsidR="00C71E5F">
        <w:rPr>
          <w:sz w:val="26"/>
          <w:szCs w:val="26"/>
        </w:rPr>
        <w:t>.</w:t>
      </w:r>
      <w:r w:rsidR="003F4CE3">
        <w:rPr>
          <w:sz w:val="26"/>
          <w:szCs w:val="26"/>
        </w:rPr>
        <w:t>”</w:t>
      </w:r>
      <w:r w:rsidR="0081669B">
        <w:rPr>
          <w:sz w:val="26"/>
          <w:szCs w:val="26"/>
        </w:rPr>
        <w:t xml:space="preserve">  As such, we </w:t>
      </w:r>
      <w:r w:rsidR="00C71E5F">
        <w:rPr>
          <w:sz w:val="26"/>
          <w:szCs w:val="26"/>
        </w:rPr>
        <w:t xml:space="preserve">believe there was a sufficient basis for the ALJ to conclude that </w:t>
      </w:r>
      <w:r w:rsidR="00FD17AA">
        <w:rPr>
          <w:sz w:val="26"/>
          <w:szCs w:val="26"/>
        </w:rPr>
        <w:t>the Complainant</w:t>
      </w:r>
      <w:r w:rsidR="00C71E5F">
        <w:rPr>
          <w:sz w:val="26"/>
          <w:szCs w:val="26"/>
        </w:rPr>
        <w:t xml:space="preserve"> </w:t>
      </w:r>
      <w:r w:rsidR="0081669B">
        <w:rPr>
          <w:sz w:val="26"/>
          <w:szCs w:val="26"/>
        </w:rPr>
        <w:t xml:space="preserve">called </w:t>
      </w:r>
      <w:r w:rsidR="00AE2E06">
        <w:rPr>
          <w:sz w:val="26"/>
          <w:szCs w:val="26"/>
        </w:rPr>
        <w:t>NFGDC</w:t>
      </w:r>
      <w:r w:rsidR="0081669B">
        <w:rPr>
          <w:sz w:val="26"/>
          <w:szCs w:val="26"/>
        </w:rPr>
        <w:t xml:space="preserve"> </w:t>
      </w:r>
      <w:r w:rsidR="00C71E5F">
        <w:rPr>
          <w:sz w:val="26"/>
          <w:szCs w:val="26"/>
        </w:rPr>
        <w:t xml:space="preserve">on May 20, 2016, </w:t>
      </w:r>
      <w:r w:rsidR="0081669B">
        <w:rPr>
          <w:sz w:val="26"/>
          <w:szCs w:val="26"/>
        </w:rPr>
        <w:t>to question or “contest”</w:t>
      </w:r>
      <w:r w:rsidR="00070DDD">
        <w:rPr>
          <w:sz w:val="26"/>
          <w:szCs w:val="26"/>
        </w:rPr>
        <w:t xml:space="preserve"> the amount of the bill</w:t>
      </w:r>
      <w:r w:rsidR="00C71E5F">
        <w:rPr>
          <w:sz w:val="26"/>
          <w:szCs w:val="26"/>
        </w:rPr>
        <w:t>.</w:t>
      </w:r>
      <w:r w:rsidR="00070DDD">
        <w:rPr>
          <w:sz w:val="26"/>
          <w:szCs w:val="26"/>
        </w:rPr>
        <w:t xml:space="preserve"> Accordingly, </w:t>
      </w:r>
      <w:r w:rsidR="009D42CD">
        <w:rPr>
          <w:sz w:val="26"/>
          <w:szCs w:val="26"/>
        </w:rPr>
        <w:t xml:space="preserve">we shall </w:t>
      </w:r>
      <w:r w:rsidR="00C71E5F">
        <w:rPr>
          <w:sz w:val="26"/>
          <w:szCs w:val="26"/>
        </w:rPr>
        <w:t>deny the Exception as it pertains to this Finding of Fact</w:t>
      </w:r>
      <w:r w:rsidR="00070DDD">
        <w:rPr>
          <w:sz w:val="26"/>
          <w:szCs w:val="26"/>
        </w:rPr>
        <w:t>.</w:t>
      </w:r>
    </w:p>
    <w:p w14:paraId="1E2D530A" w14:textId="77777777" w:rsidR="00020080" w:rsidRDefault="00020080" w:rsidP="004B2A99">
      <w:pPr>
        <w:autoSpaceDE w:val="0"/>
        <w:autoSpaceDN w:val="0"/>
        <w:adjustRightInd w:val="0"/>
        <w:ind w:firstLine="0"/>
        <w:jc w:val="left"/>
        <w:rPr>
          <w:sz w:val="26"/>
          <w:szCs w:val="26"/>
        </w:rPr>
      </w:pPr>
    </w:p>
    <w:p w14:paraId="24DAE56D" w14:textId="535E6B33" w:rsidR="007B36CE" w:rsidRDefault="00F029A7" w:rsidP="004B2A99">
      <w:pPr>
        <w:autoSpaceDE w:val="0"/>
        <w:autoSpaceDN w:val="0"/>
        <w:adjustRightInd w:val="0"/>
        <w:ind w:firstLine="0"/>
        <w:jc w:val="left"/>
        <w:rPr>
          <w:iCs/>
          <w:sz w:val="26"/>
          <w:szCs w:val="26"/>
        </w:rPr>
      </w:pPr>
      <w:r>
        <w:rPr>
          <w:iCs/>
          <w:sz w:val="26"/>
          <w:szCs w:val="26"/>
        </w:rPr>
        <w:tab/>
      </w:r>
      <w:r>
        <w:rPr>
          <w:iCs/>
          <w:sz w:val="26"/>
          <w:szCs w:val="26"/>
        </w:rPr>
        <w:tab/>
        <w:t xml:space="preserve">Turning to the Complainant’s </w:t>
      </w:r>
      <w:r w:rsidR="009D42CD">
        <w:rPr>
          <w:iCs/>
          <w:sz w:val="26"/>
          <w:szCs w:val="26"/>
        </w:rPr>
        <w:t xml:space="preserve">arguments </w:t>
      </w:r>
      <w:r w:rsidR="00D3006F">
        <w:rPr>
          <w:iCs/>
          <w:sz w:val="26"/>
          <w:szCs w:val="26"/>
        </w:rPr>
        <w:t>pertaining to Fin</w:t>
      </w:r>
      <w:r>
        <w:rPr>
          <w:iCs/>
          <w:sz w:val="26"/>
          <w:szCs w:val="26"/>
        </w:rPr>
        <w:t>ding of Fact No.</w:t>
      </w:r>
      <w:r w:rsidR="00D3006F">
        <w:rPr>
          <w:iCs/>
          <w:sz w:val="26"/>
          <w:szCs w:val="26"/>
        </w:rPr>
        <w:t> </w:t>
      </w:r>
      <w:r>
        <w:rPr>
          <w:iCs/>
          <w:sz w:val="26"/>
          <w:szCs w:val="26"/>
        </w:rPr>
        <w:t xml:space="preserve">14, regarding the payment arrangement offered to the Complainant by </w:t>
      </w:r>
      <w:r w:rsidR="00AE2E06">
        <w:rPr>
          <w:iCs/>
          <w:sz w:val="26"/>
          <w:szCs w:val="26"/>
        </w:rPr>
        <w:t>NFGDC</w:t>
      </w:r>
      <w:r>
        <w:rPr>
          <w:iCs/>
          <w:sz w:val="26"/>
          <w:szCs w:val="26"/>
        </w:rPr>
        <w:t>, we find that they are without merit.  Although the Complainant asserts that this Finding of Fact is irrelevant, the record indicates that</w:t>
      </w:r>
      <w:r w:rsidR="00810D70">
        <w:rPr>
          <w:iCs/>
          <w:sz w:val="26"/>
          <w:szCs w:val="26"/>
        </w:rPr>
        <w:t>,</w:t>
      </w:r>
      <w:r>
        <w:rPr>
          <w:iCs/>
          <w:sz w:val="26"/>
          <w:szCs w:val="26"/>
        </w:rPr>
        <w:t xml:space="preserve"> </w:t>
      </w:r>
      <w:r w:rsidR="00810D70">
        <w:rPr>
          <w:iCs/>
          <w:sz w:val="26"/>
          <w:szCs w:val="26"/>
        </w:rPr>
        <w:t xml:space="preserve">as a result of </w:t>
      </w:r>
      <w:r w:rsidR="00FD17AA">
        <w:rPr>
          <w:iCs/>
          <w:sz w:val="26"/>
          <w:szCs w:val="26"/>
        </w:rPr>
        <w:t>the Complainant</w:t>
      </w:r>
      <w:r w:rsidR="00C5324C">
        <w:rPr>
          <w:iCs/>
          <w:sz w:val="26"/>
          <w:szCs w:val="26"/>
        </w:rPr>
        <w:t>’s enrollment in the LIRA</w:t>
      </w:r>
      <w:r w:rsidR="00810D70">
        <w:rPr>
          <w:iCs/>
          <w:sz w:val="26"/>
          <w:szCs w:val="26"/>
        </w:rPr>
        <w:t xml:space="preserve">, the Complainant had a credit balance of $116 as of the evidentiary hearing date.  Therefore, </w:t>
      </w:r>
      <w:r w:rsidR="003D187E" w:rsidRPr="00F14949">
        <w:rPr>
          <w:iCs/>
          <w:sz w:val="26"/>
          <w:szCs w:val="26"/>
        </w:rPr>
        <w:t>because of</w:t>
      </w:r>
      <w:r w:rsidR="00810D70" w:rsidRPr="00F14949">
        <w:rPr>
          <w:iCs/>
          <w:sz w:val="26"/>
          <w:szCs w:val="26"/>
        </w:rPr>
        <w:t xml:space="preserve"> the Complainant’s May 24, 2016 telephone call with </w:t>
      </w:r>
      <w:r w:rsidR="00AE2E06">
        <w:rPr>
          <w:iCs/>
          <w:sz w:val="26"/>
          <w:szCs w:val="26"/>
        </w:rPr>
        <w:t>NFGDC</w:t>
      </w:r>
      <w:r w:rsidR="00810D70" w:rsidRPr="00F14949">
        <w:rPr>
          <w:iCs/>
          <w:sz w:val="26"/>
          <w:szCs w:val="26"/>
        </w:rPr>
        <w:t xml:space="preserve">, </w:t>
      </w:r>
      <w:r w:rsidR="00803DEC" w:rsidRPr="00F14949">
        <w:rPr>
          <w:iCs/>
          <w:sz w:val="26"/>
          <w:szCs w:val="26"/>
        </w:rPr>
        <w:t>the Complainant now receives a discount for his natural g</w:t>
      </w:r>
      <w:r w:rsidR="00F14949" w:rsidRPr="00F14949">
        <w:rPr>
          <w:iCs/>
          <w:sz w:val="26"/>
          <w:szCs w:val="26"/>
        </w:rPr>
        <w:t xml:space="preserve">as service based on his income.  Furthermore, the Complainant specifically requested a payment arrangement in his Complaint filed on June 27, 2016.  Complaint </w:t>
      </w:r>
      <w:r w:rsidR="00F14949" w:rsidRPr="00F14949">
        <w:rPr>
          <w:sz w:val="26"/>
          <w:szCs w:val="26"/>
        </w:rPr>
        <w:t xml:space="preserve">at ¶ 4.  </w:t>
      </w:r>
      <w:r w:rsidR="00810D70" w:rsidRPr="00F14949">
        <w:rPr>
          <w:iCs/>
          <w:sz w:val="26"/>
          <w:szCs w:val="26"/>
        </w:rPr>
        <w:t>Accordingly, we concur with the ALJ that this Finding of Fact is of significant importance</w:t>
      </w:r>
      <w:r w:rsidR="00803DEC" w:rsidRPr="00F14949">
        <w:rPr>
          <w:iCs/>
          <w:sz w:val="26"/>
          <w:szCs w:val="26"/>
        </w:rPr>
        <w:t xml:space="preserve"> and the Complainant’s Exception </w:t>
      </w:r>
      <w:r w:rsidR="00622CA9">
        <w:rPr>
          <w:iCs/>
          <w:sz w:val="26"/>
          <w:szCs w:val="26"/>
        </w:rPr>
        <w:t xml:space="preserve">on </w:t>
      </w:r>
      <w:r w:rsidR="00AC21DF">
        <w:rPr>
          <w:iCs/>
          <w:sz w:val="26"/>
          <w:szCs w:val="26"/>
        </w:rPr>
        <w:t xml:space="preserve">this issue </w:t>
      </w:r>
      <w:r w:rsidR="00803DEC" w:rsidRPr="00F14949">
        <w:rPr>
          <w:iCs/>
          <w:sz w:val="26"/>
          <w:szCs w:val="26"/>
        </w:rPr>
        <w:t>is denied.</w:t>
      </w:r>
    </w:p>
    <w:p w14:paraId="7CA05379" w14:textId="77777777" w:rsidR="00F029A7" w:rsidRDefault="00F029A7" w:rsidP="004B2A99">
      <w:pPr>
        <w:autoSpaceDE w:val="0"/>
        <w:autoSpaceDN w:val="0"/>
        <w:adjustRightInd w:val="0"/>
        <w:ind w:firstLine="0"/>
        <w:jc w:val="left"/>
        <w:rPr>
          <w:iCs/>
          <w:sz w:val="26"/>
          <w:szCs w:val="26"/>
        </w:rPr>
      </w:pPr>
    </w:p>
    <w:p w14:paraId="2DAF30BC" w14:textId="55D3E3E8" w:rsidR="00B776E7" w:rsidRDefault="003D6930" w:rsidP="00D409E4">
      <w:pPr>
        <w:autoSpaceDE w:val="0"/>
        <w:autoSpaceDN w:val="0"/>
        <w:adjustRightInd w:val="0"/>
        <w:ind w:firstLine="0"/>
        <w:jc w:val="left"/>
        <w:rPr>
          <w:iCs/>
          <w:sz w:val="26"/>
          <w:szCs w:val="26"/>
        </w:rPr>
      </w:pPr>
      <w:r>
        <w:rPr>
          <w:iCs/>
          <w:sz w:val="26"/>
          <w:szCs w:val="26"/>
        </w:rPr>
        <w:lastRenderedPageBreak/>
        <w:tab/>
      </w:r>
      <w:r>
        <w:rPr>
          <w:iCs/>
          <w:sz w:val="26"/>
          <w:szCs w:val="26"/>
        </w:rPr>
        <w:tab/>
        <w:t xml:space="preserve">Regarding the issue of unreasonable service, we concur with the ALJ’s determination that </w:t>
      </w:r>
      <w:r w:rsidR="00AE2E06">
        <w:rPr>
          <w:iCs/>
          <w:sz w:val="26"/>
          <w:szCs w:val="26"/>
        </w:rPr>
        <w:t>NFGDC</w:t>
      </w:r>
      <w:r>
        <w:rPr>
          <w:iCs/>
          <w:sz w:val="26"/>
          <w:szCs w:val="26"/>
        </w:rPr>
        <w:t xml:space="preserve"> has met its obligation under Section 1501 of the Code, 66 Pa. C.S §</w:t>
      </w:r>
      <w:r w:rsidR="00C5324C">
        <w:rPr>
          <w:iCs/>
          <w:sz w:val="26"/>
          <w:szCs w:val="26"/>
        </w:rPr>
        <w:t xml:space="preserve"> </w:t>
      </w:r>
      <w:r>
        <w:rPr>
          <w:iCs/>
          <w:sz w:val="26"/>
          <w:szCs w:val="26"/>
        </w:rPr>
        <w:t xml:space="preserve">1501, to provide adequate and reasonable service to its customers.  The record in this proceeding establishes that </w:t>
      </w:r>
      <w:r w:rsidR="00AE2E06">
        <w:rPr>
          <w:iCs/>
          <w:sz w:val="26"/>
          <w:szCs w:val="26"/>
        </w:rPr>
        <w:t>NFGDC</w:t>
      </w:r>
      <w:r>
        <w:rPr>
          <w:iCs/>
          <w:sz w:val="26"/>
          <w:szCs w:val="26"/>
        </w:rPr>
        <w:t xml:space="preserve"> promptly issued an emergency order to investigate a potential gas leak at the service location, based on information provided during the Complainant’s May 20, 2016 telephone call with </w:t>
      </w:r>
      <w:r w:rsidR="00AE2E06">
        <w:rPr>
          <w:iCs/>
          <w:sz w:val="26"/>
          <w:szCs w:val="26"/>
        </w:rPr>
        <w:t>NFGDC</w:t>
      </w:r>
      <w:r>
        <w:rPr>
          <w:iCs/>
          <w:sz w:val="26"/>
          <w:szCs w:val="26"/>
        </w:rPr>
        <w:t>.</w:t>
      </w:r>
      <w:r w:rsidR="000311A3">
        <w:rPr>
          <w:iCs/>
          <w:sz w:val="26"/>
          <w:szCs w:val="26"/>
        </w:rPr>
        <w:t xml:space="preserve">  Tr. at 37.</w:t>
      </w:r>
      <w:r>
        <w:rPr>
          <w:iCs/>
          <w:sz w:val="26"/>
          <w:szCs w:val="26"/>
        </w:rPr>
        <w:t xml:space="preserve">  During the telephone call</w:t>
      </w:r>
      <w:r w:rsidR="007603D5">
        <w:rPr>
          <w:iCs/>
          <w:sz w:val="26"/>
          <w:szCs w:val="26"/>
        </w:rPr>
        <w:t>,</w:t>
      </w:r>
      <w:r>
        <w:rPr>
          <w:iCs/>
          <w:sz w:val="26"/>
          <w:szCs w:val="26"/>
        </w:rPr>
        <w:t xml:space="preserve"> </w:t>
      </w:r>
      <w:r w:rsidR="00AE2E06">
        <w:rPr>
          <w:iCs/>
          <w:sz w:val="26"/>
          <w:szCs w:val="26"/>
        </w:rPr>
        <w:t>NFGDC</w:t>
      </w:r>
      <w:r>
        <w:rPr>
          <w:iCs/>
          <w:sz w:val="26"/>
          <w:szCs w:val="26"/>
        </w:rPr>
        <w:t>’s representative advised the Complainant to open the doors and windows, evacuate to a safe distance and watch for Company service personnel to arrive and evaluate the situation.</w:t>
      </w:r>
      <w:r w:rsidR="000311A3">
        <w:rPr>
          <w:iCs/>
          <w:sz w:val="26"/>
          <w:szCs w:val="26"/>
        </w:rPr>
        <w:t xml:space="preserve">  Tr. at 66.</w:t>
      </w:r>
      <w:r>
        <w:rPr>
          <w:iCs/>
          <w:sz w:val="26"/>
          <w:szCs w:val="26"/>
        </w:rPr>
        <w:t xml:space="preserve">  </w:t>
      </w:r>
      <w:r w:rsidR="00AE2E06">
        <w:rPr>
          <w:iCs/>
          <w:sz w:val="26"/>
          <w:szCs w:val="26"/>
        </w:rPr>
        <w:t>NFGDC</w:t>
      </w:r>
      <w:r w:rsidR="000311A3">
        <w:rPr>
          <w:iCs/>
          <w:sz w:val="26"/>
          <w:szCs w:val="26"/>
        </w:rPr>
        <w:t xml:space="preserve">’s service representative arrived at the service location less than five minutes after the Complainant’s phone call with </w:t>
      </w:r>
      <w:r w:rsidR="00AE2E06">
        <w:rPr>
          <w:iCs/>
          <w:sz w:val="26"/>
          <w:szCs w:val="26"/>
        </w:rPr>
        <w:t>NFGDC</w:t>
      </w:r>
      <w:r w:rsidR="000311A3">
        <w:rPr>
          <w:iCs/>
          <w:sz w:val="26"/>
          <w:szCs w:val="26"/>
        </w:rPr>
        <w:t xml:space="preserve"> ended.  Tr. at 37.  The service representative (1) identified the gas leak on the Complainant’s private service line to his clothes dryer, (2) isolated the leak, and (3) took all necessary action to ensure the situation was safe within nineteen minutes of his arrival at the service location.  Tr. at 80.  </w:t>
      </w:r>
      <w:r w:rsidR="002A38EA">
        <w:rPr>
          <w:iCs/>
          <w:sz w:val="26"/>
          <w:szCs w:val="26"/>
        </w:rPr>
        <w:t>The service representative issued a Receipt of Advice to the Complainant, advising him to have a professional fully repair the service line to hi</w:t>
      </w:r>
      <w:r w:rsidR="007603D5">
        <w:rPr>
          <w:iCs/>
          <w:sz w:val="26"/>
          <w:szCs w:val="26"/>
        </w:rPr>
        <w:t>s</w:t>
      </w:r>
      <w:r w:rsidR="002A38EA">
        <w:rPr>
          <w:iCs/>
          <w:sz w:val="26"/>
          <w:szCs w:val="26"/>
        </w:rPr>
        <w:t xml:space="preserve"> clothes dryer, because the leak was on the Complainant’s private house gas line.  Tr. at</w:t>
      </w:r>
      <w:r w:rsidR="00354558">
        <w:rPr>
          <w:iCs/>
          <w:sz w:val="26"/>
          <w:szCs w:val="26"/>
        </w:rPr>
        <w:t> </w:t>
      </w:r>
      <w:r w:rsidR="002A38EA">
        <w:rPr>
          <w:iCs/>
          <w:sz w:val="26"/>
          <w:szCs w:val="26"/>
        </w:rPr>
        <w:t>67.</w:t>
      </w:r>
      <w:r w:rsidR="00250751">
        <w:rPr>
          <w:iCs/>
          <w:sz w:val="26"/>
          <w:szCs w:val="26"/>
        </w:rPr>
        <w:t xml:space="preserve">  Accordingly, we conclude that the Complainant </w:t>
      </w:r>
      <w:r w:rsidR="00FA07D9">
        <w:rPr>
          <w:iCs/>
          <w:sz w:val="26"/>
          <w:szCs w:val="26"/>
        </w:rPr>
        <w:t xml:space="preserve">did </w:t>
      </w:r>
      <w:r w:rsidR="00250751">
        <w:rPr>
          <w:iCs/>
          <w:sz w:val="26"/>
          <w:szCs w:val="26"/>
        </w:rPr>
        <w:t>not m</w:t>
      </w:r>
      <w:r w:rsidR="00FA07D9">
        <w:rPr>
          <w:iCs/>
          <w:sz w:val="26"/>
          <w:szCs w:val="26"/>
        </w:rPr>
        <w:t>e</w:t>
      </w:r>
      <w:r w:rsidR="00250751">
        <w:rPr>
          <w:iCs/>
          <w:sz w:val="26"/>
          <w:szCs w:val="26"/>
        </w:rPr>
        <w:t>et his burden of proof regarding the allegation of unreasonable service.</w:t>
      </w:r>
      <w:r w:rsidR="0079150C">
        <w:rPr>
          <w:iCs/>
          <w:sz w:val="26"/>
          <w:szCs w:val="26"/>
        </w:rPr>
        <w:t xml:space="preserve">  Additionally, the Complainant failed to establish any basis for his argument that </w:t>
      </w:r>
      <w:r w:rsidR="00AE2E06">
        <w:rPr>
          <w:iCs/>
          <w:sz w:val="26"/>
          <w:szCs w:val="26"/>
        </w:rPr>
        <w:t>NFGDC</w:t>
      </w:r>
      <w:r w:rsidR="0079150C">
        <w:rPr>
          <w:iCs/>
          <w:sz w:val="26"/>
          <w:szCs w:val="26"/>
        </w:rPr>
        <w:t xml:space="preserve"> should provide him a refund for the </w:t>
      </w:r>
      <w:r w:rsidR="00AA1F1E">
        <w:rPr>
          <w:iCs/>
          <w:sz w:val="26"/>
          <w:szCs w:val="26"/>
        </w:rPr>
        <w:t>period</w:t>
      </w:r>
      <w:r w:rsidR="0079150C">
        <w:rPr>
          <w:iCs/>
          <w:sz w:val="26"/>
          <w:szCs w:val="26"/>
        </w:rPr>
        <w:t xml:space="preserve"> that the leak existed.</w:t>
      </w:r>
    </w:p>
    <w:p w14:paraId="66AAB9FB" w14:textId="680B08A2" w:rsidR="00C5324C" w:rsidRDefault="00C5324C" w:rsidP="00D409E4">
      <w:pPr>
        <w:autoSpaceDE w:val="0"/>
        <w:autoSpaceDN w:val="0"/>
        <w:adjustRightInd w:val="0"/>
        <w:ind w:firstLine="0"/>
        <w:jc w:val="left"/>
        <w:rPr>
          <w:iCs/>
          <w:sz w:val="26"/>
          <w:szCs w:val="26"/>
        </w:rPr>
      </w:pPr>
    </w:p>
    <w:p w14:paraId="0A5722EB" w14:textId="3D423B48" w:rsidR="00C5324C" w:rsidRDefault="00C5324C" w:rsidP="00D409E4">
      <w:pPr>
        <w:autoSpaceDE w:val="0"/>
        <w:autoSpaceDN w:val="0"/>
        <w:adjustRightInd w:val="0"/>
        <w:ind w:firstLine="0"/>
        <w:jc w:val="left"/>
        <w:rPr>
          <w:iCs/>
          <w:sz w:val="26"/>
          <w:szCs w:val="26"/>
        </w:rPr>
      </w:pPr>
      <w:r>
        <w:rPr>
          <w:iCs/>
          <w:sz w:val="26"/>
          <w:szCs w:val="26"/>
        </w:rPr>
        <w:tab/>
      </w:r>
      <w:r>
        <w:rPr>
          <w:iCs/>
          <w:sz w:val="26"/>
          <w:szCs w:val="26"/>
        </w:rPr>
        <w:tab/>
        <w:t xml:space="preserve">Regarding the Complainant’s Exception to Finding of Fact No. 7, pertaining to </w:t>
      </w:r>
      <w:r w:rsidR="00AE2E06">
        <w:rPr>
          <w:iCs/>
          <w:sz w:val="26"/>
          <w:szCs w:val="26"/>
        </w:rPr>
        <w:t>NFGDC</w:t>
      </w:r>
      <w:r>
        <w:rPr>
          <w:iCs/>
          <w:sz w:val="26"/>
          <w:szCs w:val="26"/>
        </w:rPr>
        <w:t xml:space="preserve">’s issuance of an emergency order to investigate a potential gas leak, </w:t>
      </w:r>
      <w:r w:rsidR="00FD17AA">
        <w:rPr>
          <w:iCs/>
          <w:sz w:val="26"/>
          <w:szCs w:val="26"/>
        </w:rPr>
        <w:t>the Complainant</w:t>
      </w:r>
      <w:r>
        <w:rPr>
          <w:iCs/>
          <w:sz w:val="26"/>
          <w:szCs w:val="26"/>
        </w:rPr>
        <w:t xml:space="preserve"> does not dispute this finding, but attempts to provide extra-record facts and opinions, which he believes should be considered.  Here, the evidentiary hearing occurred on May 18, 2017, and the record was closed on August 9, 2017.  To the extent that the information presented in the Exceptions is indeed new evidence, we </w:t>
      </w:r>
      <w:r>
        <w:rPr>
          <w:iCs/>
          <w:sz w:val="26"/>
          <w:szCs w:val="26"/>
        </w:rPr>
        <w:lastRenderedPageBreak/>
        <w:t>decline to consider it for lack of good cause.</w:t>
      </w:r>
      <w:r>
        <w:rPr>
          <w:rStyle w:val="FootnoteReference"/>
          <w:iCs/>
          <w:sz w:val="26"/>
          <w:szCs w:val="26"/>
        </w:rPr>
        <w:footnoteReference w:id="9"/>
      </w:r>
      <w:r>
        <w:rPr>
          <w:iCs/>
          <w:sz w:val="26"/>
          <w:szCs w:val="26"/>
        </w:rPr>
        <w:t xml:space="preserve">  In light of our analysis above pertaining to the lack of evidence </w:t>
      </w:r>
      <w:r w:rsidR="00AC21DF">
        <w:rPr>
          <w:iCs/>
          <w:sz w:val="26"/>
          <w:szCs w:val="26"/>
        </w:rPr>
        <w:t>as to the allegations of</w:t>
      </w:r>
      <w:r>
        <w:rPr>
          <w:iCs/>
          <w:sz w:val="26"/>
          <w:szCs w:val="26"/>
        </w:rPr>
        <w:t xml:space="preserve"> unreasonable service, we </w:t>
      </w:r>
      <w:r w:rsidR="00C91C73">
        <w:rPr>
          <w:iCs/>
          <w:sz w:val="26"/>
          <w:szCs w:val="26"/>
        </w:rPr>
        <w:t>conclude</w:t>
      </w:r>
      <w:r>
        <w:rPr>
          <w:iCs/>
          <w:sz w:val="26"/>
          <w:szCs w:val="26"/>
        </w:rPr>
        <w:t xml:space="preserve"> that the Complainant failed to show good cause </w:t>
      </w:r>
      <w:r w:rsidR="00AC21DF">
        <w:rPr>
          <w:iCs/>
          <w:sz w:val="26"/>
          <w:szCs w:val="26"/>
        </w:rPr>
        <w:t xml:space="preserve">for us </w:t>
      </w:r>
      <w:r>
        <w:rPr>
          <w:iCs/>
          <w:sz w:val="26"/>
          <w:szCs w:val="26"/>
        </w:rPr>
        <w:t xml:space="preserve">to </w:t>
      </w:r>
      <w:r w:rsidR="00AC21DF">
        <w:rPr>
          <w:iCs/>
          <w:sz w:val="26"/>
          <w:szCs w:val="26"/>
        </w:rPr>
        <w:t xml:space="preserve">consider </w:t>
      </w:r>
      <w:r>
        <w:rPr>
          <w:iCs/>
          <w:sz w:val="26"/>
          <w:szCs w:val="26"/>
        </w:rPr>
        <w:t xml:space="preserve">any extra record evidence set forth in the Exceptions.  Accordingly, </w:t>
      </w:r>
      <w:r w:rsidR="00C91C73">
        <w:rPr>
          <w:iCs/>
          <w:sz w:val="26"/>
          <w:szCs w:val="26"/>
        </w:rPr>
        <w:t>we shall deny the</w:t>
      </w:r>
      <w:r>
        <w:rPr>
          <w:iCs/>
          <w:sz w:val="26"/>
          <w:szCs w:val="26"/>
        </w:rPr>
        <w:t xml:space="preserve"> </w:t>
      </w:r>
      <w:r w:rsidR="00FA07D9">
        <w:rPr>
          <w:iCs/>
          <w:sz w:val="26"/>
          <w:szCs w:val="26"/>
        </w:rPr>
        <w:t xml:space="preserve">Complainant’s </w:t>
      </w:r>
      <w:r>
        <w:rPr>
          <w:iCs/>
          <w:sz w:val="26"/>
          <w:szCs w:val="26"/>
        </w:rPr>
        <w:t xml:space="preserve">Exception </w:t>
      </w:r>
      <w:r w:rsidR="00C91C73">
        <w:rPr>
          <w:iCs/>
          <w:sz w:val="26"/>
          <w:szCs w:val="26"/>
        </w:rPr>
        <w:t>as to Finding of Fact No. 7</w:t>
      </w:r>
      <w:r>
        <w:rPr>
          <w:iCs/>
          <w:sz w:val="26"/>
          <w:szCs w:val="26"/>
        </w:rPr>
        <w:t>.</w:t>
      </w:r>
    </w:p>
    <w:p w14:paraId="34ED65CD" w14:textId="77777777" w:rsidR="00A50A56" w:rsidRDefault="00A50A56" w:rsidP="00D409E4">
      <w:pPr>
        <w:autoSpaceDE w:val="0"/>
        <w:autoSpaceDN w:val="0"/>
        <w:adjustRightInd w:val="0"/>
        <w:ind w:firstLine="0"/>
        <w:jc w:val="left"/>
        <w:rPr>
          <w:iCs/>
          <w:sz w:val="26"/>
          <w:szCs w:val="26"/>
        </w:rPr>
      </w:pPr>
    </w:p>
    <w:p w14:paraId="4490921F" w14:textId="10023C3D" w:rsidR="0005540D" w:rsidRDefault="00FB5773" w:rsidP="001F3862">
      <w:pPr>
        <w:ind w:firstLine="1440"/>
        <w:jc w:val="left"/>
        <w:rPr>
          <w:sz w:val="26"/>
          <w:szCs w:val="26"/>
        </w:rPr>
      </w:pPr>
      <w:r>
        <w:rPr>
          <w:sz w:val="26"/>
          <w:szCs w:val="26"/>
        </w:rPr>
        <w:t xml:space="preserve">Although we agree with the ALJ’s dismissal of the Complaint, we shall as a final matter discuss </w:t>
      </w:r>
      <w:r w:rsidR="00AE2E06">
        <w:rPr>
          <w:sz w:val="26"/>
          <w:szCs w:val="26"/>
        </w:rPr>
        <w:t>NFGDC</w:t>
      </w:r>
      <w:r>
        <w:rPr>
          <w:sz w:val="26"/>
          <w:szCs w:val="26"/>
        </w:rPr>
        <w:t xml:space="preserve">’s reading of </w:t>
      </w:r>
      <w:r w:rsidR="00FA07D9">
        <w:rPr>
          <w:sz w:val="26"/>
          <w:szCs w:val="26"/>
        </w:rPr>
        <w:t xml:space="preserve">the </w:t>
      </w:r>
      <w:r>
        <w:rPr>
          <w:sz w:val="26"/>
          <w:szCs w:val="26"/>
        </w:rPr>
        <w:t xml:space="preserve">Complainant’s gas meter.  </w:t>
      </w:r>
      <w:r w:rsidR="00A50A56">
        <w:rPr>
          <w:sz w:val="26"/>
          <w:szCs w:val="26"/>
        </w:rPr>
        <w:t>As noted above, t</w:t>
      </w:r>
      <w:r w:rsidR="00A50A56" w:rsidRPr="005D41CD">
        <w:rPr>
          <w:sz w:val="26"/>
          <w:szCs w:val="26"/>
        </w:rPr>
        <w:t xml:space="preserve">he Complainant’s meter is read </w:t>
      </w:r>
      <w:r w:rsidR="00A50A56">
        <w:rPr>
          <w:sz w:val="26"/>
          <w:szCs w:val="26"/>
        </w:rPr>
        <w:t>by NFGDC on a bi-monthly basis</w:t>
      </w:r>
      <w:r w:rsidR="008B28B5">
        <w:rPr>
          <w:sz w:val="26"/>
          <w:szCs w:val="26"/>
        </w:rPr>
        <w:t>;</w:t>
      </w:r>
      <w:r w:rsidR="00A50A56">
        <w:rPr>
          <w:sz w:val="26"/>
          <w:szCs w:val="26"/>
        </w:rPr>
        <w:t xml:space="preserve"> and what the Complainant perceived as a high bill, </w:t>
      </w:r>
      <w:r>
        <w:rPr>
          <w:sz w:val="26"/>
          <w:szCs w:val="26"/>
        </w:rPr>
        <w:t xml:space="preserve">appears to be </w:t>
      </w:r>
      <w:r w:rsidR="00A50A56">
        <w:rPr>
          <w:sz w:val="26"/>
          <w:szCs w:val="26"/>
        </w:rPr>
        <w:t>the result of NFGDC’s three consecutive estimated meter readings</w:t>
      </w:r>
      <w:r w:rsidR="00E1752F">
        <w:rPr>
          <w:sz w:val="26"/>
          <w:szCs w:val="26"/>
        </w:rPr>
        <w:t>, from February 2016 to April 2016,</w:t>
      </w:r>
      <w:r w:rsidR="00A50A56">
        <w:rPr>
          <w:sz w:val="26"/>
          <w:szCs w:val="26"/>
        </w:rPr>
        <w:t xml:space="preserve"> prior to an actual meter reading on May 4, 2016</w:t>
      </w:r>
      <w:r w:rsidR="00E1752F">
        <w:rPr>
          <w:sz w:val="26"/>
          <w:szCs w:val="26"/>
        </w:rPr>
        <w:t xml:space="preserve">.  Additionally, the record indicates that NFGDC </w:t>
      </w:r>
      <w:r w:rsidR="00E97C9E">
        <w:rPr>
          <w:sz w:val="26"/>
          <w:szCs w:val="26"/>
        </w:rPr>
        <w:t>estimated the Complainant’</w:t>
      </w:r>
      <w:r w:rsidR="00685136">
        <w:rPr>
          <w:sz w:val="26"/>
          <w:szCs w:val="26"/>
        </w:rPr>
        <w:t>s usage for four</w:t>
      </w:r>
      <w:r w:rsidR="00E97C9E">
        <w:rPr>
          <w:sz w:val="26"/>
          <w:szCs w:val="26"/>
        </w:rPr>
        <w:t xml:space="preserve"> months in a row</w:t>
      </w:r>
      <w:r w:rsidR="00685136">
        <w:rPr>
          <w:sz w:val="26"/>
          <w:szCs w:val="26"/>
        </w:rPr>
        <w:t>, from August 2016 to November</w:t>
      </w:r>
      <w:r w:rsidR="00E97C9E">
        <w:rPr>
          <w:sz w:val="26"/>
          <w:szCs w:val="26"/>
        </w:rPr>
        <w:t xml:space="preserve"> 2016.  </w:t>
      </w:r>
      <w:r w:rsidR="00685136">
        <w:rPr>
          <w:sz w:val="26"/>
          <w:szCs w:val="26"/>
        </w:rPr>
        <w:t xml:space="preserve">Tr. at 69; Respondent </w:t>
      </w:r>
      <w:proofErr w:type="spellStart"/>
      <w:r w:rsidR="00685136">
        <w:rPr>
          <w:sz w:val="26"/>
          <w:szCs w:val="26"/>
        </w:rPr>
        <w:t>Exh</w:t>
      </w:r>
      <w:proofErr w:type="spellEnd"/>
      <w:r w:rsidR="00685136">
        <w:rPr>
          <w:sz w:val="26"/>
          <w:szCs w:val="26"/>
        </w:rPr>
        <w:t xml:space="preserve">. 5.  The reason given by </w:t>
      </w:r>
      <w:r w:rsidR="00AE2E06">
        <w:rPr>
          <w:sz w:val="26"/>
          <w:szCs w:val="26"/>
        </w:rPr>
        <w:t>NFGDC</w:t>
      </w:r>
      <w:r w:rsidR="00685136">
        <w:rPr>
          <w:sz w:val="26"/>
          <w:szCs w:val="26"/>
        </w:rPr>
        <w:t>’s witness as to why there were not actual meter reading</w:t>
      </w:r>
      <w:r w:rsidR="0035286A">
        <w:rPr>
          <w:sz w:val="26"/>
          <w:szCs w:val="26"/>
        </w:rPr>
        <w:t>s taken in March, September, or</w:t>
      </w:r>
      <w:r w:rsidR="00685136">
        <w:rPr>
          <w:sz w:val="26"/>
          <w:szCs w:val="26"/>
        </w:rPr>
        <w:t xml:space="preserve"> November of 2016 was simply because the meter is located inside the Complainant’s home and </w:t>
      </w:r>
      <w:r w:rsidR="00AE2E06">
        <w:rPr>
          <w:sz w:val="26"/>
          <w:szCs w:val="26"/>
        </w:rPr>
        <w:t>NFGDC</w:t>
      </w:r>
      <w:r>
        <w:rPr>
          <w:sz w:val="26"/>
          <w:szCs w:val="26"/>
        </w:rPr>
        <w:t xml:space="preserve"> was</w:t>
      </w:r>
      <w:r w:rsidR="00685136">
        <w:rPr>
          <w:sz w:val="26"/>
          <w:szCs w:val="26"/>
        </w:rPr>
        <w:t xml:space="preserve"> unab</w:t>
      </w:r>
      <w:r w:rsidR="001F3862">
        <w:rPr>
          <w:sz w:val="26"/>
          <w:szCs w:val="26"/>
        </w:rPr>
        <w:t xml:space="preserve">le to gain access.  Tr. at 69.  </w:t>
      </w:r>
      <w:r w:rsidR="0005540D">
        <w:rPr>
          <w:sz w:val="26"/>
          <w:szCs w:val="26"/>
        </w:rPr>
        <w:t>There appears to have been no further testimony or cross examination as to this issue.</w:t>
      </w:r>
    </w:p>
    <w:p w14:paraId="098787C3" w14:textId="77777777" w:rsidR="0005540D" w:rsidRDefault="0005540D" w:rsidP="001F3862">
      <w:pPr>
        <w:ind w:firstLine="1440"/>
        <w:jc w:val="left"/>
        <w:rPr>
          <w:rFonts w:eastAsia="MS Mincho"/>
          <w:sz w:val="26"/>
          <w:szCs w:val="26"/>
        </w:rPr>
      </w:pPr>
    </w:p>
    <w:p w14:paraId="12674A95" w14:textId="6994B8EF" w:rsidR="001F3862" w:rsidRPr="001F3862" w:rsidRDefault="001F3862" w:rsidP="001F3862">
      <w:pPr>
        <w:ind w:firstLine="1440"/>
        <w:jc w:val="left"/>
        <w:rPr>
          <w:rFonts w:eastAsia="MS Mincho"/>
          <w:sz w:val="26"/>
          <w:szCs w:val="26"/>
        </w:rPr>
      </w:pPr>
      <w:r>
        <w:rPr>
          <w:rFonts w:eastAsia="MS Mincho"/>
          <w:sz w:val="26"/>
          <w:szCs w:val="26"/>
        </w:rPr>
        <w:t>R</w:t>
      </w:r>
      <w:r w:rsidRPr="001F3862">
        <w:rPr>
          <w:rFonts w:eastAsia="MS Mincho"/>
          <w:sz w:val="26"/>
          <w:szCs w:val="26"/>
        </w:rPr>
        <w:t>egarding the three</w:t>
      </w:r>
      <w:r>
        <w:rPr>
          <w:rFonts w:eastAsia="MS Mincho"/>
          <w:sz w:val="26"/>
          <w:szCs w:val="26"/>
        </w:rPr>
        <w:t xml:space="preserve"> and four</w:t>
      </w:r>
      <w:r w:rsidRPr="001F3862">
        <w:rPr>
          <w:rFonts w:eastAsia="MS Mincho"/>
          <w:sz w:val="26"/>
          <w:szCs w:val="26"/>
        </w:rPr>
        <w:t xml:space="preserve"> consecutive estimated meter readings obtained by </w:t>
      </w:r>
      <w:r>
        <w:rPr>
          <w:rFonts w:eastAsia="MS Mincho"/>
          <w:sz w:val="26"/>
          <w:szCs w:val="26"/>
        </w:rPr>
        <w:t>NFGDC</w:t>
      </w:r>
      <w:r w:rsidRPr="001F3862">
        <w:rPr>
          <w:rFonts w:eastAsia="MS Mincho"/>
          <w:sz w:val="26"/>
          <w:szCs w:val="26"/>
        </w:rPr>
        <w:t>, we note that our Regulations at 52 Pa. Code § 56.12 contain provisions concerning a public utility’s reading of a customer’s meter.  These Regulations state, in pertinent part, as follows:</w:t>
      </w:r>
    </w:p>
    <w:p w14:paraId="1FA4F931" w14:textId="77777777" w:rsidR="001F3862" w:rsidRPr="001F3862" w:rsidRDefault="001F3862" w:rsidP="001F3862">
      <w:pPr>
        <w:spacing w:beforeAutospacing="1" w:afterAutospacing="1" w:line="240" w:lineRule="auto"/>
        <w:ind w:left="1440" w:right="1440" w:firstLine="0"/>
        <w:contextualSpacing/>
        <w:jc w:val="left"/>
        <w:outlineLvl w:val="3"/>
        <w:rPr>
          <w:rFonts w:eastAsia="Times New Roman"/>
          <w:b/>
          <w:bCs/>
          <w:sz w:val="26"/>
          <w:szCs w:val="26"/>
        </w:rPr>
      </w:pPr>
      <w:bookmarkStart w:id="0" w:name="56.12."/>
    </w:p>
    <w:p w14:paraId="16F89615" w14:textId="77777777" w:rsidR="001F3862" w:rsidRDefault="001F3862" w:rsidP="001F3862">
      <w:pPr>
        <w:spacing w:beforeAutospacing="1" w:afterAutospacing="1" w:line="240" w:lineRule="auto"/>
        <w:ind w:left="1440" w:right="1440" w:firstLine="0"/>
        <w:contextualSpacing/>
        <w:jc w:val="left"/>
        <w:outlineLvl w:val="3"/>
        <w:rPr>
          <w:rFonts w:eastAsia="Times New Roman"/>
          <w:b/>
          <w:bCs/>
          <w:sz w:val="26"/>
          <w:szCs w:val="26"/>
        </w:rPr>
      </w:pPr>
      <w:r w:rsidRPr="001F3862">
        <w:rPr>
          <w:rFonts w:eastAsia="Times New Roman"/>
          <w:b/>
          <w:bCs/>
          <w:sz w:val="26"/>
          <w:szCs w:val="26"/>
        </w:rPr>
        <w:t>§ 56.12. Meter reading; estimated billing; customer readings.</w:t>
      </w:r>
    </w:p>
    <w:p w14:paraId="59A26FD4" w14:textId="77777777" w:rsidR="001F3862" w:rsidRPr="001F3862" w:rsidRDefault="001F3862" w:rsidP="001F3862">
      <w:pPr>
        <w:spacing w:beforeAutospacing="1" w:afterAutospacing="1" w:line="240" w:lineRule="auto"/>
        <w:ind w:left="1440" w:right="1440" w:firstLine="0"/>
        <w:contextualSpacing/>
        <w:jc w:val="left"/>
        <w:outlineLvl w:val="3"/>
        <w:rPr>
          <w:rFonts w:eastAsia="Times New Roman"/>
          <w:b/>
          <w:bCs/>
          <w:sz w:val="26"/>
          <w:szCs w:val="26"/>
        </w:rPr>
      </w:pPr>
    </w:p>
    <w:p w14:paraId="47A90DCE" w14:textId="77777777" w:rsidR="001F3862" w:rsidRDefault="001F3862" w:rsidP="001F3862">
      <w:pPr>
        <w:spacing w:before="100" w:beforeAutospacing="1" w:after="100" w:afterAutospacing="1" w:line="240" w:lineRule="auto"/>
        <w:ind w:left="1440" w:right="1440" w:firstLine="0"/>
        <w:contextualSpacing/>
        <w:jc w:val="left"/>
        <w:rPr>
          <w:rFonts w:eastAsia="Times New Roman"/>
          <w:sz w:val="26"/>
          <w:szCs w:val="26"/>
        </w:rPr>
      </w:pPr>
      <w:r w:rsidRPr="001F3862">
        <w:rPr>
          <w:rFonts w:eastAsia="Times New Roman"/>
          <w:sz w:val="26"/>
          <w:szCs w:val="26"/>
        </w:rPr>
        <w:lastRenderedPageBreak/>
        <w:t xml:space="preserve">Except as provided in this section, a public utility shall render bills based on actual meter readings by public utility company personnel. </w:t>
      </w:r>
    </w:p>
    <w:p w14:paraId="3B835FFE" w14:textId="77777777" w:rsidR="001F3862" w:rsidRPr="001F3862" w:rsidRDefault="001F3862" w:rsidP="001F3862">
      <w:pPr>
        <w:spacing w:before="100" w:beforeAutospacing="1" w:after="100" w:afterAutospacing="1" w:line="240" w:lineRule="auto"/>
        <w:ind w:left="1440" w:right="1440" w:firstLine="0"/>
        <w:contextualSpacing/>
        <w:jc w:val="left"/>
        <w:rPr>
          <w:rFonts w:eastAsia="Times New Roman"/>
          <w:sz w:val="26"/>
          <w:szCs w:val="26"/>
        </w:rPr>
      </w:pPr>
    </w:p>
    <w:p w14:paraId="3A066A0B" w14:textId="77777777" w:rsidR="001F3862" w:rsidRPr="001F3862" w:rsidRDefault="001F3862" w:rsidP="001F3862">
      <w:pPr>
        <w:autoSpaceDE w:val="0"/>
        <w:autoSpaceDN w:val="0"/>
        <w:spacing w:line="240" w:lineRule="auto"/>
        <w:ind w:left="1440" w:right="1440" w:firstLine="0"/>
        <w:rPr>
          <w:sz w:val="26"/>
          <w:szCs w:val="26"/>
        </w:rPr>
      </w:pPr>
      <w:r w:rsidRPr="001F3862">
        <w:rPr>
          <w:sz w:val="26"/>
          <w:szCs w:val="26"/>
        </w:rPr>
        <w:t>*</w:t>
      </w:r>
      <w:r w:rsidRPr="001F3862">
        <w:rPr>
          <w:sz w:val="26"/>
          <w:szCs w:val="26"/>
        </w:rPr>
        <w:tab/>
        <w:t>*</w:t>
      </w:r>
      <w:r w:rsidRPr="001F3862">
        <w:rPr>
          <w:sz w:val="26"/>
          <w:szCs w:val="26"/>
        </w:rPr>
        <w:tab/>
        <w:t>*</w:t>
      </w:r>
    </w:p>
    <w:p w14:paraId="231EE883" w14:textId="77777777" w:rsidR="001F3862" w:rsidRPr="001F3862" w:rsidRDefault="001F3862" w:rsidP="001F3862">
      <w:pPr>
        <w:spacing w:beforeAutospacing="1" w:afterAutospacing="1" w:line="240" w:lineRule="auto"/>
        <w:ind w:left="1440" w:right="1440" w:firstLine="0"/>
        <w:contextualSpacing/>
        <w:jc w:val="left"/>
        <w:outlineLvl w:val="3"/>
        <w:rPr>
          <w:rFonts w:eastAsia="Times New Roman"/>
          <w:b/>
          <w:bCs/>
          <w:sz w:val="26"/>
          <w:szCs w:val="26"/>
        </w:rPr>
      </w:pPr>
    </w:p>
    <w:p w14:paraId="73CAAC20" w14:textId="1A5353CC" w:rsidR="001F3862" w:rsidRPr="001F3862" w:rsidRDefault="001F3862" w:rsidP="001F3862">
      <w:pPr>
        <w:spacing w:beforeAutospacing="1" w:afterAutospacing="1" w:line="240" w:lineRule="auto"/>
        <w:ind w:left="1440" w:right="1440" w:firstLine="0"/>
        <w:contextualSpacing/>
        <w:jc w:val="left"/>
        <w:outlineLvl w:val="3"/>
        <w:rPr>
          <w:rFonts w:eastAsia="Times New Roman"/>
          <w:sz w:val="26"/>
          <w:szCs w:val="26"/>
        </w:rPr>
      </w:pPr>
      <w:r w:rsidRPr="001F3862">
        <w:rPr>
          <w:rFonts w:eastAsia="Times New Roman"/>
          <w:sz w:val="26"/>
          <w:szCs w:val="26"/>
        </w:rPr>
        <w:t xml:space="preserve">(2) </w:t>
      </w:r>
      <w:r w:rsidRPr="001F3862">
        <w:rPr>
          <w:rFonts w:eastAsia="Times New Roman"/>
          <w:i/>
          <w:iCs/>
          <w:sz w:val="26"/>
          <w:szCs w:val="26"/>
        </w:rPr>
        <w:t xml:space="preserve">Estimates for bills rendered on a monthly basis. </w:t>
      </w:r>
      <w:r w:rsidR="008B28B5">
        <w:rPr>
          <w:rFonts w:eastAsia="Times New Roman"/>
          <w:i/>
          <w:iCs/>
          <w:sz w:val="26"/>
          <w:szCs w:val="26"/>
        </w:rPr>
        <w:t xml:space="preserve"> </w:t>
      </w:r>
      <w:r w:rsidRPr="001F3862">
        <w:rPr>
          <w:rFonts w:eastAsia="Times New Roman"/>
          <w:sz w:val="26"/>
          <w:szCs w:val="26"/>
        </w:rPr>
        <w:t>If a public utility bills on a monthly basis, it may estimate usage of service every other billing month, so long as the public utility provides a customer with the opportunity to read the meter and report the quantity of usage in lieu of the estimated bill. The resulting bills must be based on the information provided, except for an account when it is apparent that the information is erroneous.</w:t>
      </w:r>
    </w:p>
    <w:p w14:paraId="413A2CDA" w14:textId="77777777" w:rsidR="001F3862" w:rsidRPr="001F3862" w:rsidRDefault="001F3862" w:rsidP="001F3862">
      <w:pPr>
        <w:spacing w:beforeAutospacing="1" w:afterAutospacing="1" w:line="240" w:lineRule="auto"/>
        <w:ind w:left="1440" w:right="1440" w:firstLine="0"/>
        <w:contextualSpacing/>
        <w:jc w:val="left"/>
        <w:outlineLvl w:val="3"/>
        <w:rPr>
          <w:rFonts w:eastAsia="Times New Roman"/>
          <w:b/>
          <w:bCs/>
          <w:sz w:val="26"/>
          <w:szCs w:val="26"/>
        </w:rPr>
      </w:pPr>
    </w:p>
    <w:p w14:paraId="6FD79051" w14:textId="77777777" w:rsidR="001F3862" w:rsidRPr="001F3862" w:rsidRDefault="001F3862" w:rsidP="001F3862">
      <w:pPr>
        <w:autoSpaceDE w:val="0"/>
        <w:autoSpaceDN w:val="0"/>
        <w:spacing w:line="240" w:lineRule="auto"/>
        <w:ind w:left="1440" w:right="1440" w:firstLine="0"/>
        <w:rPr>
          <w:sz w:val="26"/>
          <w:szCs w:val="26"/>
        </w:rPr>
      </w:pPr>
      <w:r w:rsidRPr="001F3862">
        <w:rPr>
          <w:sz w:val="26"/>
          <w:szCs w:val="26"/>
        </w:rPr>
        <w:t>*</w:t>
      </w:r>
      <w:r w:rsidRPr="001F3862">
        <w:rPr>
          <w:sz w:val="26"/>
          <w:szCs w:val="26"/>
        </w:rPr>
        <w:tab/>
        <w:t>*</w:t>
      </w:r>
      <w:r w:rsidRPr="001F3862">
        <w:rPr>
          <w:sz w:val="26"/>
          <w:szCs w:val="26"/>
        </w:rPr>
        <w:tab/>
        <w:t>*</w:t>
      </w:r>
    </w:p>
    <w:p w14:paraId="3BC86D8F" w14:textId="77777777" w:rsidR="001F3862" w:rsidRPr="001F3862" w:rsidRDefault="001F3862" w:rsidP="001F3862">
      <w:pPr>
        <w:spacing w:beforeAutospacing="1" w:afterAutospacing="1" w:line="240" w:lineRule="auto"/>
        <w:ind w:left="1440" w:right="1440" w:firstLine="0"/>
        <w:contextualSpacing/>
        <w:jc w:val="left"/>
        <w:outlineLvl w:val="3"/>
        <w:rPr>
          <w:rFonts w:eastAsia="Times New Roman"/>
          <w:b/>
          <w:bCs/>
          <w:sz w:val="26"/>
          <w:szCs w:val="26"/>
        </w:rPr>
      </w:pPr>
    </w:p>
    <w:p w14:paraId="131FE3CA" w14:textId="77777777" w:rsidR="001F3862" w:rsidRPr="001F3862" w:rsidRDefault="001F3862" w:rsidP="001F3862">
      <w:pPr>
        <w:spacing w:line="240" w:lineRule="auto"/>
        <w:ind w:left="1440" w:right="1440" w:firstLine="0"/>
        <w:contextualSpacing/>
        <w:jc w:val="left"/>
        <w:outlineLvl w:val="3"/>
        <w:rPr>
          <w:rFonts w:eastAsia="Times New Roman"/>
          <w:b/>
          <w:bCs/>
          <w:sz w:val="26"/>
          <w:szCs w:val="26"/>
        </w:rPr>
      </w:pPr>
      <w:r w:rsidRPr="001F3862">
        <w:rPr>
          <w:rFonts w:eastAsia="Times New Roman"/>
          <w:sz w:val="26"/>
          <w:szCs w:val="26"/>
        </w:rPr>
        <w:t xml:space="preserve">(3) </w:t>
      </w:r>
      <w:r w:rsidRPr="001F3862">
        <w:rPr>
          <w:rFonts w:eastAsia="Times New Roman"/>
          <w:i/>
          <w:iCs/>
          <w:sz w:val="26"/>
          <w:szCs w:val="26"/>
        </w:rPr>
        <w:t xml:space="preserve">Estimates permitted under exigent circumstances. </w:t>
      </w:r>
      <w:r w:rsidRPr="001F3862">
        <w:rPr>
          <w:rFonts w:eastAsia="Times New Roman"/>
          <w:sz w:val="26"/>
          <w:szCs w:val="26"/>
        </w:rPr>
        <w:t>A public utility may estimate the bill of a customer if extreme weather conditions, emergencies, equipment failure, work stoppages or other circumstances prevent actual meter reading.</w:t>
      </w:r>
    </w:p>
    <w:bookmarkEnd w:id="0"/>
    <w:p w14:paraId="497271E2" w14:textId="77777777" w:rsidR="00E1752F" w:rsidRDefault="00E1752F" w:rsidP="001F3862">
      <w:pPr>
        <w:autoSpaceDE w:val="0"/>
        <w:autoSpaceDN w:val="0"/>
        <w:adjustRightInd w:val="0"/>
        <w:ind w:firstLine="1440"/>
        <w:jc w:val="left"/>
        <w:rPr>
          <w:sz w:val="26"/>
          <w:szCs w:val="26"/>
        </w:rPr>
      </w:pPr>
    </w:p>
    <w:p w14:paraId="4687B91A" w14:textId="48EFD9E9" w:rsidR="00E1752F" w:rsidRDefault="001F3862" w:rsidP="00D409E4">
      <w:pPr>
        <w:autoSpaceDE w:val="0"/>
        <w:autoSpaceDN w:val="0"/>
        <w:adjustRightInd w:val="0"/>
        <w:ind w:firstLine="0"/>
        <w:jc w:val="left"/>
        <w:rPr>
          <w:sz w:val="26"/>
          <w:szCs w:val="26"/>
        </w:rPr>
      </w:pPr>
      <w:r w:rsidRPr="001F3862">
        <w:rPr>
          <w:rFonts w:eastAsia="MS Mincho"/>
          <w:sz w:val="26"/>
          <w:szCs w:val="26"/>
        </w:rPr>
        <w:t xml:space="preserve">We remind </w:t>
      </w:r>
      <w:r>
        <w:rPr>
          <w:rFonts w:eastAsia="MS Mincho"/>
          <w:sz w:val="26"/>
          <w:szCs w:val="26"/>
        </w:rPr>
        <w:t>NFGDC</w:t>
      </w:r>
      <w:r w:rsidRPr="001F3862">
        <w:rPr>
          <w:rFonts w:eastAsia="MS Mincho"/>
          <w:sz w:val="26"/>
          <w:szCs w:val="26"/>
        </w:rPr>
        <w:t xml:space="preserve"> that the phrase “other circumstances” under Section 56.12(3) of our Regulations should not be construed as to permit a utility to liberally claim the existence of an exigent circumstance to justify the estimation of a customer’s meter.  Rather, such circumstances should be limited to those situations that are emergency in nature and in which the inability to obtain an actual meter reading is for a reason that is beyond the control of the Company.</w:t>
      </w:r>
      <w:r>
        <w:rPr>
          <w:rFonts w:eastAsia="MS Mincho"/>
          <w:sz w:val="26"/>
          <w:szCs w:val="26"/>
        </w:rPr>
        <w:t xml:space="preserve">  </w:t>
      </w:r>
      <w:r w:rsidR="0005540D">
        <w:rPr>
          <w:rFonts w:eastAsia="MS Mincho"/>
          <w:i/>
          <w:sz w:val="26"/>
          <w:szCs w:val="26"/>
        </w:rPr>
        <w:t xml:space="preserve">Elizabeth </w:t>
      </w:r>
      <w:proofErr w:type="spellStart"/>
      <w:r w:rsidR="0005540D">
        <w:rPr>
          <w:rFonts w:eastAsia="MS Mincho"/>
          <w:i/>
          <w:sz w:val="26"/>
          <w:szCs w:val="26"/>
        </w:rPr>
        <w:t>Garstecki</w:t>
      </w:r>
      <w:proofErr w:type="spellEnd"/>
      <w:r w:rsidR="0005540D">
        <w:rPr>
          <w:rFonts w:eastAsia="MS Mincho"/>
          <w:i/>
          <w:sz w:val="26"/>
          <w:szCs w:val="26"/>
        </w:rPr>
        <w:t xml:space="preserve"> v. West Penn Power Company</w:t>
      </w:r>
      <w:r w:rsidR="0005540D">
        <w:rPr>
          <w:rFonts w:eastAsia="MS Mincho"/>
          <w:sz w:val="26"/>
          <w:szCs w:val="26"/>
        </w:rPr>
        <w:t>, Docket No. F-2013-2395283 (Order entered July 8, 2015).  Here</w:t>
      </w:r>
      <w:r>
        <w:rPr>
          <w:rFonts w:eastAsia="MS Mincho"/>
          <w:sz w:val="26"/>
          <w:szCs w:val="26"/>
        </w:rPr>
        <w:t xml:space="preserve">, </w:t>
      </w:r>
      <w:r w:rsidR="0005540D">
        <w:rPr>
          <w:rFonts w:eastAsia="MS Mincho"/>
          <w:sz w:val="26"/>
          <w:szCs w:val="26"/>
        </w:rPr>
        <w:t xml:space="preserve">however, </w:t>
      </w:r>
      <w:r>
        <w:rPr>
          <w:rFonts w:eastAsia="MS Mincho"/>
          <w:sz w:val="26"/>
          <w:szCs w:val="26"/>
        </w:rPr>
        <w:t xml:space="preserve">the </w:t>
      </w:r>
      <w:r w:rsidR="0005540D">
        <w:rPr>
          <w:rFonts w:eastAsia="MS Mincho"/>
          <w:sz w:val="26"/>
          <w:szCs w:val="26"/>
        </w:rPr>
        <w:t xml:space="preserve">record </w:t>
      </w:r>
      <w:r>
        <w:rPr>
          <w:rFonts w:eastAsia="MS Mincho"/>
          <w:sz w:val="26"/>
          <w:szCs w:val="26"/>
        </w:rPr>
        <w:t xml:space="preserve">evidence in this proceeding does not </w:t>
      </w:r>
      <w:r w:rsidR="0005540D">
        <w:rPr>
          <w:rFonts w:eastAsia="MS Mincho"/>
          <w:sz w:val="26"/>
          <w:szCs w:val="26"/>
        </w:rPr>
        <w:t>support a finding that</w:t>
      </w:r>
      <w:r>
        <w:rPr>
          <w:rFonts w:eastAsia="MS Mincho"/>
          <w:sz w:val="26"/>
          <w:szCs w:val="26"/>
        </w:rPr>
        <w:t xml:space="preserve"> NFGDC has violated Section 56.12(2) of our Regulations.</w:t>
      </w:r>
    </w:p>
    <w:p w14:paraId="5FD4F7A8" w14:textId="77777777" w:rsidR="00A50A56" w:rsidRPr="00D409E4" w:rsidRDefault="00A50A56" w:rsidP="00D409E4">
      <w:pPr>
        <w:autoSpaceDE w:val="0"/>
        <w:autoSpaceDN w:val="0"/>
        <w:adjustRightInd w:val="0"/>
        <w:ind w:firstLine="0"/>
        <w:jc w:val="left"/>
        <w:rPr>
          <w:iCs/>
          <w:sz w:val="26"/>
          <w:szCs w:val="26"/>
        </w:rPr>
      </w:pPr>
    </w:p>
    <w:p w14:paraId="082DC060" w14:textId="77777777" w:rsidR="00B776E7" w:rsidRDefault="00B776E7" w:rsidP="008B28B5">
      <w:pPr>
        <w:keepNext/>
        <w:keepLines/>
        <w:autoSpaceDE w:val="0"/>
        <w:autoSpaceDN w:val="0"/>
        <w:adjustRightInd w:val="0"/>
        <w:ind w:firstLine="0"/>
        <w:rPr>
          <w:sz w:val="26"/>
          <w:szCs w:val="26"/>
        </w:rPr>
      </w:pPr>
      <w:r>
        <w:rPr>
          <w:b/>
          <w:sz w:val="26"/>
          <w:szCs w:val="26"/>
        </w:rPr>
        <w:lastRenderedPageBreak/>
        <w:t>Conclusion</w:t>
      </w:r>
    </w:p>
    <w:p w14:paraId="5E39DC45" w14:textId="77777777" w:rsidR="00B776E7" w:rsidRDefault="00B776E7" w:rsidP="008B28B5">
      <w:pPr>
        <w:keepNext/>
        <w:keepLines/>
        <w:autoSpaceDE w:val="0"/>
        <w:autoSpaceDN w:val="0"/>
        <w:adjustRightInd w:val="0"/>
        <w:jc w:val="left"/>
        <w:rPr>
          <w:sz w:val="26"/>
          <w:szCs w:val="26"/>
        </w:rPr>
      </w:pPr>
    </w:p>
    <w:p w14:paraId="6CC42226" w14:textId="7755241D" w:rsidR="00B776E7" w:rsidRDefault="00B776E7" w:rsidP="000A2650">
      <w:pPr>
        <w:autoSpaceDE w:val="0"/>
        <w:autoSpaceDN w:val="0"/>
        <w:adjustRightInd w:val="0"/>
        <w:jc w:val="left"/>
        <w:rPr>
          <w:sz w:val="26"/>
          <w:szCs w:val="26"/>
        </w:rPr>
      </w:pPr>
      <w:r>
        <w:rPr>
          <w:sz w:val="26"/>
          <w:szCs w:val="26"/>
        </w:rPr>
        <w:tab/>
        <w:t xml:space="preserve">Based </w:t>
      </w:r>
      <w:r w:rsidR="00D409E4">
        <w:rPr>
          <w:sz w:val="26"/>
          <w:szCs w:val="26"/>
        </w:rPr>
        <w:t>upon our review of the Exceptions, the Initial Decision, and the record in this proceeding, we shall grant the Complainant’s Exceptions, in part, deny the</w:t>
      </w:r>
      <w:r w:rsidR="0005540D">
        <w:rPr>
          <w:sz w:val="26"/>
          <w:szCs w:val="26"/>
        </w:rPr>
        <w:t>m</w:t>
      </w:r>
      <w:r w:rsidR="00D409E4">
        <w:rPr>
          <w:sz w:val="26"/>
          <w:szCs w:val="26"/>
        </w:rPr>
        <w:t xml:space="preserve">, in part, and modify the Initial Decision, </w:t>
      </w:r>
      <w:r>
        <w:rPr>
          <w:sz w:val="26"/>
          <w:szCs w:val="26"/>
        </w:rPr>
        <w:t xml:space="preserve">consistent with this Opinion and Order; </w:t>
      </w:r>
      <w:r>
        <w:rPr>
          <w:b/>
          <w:sz w:val="26"/>
          <w:szCs w:val="26"/>
        </w:rPr>
        <w:t>THEREFORE</w:t>
      </w:r>
      <w:r>
        <w:rPr>
          <w:sz w:val="26"/>
          <w:szCs w:val="26"/>
        </w:rPr>
        <w:t>,</w:t>
      </w:r>
    </w:p>
    <w:p w14:paraId="3B5EF8E7" w14:textId="77777777" w:rsidR="00B776E7" w:rsidRDefault="00B776E7" w:rsidP="000A2650">
      <w:pPr>
        <w:autoSpaceDE w:val="0"/>
        <w:autoSpaceDN w:val="0"/>
        <w:adjustRightInd w:val="0"/>
        <w:jc w:val="left"/>
        <w:rPr>
          <w:sz w:val="26"/>
          <w:szCs w:val="26"/>
        </w:rPr>
      </w:pPr>
    </w:p>
    <w:p w14:paraId="457F7B60" w14:textId="77777777" w:rsidR="00B776E7" w:rsidRDefault="00B776E7" w:rsidP="000A2650">
      <w:pPr>
        <w:keepNext/>
        <w:keepLines/>
        <w:jc w:val="left"/>
        <w:rPr>
          <w:b/>
          <w:sz w:val="26"/>
          <w:szCs w:val="26"/>
        </w:rPr>
      </w:pPr>
      <w:r>
        <w:rPr>
          <w:sz w:val="26"/>
          <w:szCs w:val="26"/>
        </w:rPr>
        <w:tab/>
      </w:r>
      <w:r w:rsidRPr="000D6043">
        <w:rPr>
          <w:b/>
          <w:sz w:val="26"/>
          <w:szCs w:val="26"/>
        </w:rPr>
        <w:t>IT IS ORDERED:</w:t>
      </w:r>
    </w:p>
    <w:p w14:paraId="46ACFA53" w14:textId="77777777" w:rsidR="00B776E7" w:rsidRDefault="00B776E7" w:rsidP="000A2650">
      <w:pPr>
        <w:keepNext/>
        <w:keepLines/>
        <w:jc w:val="left"/>
        <w:rPr>
          <w:b/>
          <w:sz w:val="26"/>
          <w:szCs w:val="26"/>
        </w:rPr>
      </w:pPr>
    </w:p>
    <w:p w14:paraId="750C23EE" w14:textId="77777777" w:rsidR="00B776E7" w:rsidRDefault="00B776E7" w:rsidP="000A2650">
      <w:pPr>
        <w:jc w:val="left"/>
        <w:rPr>
          <w:sz w:val="26"/>
          <w:szCs w:val="26"/>
        </w:rPr>
      </w:pPr>
      <w:r>
        <w:rPr>
          <w:b/>
          <w:sz w:val="26"/>
          <w:szCs w:val="26"/>
        </w:rPr>
        <w:tab/>
      </w:r>
      <w:r>
        <w:rPr>
          <w:sz w:val="26"/>
          <w:szCs w:val="26"/>
        </w:rPr>
        <w:t>1.</w:t>
      </w:r>
      <w:r>
        <w:rPr>
          <w:sz w:val="26"/>
          <w:szCs w:val="26"/>
        </w:rPr>
        <w:tab/>
        <w:t xml:space="preserve">That the Exceptions filed by </w:t>
      </w:r>
      <w:r w:rsidR="00D409E4">
        <w:rPr>
          <w:sz w:val="26"/>
          <w:szCs w:val="26"/>
        </w:rPr>
        <w:t xml:space="preserve">Harry Larry </w:t>
      </w:r>
      <w:proofErr w:type="spellStart"/>
      <w:r w:rsidR="00D409E4">
        <w:rPr>
          <w:sz w:val="26"/>
          <w:szCs w:val="26"/>
        </w:rPr>
        <w:t>Bierley</w:t>
      </w:r>
      <w:proofErr w:type="spellEnd"/>
      <w:r>
        <w:rPr>
          <w:sz w:val="26"/>
          <w:szCs w:val="26"/>
        </w:rPr>
        <w:t xml:space="preserve"> on </w:t>
      </w:r>
      <w:r w:rsidR="00D409E4">
        <w:rPr>
          <w:sz w:val="26"/>
          <w:szCs w:val="26"/>
        </w:rPr>
        <w:t>September 20</w:t>
      </w:r>
      <w:r w:rsidR="00D86BAE">
        <w:rPr>
          <w:sz w:val="26"/>
          <w:szCs w:val="26"/>
        </w:rPr>
        <w:t>, 2017</w:t>
      </w:r>
      <w:r>
        <w:rPr>
          <w:sz w:val="26"/>
          <w:szCs w:val="26"/>
        </w:rPr>
        <w:t xml:space="preserve">, to the Initial Decision of Administrative Law Judge </w:t>
      </w:r>
      <w:r w:rsidR="00D409E4">
        <w:rPr>
          <w:sz w:val="26"/>
          <w:szCs w:val="26"/>
        </w:rPr>
        <w:t>Jeffrey A. Watson</w:t>
      </w:r>
      <w:r>
        <w:rPr>
          <w:sz w:val="26"/>
          <w:szCs w:val="26"/>
        </w:rPr>
        <w:t xml:space="preserve">, issued on </w:t>
      </w:r>
      <w:r w:rsidR="00D409E4">
        <w:rPr>
          <w:sz w:val="26"/>
          <w:szCs w:val="26"/>
        </w:rPr>
        <w:t>August 14</w:t>
      </w:r>
      <w:r w:rsidR="00D86BAE">
        <w:rPr>
          <w:sz w:val="26"/>
          <w:szCs w:val="26"/>
        </w:rPr>
        <w:t>, 2017</w:t>
      </w:r>
      <w:r>
        <w:rPr>
          <w:sz w:val="26"/>
          <w:szCs w:val="26"/>
        </w:rPr>
        <w:t>, are</w:t>
      </w:r>
      <w:r w:rsidR="00D409E4">
        <w:rPr>
          <w:sz w:val="26"/>
          <w:szCs w:val="26"/>
        </w:rPr>
        <w:t xml:space="preserve"> granted, in part, and denied, in part</w:t>
      </w:r>
      <w:r>
        <w:rPr>
          <w:sz w:val="26"/>
          <w:szCs w:val="26"/>
        </w:rPr>
        <w:t>, consistent with this Opinion and Order.</w:t>
      </w:r>
    </w:p>
    <w:p w14:paraId="6DCB633C" w14:textId="77777777" w:rsidR="00B776E7" w:rsidRDefault="00B776E7" w:rsidP="000A2650">
      <w:pPr>
        <w:jc w:val="left"/>
        <w:rPr>
          <w:sz w:val="26"/>
          <w:szCs w:val="26"/>
        </w:rPr>
      </w:pPr>
    </w:p>
    <w:p w14:paraId="2EAAE5B7" w14:textId="22A6F067" w:rsidR="00B776E7" w:rsidRDefault="00B776E7" w:rsidP="000A2650">
      <w:pPr>
        <w:ind w:firstLine="1440"/>
        <w:jc w:val="left"/>
        <w:rPr>
          <w:sz w:val="26"/>
          <w:szCs w:val="26"/>
        </w:rPr>
      </w:pPr>
      <w:r>
        <w:rPr>
          <w:sz w:val="26"/>
          <w:szCs w:val="26"/>
        </w:rPr>
        <w:t>2.</w:t>
      </w:r>
      <w:r>
        <w:rPr>
          <w:sz w:val="26"/>
          <w:szCs w:val="26"/>
        </w:rPr>
        <w:tab/>
        <w:t xml:space="preserve">That the Initial Decision of Administrative Law Judge </w:t>
      </w:r>
      <w:r w:rsidR="00D409E4">
        <w:rPr>
          <w:sz w:val="26"/>
          <w:szCs w:val="26"/>
        </w:rPr>
        <w:t>Jeffrey</w:t>
      </w:r>
      <w:r w:rsidR="008B28B5">
        <w:rPr>
          <w:sz w:val="26"/>
          <w:szCs w:val="26"/>
        </w:rPr>
        <w:t> </w:t>
      </w:r>
      <w:r w:rsidR="00D409E4">
        <w:rPr>
          <w:sz w:val="26"/>
          <w:szCs w:val="26"/>
        </w:rPr>
        <w:t>A.</w:t>
      </w:r>
      <w:r w:rsidR="008B28B5">
        <w:rPr>
          <w:sz w:val="26"/>
          <w:szCs w:val="26"/>
        </w:rPr>
        <w:t> </w:t>
      </w:r>
      <w:r w:rsidR="00D409E4">
        <w:rPr>
          <w:sz w:val="26"/>
          <w:szCs w:val="26"/>
        </w:rPr>
        <w:t>Watson</w:t>
      </w:r>
      <w:r>
        <w:rPr>
          <w:sz w:val="26"/>
          <w:szCs w:val="26"/>
        </w:rPr>
        <w:t>, issued on</w:t>
      </w:r>
      <w:r w:rsidR="000A2650">
        <w:rPr>
          <w:sz w:val="26"/>
          <w:szCs w:val="26"/>
        </w:rPr>
        <w:t xml:space="preserve"> </w:t>
      </w:r>
      <w:r w:rsidR="00D409E4">
        <w:rPr>
          <w:sz w:val="26"/>
          <w:szCs w:val="26"/>
        </w:rPr>
        <w:t>August 14</w:t>
      </w:r>
      <w:r w:rsidR="00D86BAE">
        <w:rPr>
          <w:sz w:val="26"/>
          <w:szCs w:val="26"/>
        </w:rPr>
        <w:t>, 2017</w:t>
      </w:r>
      <w:r>
        <w:rPr>
          <w:sz w:val="26"/>
          <w:szCs w:val="26"/>
        </w:rPr>
        <w:t>, is adopted,</w:t>
      </w:r>
      <w:r w:rsidR="00D409E4">
        <w:rPr>
          <w:sz w:val="26"/>
          <w:szCs w:val="26"/>
        </w:rPr>
        <w:t xml:space="preserve"> as modified </w:t>
      </w:r>
      <w:r w:rsidR="0005540D">
        <w:rPr>
          <w:sz w:val="26"/>
          <w:szCs w:val="26"/>
        </w:rPr>
        <w:t xml:space="preserve">consistent with </w:t>
      </w:r>
      <w:r>
        <w:rPr>
          <w:sz w:val="26"/>
          <w:szCs w:val="26"/>
        </w:rPr>
        <w:t>this Opinion and Order.</w:t>
      </w:r>
    </w:p>
    <w:p w14:paraId="796160AD" w14:textId="77777777" w:rsidR="008B28B5" w:rsidRDefault="008B28B5" w:rsidP="000A2650">
      <w:pPr>
        <w:ind w:firstLine="1440"/>
        <w:jc w:val="left"/>
        <w:rPr>
          <w:sz w:val="26"/>
          <w:szCs w:val="26"/>
        </w:rPr>
      </w:pPr>
    </w:p>
    <w:p w14:paraId="5D9FC45E" w14:textId="14AD6029" w:rsidR="000A2650" w:rsidRDefault="00410FC5" w:rsidP="000A2650">
      <w:pPr>
        <w:ind w:firstLine="1440"/>
        <w:jc w:val="left"/>
        <w:rPr>
          <w:sz w:val="26"/>
          <w:szCs w:val="26"/>
        </w:rPr>
      </w:pPr>
      <w:r>
        <w:rPr>
          <w:sz w:val="26"/>
          <w:szCs w:val="26"/>
        </w:rPr>
        <w:t>3</w:t>
      </w:r>
      <w:r w:rsidR="006E1AA7">
        <w:rPr>
          <w:sz w:val="26"/>
          <w:szCs w:val="26"/>
        </w:rPr>
        <w:t>.</w:t>
      </w:r>
      <w:r w:rsidR="006E1AA7">
        <w:rPr>
          <w:sz w:val="26"/>
          <w:szCs w:val="26"/>
        </w:rPr>
        <w:tab/>
      </w:r>
      <w:r w:rsidR="00B776E7">
        <w:rPr>
          <w:sz w:val="26"/>
          <w:szCs w:val="26"/>
        </w:rPr>
        <w:t xml:space="preserve">That the Formal Complaint filed on </w:t>
      </w:r>
      <w:r w:rsidR="006E1AA7">
        <w:rPr>
          <w:sz w:val="26"/>
          <w:szCs w:val="26"/>
        </w:rPr>
        <w:t>June 27, 2016</w:t>
      </w:r>
      <w:r w:rsidR="00B776E7">
        <w:rPr>
          <w:sz w:val="26"/>
          <w:szCs w:val="26"/>
        </w:rPr>
        <w:t xml:space="preserve">, by </w:t>
      </w:r>
      <w:r w:rsidR="006E1AA7">
        <w:rPr>
          <w:sz w:val="26"/>
          <w:szCs w:val="26"/>
        </w:rPr>
        <w:t xml:space="preserve">Harry Larry </w:t>
      </w:r>
      <w:proofErr w:type="spellStart"/>
      <w:r w:rsidR="006E1AA7">
        <w:rPr>
          <w:sz w:val="26"/>
          <w:szCs w:val="26"/>
        </w:rPr>
        <w:t>Bierley</w:t>
      </w:r>
      <w:proofErr w:type="spellEnd"/>
      <w:r w:rsidR="006E1AA7">
        <w:rPr>
          <w:sz w:val="26"/>
          <w:szCs w:val="26"/>
        </w:rPr>
        <w:t xml:space="preserve"> </w:t>
      </w:r>
      <w:r w:rsidR="00B776E7">
        <w:rPr>
          <w:sz w:val="26"/>
          <w:szCs w:val="26"/>
        </w:rPr>
        <w:t xml:space="preserve">against </w:t>
      </w:r>
      <w:r w:rsidR="006E1AA7">
        <w:rPr>
          <w:sz w:val="26"/>
          <w:szCs w:val="26"/>
        </w:rPr>
        <w:t>National Fuel Gas Distribution Corporation at Docket No. C-2016-2553988</w:t>
      </w:r>
      <w:r w:rsidR="00B776E7">
        <w:rPr>
          <w:sz w:val="26"/>
          <w:szCs w:val="26"/>
        </w:rPr>
        <w:t xml:space="preserve"> is dismissed</w:t>
      </w:r>
      <w:r w:rsidR="006E1AA7">
        <w:rPr>
          <w:sz w:val="26"/>
          <w:szCs w:val="26"/>
        </w:rPr>
        <w:t>, consistent with this Opinion and Order</w:t>
      </w:r>
      <w:r w:rsidR="00B776E7">
        <w:rPr>
          <w:sz w:val="26"/>
          <w:szCs w:val="26"/>
        </w:rPr>
        <w:t xml:space="preserve">. </w:t>
      </w:r>
    </w:p>
    <w:p w14:paraId="553D203D" w14:textId="77777777" w:rsidR="000A2650" w:rsidRDefault="000A2650" w:rsidP="000A2650">
      <w:pPr>
        <w:ind w:firstLine="1440"/>
        <w:jc w:val="left"/>
        <w:rPr>
          <w:sz w:val="26"/>
          <w:szCs w:val="26"/>
        </w:rPr>
      </w:pPr>
    </w:p>
    <w:p w14:paraId="250AB90D" w14:textId="2DF2A7D3" w:rsidR="000A2650" w:rsidRDefault="00AC21DF" w:rsidP="004B2F83">
      <w:pPr>
        <w:keepNext/>
        <w:keepLines/>
        <w:ind w:firstLine="1440"/>
        <w:jc w:val="left"/>
        <w:rPr>
          <w:sz w:val="26"/>
          <w:szCs w:val="26"/>
        </w:rPr>
      </w:pPr>
      <w:r>
        <w:rPr>
          <w:sz w:val="26"/>
          <w:szCs w:val="26"/>
        </w:rPr>
        <w:lastRenderedPageBreak/>
        <w:t>4</w:t>
      </w:r>
      <w:r w:rsidR="00B776E7">
        <w:rPr>
          <w:sz w:val="26"/>
          <w:szCs w:val="26"/>
        </w:rPr>
        <w:t>.</w:t>
      </w:r>
      <w:r w:rsidR="00B776E7">
        <w:rPr>
          <w:sz w:val="26"/>
          <w:szCs w:val="26"/>
        </w:rPr>
        <w:tab/>
        <w:t xml:space="preserve">That the proceeding </w:t>
      </w:r>
      <w:r w:rsidR="006E1AA7">
        <w:rPr>
          <w:sz w:val="26"/>
          <w:szCs w:val="26"/>
        </w:rPr>
        <w:t>docketed at C-2016-2553988</w:t>
      </w:r>
      <w:r w:rsidR="00B776E7">
        <w:rPr>
          <w:sz w:val="26"/>
          <w:szCs w:val="26"/>
        </w:rPr>
        <w:t xml:space="preserve"> be marked closed.</w:t>
      </w:r>
    </w:p>
    <w:p w14:paraId="3C6100E8" w14:textId="77777777" w:rsidR="006E1AA7" w:rsidRDefault="006E1AA7" w:rsidP="004B2F83">
      <w:pPr>
        <w:keepNext/>
        <w:keepLines/>
        <w:ind w:firstLine="1440"/>
        <w:jc w:val="left"/>
        <w:rPr>
          <w:b/>
          <w:sz w:val="26"/>
          <w:szCs w:val="26"/>
        </w:rPr>
      </w:pPr>
    </w:p>
    <w:p w14:paraId="706C943A" w14:textId="27C0541F" w:rsidR="00B776E7" w:rsidRPr="000D6043" w:rsidRDefault="00A5788D" w:rsidP="004B2F83">
      <w:pPr>
        <w:keepNext/>
        <w:keepLines/>
        <w:ind w:left="4320" w:firstLine="1440"/>
        <w:jc w:val="left"/>
        <w:rPr>
          <w:b/>
          <w:sz w:val="26"/>
          <w:szCs w:val="26"/>
        </w:rPr>
      </w:pPr>
      <w:r>
        <w:rPr>
          <w:noProof/>
        </w:rPr>
        <w:drawing>
          <wp:anchor distT="0" distB="0" distL="114300" distR="114300" simplePos="0" relativeHeight="251659264" behindDoc="1" locked="0" layoutInCell="1" allowOverlap="1" wp14:anchorId="217E2636" wp14:editId="29BB94AB">
            <wp:simplePos x="0" y="0"/>
            <wp:positionH relativeFrom="column">
              <wp:posOffset>3629025</wp:posOffset>
            </wp:positionH>
            <wp:positionV relativeFrom="paragraph">
              <wp:posOffset>132080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76E7" w:rsidRPr="000D6043">
        <w:rPr>
          <w:b/>
          <w:sz w:val="26"/>
          <w:szCs w:val="26"/>
        </w:rPr>
        <w:t>BY THE COMMISSION,</w:t>
      </w:r>
    </w:p>
    <w:p w14:paraId="107F6E02" w14:textId="3CF540B6" w:rsidR="00B776E7" w:rsidRDefault="00B776E7" w:rsidP="004B2F83">
      <w:pPr>
        <w:keepNext/>
        <w:keepLines/>
        <w:jc w:val="left"/>
        <w:rPr>
          <w:sz w:val="26"/>
          <w:szCs w:val="26"/>
        </w:rPr>
      </w:pPr>
    </w:p>
    <w:p w14:paraId="03ABFCCD" w14:textId="77777777" w:rsidR="00B776E7" w:rsidRDefault="00B776E7" w:rsidP="004B2F83">
      <w:pPr>
        <w:keepNext/>
        <w:keepLines/>
        <w:jc w:val="left"/>
        <w:rPr>
          <w:sz w:val="26"/>
          <w:szCs w:val="26"/>
        </w:rPr>
      </w:pPr>
    </w:p>
    <w:p w14:paraId="780DEF2E" w14:textId="77777777" w:rsidR="00B776E7" w:rsidRPr="000D6043" w:rsidRDefault="00B776E7" w:rsidP="004B2F83">
      <w:pPr>
        <w:keepNext/>
        <w:keepLines/>
        <w:jc w:val="left"/>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Pr>
          <w:sz w:val="26"/>
          <w:szCs w:val="26"/>
        </w:rPr>
        <w:t>Rosemary Chiavetta</w:t>
      </w:r>
    </w:p>
    <w:p w14:paraId="499DA614" w14:textId="77777777" w:rsidR="00B776E7" w:rsidRDefault="00B776E7" w:rsidP="004B2F83">
      <w:pPr>
        <w:keepNext/>
        <w:keepLines/>
        <w:jc w:val="left"/>
        <w:rPr>
          <w:sz w:val="26"/>
          <w:szCs w:val="26"/>
        </w:rPr>
      </w:pP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r>
      <w:r w:rsidRPr="000D6043">
        <w:rPr>
          <w:sz w:val="26"/>
          <w:szCs w:val="26"/>
        </w:rPr>
        <w:tab/>
        <w:t>Secretary</w:t>
      </w:r>
    </w:p>
    <w:p w14:paraId="3FF93C89" w14:textId="77777777" w:rsidR="00B776E7" w:rsidRDefault="00B776E7" w:rsidP="004B2F83">
      <w:pPr>
        <w:keepNext/>
        <w:keepLines/>
        <w:tabs>
          <w:tab w:val="left" w:pos="-720"/>
        </w:tabs>
        <w:suppressAutoHyphens/>
        <w:jc w:val="left"/>
        <w:rPr>
          <w:sz w:val="26"/>
          <w:szCs w:val="26"/>
        </w:rPr>
      </w:pPr>
    </w:p>
    <w:p w14:paraId="5794237E" w14:textId="77777777" w:rsidR="00B776E7" w:rsidRDefault="00B776E7" w:rsidP="004B2F83">
      <w:pPr>
        <w:keepNext/>
        <w:keepLines/>
        <w:tabs>
          <w:tab w:val="left" w:pos="-720"/>
        </w:tabs>
        <w:suppressAutoHyphens/>
        <w:jc w:val="left"/>
        <w:rPr>
          <w:sz w:val="26"/>
          <w:szCs w:val="26"/>
        </w:rPr>
      </w:pPr>
    </w:p>
    <w:p w14:paraId="69227CCD" w14:textId="77777777" w:rsidR="00B776E7" w:rsidRPr="001B2BFB" w:rsidRDefault="00B776E7" w:rsidP="004B2F83">
      <w:pPr>
        <w:keepNext/>
        <w:keepLines/>
        <w:tabs>
          <w:tab w:val="left" w:pos="-720"/>
        </w:tabs>
        <w:suppressAutoHyphens/>
        <w:jc w:val="left"/>
        <w:rPr>
          <w:sz w:val="26"/>
          <w:szCs w:val="26"/>
        </w:rPr>
      </w:pPr>
      <w:r w:rsidRPr="00AD292A">
        <w:rPr>
          <w:sz w:val="26"/>
          <w:szCs w:val="26"/>
        </w:rPr>
        <w:t>(SEAL)</w:t>
      </w:r>
    </w:p>
    <w:p w14:paraId="6B1AB11E" w14:textId="77777777" w:rsidR="00B776E7" w:rsidRDefault="00B776E7" w:rsidP="004B2F83">
      <w:pPr>
        <w:keepNext/>
        <w:keepLines/>
        <w:tabs>
          <w:tab w:val="left" w:pos="-720"/>
        </w:tabs>
        <w:suppressAutoHyphens/>
        <w:jc w:val="left"/>
        <w:rPr>
          <w:sz w:val="26"/>
          <w:szCs w:val="26"/>
        </w:rPr>
      </w:pPr>
      <w:r w:rsidRPr="00AD292A">
        <w:rPr>
          <w:sz w:val="26"/>
          <w:szCs w:val="26"/>
        </w:rPr>
        <w:t>ORDER ADOPTED:</w:t>
      </w:r>
      <w:r w:rsidRPr="001B2BFB">
        <w:rPr>
          <w:sz w:val="26"/>
          <w:szCs w:val="26"/>
        </w:rPr>
        <w:t xml:space="preserve"> </w:t>
      </w:r>
      <w:r>
        <w:rPr>
          <w:sz w:val="26"/>
          <w:szCs w:val="26"/>
        </w:rPr>
        <w:t xml:space="preserve"> </w:t>
      </w:r>
      <w:r w:rsidR="00A46841">
        <w:rPr>
          <w:sz w:val="26"/>
          <w:szCs w:val="26"/>
        </w:rPr>
        <w:t>February</w:t>
      </w:r>
      <w:r>
        <w:rPr>
          <w:sz w:val="26"/>
          <w:szCs w:val="26"/>
        </w:rPr>
        <w:t xml:space="preserve"> </w:t>
      </w:r>
      <w:r w:rsidR="00A46841">
        <w:rPr>
          <w:sz w:val="26"/>
          <w:szCs w:val="26"/>
        </w:rPr>
        <w:t>8</w:t>
      </w:r>
      <w:r>
        <w:rPr>
          <w:sz w:val="26"/>
          <w:szCs w:val="26"/>
        </w:rPr>
        <w:t>, 201</w:t>
      </w:r>
      <w:r w:rsidR="005B43BA">
        <w:rPr>
          <w:sz w:val="26"/>
          <w:szCs w:val="26"/>
        </w:rPr>
        <w:t>8</w:t>
      </w:r>
    </w:p>
    <w:p w14:paraId="31265601" w14:textId="75687DD2" w:rsidR="000544CF" w:rsidRPr="000544CF" w:rsidRDefault="00B776E7" w:rsidP="004B2F83">
      <w:pPr>
        <w:keepNext/>
        <w:keepLines/>
        <w:tabs>
          <w:tab w:val="left" w:pos="-720"/>
        </w:tabs>
        <w:suppressAutoHyphens/>
        <w:jc w:val="left"/>
        <w:rPr>
          <w:sz w:val="26"/>
          <w:szCs w:val="26"/>
        </w:rPr>
      </w:pPr>
      <w:r w:rsidRPr="00507493">
        <w:rPr>
          <w:sz w:val="26"/>
          <w:szCs w:val="26"/>
        </w:rPr>
        <w:t xml:space="preserve">ORDER ENTERED: </w:t>
      </w:r>
      <w:r>
        <w:rPr>
          <w:sz w:val="26"/>
          <w:szCs w:val="26"/>
        </w:rPr>
        <w:t xml:space="preserve"> </w:t>
      </w:r>
      <w:r w:rsidR="00A5788D">
        <w:rPr>
          <w:sz w:val="26"/>
          <w:szCs w:val="26"/>
        </w:rPr>
        <w:t xml:space="preserve">February </w:t>
      </w:r>
      <w:r w:rsidR="009B5E88">
        <w:rPr>
          <w:sz w:val="26"/>
          <w:szCs w:val="26"/>
        </w:rPr>
        <w:t>9</w:t>
      </w:r>
      <w:bookmarkStart w:id="1" w:name="_GoBack"/>
      <w:bookmarkEnd w:id="1"/>
      <w:r w:rsidR="00A5788D">
        <w:rPr>
          <w:sz w:val="26"/>
          <w:szCs w:val="26"/>
        </w:rPr>
        <w:t>, 2018</w:t>
      </w:r>
    </w:p>
    <w:sectPr w:rsidR="000544CF" w:rsidRPr="000544CF" w:rsidSect="00181C10">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E5ED" w14:textId="77777777" w:rsidR="00420701" w:rsidRDefault="00420701" w:rsidP="00181C10">
      <w:pPr>
        <w:spacing w:line="240" w:lineRule="auto"/>
      </w:pPr>
      <w:r>
        <w:separator/>
      </w:r>
    </w:p>
  </w:endnote>
  <w:endnote w:type="continuationSeparator" w:id="0">
    <w:p w14:paraId="03521637" w14:textId="77777777" w:rsidR="00420701" w:rsidRDefault="00420701" w:rsidP="00181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07285"/>
      <w:docPartObj>
        <w:docPartGallery w:val="Page Numbers (Bottom of Page)"/>
        <w:docPartUnique/>
      </w:docPartObj>
    </w:sdtPr>
    <w:sdtEndPr>
      <w:rPr>
        <w:noProof/>
      </w:rPr>
    </w:sdtEndPr>
    <w:sdtContent>
      <w:p w14:paraId="1F307F36" w14:textId="053AA33E" w:rsidR="008B28B5" w:rsidRDefault="008B28B5">
        <w:pPr>
          <w:pStyle w:val="Footer"/>
        </w:pPr>
        <w:r>
          <w:fldChar w:fldCharType="begin"/>
        </w:r>
        <w:r>
          <w:instrText xml:space="preserve"> PAGE   \* MERGEFORMAT </w:instrText>
        </w:r>
        <w:r>
          <w:fldChar w:fldCharType="separate"/>
        </w:r>
        <w:r w:rsidR="009B5E88">
          <w:rPr>
            <w:noProof/>
          </w:rPr>
          <w:t>20</w:t>
        </w:r>
        <w:r>
          <w:rPr>
            <w:noProof/>
          </w:rPr>
          <w:fldChar w:fldCharType="end"/>
        </w:r>
      </w:p>
    </w:sdtContent>
  </w:sdt>
  <w:p w14:paraId="228CFB95" w14:textId="77777777" w:rsidR="008B28B5" w:rsidRDefault="008B2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7B768" w14:textId="77777777" w:rsidR="00420701" w:rsidRDefault="00420701" w:rsidP="00882286">
      <w:pPr>
        <w:spacing w:line="240" w:lineRule="auto"/>
        <w:ind w:firstLine="0"/>
        <w:jc w:val="left"/>
      </w:pPr>
      <w:r>
        <w:separator/>
      </w:r>
    </w:p>
  </w:footnote>
  <w:footnote w:type="continuationSeparator" w:id="0">
    <w:p w14:paraId="47ADAA98" w14:textId="77777777" w:rsidR="00420701" w:rsidRDefault="00420701" w:rsidP="00181C10">
      <w:pPr>
        <w:spacing w:line="240" w:lineRule="auto"/>
      </w:pPr>
      <w:r>
        <w:continuationSeparator/>
      </w:r>
    </w:p>
  </w:footnote>
  <w:footnote w:id="1">
    <w:p w14:paraId="4C610691" w14:textId="690501E9" w:rsidR="008B28B5" w:rsidRPr="00051432" w:rsidRDefault="008B28B5" w:rsidP="00882286">
      <w:pPr>
        <w:pStyle w:val="FootnoteText"/>
        <w:keepNext/>
        <w:keepLines/>
        <w:spacing w:after="120"/>
        <w:jc w:val="left"/>
        <w:rPr>
          <w:sz w:val="26"/>
          <w:szCs w:val="26"/>
        </w:rPr>
      </w:pPr>
      <w:r w:rsidRPr="00051432">
        <w:rPr>
          <w:rStyle w:val="FootnoteReference"/>
          <w:sz w:val="26"/>
          <w:szCs w:val="26"/>
        </w:rPr>
        <w:footnoteRef/>
      </w:r>
      <w:r>
        <w:rPr>
          <w:sz w:val="26"/>
          <w:szCs w:val="26"/>
        </w:rPr>
        <w:tab/>
        <w:t xml:space="preserve">The </w:t>
      </w:r>
      <w:r w:rsidRPr="00051432">
        <w:rPr>
          <w:sz w:val="26"/>
          <w:szCs w:val="26"/>
        </w:rPr>
        <w:t xml:space="preserve">Complainant’s claim for monetary damages was dismissed, however the </w:t>
      </w:r>
      <w:r w:rsidR="00A05DBD">
        <w:rPr>
          <w:sz w:val="26"/>
          <w:szCs w:val="26"/>
        </w:rPr>
        <w:t xml:space="preserve">Company’s </w:t>
      </w:r>
      <w:r w:rsidRPr="00051432">
        <w:rPr>
          <w:sz w:val="26"/>
          <w:szCs w:val="26"/>
        </w:rPr>
        <w:t>remaining objections regarding alleged incorrect charges and service issues were denied.</w:t>
      </w:r>
    </w:p>
  </w:footnote>
  <w:footnote w:id="2">
    <w:p w14:paraId="4145C6B6" w14:textId="529CCF14" w:rsidR="008B28B5" w:rsidRPr="009A0EFE" w:rsidRDefault="008B28B5" w:rsidP="00882286">
      <w:pPr>
        <w:pStyle w:val="FootnoteText"/>
        <w:keepNext/>
        <w:keepLines/>
        <w:spacing w:after="120"/>
        <w:jc w:val="left"/>
        <w:rPr>
          <w:sz w:val="26"/>
          <w:szCs w:val="26"/>
        </w:rPr>
      </w:pPr>
      <w:r w:rsidRPr="009A0EFE">
        <w:rPr>
          <w:rStyle w:val="FootnoteReference"/>
          <w:sz w:val="26"/>
          <w:szCs w:val="26"/>
        </w:rPr>
        <w:footnoteRef/>
      </w:r>
      <w:r>
        <w:rPr>
          <w:sz w:val="26"/>
          <w:szCs w:val="26"/>
        </w:rPr>
        <w:tab/>
      </w:r>
      <w:r w:rsidRPr="009A0EFE">
        <w:rPr>
          <w:sz w:val="26"/>
          <w:szCs w:val="26"/>
        </w:rPr>
        <w:t>The evidence established that the disputed bill was for the period April 5, 2016</w:t>
      </w:r>
      <w:r w:rsidR="00A05DBD">
        <w:rPr>
          <w:sz w:val="26"/>
          <w:szCs w:val="26"/>
        </w:rPr>
        <w:t>,</w:t>
      </w:r>
      <w:r w:rsidRPr="009A0EFE">
        <w:rPr>
          <w:sz w:val="26"/>
          <w:szCs w:val="26"/>
        </w:rPr>
        <w:t xml:space="preserve"> through May 4, 2016</w:t>
      </w:r>
      <w:r>
        <w:rPr>
          <w:sz w:val="26"/>
          <w:szCs w:val="26"/>
        </w:rPr>
        <w:t>,</w:t>
      </w:r>
      <w:r w:rsidRPr="009A0EFE">
        <w:rPr>
          <w:sz w:val="26"/>
          <w:szCs w:val="26"/>
        </w:rPr>
        <w:t xml:space="preserve"> and unbilled usage from March 2016 in the amount of $130.24.</w:t>
      </w:r>
    </w:p>
  </w:footnote>
  <w:footnote w:id="3">
    <w:p w14:paraId="2CE50C62" w14:textId="42DAC848" w:rsidR="008B28B5" w:rsidRPr="005D41CD" w:rsidRDefault="008B28B5" w:rsidP="00882286">
      <w:pPr>
        <w:pStyle w:val="FootnoteText"/>
        <w:keepNext/>
        <w:keepLines/>
        <w:spacing w:after="120"/>
        <w:jc w:val="left"/>
        <w:rPr>
          <w:sz w:val="26"/>
          <w:szCs w:val="26"/>
        </w:rPr>
      </w:pPr>
      <w:r w:rsidRPr="005D41CD">
        <w:rPr>
          <w:rStyle w:val="FootnoteReference"/>
          <w:sz w:val="26"/>
          <w:szCs w:val="26"/>
        </w:rPr>
        <w:footnoteRef/>
      </w:r>
      <w:r>
        <w:rPr>
          <w:sz w:val="26"/>
          <w:szCs w:val="26"/>
        </w:rPr>
        <w:tab/>
      </w:r>
      <w:r w:rsidRPr="005D41CD">
        <w:rPr>
          <w:sz w:val="26"/>
          <w:szCs w:val="26"/>
        </w:rPr>
        <w:t xml:space="preserve">The Complainant’s gas meter is read by NFGDC on a bi-monthly basis.  However, NFGDC was not able to gain access to the Complainant’s meter, located inside the Complainant’s home, </w:t>
      </w:r>
      <w:proofErr w:type="gramStart"/>
      <w:r w:rsidRPr="005D41CD">
        <w:rPr>
          <w:sz w:val="26"/>
          <w:szCs w:val="26"/>
        </w:rPr>
        <w:t>in order to</w:t>
      </w:r>
      <w:proofErr w:type="gramEnd"/>
      <w:r w:rsidRPr="005D41CD">
        <w:rPr>
          <w:sz w:val="26"/>
          <w:szCs w:val="26"/>
        </w:rPr>
        <w:t xml:space="preserve"> conduct an actual reading at the serv</w:t>
      </w:r>
      <w:r>
        <w:rPr>
          <w:sz w:val="26"/>
          <w:szCs w:val="26"/>
        </w:rPr>
        <w:t xml:space="preserve">ice location on March 3, 2016.  </w:t>
      </w:r>
      <w:r w:rsidRPr="005D41CD">
        <w:rPr>
          <w:sz w:val="26"/>
          <w:szCs w:val="26"/>
        </w:rPr>
        <w:t xml:space="preserve">Tr. </w:t>
      </w:r>
      <w:r>
        <w:rPr>
          <w:sz w:val="26"/>
          <w:szCs w:val="26"/>
        </w:rPr>
        <w:t xml:space="preserve">at </w:t>
      </w:r>
      <w:r w:rsidRPr="005D41CD">
        <w:rPr>
          <w:sz w:val="26"/>
          <w:szCs w:val="26"/>
        </w:rPr>
        <w:t xml:space="preserve">69. </w:t>
      </w:r>
    </w:p>
  </w:footnote>
  <w:footnote w:id="4">
    <w:p w14:paraId="6A18E464" w14:textId="35240B85" w:rsidR="008B28B5" w:rsidRPr="00A71D80" w:rsidRDefault="008B28B5" w:rsidP="00882286">
      <w:pPr>
        <w:pStyle w:val="FootnoteText"/>
        <w:keepNext/>
        <w:keepLines/>
        <w:spacing w:after="120"/>
        <w:jc w:val="left"/>
        <w:rPr>
          <w:sz w:val="26"/>
          <w:szCs w:val="26"/>
        </w:rPr>
      </w:pPr>
      <w:r w:rsidRPr="00A71D80">
        <w:rPr>
          <w:rStyle w:val="FootnoteReference"/>
          <w:sz w:val="26"/>
          <w:szCs w:val="26"/>
        </w:rPr>
        <w:footnoteRef/>
      </w:r>
      <w:r w:rsidRPr="00A71D80">
        <w:rPr>
          <w:sz w:val="26"/>
          <w:szCs w:val="26"/>
        </w:rPr>
        <w:tab/>
        <w:t>Conclusion of Law No. 11.</w:t>
      </w:r>
    </w:p>
  </w:footnote>
  <w:footnote w:id="5">
    <w:p w14:paraId="57FEB388" w14:textId="1A547548" w:rsidR="008B28B5" w:rsidRPr="003213FC" w:rsidRDefault="008B28B5" w:rsidP="00882286">
      <w:pPr>
        <w:pStyle w:val="FootnoteText"/>
        <w:keepNext/>
        <w:keepLines/>
        <w:spacing w:after="120"/>
        <w:jc w:val="left"/>
        <w:rPr>
          <w:sz w:val="26"/>
          <w:szCs w:val="26"/>
        </w:rPr>
      </w:pPr>
      <w:r w:rsidRPr="003213FC">
        <w:rPr>
          <w:rStyle w:val="FootnoteReference"/>
          <w:sz w:val="26"/>
          <w:szCs w:val="26"/>
        </w:rPr>
        <w:footnoteRef/>
      </w:r>
      <w:r>
        <w:rPr>
          <w:sz w:val="26"/>
          <w:szCs w:val="26"/>
        </w:rPr>
        <w:tab/>
      </w:r>
      <w:r w:rsidRPr="003213FC">
        <w:rPr>
          <w:sz w:val="26"/>
          <w:szCs w:val="26"/>
        </w:rPr>
        <w:t>Conclusion of Law No. 12.</w:t>
      </w:r>
    </w:p>
  </w:footnote>
  <w:footnote w:id="6">
    <w:p w14:paraId="613A5520" w14:textId="2730E881" w:rsidR="008B28B5" w:rsidRPr="000275E7" w:rsidRDefault="008B28B5" w:rsidP="00882286">
      <w:pPr>
        <w:pStyle w:val="FootnoteText"/>
        <w:keepNext/>
        <w:keepLines/>
        <w:spacing w:after="120"/>
        <w:jc w:val="both"/>
        <w:rPr>
          <w:sz w:val="26"/>
          <w:szCs w:val="26"/>
        </w:rPr>
      </w:pPr>
      <w:r w:rsidRPr="000275E7">
        <w:rPr>
          <w:rStyle w:val="FootnoteReference"/>
          <w:sz w:val="26"/>
          <w:szCs w:val="26"/>
        </w:rPr>
        <w:footnoteRef/>
      </w:r>
      <w:r>
        <w:rPr>
          <w:sz w:val="26"/>
          <w:szCs w:val="26"/>
        </w:rPr>
        <w:tab/>
      </w:r>
      <w:r w:rsidRPr="000275E7">
        <w:rPr>
          <w:sz w:val="26"/>
          <w:szCs w:val="26"/>
        </w:rPr>
        <w:t>Conclu</w:t>
      </w:r>
      <w:r>
        <w:rPr>
          <w:sz w:val="26"/>
          <w:szCs w:val="26"/>
        </w:rPr>
        <w:t>sion of Law</w:t>
      </w:r>
      <w:r w:rsidRPr="000275E7">
        <w:rPr>
          <w:sz w:val="26"/>
          <w:szCs w:val="26"/>
        </w:rPr>
        <w:t xml:space="preserve"> No. 13.</w:t>
      </w:r>
    </w:p>
  </w:footnote>
  <w:footnote w:id="7">
    <w:p w14:paraId="15E09BF9" w14:textId="1D537EB7" w:rsidR="008B28B5" w:rsidRPr="005F4030" w:rsidRDefault="008B28B5" w:rsidP="00882286">
      <w:pPr>
        <w:pStyle w:val="FootnoteText"/>
        <w:keepNext/>
        <w:keepLines/>
        <w:spacing w:after="120"/>
        <w:jc w:val="left"/>
        <w:rPr>
          <w:sz w:val="26"/>
          <w:szCs w:val="26"/>
        </w:rPr>
      </w:pPr>
      <w:r w:rsidRPr="005F4030">
        <w:rPr>
          <w:rStyle w:val="FootnoteReference"/>
          <w:sz w:val="26"/>
          <w:szCs w:val="26"/>
        </w:rPr>
        <w:footnoteRef/>
      </w:r>
      <w:r>
        <w:rPr>
          <w:sz w:val="26"/>
          <w:szCs w:val="26"/>
        </w:rPr>
        <w:tab/>
      </w:r>
      <w:r w:rsidRPr="005F4030">
        <w:rPr>
          <w:sz w:val="26"/>
          <w:szCs w:val="26"/>
        </w:rPr>
        <w:t xml:space="preserve">Tr. </w:t>
      </w:r>
      <w:r>
        <w:rPr>
          <w:sz w:val="26"/>
          <w:szCs w:val="26"/>
        </w:rPr>
        <w:t xml:space="preserve">at </w:t>
      </w:r>
      <w:r w:rsidRPr="005F4030">
        <w:rPr>
          <w:sz w:val="26"/>
          <w:szCs w:val="26"/>
        </w:rPr>
        <w:t>42-43.</w:t>
      </w:r>
    </w:p>
  </w:footnote>
  <w:footnote w:id="8">
    <w:p w14:paraId="0D1DB1EE" w14:textId="035CE1EA" w:rsidR="008B28B5" w:rsidRDefault="008B28B5" w:rsidP="00882286">
      <w:pPr>
        <w:keepNext/>
        <w:keepLines/>
        <w:tabs>
          <w:tab w:val="left" w:pos="720"/>
          <w:tab w:val="left" w:pos="1440"/>
        </w:tabs>
        <w:spacing w:after="120" w:line="240" w:lineRule="auto"/>
        <w:contextualSpacing/>
        <w:jc w:val="left"/>
      </w:pPr>
      <w:r w:rsidRPr="00D17CC2">
        <w:rPr>
          <w:rStyle w:val="FootnoteReference"/>
          <w:sz w:val="26"/>
          <w:szCs w:val="26"/>
        </w:rPr>
        <w:footnoteRef/>
      </w:r>
      <w:r w:rsidRPr="00D17CC2">
        <w:rPr>
          <w:sz w:val="26"/>
          <w:szCs w:val="26"/>
        </w:rPr>
        <w:tab/>
        <w:t xml:space="preserve">We acknowledge that the format of the Complainant’s Exceptions does not strictly comply with Section 5.533(b) of our Regulations, 52 Pa. Code § 5.533(b), which requires that exceptions be numbered, identify the finding of fact and conclusions of law to which exception is taken, and cite to the relevant pages of the Initial Decision.  Nevertheless, particularly because the Complainant is appearing </w:t>
      </w:r>
      <w:r w:rsidRPr="00D17CC2">
        <w:rPr>
          <w:i/>
          <w:sz w:val="26"/>
          <w:szCs w:val="26"/>
        </w:rPr>
        <w:t>pro se</w:t>
      </w:r>
      <w:r w:rsidRPr="00D17CC2">
        <w:rPr>
          <w:sz w:val="26"/>
          <w:szCs w:val="26"/>
        </w:rPr>
        <w:t>, we will accept the Exceptions as filed pursuant to Section 1.2(a) of</w:t>
      </w:r>
      <w:r>
        <w:rPr>
          <w:sz w:val="26"/>
          <w:szCs w:val="26"/>
        </w:rPr>
        <w:t xml:space="preserve"> our Regulations, 52 Pa. Code § </w:t>
      </w:r>
      <w:r w:rsidRPr="00D17CC2">
        <w:rPr>
          <w:sz w:val="26"/>
          <w:szCs w:val="26"/>
        </w:rPr>
        <w:t xml:space="preserve">1.2(a), </w:t>
      </w:r>
      <w:proofErr w:type="gramStart"/>
      <w:r w:rsidRPr="00D17CC2">
        <w:rPr>
          <w:sz w:val="26"/>
          <w:szCs w:val="26"/>
        </w:rPr>
        <w:t>in order to</w:t>
      </w:r>
      <w:proofErr w:type="gramEnd"/>
      <w:r w:rsidRPr="00D17CC2">
        <w:rPr>
          <w:sz w:val="26"/>
          <w:szCs w:val="26"/>
        </w:rPr>
        <w:t xml:space="preserve"> secure a just, speedy, and inexpensive determination.</w:t>
      </w:r>
    </w:p>
  </w:footnote>
  <w:footnote w:id="9">
    <w:p w14:paraId="4B9F4FC2" w14:textId="3D2D0671" w:rsidR="008B28B5" w:rsidRPr="00F23EA7" w:rsidRDefault="008B28B5" w:rsidP="00882286">
      <w:pPr>
        <w:pStyle w:val="FootnoteText"/>
        <w:keepNext/>
        <w:keepLines/>
        <w:spacing w:after="120"/>
        <w:jc w:val="left"/>
        <w:rPr>
          <w:sz w:val="26"/>
          <w:szCs w:val="26"/>
        </w:rPr>
      </w:pPr>
      <w:r w:rsidRPr="00F23EA7">
        <w:rPr>
          <w:rStyle w:val="FootnoteReference"/>
          <w:sz w:val="26"/>
          <w:szCs w:val="26"/>
        </w:rPr>
        <w:footnoteRef/>
      </w:r>
      <w:r>
        <w:rPr>
          <w:sz w:val="26"/>
          <w:szCs w:val="26"/>
        </w:rPr>
        <w:tab/>
      </w:r>
      <w:r w:rsidRPr="00F23EA7">
        <w:rPr>
          <w:i/>
          <w:sz w:val="26"/>
          <w:szCs w:val="26"/>
        </w:rPr>
        <w:t>See</w:t>
      </w:r>
      <w:r w:rsidRPr="00F23EA7">
        <w:rPr>
          <w:sz w:val="26"/>
          <w:szCs w:val="26"/>
        </w:rPr>
        <w:t>, 52 Pa. Code § 5.431(b) (“After the record is closed, additional matter may not be relied upon or accepted into the record unless allowed for good cause shown by the presiding officer or the Commission upon motion.”)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326F09F8"/>
    <w:multiLevelType w:val="hybridMultilevel"/>
    <w:tmpl w:val="69AC43FE"/>
    <w:lvl w:ilvl="0" w:tplc="4370AC8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3A"/>
    <w:rsid w:val="00001CD3"/>
    <w:rsid w:val="00005B07"/>
    <w:rsid w:val="0000670A"/>
    <w:rsid w:val="00013AD6"/>
    <w:rsid w:val="00020080"/>
    <w:rsid w:val="000246BF"/>
    <w:rsid w:val="000275E7"/>
    <w:rsid w:val="000311A3"/>
    <w:rsid w:val="0004245D"/>
    <w:rsid w:val="0004268A"/>
    <w:rsid w:val="000478A2"/>
    <w:rsid w:val="00051432"/>
    <w:rsid w:val="000544CF"/>
    <w:rsid w:val="0005540D"/>
    <w:rsid w:val="00055A4E"/>
    <w:rsid w:val="00064B5B"/>
    <w:rsid w:val="00070DDD"/>
    <w:rsid w:val="00072C6C"/>
    <w:rsid w:val="00083EDF"/>
    <w:rsid w:val="000845C0"/>
    <w:rsid w:val="00090342"/>
    <w:rsid w:val="00093206"/>
    <w:rsid w:val="000A2361"/>
    <w:rsid w:val="000A2650"/>
    <w:rsid w:val="000A3B0F"/>
    <w:rsid w:val="000B5458"/>
    <w:rsid w:val="000D279B"/>
    <w:rsid w:val="000D2DC4"/>
    <w:rsid w:val="000D68DB"/>
    <w:rsid w:val="000F04F4"/>
    <w:rsid w:val="000F3EFD"/>
    <w:rsid w:val="00104F93"/>
    <w:rsid w:val="00105025"/>
    <w:rsid w:val="00112B08"/>
    <w:rsid w:val="00113BC3"/>
    <w:rsid w:val="00136811"/>
    <w:rsid w:val="00137987"/>
    <w:rsid w:val="00137AB2"/>
    <w:rsid w:val="00137C8F"/>
    <w:rsid w:val="001402EC"/>
    <w:rsid w:val="00145ECA"/>
    <w:rsid w:val="00155364"/>
    <w:rsid w:val="00156981"/>
    <w:rsid w:val="00170121"/>
    <w:rsid w:val="0017039E"/>
    <w:rsid w:val="001803DB"/>
    <w:rsid w:val="00181C10"/>
    <w:rsid w:val="001821BC"/>
    <w:rsid w:val="001B3A6F"/>
    <w:rsid w:val="001C2822"/>
    <w:rsid w:val="001C2ED3"/>
    <w:rsid w:val="001D2418"/>
    <w:rsid w:val="001D541C"/>
    <w:rsid w:val="001D698E"/>
    <w:rsid w:val="001F1AD4"/>
    <w:rsid w:val="001F3862"/>
    <w:rsid w:val="00202599"/>
    <w:rsid w:val="00205C67"/>
    <w:rsid w:val="002252FF"/>
    <w:rsid w:val="00236FC7"/>
    <w:rsid w:val="00247EAC"/>
    <w:rsid w:val="00250751"/>
    <w:rsid w:val="00254A4B"/>
    <w:rsid w:val="00257335"/>
    <w:rsid w:val="0026146A"/>
    <w:rsid w:val="00264570"/>
    <w:rsid w:val="00271163"/>
    <w:rsid w:val="002749F4"/>
    <w:rsid w:val="0027544D"/>
    <w:rsid w:val="002824A5"/>
    <w:rsid w:val="00286FD1"/>
    <w:rsid w:val="002A38EA"/>
    <w:rsid w:val="002A4FD9"/>
    <w:rsid w:val="002C7C42"/>
    <w:rsid w:val="002D251D"/>
    <w:rsid w:val="002D6DA3"/>
    <w:rsid w:val="002E03FB"/>
    <w:rsid w:val="00313CCE"/>
    <w:rsid w:val="0031727B"/>
    <w:rsid w:val="003213FC"/>
    <w:rsid w:val="00332D27"/>
    <w:rsid w:val="00334A42"/>
    <w:rsid w:val="003419FE"/>
    <w:rsid w:val="00345330"/>
    <w:rsid w:val="0034537A"/>
    <w:rsid w:val="003464F8"/>
    <w:rsid w:val="0035286A"/>
    <w:rsid w:val="00353058"/>
    <w:rsid w:val="00354558"/>
    <w:rsid w:val="0035730E"/>
    <w:rsid w:val="00357E45"/>
    <w:rsid w:val="003708B4"/>
    <w:rsid w:val="0038324E"/>
    <w:rsid w:val="00385D79"/>
    <w:rsid w:val="0039099D"/>
    <w:rsid w:val="003A1EF6"/>
    <w:rsid w:val="003A390E"/>
    <w:rsid w:val="003B68C2"/>
    <w:rsid w:val="003B7F55"/>
    <w:rsid w:val="003C251B"/>
    <w:rsid w:val="003C2FE7"/>
    <w:rsid w:val="003C3B50"/>
    <w:rsid w:val="003C58D6"/>
    <w:rsid w:val="003C6DCF"/>
    <w:rsid w:val="003D004B"/>
    <w:rsid w:val="003D187E"/>
    <w:rsid w:val="003D6930"/>
    <w:rsid w:val="003D6FC9"/>
    <w:rsid w:val="003E3481"/>
    <w:rsid w:val="003E7290"/>
    <w:rsid w:val="003F00A6"/>
    <w:rsid w:val="003F0124"/>
    <w:rsid w:val="003F2C2C"/>
    <w:rsid w:val="003F3876"/>
    <w:rsid w:val="003F4CE3"/>
    <w:rsid w:val="00401160"/>
    <w:rsid w:val="0040414E"/>
    <w:rsid w:val="00404695"/>
    <w:rsid w:val="00410FC5"/>
    <w:rsid w:val="00420701"/>
    <w:rsid w:val="0042492F"/>
    <w:rsid w:val="00434C01"/>
    <w:rsid w:val="00436688"/>
    <w:rsid w:val="00444C8D"/>
    <w:rsid w:val="004543AC"/>
    <w:rsid w:val="00457E6D"/>
    <w:rsid w:val="004600E4"/>
    <w:rsid w:val="00491833"/>
    <w:rsid w:val="0049549E"/>
    <w:rsid w:val="004A44D1"/>
    <w:rsid w:val="004B0779"/>
    <w:rsid w:val="004B2A99"/>
    <w:rsid w:val="004B2F83"/>
    <w:rsid w:val="004B536F"/>
    <w:rsid w:val="004B7217"/>
    <w:rsid w:val="004C0C3A"/>
    <w:rsid w:val="004C38DC"/>
    <w:rsid w:val="004D5527"/>
    <w:rsid w:val="004E1183"/>
    <w:rsid w:val="004F1A24"/>
    <w:rsid w:val="00502D25"/>
    <w:rsid w:val="0050700C"/>
    <w:rsid w:val="00517584"/>
    <w:rsid w:val="0051783B"/>
    <w:rsid w:val="00523B3C"/>
    <w:rsid w:val="00530632"/>
    <w:rsid w:val="00531489"/>
    <w:rsid w:val="0055610A"/>
    <w:rsid w:val="00566309"/>
    <w:rsid w:val="005671E6"/>
    <w:rsid w:val="0057189A"/>
    <w:rsid w:val="00572342"/>
    <w:rsid w:val="00577A7C"/>
    <w:rsid w:val="00597988"/>
    <w:rsid w:val="005B3F8B"/>
    <w:rsid w:val="005B43BA"/>
    <w:rsid w:val="005B6A65"/>
    <w:rsid w:val="005C041B"/>
    <w:rsid w:val="005C6800"/>
    <w:rsid w:val="005D41CD"/>
    <w:rsid w:val="005E3D21"/>
    <w:rsid w:val="005E52E9"/>
    <w:rsid w:val="005E7403"/>
    <w:rsid w:val="005F226B"/>
    <w:rsid w:val="005F36EC"/>
    <w:rsid w:val="005F4030"/>
    <w:rsid w:val="00604522"/>
    <w:rsid w:val="00607935"/>
    <w:rsid w:val="006101F6"/>
    <w:rsid w:val="00622CA9"/>
    <w:rsid w:val="00627486"/>
    <w:rsid w:val="0063396C"/>
    <w:rsid w:val="006565D7"/>
    <w:rsid w:val="00662EDC"/>
    <w:rsid w:val="006649E6"/>
    <w:rsid w:val="006701AA"/>
    <w:rsid w:val="00673D55"/>
    <w:rsid w:val="00677EFC"/>
    <w:rsid w:val="00685136"/>
    <w:rsid w:val="006917A2"/>
    <w:rsid w:val="006C3B00"/>
    <w:rsid w:val="006D4A4C"/>
    <w:rsid w:val="006E1AA7"/>
    <w:rsid w:val="006E34FB"/>
    <w:rsid w:val="006F1468"/>
    <w:rsid w:val="006F454B"/>
    <w:rsid w:val="007032B0"/>
    <w:rsid w:val="00705EA0"/>
    <w:rsid w:val="00712F91"/>
    <w:rsid w:val="007163D4"/>
    <w:rsid w:val="00722546"/>
    <w:rsid w:val="00734483"/>
    <w:rsid w:val="00750E23"/>
    <w:rsid w:val="0075548F"/>
    <w:rsid w:val="007603D5"/>
    <w:rsid w:val="007608DA"/>
    <w:rsid w:val="00760B25"/>
    <w:rsid w:val="0077091B"/>
    <w:rsid w:val="00770D80"/>
    <w:rsid w:val="0077306B"/>
    <w:rsid w:val="007771D2"/>
    <w:rsid w:val="0078288F"/>
    <w:rsid w:val="00784492"/>
    <w:rsid w:val="0079150C"/>
    <w:rsid w:val="0079203B"/>
    <w:rsid w:val="00792E6A"/>
    <w:rsid w:val="0079405A"/>
    <w:rsid w:val="007A28E8"/>
    <w:rsid w:val="007A4121"/>
    <w:rsid w:val="007A77E7"/>
    <w:rsid w:val="007B34A4"/>
    <w:rsid w:val="007B36CE"/>
    <w:rsid w:val="007C5499"/>
    <w:rsid w:val="007C76B6"/>
    <w:rsid w:val="007E448F"/>
    <w:rsid w:val="007F5012"/>
    <w:rsid w:val="008034ED"/>
    <w:rsid w:val="00803AB0"/>
    <w:rsid w:val="00803DEC"/>
    <w:rsid w:val="00805406"/>
    <w:rsid w:val="00807CF5"/>
    <w:rsid w:val="00810D70"/>
    <w:rsid w:val="0081458B"/>
    <w:rsid w:val="0081669B"/>
    <w:rsid w:val="00816A2B"/>
    <w:rsid w:val="008242A5"/>
    <w:rsid w:val="00836ACC"/>
    <w:rsid w:val="00837378"/>
    <w:rsid w:val="0084020F"/>
    <w:rsid w:val="00840AEB"/>
    <w:rsid w:val="00843E64"/>
    <w:rsid w:val="00854F3B"/>
    <w:rsid w:val="008610D3"/>
    <w:rsid w:val="00875128"/>
    <w:rsid w:val="00882286"/>
    <w:rsid w:val="0088484F"/>
    <w:rsid w:val="00885639"/>
    <w:rsid w:val="008901F4"/>
    <w:rsid w:val="00892B0E"/>
    <w:rsid w:val="008A247A"/>
    <w:rsid w:val="008A2651"/>
    <w:rsid w:val="008B28B5"/>
    <w:rsid w:val="008B44B2"/>
    <w:rsid w:val="008B5AAA"/>
    <w:rsid w:val="008D01EE"/>
    <w:rsid w:val="008D14A0"/>
    <w:rsid w:val="008D4612"/>
    <w:rsid w:val="008D5A51"/>
    <w:rsid w:val="008F3CBF"/>
    <w:rsid w:val="009118EE"/>
    <w:rsid w:val="00914835"/>
    <w:rsid w:val="009160AE"/>
    <w:rsid w:val="00917E49"/>
    <w:rsid w:val="00931126"/>
    <w:rsid w:val="009377BD"/>
    <w:rsid w:val="00941A79"/>
    <w:rsid w:val="00960266"/>
    <w:rsid w:val="00963445"/>
    <w:rsid w:val="00974B4E"/>
    <w:rsid w:val="00992C69"/>
    <w:rsid w:val="009A0644"/>
    <w:rsid w:val="009A0EFE"/>
    <w:rsid w:val="009A6BF2"/>
    <w:rsid w:val="009B317C"/>
    <w:rsid w:val="009B3622"/>
    <w:rsid w:val="009B3959"/>
    <w:rsid w:val="009B5E88"/>
    <w:rsid w:val="009C18C5"/>
    <w:rsid w:val="009C3C42"/>
    <w:rsid w:val="009D42CD"/>
    <w:rsid w:val="009F3CA9"/>
    <w:rsid w:val="009F5DAD"/>
    <w:rsid w:val="00A05DBD"/>
    <w:rsid w:val="00A11E3C"/>
    <w:rsid w:val="00A121B1"/>
    <w:rsid w:val="00A164E9"/>
    <w:rsid w:val="00A25B45"/>
    <w:rsid w:val="00A27EA8"/>
    <w:rsid w:val="00A45520"/>
    <w:rsid w:val="00A46841"/>
    <w:rsid w:val="00A50A56"/>
    <w:rsid w:val="00A55144"/>
    <w:rsid w:val="00A5788D"/>
    <w:rsid w:val="00A60CA9"/>
    <w:rsid w:val="00A61546"/>
    <w:rsid w:val="00A63DE8"/>
    <w:rsid w:val="00A71D80"/>
    <w:rsid w:val="00A9079B"/>
    <w:rsid w:val="00A90FA4"/>
    <w:rsid w:val="00A92891"/>
    <w:rsid w:val="00A92FE3"/>
    <w:rsid w:val="00A94A9C"/>
    <w:rsid w:val="00A957E2"/>
    <w:rsid w:val="00AA1F1E"/>
    <w:rsid w:val="00AA5728"/>
    <w:rsid w:val="00AA5F56"/>
    <w:rsid w:val="00AC21DF"/>
    <w:rsid w:val="00AC2E04"/>
    <w:rsid w:val="00AD3D5F"/>
    <w:rsid w:val="00AE2953"/>
    <w:rsid w:val="00AE2E06"/>
    <w:rsid w:val="00AE534A"/>
    <w:rsid w:val="00AE6606"/>
    <w:rsid w:val="00B052BA"/>
    <w:rsid w:val="00B053CE"/>
    <w:rsid w:val="00B14EF6"/>
    <w:rsid w:val="00B17A1A"/>
    <w:rsid w:val="00B20755"/>
    <w:rsid w:val="00B250B9"/>
    <w:rsid w:val="00B265D7"/>
    <w:rsid w:val="00B27449"/>
    <w:rsid w:val="00B3046D"/>
    <w:rsid w:val="00B361EF"/>
    <w:rsid w:val="00B4613A"/>
    <w:rsid w:val="00B471E4"/>
    <w:rsid w:val="00B53CCA"/>
    <w:rsid w:val="00B556E4"/>
    <w:rsid w:val="00B63502"/>
    <w:rsid w:val="00B662FF"/>
    <w:rsid w:val="00B7396B"/>
    <w:rsid w:val="00B776E7"/>
    <w:rsid w:val="00B87BD9"/>
    <w:rsid w:val="00B94E5C"/>
    <w:rsid w:val="00BA4F1C"/>
    <w:rsid w:val="00BB3846"/>
    <w:rsid w:val="00BB7E2A"/>
    <w:rsid w:val="00BC6254"/>
    <w:rsid w:val="00BD39A6"/>
    <w:rsid w:val="00BD4616"/>
    <w:rsid w:val="00BE7574"/>
    <w:rsid w:val="00BF3EBC"/>
    <w:rsid w:val="00C02F82"/>
    <w:rsid w:val="00C10A53"/>
    <w:rsid w:val="00C110F6"/>
    <w:rsid w:val="00C24EDB"/>
    <w:rsid w:val="00C5324C"/>
    <w:rsid w:val="00C62A0E"/>
    <w:rsid w:val="00C676D4"/>
    <w:rsid w:val="00C71E5F"/>
    <w:rsid w:val="00C83BF5"/>
    <w:rsid w:val="00C91C73"/>
    <w:rsid w:val="00C931D8"/>
    <w:rsid w:val="00C9509F"/>
    <w:rsid w:val="00CB0217"/>
    <w:rsid w:val="00CC6168"/>
    <w:rsid w:val="00CD3AC9"/>
    <w:rsid w:val="00D044E2"/>
    <w:rsid w:val="00D05888"/>
    <w:rsid w:val="00D07E78"/>
    <w:rsid w:val="00D1217A"/>
    <w:rsid w:val="00D17076"/>
    <w:rsid w:val="00D17C2D"/>
    <w:rsid w:val="00D2044A"/>
    <w:rsid w:val="00D26508"/>
    <w:rsid w:val="00D3006F"/>
    <w:rsid w:val="00D409E4"/>
    <w:rsid w:val="00D46080"/>
    <w:rsid w:val="00D51C18"/>
    <w:rsid w:val="00D674DA"/>
    <w:rsid w:val="00D71357"/>
    <w:rsid w:val="00D75E22"/>
    <w:rsid w:val="00D86BAE"/>
    <w:rsid w:val="00D90A05"/>
    <w:rsid w:val="00DB1428"/>
    <w:rsid w:val="00DC18D4"/>
    <w:rsid w:val="00DD4A24"/>
    <w:rsid w:val="00DE4328"/>
    <w:rsid w:val="00E033D0"/>
    <w:rsid w:val="00E10E50"/>
    <w:rsid w:val="00E1752F"/>
    <w:rsid w:val="00E36214"/>
    <w:rsid w:val="00E436FB"/>
    <w:rsid w:val="00E4459F"/>
    <w:rsid w:val="00E455D3"/>
    <w:rsid w:val="00E469F2"/>
    <w:rsid w:val="00E549F5"/>
    <w:rsid w:val="00E56C73"/>
    <w:rsid w:val="00E615CF"/>
    <w:rsid w:val="00E6760A"/>
    <w:rsid w:val="00E97C9E"/>
    <w:rsid w:val="00EA441A"/>
    <w:rsid w:val="00EA63F6"/>
    <w:rsid w:val="00EA7851"/>
    <w:rsid w:val="00EA7EEC"/>
    <w:rsid w:val="00EB5B12"/>
    <w:rsid w:val="00ED35F9"/>
    <w:rsid w:val="00ED6232"/>
    <w:rsid w:val="00EF5830"/>
    <w:rsid w:val="00F029A7"/>
    <w:rsid w:val="00F06D90"/>
    <w:rsid w:val="00F07EBD"/>
    <w:rsid w:val="00F14949"/>
    <w:rsid w:val="00F15367"/>
    <w:rsid w:val="00F1588E"/>
    <w:rsid w:val="00F23EA7"/>
    <w:rsid w:val="00F2530C"/>
    <w:rsid w:val="00F27014"/>
    <w:rsid w:val="00F331E2"/>
    <w:rsid w:val="00F40EA5"/>
    <w:rsid w:val="00F415C5"/>
    <w:rsid w:val="00F44A79"/>
    <w:rsid w:val="00F46897"/>
    <w:rsid w:val="00F47463"/>
    <w:rsid w:val="00F632E1"/>
    <w:rsid w:val="00F66825"/>
    <w:rsid w:val="00F66EFD"/>
    <w:rsid w:val="00F67021"/>
    <w:rsid w:val="00F957B4"/>
    <w:rsid w:val="00FA07D9"/>
    <w:rsid w:val="00FA1B9F"/>
    <w:rsid w:val="00FA6932"/>
    <w:rsid w:val="00FB110C"/>
    <w:rsid w:val="00FB43BA"/>
    <w:rsid w:val="00FB5773"/>
    <w:rsid w:val="00FB5CAE"/>
    <w:rsid w:val="00FC3DD6"/>
    <w:rsid w:val="00FD17AA"/>
    <w:rsid w:val="00FD19B9"/>
    <w:rsid w:val="00FE6E73"/>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1F5903B"/>
  <w15:chartTrackingRefBased/>
  <w15:docId w15:val="{8DCCDDB7-FBF0-4A81-AA96-25C602A46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13A"/>
    <w:pPr>
      <w:spacing w:after="0" w:line="360" w:lineRule="auto"/>
      <w:ind w:firstLine="720"/>
      <w:jc w:val="center"/>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13A"/>
    <w:pPr>
      <w:ind w:left="720"/>
      <w:contextualSpacing/>
    </w:pPr>
  </w:style>
  <w:style w:type="paragraph" w:customStyle="1" w:styleId="Default">
    <w:name w:val="Default"/>
    <w:rsid w:val="00D4608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4A44D1"/>
    <w:rPr>
      <w:color w:val="0000FF"/>
      <w:u w:val="single"/>
    </w:rPr>
  </w:style>
  <w:style w:type="character" w:customStyle="1" w:styleId="term1">
    <w:name w:val="term1"/>
    <w:basedOn w:val="DefaultParagraphFont"/>
    <w:rsid w:val="004A44D1"/>
    <w:rPr>
      <w:b/>
      <w:bCs/>
    </w:rPr>
  </w:style>
  <w:style w:type="character" w:styleId="Emphasis">
    <w:name w:val="Emphasis"/>
    <w:basedOn w:val="DefaultParagraphFont"/>
    <w:qFormat/>
    <w:rsid w:val="004A44D1"/>
    <w:rPr>
      <w:i/>
      <w:iCs/>
    </w:rPr>
  </w:style>
  <w:style w:type="paragraph" w:styleId="Header">
    <w:name w:val="header"/>
    <w:basedOn w:val="Normal"/>
    <w:link w:val="HeaderChar"/>
    <w:uiPriority w:val="99"/>
    <w:unhideWhenUsed/>
    <w:rsid w:val="00181C10"/>
    <w:pPr>
      <w:tabs>
        <w:tab w:val="center" w:pos="4680"/>
        <w:tab w:val="right" w:pos="9360"/>
      </w:tabs>
      <w:spacing w:line="240" w:lineRule="auto"/>
    </w:pPr>
  </w:style>
  <w:style w:type="character" w:customStyle="1" w:styleId="HeaderChar">
    <w:name w:val="Header Char"/>
    <w:basedOn w:val="DefaultParagraphFont"/>
    <w:link w:val="Header"/>
    <w:uiPriority w:val="99"/>
    <w:rsid w:val="00181C10"/>
    <w:rPr>
      <w:rFonts w:ascii="Times New Roman" w:eastAsia="Calibri" w:hAnsi="Times New Roman" w:cs="Times New Roman"/>
      <w:sz w:val="24"/>
      <w:szCs w:val="24"/>
    </w:rPr>
  </w:style>
  <w:style w:type="paragraph" w:styleId="Footer">
    <w:name w:val="footer"/>
    <w:basedOn w:val="Normal"/>
    <w:link w:val="FooterChar"/>
    <w:uiPriority w:val="99"/>
    <w:unhideWhenUsed/>
    <w:rsid w:val="00181C10"/>
    <w:pPr>
      <w:tabs>
        <w:tab w:val="center" w:pos="4680"/>
        <w:tab w:val="right" w:pos="9360"/>
      </w:tabs>
      <w:spacing w:line="240" w:lineRule="auto"/>
    </w:pPr>
  </w:style>
  <w:style w:type="character" w:customStyle="1" w:styleId="FooterChar">
    <w:name w:val="Footer Char"/>
    <w:basedOn w:val="DefaultParagraphFont"/>
    <w:link w:val="Footer"/>
    <w:uiPriority w:val="99"/>
    <w:rsid w:val="00181C10"/>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D51C18"/>
    <w:pPr>
      <w:spacing w:line="240" w:lineRule="auto"/>
    </w:pPr>
    <w:rPr>
      <w:sz w:val="20"/>
      <w:szCs w:val="20"/>
    </w:rPr>
  </w:style>
  <w:style w:type="character" w:customStyle="1" w:styleId="FootnoteTextChar">
    <w:name w:val="Footnote Text Char"/>
    <w:basedOn w:val="DefaultParagraphFont"/>
    <w:link w:val="FootnoteText"/>
    <w:uiPriority w:val="99"/>
    <w:semiHidden/>
    <w:rsid w:val="00D51C18"/>
    <w:rPr>
      <w:rFonts w:ascii="Times New Roman" w:eastAsia="Calibri" w:hAnsi="Times New Roman" w:cs="Times New Roman"/>
      <w:sz w:val="20"/>
      <w:szCs w:val="20"/>
    </w:rPr>
  </w:style>
  <w:style w:type="character" w:styleId="FootnoteReference">
    <w:name w:val="footnote reference"/>
    <w:aliases w:val="o,fr"/>
    <w:rsid w:val="00D51C18"/>
    <w:rPr>
      <w:vertAlign w:val="superscript"/>
    </w:rPr>
  </w:style>
  <w:style w:type="paragraph" w:customStyle="1" w:styleId="ParaTab1">
    <w:name w:val="ParaTab 1"/>
    <w:rsid w:val="00202599"/>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8373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37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37378"/>
    <w:rPr>
      <w:sz w:val="16"/>
      <w:szCs w:val="16"/>
    </w:rPr>
  </w:style>
  <w:style w:type="paragraph" w:styleId="CommentText">
    <w:name w:val="annotation text"/>
    <w:basedOn w:val="Normal"/>
    <w:link w:val="CommentTextChar"/>
    <w:uiPriority w:val="99"/>
    <w:semiHidden/>
    <w:unhideWhenUsed/>
    <w:rsid w:val="00837378"/>
    <w:pPr>
      <w:spacing w:line="240" w:lineRule="auto"/>
    </w:pPr>
    <w:rPr>
      <w:sz w:val="20"/>
      <w:szCs w:val="20"/>
    </w:rPr>
  </w:style>
  <w:style w:type="character" w:customStyle="1" w:styleId="CommentTextChar">
    <w:name w:val="Comment Text Char"/>
    <w:basedOn w:val="DefaultParagraphFont"/>
    <w:link w:val="CommentText"/>
    <w:uiPriority w:val="99"/>
    <w:semiHidden/>
    <w:rsid w:val="0083737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378"/>
    <w:rPr>
      <w:b/>
      <w:bCs/>
    </w:rPr>
  </w:style>
  <w:style w:type="character" w:customStyle="1" w:styleId="CommentSubjectChar">
    <w:name w:val="Comment Subject Char"/>
    <w:basedOn w:val="CommentTextChar"/>
    <w:link w:val="CommentSubject"/>
    <w:uiPriority w:val="99"/>
    <w:semiHidden/>
    <w:rsid w:val="00837378"/>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Y&amp;pubNum=0000930&amp;cite=54PAPUC98&amp;originatingDoc=I11f69ddd703211e7b92bf4314c15140f&amp;refType=RP&amp;originationContext=document&amp;transitionType=DocumentItem&amp;contextData=(sc.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BF80A-C158-472B-A021-997B9EA2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Carran, Robert</dc:creator>
  <cp:keywords/>
  <dc:description/>
  <cp:lastModifiedBy>Wagner, Nathan R</cp:lastModifiedBy>
  <cp:revision>4</cp:revision>
  <cp:lastPrinted>2017-12-27T19:03:00Z</cp:lastPrinted>
  <dcterms:created xsi:type="dcterms:W3CDTF">2018-01-30T15:02:00Z</dcterms:created>
  <dcterms:modified xsi:type="dcterms:W3CDTF">2018-02-09T13:04:00Z</dcterms:modified>
</cp:coreProperties>
</file>