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348B2" w14:textId="77777777" w:rsidR="00EB6BF9" w:rsidRPr="000B63C6" w:rsidRDefault="00EB6BF9" w:rsidP="00FD1DAD">
      <w:pPr>
        <w:tabs>
          <w:tab w:val="center" w:pos="4680"/>
        </w:tabs>
        <w:suppressAutoHyphens/>
        <w:jc w:val="center"/>
        <w:rPr>
          <w:b/>
          <w:szCs w:val="26"/>
        </w:rPr>
      </w:pPr>
      <w:r w:rsidRPr="000B63C6">
        <w:rPr>
          <w:b/>
          <w:szCs w:val="26"/>
        </w:rPr>
        <w:t>PENNSYLVANIA</w:t>
      </w:r>
    </w:p>
    <w:p w14:paraId="2708C2E3" w14:textId="77777777" w:rsidR="00EB6BF9" w:rsidRPr="000B63C6" w:rsidRDefault="00EB6BF9" w:rsidP="00FD1DAD">
      <w:pPr>
        <w:tabs>
          <w:tab w:val="center" w:pos="4680"/>
        </w:tabs>
        <w:suppressAutoHyphens/>
        <w:jc w:val="center"/>
        <w:rPr>
          <w:szCs w:val="26"/>
        </w:rPr>
      </w:pPr>
      <w:r w:rsidRPr="000B63C6">
        <w:rPr>
          <w:b/>
          <w:szCs w:val="26"/>
        </w:rPr>
        <w:t>PUBLIC UTILITY COMMISSION</w:t>
      </w:r>
    </w:p>
    <w:p w14:paraId="1629395D" w14:textId="77777777" w:rsidR="00EB6BF9" w:rsidRPr="000B63C6" w:rsidRDefault="00EB6BF9" w:rsidP="00FD1DAD">
      <w:pPr>
        <w:tabs>
          <w:tab w:val="center" w:pos="4680"/>
        </w:tabs>
        <w:suppressAutoHyphens/>
        <w:jc w:val="center"/>
        <w:rPr>
          <w:szCs w:val="26"/>
        </w:rPr>
      </w:pPr>
      <w:r w:rsidRPr="000B63C6">
        <w:rPr>
          <w:b/>
          <w:szCs w:val="26"/>
        </w:rPr>
        <w:t>Harrisburg, PA 17105-3265</w:t>
      </w:r>
    </w:p>
    <w:p w14:paraId="468A4F6B" w14:textId="77777777" w:rsidR="00EB6BF9" w:rsidRPr="000B63C6" w:rsidRDefault="00EB6BF9" w:rsidP="00FD1DAD">
      <w:pPr>
        <w:tabs>
          <w:tab w:val="left" w:pos="-720"/>
        </w:tabs>
        <w:suppressAutoHyphens/>
        <w:rPr>
          <w:szCs w:val="26"/>
        </w:rPr>
      </w:pPr>
    </w:p>
    <w:p w14:paraId="4315A346" w14:textId="77777777" w:rsidR="00EB6BF9" w:rsidRPr="000B63C6" w:rsidRDefault="00EB6BF9" w:rsidP="00FD1DAD">
      <w:pPr>
        <w:rPr>
          <w:szCs w:val="26"/>
        </w:rPr>
      </w:pPr>
    </w:p>
    <w:tbl>
      <w:tblPr>
        <w:tblW w:w="0" w:type="auto"/>
        <w:tblLook w:val="04A0" w:firstRow="1" w:lastRow="0" w:firstColumn="1" w:lastColumn="0" w:noHBand="0" w:noVBand="1"/>
      </w:tblPr>
      <w:tblGrid>
        <w:gridCol w:w="4954"/>
        <w:gridCol w:w="4316"/>
      </w:tblGrid>
      <w:tr w:rsidR="00B310BA" w:rsidRPr="000B63C6" w14:paraId="7A4A848F" w14:textId="77777777" w:rsidTr="00A96E3C">
        <w:tc>
          <w:tcPr>
            <w:tcW w:w="4954" w:type="dxa"/>
            <w:shd w:val="clear" w:color="auto" w:fill="auto"/>
          </w:tcPr>
          <w:p w14:paraId="30258162" w14:textId="77777777" w:rsidR="00B310BA" w:rsidRPr="000B63C6" w:rsidRDefault="00B310BA" w:rsidP="00FD1DAD">
            <w:pPr>
              <w:rPr>
                <w:szCs w:val="26"/>
              </w:rPr>
            </w:pPr>
          </w:p>
        </w:tc>
        <w:tc>
          <w:tcPr>
            <w:tcW w:w="4316" w:type="dxa"/>
            <w:shd w:val="clear" w:color="auto" w:fill="auto"/>
          </w:tcPr>
          <w:p w14:paraId="29E154FC" w14:textId="77777777" w:rsidR="00B310BA" w:rsidRPr="000B63C6" w:rsidRDefault="00B310BA" w:rsidP="004A25F0">
            <w:pPr>
              <w:ind w:right="-90"/>
              <w:jc w:val="right"/>
              <w:rPr>
                <w:szCs w:val="26"/>
              </w:rPr>
            </w:pPr>
            <w:r w:rsidRPr="000B63C6">
              <w:rPr>
                <w:szCs w:val="26"/>
              </w:rPr>
              <w:t xml:space="preserve">Public Meeting held </w:t>
            </w:r>
            <w:r w:rsidR="008A69B0" w:rsidRPr="000B63C6">
              <w:rPr>
                <w:szCs w:val="26"/>
              </w:rPr>
              <w:t>February 8, 2018</w:t>
            </w:r>
          </w:p>
          <w:p w14:paraId="44860CDB" w14:textId="77777777" w:rsidR="00B310BA" w:rsidRPr="000B63C6" w:rsidRDefault="00B310BA" w:rsidP="00553501">
            <w:pPr>
              <w:rPr>
                <w:szCs w:val="26"/>
              </w:rPr>
            </w:pPr>
          </w:p>
          <w:p w14:paraId="65A80812" w14:textId="77777777" w:rsidR="00B310BA" w:rsidRPr="000B63C6" w:rsidRDefault="00B310BA" w:rsidP="00553501">
            <w:pPr>
              <w:rPr>
                <w:szCs w:val="26"/>
              </w:rPr>
            </w:pPr>
          </w:p>
        </w:tc>
      </w:tr>
      <w:tr w:rsidR="00A96E3C" w:rsidRPr="000B63C6" w14:paraId="6D81B8B1" w14:textId="77777777" w:rsidTr="00D649C3">
        <w:tc>
          <w:tcPr>
            <w:tcW w:w="9270" w:type="dxa"/>
            <w:gridSpan w:val="2"/>
            <w:shd w:val="clear" w:color="auto" w:fill="auto"/>
          </w:tcPr>
          <w:p w14:paraId="426609C3" w14:textId="77777777" w:rsidR="00A96E3C" w:rsidRPr="000B63C6" w:rsidRDefault="00A96E3C" w:rsidP="00FD1DAD">
            <w:pPr>
              <w:rPr>
                <w:szCs w:val="26"/>
              </w:rPr>
            </w:pPr>
            <w:r w:rsidRPr="000B63C6">
              <w:rPr>
                <w:szCs w:val="26"/>
              </w:rPr>
              <w:t>Commissioners Present:</w:t>
            </w:r>
          </w:p>
          <w:p w14:paraId="5F9149D1" w14:textId="77777777" w:rsidR="00A96E3C" w:rsidRPr="000B63C6" w:rsidRDefault="00A96E3C" w:rsidP="00FD1DAD">
            <w:pPr>
              <w:rPr>
                <w:szCs w:val="26"/>
              </w:rPr>
            </w:pPr>
          </w:p>
          <w:p w14:paraId="63C9B7CE" w14:textId="77777777" w:rsidR="00A96E3C" w:rsidRPr="000B63C6" w:rsidRDefault="00A96E3C" w:rsidP="006A35DA">
            <w:pPr>
              <w:overflowPunct/>
              <w:autoSpaceDE/>
              <w:autoSpaceDN/>
              <w:adjustRightInd/>
              <w:ind w:left="720"/>
              <w:textAlignment w:val="auto"/>
              <w:rPr>
                <w:rFonts w:eastAsia="Calibri"/>
                <w:szCs w:val="26"/>
              </w:rPr>
            </w:pPr>
            <w:r w:rsidRPr="000B63C6">
              <w:rPr>
                <w:rFonts w:eastAsia="Calibri"/>
                <w:szCs w:val="26"/>
              </w:rPr>
              <w:t>Gladys M. Brown, Chairman</w:t>
            </w:r>
            <w:r>
              <w:rPr>
                <w:rFonts w:eastAsia="Calibri"/>
                <w:szCs w:val="26"/>
              </w:rPr>
              <w:t>, Statement</w:t>
            </w:r>
          </w:p>
          <w:p w14:paraId="4C9D54B8" w14:textId="77777777" w:rsidR="00A96E3C" w:rsidRPr="000B63C6" w:rsidRDefault="00A96E3C" w:rsidP="006A35DA">
            <w:pPr>
              <w:overflowPunct/>
              <w:autoSpaceDE/>
              <w:autoSpaceDN/>
              <w:adjustRightInd/>
              <w:textAlignment w:val="auto"/>
              <w:rPr>
                <w:rFonts w:eastAsia="Calibri"/>
                <w:szCs w:val="26"/>
              </w:rPr>
            </w:pPr>
            <w:r w:rsidRPr="000B63C6">
              <w:rPr>
                <w:rFonts w:eastAsia="Calibri"/>
                <w:szCs w:val="26"/>
              </w:rPr>
              <w:tab/>
              <w:t>Andrew G. Place, Vice Chairman</w:t>
            </w:r>
          </w:p>
          <w:p w14:paraId="4AC7EC7D" w14:textId="77777777" w:rsidR="00A96E3C" w:rsidRPr="000B63C6" w:rsidRDefault="00A96E3C" w:rsidP="006A35DA">
            <w:pPr>
              <w:overflowPunct/>
              <w:autoSpaceDE/>
              <w:autoSpaceDN/>
              <w:adjustRightInd/>
              <w:textAlignment w:val="auto"/>
              <w:rPr>
                <w:rFonts w:eastAsia="Calibri"/>
                <w:szCs w:val="26"/>
              </w:rPr>
            </w:pPr>
            <w:r w:rsidRPr="000B63C6">
              <w:rPr>
                <w:rFonts w:eastAsia="Calibri"/>
                <w:szCs w:val="26"/>
              </w:rPr>
              <w:tab/>
              <w:t>Norman J. Kennard</w:t>
            </w:r>
          </w:p>
          <w:p w14:paraId="72C8427C" w14:textId="77777777" w:rsidR="00A96E3C" w:rsidRPr="000B63C6" w:rsidRDefault="00A96E3C" w:rsidP="006A35DA">
            <w:pPr>
              <w:overflowPunct/>
              <w:autoSpaceDE/>
              <w:autoSpaceDN/>
              <w:adjustRightInd/>
              <w:textAlignment w:val="auto"/>
              <w:rPr>
                <w:rFonts w:eastAsia="Calibri"/>
                <w:szCs w:val="26"/>
              </w:rPr>
            </w:pPr>
            <w:r w:rsidRPr="000B63C6">
              <w:rPr>
                <w:rFonts w:eastAsia="Calibri"/>
                <w:szCs w:val="26"/>
              </w:rPr>
              <w:tab/>
              <w:t>David W. Sweet</w:t>
            </w:r>
          </w:p>
          <w:p w14:paraId="07AB8F67" w14:textId="77777777" w:rsidR="00A96E3C" w:rsidRPr="000B63C6" w:rsidRDefault="00A96E3C" w:rsidP="006A35DA">
            <w:pPr>
              <w:overflowPunct/>
              <w:autoSpaceDE/>
              <w:autoSpaceDN/>
              <w:adjustRightInd/>
              <w:textAlignment w:val="auto"/>
              <w:rPr>
                <w:rFonts w:eastAsia="Calibri"/>
                <w:szCs w:val="26"/>
              </w:rPr>
            </w:pPr>
            <w:r w:rsidRPr="000B63C6">
              <w:rPr>
                <w:rFonts w:eastAsia="Calibri"/>
                <w:szCs w:val="26"/>
              </w:rPr>
              <w:tab/>
              <w:t>John F. Coleman, Jr.</w:t>
            </w:r>
          </w:p>
          <w:p w14:paraId="5BA91BBD" w14:textId="77777777" w:rsidR="00A96E3C" w:rsidRPr="000B63C6" w:rsidRDefault="00A96E3C" w:rsidP="00FD1DAD">
            <w:pPr>
              <w:rPr>
                <w:szCs w:val="26"/>
              </w:rPr>
            </w:pPr>
          </w:p>
          <w:p w14:paraId="664CDE6A" w14:textId="77777777" w:rsidR="00A96E3C" w:rsidRPr="000B63C6" w:rsidRDefault="00A96E3C" w:rsidP="00754576">
            <w:pPr>
              <w:jc w:val="right"/>
              <w:rPr>
                <w:szCs w:val="26"/>
              </w:rPr>
            </w:pPr>
          </w:p>
          <w:p w14:paraId="2DFD67BE" w14:textId="77777777" w:rsidR="00A96E3C" w:rsidRPr="000B63C6" w:rsidRDefault="00A96E3C" w:rsidP="00754576">
            <w:pPr>
              <w:jc w:val="right"/>
              <w:rPr>
                <w:szCs w:val="26"/>
              </w:rPr>
            </w:pPr>
          </w:p>
        </w:tc>
      </w:tr>
      <w:tr w:rsidR="00B310BA" w:rsidRPr="000B63C6" w14:paraId="4BA2DACC" w14:textId="77777777" w:rsidTr="00A96E3C">
        <w:tc>
          <w:tcPr>
            <w:tcW w:w="4954" w:type="dxa"/>
            <w:shd w:val="clear" w:color="auto" w:fill="auto"/>
          </w:tcPr>
          <w:p w14:paraId="249741E2" w14:textId="77777777" w:rsidR="005E0112" w:rsidRPr="000B63C6" w:rsidRDefault="00D95D3B" w:rsidP="005E0112">
            <w:pPr>
              <w:rPr>
                <w:szCs w:val="26"/>
              </w:rPr>
            </w:pPr>
            <w:r w:rsidRPr="000B63C6">
              <w:rPr>
                <w:szCs w:val="26"/>
              </w:rPr>
              <w:t xml:space="preserve">Application of Pennsylvania Electric Company Seeking Approval to Locate, Construct, Operate and Maintain a High-Voltage Transmission Line Referred </w:t>
            </w:r>
            <w:r w:rsidR="004D0ABA" w:rsidRPr="000B63C6">
              <w:rPr>
                <w:szCs w:val="26"/>
              </w:rPr>
              <w:t xml:space="preserve">to </w:t>
            </w:r>
            <w:r w:rsidRPr="000B63C6">
              <w:rPr>
                <w:szCs w:val="26"/>
              </w:rPr>
              <w:t xml:space="preserve">as the Bedford North-Central City West 115 kV HV Transmission Line Project </w:t>
            </w:r>
          </w:p>
        </w:tc>
        <w:tc>
          <w:tcPr>
            <w:tcW w:w="4316" w:type="dxa"/>
            <w:shd w:val="clear" w:color="auto" w:fill="auto"/>
          </w:tcPr>
          <w:p w14:paraId="59C73E03" w14:textId="77777777" w:rsidR="005E0112" w:rsidRPr="000B63C6" w:rsidRDefault="00D95D3B" w:rsidP="00602ADB">
            <w:pPr>
              <w:jc w:val="right"/>
              <w:rPr>
                <w:szCs w:val="26"/>
              </w:rPr>
            </w:pPr>
            <w:r w:rsidRPr="000B63C6">
              <w:rPr>
                <w:szCs w:val="26"/>
              </w:rPr>
              <w:t xml:space="preserve">A-2016-2565296, </w:t>
            </w:r>
            <w:r w:rsidRPr="000B63C6">
              <w:rPr>
                <w:i/>
                <w:szCs w:val="26"/>
              </w:rPr>
              <w:t>et al.</w:t>
            </w:r>
          </w:p>
        </w:tc>
      </w:tr>
      <w:tr w:rsidR="00B310BA" w:rsidRPr="000B63C6" w14:paraId="619C2F8A" w14:textId="77777777" w:rsidTr="00A96E3C">
        <w:tc>
          <w:tcPr>
            <w:tcW w:w="4954" w:type="dxa"/>
            <w:shd w:val="clear" w:color="auto" w:fill="auto"/>
          </w:tcPr>
          <w:p w14:paraId="41B0988E" w14:textId="77777777" w:rsidR="00190DCD" w:rsidRPr="000B63C6" w:rsidRDefault="00190DCD" w:rsidP="0008309E">
            <w:pPr>
              <w:ind w:firstLine="1440"/>
              <w:rPr>
                <w:szCs w:val="26"/>
              </w:rPr>
            </w:pPr>
          </w:p>
        </w:tc>
        <w:tc>
          <w:tcPr>
            <w:tcW w:w="4316" w:type="dxa"/>
            <w:shd w:val="clear" w:color="auto" w:fill="auto"/>
          </w:tcPr>
          <w:p w14:paraId="2ED94E43" w14:textId="77777777" w:rsidR="00B310BA" w:rsidRPr="000B63C6" w:rsidRDefault="00B310BA" w:rsidP="00FD1DAD">
            <w:pPr>
              <w:rPr>
                <w:szCs w:val="26"/>
              </w:rPr>
            </w:pPr>
          </w:p>
        </w:tc>
      </w:tr>
      <w:tr w:rsidR="00B310BA" w:rsidRPr="000B63C6" w14:paraId="1343D1B5" w14:textId="77777777" w:rsidTr="00A96E3C">
        <w:tc>
          <w:tcPr>
            <w:tcW w:w="4954" w:type="dxa"/>
            <w:shd w:val="clear" w:color="auto" w:fill="auto"/>
          </w:tcPr>
          <w:p w14:paraId="3FD89ABF" w14:textId="77777777" w:rsidR="005E0112" w:rsidRPr="000B63C6" w:rsidRDefault="005E0112" w:rsidP="00190DCD">
            <w:pPr>
              <w:rPr>
                <w:szCs w:val="26"/>
              </w:rPr>
            </w:pPr>
          </w:p>
        </w:tc>
        <w:tc>
          <w:tcPr>
            <w:tcW w:w="4316" w:type="dxa"/>
            <w:shd w:val="clear" w:color="auto" w:fill="auto"/>
          </w:tcPr>
          <w:p w14:paraId="73B57484" w14:textId="77777777" w:rsidR="00B310BA" w:rsidRPr="000B63C6" w:rsidRDefault="00B310BA" w:rsidP="00FD1DAD">
            <w:pPr>
              <w:rPr>
                <w:szCs w:val="26"/>
              </w:rPr>
            </w:pPr>
          </w:p>
        </w:tc>
      </w:tr>
    </w:tbl>
    <w:p w14:paraId="2BD0DA02" w14:textId="77777777" w:rsidR="00390EC5" w:rsidRPr="000B63C6" w:rsidRDefault="00390EC5" w:rsidP="00FD1DAD">
      <w:pPr>
        <w:rPr>
          <w:szCs w:val="26"/>
        </w:rPr>
      </w:pPr>
    </w:p>
    <w:p w14:paraId="06483C9F" w14:textId="77777777" w:rsidR="00B310BA" w:rsidRPr="000B63C6" w:rsidRDefault="00B310BA" w:rsidP="00FD1DAD">
      <w:pPr>
        <w:rPr>
          <w:szCs w:val="26"/>
        </w:rPr>
      </w:pPr>
    </w:p>
    <w:p w14:paraId="1C4A5497" w14:textId="77777777" w:rsidR="00EB6BF9" w:rsidRPr="000B63C6" w:rsidRDefault="00EB6BF9" w:rsidP="00F62310">
      <w:pPr>
        <w:jc w:val="center"/>
        <w:rPr>
          <w:b/>
          <w:szCs w:val="26"/>
        </w:rPr>
      </w:pPr>
      <w:r w:rsidRPr="000B63C6">
        <w:rPr>
          <w:b/>
          <w:szCs w:val="26"/>
        </w:rPr>
        <w:t>OPINION AND ORDER</w:t>
      </w:r>
    </w:p>
    <w:p w14:paraId="6A9BDA80" w14:textId="77777777" w:rsidR="00EB6BF9" w:rsidRPr="000B63C6" w:rsidRDefault="00EB6BF9" w:rsidP="00FD1DAD">
      <w:pPr>
        <w:jc w:val="center"/>
        <w:rPr>
          <w:b/>
          <w:szCs w:val="26"/>
        </w:rPr>
      </w:pPr>
    </w:p>
    <w:p w14:paraId="781A62CC" w14:textId="77777777" w:rsidR="00EB6BF9" w:rsidRPr="000B63C6" w:rsidRDefault="00EB6BF9" w:rsidP="00FD1DAD">
      <w:pPr>
        <w:jc w:val="center"/>
        <w:rPr>
          <w:b/>
          <w:szCs w:val="26"/>
        </w:rPr>
      </w:pPr>
    </w:p>
    <w:p w14:paraId="274D2771" w14:textId="77777777" w:rsidR="00EB6BF9" w:rsidRPr="000B63C6" w:rsidRDefault="00EB6BF9" w:rsidP="00FD1DAD">
      <w:pPr>
        <w:rPr>
          <w:b/>
          <w:szCs w:val="26"/>
        </w:rPr>
      </w:pPr>
      <w:r w:rsidRPr="000B63C6">
        <w:rPr>
          <w:b/>
          <w:szCs w:val="26"/>
        </w:rPr>
        <w:t>BY THE COMMISSION:</w:t>
      </w:r>
    </w:p>
    <w:p w14:paraId="55EEF34A" w14:textId="77777777" w:rsidR="00EB6BF9" w:rsidRPr="000B63C6" w:rsidRDefault="00EB6BF9" w:rsidP="00FD1DAD">
      <w:pPr>
        <w:rPr>
          <w:szCs w:val="26"/>
        </w:rPr>
      </w:pPr>
    </w:p>
    <w:p w14:paraId="4AF84489" w14:textId="77777777" w:rsidR="00EB6BF9" w:rsidRPr="000B63C6" w:rsidRDefault="00EB6BF9" w:rsidP="00FD1DAD">
      <w:pPr>
        <w:rPr>
          <w:szCs w:val="26"/>
        </w:rPr>
      </w:pPr>
    </w:p>
    <w:p w14:paraId="316A0FC4" w14:textId="77777777" w:rsidR="00A6470E" w:rsidRPr="000B63C6" w:rsidRDefault="00D95D3B" w:rsidP="00FD1DAD">
      <w:pPr>
        <w:spacing w:line="360" w:lineRule="auto"/>
        <w:rPr>
          <w:szCs w:val="26"/>
        </w:rPr>
      </w:pPr>
      <w:r w:rsidRPr="000B63C6">
        <w:rPr>
          <w:szCs w:val="26"/>
        </w:rPr>
        <w:tab/>
      </w:r>
      <w:r w:rsidRPr="000B63C6">
        <w:rPr>
          <w:szCs w:val="26"/>
        </w:rPr>
        <w:tab/>
      </w:r>
      <w:r w:rsidR="007463D9" w:rsidRPr="000B63C6">
        <w:rPr>
          <w:szCs w:val="26"/>
        </w:rPr>
        <w:t xml:space="preserve">Before the Pennsylvania Public Utility Commission (Commission) for consideration and disposition is the </w:t>
      </w:r>
      <w:r w:rsidRPr="000B63C6">
        <w:rPr>
          <w:szCs w:val="26"/>
        </w:rPr>
        <w:t>Recommended</w:t>
      </w:r>
      <w:r w:rsidR="007463D9" w:rsidRPr="000B63C6">
        <w:rPr>
          <w:szCs w:val="26"/>
        </w:rPr>
        <w:t xml:space="preserve"> Decision (</w:t>
      </w:r>
      <w:r w:rsidRPr="000B63C6">
        <w:rPr>
          <w:szCs w:val="26"/>
        </w:rPr>
        <w:t>R</w:t>
      </w:r>
      <w:r w:rsidR="007463D9" w:rsidRPr="000B63C6">
        <w:rPr>
          <w:szCs w:val="26"/>
        </w:rPr>
        <w:t xml:space="preserve">.D.) of Administrative Law Judge (ALJ) </w:t>
      </w:r>
      <w:r w:rsidRPr="000B63C6">
        <w:rPr>
          <w:szCs w:val="26"/>
        </w:rPr>
        <w:t>Jeffrey A. Watson</w:t>
      </w:r>
      <w:r w:rsidR="007463D9" w:rsidRPr="000B63C6">
        <w:rPr>
          <w:szCs w:val="26"/>
        </w:rPr>
        <w:t xml:space="preserve">, issued on November </w:t>
      </w:r>
      <w:r w:rsidRPr="000B63C6">
        <w:rPr>
          <w:szCs w:val="26"/>
        </w:rPr>
        <w:t>29</w:t>
      </w:r>
      <w:r w:rsidR="007463D9" w:rsidRPr="000B63C6">
        <w:rPr>
          <w:szCs w:val="26"/>
        </w:rPr>
        <w:t>, 201</w:t>
      </w:r>
      <w:r w:rsidRPr="000B63C6">
        <w:rPr>
          <w:szCs w:val="26"/>
        </w:rPr>
        <w:t>7</w:t>
      </w:r>
      <w:r w:rsidR="007463D9" w:rsidRPr="000B63C6">
        <w:rPr>
          <w:szCs w:val="26"/>
        </w:rPr>
        <w:t xml:space="preserve">, in the above-captioned proceeding.  Exceptions have not been filed.  </w:t>
      </w:r>
      <w:r w:rsidRPr="000B63C6">
        <w:rPr>
          <w:rStyle w:val="CommentReference"/>
          <w:sz w:val="26"/>
          <w:szCs w:val="26"/>
        </w:rPr>
        <w:t>For</w:t>
      </w:r>
      <w:r w:rsidRPr="000B63C6">
        <w:rPr>
          <w:szCs w:val="26"/>
        </w:rPr>
        <w:t xml:space="preserve"> the reasons stated below, we shall adopt the ALJ’s Recommended Decision as modified.</w:t>
      </w:r>
    </w:p>
    <w:p w14:paraId="4CEB9D6E" w14:textId="77777777" w:rsidR="00D95D3B" w:rsidRPr="000B63C6" w:rsidRDefault="00D95D3B" w:rsidP="00D95D3B">
      <w:pPr>
        <w:pStyle w:val="ListParagraph"/>
        <w:spacing w:line="360" w:lineRule="auto"/>
        <w:ind w:left="1080"/>
        <w:jc w:val="center"/>
        <w:rPr>
          <w:szCs w:val="26"/>
        </w:rPr>
      </w:pPr>
      <w:bookmarkStart w:id="0" w:name="OLE_LINK1"/>
      <w:bookmarkStart w:id="1" w:name="OLE_LINK2"/>
    </w:p>
    <w:p w14:paraId="4C7517D5" w14:textId="0199F9C8" w:rsidR="00EB6BF9" w:rsidRPr="000B63C6" w:rsidRDefault="009A3B35" w:rsidP="00A96E3C">
      <w:pPr>
        <w:overflowPunct/>
        <w:autoSpaceDE/>
        <w:autoSpaceDN/>
        <w:adjustRightInd/>
        <w:textAlignment w:val="auto"/>
        <w:rPr>
          <w:b/>
          <w:szCs w:val="26"/>
        </w:rPr>
      </w:pPr>
      <w:r w:rsidRPr="000B63C6">
        <w:rPr>
          <w:b/>
          <w:szCs w:val="26"/>
        </w:rPr>
        <w:br w:type="page"/>
      </w:r>
      <w:r w:rsidR="00EB6BF9" w:rsidRPr="000B63C6">
        <w:rPr>
          <w:b/>
          <w:szCs w:val="26"/>
        </w:rPr>
        <w:lastRenderedPageBreak/>
        <w:t>History of the Proceeding</w:t>
      </w:r>
    </w:p>
    <w:bookmarkEnd w:id="0"/>
    <w:bookmarkEnd w:id="1"/>
    <w:p w14:paraId="43201847" w14:textId="77777777" w:rsidR="008A7896" w:rsidRPr="000B63C6" w:rsidRDefault="008A7896" w:rsidP="00C20287">
      <w:pPr>
        <w:spacing w:line="360" w:lineRule="auto"/>
        <w:rPr>
          <w:szCs w:val="26"/>
        </w:rPr>
      </w:pPr>
    </w:p>
    <w:p w14:paraId="415023B9" w14:textId="4FC5AECC" w:rsidR="009A3B35" w:rsidRPr="000B63C6" w:rsidRDefault="009A3B35" w:rsidP="009A3B35">
      <w:pPr>
        <w:overflowPunct/>
        <w:spacing w:line="360" w:lineRule="auto"/>
        <w:textAlignment w:val="auto"/>
        <w:rPr>
          <w:rFonts w:eastAsiaTheme="minorHAnsi"/>
          <w:szCs w:val="26"/>
        </w:rPr>
      </w:pPr>
      <w:r w:rsidRPr="000B63C6">
        <w:rPr>
          <w:rFonts w:eastAsiaTheme="minorHAnsi"/>
          <w:color w:val="000000"/>
          <w:szCs w:val="26"/>
        </w:rPr>
        <w:tab/>
      </w:r>
      <w:r w:rsidRPr="000B63C6">
        <w:rPr>
          <w:rFonts w:eastAsiaTheme="minorHAnsi"/>
          <w:color w:val="000000"/>
          <w:szCs w:val="26"/>
        </w:rPr>
        <w:tab/>
        <w:t>On September 1, 2016, Pennsylvania Electric Company (</w:t>
      </w:r>
      <w:proofErr w:type="spellStart"/>
      <w:r w:rsidRPr="000B63C6">
        <w:rPr>
          <w:rFonts w:eastAsiaTheme="minorHAnsi"/>
          <w:color w:val="000000"/>
          <w:szCs w:val="26"/>
        </w:rPr>
        <w:t>Penelec</w:t>
      </w:r>
      <w:proofErr w:type="spellEnd"/>
      <w:r w:rsidRPr="000B63C6">
        <w:rPr>
          <w:rFonts w:eastAsiaTheme="minorHAnsi"/>
          <w:color w:val="000000"/>
          <w:szCs w:val="26"/>
        </w:rPr>
        <w:t xml:space="preserve"> or Applicant) filed an application at Docket No. A-2016-2565296 (Application or Siting Application) pursuant to 52 Pa. Code Chapter 57, Subchapter G.1, seeking siting approval for </w:t>
      </w:r>
      <w:proofErr w:type="spellStart"/>
      <w:r w:rsidRPr="000B63C6">
        <w:rPr>
          <w:rFonts w:eastAsiaTheme="minorHAnsi"/>
          <w:color w:val="000000"/>
          <w:szCs w:val="26"/>
        </w:rPr>
        <w:t>Penelec</w:t>
      </w:r>
      <w:proofErr w:type="spellEnd"/>
      <w:r w:rsidRPr="000B63C6">
        <w:rPr>
          <w:rFonts w:eastAsiaTheme="minorHAnsi"/>
          <w:color w:val="000000"/>
          <w:szCs w:val="26"/>
        </w:rPr>
        <w:t xml:space="preserve"> to locate, construct, operate and maintain a high-voltage (HV) transmission line referred to as the Bedford North-Central City West 115 kV HV Transmission Line Project </w:t>
      </w:r>
      <w:r w:rsidRPr="000B63C6">
        <w:rPr>
          <w:rFonts w:eastAsiaTheme="minorHAnsi"/>
          <w:szCs w:val="26"/>
        </w:rPr>
        <w:t>(Project).</w:t>
      </w:r>
      <w:r w:rsidRPr="000B63C6">
        <w:rPr>
          <w:rFonts w:eastAsiaTheme="minorHAnsi"/>
          <w:szCs w:val="26"/>
          <w:vertAlign w:val="superscript"/>
        </w:rPr>
        <w:footnoteReference w:id="1"/>
      </w:r>
      <w:r w:rsidRPr="000B63C6">
        <w:rPr>
          <w:rFonts w:eastAsiaTheme="minorHAnsi"/>
          <w:szCs w:val="26"/>
        </w:rPr>
        <w:t xml:space="preserve">  The proposed Project involves constructing a new 115 kV transmission line from the existing </w:t>
      </w:r>
      <w:proofErr w:type="spellStart"/>
      <w:r w:rsidRPr="000B63C6">
        <w:rPr>
          <w:rFonts w:eastAsiaTheme="minorHAnsi"/>
          <w:szCs w:val="26"/>
        </w:rPr>
        <w:t>Penelec</w:t>
      </w:r>
      <w:proofErr w:type="spellEnd"/>
      <w:r w:rsidRPr="000B63C6">
        <w:rPr>
          <w:rFonts w:eastAsiaTheme="minorHAnsi"/>
          <w:szCs w:val="26"/>
        </w:rPr>
        <w:t xml:space="preserve">-owned Bedford North Substation, located in Bedford Township, Bedford County, Pennsylvania, to the existing </w:t>
      </w:r>
      <w:proofErr w:type="spellStart"/>
      <w:r w:rsidRPr="000B63C6">
        <w:rPr>
          <w:rFonts w:eastAsiaTheme="minorHAnsi"/>
          <w:szCs w:val="26"/>
        </w:rPr>
        <w:t>Penelec</w:t>
      </w:r>
      <w:proofErr w:type="spellEnd"/>
      <w:r w:rsidRPr="000B63C6">
        <w:rPr>
          <w:rFonts w:eastAsiaTheme="minorHAnsi"/>
          <w:szCs w:val="26"/>
        </w:rPr>
        <w:t xml:space="preserve">-owned Central City West Substation, located in Central City Borough, Somerset County, Pennsylvania.  A portion of the Project proposes to rebuild a section of the existing </w:t>
      </w:r>
      <w:proofErr w:type="spellStart"/>
      <w:r w:rsidRPr="000B63C6">
        <w:rPr>
          <w:rFonts w:eastAsiaTheme="minorHAnsi"/>
          <w:szCs w:val="26"/>
        </w:rPr>
        <w:t>Penelec</w:t>
      </w:r>
      <w:proofErr w:type="spellEnd"/>
      <w:r w:rsidRPr="000B63C6">
        <w:rPr>
          <w:rFonts w:eastAsiaTheme="minorHAnsi"/>
          <w:szCs w:val="26"/>
        </w:rPr>
        <w:t xml:space="preserve">-owned Bedford North-New Baltimore 115 kV Transmission Line located in Napier, East St. Clair, and Bedford Townships, Bedford County, Pennsylvania. </w:t>
      </w:r>
      <w:r w:rsidR="00AF5B30" w:rsidRPr="000B63C6">
        <w:rPr>
          <w:rFonts w:eastAsiaTheme="minorHAnsi"/>
          <w:szCs w:val="26"/>
        </w:rPr>
        <w:t xml:space="preserve"> </w:t>
      </w:r>
      <w:proofErr w:type="spellStart"/>
      <w:r w:rsidRPr="000B63C6">
        <w:rPr>
          <w:rFonts w:eastAsiaTheme="minorHAnsi"/>
          <w:szCs w:val="26"/>
        </w:rPr>
        <w:t>Penelec</w:t>
      </w:r>
      <w:proofErr w:type="spellEnd"/>
      <w:r w:rsidRPr="000B63C6">
        <w:rPr>
          <w:rFonts w:eastAsiaTheme="minorHAnsi"/>
          <w:szCs w:val="26"/>
        </w:rPr>
        <w:t xml:space="preserve"> has requested that the Commission approve the Project as a double-circuit, 115 kV transmission line. </w:t>
      </w:r>
    </w:p>
    <w:p w14:paraId="3A77586F" w14:textId="77777777" w:rsidR="009A3B35" w:rsidRPr="000B63C6" w:rsidRDefault="009A3B35" w:rsidP="009A3B35">
      <w:pPr>
        <w:overflowPunct/>
        <w:spacing w:line="360" w:lineRule="auto"/>
        <w:textAlignment w:val="auto"/>
        <w:rPr>
          <w:rFonts w:eastAsiaTheme="minorHAnsi"/>
          <w:color w:val="000000"/>
          <w:szCs w:val="26"/>
        </w:rPr>
      </w:pPr>
    </w:p>
    <w:p w14:paraId="0F886734" w14:textId="77777777" w:rsidR="009A3B35" w:rsidRPr="000B63C6" w:rsidRDefault="009A3B35" w:rsidP="009A3B35">
      <w:pPr>
        <w:overflowPunct/>
        <w:spacing w:line="360" w:lineRule="auto"/>
        <w:textAlignment w:val="auto"/>
        <w:rPr>
          <w:rFonts w:eastAsiaTheme="minorHAnsi"/>
          <w:szCs w:val="26"/>
        </w:rPr>
      </w:pPr>
      <w:r w:rsidRPr="000B63C6">
        <w:rPr>
          <w:rFonts w:eastAsiaTheme="minorHAnsi"/>
          <w:color w:val="000000"/>
          <w:szCs w:val="26"/>
        </w:rPr>
        <w:tab/>
      </w:r>
      <w:r w:rsidRPr="000B63C6">
        <w:rPr>
          <w:rFonts w:eastAsiaTheme="minorHAnsi"/>
          <w:color w:val="000000"/>
          <w:szCs w:val="26"/>
        </w:rPr>
        <w:tab/>
      </w:r>
      <w:r w:rsidRPr="000B63C6">
        <w:rPr>
          <w:rFonts w:eastAsiaTheme="minorHAnsi"/>
          <w:szCs w:val="26"/>
        </w:rPr>
        <w:t xml:space="preserve">On September 1, 2016, </w:t>
      </w:r>
      <w:proofErr w:type="spellStart"/>
      <w:r w:rsidRPr="000B63C6">
        <w:rPr>
          <w:rFonts w:eastAsiaTheme="minorHAnsi"/>
          <w:szCs w:val="26"/>
        </w:rPr>
        <w:t>Penelec</w:t>
      </w:r>
      <w:proofErr w:type="spellEnd"/>
      <w:r w:rsidRPr="000B63C6">
        <w:rPr>
          <w:rFonts w:eastAsiaTheme="minorHAnsi"/>
          <w:szCs w:val="26"/>
        </w:rPr>
        <w:t xml:space="preserve"> also filed nineteen separate Applications to exercise the power of eminent domain (Eminent Domain Applications) to obtain property rights for the construction and operation of the Project.</w:t>
      </w:r>
      <w:r w:rsidRPr="000B63C6">
        <w:rPr>
          <w:rFonts w:eastAsiaTheme="minorHAnsi"/>
          <w:szCs w:val="26"/>
          <w:vertAlign w:val="superscript"/>
        </w:rPr>
        <w:footnoteReference w:id="2"/>
      </w:r>
      <w:r w:rsidRPr="000B63C6">
        <w:rPr>
          <w:rFonts w:eastAsiaTheme="minorHAnsi"/>
          <w:szCs w:val="26"/>
        </w:rPr>
        <w:t xml:space="preserve">  On September 24, 2016, a notice of the filing of the Siting Application and of the Eminent Domain Applications was published in the </w:t>
      </w:r>
      <w:r w:rsidRPr="000B63C6">
        <w:rPr>
          <w:rFonts w:eastAsiaTheme="minorHAnsi"/>
          <w:i/>
          <w:iCs/>
          <w:szCs w:val="26"/>
        </w:rPr>
        <w:t>Pennsylvania Bulletin</w:t>
      </w:r>
      <w:r w:rsidRPr="000B63C6">
        <w:rPr>
          <w:rFonts w:eastAsiaTheme="minorHAnsi"/>
          <w:szCs w:val="26"/>
        </w:rPr>
        <w:t xml:space="preserve">.  46 </w:t>
      </w:r>
      <w:r w:rsidRPr="000B63C6">
        <w:rPr>
          <w:rFonts w:eastAsiaTheme="minorHAnsi"/>
          <w:i/>
          <w:szCs w:val="26"/>
        </w:rPr>
        <w:t>Pa. B.</w:t>
      </w:r>
      <w:r w:rsidRPr="000B63C6">
        <w:rPr>
          <w:rFonts w:eastAsiaTheme="minorHAnsi"/>
          <w:szCs w:val="26"/>
        </w:rPr>
        <w:t xml:space="preserve"> 6094.  The notice specified that formal protests and petitions to intervene in response to the </w:t>
      </w:r>
      <w:proofErr w:type="spellStart"/>
      <w:r w:rsidRPr="000B63C6">
        <w:rPr>
          <w:rFonts w:eastAsiaTheme="minorHAnsi"/>
          <w:szCs w:val="26"/>
        </w:rPr>
        <w:t>Penelec</w:t>
      </w:r>
      <w:proofErr w:type="spellEnd"/>
      <w:r w:rsidRPr="000B63C6">
        <w:rPr>
          <w:rFonts w:eastAsiaTheme="minorHAnsi"/>
          <w:szCs w:val="26"/>
        </w:rPr>
        <w:t xml:space="preserve"> Applications must be filed and served by November 23, 2016.  On November 23, 2016, Nancy K. </w:t>
      </w:r>
      <w:proofErr w:type="spellStart"/>
      <w:r w:rsidRPr="000B63C6">
        <w:rPr>
          <w:rFonts w:eastAsiaTheme="minorHAnsi"/>
          <w:szCs w:val="26"/>
        </w:rPr>
        <w:t>MacRae</w:t>
      </w:r>
      <w:proofErr w:type="spellEnd"/>
      <w:r w:rsidRPr="000B63C6">
        <w:rPr>
          <w:rFonts w:eastAsiaTheme="minorHAnsi"/>
          <w:szCs w:val="26"/>
        </w:rPr>
        <w:t xml:space="preserve">, a landowner whose property was the subject of an Eminent Domain Application at Docket No. A-2016-2565364 filed a protest.  During a prehearing conference held on December 5, 2016, </w:t>
      </w:r>
      <w:proofErr w:type="spellStart"/>
      <w:r w:rsidRPr="000B63C6">
        <w:rPr>
          <w:rFonts w:eastAsiaTheme="minorHAnsi"/>
          <w:szCs w:val="26"/>
        </w:rPr>
        <w:t>Penelec</w:t>
      </w:r>
      <w:proofErr w:type="spellEnd"/>
      <w:r w:rsidRPr="000B63C6">
        <w:rPr>
          <w:rFonts w:eastAsiaTheme="minorHAnsi"/>
          <w:szCs w:val="26"/>
        </w:rPr>
        <w:t xml:space="preserve"> moved to consolidate the Siting Application proceeding with the Eminent Domain Applications.  No objection was made to the consolidation request and by prehearing order dated January 31, 2017, the Siting Application proceeding was consolidated with the Eminent Domain Applications. </w:t>
      </w:r>
    </w:p>
    <w:p w14:paraId="7EEBF74D" w14:textId="77777777" w:rsidR="009A3B35" w:rsidRPr="000B63C6" w:rsidRDefault="009A3B35" w:rsidP="009A3B35">
      <w:pPr>
        <w:overflowPunct/>
        <w:spacing w:line="360" w:lineRule="auto"/>
        <w:textAlignment w:val="auto"/>
        <w:rPr>
          <w:rFonts w:eastAsiaTheme="minorHAnsi"/>
          <w:szCs w:val="26"/>
        </w:rPr>
      </w:pPr>
    </w:p>
    <w:p w14:paraId="3D7B34C4" w14:textId="1DAE7F53" w:rsidR="009A3B35" w:rsidRPr="000B63C6" w:rsidRDefault="009A3B35" w:rsidP="009A3B35">
      <w:pPr>
        <w:overflowPunct/>
        <w:spacing w:line="360" w:lineRule="auto"/>
        <w:textAlignment w:val="auto"/>
        <w:rPr>
          <w:rFonts w:eastAsiaTheme="minorHAnsi"/>
          <w:szCs w:val="26"/>
        </w:rPr>
      </w:pPr>
      <w:r w:rsidRPr="000B63C6">
        <w:rPr>
          <w:rFonts w:eastAsiaTheme="minorHAnsi"/>
          <w:szCs w:val="26"/>
        </w:rPr>
        <w:tab/>
      </w:r>
      <w:r w:rsidRPr="000B63C6">
        <w:rPr>
          <w:rFonts w:eastAsiaTheme="minorHAnsi"/>
          <w:szCs w:val="26"/>
        </w:rPr>
        <w:tab/>
        <w:t xml:space="preserve">Pursuant to agreements between the Applicant and various landowners, </w:t>
      </w:r>
      <w:proofErr w:type="spellStart"/>
      <w:r w:rsidRPr="000B63C6">
        <w:rPr>
          <w:rFonts w:eastAsiaTheme="minorHAnsi"/>
          <w:szCs w:val="26"/>
        </w:rPr>
        <w:t>Penelec</w:t>
      </w:r>
      <w:proofErr w:type="spellEnd"/>
      <w:r w:rsidRPr="000B63C6">
        <w:rPr>
          <w:rFonts w:eastAsiaTheme="minorHAnsi"/>
          <w:szCs w:val="26"/>
        </w:rPr>
        <w:t xml:space="preserve"> filed petitions for leave to withdraw and terminate several of the Eminent Domain Applications (petitions to withdraw), pursuant to 52 Pa. Code §§ 1.82 and 5.94(c).  The petitions for withdraw pertained to the Eminent Domain Applications filed at Docket Nos. A-2016-2565368 (property of Michael C. Long); A-2016-2565377 (property of Frank J. </w:t>
      </w:r>
      <w:proofErr w:type="spellStart"/>
      <w:r w:rsidRPr="000B63C6">
        <w:rPr>
          <w:rFonts w:eastAsiaTheme="minorHAnsi"/>
          <w:szCs w:val="26"/>
        </w:rPr>
        <w:t>Shenigo</w:t>
      </w:r>
      <w:proofErr w:type="spellEnd"/>
      <w:r w:rsidRPr="000B63C6">
        <w:rPr>
          <w:rFonts w:eastAsiaTheme="minorHAnsi"/>
          <w:szCs w:val="26"/>
        </w:rPr>
        <w:t xml:space="preserve">, Trustee of the Frank J. </w:t>
      </w:r>
      <w:proofErr w:type="spellStart"/>
      <w:r w:rsidRPr="000B63C6">
        <w:rPr>
          <w:rFonts w:eastAsiaTheme="minorHAnsi"/>
          <w:szCs w:val="26"/>
        </w:rPr>
        <w:t>Shenigo</w:t>
      </w:r>
      <w:proofErr w:type="spellEnd"/>
      <w:r w:rsidRPr="000B63C6">
        <w:rPr>
          <w:rFonts w:eastAsiaTheme="minorHAnsi"/>
          <w:szCs w:val="26"/>
        </w:rPr>
        <w:t xml:space="preserve"> Revocable Living Trust); A-2016-2565378 (property of Kenneth J. </w:t>
      </w:r>
      <w:proofErr w:type="spellStart"/>
      <w:r w:rsidRPr="000B63C6">
        <w:rPr>
          <w:rFonts w:eastAsiaTheme="minorHAnsi"/>
          <w:szCs w:val="26"/>
        </w:rPr>
        <w:t>Skone</w:t>
      </w:r>
      <w:proofErr w:type="spellEnd"/>
      <w:r w:rsidRPr="000B63C6">
        <w:rPr>
          <w:rFonts w:eastAsiaTheme="minorHAnsi"/>
          <w:szCs w:val="26"/>
        </w:rPr>
        <w:t xml:space="preserve"> and Karen Jane </w:t>
      </w:r>
      <w:proofErr w:type="spellStart"/>
      <w:r w:rsidRPr="000B63C6">
        <w:rPr>
          <w:rFonts w:eastAsiaTheme="minorHAnsi"/>
          <w:szCs w:val="26"/>
        </w:rPr>
        <w:t>Skone</w:t>
      </w:r>
      <w:proofErr w:type="spellEnd"/>
      <w:r w:rsidRPr="000B63C6">
        <w:rPr>
          <w:rFonts w:eastAsiaTheme="minorHAnsi"/>
          <w:szCs w:val="26"/>
        </w:rPr>
        <w:t xml:space="preserve">); A-2016-2565644 (property of Brian C. Jones and Traci A. Jones); A-2016-2565369 (property of Wilmore Coal Company); A-2016-2565543 (property of Scott M. Andrews and Audrey A. Andrews); A-2016-2565549 (property of the </w:t>
      </w:r>
      <w:proofErr w:type="spellStart"/>
      <w:r w:rsidRPr="000B63C6">
        <w:rPr>
          <w:rFonts w:eastAsiaTheme="minorHAnsi"/>
          <w:szCs w:val="26"/>
        </w:rPr>
        <w:t>Berwind</w:t>
      </w:r>
      <w:proofErr w:type="spellEnd"/>
      <w:r w:rsidRPr="000B63C6">
        <w:rPr>
          <w:rFonts w:eastAsiaTheme="minorHAnsi"/>
          <w:szCs w:val="26"/>
        </w:rPr>
        <w:t xml:space="preserve"> Corporation); A-2016-2565502 (property of Dick B. </w:t>
      </w:r>
      <w:proofErr w:type="spellStart"/>
      <w:r w:rsidRPr="000B63C6">
        <w:rPr>
          <w:rFonts w:eastAsiaTheme="minorHAnsi"/>
          <w:szCs w:val="26"/>
        </w:rPr>
        <w:t>Lohr</w:t>
      </w:r>
      <w:proofErr w:type="spellEnd"/>
      <w:r w:rsidRPr="000B63C6">
        <w:rPr>
          <w:rFonts w:eastAsiaTheme="minorHAnsi"/>
          <w:szCs w:val="26"/>
        </w:rPr>
        <w:t xml:space="preserve"> and Karen G. </w:t>
      </w:r>
      <w:proofErr w:type="spellStart"/>
      <w:r w:rsidRPr="000B63C6">
        <w:rPr>
          <w:rFonts w:eastAsiaTheme="minorHAnsi"/>
          <w:szCs w:val="26"/>
        </w:rPr>
        <w:t>Lohr</w:t>
      </w:r>
      <w:proofErr w:type="spellEnd"/>
      <w:r w:rsidRPr="000B63C6">
        <w:rPr>
          <w:rFonts w:eastAsiaTheme="minorHAnsi"/>
          <w:szCs w:val="26"/>
        </w:rPr>
        <w:t xml:space="preserve">) and A-2016-2565547 (property of Kathy R. Kelley and Jeffrey Kelly); </w:t>
      </w:r>
      <w:r w:rsidRPr="000B63C6">
        <w:rPr>
          <w:rFonts w:eastAsiaTheme="minorHAnsi"/>
          <w:color w:val="000000"/>
          <w:szCs w:val="26"/>
        </w:rPr>
        <w:t xml:space="preserve">A-2016-2565364 (property of James B. </w:t>
      </w:r>
      <w:proofErr w:type="spellStart"/>
      <w:r w:rsidRPr="000B63C6">
        <w:rPr>
          <w:rFonts w:eastAsiaTheme="minorHAnsi"/>
          <w:color w:val="000000"/>
          <w:szCs w:val="26"/>
        </w:rPr>
        <w:t>MacRae</w:t>
      </w:r>
      <w:proofErr w:type="spellEnd"/>
      <w:r w:rsidRPr="000B63C6">
        <w:rPr>
          <w:rFonts w:eastAsiaTheme="minorHAnsi"/>
          <w:color w:val="000000"/>
          <w:szCs w:val="26"/>
        </w:rPr>
        <w:t xml:space="preserve">, Jr. and Nancy </w:t>
      </w:r>
      <w:proofErr w:type="spellStart"/>
      <w:r w:rsidRPr="000B63C6">
        <w:rPr>
          <w:rFonts w:eastAsiaTheme="minorHAnsi"/>
          <w:color w:val="000000"/>
          <w:szCs w:val="26"/>
        </w:rPr>
        <w:t>MacRae</w:t>
      </w:r>
      <w:proofErr w:type="spellEnd"/>
      <w:r w:rsidRPr="000B63C6">
        <w:rPr>
          <w:rFonts w:eastAsiaTheme="minorHAnsi"/>
          <w:color w:val="000000"/>
          <w:szCs w:val="26"/>
        </w:rPr>
        <w:t xml:space="preserve">); and A-2016-2565509 (property of </w:t>
      </w:r>
      <w:proofErr w:type="spellStart"/>
      <w:r w:rsidRPr="000B63C6">
        <w:rPr>
          <w:rFonts w:eastAsiaTheme="minorHAnsi"/>
          <w:color w:val="000000"/>
          <w:szCs w:val="26"/>
        </w:rPr>
        <w:t>Robindale</w:t>
      </w:r>
      <w:proofErr w:type="spellEnd"/>
      <w:r w:rsidRPr="000B63C6">
        <w:rPr>
          <w:rFonts w:eastAsiaTheme="minorHAnsi"/>
          <w:color w:val="000000"/>
          <w:szCs w:val="26"/>
        </w:rPr>
        <w:t xml:space="preserve"> Energy Services, Inc.).</w:t>
      </w:r>
      <w:r w:rsidRPr="000B63C6">
        <w:rPr>
          <w:rFonts w:eastAsiaTheme="minorHAnsi"/>
          <w:szCs w:val="26"/>
        </w:rPr>
        <w:t xml:space="preserve">  There being no objections to the petitions for withdraw, the Commission issued several interim orders dismissing the Eminent Domain Applications pertaining these dockets.  Thus, of the original nineteen Eminent Domain Applications, </w:t>
      </w:r>
      <w:r w:rsidR="002D1CA9" w:rsidRPr="000B63C6">
        <w:rPr>
          <w:rFonts w:eastAsiaTheme="minorHAnsi"/>
          <w:szCs w:val="26"/>
        </w:rPr>
        <w:t>eleven</w:t>
      </w:r>
      <w:r w:rsidRPr="000B63C6">
        <w:rPr>
          <w:rFonts w:eastAsiaTheme="minorHAnsi"/>
          <w:szCs w:val="26"/>
        </w:rPr>
        <w:t xml:space="preserve"> were </w:t>
      </w:r>
      <w:r w:rsidR="000B63C6" w:rsidRPr="000B63C6">
        <w:rPr>
          <w:rFonts w:eastAsiaTheme="minorHAnsi"/>
          <w:szCs w:val="26"/>
        </w:rPr>
        <w:t>withdrawn</w:t>
      </w:r>
      <w:r w:rsidRPr="000B63C6">
        <w:rPr>
          <w:rFonts w:eastAsiaTheme="minorHAnsi"/>
          <w:szCs w:val="26"/>
        </w:rPr>
        <w:t xml:space="preserve"> pursuant to </w:t>
      </w:r>
      <w:r w:rsidR="00373657" w:rsidRPr="000B63C6">
        <w:rPr>
          <w:rFonts w:eastAsiaTheme="minorHAnsi"/>
          <w:szCs w:val="26"/>
        </w:rPr>
        <w:t xml:space="preserve">the </w:t>
      </w:r>
      <w:r w:rsidRPr="000B63C6">
        <w:rPr>
          <w:rFonts w:eastAsiaTheme="minorHAnsi"/>
          <w:szCs w:val="26"/>
        </w:rPr>
        <w:t xml:space="preserve">interim orders.  </w:t>
      </w:r>
    </w:p>
    <w:p w14:paraId="3AA41D58" w14:textId="77777777" w:rsidR="009A3B35" w:rsidRPr="000B63C6" w:rsidRDefault="009A3B35" w:rsidP="009A3B35">
      <w:pPr>
        <w:overflowPunct/>
        <w:spacing w:line="360" w:lineRule="auto"/>
        <w:textAlignment w:val="auto"/>
        <w:rPr>
          <w:rFonts w:eastAsiaTheme="minorHAnsi"/>
          <w:szCs w:val="26"/>
        </w:rPr>
      </w:pPr>
    </w:p>
    <w:p w14:paraId="45068027" w14:textId="77777777" w:rsidR="009A3B35" w:rsidRPr="000B63C6" w:rsidRDefault="009A3B35" w:rsidP="009A3B35">
      <w:pPr>
        <w:overflowPunct/>
        <w:spacing w:line="360" w:lineRule="auto"/>
        <w:textAlignment w:val="auto"/>
        <w:rPr>
          <w:rFonts w:eastAsiaTheme="minorHAnsi"/>
          <w:szCs w:val="26"/>
        </w:rPr>
      </w:pPr>
      <w:r w:rsidRPr="000B63C6">
        <w:rPr>
          <w:rFonts w:eastAsiaTheme="minorHAnsi"/>
          <w:szCs w:val="26"/>
        </w:rPr>
        <w:tab/>
      </w:r>
      <w:r w:rsidRPr="000B63C6">
        <w:rPr>
          <w:rFonts w:eastAsiaTheme="minorHAnsi"/>
          <w:szCs w:val="26"/>
        </w:rPr>
        <w:tab/>
        <w:t xml:space="preserve">An evidentiary hearing was convened on May 24, 2017, at which counsel for the Applicant appeared.  Counsel also appeared on behalf of Katherine L. Ziegler, Fritz Land Holdings LP, Shirley Huston and Gary E. Lambert, Martha Lorraine Anderson and John S. Anderson, Keith A. </w:t>
      </w:r>
      <w:proofErr w:type="spellStart"/>
      <w:r w:rsidRPr="000B63C6">
        <w:rPr>
          <w:rFonts w:eastAsiaTheme="minorHAnsi"/>
          <w:szCs w:val="26"/>
        </w:rPr>
        <w:t>Lohr</w:t>
      </w:r>
      <w:proofErr w:type="spellEnd"/>
      <w:r w:rsidRPr="000B63C6">
        <w:rPr>
          <w:rFonts w:eastAsiaTheme="minorHAnsi"/>
          <w:szCs w:val="26"/>
        </w:rPr>
        <w:t xml:space="preserve">, and Albert Stiles.  Nancy </w:t>
      </w:r>
      <w:proofErr w:type="spellStart"/>
      <w:r w:rsidRPr="000B63C6">
        <w:rPr>
          <w:rFonts w:eastAsiaTheme="minorHAnsi"/>
          <w:szCs w:val="26"/>
        </w:rPr>
        <w:t>MacRae</w:t>
      </w:r>
      <w:proofErr w:type="spellEnd"/>
      <w:r w:rsidRPr="000B63C6">
        <w:rPr>
          <w:rFonts w:eastAsiaTheme="minorHAnsi"/>
          <w:szCs w:val="26"/>
        </w:rPr>
        <w:t xml:space="preserve">, the sole protestant, did not attend the hearing. </w:t>
      </w:r>
    </w:p>
    <w:p w14:paraId="256F2113" w14:textId="77777777" w:rsidR="009A3B35" w:rsidRPr="000B63C6" w:rsidRDefault="009A3B35" w:rsidP="009A3B35">
      <w:pPr>
        <w:overflowPunct/>
        <w:spacing w:line="360" w:lineRule="auto"/>
        <w:textAlignment w:val="auto"/>
        <w:rPr>
          <w:rFonts w:eastAsiaTheme="minorHAnsi"/>
          <w:szCs w:val="26"/>
        </w:rPr>
      </w:pPr>
    </w:p>
    <w:p w14:paraId="3354A5A1" w14:textId="77777777" w:rsidR="009A3B35" w:rsidRPr="000B63C6" w:rsidRDefault="009A3B35" w:rsidP="009A3B35">
      <w:pPr>
        <w:overflowPunct/>
        <w:spacing w:line="360" w:lineRule="auto"/>
        <w:textAlignment w:val="auto"/>
        <w:rPr>
          <w:rFonts w:eastAsiaTheme="minorHAnsi"/>
          <w:szCs w:val="26"/>
        </w:rPr>
      </w:pPr>
      <w:r w:rsidRPr="000B63C6">
        <w:rPr>
          <w:rFonts w:eastAsiaTheme="minorHAnsi"/>
          <w:szCs w:val="26"/>
        </w:rPr>
        <w:tab/>
      </w:r>
      <w:r w:rsidRPr="000B63C6">
        <w:rPr>
          <w:rFonts w:eastAsiaTheme="minorHAnsi"/>
          <w:szCs w:val="26"/>
        </w:rPr>
        <w:tab/>
        <w:t xml:space="preserve">Thereafter, on July 26, 2017, the Applicant filed its Main Brief.  Katherine L. Ziegler, Fritz Land Holdings LP, Shirley Huston and Gary E. Lambert, Martha Lorraine Anderson and John S. Anderson, Keith A. </w:t>
      </w:r>
      <w:proofErr w:type="spellStart"/>
      <w:r w:rsidRPr="000B63C6">
        <w:rPr>
          <w:rFonts w:eastAsiaTheme="minorHAnsi"/>
          <w:szCs w:val="26"/>
        </w:rPr>
        <w:t>Lohr</w:t>
      </w:r>
      <w:proofErr w:type="spellEnd"/>
      <w:r w:rsidRPr="000B63C6">
        <w:rPr>
          <w:rFonts w:eastAsiaTheme="minorHAnsi"/>
          <w:szCs w:val="26"/>
        </w:rPr>
        <w:t>, and Albert Stiles filed their Brief in opposition to the Application on July 27, 2017.  The Applicant filed a Reply Brief on August 31, 2017, after which the record was closed.</w:t>
      </w:r>
    </w:p>
    <w:p w14:paraId="5162CF27" w14:textId="77777777" w:rsidR="009A3B35" w:rsidRPr="000B63C6" w:rsidRDefault="009A3B35" w:rsidP="009A3B35">
      <w:pPr>
        <w:overflowPunct/>
        <w:autoSpaceDE/>
        <w:autoSpaceDN/>
        <w:adjustRightInd/>
        <w:spacing w:line="360" w:lineRule="auto"/>
        <w:textAlignment w:val="auto"/>
        <w:rPr>
          <w:rFonts w:eastAsiaTheme="minorHAnsi"/>
          <w:szCs w:val="26"/>
        </w:rPr>
      </w:pPr>
    </w:p>
    <w:p w14:paraId="56B1F7D0" w14:textId="5F8E5D13" w:rsidR="009A3B35" w:rsidRPr="000B63C6" w:rsidRDefault="009A3B35" w:rsidP="009A3B35">
      <w:pPr>
        <w:overflowPunct/>
        <w:autoSpaceDE/>
        <w:autoSpaceDN/>
        <w:adjustRightInd/>
        <w:spacing w:line="360" w:lineRule="auto"/>
        <w:textAlignment w:val="auto"/>
        <w:rPr>
          <w:rFonts w:eastAsiaTheme="minorHAnsi"/>
          <w:szCs w:val="26"/>
        </w:rPr>
      </w:pPr>
      <w:r w:rsidRPr="000B63C6">
        <w:rPr>
          <w:rFonts w:eastAsiaTheme="minorHAnsi"/>
          <w:szCs w:val="26"/>
        </w:rPr>
        <w:tab/>
      </w:r>
      <w:r w:rsidRPr="000B63C6">
        <w:rPr>
          <w:rFonts w:eastAsiaTheme="minorHAnsi"/>
          <w:szCs w:val="26"/>
        </w:rPr>
        <w:tab/>
        <w:t>By Recommended Decision issued on November 29, 2017, the ALJ recommended that the Commission grant the Application for the approval of the siting and construction of the transmission line associated with the Project.  Additionally, the ALJ recommended findings that the service to be furnished by the Applicant through its proposed exercise of the power of eminent domain</w:t>
      </w:r>
      <w:r w:rsidR="008F6339" w:rsidRPr="000B63C6">
        <w:rPr>
          <w:rFonts w:eastAsiaTheme="minorHAnsi"/>
          <w:szCs w:val="26"/>
        </w:rPr>
        <w:t xml:space="preserve"> –</w:t>
      </w:r>
      <w:r w:rsidRPr="000B63C6">
        <w:rPr>
          <w:rFonts w:eastAsiaTheme="minorHAnsi"/>
          <w:szCs w:val="26"/>
        </w:rPr>
        <w:t xml:space="preserve"> to acquire portions of land of eight property owners </w:t>
      </w:r>
      <w:r w:rsidR="008F6339" w:rsidRPr="000B63C6">
        <w:rPr>
          <w:rFonts w:eastAsiaTheme="minorHAnsi"/>
          <w:szCs w:val="26"/>
        </w:rPr>
        <w:t xml:space="preserve">– </w:t>
      </w:r>
      <w:r w:rsidRPr="000B63C6">
        <w:rPr>
          <w:rFonts w:eastAsiaTheme="minorHAnsi"/>
          <w:szCs w:val="26"/>
        </w:rPr>
        <w:t xml:space="preserve">is necessary or proper for the service, accommodation, convenience or safety of the public.  The ALJ further recommended the dismissal of the protest of Nancy K. </w:t>
      </w:r>
      <w:proofErr w:type="spellStart"/>
      <w:r w:rsidRPr="000B63C6">
        <w:rPr>
          <w:rFonts w:eastAsiaTheme="minorHAnsi"/>
          <w:szCs w:val="26"/>
        </w:rPr>
        <w:t>MacRae</w:t>
      </w:r>
      <w:proofErr w:type="spellEnd"/>
      <w:r w:rsidRPr="000B63C6">
        <w:rPr>
          <w:rFonts w:eastAsiaTheme="minorHAnsi"/>
          <w:szCs w:val="26"/>
        </w:rPr>
        <w:t xml:space="preserve"> at Docket No. A-2016-2565364.  </w:t>
      </w:r>
    </w:p>
    <w:p w14:paraId="047CCEF1" w14:textId="77777777" w:rsidR="001213D0" w:rsidRPr="000B63C6" w:rsidRDefault="001213D0" w:rsidP="00626A6E">
      <w:pPr>
        <w:overflowPunct/>
        <w:autoSpaceDE/>
        <w:autoSpaceDN/>
        <w:adjustRightInd/>
        <w:spacing w:line="360" w:lineRule="auto"/>
        <w:textAlignment w:val="auto"/>
        <w:rPr>
          <w:szCs w:val="26"/>
        </w:rPr>
      </w:pPr>
    </w:p>
    <w:p w14:paraId="431BA800" w14:textId="77777777" w:rsidR="001213D0" w:rsidRPr="000B63C6" w:rsidRDefault="001213D0" w:rsidP="00626A6E">
      <w:pPr>
        <w:overflowPunct/>
        <w:autoSpaceDE/>
        <w:autoSpaceDN/>
        <w:adjustRightInd/>
        <w:spacing w:line="360" w:lineRule="auto"/>
        <w:textAlignment w:val="auto"/>
        <w:rPr>
          <w:szCs w:val="26"/>
        </w:rPr>
      </w:pPr>
      <w:r w:rsidRPr="000B63C6">
        <w:rPr>
          <w:szCs w:val="26"/>
        </w:rPr>
        <w:tab/>
      </w:r>
      <w:r w:rsidRPr="000B63C6">
        <w:rPr>
          <w:szCs w:val="26"/>
        </w:rPr>
        <w:tab/>
        <w:t>As noted previously, no Exceptions were filed.</w:t>
      </w:r>
    </w:p>
    <w:p w14:paraId="1708E789" w14:textId="216D5202" w:rsidR="00DA335A" w:rsidRPr="000B63C6" w:rsidRDefault="00DA335A" w:rsidP="001213D0">
      <w:pPr>
        <w:overflowPunct/>
        <w:autoSpaceDE/>
        <w:autoSpaceDN/>
        <w:adjustRightInd/>
        <w:spacing w:line="360" w:lineRule="auto"/>
        <w:textAlignment w:val="auto"/>
        <w:rPr>
          <w:b/>
          <w:szCs w:val="26"/>
          <w:u w:val="single"/>
        </w:rPr>
      </w:pPr>
    </w:p>
    <w:p w14:paraId="4BA73CF3" w14:textId="77777777" w:rsidR="00EB6BF9" w:rsidRPr="000B63C6" w:rsidRDefault="00EB6BF9" w:rsidP="00820EAD">
      <w:pPr>
        <w:spacing w:line="360" w:lineRule="auto"/>
        <w:jc w:val="center"/>
        <w:rPr>
          <w:b/>
          <w:szCs w:val="26"/>
        </w:rPr>
      </w:pPr>
      <w:r w:rsidRPr="000B63C6">
        <w:rPr>
          <w:b/>
          <w:szCs w:val="26"/>
        </w:rPr>
        <w:t>Discussion</w:t>
      </w:r>
    </w:p>
    <w:p w14:paraId="4219669D" w14:textId="77777777" w:rsidR="00836900" w:rsidRPr="000B63C6" w:rsidRDefault="00836900" w:rsidP="00836900">
      <w:pPr>
        <w:pStyle w:val="ListParagraph"/>
        <w:spacing w:line="360" w:lineRule="auto"/>
        <w:ind w:left="0"/>
        <w:rPr>
          <w:szCs w:val="26"/>
        </w:rPr>
      </w:pPr>
    </w:p>
    <w:p w14:paraId="69DA095F" w14:textId="1E580C9F" w:rsidR="00811FDF" w:rsidRPr="000B63C6" w:rsidRDefault="00836900" w:rsidP="00836900">
      <w:pPr>
        <w:pStyle w:val="ListParagraph"/>
        <w:spacing w:line="360" w:lineRule="auto"/>
        <w:ind w:left="0"/>
        <w:rPr>
          <w:szCs w:val="26"/>
        </w:rPr>
      </w:pPr>
      <w:r w:rsidRPr="000B63C6">
        <w:rPr>
          <w:szCs w:val="26"/>
        </w:rPr>
        <w:tab/>
      </w:r>
      <w:r w:rsidRPr="000B63C6">
        <w:rPr>
          <w:szCs w:val="26"/>
        </w:rPr>
        <w:tab/>
      </w:r>
      <w:r w:rsidR="00811FDF" w:rsidRPr="000B63C6">
        <w:rPr>
          <w:szCs w:val="26"/>
        </w:rPr>
        <w:t xml:space="preserve">Initially, we note that any issue or argument that we do not specifically delineate shall be deemed to have been duly considered and denied without further discussion.  The Commission is not required to consider expressly or at length each contention or argument raised by the Parties.  </w:t>
      </w:r>
      <w:r w:rsidR="00811FDF" w:rsidRPr="000B63C6">
        <w:rPr>
          <w:i/>
          <w:szCs w:val="26"/>
        </w:rPr>
        <w:t>Consolidated Rail Corp. v. Pa. PUC</w:t>
      </w:r>
      <w:r w:rsidR="00811FDF" w:rsidRPr="000B63C6">
        <w:rPr>
          <w:szCs w:val="26"/>
        </w:rPr>
        <w:t xml:space="preserve">, 625 A.2d 741 (Pa. </w:t>
      </w:r>
      <w:proofErr w:type="spellStart"/>
      <w:r w:rsidR="00811FDF" w:rsidRPr="000B63C6">
        <w:rPr>
          <w:szCs w:val="26"/>
        </w:rPr>
        <w:t>Cmwlth</w:t>
      </w:r>
      <w:proofErr w:type="spellEnd"/>
      <w:r w:rsidR="00811FDF" w:rsidRPr="000B63C6">
        <w:rPr>
          <w:szCs w:val="26"/>
        </w:rPr>
        <w:t xml:space="preserve">. 1993); </w:t>
      </w:r>
      <w:r w:rsidR="00811FDF" w:rsidRPr="000B63C6">
        <w:rPr>
          <w:i/>
          <w:szCs w:val="26"/>
        </w:rPr>
        <w:t>also see, generally</w:t>
      </w:r>
      <w:r w:rsidR="00811FDF" w:rsidRPr="000B63C6">
        <w:rPr>
          <w:szCs w:val="26"/>
        </w:rPr>
        <w:t xml:space="preserve">, </w:t>
      </w:r>
      <w:r w:rsidR="00811FDF" w:rsidRPr="000B63C6">
        <w:rPr>
          <w:i/>
          <w:szCs w:val="26"/>
        </w:rPr>
        <w:t>University of Pennsylvania v. Pa. PUC</w:t>
      </w:r>
      <w:r w:rsidR="00811FDF" w:rsidRPr="000B63C6">
        <w:rPr>
          <w:szCs w:val="26"/>
        </w:rPr>
        <w:t xml:space="preserve">, 485 A.2d 1217 (Pa. </w:t>
      </w:r>
      <w:proofErr w:type="spellStart"/>
      <w:r w:rsidR="00811FDF" w:rsidRPr="000B63C6">
        <w:rPr>
          <w:szCs w:val="26"/>
        </w:rPr>
        <w:t>Cmwlth</w:t>
      </w:r>
      <w:proofErr w:type="spellEnd"/>
      <w:r w:rsidR="00811FDF" w:rsidRPr="000B63C6">
        <w:rPr>
          <w:szCs w:val="26"/>
        </w:rPr>
        <w:t xml:space="preserve">. 1984). </w:t>
      </w:r>
    </w:p>
    <w:p w14:paraId="6CA66C35" w14:textId="18833CD2" w:rsidR="00811FDF" w:rsidRPr="000B63C6" w:rsidRDefault="00811FDF" w:rsidP="00836900">
      <w:pPr>
        <w:pStyle w:val="ListParagraph"/>
        <w:spacing w:line="360" w:lineRule="auto"/>
        <w:ind w:left="0"/>
        <w:rPr>
          <w:szCs w:val="26"/>
        </w:rPr>
      </w:pPr>
    </w:p>
    <w:p w14:paraId="47922045" w14:textId="296A353F" w:rsidR="00811FDF" w:rsidRPr="000B63C6" w:rsidRDefault="00836900" w:rsidP="00836900">
      <w:pPr>
        <w:pStyle w:val="ListParagraph"/>
        <w:spacing w:line="360" w:lineRule="auto"/>
        <w:ind w:left="0"/>
        <w:rPr>
          <w:szCs w:val="26"/>
        </w:rPr>
      </w:pPr>
      <w:r w:rsidRPr="000B63C6">
        <w:rPr>
          <w:szCs w:val="26"/>
        </w:rPr>
        <w:tab/>
      </w:r>
      <w:r w:rsidRPr="000B63C6">
        <w:rPr>
          <w:szCs w:val="26"/>
        </w:rPr>
        <w:tab/>
      </w:r>
      <w:r w:rsidR="00811FDF" w:rsidRPr="000B63C6">
        <w:rPr>
          <w:szCs w:val="26"/>
        </w:rPr>
        <w:t xml:space="preserve">The ALJ </w:t>
      </w:r>
      <w:r w:rsidRPr="000B63C6">
        <w:rPr>
          <w:szCs w:val="26"/>
        </w:rPr>
        <w:t>made</w:t>
      </w:r>
      <w:r w:rsidR="00811FDF" w:rsidRPr="000B63C6">
        <w:rPr>
          <w:szCs w:val="26"/>
        </w:rPr>
        <w:t xml:space="preserve"> </w:t>
      </w:r>
      <w:r w:rsidRPr="000B63C6">
        <w:rPr>
          <w:szCs w:val="26"/>
        </w:rPr>
        <w:t>163 Findings of Fact and reached twenty-seven</w:t>
      </w:r>
      <w:r w:rsidR="00811FDF" w:rsidRPr="000B63C6">
        <w:rPr>
          <w:szCs w:val="26"/>
        </w:rPr>
        <w:t xml:space="preserve"> Conclusions of Law.  </w:t>
      </w:r>
      <w:r w:rsidRPr="000B63C6">
        <w:rPr>
          <w:szCs w:val="26"/>
        </w:rPr>
        <w:t>R</w:t>
      </w:r>
      <w:r w:rsidR="00811FDF" w:rsidRPr="000B63C6">
        <w:rPr>
          <w:szCs w:val="26"/>
        </w:rPr>
        <w:t xml:space="preserve">.D. at </w:t>
      </w:r>
      <w:r w:rsidRPr="000B63C6">
        <w:rPr>
          <w:szCs w:val="26"/>
        </w:rPr>
        <w:t>9-43, 140-146</w:t>
      </w:r>
      <w:r w:rsidR="00811FDF" w:rsidRPr="000B63C6">
        <w:rPr>
          <w:szCs w:val="26"/>
        </w:rPr>
        <w:t>.  We shall adopt and incorporate herein by reference the ALJ</w:t>
      </w:r>
      <w:r w:rsidRPr="000B63C6">
        <w:rPr>
          <w:szCs w:val="26"/>
        </w:rPr>
        <w:t>’s Findings of Fact and</w:t>
      </w:r>
      <w:r w:rsidR="00811FDF" w:rsidRPr="000B63C6">
        <w:rPr>
          <w:szCs w:val="26"/>
        </w:rPr>
        <w:t xml:space="preserve"> Conclusions of Law, unless they are reversed or modified by this Opinion and Order, either expressly or by necessary implication. </w:t>
      </w:r>
    </w:p>
    <w:p w14:paraId="4BECCA03" w14:textId="77777777" w:rsidR="00811FDF" w:rsidRPr="000B63C6" w:rsidRDefault="00811FDF" w:rsidP="00836900">
      <w:pPr>
        <w:pStyle w:val="ListParagraph"/>
        <w:spacing w:line="360" w:lineRule="auto"/>
        <w:rPr>
          <w:szCs w:val="26"/>
        </w:rPr>
      </w:pPr>
    </w:p>
    <w:p w14:paraId="560EB1DA" w14:textId="55FF4D39" w:rsidR="00811FDF" w:rsidRPr="000B63C6" w:rsidRDefault="00811FDF" w:rsidP="00836900">
      <w:pPr>
        <w:pStyle w:val="ListParagraph"/>
        <w:tabs>
          <w:tab w:val="left" w:pos="-720"/>
        </w:tabs>
        <w:suppressAutoHyphens/>
        <w:spacing w:line="360" w:lineRule="auto"/>
        <w:ind w:left="0"/>
        <w:rPr>
          <w:b/>
          <w:szCs w:val="26"/>
        </w:rPr>
      </w:pPr>
      <w:r w:rsidRPr="000B63C6">
        <w:rPr>
          <w:b/>
          <w:szCs w:val="26"/>
        </w:rPr>
        <w:t>Legal Standards</w:t>
      </w:r>
    </w:p>
    <w:p w14:paraId="3E4262F1" w14:textId="6B53289C" w:rsidR="00836900" w:rsidRPr="000B63C6" w:rsidRDefault="00836900" w:rsidP="00836900">
      <w:pPr>
        <w:pStyle w:val="ListParagraph"/>
        <w:tabs>
          <w:tab w:val="left" w:pos="-720"/>
        </w:tabs>
        <w:suppressAutoHyphens/>
        <w:spacing w:line="360" w:lineRule="auto"/>
        <w:ind w:left="0"/>
        <w:rPr>
          <w:szCs w:val="26"/>
        </w:rPr>
      </w:pPr>
    </w:p>
    <w:p w14:paraId="5C6CDD37" w14:textId="626586B7" w:rsidR="002405F5" w:rsidRPr="000B63C6" w:rsidRDefault="002405F5" w:rsidP="002405F5">
      <w:pPr>
        <w:spacing w:line="360" w:lineRule="auto"/>
        <w:ind w:firstLine="1440"/>
        <w:rPr>
          <w:szCs w:val="26"/>
        </w:rPr>
      </w:pPr>
      <w:r w:rsidRPr="000B63C6">
        <w:rPr>
          <w:szCs w:val="26"/>
        </w:rPr>
        <w:t xml:space="preserve">As the Applicant in this proceeding, </w:t>
      </w:r>
      <w:r w:rsidR="000B63C6" w:rsidRPr="000B63C6">
        <w:rPr>
          <w:szCs w:val="26"/>
        </w:rPr>
        <w:t>MAIT</w:t>
      </w:r>
      <w:r w:rsidRPr="000B63C6">
        <w:rPr>
          <w:szCs w:val="26"/>
        </w:rPr>
        <w:t xml:space="preserve"> bears the burden of proof pursuant to Section 332(a) of the Public Utility Code (Code), 66 Pa. C.S. § 332(a).  To establish a sufficient case and satisfy the burden of proof, the Applicant must establish that it is entitled to the relief it is seeking by a preponderance of the evidence.  </w:t>
      </w:r>
      <w:r w:rsidRPr="000B63C6">
        <w:rPr>
          <w:i/>
          <w:iCs/>
          <w:szCs w:val="26"/>
        </w:rPr>
        <w:t xml:space="preserve">Samuel J. </w:t>
      </w:r>
      <w:proofErr w:type="spellStart"/>
      <w:r w:rsidRPr="000B63C6">
        <w:rPr>
          <w:i/>
          <w:iCs/>
          <w:szCs w:val="26"/>
        </w:rPr>
        <w:t>Lansberry</w:t>
      </w:r>
      <w:proofErr w:type="spellEnd"/>
      <w:r w:rsidRPr="000B63C6">
        <w:rPr>
          <w:i/>
          <w:iCs/>
          <w:szCs w:val="26"/>
        </w:rPr>
        <w:t>, Inc. v. Pa. PUC</w:t>
      </w:r>
      <w:r w:rsidRPr="000B63C6">
        <w:rPr>
          <w:szCs w:val="26"/>
        </w:rPr>
        <w:t xml:space="preserve">, 578 A.2d 600 (Pa. </w:t>
      </w:r>
      <w:proofErr w:type="spellStart"/>
      <w:r w:rsidRPr="000B63C6">
        <w:rPr>
          <w:szCs w:val="26"/>
        </w:rPr>
        <w:t>Cmwlth</w:t>
      </w:r>
      <w:proofErr w:type="spellEnd"/>
      <w:r w:rsidRPr="000B63C6">
        <w:rPr>
          <w:szCs w:val="26"/>
        </w:rPr>
        <w:t xml:space="preserve">. 1990), </w:t>
      </w:r>
      <w:proofErr w:type="spellStart"/>
      <w:r w:rsidRPr="000B63C6">
        <w:rPr>
          <w:i/>
          <w:szCs w:val="26"/>
        </w:rPr>
        <w:t>alloc</w:t>
      </w:r>
      <w:proofErr w:type="spellEnd"/>
      <w:r w:rsidRPr="000B63C6">
        <w:rPr>
          <w:i/>
          <w:szCs w:val="26"/>
        </w:rPr>
        <w:t>. denied,</w:t>
      </w:r>
      <w:r w:rsidRPr="000B63C6">
        <w:rPr>
          <w:szCs w:val="26"/>
        </w:rPr>
        <w:t xml:space="preserve"> 529 Pa. 654, 602 A.2d 863 (1992).  That is, </w:t>
      </w:r>
      <w:r w:rsidR="000B63C6" w:rsidRPr="000B63C6">
        <w:rPr>
          <w:szCs w:val="26"/>
        </w:rPr>
        <w:t>the Applicant</w:t>
      </w:r>
      <w:r w:rsidRPr="000B63C6">
        <w:rPr>
          <w:szCs w:val="26"/>
        </w:rPr>
        <w:t xml:space="preserve">’s evidence must be more convincing, by even the smallest amount, than that presented by any opposing Party.  </w:t>
      </w:r>
      <w:r w:rsidRPr="000B63C6">
        <w:rPr>
          <w:i/>
          <w:szCs w:val="26"/>
        </w:rPr>
        <w:t>Se-Ling Hosiery, Inc. v. Margulies</w:t>
      </w:r>
      <w:r w:rsidRPr="000B63C6">
        <w:rPr>
          <w:szCs w:val="26"/>
        </w:rPr>
        <w:t xml:space="preserve">, 364 Pa. 45, 70 A.2d 854 (1950).  Additionally, this Commission’s decision must be supported by substantial evidence in the record.  More is required than a mere trace of evidence or a suspicion of the existence of a fact sought to be established.  </w:t>
      </w:r>
      <w:r w:rsidRPr="000B63C6">
        <w:rPr>
          <w:i/>
          <w:szCs w:val="26"/>
        </w:rPr>
        <w:t xml:space="preserve">Norfolk &amp; Western Ry. Co. v. Pa. PUC, </w:t>
      </w:r>
      <w:r w:rsidRPr="000B63C6">
        <w:rPr>
          <w:szCs w:val="26"/>
        </w:rPr>
        <w:t>489 Pa. 109, 413 A.2d 1037 (1980).</w:t>
      </w:r>
    </w:p>
    <w:p w14:paraId="1CE5F67C" w14:textId="698B2743" w:rsidR="002405F5" w:rsidRPr="000B63C6" w:rsidRDefault="002405F5" w:rsidP="00681EAA">
      <w:pPr>
        <w:outlineLvl w:val="1"/>
        <w:rPr>
          <w:szCs w:val="26"/>
        </w:rPr>
      </w:pPr>
    </w:p>
    <w:p w14:paraId="3D2DAFBD" w14:textId="77777777" w:rsidR="002405F5" w:rsidRPr="000B63C6" w:rsidRDefault="002405F5" w:rsidP="002405F5">
      <w:pPr>
        <w:spacing w:line="360" w:lineRule="auto"/>
        <w:contextualSpacing/>
        <w:rPr>
          <w:szCs w:val="26"/>
        </w:rPr>
      </w:pPr>
      <w:r w:rsidRPr="000B63C6">
        <w:rPr>
          <w:szCs w:val="26"/>
        </w:rPr>
        <w:tab/>
      </w:r>
      <w:r w:rsidRPr="000B63C6">
        <w:rPr>
          <w:szCs w:val="26"/>
        </w:rPr>
        <w:tab/>
        <w:t>The Commission has promulgated Regulations regarding the siting and construction of high voltage transmission lines at 52 Pa. Code §§ 57.71-57.77.  These Regulations provide that a public utility must obtain Commission approval to locate and construct a high voltage transmission line.  52 Pa. Code § 57.71.  The siting Regulations set forth what the Commission must consider when deciding to approve or deny an application for the siting of a high voltage transmission line.  52 Pa. Code § 57.76.  The Commission Regulation at 52 Pa. Code § 57.76 states the following:</w:t>
      </w:r>
    </w:p>
    <w:p w14:paraId="1CBBC472" w14:textId="77777777" w:rsidR="002405F5" w:rsidRPr="000B63C6" w:rsidRDefault="002405F5" w:rsidP="002405F5">
      <w:pPr>
        <w:spacing w:line="360" w:lineRule="auto"/>
        <w:contextualSpacing/>
        <w:rPr>
          <w:szCs w:val="26"/>
        </w:rPr>
      </w:pPr>
    </w:p>
    <w:p w14:paraId="6A6C1AA2" w14:textId="77777777" w:rsidR="002405F5" w:rsidRPr="000B63C6" w:rsidRDefault="002405F5" w:rsidP="002405F5">
      <w:pPr>
        <w:ind w:left="1440" w:right="1440"/>
        <w:contextualSpacing/>
        <w:rPr>
          <w:b/>
          <w:bCs/>
          <w:szCs w:val="26"/>
        </w:rPr>
      </w:pPr>
      <w:r w:rsidRPr="000B63C6">
        <w:rPr>
          <w:b/>
          <w:bCs/>
          <w:szCs w:val="26"/>
        </w:rPr>
        <w:t>§ 57.76.  Determination and order.</w:t>
      </w:r>
    </w:p>
    <w:p w14:paraId="5046B528" w14:textId="77777777" w:rsidR="002405F5" w:rsidRPr="000B63C6" w:rsidRDefault="002405F5" w:rsidP="002405F5">
      <w:pPr>
        <w:ind w:left="1440" w:right="1440"/>
        <w:contextualSpacing/>
        <w:rPr>
          <w:szCs w:val="26"/>
        </w:rPr>
      </w:pPr>
    </w:p>
    <w:p w14:paraId="43A0A67C" w14:textId="77777777" w:rsidR="002405F5" w:rsidRPr="000B63C6" w:rsidRDefault="002405F5" w:rsidP="002405F5">
      <w:pPr>
        <w:ind w:left="1440" w:right="1440"/>
        <w:contextualSpacing/>
        <w:rPr>
          <w:szCs w:val="26"/>
        </w:rPr>
      </w:pPr>
      <w:r w:rsidRPr="000B63C6">
        <w:rPr>
          <w:szCs w:val="26"/>
        </w:rPr>
        <w:t>(a)</w:t>
      </w:r>
      <w:r w:rsidRPr="000B63C6">
        <w:rPr>
          <w:szCs w:val="26"/>
        </w:rPr>
        <w:tab/>
        <w:t xml:space="preserve">The Commission will issue its order, with its opinion, if any, either granting or denying the application, in whole or in part, as filed or upon the terms, conditions or modifications, of the location, construction, operation or maintenance of the line as the Commission may deem appropriate.  The Commission will not grant the application, either as proposed or as modified, unless it finds and determines as to the proposed HV line: </w:t>
      </w:r>
    </w:p>
    <w:p w14:paraId="051FAC8E" w14:textId="77777777" w:rsidR="002405F5" w:rsidRPr="000B63C6" w:rsidRDefault="002405F5" w:rsidP="002405F5">
      <w:pPr>
        <w:ind w:left="1440" w:right="1440"/>
        <w:contextualSpacing/>
        <w:rPr>
          <w:szCs w:val="26"/>
        </w:rPr>
      </w:pPr>
    </w:p>
    <w:p w14:paraId="2B2B7E55" w14:textId="77777777" w:rsidR="002405F5" w:rsidRPr="000B63C6" w:rsidRDefault="002405F5" w:rsidP="002405F5">
      <w:pPr>
        <w:keepNext/>
        <w:ind w:left="1440" w:right="1440"/>
        <w:contextualSpacing/>
        <w:rPr>
          <w:szCs w:val="26"/>
        </w:rPr>
      </w:pPr>
      <w:r w:rsidRPr="000B63C6">
        <w:rPr>
          <w:szCs w:val="26"/>
        </w:rPr>
        <w:tab/>
        <w:t>(1)</w:t>
      </w:r>
      <w:r w:rsidRPr="000B63C6">
        <w:rPr>
          <w:szCs w:val="26"/>
        </w:rPr>
        <w:tab/>
        <w:t>That there is a need for it.</w:t>
      </w:r>
    </w:p>
    <w:p w14:paraId="3E9A45F1" w14:textId="77777777" w:rsidR="002405F5" w:rsidRPr="000B63C6" w:rsidRDefault="002405F5" w:rsidP="002405F5">
      <w:pPr>
        <w:keepNext/>
        <w:ind w:left="1440" w:right="1440"/>
        <w:contextualSpacing/>
        <w:rPr>
          <w:szCs w:val="26"/>
        </w:rPr>
      </w:pPr>
    </w:p>
    <w:p w14:paraId="3F79F7D5" w14:textId="77777777" w:rsidR="002405F5" w:rsidRPr="000B63C6" w:rsidRDefault="002405F5" w:rsidP="002405F5">
      <w:pPr>
        <w:keepNext/>
        <w:ind w:left="1440" w:right="1440"/>
        <w:contextualSpacing/>
        <w:rPr>
          <w:szCs w:val="26"/>
        </w:rPr>
      </w:pPr>
      <w:r w:rsidRPr="000B63C6">
        <w:rPr>
          <w:szCs w:val="26"/>
        </w:rPr>
        <w:tab/>
        <w:t>(2)</w:t>
      </w:r>
      <w:r w:rsidRPr="000B63C6">
        <w:rPr>
          <w:szCs w:val="26"/>
        </w:rPr>
        <w:tab/>
        <w:t>That it will not create an unreasonable risk of danger to the health and safety of the public.</w:t>
      </w:r>
    </w:p>
    <w:p w14:paraId="45257295" w14:textId="77777777" w:rsidR="002405F5" w:rsidRPr="000B63C6" w:rsidRDefault="002405F5" w:rsidP="002405F5">
      <w:pPr>
        <w:ind w:left="1440" w:right="1440"/>
        <w:contextualSpacing/>
        <w:rPr>
          <w:szCs w:val="26"/>
        </w:rPr>
      </w:pPr>
    </w:p>
    <w:p w14:paraId="48A98D8D" w14:textId="77777777" w:rsidR="002405F5" w:rsidRPr="000B63C6" w:rsidRDefault="002405F5" w:rsidP="002405F5">
      <w:pPr>
        <w:ind w:left="1440" w:right="1440"/>
        <w:contextualSpacing/>
        <w:rPr>
          <w:szCs w:val="26"/>
        </w:rPr>
      </w:pPr>
      <w:r w:rsidRPr="000B63C6">
        <w:rPr>
          <w:szCs w:val="26"/>
        </w:rPr>
        <w:tab/>
        <w:t>(3)</w:t>
      </w:r>
      <w:r w:rsidRPr="000B63C6">
        <w:rPr>
          <w:szCs w:val="26"/>
        </w:rPr>
        <w:tab/>
        <w:t xml:space="preserve">That it </w:t>
      </w:r>
      <w:proofErr w:type="gramStart"/>
      <w:r w:rsidRPr="000B63C6">
        <w:rPr>
          <w:szCs w:val="26"/>
        </w:rPr>
        <w:t>is in compliance with</w:t>
      </w:r>
      <w:proofErr w:type="gramEnd"/>
      <w:r w:rsidRPr="000B63C6">
        <w:rPr>
          <w:szCs w:val="26"/>
        </w:rPr>
        <w:t xml:space="preserve"> applicable statutes and regulations providing for the protection of the natural resources of this Commonwealth. </w:t>
      </w:r>
    </w:p>
    <w:p w14:paraId="2BA848BE" w14:textId="77777777" w:rsidR="002405F5" w:rsidRPr="000B63C6" w:rsidRDefault="002405F5" w:rsidP="002405F5">
      <w:pPr>
        <w:ind w:left="1440" w:right="1440"/>
        <w:contextualSpacing/>
        <w:rPr>
          <w:szCs w:val="26"/>
        </w:rPr>
      </w:pPr>
    </w:p>
    <w:p w14:paraId="71FB77CA" w14:textId="77777777" w:rsidR="002405F5" w:rsidRPr="000B63C6" w:rsidRDefault="002405F5" w:rsidP="002405F5">
      <w:pPr>
        <w:ind w:left="1440" w:right="1440"/>
        <w:contextualSpacing/>
        <w:rPr>
          <w:szCs w:val="26"/>
        </w:rPr>
      </w:pPr>
      <w:r w:rsidRPr="000B63C6">
        <w:rPr>
          <w:szCs w:val="26"/>
        </w:rPr>
        <w:tab/>
        <w:t>(4)</w:t>
      </w:r>
      <w:r w:rsidRPr="000B63C6">
        <w:rPr>
          <w:szCs w:val="26"/>
        </w:rPr>
        <w:tab/>
        <w:t xml:space="preserve">That it will have minimum adverse environmental impact, considering the electric power needs of the public, the state of available technology and the available alternatives. </w:t>
      </w:r>
    </w:p>
    <w:p w14:paraId="572F6742" w14:textId="77777777" w:rsidR="002405F5" w:rsidRPr="000B63C6" w:rsidRDefault="002405F5" w:rsidP="002405F5">
      <w:pPr>
        <w:ind w:left="1440" w:right="1440"/>
        <w:contextualSpacing/>
        <w:rPr>
          <w:szCs w:val="26"/>
        </w:rPr>
      </w:pPr>
    </w:p>
    <w:p w14:paraId="509937F3" w14:textId="77777777" w:rsidR="002405F5" w:rsidRPr="000B63C6" w:rsidRDefault="002405F5" w:rsidP="002405F5">
      <w:pPr>
        <w:ind w:left="1440" w:right="1440"/>
        <w:contextualSpacing/>
        <w:rPr>
          <w:szCs w:val="26"/>
        </w:rPr>
      </w:pPr>
      <w:r w:rsidRPr="000B63C6">
        <w:rPr>
          <w:szCs w:val="26"/>
        </w:rPr>
        <w:t>(b)</w:t>
      </w:r>
      <w:r w:rsidRPr="000B63C6">
        <w:rPr>
          <w:szCs w:val="26"/>
        </w:rPr>
        <w:tab/>
        <w:t>A Commission order granting a siting application will be deemed to include a grant of authority, subject to the provisions of law, to locate and construct the proposed HV transmission line within a corridor consisting of the area of 500 feet on each side of the centerline of the proposed HV transmission line unless the applicant requests and the Commission approves a corridor of a different size.  A proposed HV transmission line may not be constructed outside the corridor, except upon petition to and approval by the Commission.</w:t>
      </w:r>
    </w:p>
    <w:p w14:paraId="2104517A" w14:textId="77777777" w:rsidR="002405F5" w:rsidRPr="000B63C6" w:rsidRDefault="002405F5" w:rsidP="002405F5">
      <w:pPr>
        <w:spacing w:line="360" w:lineRule="auto"/>
        <w:contextualSpacing/>
        <w:rPr>
          <w:szCs w:val="26"/>
        </w:rPr>
      </w:pPr>
    </w:p>
    <w:p w14:paraId="3DB673E3" w14:textId="460FCD65" w:rsidR="002405F5" w:rsidRPr="000B63C6" w:rsidRDefault="002405F5" w:rsidP="002405F5">
      <w:pPr>
        <w:spacing w:line="360" w:lineRule="auto"/>
        <w:contextualSpacing/>
        <w:rPr>
          <w:szCs w:val="26"/>
        </w:rPr>
      </w:pPr>
      <w:r w:rsidRPr="000B63C6">
        <w:rPr>
          <w:szCs w:val="26"/>
        </w:rPr>
        <w:tab/>
      </w:r>
      <w:r w:rsidRPr="000B63C6">
        <w:rPr>
          <w:szCs w:val="26"/>
        </w:rPr>
        <w:tab/>
        <w:t xml:space="preserve">The four prongs in Section 57.76 provide the structure for the Commission’s evaluation.  In determining whether </w:t>
      </w:r>
      <w:r w:rsidR="000B63C6" w:rsidRPr="000B63C6">
        <w:rPr>
          <w:szCs w:val="26"/>
        </w:rPr>
        <w:t>the Applicant</w:t>
      </w:r>
      <w:r w:rsidRPr="000B63C6">
        <w:rPr>
          <w:szCs w:val="26"/>
        </w:rPr>
        <w:t xml:space="preserve"> has satisfied the four prongs, the Commission will consider evidence on the matters set forth in Section 57.75 of the Commission’s Regulations, as follows:</w:t>
      </w:r>
    </w:p>
    <w:p w14:paraId="1B8898A5" w14:textId="77777777" w:rsidR="002405F5" w:rsidRPr="000B63C6" w:rsidRDefault="002405F5" w:rsidP="002405F5">
      <w:pPr>
        <w:spacing w:line="360" w:lineRule="auto"/>
        <w:contextualSpacing/>
        <w:rPr>
          <w:szCs w:val="26"/>
        </w:rPr>
      </w:pPr>
    </w:p>
    <w:p w14:paraId="6254A8DD" w14:textId="77777777" w:rsidR="002405F5" w:rsidRPr="000B63C6" w:rsidRDefault="002405F5" w:rsidP="002405F5">
      <w:pPr>
        <w:keepNext/>
        <w:ind w:left="1440" w:right="1440"/>
        <w:contextualSpacing/>
        <w:outlineLvl w:val="3"/>
        <w:rPr>
          <w:b/>
          <w:bCs/>
          <w:szCs w:val="26"/>
        </w:rPr>
      </w:pPr>
      <w:r w:rsidRPr="000B63C6">
        <w:rPr>
          <w:b/>
          <w:bCs/>
          <w:szCs w:val="26"/>
        </w:rPr>
        <w:t>§ 57.75.  Hearing and notice.</w:t>
      </w:r>
    </w:p>
    <w:p w14:paraId="64DF0598" w14:textId="77777777" w:rsidR="002405F5" w:rsidRPr="000B63C6" w:rsidRDefault="002405F5" w:rsidP="002405F5">
      <w:pPr>
        <w:keepNext/>
        <w:ind w:left="1440" w:right="1440"/>
        <w:contextualSpacing/>
        <w:outlineLvl w:val="3"/>
        <w:rPr>
          <w:b/>
          <w:bCs/>
          <w:szCs w:val="26"/>
        </w:rPr>
      </w:pPr>
    </w:p>
    <w:p w14:paraId="5AE673DB" w14:textId="77777777" w:rsidR="002405F5" w:rsidRPr="000B63C6" w:rsidRDefault="002405F5" w:rsidP="002405F5">
      <w:pPr>
        <w:keepNext/>
        <w:ind w:left="1440" w:right="1440"/>
        <w:contextualSpacing/>
        <w:jc w:val="center"/>
        <w:outlineLvl w:val="3"/>
        <w:rPr>
          <w:b/>
          <w:bCs/>
          <w:szCs w:val="26"/>
        </w:rPr>
      </w:pPr>
      <w:r w:rsidRPr="000B63C6">
        <w:rPr>
          <w:b/>
          <w:bCs/>
          <w:szCs w:val="26"/>
        </w:rPr>
        <w:t>* * *</w:t>
      </w:r>
    </w:p>
    <w:p w14:paraId="55F77804" w14:textId="77777777" w:rsidR="002405F5" w:rsidRPr="000B63C6" w:rsidRDefault="002405F5" w:rsidP="002405F5">
      <w:pPr>
        <w:keepNext/>
        <w:ind w:left="1440" w:right="1440"/>
        <w:contextualSpacing/>
        <w:jc w:val="center"/>
        <w:outlineLvl w:val="3"/>
        <w:rPr>
          <w:bCs/>
          <w:szCs w:val="26"/>
        </w:rPr>
      </w:pPr>
    </w:p>
    <w:p w14:paraId="11C41B08" w14:textId="77777777" w:rsidR="002405F5" w:rsidRPr="000B63C6" w:rsidRDefault="002405F5" w:rsidP="002405F5">
      <w:pPr>
        <w:ind w:left="1440" w:right="1440"/>
        <w:contextualSpacing/>
        <w:rPr>
          <w:szCs w:val="26"/>
        </w:rPr>
      </w:pPr>
      <w:r w:rsidRPr="000B63C6">
        <w:rPr>
          <w:szCs w:val="26"/>
        </w:rPr>
        <w:t>(e)</w:t>
      </w:r>
      <w:r w:rsidRPr="000B63C6">
        <w:rPr>
          <w:szCs w:val="26"/>
        </w:rPr>
        <w:tab/>
        <w:t xml:space="preserve">At hearings held under this section, the Commission will accept evidence upon, and in its determination of the application it will consider, </w:t>
      </w:r>
      <w:r w:rsidRPr="000B63C6">
        <w:rPr>
          <w:i/>
          <w:iCs/>
          <w:szCs w:val="26"/>
        </w:rPr>
        <w:t>inter alia</w:t>
      </w:r>
      <w:r w:rsidRPr="000B63C6">
        <w:rPr>
          <w:szCs w:val="26"/>
        </w:rPr>
        <w:t xml:space="preserve">, the following matters: </w:t>
      </w:r>
    </w:p>
    <w:p w14:paraId="2B4DB2C3" w14:textId="77777777" w:rsidR="002405F5" w:rsidRPr="000B63C6" w:rsidRDefault="002405F5" w:rsidP="002405F5">
      <w:pPr>
        <w:ind w:left="1440" w:right="1440"/>
        <w:contextualSpacing/>
        <w:rPr>
          <w:szCs w:val="26"/>
        </w:rPr>
      </w:pPr>
    </w:p>
    <w:p w14:paraId="5ECFA6CC" w14:textId="77777777" w:rsidR="002405F5" w:rsidRPr="000B63C6" w:rsidRDefault="002405F5" w:rsidP="002405F5">
      <w:pPr>
        <w:ind w:left="1440" w:right="1440"/>
        <w:contextualSpacing/>
        <w:rPr>
          <w:szCs w:val="26"/>
        </w:rPr>
      </w:pPr>
      <w:r w:rsidRPr="000B63C6">
        <w:rPr>
          <w:szCs w:val="26"/>
        </w:rPr>
        <w:tab/>
        <w:t>(1)</w:t>
      </w:r>
      <w:r w:rsidRPr="000B63C6">
        <w:rPr>
          <w:szCs w:val="26"/>
        </w:rPr>
        <w:tab/>
        <w:t xml:space="preserve">The present and future necessity of the proposed HV line in furnishing service to the public. </w:t>
      </w:r>
    </w:p>
    <w:p w14:paraId="5F3ED6A5" w14:textId="77777777" w:rsidR="002405F5" w:rsidRPr="000B63C6" w:rsidRDefault="002405F5" w:rsidP="002405F5">
      <w:pPr>
        <w:ind w:left="1440" w:right="1440"/>
        <w:contextualSpacing/>
        <w:rPr>
          <w:szCs w:val="26"/>
        </w:rPr>
      </w:pPr>
    </w:p>
    <w:p w14:paraId="08BD5F6C" w14:textId="77777777" w:rsidR="002405F5" w:rsidRPr="000B63C6" w:rsidRDefault="002405F5" w:rsidP="002405F5">
      <w:pPr>
        <w:ind w:left="1440" w:right="1440"/>
        <w:contextualSpacing/>
        <w:rPr>
          <w:szCs w:val="26"/>
        </w:rPr>
      </w:pPr>
      <w:r w:rsidRPr="000B63C6">
        <w:rPr>
          <w:szCs w:val="26"/>
        </w:rPr>
        <w:tab/>
        <w:t>(2)</w:t>
      </w:r>
      <w:r w:rsidRPr="000B63C6">
        <w:rPr>
          <w:szCs w:val="26"/>
        </w:rPr>
        <w:tab/>
        <w:t xml:space="preserve">The safety of the proposed HV line. </w:t>
      </w:r>
    </w:p>
    <w:p w14:paraId="64025FCA" w14:textId="77777777" w:rsidR="002405F5" w:rsidRPr="000B63C6" w:rsidRDefault="002405F5" w:rsidP="002405F5">
      <w:pPr>
        <w:ind w:left="1440" w:right="1440"/>
        <w:contextualSpacing/>
        <w:rPr>
          <w:szCs w:val="26"/>
        </w:rPr>
      </w:pPr>
    </w:p>
    <w:p w14:paraId="4A21B301" w14:textId="77777777" w:rsidR="002405F5" w:rsidRPr="000B63C6" w:rsidRDefault="002405F5" w:rsidP="002405F5">
      <w:pPr>
        <w:ind w:left="1440" w:right="1440"/>
        <w:contextualSpacing/>
        <w:rPr>
          <w:szCs w:val="26"/>
        </w:rPr>
      </w:pPr>
      <w:r w:rsidRPr="000B63C6">
        <w:rPr>
          <w:szCs w:val="26"/>
        </w:rPr>
        <w:tab/>
        <w:t>(3)</w:t>
      </w:r>
      <w:r w:rsidRPr="000B63C6">
        <w:rPr>
          <w:szCs w:val="26"/>
        </w:rPr>
        <w:tab/>
        <w:t xml:space="preserve">The impact and the efforts which have been and will be made to minimize the impact, if any, of the proposed HV line upon the following: </w:t>
      </w:r>
    </w:p>
    <w:p w14:paraId="09DD196A" w14:textId="77777777" w:rsidR="002405F5" w:rsidRPr="000B63C6" w:rsidRDefault="002405F5" w:rsidP="002405F5">
      <w:pPr>
        <w:ind w:left="1440" w:right="1440"/>
        <w:contextualSpacing/>
        <w:rPr>
          <w:szCs w:val="26"/>
        </w:rPr>
      </w:pPr>
    </w:p>
    <w:p w14:paraId="0224A824" w14:textId="77777777" w:rsidR="002405F5" w:rsidRPr="000B63C6" w:rsidRDefault="002405F5" w:rsidP="00AB1230">
      <w:pPr>
        <w:keepNext/>
        <w:keepLines/>
        <w:ind w:left="2880" w:right="1440"/>
        <w:contextualSpacing/>
        <w:rPr>
          <w:szCs w:val="26"/>
        </w:rPr>
      </w:pPr>
      <w:r w:rsidRPr="000B63C6">
        <w:rPr>
          <w:szCs w:val="26"/>
        </w:rPr>
        <w:t>(</w:t>
      </w:r>
      <w:proofErr w:type="spellStart"/>
      <w:r w:rsidRPr="000B63C6">
        <w:rPr>
          <w:szCs w:val="26"/>
        </w:rPr>
        <w:t>i</w:t>
      </w:r>
      <w:proofErr w:type="spellEnd"/>
      <w:r w:rsidRPr="000B63C6">
        <w:rPr>
          <w:szCs w:val="26"/>
        </w:rPr>
        <w:t>)</w:t>
      </w:r>
      <w:r w:rsidRPr="000B63C6">
        <w:rPr>
          <w:szCs w:val="26"/>
        </w:rPr>
        <w:tab/>
        <w:t>Land use.</w:t>
      </w:r>
    </w:p>
    <w:p w14:paraId="53531C22" w14:textId="77777777" w:rsidR="002405F5" w:rsidRPr="000B63C6" w:rsidRDefault="002405F5" w:rsidP="00AB1230">
      <w:pPr>
        <w:keepNext/>
        <w:keepLines/>
        <w:ind w:left="2880" w:right="1440"/>
        <w:contextualSpacing/>
        <w:rPr>
          <w:szCs w:val="26"/>
        </w:rPr>
      </w:pPr>
      <w:r w:rsidRPr="000B63C6">
        <w:rPr>
          <w:szCs w:val="26"/>
        </w:rPr>
        <w:t>(ii)</w:t>
      </w:r>
      <w:r w:rsidRPr="000B63C6">
        <w:rPr>
          <w:szCs w:val="26"/>
        </w:rPr>
        <w:tab/>
        <w:t>Soil and sedimentation.</w:t>
      </w:r>
    </w:p>
    <w:p w14:paraId="366B20E4" w14:textId="77777777" w:rsidR="002405F5" w:rsidRPr="000B63C6" w:rsidRDefault="002405F5" w:rsidP="00AB1230">
      <w:pPr>
        <w:keepNext/>
        <w:keepLines/>
        <w:ind w:left="2880" w:right="1440"/>
        <w:contextualSpacing/>
        <w:rPr>
          <w:szCs w:val="26"/>
        </w:rPr>
      </w:pPr>
      <w:r w:rsidRPr="000B63C6">
        <w:rPr>
          <w:szCs w:val="26"/>
        </w:rPr>
        <w:t>(iii)</w:t>
      </w:r>
      <w:r w:rsidRPr="000B63C6">
        <w:rPr>
          <w:szCs w:val="26"/>
        </w:rPr>
        <w:tab/>
        <w:t>Plant and wildlife habitats.</w:t>
      </w:r>
    </w:p>
    <w:p w14:paraId="46D9A1D2" w14:textId="77777777" w:rsidR="002405F5" w:rsidRPr="000B63C6" w:rsidRDefault="002405F5" w:rsidP="00AB1230">
      <w:pPr>
        <w:keepNext/>
        <w:keepLines/>
        <w:ind w:left="2880" w:right="1440"/>
        <w:contextualSpacing/>
        <w:rPr>
          <w:szCs w:val="26"/>
        </w:rPr>
      </w:pPr>
      <w:r w:rsidRPr="000B63C6">
        <w:rPr>
          <w:szCs w:val="26"/>
        </w:rPr>
        <w:t>(iv)</w:t>
      </w:r>
      <w:r w:rsidRPr="000B63C6">
        <w:rPr>
          <w:szCs w:val="26"/>
        </w:rPr>
        <w:tab/>
        <w:t>Terrain.</w:t>
      </w:r>
    </w:p>
    <w:p w14:paraId="2621CAB6" w14:textId="77777777" w:rsidR="002405F5" w:rsidRPr="000B63C6" w:rsidRDefault="002405F5" w:rsidP="00AB1230">
      <w:pPr>
        <w:keepNext/>
        <w:keepLines/>
        <w:ind w:left="2880" w:right="1440"/>
        <w:contextualSpacing/>
        <w:rPr>
          <w:szCs w:val="26"/>
        </w:rPr>
      </w:pPr>
      <w:r w:rsidRPr="000B63C6">
        <w:rPr>
          <w:szCs w:val="26"/>
        </w:rPr>
        <w:t>(v)</w:t>
      </w:r>
      <w:r w:rsidRPr="000B63C6">
        <w:rPr>
          <w:szCs w:val="26"/>
        </w:rPr>
        <w:tab/>
        <w:t>Hydrology.</w:t>
      </w:r>
    </w:p>
    <w:p w14:paraId="796A5E4A" w14:textId="77777777" w:rsidR="002405F5" w:rsidRPr="000B63C6" w:rsidRDefault="002405F5" w:rsidP="002405F5">
      <w:pPr>
        <w:ind w:left="2880" w:right="1440"/>
        <w:contextualSpacing/>
        <w:rPr>
          <w:szCs w:val="26"/>
        </w:rPr>
      </w:pPr>
      <w:r w:rsidRPr="000B63C6">
        <w:rPr>
          <w:szCs w:val="26"/>
        </w:rPr>
        <w:t>(vi)</w:t>
      </w:r>
      <w:r w:rsidRPr="000B63C6">
        <w:rPr>
          <w:szCs w:val="26"/>
        </w:rPr>
        <w:tab/>
        <w:t xml:space="preserve">Landscape. </w:t>
      </w:r>
    </w:p>
    <w:p w14:paraId="00B0233D" w14:textId="77777777" w:rsidR="002405F5" w:rsidRPr="000B63C6" w:rsidRDefault="002405F5" w:rsidP="002405F5">
      <w:pPr>
        <w:ind w:left="2880" w:right="1440"/>
        <w:contextualSpacing/>
        <w:rPr>
          <w:szCs w:val="26"/>
        </w:rPr>
      </w:pPr>
      <w:r w:rsidRPr="000B63C6">
        <w:rPr>
          <w:szCs w:val="26"/>
        </w:rPr>
        <w:t>(vii)</w:t>
      </w:r>
      <w:r w:rsidRPr="000B63C6">
        <w:rPr>
          <w:szCs w:val="26"/>
        </w:rPr>
        <w:tab/>
        <w:t>Archeologic areas.</w:t>
      </w:r>
    </w:p>
    <w:p w14:paraId="0044936F" w14:textId="77777777" w:rsidR="002405F5" w:rsidRPr="000B63C6" w:rsidRDefault="002405F5" w:rsidP="002405F5">
      <w:pPr>
        <w:ind w:left="2880" w:right="1440"/>
        <w:contextualSpacing/>
        <w:rPr>
          <w:szCs w:val="26"/>
        </w:rPr>
      </w:pPr>
      <w:r w:rsidRPr="000B63C6">
        <w:rPr>
          <w:szCs w:val="26"/>
        </w:rPr>
        <w:t>(viii)</w:t>
      </w:r>
      <w:r w:rsidRPr="000B63C6">
        <w:rPr>
          <w:szCs w:val="26"/>
        </w:rPr>
        <w:tab/>
        <w:t>Geologic areas.</w:t>
      </w:r>
    </w:p>
    <w:p w14:paraId="61D8CC9C" w14:textId="77777777" w:rsidR="002405F5" w:rsidRPr="000B63C6" w:rsidRDefault="002405F5" w:rsidP="002405F5">
      <w:pPr>
        <w:ind w:left="2880" w:right="1440"/>
        <w:contextualSpacing/>
        <w:rPr>
          <w:szCs w:val="26"/>
        </w:rPr>
      </w:pPr>
      <w:r w:rsidRPr="000B63C6">
        <w:rPr>
          <w:szCs w:val="26"/>
        </w:rPr>
        <w:t>(ix)</w:t>
      </w:r>
      <w:r w:rsidRPr="000B63C6">
        <w:rPr>
          <w:szCs w:val="26"/>
        </w:rPr>
        <w:tab/>
        <w:t>Historic areas.</w:t>
      </w:r>
    </w:p>
    <w:p w14:paraId="552E665B" w14:textId="77777777" w:rsidR="002405F5" w:rsidRPr="000B63C6" w:rsidRDefault="002405F5" w:rsidP="002405F5">
      <w:pPr>
        <w:ind w:left="2880" w:right="1440"/>
        <w:contextualSpacing/>
        <w:rPr>
          <w:szCs w:val="26"/>
        </w:rPr>
      </w:pPr>
      <w:r w:rsidRPr="000B63C6">
        <w:rPr>
          <w:szCs w:val="26"/>
        </w:rPr>
        <w:t>(x)</w:t>
      </w:r>
      <w:r w:rsidRPr="000B63C6">
        <w:rPr>
          <w:szCs w:val="26"/>
        </w:rPr>
        <w:tab/>
        <w:t>Scenic areas.</w:t>
      </w:r>
    </w:p>
    <w:p w14:paraId="701991CA" w14:textId="77777777" w:rsidR="002405F5" w:rsidRPr="000B63C6" w:rsidRDefault="002405F5" w:rsidP="002405F5">
      <w:pPr>
        <w:ind w:left="2880" w:right="1440"/>
        <w:contextualSpacing/>
        <w:rPr>
          <w:szCs w:val="26"/>
        </w:rPr>
      </w:pPr>
      <w:r w:rsidRPr="000B63C6">
        <w:rPr>
          <w:szCs w:val="26"/>
        </w:rPr>
        <w:t>(xi)</w:t>
      </w:r>
      <w:r w:rsidRPr="000B63C6">
        <w:rPr>
          <w:szCs w:val="26"/>
        </w:rPr>
        <w:tab/>
        <w:t>Wilderness areas.</w:t>
      </w:r>
    </w:p>
    <w:p w14:paraId="1FFADF55" w14:textId="77777777" w:rsidR="002405F5" w:rsidRPr="000B63C6" w:rsidRDefault="002405F5" w:rsidP="002405F5">
      <w:pPr>
        <w:ind w:left="2880" w:right="1440"/>
        <w:contextualSpacing/>
        <w:rPr>
          <w:szCs w:val="26"/>
        </w:rPr>
      </w:pPr>
      <w:r w:rsidRPr="000B63C6">
        <w:rPr>
          <w:szCs w:val="26"/>
        </w:rPr>
        <w:t>(xii)</w:t>
      </w:r>
      <w:r w:rsidRPr="000B63C6">
        <w:rPr>
          <w:szCs w:val="26"/>
        </w:rPr>
        <w:tab/>
        <w:t>Scenic rivers.</w:t>
      </w:r>
    </w:p>
    <w:p w14:paraId="7656778C" w14:textId="77777777" w:rsidR="002405F5" w:rsidRPr="000B63C6" w:rsidRDefault="002405F5" w:rsidP="002405F5">
      <w:pPr>
        <w:ind w:left="1440" w:right="1440"/>
        <w:contextualSpacing/>
        <w:rPr>
          <w:szCs w:val="26"/>
        </w:rPr>
      </w:pPr>
    </w:p>
    <w:p w14:paraId="6E35347C" w14:textId="6CA4DFB4" w:rsidR="002405F5" w:rsidRDefault="002405F5" w:rsidP="002405F5">
      <w:pPr>
        <w:ind w:left="1440" w:right="1440"/>
        <w:contextualSpacing/>
        <w:rPr>
          <w:szCs w:val="26"/>
        </w:rPr>
      </w:pPr>
      <w:r w:rsidRPr="000B63C6">
        <w:rPr>
          <w:szCs w:val="26"/>
        </w:rPr>
        <w:tab/>
        <w:t>(4)</w:t>
      </w:r>
      <w:r w:rsidRPr="000B63C6">
        <w:rPr>
          <w:szCs w:val="26"/>
        </w:rPr>
        <w:tab/>
        <w:t xml:space="preserve">The availability of reasonable alternative routes. </w:t>
      </w:r>
    </w:p>
    <w:p w14:paraId="0C26F9F9" w14:textId="5ECF663F" w:rsidR="00AB1230" w:rsidRDefault="00AB1230" w:rsidP="002405F5">
      <w:pPr>
        <w:ind w:left="1440" w:right="1440"/>
        <w:contextualSpacing/>
        <w:rPr>
          <w:szCs w:val="26"/>
        </w:rPr>
      </w:pPr>
    </w:p>
    <w:p w14:paraId="559267B6" w14:textId="77777777" w:rsidR="00AB1230" w:rsidRPr="000B63C6" w:rsidRDefault="00AB1230" w:rsidP="002405F5">
      <w:pPr>
        <w:ind w:left="1440" w:right="1440"/>
        <w:contextualSpacing/>
        <w:rPr>
          <w:szCs w:val="26"/>
        </w:rPr>
      </w:pPr>
    </w:p>
    <w:p w14:paraId="40B4DF8D" w14:textId="77777777" w:rsidR="002405F5" w:rsidRPr="000B63C6" w:rsidRDefault="002405F5" w:rsidP="002405F5">
      <w:pPr>
        <w:spacing w:line="360" w:lineRule="auto"/>
        <w:contextualSpacing/>
        <w:rPr>
          <w:szCs w:val="26"/>
        </w:rPr>
      </w:pPr>
      <w:r w:rsidRPr="000B63C6">
        <w:rPr>
          <w:szCs w:val="26"/>
        </w:rPr>
        <w:t>52 Pa. Code § 57.75(e).</w:t>
      </w:r>
    </w:p>
    <w:p w14:paraId="75F0E94E" w14:textId="77777777" w:rsidR="002405F5" w:rsidRPr="000B63C6" w:rsidRDefault="002405F5" w:rsidP="002405F5">
      <w:pPr>
        <w:spacing w:line="360" w:lineRule="auto"/>
        <w:contextualSpacing/>
        <w:rPr>
          <w:szCs w:val="26"/>
        </w:rPr>
      </w:pPr>
    </w:p>
    <w:p w14:paraId="3633414F" w14:textId="7E4A1259" w:rsidR="002405F5" w:rsidRPr="000B63C6" w:rsidRDefault="002405F5" w:rsidP="002405F5">
      <w:pPr>
        <w:spacing w:line="360" w:lineRule="auto"/>
        <w:contextualSpacing/>
        <w:rPr>
          <w:szCs w:val="26"/>
        </w:rPr>
      </w:pPr>
      <w:r w:rsidRPr="000B63C6">
        <w:rPr>
          <w:szCs w:val="26"/>
        </w:rPr>
        <w:tab/>
      </w:r>
      <w:r w:rsidRPr="000B63C6">
        <w:rPr>
          <w:szCs w:val="26"/>
        </w:rPr>
        <w:tab/>
      </w:r>
      <w:r w:rsidR="000B63C6" w:rsidRPr="000B63C6">
        <w:rPr>
          <w:szCs w:val="26"/>
        </w:rPr>
        <w:t>Section 57.75(e) of our Regulations</w:t>
      </w:r>
      <w:r w:rsidRPr="000B63C6">
        <w:rPr>
          <w:szCs w:val="26"/>
        </w:rPr>
        <w:t xml:space="preserve"> enumerates the information which </w:t>
      </w:r>
      <w:r w:rsidR="00CE5C29" w:rsidRPr="000B63C6">
        <w:rPr>
          <w:szCs w:val="26"/>
        </w:rPr>
        <w:t>is</w:t>
      </w:r>
      <w:r w:rsidRPr="000B63C6">
        <w:rPr>
          <w:szCs w:val="26"/>
        </w:rPr>
        <w:t xml:space="preserve"> relevant in evaluating the standard set forth in 52 Pa. Code § 57.76(a).  </w:t>
      </w:r>
      <w:r w:rsidR="00373657" w:rsidRPr="000B63C6">
        <w:rPr>
          <w:szCs w:val="26"/>
        </w:rPr>
        <w:t>Furthermore, t</w:t>
      </w:r>
      <w:r w:rsidRPr="000B63C6">
        <w:rPr>
          <w:szCs w:val="26"/>
        </w:rPr>
        <w:t xml:space="preserve">he Commission’s siting Regulations meet the requirements </w:t>
      </w:r>
      <w:r w:rsidR="000565CF" w:rsidRPr="000B63C6">
        <w:rPr>
          <w:szCs w:val="26"/>
        </w:rPr>
        <w:t xml:space="preserve">for a consideration </w:t>
      </w:r>
      <w:r w:rsidRPr="000B63C6">
        <w:rPr>
          <w:szCs w:val="26"/>
        </w:rPr>
        <w:t xml:space="preserve">of </w:t>
      </w:r>
      <w:r w:rsidR="000565CF" w:rsidRPr="000B63C6">
        <w:rPr>
          <w:szCs w:val="26"/>
        </w:rPr>
        <w:t>the environmental impacts mandated by Article I, Section 27 of the Pennsylvania Constitution.</w:t>
      </w:r>
      <w:r w:rsidR="000565CF" w:rsidRPr="000B63C6">
        <w:rPr>
          <w:rStyle w:val="FootnoteReference"/>
          <w:szCs w:val="26"/>
        </w:rPr>
        <w:footnoteReference w:id="3"/>
      </w:r>
      <w:r w:rsidR="000565CF" w:rsidRPr="000B63C6">
        <w:rPr>
          <w:szCs w:val="26"/>
        </w:rPr>
        <w:t xml:space="preserve">  </w:t>
      </w:r>
    </w:p>
    <w:p w14:paraId="0D8ACE19" w14:textId="08635E3E" w:rsidR="00373657" w:rsidRPr="000B63C6" w:rsidRDefault="00373657" w:rsidP="002405F5">
      <w:pPr>
        <w:spacing w:line="360" w:lineRule="auto"/>
        <w:contextualSpacing/>
        <w:rPr>
          <w:szCs w:val="26"/>
        </w:rPr>
      </w:pPr>
    </w:p>
    <w:p w14:paraId="111D79ED" w14:textId="123EA4F9" w:rsidR="005E6E7D" w:rsidRPr="000B63C6" w:rsidRDefault="005E6E7D">
      <w:pPr>
        <w:overflowPunct/>
        <w:autoSpaceDE/>
        <w:autoSpaceDN/>
        <w:adjustRightInd/>
        <w:textAlignment w:val="auto"/>
        <w:rPr>
          <w:szCs w:val="26"/>
        </w:rPr>
      </w:pPr>
    </w:p>
    <w:p w14:paraId="58C2E155" w14:textId="6E5A167C" w:rsidR="002405F5" w:rsidRPr="000B63C6" w:rsidRDefault="0043135F" w:rsidP="00AB1230">
      <w:pPr>
        <w:keepNext/>
        <w:keepLines/>
        <w:spacing w:line="360" w:lineRule="auto"/>
        <w:contextualSpacing/>
        <w:rPr>
          <w:szCs w:val="26"/>
        </w:rPr>
      </w:pPr>
      <w:r w:rsidRPr="000B63C6">
        <w:rPr>
          <w:b/>
          <w:szCs w:val="26"/>
        </w:rPr>
        <w:t>ALJ’s Recommended Decision</w:t>
      </w:r>
    </w:p>
    <w:p w14:paraId="30D171D7" w14:textId="7BE7FD28" w:rsidR="0043135F" w:rsidRPr="000B63C6" w:rsidRDefault="0043135F" w:rsidP="00AB1230">
      <w:pPr>
        <w:keepNext/>
        <w:keepLines/>
        <w:spacing w:line="360" w:lineRule="auto"/>
        <w:contextualSpacing/>
        <w:rPr>
          <w:szCs w:val="26"/>
        </w:rPr>
      </w:pPr>
    </w:p>
    <w:p w14:paraId="7049E593" w14:textId="0EC0C471" w:rsidR="00836900" w:rsidRPr="000B63C6" w:rsidRDefault="00B9527A" w:rsidP="002C19B0">
      <w:pPr>
        <w:spacing w:line="360" w:lineRule="auto"/>
        <w:contextualSpacing/>
        <w:rPr>
          <w:szCs w:val="26"/>
        </w:rPr>
      </w:pPr>
      <w:r w:rsidRPr="000B63C6">
        <w:rPr>
          <w:szCs w:val="26"/>
        </w:rPr>
        <w:tab/>
      </w:r>
      <w:r w:rsidRPr="000B63C6">
        <w:rPr>
          <w:szCs w:val="26"/>
        </w:rPr>
        <w:tab/>
      </w:r>
      <w:r w:rsidR="002C19B0" w:rsidRPr="000B63C6">
        <w:rPr>
          <w:szCs w:val="26"/>
        </w:rPr>
        <w:t>In his Recommended Decision, the ALJ analyzed the following standards: (1)</w:t>
      </w:r>
      <w:r w:rsidR="00AB1230">
        <w:rPr>
          <w:szCs w:val="26"/>
        </w:rPr>
        <w:t> </w:t>
      </w:r>
      <w:r w:rsidR="002C19B0" w:rsidRPr="000B63C6">
        <w:rPr>
          <w:szCs w:val="26"/>
        </w:rPr>
        <w:t>the need for the proposed facilities</w:t>
      </w:r>
      <w:r w:rsidR="00A02976" w:rsidRPr="000B63C6">
        <w:rPr>
          <w:szCs w:val="26"/>
        </w:rPr>
        <w:t>,</w:t>
      </w:r>
      <w:r w:rsidR="002C19B0" w:rsidRPr="000B63C6">
        <w:rPr>
          <w:szCs w:val="26"/>
        </w:rPr>
        <w:t xml:space="preserve"> pursuant to 52 Pa. Code § 57.76(a)(1); (2)</w:t>
      </w:r>
      <w:r w:rsidR="00AB1230">
        <w:rPr>
          <w:szCs w:val="26"/>
        </w:rPr>
        <w:t> </w:t>
      </w:r>
      <w:r w:rsidR="002C19B0" w:rsidRPr="000B63C6">
        <w:rPr>
          <w:szCs w:val="26"/>
        </w:rPr>
        <w:t xml:space="preserve">whether the </w:t>
      </w:r>
      <w:r w:rsidR="00A02976" w:rsidRPr="000B63C6">
        <w:rPr>
          <w:szCs w:val="26"/>
        </w:rPr>
        <w:t>P</w:t>
      </w:r>
      <w:r w:rsidR="002C19B0" w:rsidRPr="000B63C6">
        <w:rPr>
          <w:szCs w:val="26"/>
        </w:rPr>
        <w:t>roject will create an unreasonable risk of danger to the health and safety of the public; (3)</w:t>
      </w:r>
      <w:r w:rsidR="00E61A2F">
        <w:rPr>
          <w:szCs w:val="26"/>
        </w:rPr>
        <w:t> </w:t>
      </w:r>
      <w:r w:rsidR="002C19B0" w:rsidRPr="000B63C6">
        <w:rPr>
          <w:szCs w:val="26"/>
        </w:rPr>
        <w:t>the Applicant’s compliance with applicable statutes and regulations providing for the protection of the natural resources of the Commonwealth; (4)</w:t>
      </w:r>
      <w:r w:rsidR="00E61A2F">
        <w:rPr>
          <w:szCs w:val="26"/>
        </w:rPr>
        <w:t> </w:t>
      </w:r>
      <w:r w:rsidR="00A02976" w:rsidRPr="000B63C6">
        <w:rPr>
          <w:szCs w:val="26"/>
        </w:rPr>
        <w:t xml:space="preserve">whether the Project will have minimum adverse environmental impact, considering the electric power needs of the public, the state of available technology and the available alternatives, pursuant to 52 Pa. Code § 57.76(a)(4); (5) whether the Applicant has selected an appropriate route for the Project that minimizes adverse environmental and other impacts; </w:t>
      </w:r>
      <w:r w:rsidR="004E1790" w:rsidRPr="000B63C6">
        <w:rPr>
          <w:szCs w:val="26"/>
        </w:rPr>
        <w:t xml:space="preserve">and </w:t>
      </w:r>
      <w:r w:rsidR="00A02976" w:rsidRPr="000B63C6">
        <w:rPr>
          <w:szCs w:val="26"/>
        </w:rPr>
        <w:t xml:space="preserve">(6) </w:t>
      </w:r>
      <w:r w:rsidR="008C714B" w:rsidRPr="000B63C6">
        <w:rPr>
          <w:szCs w:val="26"/>
        </w:rPr>
        <w:t xml:space="preserve">whether the Applicant has met the statutory requirements of the Business Corporation Law </w:t>
      </w:r>
      <w:r w:rsidR="000B63C6" w:rsidRPr="000B63C6">
        <w:rPr>
          <w:szCs w:val="26"/>
        </w:rPr>
        <w:t xml:space="preserve">of 1988 (BCL) </w:t>
      </w:r>
      <w:r w:rsidR="008C714B" w:rsidRPr="000B63C6">
        <w:rPr>
          <w:szCs w:val="26"/>
        </w:rPr>
        <w:t xml:space="preserve">and the Code for the approval of the Eminent Domain Applications.  </w:t>
      </w:r>
    </w:p>
    <w:p w14:paraId="6F3959D1" w14:textId="5ED2AA00" w:rsidR="00ED0F10" w:rsidRPr="000B63C6" w:rsidRDefault="00ED0F10" w:rsidP="002C19B0">
      <w:pPr>
        <w:spacing w:line="360" w:lineRule="auto"/>
        <w:contextualSpacing/>
        <w:rPr>
          <w:szCs w:val="26"/>
        </w:rPr>
      </w:pPr>
    </w:p>
    <w:p w14:paraId="52D0AD26" w14:textId="099C6C08" w:rsidR="00ED0F10" w:rsidRPr="000B63C6" w:rsidRDefault="00ED0F10" w:rsidP="002C19B0">
      <w:pPr>
        <w:spacing w:line="360" w:lineRule="auto"/>
        <w:contextualSpacing/>
        <w:rPr>
          <w:szCs w:val="26"/>
        </w:rPr>
      </w:pPr>
      <w:r w:rsidRPr="000B63C6">
        <w:rPr>
          <w:szCs w:val="26"/>
        </w:rPr>
        <w:tab/>
      </w:r>
      <w:r w:rsidRPr="000B63C6">
        <w:rPr>
          <w:szCs w:val="26"/>
        </w:rPr>
        <w:tab/>
      </w:r>
      <w:r w:rsidR="00835242" w:rsidRPr="000B63C6">
        <w:rPr>
          <w:szCs w:val="26"/>
        </w:rPr>
        <w:t>Regarding the need for the proposed facilities, the ALJ determined that the Applicant had established need for the Project to mitigate thermal and voltage reliability criteria violations</w:t>
      </w:r>
      <w:r w:rsidR="000B63C6" w:rsidRPr="000B63C6">
        <w:rPr>
          <w:szCs w:val="26"/>
        </w:rPr>
        <w:t xml:space="preserve"> </w:t>
      </w:r>
      <w:r w:rsidR="00835242" w:rsidRPr="000B63C6">
        <w:rPr>
          <w:szCs w:val="26"/>
        </w:rPr>
        <w:t xml:space="preserve">identified </w:t>
      </w:r>
      <w:r w:rsidR="000B63C6" w:rsidRPr="000B63C6">
        <w:rPr>
          <w:szCs w:val="26"/>
        </w:rPr>
        <w:t>in the</w:t>
      </w:r>
      <w:r w:rsidR="00835242" w:rsidRPr="000B63C6">
        <w:rPr>
          <w:szCs w:val="26"/>
        </w:rPr>
        <w:t xml:space="preserve"> Regional Transmission Expansion Project analysis</w:t>
      </w:r>
      <w:r w:rsidR="000B63C6" w:rsidRPr="000B63C6">
        <w:rPr>
          <w:szCs w:val="26"/>
        </w:rPr>
        <w:t xml:space="preserve"> of PJM Interconnection, LLC</w:t>
      </w:r>
      <w:r w:rsidR="00835242" w:rsidRPr="000B63C6">
        <w:rPr>
          <w:szCs w:val="26"/>
        </w:rPr>
        <w:t xml:space="preserve">.  The ALJ explained that the Project is necessary to address violations of thermal and voltage criteria identified under </w:t>
      </w:r>
      <w:r w:rsidR="002C1375" w:rsidRPr="000B63C6">
        <w:rPr>
          <w:szCs w:val="26"/>
        </w:rPr>
        <w:t xml:space="preserve">North American Electric Reliability Corporation (NERC) </w:t>
      </w:r>
      <w:r w:rsidR="00835242" w:rsidRPr="000B63C6">
        <w:rPr>
          <w:szCs w:val="26"/>
        </w:rPr>
        <w:t>Ca</w:t>
      </w:r>
      <w:r w:rsidR="002C1375" w:rsidRPr="000B63C6">
        <w:rPr>
          <w:szCs w:val="26"/>
        </w:rPr>
        <w:t>tegory C conditions and to provide adequate transmission capacity to meet current and expected customer needs for electric service in and around Bedford County, Pennsylvania.  R.D. at 17, 62</w:t>
      </w:r>
      <w:r w:rsidR="00934540" w:rsidRPr="000B63C6">
        <w:rPr>
          <w:szCs w:val="26"/>
        </w:rPr>
        <w:t>-69</w:t>
      </w:r>
      <w:r w:rsidR="002C1375" w:rsidRPr="000B63C6">
        <w:rPr>
          <w:szCs w:val="26"/>
        </w:rPr>
        <w:t xml:space="preserve"> (citing</w:t>
      </w:r>
      <w:r w:rsidR="00934540" w:rsidRPr="000B63C6">
        <w:rPr>
          <w:szCs w:val="26"/>
        </w:rPr>
        <w:t xml:space="preserve">, in part, </w:t>
      </w:r>
      <w:r w:rsidR="002C1375" w:rsidRPr="000B63C6">
        <w:rPr>
          <w:szCs w:val="26"/>
        </w:rPr>
        <w:t>Stmt. No. 2 at 4-7).</w:t>
      </w:r>
    </w:p>
    <w:p w14:paraId="7CAED7CF" w14:textId="37C81983" w:rsidR="00934540" w:rsidRPr="000B63C6" w:rsidRDefault="00934540" w:rsidP="002C19B0">
      <w:pPr>
        <w:spacing w:line="360" w:lineRule="auto"/>
        <w:contextualSpacing/>
        <w:rPr>
          <w:szCs w:val="26"/>
        </w:rPr>
      </w:pPr>
    </w:p>
    <w:p w14:paraId="1287886A" w14:textId="6923EA23" w:rsidR="00934540" w:rsidRPr="000B63C6" w:rsidRDefault="00934540" w:rsidP="002C19B0">
      <w:pPr>
        <w:spacing w:line="360" w:lineRule="auto"/>
        <w:contextualSpacing/>
        <w:rPr>
          <w:szCs w:val="26"/>
        </w:rPr>
      </w:pPr>
      <w:r w:rsidRPr="000B63C6">
        <w:rPr>
          <w:szCs w:val="26"/>
        </w:rPr>
        <w:tab/>
      </w:r>
      <w:r w:rsidRPr="000B63C6">
        <w:rPr>
          <w:szCs w:val="26"/>
        </w:rPr>
        <w:tab/>
        <w:t xml:space="preserve">Moving to the analysis of unreasonable risk of danger to the health and safety of the public, the ALJ considered the arguments </w:t>
      </w:r>
      <w:r w:rsidR="00961A0E" w:rsidRPr="000B63C6">
        <w:rPr>
          <w:szCs w:val="26"/>
        </w:rPr>
        <w:t xml:space="preserve">pertaining to </w:t>
      </w:r>
      <w:r w:rsidR="00542501" w:rsidRPr="000B63C6">
        <w:rPr>
          <w:szCs w:val="26"/>
        </w:rPr>
        <w:t>electric magnetic fields (EMFs) and the application of herbicides in rights of way (ROW</w:t>
      </w:r>
      <w:r w:rsidR="00F52343" w:rsidRPr="000B63C6">
        <w:rPr>
          <w:szCs w:val="26"/>
        </w:rPr>
        <w:t>s</w:t>
      </w:r>
      <w:r w:rsidR="00542501" w:rsidRPr="000B63C6">
        <w:rPr>
          <w:szCs w:val="26"/>
        </w:rPr>
        <w:t xml:space="preserve">).  </w:t>
      </w:r>
      <w:r w:rsidR="006C5187" w:rsidRPr="000B63C6">
        <w:rPr>
          <w:szCs w:val="26"/>
        </w:rPr>
        <w:t xml:space="preserve">According to the ALJ, the Commission has concluded in line siting cases that EMFs from transmission lines </w:t>
      </w:r>
      <w:proofErr w:type="gramStart"/>
      <w:r w:rsidR="00F52343" w:rsidRPr="000B63C6">
        <w:rPr>
          <w:szCs w:val="26"/>
        </w:rPr>
        <w:t>similar to</w:t>
      </w:r>
      <w:proofErr w:type="gramEnd"/>
      <w:r w:rsidR="006C5187" w:rsidRPr="000B63C6">
        <w:rPr>
          <w:szCs w:val="26"/>
        </w:rPr>
        <w:t xml:space="preserve"> the Project do no not pose an unreasonable risk of harm.  R.D. at</w:t>
      </w:r>
      <w:r w:rsidR="00E61A2F">
        <w:rPr>
          <w:szCs w:val="26"/>
        </w:rPr>
        <w:t> </w:t>
      </w:r>
      <w:r w:rsidR="006C5187" w:rsidRPr="000B63C6">
        <w:rPr>
          <w:szCs w:val="26"/>
        </w:rPr>
        <w:t xml:space="preserve">80 (citing </w:t>
      </w:r>
      <w:r w:rsidR="00BF6D29" w:rsidRPr="000B63C6">
        <w:rPr>
          <w:i/>
          <w:szCs w:val="26"/>
        </w:rPr>
        <w:t>Application of Pennsylvania Electric Company for Approval to Locate and Construct the Bedford North-</w:t>
      </w:r>
      <w:proofErr w:type="spellStart"/>
      <w:r w:rsidR="00BF6D29" w:rsidRPr="000B63C6">
        <w:rPr>
          <w:i/>
          <w:szCs w:val="26"/>
        </w:rPr>
        <w:t>Osterburg</w:t>
      </w:r>
      <w:proofErr w:type="spellEnd"/>
      <w:r w:rsidR="00BF6D29" w:rsidRPr="000B63C6">
        <w:rPr>
          <w:i/>
          <w:szCs w:val="26"/>
        </w:rPr>
        <w:t xml:space="preserve"> East 115 kV Transmission Line Project Situated in Bedford and East St. Clair Townships, Bedford County, Pa.</w:t>
      </w:r>
      <w:r w:rsidR="00BF6D29" w:rsidRPr="000B63C6">
        <w:rPr>
          <w:szCs w:val="26"/>
        </w:rPr>
        <w:t>, Docket Nos. A</w:t>
      </w:r>
      <w:r w:rsidR="00E61A2F">
        <w:rPr>
          <w:szCs w:val="26"/>
        </w:rPr>
        <w:noBreakHyphen/>
      </w:r>
      <w:r w:rsidR="00BF6D29" w:rsidRPr="000B63C6">
        <w:rPr>
          <w:szCs w:val="26"/>
        </w:rPr>
        <w:t xml:space="preserve">2011-2247862, </w:t>
      </w:r>
      <w:r w:rsidR="00BF6D29" w:rsidRPr="000B63C6">
        <w:rPr>
          <w:i/>
          <w:szCs w:val="26"/>
        </w:rPr>
        <w:t>et al.</w:t>
      </w:r>
      <w:r w:rsidR="00BF6D29" w:rsidRPr="000B63C6">
        <w:rPr>
          <w:szCs w:val="26"/>
        </w:rPr>
        <w:t xml:space="preserve"> (Order entered June 7, 2012)).  Additionally, the ALJ reviewed the evidence </w:t>
      </w:r>
      <w:r w:rsidR="00AF6A38" w:rsidRPr="000B63C6">
        <w:rPr>
          <w:szCs w:val="26"/>
        </w:rPr>
        <w:t xml:space="preserve">pertaining to the registration of herbicides, the application procedures of the chemicals, and the </w:t>
      </w:r>
      <w:r w:rsidR="00313422" w:rsidRPr="000B63C6">
        <w:rPr>
          <w:szCs w:val="26"/>
        </w:rPr>
        <w:t xml:space="preserve">proposed </w:t>
      </w:r>
      <w:r w:rsidR="00AF6A38" w:rsidRPr="000B63C6">
        <w:rPr>
          <w:szCs w:val="26"/>
        </w:rPr>
        <w:t xml:space="preserve">coordination with property owners to identify and avoid application </w:t>
      </w:r>
      <w:r w:rsidR="00313422" w:rsidRPr="000B63C6">
        <w:rPr>
          <w:szCs w:val="26"/>
        </w:rPr>
        <w:t xml:space="preserve">of herbicides </w:t>
      </w:r>
      <w:r w:rsidR="00AF6A38" w:rsidRPr="000B63C6">
        <w:rPr>
          <w:szCs w:val="26"/>
        </w:rPr>
        <w:t>near water sources, wells and springs.  Upon review of the evidence, the ALJ concluded that the Applicant met its burden of establishing that the Project would not create an unreasonable risk of danger to the health and safety of the public.  R.D. at 80-81.</w:t>
      </w:r>
    </w:p>
    <w:p w14:paraId="515C2886" w14:textId="40E066C1" w:rsidR="00AF6A38" w:rsidRPr="000B63C6" w:rsidRDefault="00AF6A38" w:rsidP="002C19B0">
      <w:pPr>
        <w:spacing w:line="360" w:lineRule="auto"/>
        <w:contextualSpacing/>
        <w:rPr>
          <w:szCs w:val="26"/>
        </w:rPr>
      </w:pPr>
    </w:p>
    <w:p w14:paraId="7BD2D260" w14:textId="05C07DC7" w:rsidR="0025499E" w:rsidRPr="000B63C6" w:rsidRDefault="0025499E" w:rsidP="002C19B0">
      <w:pPr>
        <w:spacing w:line="360" w:lineRule="auto"/>
        <w:contextualSpacing/>
        <w:rPr>
          <w:szCs w:val="26"/>
        </w:rPr>
      </w:pPr>
      <w:r w:rsidRPr="000B63C6">
        <w:rPr>
          <w:szCs w:val="26"/>
        </w:rPr>
        <w:tab/>
      </w:r>
      <w:r w:rsidRPr="000B63C6">
        <w:rPr>
          <w:szCs w:val="26"/>
        </w:rPr>
        <w:tab/>
      </w:r>
      <w:r w:rsidR="00AF1E93" w:rsidRPr="000B63C6">
        <w:rPr>
          <w:szCs w:val="26"/>
        </w:rPr>
        <w:t xml:space="preserve">Next, the ALJ reviewed the evidence regarding compliance with applicable statutes and regulations providing for the protection of natural resources of the Commonwealth.  </w:t>
      </w:r>
      <w:r w:rsidR="00225646" w:rsidRPr="000B63C6">
        <w:rPr>
          <w:szCs w:val="26"/>
        </w:rPr>
        <w:t>The ALJ c</w:t>
      </w:r>
      <w:r w:rsidR="00AF1E93" w:rsidRPr="000B63C6">
        <w:rPr>
          <w:szCs w:val="26"/>
        </w:rPr>
        <w:t>onsider</w:t>
      </w:r>
      <w:r w:rsidR="00225646" w:rsidRPr="000B63C6">
        <w:rPr>
          <w:szCs w:val="26"/>
        </w:rPr>
        <w:t>ed</w:t>
      </w:r>
      <w:r w:rsidR="00AF1E93" w:rsidRPr="000B63C6">
        <w:rPr>
          <w:szCs w:val="26"/>
        </w:rPr>
        <w:t xml:space="preserve"> the Applicant’s proposed timeline for obtaining required permits and licenses, the agreement to address concerns about the </w:t>
      </w:r>
      <w:r w:rsidR="000B63C6" w:rsidRPr="000B63C6">
        <w:rPr>
          <w:szCs w:val="26"/>
        </w:rPr>
        <w:t xml:space="preserve">endangered status of the </w:t>
      </w:r>
      <w:r w:rsidR="00225646" w:rsidRPr="000B63C6">
        <w:rPr>
          <w:szCs w:val="26"/>
        </w:rPr>
        <w:t>Indiana bat with the U</w:t>
      </w:r>
      <w:r w:rsidR="00D25889" w:rsidRPr="000B63C6">
        <w:rPr>
          <w:szCs w:val="26"/>
        </w:rPr>
        <w:t>.</w:t>
      </w:r>
      <w:r w:rsidR="00225646" w:rsidRPr="000B63C6">
        <w:rPr>
          <w:szCs w:val="26"/>
        </w:rPr>
        <w:t>S. Fish and Wildlife Service, the Project’s use of existing ROWs and the resulting reductions in environmental and landowner impacts, and the Applicant’s commitment to obtain all necessary environmental permits and to comply with those permits during construction.  Accordingly, the ALJ concluded that the proposed Project complies with applicable statutes and regulations, pursuant to 52 Pa. Code § 57.76(a)(3).  R.D. at 89.</w:t>
      </w:r>
    </w:p>
    <w:p w14:paraId="1BF6584F" w14:textId="4666BE79" w:rsidR="00225646" w:rsidRPr="000B63C6" w:rsidRDefault="00225646" w:rsidP="002C19B0">
      <w:pPr>
        <w:spacing w:line="360" w:lineRule="auto"/>
        <w:contextualSpacing/>
        <w:rPr>
          <w:szCs w:val="26"/>
        </w:rPr>
      </w:pPr>
    </w:p>
    <w:p w14:paraId="6EA60743" w14:textId="28F7AA5D" w:rsidR="00225646" w:rsidRPr="000B63C6" w:rsidRDefault="00225646" w:rsidP="002C19B0">
      <w:pPr>
        <w:spacing w:line="360" w:lineRule="auto"/>
        <w:contextualSpacing/>
        <w:rPr>
          <w:szCs w:val="26"/>
        </w:rPr>
      </w:pPr>
      <w:r w:rsidRPr="000B63C6">
        <w:rPr>
          <w:szCs w:val="26"/>
        </w:rPr>
        <w:tab/>
      </w:r>
      <w:r w:rsidRPr="000B63C6">
        <w:rPr>
          <w:szCs w:val="26"/>
        </w:rPr>
        <w:tab/>
      </w:r>
      <w:r w:rsidR="004E155B" w:rsidRPr="000B63C6">
        <w:rPr>
          <w:szCs w:val="26"/>
        </w:rPr>
        <w:t xml:space="preserve">Under </w:t>
      </w:r>
      <w:r w:rsidR="00DE49C4" w:rsidRPr="000B63C6">
        <w:rPr>
          <w:szCs w:val="26"/>
        </w:rPr>
        <w:t>his analysis of</w:t>
      </w:r>
      <w:r w:rsidR="004E155B" w:rsidRPr="000B63C6">
        <w:rPr>
          <w:szCs w:val="26"/>
        </w:rPr>
        <w:t xml:space="preserve"> </w:t>
      </w:r>
      <w:r w:rsidR="0049733E" w:rsidRPr="000B63C6">
        <w:rPr>
          <w:szCs w:val="26"/>
        </w:rPr>
        <w:t>whether the Project will have minimum adverse environmental impact</w:t>
      </w:r>
      <w:r w:rsidR="00DE49C4" w:rsidRPr="000B63C6">
        <w:rPr>
          <w:szCs w:val="26"/>
        </w:rPr>
        <w:t xml:space="preserve">s, the ALJ applied the factors under 52 Pa. Code § 57.75(e)(3).  </w:t>
      </w:r>
      <w:r w:rsidR="001F5949" w:rsidRPr="000B63C6">
        <w:rPr>
          <w:szCs w:val="26"/>
        </w:rPr>
        <w:t xml:space="preserve">Specifically, the ALJ addressed </w:t>
      </w:r>
      <w:r w:rsidR="00F51514" w:rsidRPr="000B63C6">
        <w:rPr>
          <w:szCs w:val="26"/>
        </w:rPr>
        <w:t xml:space="preserve">the impact and efforts made by the Applicant to minimize the impact of the proposed line in each of the following areas: land use, soil and sedimentation, plant and wildlife habitats, terrain, hydrology, landscape, archeologic areas, geologic areas, historic areas, scenic areas, wilderness areas, and scenic rivers.  R.D. at 102-109.  After reviewing the evidence, the ALJ concluded that the Applicant had established by a preponderance of the evidence that the proposed Project will have a minimum adverse environmental impact, considering the electric needs of the public, the state of available technology, and the available alternatives.  </w:t>
      </w:r>
      <w:r w:rsidR="00F51514" w:rsidRPr="000B63C6">
        <w:rPr>
          <w:i/>
          <w:szCs w:val="26"/>
        </w:rPr>
        <w:t>Id.</w:t>
      </w:r>
      <w:r w:rsidR="00F51514" w:rsidRPr="000B63C6">
        <w:rPr>
          <w:szCs w:val="26"/>
        </w:rPr>
        <w:t xml:space="preserve"> at 109-112.  </w:t>
      </w:r>
    </w:p>
    <w:p w14:paraId="4258DDE5" w14:textId="24F3CFF8" w:rsidR="008B0512" w:rsidRPr="000B63C6" w:rsidRDefault="008B0512" w:rsidP="002C19B0">
      <w:pPr>
        <w:spacing w:line="360" w:lineRule="auto"/>
        <w:contextualSpacing/>
        <w:rPr>
          <w:szCs w:val="26"/>
        </w:rPr>
      </w:pPr>
    </w:p>
    <w:p w14:paraId="387E3549" w14:textId="38F60F34" w:rsidR="008B0512" w:rsidRPr="000B63C6" w:rsidRDefault="008B0512" w:rsidP="002C19B0">
      <w:pPr>
        <w:spacing w:line="360" w:lineRule="auto"/>
        <w:contextualSpacing/>
        <w:rPr>
          <w:szCs w:val="26"/>
        </w:rPr>
      </w:pPr>
      <w:r w:rsidRPr="000B63C6">
        <w:rPr>
          <w:szCs w:val="26"/>
        </w:rPr>
        <w:tab/>
      </w:r>
      <w:r w:rsidRPr="000B63C6">
        <w:rPr>
          <w:szCs w:val="26"/>
        </w:rPr>
        <w:tab/>
        <w:t>In the next stage of the analysis, the ALJ examined whether the Applicant ha</w:t>
      </w:r>
      <w:r w:rsidR="00BA41B6" w:rsidRPr="000B63C6">
        <w:rPr>
          <w:szCs w:val="26"/>
        </w:rPr>
        <w:t>d</w:t>
      </w:r>
      <w:r w:rsidRPr="000B63C6">
        <w:rPr>
          <w:szCs w:val="26"/>
        </w:rPr>
        <w:t xml:space="preserve"> selected an appropriate route for the Project that minimizes adverse and other environmental factors.  </w:t>
      </w:r>
      <w:r w:rsidR="00BA41B6" w:rsidRPr="000B63C6">
        <w:rPr>
          <w:szCs w:val="26"/>
        </w:rPr>
        <w:t xml:space="preserve">The ALJ determined that the Applicant conducted a reasonable and thorough study of alternative routes for the Project that included all the factors and analyses required by the Commission’s siting Regulations at 52 Pa. Code Ch. 57, Subchapter G, and recommended in the Commission’s Interim Guidelines for the Filing of Electric Transmission Line Siting Applications at 52 Pa. Code § 69.3101, </w:t>
      </w:r>
      <w:r w:rsidR="00BA41B6" w:rsidRPr="000B63C6">
        <w:rPr>
          <w:i/>
          <w:szCs w:val="26"/>
        </w:rPr>
        <w:t>et seq</w:t>
      </w:r>
      <w:r w:rsidR="00BA41B6" w:rsidRPr="000B63C6">
        <w:rPr>
          <w:szCs w:val="26"/>
        </w:rPr>
        <w:t xml:space="preserve">.  Upon review of the evidence, the ALJ </w:t>
      </w:r>
      <w:r w:rsidR="00AC1788" w:rsidRPr="000B63C6">
        <w:rPr>
          <w:szCs w:val="26"/>
        </w:rPr>
        <w:t xml:space="preserve">concluded </w:t>
      </w:r>
      <w:r w:rsidR="00BA41B6" w:rsidRPr="000B63C6">
        <w:rPr>
          <w:szCs w:val="26"/>
        </w:rPr>
        <w:t xml:space="preserve">that the Applicant had satisfied its burden </w:t>
      </w:r>
      <w:r w:rsidR="00560A6B" w:rsidRPr="000B63C6">
        <w:rPr>
          <w:szCs w:val="26"/>
        </w:rPr>
        <w:t>that the proposed Project and the selected route are necessary and proper for the accommodation, convenience and safety of MAIT’s patrons and employees and the public.  Moreover, the ALJ found that the Applicant had selected an appropriate route for the Project that minimizes adverse environmental and other impacts.  R.D. at</w:t>
      </w:r>
      <w:r w:rsidR="00E61A2F">
        <w:rPr>
          <w:szCs w:val="26"/>
        </w:rPr>
        <w:t> </w:t>
      </w:r>
      <w:r w:rsidR="00560A6B" w:rsidRPr="000B63C6">
        <w:rPr>
          <w:szCs w:val="26"/>
        </w:rPr>
        <w:t>128</w:t>
      </w:r>
      <w:r w:rsidR="00E61A2F">
        <w:rPr>
          <w:szCs w:val="26"/>
        </w:rPr>
        <w:noBreakHyphen/>
      </w:r>
      <w:r w:rsidR="00560A6B" w:rsidRPr="000B63C6">
        <w:rPr>
          <w:szCs w:val="26"/>
        </w:rPr>
        <w:t>132.</w:t>
      </w:r>
    </w:p>
    <w:p w14:paraId="46DE1AE2" w14:textId="47A6AC13" w:rsidR="00560A6B" w:rsidRPr="000B63C6" w:rsidRDefault="00560A6B" w:rsidP="002C19B0">
      <w:pPr>
        <w:spacing w:line="360" w:lineRule="auto"/>
        <w:contextualSpacing/>
        <w:rPr>
          <w:szCs w:val="26"/>
        </w:rPr>
      </w:pPr>
    </w:p>
    <w:p w14:paraId="60241DE2" w14:textId="57F95DEC" w:rsidR="00560A6B" w:rsidRPr="000B63C6" w:rsidRDefault="00560A6B" w:rsidP="002C19B0">
      <w:pPr>
        <w:spacing w:line="360" w:lineRule="auto"/>
        <w:contextualSpacing/>
        <w:rPr>
          <w:szCs w:val="26"/>
        </w:rPr>
      </w:pPr>
      <w:r w:rsidRPr="000B63C6">
        <w:rPr>
          <w:szCs w:val="26"/>
        </w:rPr>
        <w:tab/>
      </w:r>
      <w:r w:rsidRPr="000B63C6">
        <w:rPr>
          <w:szCs w:val="26"/>
        </w:rPr>
        <w:tab/>
      </w:r>
      <w:r w:rsidR="007068DA" w:rsidRPr="000B63C6">
        <w:rPr>
          <w:szCs w:val="26"/>
        </w:rPr>
        <w:t xml:space="preserve">Moving to the final factor of his analysis, the ALJ explained that the Applicant had filed its Eminent Domain Applications pursuant to Section 1511 of the BCL, 15 Pa. C.S. § 1511, which grants a public utility the authority to condemn property to provide electricity to the public.  The ALJ further noted that the requirements of Section 1511 of the BCL are satisfied where </w:t>
      </w:r>
      <w:r w:rsidR="00AB31B9" w:rsidRPr="000B63C6">
        <w:rPr>
          <w:szCs w:val="26"/>
        </w:rPr>
        <w:t>an applicant has determined that the route selected for a transmission line is reasonable, made in good faith, and not capricious or wantonly injurious.  Here, the ALJ found that the Applicant through its Application, testimony and exhibits has established a clear need for the Project to provide safe and reliable electric service to the public.  Additionally, the A</w:t>
      </w:r>
      <w:r w:rsidR="007172E2" w:rsidRPr="000B63C6">
        <w:rPr>
          <w:szCs w:val="26"/>
        </w:rPr>
        <w:t>L</w:t>
      </w:r>
      <w:r w:rsidR="00AB31B9" w:rsidRPr="000B63C6">
        <w:rPr>
          <w:szCs w:val="26"/>
        </w:rPr>
        <w:t xml:space="preserve">J determined that the </w:t>
      </w:r>
      <w:r w:rsidR="007068DA" w:rsidRPr="000B63C6">
        <w:rPr>
          <w:szCs w:val="26"/>
        </w:rPr>
        <w:t xml:space="preserve">Applicant had satisfied the Commission’s </w:t>
      </w:r>
      <w:r w:rsidR="00AB31B9" w:rsidRPr="000B63C6">
        <w:rPr>
          <w:szCs w:val="26"/>
        </w:rPr>
        <w:t xml:space="preserve">criteria for approval to site, construct and operate the proposed transmission line and had satisfied the criteria for authority to exercise the power of eminent domain upon the proposed parcels of land for the </w:t>
      </w:r>
      <w:r w:rsidR="007172E2" w:rsidRPr="000B63C6">
        <w:rPr>
          <w:szCs w:val="26"/>
        </w:rPr>
        <w:t>Project</w:t>
      </w:r>
      <w:r w:rsidR="00AB31B9" w:rsidRPr="000B63C6">
        <w:rPr>
          <w:szCs w:val="26"/>
        </w:rPr>
        <w:t xml:space="preserve">.  </w:t>
      </w:r>
      <w:r w:rsidR="009042B7" w:rsidRPr="000B63C6">
        <w:rPr>
          <w:szCs w:val="26"/>
        </w:rPr>
        <w:t>R.D. at 135-137.</w:t>
      </w:r>
    </w:p>
    <w:p w14:paraId="11738868" w14:textId="50A931B2" w:rsidR="00AF6A38" w:rsidRPr="000B63C6" w:rsidRDefault="00AF6A38" w:rsidP="002C19B0">
      <w:pPr>
        <w:spacing w:line="360" w:lineRule="auto"/>
        <w:contextualSpacing/>
        <w:rPr>
          <w:szCs w:val="26"/>
        </w:rPr>
      </w:pPr>
    </w:p>
    <w:p w14:paraId="758E131E" w14:textId="16A2B498" w:rsidR="002C1375" w:rsidRPr="000B63C6" w:rsidRDefault="009042B7" w:rsidP="002C19B0">
      <w:pPr>
        <w:spacing w:line="360" w:lineRule="auto"/>
        <w:contextualSpacing/>
        <w:rPr>
          <w:szCs w:val="26"/>
        </w:rPr>
      </w:pPr>
      <w:r w:rsidRPr="000B63C6">
        <w:rPr>
          <w:szCs w:val="26"/>
        </w:rPr>
        <w:tab/>
      </w:r>
      <w:r w:rsidRPr="000B63C6">
        <w:rPr>
          <w:szCs w:val="26"/>
        </w:rPr>
        <w:tab/>
        <w:t xml:space="preserve">Moreover, the ALJ concluded that the Applicant did not act in an unreasonable, improper or arbitrary manner in the route selection process utilized.  Rather, in its selection process, the Applicant considered topography, land use, safety, costs, environmental impacts and alternative routes, as well as other relevant and germane factors.  According to the ALJ, the Applicant’s proposed exercise of the power of eminent domain to acquire a right-of-way and easement for construction, operation and maintenance of the Project over the lands of the identified property owners is necessary for the service, accommodation, convenience, or safety of the public.  </w:t>
      </w:r>
      <w:r w:rsidR="00900BA1" w:rsidRPr="000B63C6">
        <w:rPr>
          <w:szCs w:val="26"/>
        </w:rPr>
        <w:t xml:space="preserve">Accordingly, the ALJ found that the Applicant’s proposed eminent domain power for the Project over the remaining eight properties is necessary and should be approved.  </w:t>
      </w:r>
      <w:r w:rsidRPr="000B63C6">
        <w:rPr>
          <w:i/>
          <w:szCs w:val="26"/>
        </w:rPr>
        <w:t>Id.</w:t>
      </w:r>
      <w:r w:rsidRPr="000B63C6">
        <w:rPr>
          <w:szCs w:val="26"/>
        </w:rPr>
        <w:t xml:space="preserve"> at</w:t>
      </w:r>
      <w:r w:rsidR="00FE0FCB">
        <w:rPr>
          <w:szCs w:val="26"/>
        </w:rPr>
        <w:t> </w:t>
      </w:r>
      <w:r w:rsidRPr="000B63C6">
        <w:rPr>
          <w:szCs w:val="26"/>
        </w:rPr>
        <w:t>137-139.</w:t>
      </w:r>
    </w:p>
    <w:p w14:paraId="524A2140" w14:textId="77777777" w:rsidR="005E6E7D" w:rsidRPr="000B63C6" w:rsidRDefault="005E6E7D" w:rsidP="0007075E">
      <w:pPr>
        <w:spacing w:line="360" w:lineRule="auto"/>
        <w:contextualSpacing/>
        <w:rPr>
          <w:b/>
          <w:szCs w:val="26"/>
        </w:rPr>
      </w:pPr>
    </w:p>
    <w:p w14:paraId="0CC9CD18" w14:textId="4DB27548" w:rsidR="004E29CD" w:rsidRPr="000B63C6" w:rsidRDefault="004E29CD" w:rsidP="0007075E">
      <w:pPr>
        <w:spacing w:line="360" w:lineRule="auto"/>
        <w:contextualSpacing/>
        <w:rPr>
          <w:szCs w:val="26"/>
        </w:rPr>
      </w:pPr>
      <w:r w:rsidRPr="000B63C6">
        <w:rPr>
          <w:b/>
          <w:szCs w:val="26"/>
        </w:rPr>
        <w:t>Disposition</w:t>
      </w:r>
    </w:p>
    <w:p w14:paraId="34CDBD7A" w14:textId="77777777" w:rsidR="008A7896" w:rsidRPr="000B63C6" w:rsidRDefault="008A7896" w:rsidP="00B66AB8">
      <w:pPr>
        <w:spacing w:line="360" w:lineRule="auto"/>
        <w:ind w:firstLine="1440"/>
        <w:rPr>
          <w:szCs w:val="26"/>
        </w:rPr>
      </w:pPr>
    </w:p>
    <w:p w14:paraId="212E54C5" w14:textId="510F9EF2" w:rsidR="005E6E7D" w:rsidRPr="000B63C6" w:rsidRDefault="00C66AB2" w:rsidP="00C66AB2">
      <w:pPr>
        <w:overflowPunct/>
        <w:autoSpaceDE/>
        <w:autoSpaceDN/>
        <w:adjustRightInd/>
        <w:spacing w:line="360" w:lineRule="auto"/>
        <w:ind w:firstLine="720"/>
        <w:textAlignment w:val="auto"/>
        <w:rPr>
          <w:bCs/>
          <w:szCs w:val="26"/>
        </w:rPr>
      </w:pPr>
      <w:r w:rsidRPr="000B63C6">
        <w:rPr>
          <w:bCs/>
          <w:szCs w:val="26"/>
        </w:rPr>
        <w:tab/>
        <w:t>Upon review of the evidentiary record, we agree with the ALJ’s determination that the Applicant submitted substantial evidence to warrant a recommendation that the Application be approved.  While we support the approval of the Application, a few aspects of the Recommended Decision require modification.</w:t>
      </w:r>
    </w:p>
    <w:p w14:paraId="707BFC28" w14:textId="77777777" w:rsidR="005E6E7D" w:rsidRPr="000B63C6" w:rsidRDefault="005E6E7D" w:rsidP="00C66AB2">
      <w:pPr>
        <w:overflowPunct/>
        <w:autoSpaceDE/>
        <w:autoSpaceDN/>
        <w:adjustRightInd/>
        <w:spacing w:line="360" w:lineRule="auto"/>
        <w:ind w:firstLine="720"/>
        <w:textAlignment w:val="auto"/>
        <w:rPr>
          <w:bCs/>
          <w:szCs w:val="26"/>
        </w:rPr>
      </w:pPr>
    </w:p>
    <w:p w14:paraId="6B3E67F3" w14:textId="3DB41465" w:rsidR="00C66AB2" w:rsidRPr="000B63C6" w:rsidRDefault="005E6E7D" w:rsidP="00C66AB2">
      <w:pPr>
        <w:overflowPunct/>
        <w:autoSpaceDE/>
        <w:autoSpaceDN/>
        <w:adjustRightInd/>
        <w:spacing w:line="360" w:lineRule="auto"/>
        <w:ind w:firstLine="720"/>
        <w:textAlignment w:val="auto"/>
        <w:rPr>
          <w:bCs/>
          <w:szCs w:val="26"/>
        </w:rPr>
      </w:pPr>
      <w:r w:rsidRPr="000B63C6">
        <w:rPr>
          <w:bCs/>
          <w:szCs w:val="26"/>
        </w:rPr>
        <w:tab/>
      </w:r>
      <w:r w:rsidR="00C66AB2" w:rsidRPr="000B63C6">
        <w:rPr>
          <w:bCs/>
          <w:szCs w:val="26"/>
        </w:rPr>
        <w:t xml:space="preserve">In accordance with the provisions of </w:t>
      </w:r>
      <w:r w:rsidRPr="000B63C6">
        <w:rPr>
          <w:bCs/>
          <w:szCs w:val="26"/>
        </w:rPr>
        <w:t>the Code</w:t>
      </w:r>
      <w:r w:rsidR="00C66AB2" w:rsidRPr="000B63C6">
        <w:rPr>
          <w:bCs/>
          <w:szCs w:val="26"/>
        </w:rPr>
        <w:t xml:space="preserve"> and </w:t>
      </w:r>
      <w:r w:rsidRPr="000B63C6">
        <w:rPr>
          <w:bCs/>
          <w:szCs w:val="26"/>
        </w:rPr>
        <w:t>our</w:t>
      </w:r>
      <w:r w:rsidR="00C66AB2" w:rsidRPr="000B63C6">
        <w:rPr>
          <w:bCs/>
          <w:szCs w:val="26"/>
        </w:rPr>
        <w:t xml:space="preserve"> </w:t>
      </w:r>
      <w:r w:rsidRPr="000B63C6">
        <w:rPr>
          <w:bCs/>
          <w:szCs w:val="26"/>
        </w:rPr>
        <w:t>R</w:t>
      </w:r>
      <w:r w:rsidR="00C66AB2" w:rsidRPr="000B63C6">
        <w:rPr>
          <w:bCs/>
          <w:szCs w:val="26"/>
        </w:rPr>
        <w:t>egulations at 52</w:t>
      </w:r>
      <w:r w:rsidR="00A451BD">
        <w:rPr>
          <w:bCs/>
          <w:szCs w:val="26"/>
        </w:rPr>
        <w:t> </w:t>
      </w:r>
      <w:r w:rsidR="00C66AB2" w:rsidRPr="000B63C6">
        <w:rPr>
          <w:bCs/>
          <w:szCs w:val="26"/>
        </w:rPr>
        <w:t>Pa. Code §§ 57.71-57.77</w:t>
      </w:r>
      <w:r w:rsidRPr="000B63C6">
        <w:rPr>
          <w:bCs/>
          <w:szCs w:val="26"/>
        </w:rPr>
        <w:t>,</w:t>
      </w:r>
      <w:r w:rsidR="00C66AB2" w:rsidRPr="000B63C6">
        <w:rPr>
          <w:bCs/>
          <w:szCs w:val="26"/>
        </w:rPr>
        <w:t xml:space="preserve"> regarding the siting and construction of high voltage transmission lines, the ALJ analyzed the </w:t>
      </w:r>
      <w:r w:rsidR="00BE364D" w:rsidRPr="000B63C6">
        <w:rPr>
          <w:bCs/>
          <w:szCs w:val="26"/>
        </w:rPr>
        <w:t>A</w:t>
      </w:r>
      <w:r w:rsidR="00C66AB2" w:rsidRPr="000B63C6">
        <w:rPr>
          <w:bCs/>
          <w:szCs w:val="26"/>
        </w:rPr>
        <w:t>pplication in a thorough manner.  However, the ALJ included case precedent references to the</w:t>
      </w:r>
      <w:r w:rsidRPr="000B63C6">
        <w:rPr>
          <w:bCs/>
          <w:szCs w:val="26"/>
        </w:rPr>
        <w:t xml:space="preserve"> test articulated by the Commo</w:t>
      </w:r>
      <w:r w:rsidR="00BE364D" w:rsidRPr="000B63C6">
        <w:rPr>
          <w:bCs/>
          <w:szCs w:val="26"/>
        </w:rPr>
        <w:t>n</w:t>
      </w:r>
      <w:r w:rsidRPr="000B63C6">
        <w:rPr>
          <w:bCs/>
          <w:szCs w:val="26"/>
        </w:rPr>
        <w:t>wealth Court in</w:t>
      </w:r>
      <w:r w:rsidR="00C66AB2" w:rsidRPr="000B63C6">
        <w:rPr>
          <w:bCs/>
          <w:szCs w:val="26"/>
        </w:rPr>
        <w:t xml:space="preserve"> </w:t>
      </w:r>
      <w:r w:rsidR="00C66AB2" w:rsidRPr="000B63C6">
        <w:rPr>
          <w:bCs/>
          <w:i/>
          <w:szCs w:val="26"/>
        </w:rPr>
        <w:t xml:space="preserve">Payne v. </w:t>
      </w:r>
      <w:proofErr w:type="spellStart"/>
      <w:r w:rsidR="00C66AB2" w:rsidRPr="000B63C6">
        <w:rPr>
          <w:bCs/>
          <w:i/>
          <w:szCs w:val="26"/>
        </w:rPr>
        <w:t>Kassab</w:t>
      </w:r>
      <w:proofErr w:type="spellEnd"/>
      <w:r w:rsidRPr="000B63C6">
        <w:rPr>
          <w:bCs/>
          <w:szCs w:val="26"/>
        </w:rPr>
        <w:t>,</w:t>
      </w:r>
      <w:r w:rsidRPr="000B63C6">
        <w:rPr>
          <w:bCs/>
          <w:i/>
          <w:szCs w:val="26"/>
        </w:rPr>
        <w:t xml:space="preserve"> </w:t>
      </w:r>
      <w:r w:rsidRPr="000B63C6">
        <w:rPr>
          <w:szCs w:val="26"/>
        </w:rPr>
        <w:t xml:space="preserve">312 A.2d 86 (Pa. </w:t>
      </w:r>
      <w:proofErr w:type="spellStart"/>
      <w:r w:rsidRPr="000B63C6">
        <w:rPr>
          <w:szCs w:val="26"/>
        </w:rPr>
        <w:t>Cmwlth</w:t>
      </w:r>
      <w:proofErr w:type="spellEnd"/>
      <w:r w:rsidRPr="000B63C6">
        <w:rPr>
          <w:szCs w:val="26"/>
        </w:rPr>
        <w:t>. 1973)</w:t>
      </w:r>
      <w:r w:rsidR="00BE364D" w:rsidRPr="000B63C6">
        <w:rPr>
          <w:szCs w:val="26"/>
        </w:rPr>
        <w:t xml:space="preserve">, </w:t>
      </w:r>
      <w:r w:rsidR="00BE364D" w:rsidRPr="000B63C6">
        <w:rPr>
          <w:i/>
          <w:szCs w:val="26"/>
        </w:rPr>
        <w:t>aff’d</w:t>
      </w:r>
      <w:r w:rsidR="00BE364D" w:rsidRPr="000B63C6">
        <w:rPr>
          <w:szCs w:val="26"/>
        </w:rPr>
        <w:t>, 468 Pa. 226, 361 A.2d 263 (1976) (</w:t>
      </w:r>
      <w:r w:rsidR="00BE364D" w:rsidRPr="000B63C6">
        <w:rPr>
          <w:i/>
          <w:szCs w:val="26"/>
        </w:rPr>
        <w:t>Payne</w:t>
      </w:r>
      <w:r w:rsidR="00BE364D" w:rsidRPr="000B63C6">
        <w:rPr>
          <w:szCs w:val="26"/>
        </w:rPr>
        <w:t>),</w:t>
      </w:r>
      <w:r w:rsidR="00C66AB2" w:rsidRPr="000B63C6">
        <w:rPr>
          <w:bCs/>
          <w:szCs w:val="26"/>
        </w:rPr>
        <w:t xml:space="preserve"> which is no longer valid and should be stricken.</w:t>
      </w:r>
      <w:r w:rsidR="00C66AB2" w:rsidRPr="000B63C6">
        <w:rPr>
          <w:bCs/>
          <w:szCs w:val="26"/>
          <w:vertAlign w:val="superscript"/>
        </w:rPr>
        <w:footnoteReference w:id="4"/>
      </w:r>
      <w:r w:rsidR="00C66AB2" w:rsidRPr="000B63C6">
        <w:rPr>
          <w:bCs/>
          <w:szCs w:val="26"/>
        </w:rPr>
        <w:t xml:space="preserve">  </w:t>
      </w:r>
      <w:r w:rsidR="00BE364D" w:rsidRPr="000B63C6">
        <w:rPr>
          <w:bCs/>
          <w:szCs w:val="26"/>
        </w:rPr>
        <w:t xml:space="preserve">Recently, </w:t>
      </w:r>
      <w:r w:rsidR="00C66AB2" w:rsidRPr="000B63C6">
        <w:rPr>
          <w:bCs/>
          <w:szCs w:val="26"/>
        </w:rPr>
        <w:t xml:space="preserve">the Pennsylvania Supreme Court </w:t>
      </w:r>
      <w:r w:rsidR="00BE364D" w:rsidRPr="000B63C6">
        <w:rPr>
          <w:szCs w:val="26"/>
        </w:rPr>
        <w:t xml:space="preserve">in </w:t>
      </w:r>
      <w:r w:rsidR="00BE364D" w:rsidRPr="000B63C6">
        <w:rPr>
          <w:i/>
          <w:szCs w:val="26"/>
        </w:rPr>
        <w:t>Pa. Environmental Defense Foundation v. Com. of Pa.</w:t>
      </w:r>
      <w:r w:rsidR="00BE364D" w:rsidRPr="000B63C6">
        <w:rPr>
          <w:szCs w:val="26"/>
        </w:rPr>
        <w:t>, 161 A.3d 911 (Pa. 2017) (</w:t>
      </w:r>
      <w:r w:rsidR="00BE364D" w:rsidRPr="000B63C6">
        <w:rPr>
          <w:i/>
          <w:szCs w:val="26"/>
        </w:rPr>
        <w:t>PEDF</w:t>
      </w:r>
      <w:r w:rsidR="00BE364D" w:rsidRPr="000B63C6">
        <w:rPr>
          <w:szCs w:val="26"/>
        </w:rPr>
        <w:t xml:space="preserve">), </w:t>
      </w:r>
      <w:r w:rsidR="00C66AB2" w:rsidRPr="000B63C6">
        <w:rPr>
          <w:bCs/>
          <w:szCs w:val="26"/>
        </w:rPr>
        <w:t xml:space="preserve">invalidated the </w:t>
      </w:r>
      <w:r w:rsidR="00C66AB2" w:rsidRPr="000B63C6">
        <w:rPr>
          <w:bCs/>
          <w:i/>
          <w:szCs w:val="26"/>
        </w:rPr>
        <w:t xml:space="preserve">Payne </w:t>
      </w:r>
      <w:r w:rsidR="00C66AB2" w:rsidRPr="000B63C6">
        <w:rPr>
          <w:bCs/>
          <w:szCs w:val="26"/>
        </w:rPr>
        <w:t>test.</w:t>
      </w:r>
      <w:r w:rsidR="00C66AB2" w:rsidRPr="000B63C6">
        <w:rPr>
          <w:bCs/>
          <w:szCs w:val="26"/>
          <w:vertAlign w:val="superscript"/>
        </w:rPr>
        <w:footnoteReference w:id="5"/>
      </w:r>
      <w:r w:rsidR="00C66AB2" w:rsidRPr="000B63C6">
        <w:rPr>
          <w:bCs/>
          <w:szCs w:val="26"/>
        </w:rPr>
        <w:t xml:space="preserve">  Therefore, the Commission will no longer apply the three-part </w:t>
      </w:r>
      <w:r w:rsidR="00BE364D" w:rsidRPr="000B63C6">
        <w:rPr>
          <w:bCs/>
          <w:i/>
          <w:szCs w:val="26"/>
        </w:rPr>
        <w:t>Payne</w:t>
      </w:r>
      <w:r w:rsidR="00BE364D" w:rsidRPr="000B63C6">
        <w:rPr>
          <w:bCs/>
          <w:szCs w:val="26"/>
        </w:rPr>
        <w:t xml:space="preserve"> </w:t>
      </w:r>
      <w:r w:rsidR="00C66AB2" w:rsidRPr="000B63C6">
        <w:rPr>
          <w:bCs/>
          <w:szCs w:val="26"/>
        </w:rPr>
        <w:t>test in transmission line cases.</w:t>
      </w:r>
    </w:p>
    <w:p w14:paraId="5426CDD6" w14:textId="77777777" w:rsidR="00C66AB2" w:rsidRPr="000B63C6" w:rsidRDefault="00C66AB2" w:rsidP="00C66AB2">
      <w:pPr>
        <w:overflowPunct/>
        <w:autoSpaceDE/>
        <w:autoSpaceDN/>
        <w:adjustRightInd/>
        <w:spacing w:line="360" w:lineRule="auto"/>
        <w:ind w:firstLine="720"/>
        <w:textAlignment w:val="auto"/>
        <w:rPr>
          <w:bCs/>
          <w:szCs w:val="26"/>
        </w:rPr>
      </w:pPr>
    </w:p>
    <w:p w14:paraId="6CECE351" w14:textId="18EB5911" w:rsidR="005E6E7D" w:rsidRPr="000B63C6" w:rsidRDefault="00BE364D" w:rsidP="00C66AB2">
      <w:pPr>
        <w:overflowPunct/>
        <w:autoSpaceDE/>
        <w:autoSpaceDN/>
        <w:adjustRightInd/>
        <w:spacing w:line="360" w:lineRule="auto"/>
        <w:ind w:firstLine="720"/>
        <w:textAlignment w:val="auto"/>
        <w:rPr>
          <w:i/>
          <w:szCs w:val="26"/>
        </w:rPr>
      </w:pPr>
      <w:r w:rsidRPr="000B63C6">
        <w:rPr>
          <w:szCs w:val="26"/>
        </w:rPr>
        <w:tab/>
      </w:r>
      <w:r w:rsidR="005E6E7D" w:rsidRPr="000B63C6">
        <w:rPr>
          <w:szCs w:val="26"/>
        </w:rPr>
        <w:t xml:space="preserve">In </w:t>
      </w:r>
      <w:r w:rsidR="005E6E7D" w:rsidRPr="000B63C6">
        <w:rPr>
          <w:i/>
          <w:szCs w:val="26"/>
        </w:rPr>
        <w:t>PEDF</w:t>
      </w:r>
      <w:r w:rsidR="005E6E7D" w:rsidRPr="000B63C6">
        <w:rPr>
          <w:szCs w:val="26"/>
        </w:rPr>
        <w:t xml:space="preserve">, the </w:t>
      </w:r>
      <w:r w:rsidRPr="000B63C6">
        <w:rPr>
          <w:szCs w:val="26"/>
        </w:rPr>
        <w:t xml:space="preserve">Supreme </w:t>
      </w:r>
      <w:r w:rsidR="005E6E7D" w:rsidRPr="000B63C6">
        <w:rPr>
          <w:szCs w:val="26"/>
        </w:rPr>
        <w:t xml:space="preserve">Court addressed the contours of the trust created by the Environmental Rights Amendment, which placed Pennsylvania’s public natural resources in trust, and named the Commonwealth as its trustee, to conserve and maintain those resources for the benefit of all people, including future generations.  </w:t>
      </w:r>
      <w:r w:rsidR="005E6E7D" w:rsidRPr="000B63C6">
        <w:rPr>
          <w:i/>
          <w:szCs w:val="26"/>
        </w:rPr>
        <w:t xml:space="preserve">PEDF </w:t>
      </w:r>
      <w:r w:rsidR="005E6E7D" w:rsidRPr="000B63C6">
        <w:rPr>
          <w:szCs w:val="26"/>
        </w:rPr>
        <w:t xml:space="preserve">replaced the </w:t>
      </w:r>
      <w:r w:rsidR="00A20322" w:rsidRPr="000B63C6">
        <w:rPr>
          <w:i/>
          <w:szCs w:val="26"/>
        </w:rPr>
        <w:t>Payne</w:t>
      </w:r>
      <w:r w:rsidR="00A20322" w:rsidRPr="000B63C6">
        <w:rPr>
          <w:szCs w:val="26"/>
        </w:rPr>
        <w:t xml:space="preserve"> </w:t>
      </w:r>
      <w:r w:rsidR="00FA517B" w:rsidRPr="000B63C6">
        <w:rPr>
          <w:szCs w:val="26"/>
        </w:rPr>
        <w:t xml:space="preserve">test </w:t>
      </w:r>
      <w:r w:rsidR="005E6E7D" w:rsidRPr="000B63C6">
        <w:rPr>
          <w:szCs w:val="26"/>
        </w:rPr>
        <w:t xml:space="preserve">with instructions to apply the text of Article I, Section 27 itself and the underlying principles of Pennsylvania trust law, as they relate to the Commonwealth’s public natural resources.  The Court also noted that the individual rights of citizens to clean air, pure water, and to the preservation of natural, scenic, historic, and esthetic values of the environment may be subject to reasonable regulation.  </w:t>
      </w:r>
      <w:r w:rsidR="005E6E7D" w:rsidRPr="000B63C6">
        <w:rPr>
          <w:i/>
          <w:szCs w:val="26"/>
        </w:rPr>
        <w:t>PEDF</w:t>
      </w:r>
      <w:r w:rsidR="005E6E7D" w:rsidRPr="000B63C6">
        <w:rPr>
          <w:szCs w:val="26"/>
        </w:rPr>
        <w:t xml:space="preserve">, 161 A.3d at 931.  Our siting Regulations are in accord with the Environmental Rights Amendment by requiring that the environmental impact of the proposed transmission siting route be minimized.  </w:t>
      </w:r>
      <w:r w:rsidR="005E6E7D" w:rsidRPr="000B63C6">
        <w:rPr>
          <w:i/>
          <w:szCs w:val="26"/>
        </w:rPr>
        <w:t xml:space="preserve">See </w:t>
      </w:r>
      <w:r w:rsidR="005E6E7D" w:rsidRPr="000B63C6">
        <w:rPr>
          <w:szCs w:val="26"/>
        </w:rPr>
        <w:t>52 Pa. Code §§ 57.75 and 57.76.</w:t>
      </w:r>
    </w:p>
    <w:p w14:paraId="2A7EE227" w14:textId="77777777" w:rsidR="005E6E7D" w:rsidRPr="000B63C6" w:rsidRDefault="005E6E7D" w:rsidP="00C66AB2">
      <w:pPr>
        <w:overflowPunct/>
        <w:autoSpaceDE/>
        <w:autoSpaceDN/>
        <w:adjustRightInd/>
        <w:spacing w:line="360" w:lineRule="auto"/>
        <w:ind w:firstLine="720"/>
        <w:textAlignment w:val="auto"/>
        <w:rPr>
          <w:i/>
          <w:szCs w:val="26"/>
        </w:rPr>
      </w:pPr>
    </w:p>
    <w:p w14:paraId="27F6F436" w14:textId="7D0E5299" w:rsidR="00C66AB2" w:rsidRPr="000B63C6" w:rsidRDefault="00A20322" w:rsidP="00C66AB2">
      <w:pPr>
        <w:overflowPunct/>
        <w:autoSpaceDE/>
        <w:autoSpaceDN/>
        <w:adjustRightInd/>
        <w:spacing w:line="360" w:lineRule="auto"/>
        <w:ind w:firstLine="720"/>
        <w:textAlignment w:val="auto"/>
        <w:rPr>
          <w:bCs/>
          <w:szCs w:val="26"/>
        </w:rPr>
      </w:pPr>
      <w:r w:rsidRPr="000B63C6">
        <w:rPr>
          <w:bCs/>
          <w:szCs w:val="26"/>
        </w:rPr>
        <w:tab/>
      </w:r>
      <w:r w:rsidR="00C66AB2" w:rsidRPr="000B63C6">
        <w:rPr>
          <w:bCs/>
          <w:szCs w:val="26"/>
        </w:rPr>
        <w:t xml:space="preserve">Specifically, the Commission’s </w:t>
      </w:r>
      <w:r w:rsidRPr="000B63C6">
        <w:rPr>
          <w:bCs/>
          <w:szCs w:val="26"/>
        </w:rPr>
        <w:t>R</w:t>
      </w:r>
      <w:r w:rsidR="00C66AB2" w:rsidRPr="000B63C6">
        <w:rPr>
          <w:bCs/>
          <w:szCs w:val="26"/>
        </w:rPr>
        <w:t xml:space="preserve">egulations </w:t>
      </w:r>
      <w:r w:rsidR="000B63C6" w:rsidRPr="000B63C6">
        <w:rPr>
          <w:bCs/>
          <w:szCs w:val="26"/>
        </w:rPr>
        <w:t xml:space="preserve">provide for </w:t>
      </w:r>
      <w:r w:rsidR="00C66AB2" w:rsidRPr="000B63C6">
        <w:rPr>
          <w:bCs/>
          <w:szCs w:val="26"/>
        </w:rPr>
        <w:t xml:space="preserve">the review of evidence regarding the necessity and safety of the proposed line, and the impact on, and mitigation of effects on several criteria including land use, soil and sedimentation, plant and wildlife habitats, terrain, hydrology, landscape, scenic rivers and archaeologic, geologic, historic, scenic and wilderness areas. </w:t>
      </w:r>
      <w:r w:rsidRPr="000B63C6">
        <w:rPr>
          <w:bCs/>
          <w:szCs w:val="26"/>
        </w:rPr>
        <w:t xml:space="preserve"> </w:t>
      </w:r>
      <w:r w:rsidR="00C66AB2" w:rsidRPr="000B63C6">
        <w:rPr>
          <w:bCs/>
          <w:szCs w:val="26"/>
        </w:rPr>
        <w:t xml:space="preserve">In addition, the Commission will consider evidence regarding reasonable alternative routes. </w:t>
      </w:r>
      <w:r w:rsidRPr="000B63C6">
        <w:rPr>
          <w:bCs/>
          <w:szCs w:val="26"/>
        </w:rPr>
        <w:t xml:space="preserve"> </w:t>
      </w:r>
      <w:r w:rsidR="005D29B5" w:rsidRPr="000B63C6">
        <w:rPr>
          <w:bCs/>
          <w:szCs w:val="26"/>
        </w:rPr>
        <w:t>O</w:t>
      </w:r>
      <w:r w:rsidRPr="000B63C6">
        <w:rPr>
          <w:bCs/>
          <w:szCs w:val="26"/>
        </w:rPr>
        <w:t>ur R</w:t>
      </w:r>
      <w:r w:rsidR="00C66AB2" w:rsidRPr="000B63C6">
        <w:rPr>
          <w:bCs/>
          <w:szCs w:val="26"/>
        </w:rPr>
        <w:t>egulations require</w:t>
      </w:r>
      <w:r w:rsidR="005D29B5" w:rsidRPr="000B63C6">
        <w:rPr>
          <w:bCs/>
          <w:szCs w:val="26"/>
        </w:rPr>
        <w:t>, that after review of the evidence,</w:t>
      </w:r>
      <w:r w:rsidR="00C66AB2" w:rsidRPr="000B63C6">
        <w:rPr>
          <w:bCs/>
          <w:szCs w:val="26"/>
        </w:rPr>
        <w:t xml:space="preserve"> no order will be issued granting an application unless </w:t>
      </w:r>
      <w:r w:rsidRPr="000B63C6">
        <w:rPr>
          <w:bCs/>
          <w:szCs w:val="26"/>
        </w:rPr>
        <w:t xml:space="preserve">the Commission </w:t>
      </w:r>
      <w:r w:rsidR="00C66AB2" w:rsidRPr="000B63C6">
        <w:rPr>
          <w:bCs/>
          <w:szCs w:val="26"/>
        </w:rPr>
        <w:t xml:space="preserve">finds that there is a need for the line, that it will not create an unreasonable risk of danger to the health and safety of the public, that it is in compliance with applicable law for the protection of the natural resources of this Commonwealth, and that it will have a minimum environmental impact. </w:t>
      </w:r>
    </w:p>
    <w:p w14:paraId="480395AE" w14:textId="77777777" w:rsidR="00C66AB2" w:rsidRPr="000B63C6" w:rsidRDefault="00C66AB2" w:rsidP="00C66AB2">
      <w:pPr>
        <w:overflowPunct/>
        <w:autoSpaceDE/>
        <w:autoSpaceDN/>
        <w:adjustRightInd/>
        <w:spacing w:line="360" w:lineRule="auto"/>
        <w:textAlignment w:val="auto"/>
        <w:rPr>
          <w:bCs/>
          <w:szCs w:val="26"/>
        </w:rPr>
      </w:pPr>
    </w:p>
    <w:p w14:paraId="4C921ACA" w14:textId="2D19234A" w:rsidR="00C66AB2" w:rsidRPr="000B63C6" w:rsidRDefault="00C66AB2" w:rsidP="00C66AB2">
      <w:pPr>
        <w:overflowPunct/>
        <w:autoSpaceDE/>
        <w:autoSpaceDN/>
        <w:adjustRightInd/>
        <w:spacing w:line="360" w:lineRule="auto"/>
        <w:textAlignment w:val="auto"/>
        <w:rPr>
          <w:bCs/>
          <w:szCs w:val="26"/>
        </w:rPr>
      </w:pPr>
      <w:r w:rsidRPr="000B63C6">
        <w:rPr>
          <w:bCs/>
          <w:szCs w:val="26"/>
        </w:rPr>
        <w:tab/>
      </w:r>
      <w:r w:rsidR="00A20322" w:rsidRPr="000B63C6">
        <w:rPr>
          <w:bCs/>
          <w:szCs w:val="26"/>
        </w:rPr>
        <w:tab/>
      </w:r>
      <w:r w:rsidRPr="000B63C6">
        <w:rPr>
          <w:bCs/>
          <w:szCs w:val="26"/>
        </w:rPr>
        <w:t>The Commission’s regulatory scheme for high-voltage line transmission siting cases</w:t>
      </w:r>
      <w:r w:rsidR="00A20322" w:rsidRPr="000B63C6">
        <w:rPr>
          <w:bCs/>
          <w:szCs w:val="26"/>
        </w:rPr>
        <w:t>,</w:t>
      </w:r>
      <w:r w:rsidRPr="000B63C6">
        <w:rPr>
          <w:bCs/>
          <w:szCs w:val="26"/>
        </w:rPr>
        <w:t xml:space="preserve"> therefore</w:t>
      </w:r>
      <w:r w:rsidR="00A20322" w:rsidRPr="000B63C6">
        <w:rPr>
          <w:bCs/>
          <w:szCs w:val="26"/>
        </w:rPr>
        <w:t>,</w:t>
      </w:r>
      <w:r w:rsidRPr="000B63C6">
        <w:rPr>
          <w:bCs/>
          <w:szCs w:val="26"/>
        </w:rPr>
        <w:t xml:space="preserve"> provides for a robust, evidence-based deliberative process that provides due process for all interested parties. </w:t>
      </w:r>
      <w:r w:rsidR="00A20322" w:rsidRPr="000B63C6">
        <w:rPr>
          <w:bCs/>
          <w:szCs w:val="26"/>
        </w:rPr>
        <w:t xml:space="preserve"> </w:t>
      </w:r>
      <w:r w:rsidRPr="000B63C6">
        <w:rPr>
          <w:bCs/>
          <w:szCs w:val="26"/>
        </w:rPr>
        <w:t xml:space="preserve">The Commission, consistent with </w:t>
      </w:r>
      <w:r w:rsidR="00FA517B" w:rsidRPr="000B63C6">
        <w:rPr>
          <w:bCs/>
          <w:szCs w:val="26"/>
        </w:rPr>
        <w:t>our</w:t>
      </w:r>
      <w:r w:rsidRPr="000B63C6">
        <w:rPr>
          <w:bCs/>
          <w:szCs w:val="26"/>
        </w:rPr>
        <w:t xml:space="preserve"> role as a fiduciary responsible for the preservation of the Commonwealth’s natural resources, and consistent with </w:t>
      </w:r>
      <w:r w:rsidR="00FA517B" w:rsidRPr="000B63C6">
        <w:rPr>
          <w:bCs/>
          <w:i/>
          <w:szCs w:val="26"/>
        </w:rPr>
        <w:t>PEDF</w:t>
      </w:r>
      <w:r w:rsidRPr="000B63C6">
        <w:rPr>
          <w:bCs/>
          <w:szCs w:val="26"/>
        </w:rPr>
        <w:t xml:space="preserve">, acts with prudence, loyalty and impartiality when </w:t>
      </w:r>
      <w:r w:rsidR="005D29B5" w:rsidRPr="000B63C6">
        <w:rPr>
          <w:bCs/>
          <w:szCs w:val="26"/>
        </w:rPr>
        <w:t>a</w:t>
      </w:r>
      <w:r w:rsidRPr="000B63C6">
        <w:rPr>
          <w:bCs/>
          <w:szCs w:val="26"/>
        </w:rPr>
        <w:t>dher</w:t>
      </w:r>
      <w:r w:rsidR="005D29B5" w:rsidRPr="000B63C6">
        <w:rPr>
          <w:bCs/>
          <w:szCs w:val="26"/>
        </w:rPr>
        <w:t>ing</w:t>
      </w:r>
      <w:r w:rsidRPr="000B63C6">
        <w:rPr>
          <w:bCs/>
          <w:szCs w:val="26"/>
        </w:rPr>
        <w:t xml:space="preserve"> to these regulations. </w:t>
      </w:r>
      <w:r w:rsidR="00FA517B" w:rsidRPr="000B63C6">
        <w:rPr>
          <w:bCs/>
          <w:szCs w:val="26"/>
        </w:rPr>
        <w:t xml:space="preserve"> </w:t>
      </w:r>
      <w:r w:rsidRPr="000B63C6">
        <w:rPr>
          <w:bCs/>
          <w:szCs w:val="26"/>
        </w:rPr>
        <w:t xml:space="preserve">In this manner, </w:t>
      </w:r>
      <w:r w:rsidR="00FA517B" w:rsidRPr="000B63C6">
        <w:rPr>
          <w:bCs/>
          <w:szCs w:val="26"/>
        </w:rPr>
        <w:t>we</w:t>
      </w:r>
      <w:r w:rsidRPr="000B63C6">
        <w:rPr>
          <w:bCs/>
          <w:szCs w:val="26"/>
        </w:rPr>
        <w:t xml:space="preserve"> fulfill</w:t>
      </w:r>
      <w:r w:rsidR="00FA517B" w:rsidRPr="000B63C6">
        <w:rPr>
          <w:bCs/>
          <w:szCs w:val="26"/>
        </w:rPr>
        <w:t xml:space="preserve"> our</w:t>
      </w:r>
      <w:r w:rsidRPr="000B63C6">
        <w:rPr>
          <w:bCs/>
          <w:szCs w:val="26"/>
        </w:rPr>
        <w:t xml:space="preserve"> responsibili</w:t>
      </w:r>
      <w:r w:rsidR="00FA517B" w:rsidRPr="000B63C6">
        <w:rPr>
          <w:bCs/>
          <w:szCs w:val="26"/>
        </w:rPr>
        <w:t xml:space="preserve">ty </w:t>
      </w:r>
      <w:r w:rsidRPr="000B63C6">
        <w:rPr>
          <w:bCs/>
          <w:szCs w:val="26"/>
        </w:rPr>
        <w:t xml:space="preserve">to protect the public’s natural resources from depletion or degradation, while also allowing legitimate development that improves the lot of Pennsylvania’s citizenry, as the </w:t>
      </w:r>
      <w:r w:rsidR="00FA517B" w:rsidRPr="000B63C6">
        <w:rPr>
          <w:bCs/>
          <w:szCs w:val="26"/>
        </w:rPr>
        <w:t xml:space="preserve">Pennsylvania </w:t>
      </w:r>
      <w:r w:rsidRPr="000B63C6">
        <w:rPr>
          <w:bCs/>
          <w:szCs w:val="26"/>
        </w:rPr>
        <w:t xml:space="preserve">Supreme Court recognized in </w:t>
      </w:r>
      <w:r w:rsidRPr="000B63C6">
        <w:rPr>
          <w:bCs/>
          <w:i/>
          <w:szCs w:val="26"/>
        </w:rPr>
        <w:t xml:space="preserve">Robinson Township v. </w:t>
      </w:r>
      <w:r w:rsidRPr="000B63C6">
        <w:rPr>
          <w:bCs/>
          <w:szCs w:val="26"/>
        </w:rPr>
        <w:t xml:space="preserve"> </w:t>
      </w:r>
      <w:r w:rsidRPr="000B63C6">
        <w:rPr>
          <w:bCs/>
          <w:i/>
          <w:szCs w:val="26"/>
        </w:rPr>
        <w:t>Com</w:t>
      </w:r>
      <w:r w:rsidR="00FA517B" w:rsidRPr="000B63C6">
        <w:rPr>
          <w:bCs/>
          <w:i/>
          <w:szCs w:val="26"/>
        </w:rPr>
        <w:t>. of Pa.</w:t>
      </w:r>
      <w:r w:rsidRPr="000B63C6">
        <w:rPr>
          <w:bCs/>
          <w:szCs w:val="26"/>
        </w:rPr>
        <w:t xml:space="preserve">, </w:t>
      </w:r>
      <w:r w:rsidR="00FA517B" w:rsidRPr="000B63C6">
        <w:rPr>
          <w:bCs/>
          <w:szCs w:val="26"/>
        </w:rPr>
        <w:t>623 Pa. 564, 65</w:t>
      </w:r>
      <w:r w:rsidR="00BB7E04" w:rsidRPr="000B63C6">
        <w:rPr>
          <w:bCs/>
          <w:szCs w:val="26"/>
        </w:rPr>
        <w:t>8</w:t>
      </w:r>
      <w:r w:rsidR="00FA517B" w:rsidRPr="000B63C6">
        <w:rPr>
          <w:bCs/>
          <w:szCs w:val="26"/>
        </w:rPr>
        <w:t xml:space="preserve">, </w:t>
      </w:r>
      <w:r w:rsidRPr="000B63C6">
        <w:rPr>
          <w:bCs/>
          <w:szCs w:val="26"/>
        </w:rPr>
        <w:t>83 A.3d 901, 958</w:t>
      </w:r>
      <w:r w:rsidR="00BB7E04" w:rsidRPr="000B63C6">
        <w:rPr>
          <w:bCs/>
          <w:szCs w:val="26"/>
        </w:rPr>
        <w:t xml:space="preserve"> (2013)</w:t>
      </w:r>
      <w:r w:rsidRPr="000B63C6">
        <w:rPr>
          <w:bCs/>
          <w:szCs w:val="26"/>
        </w:rPr>
        <w:t>.</w:t>
      </w:r>
      <w:r w:rsidRPr="000B63C6">
        <w:rPr>
          <w:color w:val="373739"/>
          <w:szCs w:val="26"/>
        </w:rPr>
        <w:t xml:space="preserve"> </w:t>
      </w:r>
      <w:r w:rsidRPr="000B63C6">
        <w:rPr>
          <w:bCs/>
          <w:szCs w:val="26"/>
        </w:rPr>
        <w:t xml:space="preserve"> </w:t>
      </w:r>
    </w:p>
    <w:p w14:paraId="1C1A8469" w14:textId="77777777" w:rsidR="00C66AB2" w:rsidRPr="000B63C6" w:rsidRDefault="00C66AB2" w:rsidP="00C66AB2">
      <w:pPr>
        <w:overflowPunct/>
        <w:autoSpaceDE/>
        <w:autoSpaceDN/>
        <w:adjustRightInd/>
        <w:spacing w:line="360" w:lineRule="auto"/>
        <w:textAlignment w:val="auto"/>
        <w:rPr>
          <w:bCs/>
          <w:szCs w:val="26"/>
        </w:rPr>
      </w:pPr>
    </w:p>
    <w:p w14:paraId="40567F7E" w14:textId="382ABCD8" w:rsidR="00C66AB2" w:rsidRPr="000B63C6" w:rsidRDefault="00C66AB2" w:rsidP="00C66AB2">
      <w:pPr>
        <w:overflowPunct/>
        <w:autoSpaceDE/>
        <w:autoSpaceDN/>
        <w:adjustRightInd/>
        <w:spacing w:line="360" w:lineRule="auto"/>
        <w:textAlignment w:val="auto"/>
        <w:rPr>
          <w:bCs/>
          <w:szCs w:val="26"/>
        </w:rPr>
      </w:pPr>
      <w:r w:rsidRPr="000B63C6">
        <w:rPr>
          <w:bCs/>
          <w:szCs w:val="26"/>
        </w:rPr>
        <w:tab/>
      </w:r>
      <w:r w:rsidR="00F76D4B" w:rsidRPr="000B63C6">
        <w:rPr>
          <w:bCs/>
          <w:szCs w:val="26"/>
        </w:rPr>
        <w:tab/>
        <w:t xml:space="preserve">We </w:t>
      </w:r>
      <w:r w:rsidRPr="000B63C6">
        <w:rPr>
          <w:bCs/>
          <w:szCs w:val="26"/>
        </w:rPr>
        <w:t>conclude that the evidentiary record</w:t>
      </w:r>
      <w:r w:rsidR="005D29B5" w:rsidRPr="000B63C6">
        <w:rPr>
          <w:bCs/>
          <w:szCs w:val="26"/>
        </w:rPr>
        <w:t xml:space="preserve"> in this proceeding</w:t>
      </w:r>
      <w:r w:rsidRPr="000B63C6">
        <w:rPr>
          <w:bCs/>
          <w:szCs w:val="26"/>
        </w:rPr>
        <w:t xml:space="preserve">, the process used to evaluate it, and the approval of this project </w:t>
      </w:r>
      <w:r w:rsidR="00F76D4B" w:rsidRPr="000B63C6">
        <w:rPr>
          <w:bCs/>
          <w:szCs w:val="26"/>
        </w:rPr>
        <w:t>are</w:t>
      </w:r>
      <w:r w:rsidRPr="000B63C6">
        <w:rPr>
          <w:bCs/>
          <w:szCs w:val="26"/>
        </w:rPr>
        <w:t xml:space="preserve"> fully consistent with the Environmental Rights Amendment and the Supreme Court’s </w:t>
      </w:r>
      <w:r w:rsidR="00F76D4B" w:rsidRPr="000B63C6">
        <w:rPr>
          <w:bCs/>
          <w:szCs w:val="26"/>
        </w:rPr>
        <w:t>o</w:t>
      </w:r>
      <w:r w:rsidRPr="000B63C6">
        <w:rPr>
          <w:bCs/>
          <w:szCs w:val="26"/>
        </w:rPr>
        <w:t>pinion</w:t>
      </w:r>
      <w:r w:rsidR="00F76D4B" w:rsidRPr="000B63C6">
        <w:rPr>
          <w:bCs/>
          <w:szCs w:val="26"/>
        </w:rPr>
        <w:t xml:space="preserve"> in </w:t>
      </w:r>
      <w:r w:rsidR="00F76D4B" w:rsidRPr="000B63C6">
        <w:rPr>
          <w:bCs/>
          <w:i/>
          <w:szCs w:val="26"/>
        </w:rPr>
        <w:t>PEDF</w:t>
      </w:r>
      <w:r w:rsidRPr="000B63C6">
        <w:rPr>
          <w:bCs/>
          <w:szCs w:val="26"/>
        </w:rPr>
        <w:t>.</w:t>
      </w:r>
    </w:p>
    <w:p w14:paraId="5165EC53" w14:textId="77777777" w:rsidR="00C66AB2" w:rsidRPr="000B63C6" w:rsidRDefault="00C66AB2" w:rsidP="00C66AB2">
      <w:pPr>
        <w:overflowPunct/>
        <w:autoSpaceDE/>
        <w:autoSpaceDN/>
        <w:adjustRightInd/>
        <w:spacing w:line="360" w:lineRule="auto"/>
        <w:textAlignment w:val="auto"/>
        <w:rPr>
          <w:bCs/>
          <w:szCs w:val="26"/>
        </w:rPr>
      </w:pPr>
    </w:p>
    <w:p w14:paraId="360991C6" w14:textId="36679E95" w:rsidR="00C66AB2" w:rsidRPr="000B63C6" w:rsidRDefault="00F76D4B" w:rsidP="00C66AB2">
      <w:pPr>
        <w:overflowPunct/>
        <w:autoSpaceDE/>
        <w:autoSpaceDN/>
        <w:adjustRightInd/>
        <w:spacing w:line="360" w:lineRule="auto"/>
        <w:ind w:firstLine="720"/>
        <w:textAlignment w:val="auto"/>
        <w:rPr>
          <w:bCs/>
          <w:szCs w:val="26"/>
        </w:rPr>
      </w:pPr>
      <w:r w:rsidRPr="000B63C6">
        <w:rPr>
          <w:bCs/>
          <w:szCs w:val="26"/>
        </w:rPr>
        <w:tab/>
      </w:r>
      <w:r w:rsidR="00C66AB2" w:rsidRPr="000B63C6">
        <w:rPr>
          <w:bCs/>
          <w:szCs w:val="26"/>
        </w:rPr>
        <w:t xml:space="preserve">Having addressed the main point of concern, the Recommended Decision requires </w:t>
      </w:r>
      <w:r w:rsidRPr="000B63C6">
        <w:rPr>
          <w:bCs/>
          <w:szCs w:val="26"/>
        </w:rPr>
        <w:t>two</w:t>
      </w:r>
      <w:r w:rsidR="00C66AB2" w:rsidRPr="000B63C6">
        <w:rPr>
          <w:bCs/>
          <w:szCs w:val="26"/>
        </w:rPr>
        <w:t xml:space="preserve"> other modifications. </w:t>
      </w:r>
      <w:r w:rsidRPr="000B63C6">
        <w:rPr>
          <w:bCs/>
          <w:szCs w:val="26"/>
        </w:rPr>
        <w:t xml:space="preserve"> </w:t>
      </w:r>
      <w:r w:rsidR="00C66AB2" w:rsidRPr="000B63C6">
        <w:rPr>
          <w:bCs/>
          <w:szCs w:val="26"/>
        </w:rPr>
        <w:t xml:space="preserve">First, the reference to “PPL” on page 86 of the </w:t>
      </w:r>
      <w:r w:rsidRPr="000B63C6">
        <w:rPr>
          <w:bCs/>
          <w:szCs w:val="26"/>
        </w:rPr>
        <w:t>Recommended Decision</w:t>
      </w:r>
      <w:r w:rsidR="00C66AB2" w:rsidRPr="000B63C6">
        <w:rPr>
          <w:bCs/>
          <w:szCs w:val="26"/>
        </w:rPr>
        <w:t xml:space="preserve"> is incorrect and should be replaced with “Applicant.”  </w:t>
      </w:r>
      <w:r w:rsidRPr="000B63C6">
        <w:rPr>
          <w:bCs/>
          <w:szCs w:val="26"/>
        </w:rPr>
        <w:t>Second</w:t>
      </w:r>
      <w:r w:rsidR="00C66AB2" w:rsidRPr="000B63C6">
        <w:rPr>
          <w:bCs/>
          <w:szCs w:val="26"/>
        </w:rPr>
        <w:t xml:space="preserve">, approval of the Application should be conditioned on requiring MAIT, as successor in interest to </w:t>
      </w:r>
      <w:proofErr w:type="spellStart"/>
      <w:r w:rsidRPr="000B63C6">
        <w:rPr>
          <w:bCs/>
          <w:szCs w:val="26"/>
        </w:rPr>
        <w:t>Penelec</w:t>
      </w:r>
      <w:proofErr w:type="spellEnd"/>
      <w:r w:rsidR="00C66AB2" w:rsidRPr="000B63C6">
        <w:rPr>
          <w:bCs/>
          <w:szCs w:val="26"/>
        </w:rPr>
        <w:t xml:space="preserve">, to comply with </w:t>
      </w:r>
      <w:proofErr w:type="gramStart"/>
      <w:r w:rsidR="00C66AB2" w:rsidRPr="000B63C6">
        <w:rPr>
          <w:bCs/>
          <w:szCs w:val="26"/>
        </w:rPr>
        <w:t>any and all</w:t>
      </w:r>
      <w:proofErr w:type="gramEnd"/>
      <w:r w:rsidR="00C66AB2" w:rsidRPr="000B63C6">
        <w:rPr>
          <w:bCs/>
          <w:szCs w:val="26"/>
        </w:rPr>
        <w:t xml:space="preserve"> permit requirements received from any agency or entity from which a permit is required in order to construct the project.</w:t>
      </w:r>
      <w:r w:rsidR="00C66AB2" w:rsidRPr="000B63C6">
        <w:rPr>
          <w:bCs/>
          <w:szCs w:val="26"/>
          <w:vertAlign w:val="superscript"/>
        </w:rPr>
        <w:footnoteReference w:id="6"/>
      </w:r>
    </w:p>
    <w:p w14:paraId="07A3358A" w14:textId="77777777" w:rsidR="000B63C6" w:rsidRDefault="000B63C6" w:rsidP="00640174">
      <w:pPr>
        <w:pStyle w:val="ListParagraph"/>
        <w:spacing w:line="360" w:lineRule="auto"/>
        <w:ind w:left="0"/>
        <w:jc w:val="center"/>
        <w:rPr>
          <w:b/>
          <w:szCs w:val="26"/>
        </w:rPr>
      </w:pPr>
    </w:p>
    <w:p w14:paraId="177B3AF0" w14:textId="4CD44D38" w:rsidR="00EB6BF9" w:rsidRPr="000B63C6" w:rsidRDefault="00EB6BF9" w:rsidP="00640174">
      <w:pPr>
        <w:pStyle w:val="ListParagraph"/>
        <w:spacing w:line="360" w:lineRule="auto"/>
        <w:ind w:left="0"/>
        <w:jc w:val="center"/>
        <w:rPr>
          <w:b/>
          <w:szCs w:val="26"/>
        </w:rPr>
      </w:pPr>
      <w:r w:rsidRPr="000B63C6">
        <w:rPr>
          <w:b/>
          <w:szCs w:val="26"/>
        </w:rPr>
        <w:t>Conclusion</w:t>
      </w:r>
    </w:p>
    <w:p w14:paraId="6D90B5EB" w14:textId="77777777" w:rsidR="00A4385E" w:rsidRPr="000B63C6" w:rsidRDefault="00A4385E" w:rsidP="00A4385E">
      <w:pPr>
        <w:spacing w:line="360" w:lineRule="auto"/>
        <w:ind w:firstLine="1440"/>
        <w:rPr>
          <w:szCs w:val="26"/>
        </w:rPr>
      </w:pPr>
    </w:p>
    <w:p w14:paraId="639FE311" w14:textId="2E76E347" w:rsidR="00A4385E" w:rsidRPr="000B63C6" w:rsidRDefault="00A4385E" w:rsidP="00A4385E">
      <w:pPr>
        <w:spacing w:line="360" w:lineRule="auto"/>
        <w:ind w:firstLine="1440"/>
        <w:rPr>
          <w:szCs w:val="26"/>
        </w:rPr>
      </w:pPr>
      <w:r w:rsidRPr="000B63C6">
        <w:rPr>
          <w:szCs w:val="26"/>
        </w:rPr>
        <w:t xml:space="preserve">Based upon the foregoing discussion, we shall </w:t>
      </w:r>
      <w:r w:rsidR="0011021D" w:rsidRPr="000B63C6">
        <w:rPr>
          <w:szCs w:val="26"/>
        </w:rPr>
        <w:t>adopt the ALJ</w:t>
      </w:r>
      <w:r w:rsidR="00640174" w:rsidRPr="000B63C6">
        <w:rPr>
          <w:szCs w:val="26"/>
        </w:rPr>
        <w:t>’</w:t>
      </w:r>
      <w:r w:rsidR="0011021D" w:rsidRPr="000B63C6">
        <w:rPr>
          <w:szCs w:val="26"/>
        </w:rPr>
        <w:t>s recommendations</w:t>
      </w:r>
      <w:r w:rsidR="00007068" w:rsidRPr="000B63C6">
        <w:rPr>
          <w:szCs w:val="26"/>
        </w:rPr>
        <w:t>,</w:t>
      </w:r>
      <w:r w:rsidRPr="000B63C6">
        <w:rPr>
          <w:szCs w:val="26"/>
        </w:rPr>
        <w:t xml:space="preserve"> </w:t>
      </w:r>
      <w:r w:rsidR="00095C5D" w:rsidRPr="000B63C6">
        <w:rPr>
          <w:szCs w:val="26"/>
        </w:rPr>
        <w:t xml:space="preserve">as </w:t>
      </w:r>
      <w:r w:rsidR="002F2605" w:rsidRPr="000B63C6">
        <w:rPr>
          <w:szCs w:val="26"/>
        </w:rPr>
        <w:t>modifi</w:t>
      </w:r>
      <w:r w:rsidR="00095C5D" w:rsidRPr="000B63C6">
        <w:rPr>
          <w:szCs w:val="26"/>
        </w:rPr>
        <w:t xml:space="preserve">ed, </w:t>
      </w:r>
      <w:r w:rsidR="0011021D" w:rsidRPr="000B63C6">
        <w:rPr>
          <w:szCs w:val="26"/>
        </w:rPr>
        <w:t xml:space="preserve">to the extent </w:t>
      </w:r>
      <w:r w:rsidRPr="000B63C6">
        <w:rPr>
          <w:szCs w:val="26"/>
        </w:rPr>
        <w:t xml:space="preserve">consistent </w:t>
      </w:r>
      <w:r w:rsidR="002F2605" w:rsidRPr="000B63C6">
        <w:rPr>
          <w:szCs w:val="26"/>
        </w:rPr>
        <w:t xml:space="preserve">with </w:t>
      </w:r>
      <w:r w:rsidR="0011021D" w:rsidRPr="000B63C6">
        <w:rPr>
          <w:szCs w:val="26"/>
        </w:rPr>
        <w:t>this Opinion and Order</w:t>
      </w:r>
      <w:r w:rsidRPr="000B63C6">
        <w:rPr>
          <w:szCs w:val="26"/>
        </w:rPr>
        <w:t xml:space="preserve">; </w:t>
      </w:r>
      <w:r w:rsidRPr="000B63C6">
        <w:rPr>
          <w:b/>
          <w:szCs w:val="26"/>
        </w:rPr>
        <w:t>THEREFORE,</w:t>
      </w:r>
      <w:r w:rsidRPr="000B63C6">
        <w:rPr>
          <w:szCs w:val="26"/>
        </w:rPr>
        <w:t xml:space="preserve"> </w:t>
      </w:r>
    </w:p>
    <w:p w14:paraId="07D6F632" w14:textId="77777777" w:rsidR="00A4385E" w:rsidRPr="000B63C6" w:rsidRDefault="00A4385E" w:rsidP="00A4385E">
      <w:pPr>
        <w:rPr>
          <w:szCs w:val="26"/>
        </w:rPr>
      </w:pPr>
    </w:p>
    <w:p w14:paraId="5CAF88AC" w14:textId="77777777" w:rsidR="00A4385E" w:rsidRPr="000B63C6" w:rsidRDefault="00A4385E" w:rsidP="00A4385E">
      <w:pPr>
        <w:ind w:firstLine="1440"/>
        <w:rPr>
          <w:b/>
          <w:szCs w:val="26"/>
        </w:rPr>
      </w:pPr>
      <w:r w:rsidRPr="000B63C6">
        <w:rPr>
          <w:b/>
          <w:szCs w:val="26"/>
        </w:rPr>
        <w:t>IT IS ORDERED:</w:t>
      </w:r>
    </w:p>
    <w:p w14:paraId="551B0447" w14:textId="77777777" w:rsidR="00034A06" w:rsidRPr="000B63C6" w:rsidRDefault="00034A06" w:rsidP="00A4385E">
      <w:pPr>
        <w:ind w:firstLine="1440"/>
        <w:rPr>
          <w:b/>
          <w:szCs w:val="26"/>
        </w:rPr>
      </w:pPr>
    </w:p>
    <w:p w14:paraId="087FF0D0" w14:textId="77777777" w:rsidR="00A4385E" w:rsidRPr="000B63C6" w:rsidRDefault="00A4385E" w:rsidP="00A4385E">
      <w:pPr>
        <w:rPr>
          <w:szCs w:val="26"/>
        </w:rPr>
      </w:pPr>
    </w:p>
    <w:p w14:paraId="2F4606F3" w14:textId="124E701B" w:rsidR="00A4385E" w:rsidRPr="000B63C6" w:rsidRDefault="00007068" w:rsidP="00007068">
      <w:pPr>
        <w:widowControl w:val="0"/>
        <w:numPr>
          <w:ilvl w:val="0"/>
          <w:numId w:val="5"/>
        </w:numPr>
        <w:tabs>
          <w:tab w:val="clear" w:pos="2160"/>
          <w:tab w:val="num" w:pos="0"/>
        </w:tabs>
        <w:overflowPunct/>
        <w:autoSpaceDE/>
        <w:autoSpaceDN/>
        <w:adjustRightInd/>
        <w:spacing w:line="360" w:lineRule="auto"/>
        <w:ind w:left="0" w:firstLine="1440"/>
        <w:textAlignment w:val="auto"/>
        <w:rPr>
          <w:szCs w:val="26"/>
        </w:rPr>
      </w:pPr>
      <w:r w:rsidRPr="000B63C6">
        <w:rPr>
          <w:szCs w:val="26"/>
        </w:rPr>
        <w:t>That the</w:t>
      </w:r>
      <w:r w:rsidR="00A4385E" w:rsidRPr="000B63C6">
        <w:rPr>
          <w:szCs w:val="26"/>
        </w:rPr>
        <w:t xml:space="preserve"> </w:t>
      </w:r>
      <w:r w:rsidR="00124884" w:rsidRPr="000B63C6">
        <w:rPr>
          <w:szCs w:val="26"/>
        </w:rPr>
        <w:t>Recommended</w:t>
      </w:r>
      <w:r w:rsidR="00A4385E" w:rsidRPr="000B63C6">
        <w:rPr>
          <w:szCs w:val="26"/>
        </w:rPr>
        <w:t xml:space="preserve"> Decision of Administrative Law Judge</w:t>
      </w:r>
      <w:r w:rsidR="00124884" w:rsidRPr="000B63C6">
        <w:rPr>
          <w:szCs w:val="26"/>
        </w:rPr>
        <w:t xml:space="preserve"> </w:t>
      </w:r>
      <w:r w:rsidR="001962AD" w:rsidRPr="000B63C6">
        <w:rPr>
          <w:szCs w:val="26"/>
        </w:rPr>
        <w:t>Jeffrey</w:t>
      </w:r>
      <w:r w:rsidR="004C7E3E">
        <w:rPr>
          <w:szCs w:val="26"/>
        </w:rPr>
        <w:t> </w:t>
      </w:r>
      <w:r w:rsidR="001962AD" w:rsidRPr="000B63C6">
        <w:rPr>
          <w:szCs w:val="26"/>
        </w:rPr>
        <w:t>A.</w:t>
      </w:r>
      <w:r w:rsidR="004C7E3E">
        <w:rPr>
          <w:szCs w:val="26"/>
        </w:rPr>
        <w:t> </w:t>
      </w:r>
      <w:r w:rsidR="001962AD" w:rsidRPr="000B63C6">
        <w:rPr>
          <w:szCs w:val="26"/>
        </w:rPr>
        <w:t>Watson</w:t>
      </w:r>
      <w:r w:rsidR="00124884" w:rsidRPr="000B63C6">
        <w:rPr>
          <w:szCs w:val="26"/>
        </w:rPr>
        <w:t xml:space="preserve">, issued on </w:t>
      </w:r>
      <w:r w:rsidR="001962AD" w:rsidRPr="000B63C6">
        <w:rPr>
          <w:szCs w:val="26"/>
        </w:rPr>
        <w:t>November 29, 2017</w:t>
      </w:r>
      <w:r w:rsidR="00124884" w:rsidRPr="000B63C6">
        <w:rPr>
          <w:szCs w:val="26"/>
        </w:rPr>
        <w:t xml:space="preserve">, </w:t>
      </w:r>
      <w:r w:rsidR="00A4385E" w:rsidRPr="000B63C6">
        <w:rPr>
          <w:szCs w:val="26"/>
        </w:rPr>
        <w:t xml:space="preserve">is </w:t>
      </w:r>
      <w:r w:rsidR="00970F04" w:rsidRPr="000B63C6">
        <w:rPr>
          <w:szCs w:val="26"/>
        </w:rPr>
        <w:t>adopted</w:t>
      </w:r>
      <w:r w:rsidR="00335855" w:rsidRPr="000B63C6">
        <w:rPr>
          <w:szCs w:val="26"/>
        </w:rPr>
        <w:t>,</w:t>
      </w:r>
      <w:r w:rsidR="00970F04" w:rsidRPr="000B63C6">
        <w:rPr>
          <w:szCs w:val="26"/>
        </w:rPr>
        <w:t xml:space="preserve"> as </w:t>
      </w:r>
      <w:r w:rsidR="00034A06" w:rsidRPr="000B63C6">
        <w:rPr>
          <w:szCs w:val="26"/>
        </w:rPr>
        <w:t>modifi</w:t>
      </w:r>
      <w:r w:rsidR="00970F04" w:rsidRPr="000B63C6">
        <w:rPr>
          <w:szCs w:val="26"/>
        </w:rPr>
        <w:t>ed</w:t>
      </w:r>
      <w:r w:rsidR="00A4385E" w:rsidRPr="000B63C6">
        <w:rPr>
          <w:szCs w:val="26"/>
        </w:rPr>
        <w:t>, consistent with this Opinion and Order.</w:t>
      </w:r>
    </w:p>
    <w:p w14:paraId="2C855246" w14:textId="77777777" w:rsidR="00007068" w:rsidRPr="000B63C6" w:rsidRDefault="00007068" w:rsidP="00A4385E">
      <w:pPr>
        <w:spacing w:line="360" w:lineRule="auto"/>
        <w:ind w:firstLine="1440"/>
        <w:rPr>
          <w:szCs w:val="26"/>
        </w:rPr>
      </w:pPr>
    </w:p>
    <w:p w14:paraId="3B74990D" w14:textId="5CF5F84C" w:rsidR="00B70D2E" w:rsidRPr="000B63C6" w:rsidRDefault="00124884" w:rsidP="00B70D2E">
      <w:pPr>
        <w:pStyle w:val="Default"/>
        <w:spacing w:line="360" w:lineRule="auto"/>
        <w:rPr>
          <w:sz w:val="26"/>
          <w:szCs w:val="26"/>
        </w:rPr>
      </w:pPr>
      <w:r w:rsidRPr="000B63C6">
        <w:rPr>
          <w:sz w:val="26"/>
          <w:szCs w:val="26"/>
        </w:rPr>
        <w:tab/>
      </w:r>
      <w:r w:rsidRPr="000B63C6">
        <w:rPr>
          <w:sz w:val="26"/>
          <w:szCs w:val="26"/>
        </w:rPr>
        <w:tab/>
      </w:r>
      <w:r w:rsidR="00B70D2E" w:rsidRPr="000B63C6">
        <w:rPr>
          <w:sz w:val="26"/>
          <w:szCs w:val="26"/>
        </w:rPr>
        <w:t xml:space="preserve">2. </w:t>
      </w:r>
      <w:r w:rsidR="00B70D2E" w:rsidRPr="000B63C6">
        <w:rPr>
          <w:sz w:val="26"/>
          <w:szCs w:val="26"/>
        </w:rPr>
        <w:tab/>
        <w:t xml:space="preserve">That the Application of Mid-Atlantic Transmission, LLC, </w:t>
      </w:r>
      <w:bookmarkStart w:id="2" w:name="_Hlk507668553"/>
      <w:r w:rsidR="000B63C6" w:rsidRPr="000B63C6">
        <w:rPr>
          <w:sz w:val="26"/>
          <w:szCs w:val="26"/>
        </w:rPr>
        <w:t>successor in interest to Pennsylvania Electric Company,</w:t>
      </w:r>
      <w:bookmarkEnd w:id="2"/>
      <w:r w:rsidR="000B63C6" w:rsidRPr="000B63C6">
        <w:rPr>
          <w:sz w:val="26"/>
          <w:szCs w:val="26"/>
        </w:rPr>
        <w:t xml:space="preserve"> </w:t>
      </w:r>
      <w:r w:rsidR="00B70D2E" w:rsidRPr="000B63C6">
        <w:rPr>
          <w:sz w:val="26"/>
          <w:szCs w:val="26"/>
        </w:rPr>
        <w:t>filed pursuant to 52 Pa.</w:t>
      </w:r>
      <w:r w:rsidR="00171CC3" w:rsidRPr="000B63C6">
        <w:rPr>
          <w:sz w:val="26"/>
          <w:szCs w:val="26"/>
        </w:rPr>
        <w:t xml:space="preserve"> </w:t>
      </w:r>
      <w:r w:rsidR="00B70D2E" w:rsidRPr="000B63C6">
        <w:rPr>
          <w:sz w:val="26"/>
          <w:szCs w:val="26"/>
        </w:rPr>
        <w:t xml:space="preserve">Code Chapter 57, Subchapter G, for approval to site, construct and operate the proposed Bedford North-Central City West 115 kV HV Transmission Line, at Docket No. A-2016-2565296, is granted, consistent with this Opinion and Order. </w:t>
      </w:r>
    </w:p>
    <w:p w14:paraId="032059C6" w14:textId="77777777" w:rsidR="00B70D2E" w:rsidRPr="000B63C6" w:rsidRDefault="00B70D2E" w:rsidP="00B70D2E">
      <w:pPr>
        <w:overflowPunct/>
        <w:spacing w:line="360" w:lineRule="auto"/>
        <w:textAlignment w:val="auto"/>
        <w:rPr>
          <w:rFonts w:eastAsiaTheme="minorHAnsi"/>
          <w:color w:val="000000"/>
          <w:szCs w:val="26"/>
        </w:rPr>
      </w:pPr>
    </w:p>
    <w:p w14:paraId="0B20B070" w14:textId="38A0F009" w:rsidR="00B70D2E" w:rsidRPr="000B63C6" w:rsidRDefault="00B70D2E" w:rsidP="00B70D2E">
      <w:pPr>
        <w:overflowPunct/>
        <w:spacing w:line="360" w:lineRule="auto"/>
        <w:textAlignment w:val="auto"/>
        <w:rPr>
          <w:rFonts w:eastAsiaTheme="minorHAnsi"/>
          <w:szCs w:val="26"/>
        </w:rPr>
      </w:pPr>
      <w:r w:rsidRPr="000B63C6">
        <w:rPr>
          <w:rFonts w:eastAsiaTheme="minorHAnsi"/>
          <w:color w:val="000000"/>
          <w:szCs w:val="26"/>
        </w:rPr>
        <w:tab/>
      </w:r>
      <w:r w:rsidRPr="000B63C6">
        <w:rPr>
          <w:rFonts w:eastAsiaTheme="minorHAnsi"/>
          <w:color w:val="000000"/>
          <w:szCs w:val="26"/>
        </w:rPr>
        <w:tab/>
        <w:t xml:space="preserve">3. </w:t>
      </w:r>
      <w:r w:rsidRPr="000B63C6">
        <w:rPr>
          <w:rFonts w:eastAsiaTheme="minorHAnsi"/>
          <w:color w:val="000000"/>
          <w:szCs w:val="26"/>
        </w:rPr>
        <w:tab/>
        <w:t xml:space="preserve">That the Application of Mid-Atlantic Transmission, LLC, </w:t>
      </w:r>
      <w:r w:rsidR="000B63C6" w:rsidRPr="000B63C6">
        <w:rPr>
          <w:rFonts w:eastAsiaTheme="minorHAnsi"/>
          <w:szCs w:val="26"/>
        </w:rPr>
        <w:t>successor in interest to Pennsylvania Electric Company</w:t>
      </w:r>
      <w:r w:rsidR="000B63C6" w:rsidRPr="000B63C6">
        <w:rPr>
          <w:szCs w:val="26"/>
        </w:rPr>
        <w:t>,</w:t>
      </w:r>
      <w:r w:rsidR="000B63C6">
        <w:rPr>
          <w:szCs w:val="26"/>
        </w:rPr>
        <w:t xml:space="preserve"> </w:t>
      </w:r>
      <w:r w:rsidRPr="000B63C6">
        <w:rPr>
          <w:rFonts w:eastAsiaTheme="minorHAnsi"/>
          <w:color w:val="000000"/>
          <w:szCs w:val="26"/>
        </w:rPr>
        <w:t>filed with the Commission and docketed as follows, for findings and determinations under Section 1511 of the Business Corporation Law of 1988, 15 Pa. C.S. § 1511</w:t>
      </w:r>
      <w:r w:rsidR="000B63C6">
        <w:rPr>
          <w:rFonts w:eastAsiaTheme="minorHAnsi"/>
          <w:color w:val="000000"/>
          <w:szCs w:val="26"/>
        </w:rPr>
        <w:t>,</w:t>
      </w:r>
      <w:r w:rsidRPr="000B63C6">
        <w:rPr>
          <w:rFonts w:eastAsiaTheme="minorHAnsi"/>
          <w:color w:val="000000"/>
          <w:szCs w:val="26"/>
        </w:rPr>
        <w:t xml:space="preserve"> that the service to be furnished by Applicant through its proposed exercise of the power of eminent domain to acquire </w:t>
      </w:r>
      <w:r w:rsidR="00171CC3" w:rsidRPr="000B63C6">
        <w:rPr>
          <w:rFonts w:eastAsiaTheme="minorHAnsi"/>
          <w:color w:val="000000"/>
          <w:szCs w:val="26"/>
        </w:rPr>
        <w:t>rights of way</w:t>
      </w:r>
      <w:r w:rsidRPr="000B63C6">
        <w:rPr>
          <w:rFonts w:eastAsiaTheme="minorHAnsi"/>
          <w:color w:val="000000"/>
          <w:szCs w:val="26"/>
        </w:rPr>
        <w:t xml:space="preserve"> for the construction, operation and maintenance of an electric transmission line and related facilities </w:t>
      </w:r>
      <w:r w:rsidRPr="000B63C6">
        <w:rPr>
          <w:rFonts w:eastAsiaTheme="minorHAnsi"/>
          <w:szCs w:val="26"/>
        </w:rPr>
        <w:t xml:space="preserve">is necessary or proper for the service, accommodation, convenience or safety of the public, is hereby approved, consistent with this Opinion and Order: </w:t>
      </w:r>
    </w:p>
    <w:p w14:paraId="001D7250" w14:textId="77777777" w:rsidR="00B70D2E" w:rsidRPr="000B63C6" w:rsidRDefault="00B70D2E" w:rsidP="00B70D2E">
      <w:pPr>
        <w:overflowPunct/>
        <w:spacing w:line="360" w:lineRule="auto"/>
        <w:textAlignment w:val="auto"/>
        <w:rPr>
          <w:rFonts w:eastAsiaTheme="minorHAnsi"/>
          <w:szCs w:val="26"/>
        </w:rPr>
      </w:pPr>
    </w:p>
    <w:p w14:paraId="04B72553" w14:textId="01248DAA" w:rsidR="00B70D2E" w:rsidRPr="000B63C6" w:rsidRDefault="00B70D2E" w:rsidP="00B70D2E">
      <w:pPr>
        <w:overflowPunct/>
        <w:ind w:left="1440" w:right="1449"/>
        <w:textAlignment w:val="auto"/>
        <w:rPr>
          <w:rFonts w:eastAsiaTheme="minorHAnsi"/>
          <w:szCs w:val="26"/>
        </w:rPr>
      </w:pPr>
      <w:r w:rsidRPr="000B63C6">
        <w:rPr>
          <w:rFonts w:eastAsiaTheme="minorHAnsi"/>
          <w:szCs w:val="26"/>
        </w:rPr>
        <w:t>A-2016-2565326. Application of [</w:t>
      </w:r>
      <w:r w:rsidR="00171CC3" w:rsidRPr="000B63C6">
        <w:rPr>
          <w:rFonts w:eastAsiaTheme="minorHAnsi"/>
          <w:color w:val="000000"/>
          <w:szCs w:val="26"/>
        </w:rPr>
        <w:t>Mid-Atlantic Transmission, LLC</w:t>
      </w:r>
      <w:r w:rsidRPr="000B63C6">
        <w:rPr>
          <w:rFonts w:eastAsiaTheme="minorHAnsi"/>
          <w:szCs w:val="26"/>
        </w:rPr>
        <w:t xml:space="preserve"> as successor in interest to] Pennsylvania Electric Company for exercise of Eminent Domain upon property of Robin F. Miller &amp; Tammy J. Miller in Napier Township, Bedford County and Motion for Consolidation with Siting Application for Bedford North - Central City West 115 kV HV Transmission Line Project. </w:t>
      </w:r>
    </w:p>
    <w:p w14:paraId="011F8334" w14:textId="77777777" w:rsidR="00B70D2E" w:rsidRPr="000B63C6" w:rsidRDefault="00B70D2E" w:rsidP="00B70D2E">
      <w:pPr>
        <w:overflowPunct/>
        <w:ind w:left="1440" w:right="1449"/>
        <w:textAlignment w:val="auto"/>
        <w:rPr>
          <w:rFonts w:eastAsiaTheme="minorHAnsi"/>
          <w:szCs w:val="26"/>
        </w:rPr>
      </w:pPr>
    </w:p>
    <w:p w14:paraId="30F9169E" w14:textId="5194FFC4" w:rsidR="00B70D2E" w:rsidRPr="000B63C6" w:rsidRDefault="00B70D2E" w:rsidP="00B70D2E">
      <w:pPr>
        <w:overflowPunct/>
        <w:ind w:left="1440" w:right="1449"/>
        <w:textAlignment w:val="auto"/>
        <w:rPr>
          <w:rFonts w:eastAsiaTheme="minorHAnsi"/>
          <w:szCs w:val="26"/>
        </w:rPr>
      </w:pPr>
      <w:r w:rsidRPr="000B63C6">
        <w:rPr>
          <w:rFonts w:eastAsiaTheme="minorHAnsi"/>
          <w:szCs w:val="26"/>
        </w:rPr>
        <w:t>A-2016-2565344. Application of [</w:t>
      </w:r>
      <w:r w:rsidR="00171CC3" w:rsidRPr="000B63C6">
        <w:rPr>
          <w:rFonts w:eastAsiaTheme="minorHAnsi"/>
          <w:color w:val="000000"/>
          <w:szCs w:val="26"/>
        </w:rPr>
        <w:t>Mid-Atlantic Transmission, LLC</w:t>
      </w:r>
      <w:r w:rsidRPr="000B63C6">
        <w:rPr>
          <w:rFonts w:eastAsiaTheme="minorHAnsi"/>
          <w:szCs w:val="26"/>
        </w:rPr>
        <w:t xml:space="preserve"> as successor in interest to] Pennsylvania Electric Company for exercise of Eminent Domain upon property of Katherine L. Ziegler in Napier Township, Bedford County and Motion for Consolidation with Siting Application for Bedford North - Central City West 115 kV HV Transmission Line Project. </w:t>
      </w:r>
    </w:p>
    <w:p w14:paraId="5EE580A9" w14:textId="77777777" w:rsidR="00B70D2E" w:rsidRPr="000B63C6" w:rsidRDefault="00B70D2E" w:rsidP="00B70D2E">
      <w:pPr>
        <w:overflowPunct/>
        <w:ind w:left="1440" w:right="1449"/>
        <w:textAlignment w:val="auto"/>
        <w:rPr>
          <w:rFonts w:eastAsiaTheme="minorHAnsi"/>
          <w:szCs w:val="26"/>
        </w:rPr>
      </w:pPr>
    </w:p>
    <w:p w14:paraId="2585CC38" w14:textId="11960904" w:rsidR="00B70D2E" w:rsidRPr="000B63C6" w:rsidRDefault="00B70D2E" w:rsidP="00B70D2E">
      <w:pPr>
        <w:overflowPunct/>
        <w:ind w:left="1440" w:right="1449"/>
        <w:textAlignment w:val="auto"/>
        <w:rPr>
          <w:rFonts w:eastAsiaTheme="minorHAnsi"/>
          <w:szCs w:val="26"/>
        </w:rPr>
      </w:pPr>
      <w:r w:rsidRPr="000B63C6">
        <w:rPr>
          <w:rFonts w:eastAsiaTheme="minorHAnsi"/>
          <w:szCs w:val="26"/>
        </w:rPr>
        <w:t>A-2016-2565360. Application of [</w:t>
      </w:r>
      <w:r w:rsidR="00171CC3" w:rsidRPr="000B63C6">
        <w:rPr>
          <w:rFonts w:eastAsiaTheme="minorHAnsi"/>
          <w:color w:val="000000"/>
          <w:szCs w:val="26"/>
        </w:rPr>
        <w:t>Mid-Atlantic Transmission, LLC</w:t>
      </w:r>
      <w:r w:rsidRPr="000B63C6">
        <w:rPr>
          <w:rFonts w:eastAsiaTheme="minorHAnsi"/>
          <w:szCs w:val="26"/>
        </w:rPr>
        <w:t xml:space="preserve"> as successor in interest to] Pennsylvania Electric Company for exercise of Eminent Domain upon property of Fritz Land Holdings LP in Napier Township, Bedford County and Motion for Consolidation with Siting Application for Bedford North - Central City West115 kV HV Transmission Line Project. </w:t>
      </w:r>
    </w:p>
    <w:p w14:paraId="18F84308" w14:textId="77777777" w:rsidR="00B70D2E" w:rsidRPr="000B63C6" w:rsidRDefault="00B70D2E" w:rsidP="00B70D2E">
      <w:pPr>
        <w:overflowPunct/>
        <w:ind w:left="1440" w:right="1449"/>
        <w:textAlignment w:val="auto"/>
        <w:rPr>
          <w:rFonts w:eastAsiaTheme="minorHAnsi"/>
          <w:szCs w:val="26"/>
        </w:rPr>
      </w:pPr>
    </w:p>
    <w:p w14:paraId="073056B6" w14:textId="7C1D481F" w:rsidR="00B70D2E" w:rsidRPr="000B63C6" w:rsidRDefault="00B70D2E" w:rsidP="00B70D2E">
      <w:pPr>
        <w:overflowPunct/>
        <w:ind w:left="1440" w:right="1449"/>
        <w:textAlignment w:val="auto"/>
        <w:rPr>
          <w:rFonts w:eastAsiaTheme="minorHAnsi"/>
          <w:szCs w:val="26"/>
        </w:rPr>
      </w:pPr>
      <w:r w:rsidRPr="000B63C6">
        <w:rPr>
          <w:rFonts w:eastAsiaTheme="minorHAnsi"/>
          <w:szCs w:val="26"/>
        </w:rPr>
        <w:t>A-2016-2565472. Application of [</w:t>
      </w:r>
      <w:r w:rsidR="00171CC3" w:rsidRPr="000B63C6">
        <w:rPr>
          <w:rFonts w:eastAsiaTheme="minorHAnsi"/>
          <w:color w:val="000000"/>
          <w:szCs w:val="26"/>
        </w:rPr>
        <w:t>Mid-Atlantic Transmission, LLC</w:t>
      </w:r>
      <w:r w:rsidRPr="000B63C6">
        <w:rPr>
          <w:rFonts w:eastAsiaTheme="minorHAnsi"/>
          <w:szCs w:val="26"/>
        </w:rPr>
        <w:t xml:space="preserve"> as successor in interest to] Pennsylvania Electric Company for exercise of Eminent Domain upon property of Shirley Huston &amp; Gary E Lambert in the Shade Township, Somerset County and Motion for Consolidation with Siting Application for Bedford North - Central City West 115 kV HV Transmission Line Project. </w:t>
      </w:r>
    </w:p>
    <w:p w14:paraId="647B3E8F" w14:textId="77777777" w:rsidR="00B70D2E" w:rsidRPr="000B63C6" w:rsidRDefault="00B70D2E" w:rsidP="00B70D2E">
      <w:pPr>
        <w:overflowPunct/>
        <w:ind w:left="1440" w:right="1449"/>
        <w:textAlignment w:val="auto"/>
        <w:rPr>
          <w:rFonts w:eastAsiaTheme="minorHAnsi"/>
          <w:szCs w:val="26"/>
        </w:rPr>
      </w:pPr>
    </w:p>
    <w:p w14:paraId="671BE7DC" w14:textId="6DED05F2" w:rsidR="00B70D2E" w:rsidRPr="000B63C6" w:rsidRDefault="00B70D2E" w:rsidP="00B70D2E">
      <w:pPr>
        <w:overflowPunct/>
        <w:ind w:left="1440" w:right="1449"/>
        <w:textAlignment w:val="auto"/>
        <w:rPr>
          <w:rFonts w:eastAsiaTheme="minorHAnsi"/>
          <w:szCs w:val="26"/>
        </w:rPr>
      </w:pPr>
      <w:r w:rsidRPr="000B63C6">
        <w:rPr>
          <w:rFonts w:eastAsiaTheme="minorHAnsi"/>
          <w:szCs w:val="26"/>
        </w:rPr>
        <w:t>A-2016-2565480. Application of [</w:t>
      </w:r>
      <w:r w:rsidR="00171CC3" w:rsidRPr="000B63C6">
        <w:rPr>
          <w:rFonts w:eastAsiaTheme="minorHAnsi"/>
          <w:color w:val="000000"/>
          <w:szCs w:val="26"/>
        </w:rPr>
        <w:t>Mid-Atlantic Transmission, LLC</w:t>
      </w:r>
      <w:r w:rsidRPr="000B63C6">
        <w:rPr>
          <w:rFonts w:eastAsiaTheme="minorHAnsi"/>
          <w:szCs w:val="26"/>
        </w:rPr>
        <w:t xml:space="preserve"> as successor in interest to] Pennsylvania Electric Company for exercise of Eminent Domain upon property of Martha Lorraine Anderson &amp; John S. Anderson in Napier Township, Bedford County and Motion for Consolidation with Siting Application for Bedford North - Central City West 115 kV HV Transmission Line Project. </w:t>
      </w:r>
    </w:p>
    <w:p w14:paraId="349AE30D" w14:textId="77777777" w:rsidR="00B70D2E" w:rsidRPr="000B63C6" w:rsidRDefault="00B70D2E" w:rsidP="00B70D2E">
      <w:pPr>
        <w:overflowPunct/>
        <w:ind w:left="1440" w:right="1449"/>
        <w:textAlignment w:val="auto"/>
        <w:rPr>
          <w:rFonts w:eastAsiaTheme="minorHAnsi"/>
          <w:szCs w:val="26"/>
        </w:rPr>
      </w:pPr>
    </w:p>
    <w:p w14:paraId="3505346D" w14:textId="19682331" w:rsidR="00B70D2E" w:rsidRPr="000B63C6" w:rsidRDefault="00B70D2E" w:rsidP="00B70D2E">
      <w:pPr>
        <w:overflowPunct/>
        <w:ind w:left="1440" w:right="1449"/>
        <w:textAlignment w:val="auto"/>
        <w:rPr>
          <w:rFonts w:eastAsiaTheme="minorHAnsi"/>
          <w:szCs w:val="26"/>
        </w:rPr>
      </w:pPr>
      <w:r w:rsidRPr="000B63C6">
        <w:rPr>
          <w:rFonts w:eastAsiaTheme="minorHAnsi"/>
          <w:szCs w:val="26"/>
        </w:rPr>
        <w:t>A-2016-2565504. Application of [</w:t>
      </w:r>
      <w:r w:rsidR="00171CC3" w:rsidRPr="000B63C6">
        <w:rPr>
          <w:rFonts w:eastAsiaTheme="minorHAnsi"/>
          <w:color w:val="000000"/>
          <w:szCs w:val="26"/>
        </w:rPr>
        <w:t>Mid-Atlantic Transmission, LLC</w:t>
      </w:r>
      <w:r w:rsidRPr="000B63C6">
        <w:rPr>
          <w:rFonts w:eastAsiaTheme="minorHAnsi"/>
          <w:szCs w:val="26"/>
        </w:rPr>
        <w:t xml:space="preserve"> as successor in interest to] Pennsylvania Electric Company for exercise of Eminent Domain upon property of Keith A. </w:t>
      </w:r>
      <w:proofErr w:type="spellStart"/>
      <w:r w:rsidRPr="000B63C6">
        <w:rPr>
          <w:rFonts w:eastAsiaTheme="minorHAnsi"/>
          <w:szCs w:val="26"/>
        </w:rPr>
        <w:t>Lohr</w:t>
      </w:r>
      <w:proofErr w:type="spellEnd"/>
      <w:r w:rsidRPr="000B63C6">
        <w:rPr>
          <w:rFonts w:eastAsiaTheme="minorHAnsi"/>
          <w:szCs w:val="26"/>
        </w:rPr>
        <w:t xml:space="preserve"> in Napier Township, Bedford County and Motion for Consolidation with Siting Application for Bedford North - Central City West 115 kV HV Transmission Line Project. </w:t>
      </w:r>
    </w:p>
    <w:p w14:paraId="23B9171C" w14:textId="77777777" w:rsidR="00B70D2E" w:rsidRPr="000B63C6" w:rsidRDefault="00B70D2E" w:rsidP="00B70D2E">
      <w:pPr>
        <w:overflowPunct/>
        <w:ind w:left="1440" w:right="1449"/>
        <w:textAlignment w:val="auto"/>
        <w:rPr>
          <w:rFonts w:eastAsiaTheme="minorHAnsi"/>
          <w:szCs w:val="26"/>
        </w:rPr>
      </w:pPr>
    </w:p>
    <w:p w14:paraId="0EB85B07" w14:textId="160D0B3C" w:rsidR="00B70D2E" w:rsidRPr="000B63C6" w:rsidRDefault="00B70D2E" w:rsidP="00B70D2E">
      <w:pPr>
        <w:overflowPunct/>
        <w:ind w:left="1440" w:right="1449"/>
        <w:textAlignment w:val="auto"/>
        <w:rPr>
          <w:rFonts w:eastAsiaTheme="minorHAnsi"/>
          <w:szCs w:val="26"/>
        </w:rPr>
      </w:pPr>
      <w:r w:rsidRPr="000B63C6">
        <w:rPr>
          <w:rFonts w:eastAsiaTheme="minorHAnsi"/>
          <w:szCs w:val="26"/>
        </w:rPr>
        <w:t>A-2016-2565545. Application of [</w:t>
      </w:r>
      <w:r w:rsidR="00171CC3" w:rsidRPr="000B63C6">
        <w:rPr>
          <w:rFonts w:eastAsiaTheme="minorHAnsi"/>
          <w:color w:val="000000"/>
          <w:szCs w:val="26"/>
        </w:rPr>
        <w:t>Mid-Atlantic Transmission, LLC</w:t>
      </w:r>
      <w:r w:rsidRPr="000B63C6">
        <w:rPr>
          <w:rFonts w:eastAsiaTheme="minorHAnsi"/>
          <w:szCs w:val="26"/>
        </w:rPr>
        <w:t xml:space="preserve"> as successor in interest to] Pennsylvania Electric Company for exercise of Eminent Domain upon property of Albert Stiles in Shade Township, Somerset County and Motion for Consolidation with Siting Application for Bedford North - Central City West 115 kV HV Transmission Line Project. </w:t>
      </w:r>
    </w:p>
    <w:p w14:paraId="5188C474" w14:textId="77777777" w:rsidR="00B70D2E" w:rsidRPr="000B63C6" w:rsidRDefault="00B70D2E" w:rsidP="00B70D2E">
      <w:pPr>
        <w:overflowPunct/>
        <w:ind w:left="1440" w:right="1449"/>
        <w:textAlignment w:val="auto"/>
        <w:rPr>
          <w:rFonts w:eastAsiaTheme="minorHAnsi"/>
          <w:szCs w:val="26"/>
        </w:rPr>
      </w:pPr>
    </w:p>
    <w:p w14:paraId="06E576BA" w14:textId="0C309D7B" w:rsidR="00B70D2E" w:rsidRPr="000B63C6" w:rsidRDefault="00B70D2E" w:rsidP="00B70D2E">
      <w:pPr>
        <w:overflowPunct/>
        <w:ind w:left="1440" w:right="1449"/>
        <w:textAlignment w:val="auto"/>
        <w:rPr>
          <w:rFonts w:eastAsiaTheme="minorHAnsi"/>
          <w:szCs w:val="26"/>
        </w:rPr>
      </w:pPr>
      <w:r w:rsidRPr="000B63C6">
        <w:rPr>
          <w:rFonts w:eastAsiaTheme="minorHAnsi"/>
          <w:szCs w:val="26"/>
        </w:rPr>
        <w:t>A-2016-2565635. Application of [</w:t>
      </w:r>
      <w:r w:rsidR="00171CC3" w:rsidRPr="000B63C6">
        <w:rPr>
          <w:rFonts w:eastAsiaTheme="minorHAnsi"/>
          <w:color w:val="000000"/>
          <w:szCs w:val="26"/>
        </w:rPr>
        <w:t>Mid-Atlantic Transmission, LLC</w:t>
      </w:r>
      <w:r w:rsidRPr="000B63C6">
        <w:rPr>
          <w:rFonts w:eastAsiaTheme="minorHAnsi"/>
          <w:szCs w:val="26"/>
        </w:rPr>
        <w:t xml:space="preserve"> as successor in interest to] Pennsylvania Electric Company for exercise of Eminent Domain upon property of Vincent Beal in Napier Township, Bedford County and Motion for Consolidation with Siting Application for Bedford North - Central City West 115 kV HV Transmission Line Project. </w:t>
      </w:r>
    </w:p>
    <w:p w14:paraId="2C087638" w14:textId="77777777" w:rsidR="00B70D2E" w:rsidRPr="000B63C6" w:rsidRDefault="00B70D2E" w:rsidP="00B70D2E">
      <w:pPr>
        <w:overflowPunct/>
        <w:ind w:left="1440" w:right="1449"/>
        <w:textAlignment w:val="auto"/>
        <w:rPr>
          <w:rFonts w:eastAsiaTheme="minorHAnsi"/>
          <w:szCs w:val="26"/>
        </w:rPr>
      </w:pPr>
    </w:p>
    <w:p w14:paraId="5BAC021B" w14:textId="77777777" w:rsidR="00B70D2E" w:rsidRPr="000B63C6" w:rsidRDefault="00B70D2E" w:rsidP="00B70D2E">
      <w:pPr>
        <w:overflowPunct/>
        <w:spacing w:line="360" w:lineRule="auto"/>
        <w:textAlignment w:val="auto"/>
        <w:rPr>
          <w:rFonts w:eastAsiaTheme="minorHAnsi"/>
          <w:szCs w:val="26"/>
        </w:rPr>
      </w:pPr>
    </w:p>
    <w:p w14:paraId="2826A1CA" w14:textId="6536FD9F" w:rsidR="00171CC3" w:rsidRPr="000B63C6" w:rsidRDefault="00B70D2E" w:rsidP="00B70D2E">
      <w:pPr>
        <w:overflowPunct/>
        <w:spacing w:line="360" w:lineRule="auto"/>
        <w:textAlignment w:val="auto"/>
        <w:rPr>
          <w:rFonts w:eastAsiaTheme="minorHAnsi"/>
          <w:szCs w:val="26"/>
        </w:rPr>
      </w:pPr>
      <w:r w:rsidRPr="000B63C6">
        <w:rPr>
          <w:rFonts w:eastAsiaTheme="minorHAnsi"/>
          <w:szCs w:val="26"/>
        </w:rPr>
        <w:tab/>
      </w:r>
      <w:r w:rsidRPr="000B63C6">
        <w:rPr>
          <w:rFonts w:eastAsiaTheme="minorHAnsi"/>
          <w:szCs w:val="26"/>
        </w:rPr>
        <w:tab/>
        <w:t xml:space="preserve">4. </w:t>
      </w:r>
      <w:r w:rsidRPr="000B63C6">
        <w:rPr>
          <w:rFonts w:eastAsiaTheme="minorHAnsi"/>
          <w:szCs w:val="26"/>
        </w:rPr>
        <w:tab/>
      </w:r>
      <w:r w:rsidR="00171CC3" w:rsidRPr="000B63C6">
        <w:rPr>
          <w:rFonts w:eastAsiaTheme="minorHAnsi"/>
          <w:szCs w:val="26"/>
        </w:rPr>
        <w:t xml:space="preserve">That </w:t>
      </w:r>
      <w:r w:rsidR="00171CC3" w:rsidRPr="000B63C6">
        <w:rPr>
          <w:rFonts w:eastAsiaTheme="minorHAnsi"/>
          <w:color w:val="000000"/>
          <w:szCs w:val="26"/>
        </w:rPr>
        <w:t>Mid-Atlantic Transmission, LLC</w:t>
      </w:r>
      <w:r w:rsidR="000119A4" w:rsidRPr="000B63C6">
        <w:rPr>
          <w:rFonts w:eastAsiaTheme="minorHAnsi"/>
          <w:color w:val="000000"/>
          <w:szCs w:val="26"/>
        </w:rPr>
        <w:t xml:space="preserve">, </w:t>
      </w:r>
      <w:r w:rsidR="000B63C6" w:rsidRPr="000B63C6">
        <w:rPr>
          <w:rFonts w:eastAsiaTheme="minorHAnsi"/>
          <w:szCs w:val="26"/>
        </w:rPr>
        <w:t>successor in interest to Pennsylvania Electric Company</w:t>
      </w:r>
      <w:r w:rsidR="000B63C6" w:rsidRPr="000B63C6">
        <w:rPr>
          <w:szCs w:val="26"/>
        </w:rPr>
        <w:t>,</w:t>
      </w:r>
      <w:r w:rsidR="000B63C6">
        <w:rPr>
          <w:szCs w:val="26"/>
        </w:rPr>
        <w:t xml:space="preserve"> </w:t>
      </w:r>
      <w:r w:rsidR="00171CC3" w:rsidRPr="000B63C6">
        <w:rPr>
          <w:rFonts w:eastAsiaTheme="minorHAnsi"/>
          <w:szCs w:val="26"/>
        </w:rPr>
        <w:t xml:space="preserve">shall comply with </w:t>
      </w:r>
      <w:proofErr w:type="gramStart"/>
      <w:r w:rsidR="00171CC3" w:rsidRPr="000B63C6">
        <w:rPr>
          <w:rFonts w:eastAsiaTheme="minorHAnsi"/>
          <w:szCs w:val="26"/>
        </w:rPr>
        <w:t>any and all</w:t>
      </w:r>
      <w:proofErr w:type="gramEnd"/>
      <w:r w:rsidR="00171CC3" w:rsidRPr="000B63C6">
        <w:rPr>
          <w:rFonts w:eastAsiaTheme="minorHAnsi"/>
          <w:szCs w:val="26"/>
        </w:rPr>
        <w:t xml:space="preserve"> permit requirements received from any agency or entity from which a permit is required in order to site </w:t>
      </w:r>
      <w:r w:rsidR="00CE5C29" w:rsidRPr="000B63C6">
        <w:rPr>
          <w:rFonts w:eastAsiaTheme="minorHAnsi"/>
          <w:szCs w:val="26"/>
        </w:rPr>
        <w:t>and construct</w:t>
      </w:r>
      <w:r w:rsidR="00171CC3" w:rsidRPr="000B63C6">
        <w:rPr>
          <w:rFonts w:eastAsiaTheme="minorHAnsi"/>
          <w:szCs w:val="26"/>
        </w:rPr>
        <w:t xml:space="preserve"> the high-voltage transmission line referred to as the Bedford North-Central City West 115 kV HV transmission line project.  </w:t>
      </w:r>
    </w:p>
    <w:p w14:paraId="155C2968" w14:textId="77777777" w:rsidR="00171CC3" w:rsidRPr="000B63C6" w:rsidRDefault="00171CC3" w:rsidP="00B70D2E">
      <w:pPr>
        <w:overflowPunct/>
        <w:spacing w:line="360" w:lineRule="auto"/>
        <w:textAlignment w:val="auto"/>
        <w:rPr>
          <w:rFonts w:eastAsiaTheme="minorHAnsi"/>
          <w:szCs w:val="26"/>
        </w:rPr>
      </w:pPr>
    </w:p>
    <w:p w14:paraId="70D9B5C0" w14:textId="46B9E088" w:rsidR="00B70D2E" w:rsidRPr="000B63C6" w:rsidRDefault="00171CC3" w:rsidP="00B70D2E">
      <w:pPr>
        <w:overflowPunct/>
        <w:spacing w:line="360" w:lineRule="auto"/>
        <w:textAlignment w:val="auto"/>
        <w:rPr>
          <w:rFonts w:eastAsiaTheme="minorHAnsi"/>
          <w:szCs w:val="26"/>
        </w:rPr>
      </w:pPr>
      <w:r w:rsidRPr="000B63C6">
        <w:rPr>
          <w:rFonts w:eastAsiaTheme="minorHAnsi"/>
          <w:szCs w:val="26"/>
        </w:rPr>
        <w:tab/>
      </w:r>
      <w:r w:rsidRPr="000B63C6">
        <w:rPr>
          <w:rFonts w:eastAsiaTheme="minorHAnsi"/>
          <w:szCs w:val="26"/>
        </w:rPr>
        <w:tab/>
        <w:t>5.</w:t>
      </w:r>
      <w:r w:rsidRPr="000B63C6">
        <w:rPr>
          <w:rFonts w:eastAsiaTheme="minorHAnsi"/>
          <w:szCs w:val="26"/>
        </w:rPr>
        <w:tab/>
      </w:r>
      <w:r w:rsidR="00B70D2E" w:rsidRPr="000B63C6">
        <w:rPr>
          <w:rFonts w:eastAsiaTheme="minorHAnsi"/>
          <w:szCs w:val="26"/>
        </w:rPr>
        <w:t xml:space="preserve">That the dockets at Docket Nos. A-2016-2565296, A-2016-2565326, A-2016-2565344, A-2016-2565360, A-2016-2565364, A-2016-2565368, A-2016-2565369, A-2016-2565377, A-2016-2565378, A-2016-2565472, A-2016-2565480, A-2016-2565502, A-2016-2565504, A-2016-2565509, A-2016-2565543, A-2016-2565545, A-2016-2565547, A-2016-2565549, A-2016-2565635 and A-2016-2565644 be marked closed. </w:t>
      </w:r>
    </w:p>
    <w:p w14:paraId="6B1E6ED3" w14:textId="77777777" w:rsidR="00B70D2E" w:rsidRPr="000B63C6" w:rsidRDefault="00B70D2E" w:rsidP="00B70D2E">
      <w:pPr>
        <w:overflowPunct/>
        <w:spacing w:line="360" w:lineRule="auto"/>
        <w:textAlignment w:val="auto"/>
        <w:rPr>
          <w:rFonts w:eastAsiaTheme="minorHAnsi"/>
          <w:szCs w:val="26"/>
        </w:rPr>
      </w:pPr>
    </w:p>
    <w:p w14:paraId="098E7A09" w14:textId="448F0DD1" w:rsidR="00B70D2E" w:rsidRPr="000B63C6" w:rsidRDefault="00B70D2E" w:rsidP="00B70D2E">
      <w:pPr>
        <w:overflowPunct/>
        <w:spacing w:line="360" w:lineRule="auto"/>
        <w:textAlignment w:val="auto"/>
        <w:rPr>
          <w:rFonts w:eastAsiaTheme="minorHAnsi"/>
          <w:szCs w:val="26"/>
        </w:rPr>
      </w:pPr>
      <w:r w:rsidRPr="000B63C6">
        <w:rPr>
          <w:rFonts w:eastAsiaTheme="minorHAnsi"/>
          <w:szCs w:val="26"/>
        </w:rPr>
        <w:tab/>
      </w:r>
      <w:r w:rsidRPr="000B63C6">
        <w:rPr>
          <w:rFonts w:eastAsiaTheme="minorHAnsi"/>
          <w:szCs w:val="26"/>
        </w:rPr>
        <w:tab/>
      </w:r>
      <w:r w:rsidR="00171CC3" w:rsidRPr="000B63C6">
        <w:rPr>
          <w:rFonts w:eastAsiaTheme="minorHAnsi"/>
          <w:szCs w:val="26"/>
        </w:rPr>
        <w:t>6</w:t>
      </w:r>
      <w:r w:rsidRPr="000B63C6">
        <w:rPr>
          <w:rFonts w:eastAsiaTheme="minorHAnsi"/>
          <w:szCs w:val="26"/>
        </w:rPr>
        <w:t xml:space="preserve">. </w:t>
      </w:r>
      <w:r w:rsidRPr="000B63C6">
        <w:rPr>
          <w:rFonts w:eastAsiaTheme="minorHAnsi"/>
          <w:szCs w:val="26"/>
        </w:rPr>
        <w:tab/>
        <w:t xml:space="preserve">That the protest of Nancy K. </w:t>
      </w:r>
      <w:proofErr w:type="spellStart"/>
      <w:r w:rsidRPr="000B63C6">
        <w:rPr>
          <w:rFonts w:eastAsiaTheme="minorHAnsi"/>
          <w:szCs w:val="26"/>
        </w:rPr>
        <w:t>MacRae</w:t>
      </w:r>
      <w:proofErr w:type="spellEnd"/>
      <w:r w:rsidRPr="000B63C6">
        <w:rPr>
          <w:rFonts w:eastAsiaTheme="minorHAnsi"/>
          <w:szCs w:val="26"/>
        </w:rPr>
        <w:t xml:space="preserve"> filed at Docket No. A-2016-2565364 is dismissed.</w:t>
      </w:r>
    </w:p>
    <w:p w14:paraId="7CA45CDF" w14:textId="67C78B7B" w:rsidR="00A96E3C" w:rsidRDefault="00A96E3C"/>
    <w:p w14:paraId="73686550" w14:textId="20770E1E" w:rsidR="00A4385E" w:rsidRPr="000B63C6" w:rsidRDefault="00A4385E" w:rsidP="00A4385E">
      <w:pPr>
        <w:rPr>
          <w:szCs w:val="26"/>
        </w:rPr>
      </w:pPr>
    </w:p>
    <w:p w14:paraId="07039132" w14:textId="2221F02C" w:rsidR="00EB6BF9" w:rsidRDefault="00A96E3C" w:rsidP="00AB2393">
      <w:pPr>
        <w:tabs>
          <w:tab w:val="left" w:pos="-720"/>
        </w:tabs>
        <w:ind w:firstLine="5040"/>
        <w:rPr>
          <w:b/>
          <w:szCs w:val="26"/>
        </w:rPr>
      </w:pPr>
      <w:r>
        <w:rPr>
          <w:noProof/>
        </w:rPr>
        <w:drawing>
          <wp:anchor distT="0" distB="0" distL="114300" distR="114300" simplePos="0" relativeHeight="251659264" behindDoc="1" locked="0" layoutInCell="1" allowOverlap="1" wp14:anchorId="488BE3A7" wp14:editId="73228522">
            <wp:simplePos x="0" y="0"/>
            <wp:positionH relativeFrom="column">
              <wp:posOffset>3008630</wp:posOffset>
            </wp:positionH>
            <wp:positionV relativeFrom="paragraph">
              <wp:posOffset>183261</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EB6BF9" w:rsidRPr="000B63C6">
        <w:rPr>
          <w:b/>
          <w:szCs w:val="26"/>
        </w:rPr>
        <w:t>BY THE COMMISSION,</w:t>
      </w:r>
    </w:p>
    <w:p w14:paraId="0B079C22" w14:textId="77777777" w:rsidR="00A96E3C" w:rsidRPr="000B63C6" w:rsidRDefault="00A96E3C" w:rsidP="00AB2393">
      <w:pPr>
        <w:tabs>
          <w:tab w:val="left" w:pos="-720"/>
        </w:tabs>
        <w:ind w:firstLine="5040"/>
        <w:rPr>
          <w:szCs w:val="26"/>
        </w:rPr>
      </w:pPr>
    </w:p>
    <w:p w14:paraId="2EE5EAA1" w14:textId="2ADD9CE4" w:rsidR="00EB6BF9" w:rsidRPr="000B63C6" w:rsidRDefault="00EB6BF9" w:rsidP="00FD1DAD">
      <w:pPr>
        <w:tabs>
          <w:tab w:val="left" w:pos="-720"/>
        </w:tabs>
        <w:rPr>
          <w:szCs w:val="26"/>
        </w:rPr>
      </w:pPr>
    </w:p>
    <w:p w14:paraId="4566F68F" w14:textId="77777777" w:rsidR="00EB6BF9" w:rsidRPr="000B63C6" w:rsidRDefault="00EB6BF9" w:rsidP="00FD1DAD">
      <w:pPr>
        <w:tabs>
          <w:tab w:val="left" w:pos="-720"/>
        </w:tabs>
        <w:rPr>
          <w:szCs w:val="26"/>
        </w:rPr>
      </w:pPr>
    </w:p>
    <w:p w14:paraId="1A0D9E26" w14:textId="77777777" w:rsidR="00EB6BF9" w:rsidRPr="000B63C6" w:rsidRDefault="00EB6BF9" w:rsidP="00FD1DAD">
      <w:pPr>
        <w:tabs>
          <w:tab w:val="left" w:pos="-720"/>
        </w:tabs>
        <w:rPr>
          <w:szCs w:val="26"/>
        </w:rPr>
      </w:pPr>
    </w:p>
    <w:p w14:paraId="1778D540" w14:textId="77777777" w:rsidR="00EB6BF9" w:rsidRPr="000B63C6" w:rsidRDefault="0091054F" w:rsidP="00AB2393">
      <w:pPr>
        <w:tabs>
          <w:tab w:val="left" w:pos="-720"/>
        </w:tabs>
        <w:ind w:firstLine="5040"/>
        <w:rPr>
          <w:b/>
          <w:szCs w:val="26"/>
        </w:rPr>
      </w:pPr>
      <w:r w:rsidRPr="000B63C6">
        <w:rPr>
          <w:szCs w:val="26"/>
        </w:rPr>
        <w:t>Rosemary Chiavetta</w:t>
      </w:r>
    </w:p>
    <w:p w14:paraId="1199A9A2" w14:textId="77777777" w:rsidR="00EB6BF9" w:rsidRPr="000B63C6" w:rsidRDefault="00EB6BF9" w:rsidP="00AB2393">
      <w:pPr>
        <w:tabs>
          <w:tab w:val="left" w:pos="-720"/>
        </w:tabs>
        <w:ind w:firstLine="5040"/>
        <w:rPr>
          <w:szCs w:val="26"/>
        </w:rPr>
      </w:pPr>
      <w:r w:rsidRPr="000B63C6">
        <w:rPr>
          <w:szCs w:val="26"/>
        </w:rPr>
        <w:t>Secretary</w:t>
      </w:r>
    </w:p>
    <w:p w14:paraId="4F0D53DD" w14:textId="77777777" w:rsidR="00EB6BF9" w:rsidRPr="000B63C6" w:rsidRDefault="00EB6BF9" w:rsidP="00FD1DAD">
      <w:pPr>
        <w:tabs>
          <w:tab w:val="left" w:pos="-720"/>
        </w:tabs>
        <w:rPr>
          <w:szCs w:val="26"/>
        </w:rPr>
      </w:pPr>
    </w:p>
    <w:p w14:paraId="4D571EF9" w14:textId="77777777" w:rsidR="00EB6BF9" w:rsidRPr="000B63C6" w:rsidRDefault="00EB6BF9" w:rsidP="00FD1DAD">
      <w:pPr>
        <w:tabs>
          <w:tab w:val="left" w:pos="-720"/>
        </w:tabs>
        <w:rPr>
          <w:szCs w:val="26"/>
        </w:rPr>
      </w:pPr>
      <w:r w:rsidRPr="000B63C6">
        <w:rPr>
          <w:szCs w:val="26"/>
        </w:rPr>
        <w:t>(SEAL)</w:t>
      </w:r>
    </w:p>
    <w:p w14:paraId="224C208F" w14:textId="77777777" w:rsidR="00EB6BF9" w:rsidRPr="000B63C6" w:rsidRDefault="00EB6BF9" w:rsidP="00FD1DAD">
      <w:pPr>
        <w:tabs>
          <w:tab w:val="left" w:pos="-720"/>
        </w:tabs>
        <w:rPr>
          <w:szCs w:val="26"/>
        </w:rPr>
      </w:pPr>
    </w:p>
    <w:p w14:paraId="5D89C937" w14:textId="79E67A3B" w:rsidR="00EB6BF9" w:rsidRPr="000B63C6" w:rsidRDefault="00194634" w:rsidP="00FD1DAD">
      <w:pPr>
        <w:tabs>
          <w:tab w:val="left" w:pos="-720"/>
        </w:tabs>
        <w:rPr>
          <w:szCs w:val="26"/>
        </w:rPr>
      </w:pPr>
      <w:r w:rsidRPr="000B63C6">
        <w:rPr>
          <w:szCs w:val="26"/>
        </w:rPr>
        <w:t xml:space="preserve">ORDER </w:t>
      </w:r>
      <w:r w:rsidR="00033EF0" w:rsidRPr="000B63C6">
        <w:rPr>
          <w:szCs w:val="26"/>
        </w:rPr>
        <w:t xml:space="preserve">ADOPTED: </w:t>
      </w:r>
      <w:r w:rsidR="00171CC3" w:rsidRPr="000B63C6">
        <w:rPr>
          <w:szCs w:val="26"/>
        </w:rPr>
        <w:t>February 8, 2018</w:t>
      </w:r>
    </w:p>
    <w:p w14:paraId="09F936D3" w14:textId="77777777" w:rsidR="00AB2393" w:rsidRPr="000B63C6" w:rsidRDefault="00AB2393" w:rsidP="00FD1DAD">
      <w:pPr>
        <w:tabs>
          <w:tab w:val="left" w:pos="-720"/>
        </w:tabs>
        <w:rPr>
          <w:szCs w:val="26"/>
        </w:rPr>
      </w:pPr>
    </w:p>
    <w:p w14:paraId="38B8E916" w14:textId="204067DC" w:rsidR="001D5895" w:rsidRPr="000B63C6" w:rsidRDefault="00C349D3" w:rsidP="00FD1DAD">
      <w:pPr>
        <w:tabs>
          <w:tab w:val="left" w:pos="-720"/>
        </w:tabs>
        <w:rPr>
          <w:szCs w:val="26"/>
        </w:rPr>
      </w:pPr>
      <w:r w:rsidRPr="000B63C6">
        <w:rPr>
          <w:szCs w:val="26"/>
        </w:rPr>
        <w:t>ORDER ENTERED:</w:t>
      </w:r>
      <w:r w:rsidR="008F2810" w:rsidRPr="000B63C6">
        <w:rPr>
          <w:szCs w:val="26"/>
        </w:rPr>
        <w:t xml:space="preserve">  </w:t>
      </w:r>
      <w:r w:rsidR="00A96E3C">
        <w:rPr>
          <w:szCs w:val="26"/>
        </w:rPr>
        <w:t>March 8, 2018</w:t>
      </w:r>
      <w:bookmarkStart w:id="3" w:name="_GoBack"/>
      <w:bookmarkEnd w:id="3"/>
    </w:p>
    <w:sectPr w:rsidR="001D5895" w:rsidRPr="000B63C6" w:rsidSect="00537FE4">
      <w:footerReference w:type="even" r:id="rId9"/>
      <w:footerReference w:type="default" r:id="rId10"/>
      <w:pgSz w:w="12240" w:h="15840"/>
      <w:pgMar w:top="1440" w:right="153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4E8DE" w14:textId="77777777" w:rsidR="00820F6C" w:rsidRDefault="00820F6C">
      <w:r>
        <w:separator/>
      </w:r>
    </w:p>
  </w:endnote>
  <w:endnote w:type="continuationSeparator" w:id="0">
    <w:p w14:paraId="232A1CB1" w14:textId="77777777" w:rsidR="00820F6C" w:rsidRDefault="00820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F9420" w14:textId="77777777" w:rsidR="000119A4" w:rsidRDefault="000119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2124F04" w14:textId="77777777" w:rsidR="000119A4" w:rsidRDefault="00011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732E8" w14:textId="78F1738D" w:rsidR="000119A4" w:rsidRPr="006618C4" w:rsidRDefault="000119A4">
    <w:pPr>
      <w:pStyle w:val="Footer"/>
      <w:framePr w:wrap="around" w:vAnchor="text" w:hAnchor="margin" w:xAlign="center" w:y="1"/>
      <w:rPr>
        <w:rStyle w:val="PageNumber"/>
        <w:sz w:val="24"/>
        <w:szCs w:val="24"/>
      </w:rPr>
    </w:pPr>
    <w:r w:rsidRPr="006618C4">
      <w:rPr>
        <w:rStyle w:val="PageNumber"/>
        <w:sz w:val="24"/>
        <w:szCs w:val="24"/>
      </w:rPr>
      <w:fldChar w:fldCharType="begin"/>
    </w:r>
    <w:r w:rsidRPr="006618C4">
      <w:rPr>
        <w:rStyle w:val="PageNumber"/>
        <w:sz w:val="24"/>
        <w:szCs w:val="24"/>
      </w:rPr>
      <w:instrText xml:space="preserve">PAGE  </w:instrText>
    </w:r>
    <w:r w:rsidRPr="006618C4">
      <w:rPr>
        <w:rStyle w:val="PageNumber"/>
        <w:sz w:val="24"/>
        <w:szCs w:val="24"/>
      </w:rPr>
      <w:fldChar w:fldCharType="separate"/>
    </w:r>
    <w:r w:rsidR="004C7E3E">
      <w:rPr>
        <w:rStyle w:val="PageNumber"/>
        <w:noProof/>
        <w:sz w:val="24"/>
        <w:szCs w:val="24"/>
      </w:rPr>
      <w:t>16</w:t>
    </w:r>
    <w:r w:rsidRPr="006618C4">
      <w:rPr>
        <w:rStyle w:val="PageNumber"/>
        <w:sz w:val="24"/>
        <w:szCs w:val="24"/>
      </w:rPr>
      <w:fldChar w:fldCharType="end"/>
    </w:r>
  </w:p>
  <w:p w14:paraId="57C8AB59" w14:textId="77777777" w:rsidR="000119A4" w:rsidRPr="00D379CF" w:rsidRDefault="000119A4" w:rsidP="00C60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AD5D5" w14:textId="77777777" w:rsidR="00820F6C" w:rsidRDefault="00820F6C">
      <w:r>
        <w:separator/>
      </w:r>
    </w:p>
  </w:footnote>
  <w:footnote w:type="continuationSeparator" w:id="0">
    <w:p w14:paraId="7C2F252D" w14:textId="77777777" w:rsidR="00820F6C" w:rsidRDefault="00820F6C">
      <w:r>
        <w:continuationSeparator/>
      </w:r>
    </w:p>
  </w:footnote>
  <w:footnote w:id="1">
    <w:p w14:paraId="5C860E58" w14:textId="7585EA8C" w:rsidR="000119A4" w:rsidRPr="00A451BD" w:rsidRDefault="000119A4" w:rsidP="00FE0FCB">
      <w:pPr>
        <w:pStyle w:val="Default"/>
        <w:keepNext/>
        <w:keepLines/>
        <w:spacing w:after="120"/>
        <w:rPr>
          <w:sz w:val="26"/>
          <w:szCs w:val="26"/>
        </w:rPr>
      </w:pPr>
      <w:r w:rsidRPr="00A451BD">
        <w:rPr>
          <w:sz w:val="26"/>
          <w:szCs w:val="26"/>
        </w:rPr>
        <w:tab/>
      </w:r>
      <w:r w:rsidRPr="00A451BD">
        <w:rPr>
          <w:rStyle w:val="FootnoteReference"/>
          <w:sz w:val="26"/>
          <w:szCs w:val="26"/>
        </w:rPr>
        <w:footnoteRef/>
      </w:r>
      <w:r w:rsidRPr="00A451BD">
        <w:rPr>
          <w:sz w:val="26"/>
          <w:szCs w:val="26"/>
        </w:rPr>
        <w:t xml:space="preserve"> </w:t>
      </w:r>
      <w:r w:rsidRPr="00A451BD">
        <w:rPr>
          <w:sz w:val="26"/>
          <w:szCs w:val="26"/>
        </w:rPr>
        <w:tab/>
        <w:t xml:space="preserve">Mid-Atlantic Interstate Transmission Line, LLC (MAIT) became the successor in interest to </w:t>
      </w:r>
      <w:proofErr w:type="spellStart"/>
      <w:r w:rsidRPr="00A451BD">
        <w:rPr>
          <w:sz w:val="26"/>
          <w:szCs w:val="26"/>
        </w:rPr>
        <w:t>Penelec</w:t>
      </w:r>
      <w:proofErr w:type="spellEnd"/>
      <w:r w:rsidRPr="00A451BD">
        <w:rPr>
          <w:sz w:val="26"/>
          <w:szCs w:val="26"/>
        </w:rPr>
        <w:t xml:space="preserve">, as Applicant in this proceeding pursuant to </w:t>
      </w:r>
      <w:r w:rsidRPr="00A451BD">
        <w:rPr>
          <w:i/>
          <w:sz w:val="26"/>
          <w:szCs w:val="26"/>
        </w:rPr>
        <w:t>Joint Application of Mid-Atlantic Interstate Transmission, LLC, et al.</w:t>
      </w:r>
      <w:r w:rsidRPr="00A451BD">
        <w:rPr>
          <w:sz w:val="26"/>
          <w:szCs w:val="26"/>
        </w:rPr>
        <w:t xml:space="preserve">, Docket Nos. A-2015-2488903, </w:t>
      </w:r>
      <w:r w:rsidRPr="00A451BD">
        <w:rPr>
          <w:i/>
          <w:sz w:val="26"/>
          <w:szCs w:val="26"/>
        </w:rPr>
        <w:t>et al.</w:t>
      </w:r>
      <w:r w:rsidRPr="00A451BD">
        <w:rPr>
          <w:sz w:val="26"/>
          <w:szCs w:val="26"/>
        </w:rPr>
        <w:t xml:space="preserve"> (Order entered August 24, 2016) (</w:t>
      </w:r>
      <w:r w:rsidRPr="00A451BD">
        <w:rPr>
          <w:i/>
          <w:sz w:val="26"/>
          <w:szCs w:val="26"/>
        </w:rPr>
        <w:t>MAIT Order</w:t>
      </w:r>
      <w:r w:rsidRPr="00A451BD">
        <w:rPr>
          <w:sz w:val="26"/>
          <w:szCs w:val="26"/>
        </w:rPr>
        <w:t xml:space="preserve">).  MAIT and </w:t>
      </w:r>
      <w:proofErr w:type="spellStart"/>
      <w:r w:rsidRPr="00A451BD">
        <w:rPr>
          <w:sz w:val="26"/>
          <w:szCs w:val="26"/>
        </w:rPr>
        <w:t>Penelec</w:t>
      </w:r>
      <w:proofErr w:type="spellEnd"/>
      <w:r w:rsidRPr="00A451BD">
        <w:rPr>
          <w:sz w:val="26"/>
          <w:szCs w:val="26"/>
        </w:rPr>
        <w:t xml:space="preserve"> are both subsidiaries of FirstEnergy Corporation (FirstEnergy).  </w:t>
      </w:r>
      <w:r w:rsidRPr="00A451BD">
        <w:rPr>
          <w:color w:val="auto"/>
          <w:sz w:val="26"/>
          <w:szCs w:val="26"/>
        </w:rPr>
        <w:t xml:space="preserve">On March 16, 2017, </w:t>
      </w:r>
      <w:proofErr w:type="spellStart"/>
      <w:r w:rsidRPr="00A451BD">
        <w:rPr>
          <w:color w:val="auto"/>
          <w:sz w:val="26"/>
          <w:szCs w:val="26"/>
        </w:rPr>
        <w:t>Penelec</w:t>
      </w:r>
      <w:proofErr w:type="spellEnd"/>
      <w:r w:rsidRPr="00A451BD">
        <w:rPr>
          <w:color w:val="auto"/>
          <w:sz w:val="26"/>
          <w:szCs w:val="26"/>
        </w:rPr>
        <w:t xml:space="preserve"> filed Amendments to the Siting and Eminent Domain Applications to formally change the name of the Applicant from </w:t>
      </w:r>
      <w:proofErr w:type="spellStart"/>
      <w:r w:rsidRPr="00A451BD">
        <w:rPr>
          <w:color w:val="auto"/>
          <w:sz w:val="26"/>
          <w:szCs w:val="26"/>
        </w:rPr>
        <w:t>Penelec</w:t>
      </w:r>
      <w:proofErr w:type="spellEnd"/>
      <w:r w:rsidRPr="00A451BD">
        <w:rPr>
          <w:color w:val="auto"/>
          <w:sz w:val="26"/>
          <w:szCs w:val="26"/>
        </w:rPr>
        <w:t xml:space="preserve"> to MAIT.  Accordingly, we use the term “Applicant” to refer generally to </w:t>
      </w:r>
      <w:proofErr w:type="spellStart"/>
      <w:r w:rsidRPr="00A451BD">
        <w:rPr>
          <w:color w:val="auto"/>
          <w:sz w:val="26"/>
          <w:szCs w:val="26"/>
        </w:rPr>
        <w:t>Penelec</w:t>
      </w:r>
      <w:proofErr w:type="spellEnd"/>
      <w:r w:rsidRPr="00A451BD">
        <w:rPr>
          <w:color w:val="auto"/>
          <w:sz w:val="26"/>
          <w:szCs w:val="26"/>
        </w:rPr>
        <w:t xml:space="preserve"> and MAIT. </w:t>
      </w:r>
    </w:p>
  </w:footnote>
  <w:footnote w:id="2">
    <w:p w14:paraId="1DE11B51" w14:textId="62C66639" w:rsidR="000119A4" w:rsidRPr="00A451BD" w:rsidRDefault="000119A4" w:rsidP="00FE0FCB">
      <w:pPr>
        <w:keepNext/>
        <w:keepLines/>
        <w:spacing w:after="120"/>
        <w:rPr>
          <w:rFonts w:ascii="Calibri" w:eastAsia="Calibri" w:hAnsi="Calibri"/>
          <w:szCs w:val="26"/>
        </w:rPr>
      </w:pPr>
      <w:r w:rsidRPr="00A451BD">
        <w:rPr>
          <w:szCs w:val="26"/>
        </w:rPr>
        <w:tab/>
      </w:r>
      <w:r w:rsidRPr="00A451BD">
        <w:rPr>
          <w:rStyle w:val="FootnoteReference"/>
          <w:szCs w:val="26"/>
        </w:rPr>
        <w:footnoteRef/>
      </w:r>
      <w:r w:rsidRPr="00A451BD">
        <w:rPr>
          <w:szCs w:val="26"/>
        </w:rPr>
        <w:t xml:space="preserve"> </w:t>
      </w:r>
      <w:r w:rsidRPr="00A451BD">
        <w:rPr>
          <w:szCs w:val="26"/>
        </w:rPr>
        <w:tab/>
        <w:t xml:space="preserve">The Eminent Domain Applications were captioned and docketed as follows: Robin F. Miller and Tammy J. Miller, Docket No. A-2016-2565326; Katherine L. Ziegler, Docket No. A-2016-2565344; Fritz Land Holdings LP, Docket No. A-2016-2565360; James B. </w:t>
      </w:r>
      <w:proofErr w:type="spellStart"/>
      <w:r w:rsidRPr="00A451BD">
        <w:rPr>
          <w:szCs w:val="26"/>
        </w:rPr>
        <w:t>MacRae</w:t>
      </w:r>
      <w:proofErr w:type="spellEnd"/>
      <w:r w:rsidRPr="00A451BD">
        <w:rPr>
          <w:szCs w:val="26"/>
        </w:rPr>
        <w:t xml:space="preserve">, Jr. and Nancy K. </w:t>
      </w:r>
      <w:proofErr w:type="spellStart"/>
      <w:r w:rsidRPr="00A451BD">
        <w:rPr>
          <w:szCs w:val="26"/>
        </w:rPr>
        <w:t>MacRae</w:t>
      </w:r>
      <w:proofErr w:type="spellEnd"/>
      <w:r w:rsidRPr="00A451BD">
        <w:rPr>
          <w:szCs w:val="26"/>
        </w:rPr>
        <w:t xml:space="preserve">, Docket No. A-2016-2565364; Michael C. Long, Docket No. A-2016-2565368; Wilmore Coal Company, Docket No. A-2016-2565369; Frank J. </w:t>
      </w:r>
      <w:proofErr w:type="spellStart"/>
      <w:r w:rsidRPr="00A451BD">
        <w:rPr>
          <w:szCs w:val="26"/>
        </w:rPr>
        <w:t>Shenigo</w:t>
      </w:r>
      <w:proofErr w:type="spellEnd"/>
      <w:r w:rsidRPr="00A451BD">
        <w:rPr>
          <w:szCs w:val="26"/>
        </w:rPr>
        <w:t xml:space="preserve">, Trustee of Frank J. </w:t>
      </w:r>
      <w:proofErr w:type="spellStart"/>
      <w:r w:rsidRPr="00A451BD">
        <w:rPr>
          <w:szCs w:val="26"/>
        </w:rPr>
        <w:t>Shenigo</w:t>
      </w:r>
      <w:proofErr w:type="spellEnd"/>
      <w:r w:rsidRPr="00A451BD">
        <w:rPr>
          <w:szCs w:val="26"/>
        </w:rPr>
        <w:t xml:space="preserve"> Revocable Living Trust, Docket No. A-2016-2565377; Kenneth J. </w:t>
      </w:r>
      <w:proofErr w:type="spellStart"/>
      <w:r w:rsidRPr="00A451BD">
        <w:rPr>
          <w:szCs w:val="26"/>
        </w:rPr>
        <w:t>Skone</w:t>
      </w:r>
      <w:proofErr w:type="spellEnd"/>
      <w:r w:rsidRPr="00A451BD">
        <w:rPr>
          <w:szCs w:val="26"/>
        </w:rPr>
        <w:t xml:space="preserve"> and Karen Jane </w:t>
      </w:r>
      <w:proofErr w:type="spellStart"/>
      <w:r w:rsidRPr="00A451BD">
        <w:rPr>
          <w:szCs w:val="26"/>
        </w:rPr>
        <w:t>Skone</w:t>
      </w:r>
      <w:proofErr w:type="spellEnd"/>
      <w:r w:rsidRPr="00A451BD">
        <w:rPr>
          <w:szCs w:val="26"/>
        </w:rPr>
        <w:t xml:space="preserve">, Docket No. A-2016-2565378; Shirley J. Huston and Gary E. Lambert, Docket No. A-2016-2565472; Martha Lorraine Anderson and John S. Anderson, Docket No. A-2016-2565480; Dick B. </w:t>
      </w:r>
      <w:proofErr w:type="spellStart"/>
      <w:r w:rsidRPr="00A451BD">
        <w:rPr>
          <w:szCs w:val="26"/>
        </w:rPr>
        <w:t>Lohr</w:t>
      </w:r>
      <w:proofErr w:type="spellEnd"/>
      <w:r w:rsidRPr="00A451BD">
        <w:rPr>
          <w:szCs w:val="26"/>
        </w:rPr>
        <w:t xml:space="preserve"> and Karen G. </w:t>
      </w:r>
      <w:proofErr w:type="spellStart"/>
      <w:r w:rsidRPr="00A451BD">
        <w:rPr>
          <w:szCs w:val="26"/>
        </w:rPr>
        <w:t>Lohr</w:t>
      </w:r>
      <w:proofErr w:type="spellEnd"/>
      <w:r w:rsidRPr="00A451BD">
        <w:rPr>
          <w:szCs w:val="26"/>
        </w:rPr>
        <w:t xml:space="preserve">, Docket No. A-2016-2565502; Keith A. </w:t>
      </w:r>
      <w:proofErr w:type="spellStart"/>
      <w:r w:rsidRPr="00A451BD">
        <w:rPr>
          <w:szCs w:val="26"/>
        </w:rPr>
        <w:t>Lohr</w:t>
      </w:r>
      <w:proofErr w:type="spellEnd"/>
      <w:r w:rsidRPr="00A451BD">
        <w:rPr>
          <w:szCs w:val="26"/>
        </w:rPr>
        <w:t xml:space="preserve">, Docket No. A-2016-2565504; </w:t>
      </w:r>
      <w:proofErr w:type="spellStart"/>
      <w:r w:rsidRPr="00A451BD">
        <w:rPr>
          <w:szCs w:val="26"/>
        </w:rPr>
        <w:t>Robindale</w:t>
      </w:r>
      <w:proofErr w:type="spellEnd"/>
      <w:r w:rsidRPr="00A451BD">
        <w:rPr>
          <w:szCs w:val="26"/>
        </w:rPr>
        <w:t xml:space="preserve"> Energy Services, Inc., Docket No. A-2016-2565509; Scott M. Andrews and Audrey A. Andrews, Docket No. A-2016-2565543; Albert Stiles, Docket No. A-2016-2565545; Kathy R. Kelley and Jeffrey Kelley, Docket No. A-2016-2565547; </w:t>
      </w:r>
      <w:proofErr w:type="spellStart"/>
      <w:r w:rsidRPr="00A451BD">
        <w:rPr>
          <w:szCs w:val="26"/>
        </w:rPr>
        <w:t>Berwind</w:t>
      </w:r>
      <w:proofErr w:type="spellEnd"/>
      <w:r w:rsidRPr="00A451BD">
        <w:rPr>
          <w:szCs w:val="26"/>
        </w:rPr>
        <w:t xml:space="preserve"> Corporation, Docket No. A-2016-2565549; Vincent Beal, A-2016-2565635; and Brian C. Jones and Traci A. Jones, Docket No. A-2016-2565644.</w:t>
      </w:r>
    </w:p>
    <w:p w14:paraId="5FE1A1A1" w14:textId="77777777" w:rsidR="000119A4" w:rsidRPr="00A451BD" w:rsidRDefault="000119A4" w:rsidP="00FE0FCB">
      <w:pPr>
        <w:pStyle w:val="FootnoteText"/>
        <w:keepNext/>
        <w:keepLines/>
        <w:spacing w:after="120"/>
        <w:rPr>
          <w:sz w:val="26"/>
          <w:szCs w:val="26"/>
        </w:rPr>
      </w:pPr>
    </w:p>
  </w:footnote>
  <w:footnote w:id="3">
    <w:p w14:paraId="0D563FA7" w14:textId="43929A57" w:rsidR="000119A4" w:rsidRPr="00A451BD" w:rsidRDefault="000119A4" w:rsidP="00FE0FCB">
      <w:pPr>
        <w:pStyle w:val="FootnoteText"/>
        <w:keepNext/>
        <w:keepLines/>
        <w:spacing w:after="120"/>
        <w:rPr>
          <w:sz w:val="26"/>
          <w:szCs w:val="26"/>
        </w:rPr>
      </w:pPr>
      <w:r w:rsidRPr="00A451BD">
        <w:rPr>
          <w:sz w:val="26"/>
          <w:szCs w:val="26"/>
        </w:rPr>
        <w:tab/>
      </w:r>
      <w:r w:rsidRPr="00A451BD">
        <w:rPr>
          <w:rStyle w:val="FootnoteReference"/>
          <w:sz w:val="26"/>
          <w:szCs w:val="26"/>
        </w:rPr>
        <w:footnoteRef/>
      </w:r>
      <w:r w:rsidRPr="00A451BD">
        <w:rPr>
          <w:sz w:val="26"/>
          <w:szCs w:val="26"/>
        </w:rPr>
        <w:t xml:space="preserve"> </w:t>
      </w:r>
      <w:r w:rsidRPr="00A451BD">
        <w:rPr>
          <w:sz w:val="26"/>
          <w:szCs w:val="26"/>
        </w:rPr>
        <w:tab/>
        <w:t>Article I, Section 27 of the Pennsylvania Constitution, also known as the Environmental Rights Amendment, provides:</w:t>
      </w:r>
    </w:p>
    <w:p w14:paraId="678F6F8E" w14:textId="77777777" w:rsidR="000119A4" w:rsidRPr="00A451BD" w:rsidRDefault="000119A4" w:rsidP="00FE0FCB">
      <w:pPr>
        <w:pStyle w:val="FootnoteText"/>
        <w:keepNext/>
        <w:keepLines/>
        <w:spacing w:after="120"/>
        <w:rPr>
          <w:color w:val="212121"/>
          <w:sz w:val="26"/>
          <w:szCs w:val="26"/>
        </w:rPr>
      </w:pPr>
    </w:p>
    <w:p w14:paraId="2006F1C7" w14:textId="49711DD2" w:rsidR="000119A4" w:rsidRPr="00A451BD" w:rsidRDefault="000119A4" w:rsidP="00FE0FCB">
      <w:pPr>
        <w:pStyle w:val="FootnoteText"/>
        <w:keepNext/>
        <w:keepLines/>
        <w:spacing w:after="120"/>
        <w:ind w:left="1440" w:right="1350"/>
        <w:rPr>
          <w:sz w:val="26"/>
          <w:szCs w:val="26"/>
        </w:rPr>
      </w:pPr>
      <w:r w:rsidRPr="00A451BD">
        <w:rPr>
          <w:color w:val="212121"/>
          <w:sz w:val="26"/>
          <w:szCs w:val="26"/>
        </w:rPr>
        <w:t>The people have a right to clean air, pure water, and to the preservation of the natural, scenic, historic and esthetic values of the environment.  Pennsylvania's public natural resources are the common property of all the people, including generations yet to come.  As trustee of these resources, the Commonwealth shall conserve and maintain them for the benefit of all the people.</w:t>
      </w:r>
    </w:p>
  </w:footnote>
  <w:footnote w:id="4">
    <w:p w14:paraId="74F90C19" w14:textId="50162815" w:rsidR="000119A4" w:rsidRPr="00A451BD" w:rsidRDefault="000119A4" w:rsidP="00FE0FCB">
      <w:pPr>
        <w:pStyle w:val="FootnoteText"/>
        <w:keepNext/>
        <w:keepLines/>
        <w:spacing w:after="120"/>
        <w:rPr>
          <w:sz w:val="26"/>
        </w:rPr>
      </w:pPr>
      <w:r w:rsidRPr="00A451BD">
        <w:rPr>
          <w:sz w:val="26"/>
        </w:rPr>
        <w:tab/>
      </w:r>
      <w:r w:rsidRPr="00A451BD">
        <w:rPr>
          <w:rStyle w:val="FootnoteReference"/>
          <w:sz w:val="26"/>
        </w:rPr>
        <w:footnoteRef/>
      </w:r>
      <w:r w:rsidRPr="00A451BD">
        <w:rPr>
          <w:sz w:val="26"/>
        </w:rPr>
        <w:t xml:space="preserve"> </w:t>
      </w:r>
      <w:r w:rsidRPr="00A451BD">
        <w:rPr>
          <w:sz w:val="26"/>
        </w:rPr>
        <w:tab/>
      </w:r>
      <w:r w:rsidRPr="00A451BD">
        <w:rPr>
          <w:i/>
          <w:sz w:val="26"/>
        </w:rPr>
        <w:t>See</w:t>
      </w:r>
      <w:r w:rsidRPr="00A451BD">
        <w:rPr>
          <w:sz w:val="26"/>
        </w:rPr>
        <w:t xml:space="preserve"> R.D. at 51.</w:t>
      </w:r>
    </w:p>
  </w:footnote>
  <w:footnote w:id="5">
    <w:p w14:paraId="11521BBD" w14:textId="06C824CC" w:rsidR="000119A4" w:rsidRPr="00A451BD" w:rsidRDefault="000119A4" w:rsidP="00FE0FCB">
      <w:pPr>
        <w:pStyle w:val="FootnoteText"/>
        <w:keepNext/>
        <w:keepLines/>
        <w:spacing w:after="120"/>
        <w:rPr>
          <w:sz w:val="26"/>
        </w:rPr>
      </w:pPr>
      <w:r w:rsidRPr="00A451BD">
        <w:rPr>
          <w:sz w:val="26"/>
        </w:rPr>
        <w:tab/>
      </w:r>
      <w:r w:rsidRPr="00A451BD">
        <w:rPr>
          <w:rStyle w:val="FootnoteReference"/>
          <w:sz w:val="26"/>
        </w:rPr>
        <w:footnoteRef/>
      </w:r>
      <w:r w:rsidRPr="00A451BD">
        <w:rPr>
          <w:sz w:val="26"/>
        </w:rPr>
        <w:t xml:space="preserve"> </w:t>
      </w:r>
      <w:r w:rsidRPr="00A451BD">
        <w:rPr>
          <w:sz w:val="26"/>
        </w:rPr>
        <w:tab/>
        <w:t xml:space="preserve">The decision in </w:t>
      </w:r>
      <w:r w:rsidRPr="00A451BD">
        <w:rPr>
          <w:i/>
          <w:sz w:val="26"/>
        </w:rPr>
        <w:t>PEDF</w:t>
      </w:r>
      <w:r w:rsidRPr="00A451BD">
        <w:rPr>
          <w:sz w:val="26"/>
        </w:rPr>
        <w:t xml:space="preserve"> was issued after the evidentiary record in this proceeding had closed. </w:t>
      </w:r>
      <w:r w:rsidR="00E005DD">
        <w:rPr>
          <w:sz w:val="26"/>
        </w:rPr>
        <w:t xml:space="preserve"> </w:t>
      </w:r>
      <w:r w:rsidRPr="00A451BD">
        <w:rPr>
          <w:sz w:val="26"/>
        </w:rPr>
        <w:t>Neither the Applicant nor any of the other parties to this proceeding were parties to that appeal.  As that matter did not involve the regulation of public utilities, it is understandable that the parties did not appreciate the implication of the decision and bring this case to the attention of the presiding ALJ.</w:t>
      </w:r>
    </w:p>
  </w:footnote>
  <w:footnote w:id="6">
    <w:p w14:paraId="15FED07E" w14:textId="5012F3E9" w:rsidR="000119A4" w:rsidRPr="00A451BD" w:rsidRDefault="000119A4" w:rsidP="00FE0FCB">
      <w:pPr>
        <w:keepNext/>
        <w:keepLines/>
        <w:spacing w:after="120"/>
      </w:pPr>
      <w:r w:rsidRPr="00A451BD">
        <w:tab/>
      </w:r>
      <w:r w:rsidRPr="00A451BD">
        <w:rPr>
          <w:rStyle w:val="FootnoteReference"/>
        </w:rPr>
        <w:footnoteRef/>
      </w:r>
      <w:r w:rsidRPr="00A451BD">
        <w:tab/>
      </w:r>
      <w:r w:rsidRPr="00A451BD">
        <w:rPr>
          <w:szCs w:val="26"/>
        </w:rPr>
        <w:t xml:space="preserve">This </w:t>
      </w:r>
      <w:r w:rsidRPr="00A451BD">
        <w:rPr>
          <w:bCs/>
          <w:szCs w:val="26"/>
        </w:rPr>
        <w:t xml:space="preserve">condition is similar to a provision required in </w:t>
      </w:r>
      <w:r w:rsidRPr="00A451BD">
        <w:rPr>
          <w:i/>
          <w:szCs w:val="26"/>
        </w:rPr>
        <w:t>Application of PPL Electric Utilities Corporation Filed Pursuant to 52 Pa. Code Chapter 57, Subchapter G, for Approval of the Siting and Construction of the Pennsylvania Portion of The Proposed Susquehanna-Roseland 500 kV Transmission Line in Portions of Lackawanna,</w:t>
      </w:r>
      <w:r w:rsidR="00D64F20">
        <w:rPr>
          <w:i/>
          <w:szCs w:val="26"/>
        </w:rPr>
        <w:t xml:space="preserve"> </w:t>
      </w:r>
      <w:r w:rsidRPr="00A451BD">
        <w:rPr>
          <w:i/>
          <w:szCs w:val="26"/>
        </w:rPr>
        <w:t>Luzerne, Monroe, Pike and Wayne Counties, Pennsylvania</w:t>
      </w:r>
      <w:r w:rsidRPr="00A451BD">
        <w:rPr>
          <w:szCs w:val="26"/>
        </w:rPr>
        <w:t xml:space="preserve">, </w:t>
      </w:r>
      <w:r w:rsidRPr="00A451BD">
        <w:t xml:space="preserve">Docket Nos. A-2009-2082652, </w:t>
      </w:r>
      <w:r w:rsidRPr="00A451BD">
        <w:rPr>
          <w:i/>
        </w:rPr>
        <w:t>et al</w:t>
      </w:r>
      <w:r w:rsidRPr="00A451BD">
        <w:t>. (Order entered February 12, 2010) at 141, Ordering Paragraph 7.B.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1322E"/>
    <w:multiLevelType w:val="hybridMultilevel"/>
    <w:tmpl w:val="5F887800"/>
    <w:lvl w:ilvl="0" w:tplc="673CD6D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E1F215C"/>
    <w:multiLevelType w:val="hybridMultilevel"/>
    <w:tmpl w:val="941A304A"/>
    <w:lvl w:ilvl="0" w:tplc="2F44D05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0154DF7"/>
    <w:multiLevelType w:val="hybridMultilevel"/>
    <w:tmpl w:val="740EAF8E"/>
    <w:lvl w:ilvl="0" w:tplc="DDBC2DCC">
      <w:start w:val="2"/>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34B67595"/>
    <w:multiLevelType w:val="hybridMultilevel"/>
    <w:tmpl w:val="13BED32A"/>
    <w:lvl w:ilvl="0" w:tplc="293E8D4C">
      <w:start w:val="10"/>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4E710D59"/>
    <w:multiLevelType w:val="hybridMultilevel"/>
    <w:tmpl w:val="F19CA5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43316F"/>
    <w:multiLevelType w:val="hybridMultilevel"/>
    <w:tmpl w:val="51CEA39A"/>
    <w:lvl w:ilvl="0" w:tplc="1B0A9D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895"/>
    <w:rsid w:val="00001598"/>
    <w:rsid w:val="0000396B"/>
    <w:rsid w:val="0000448C"/>
    <w:rsid w:val="00004F83"/>
    <w:rsid w:val="00007068"/>
    <w:rsid w:val="00010930"/>
    <w:rsid w:val="000119A4"/>
    <w:rsid w:val="00012277"/>
    <w:rsid w:val="0001513D"/>
    <w:rsid w:val="00016B0B"/>
    <w:rsid w:val="000171B7"/>
    <w:rsid w:val="00017B47"/>
    <w:rsid w:val="000212DD"/>
    <w:rsid w:val="0002455E"/>
    <w:rsid w:val="00027455"/>
    <w:rsid w:val="00031927"/>
    <w:rsid w:val="0003280C"/>
    <w:rsid w:val="00033C37"/>
    <w:rsid w:val="00033EF0"/>
    <w:rsid w:val="000346DD"/>
    <w:rsid w:val="00034A06"/>
    <w:rsid w:val="00034A7F"/>
    <w:rsid w:val="000356D0"/>
    <w:rsid w:val="000421EA"/>
    <w:rsid w:val="00044EF7"/>
    <w:rsid w:val="00046DC5"/>
    <w:rsid w:val="000478C8"/>
    <w:rsid w:val="00047A23"/>
    <w:rsid w:val="00054A37"/>
    <w:rsid w:val="0005503E"/>
    <w:rsid w:val="000565CF"/>
    <w:rsid w:val="00060AC4"/>
    <w:rsid w:val="00061A7C"/>
    <w:rsid w:val="0006256E"/>
    <w:rsid w:val="00062B8A"/>
    <w:rsid w:val="0006310D"/>
    <w:rsid w:val="0006431F"/>
    <w:rsid w:val="000643FB"/>
    <w:rsid w:val="00064413"/>
    <w:rsid w:val="0006575D"/>
    <w:rsid w:val="00066856"/>
    <w:rsid w:val="00066954"/>
    <w:rsid w:val="00070288"/>
    <w:rsid w:val="0007075E"/>
    <w:rsid w:val="000724B7"/>
    <w:rsid w:val="00073402"/>
    <w:rsid w:val="000764ED"/>
    <w:rsid w:val="00077260"/>
    <w:rsid w:val="000776C0"/>
    <w:rsid w:val="000827CA"/>
    <w:rsid w:val="0008309E"/>
    <w:rsid w:val="000834B4"/>
    <w:rsid w:val="00084260"/>
    <w:rsid w:val="0008431D"/>
    <w:rsid w:val="00084A9B"/>
    <w:rsid w:val="00087139"/>
    <w:rsid w:val="00090E28"/>
    <w:rsid w:val="00091894"/>
    <w:rsid w:val="00091C04"/>
    <w:rsid w:val="00093A10"/>
    <w:rsid w:val="00094FD3"/>
    <w:rsid w:val="00095467"/>
    <w:rsid w:val="00095C5D"/>
    <w:rsid w:val="0009714A"/>
    <w:rsid w:val="000A03EF"/>
    <w:rsid w:val="000A1477"/>
    <w:rsid w:val="000A3527"/>
    <w:rsid w:val="000A3659"/>
    <w:rsid w:val="000A3F60"/>
    <w:rsid w:val="000A47BF"/>
    <w:rsid w:val="000A4A94"/>
    <w:rsid w:val="000A628D"/>
    <w:rsid w:val="000A7484"/>
    <w:rsid w:val="000B1929"/>
    <w:rsid w:val="000B1F1C"/>
    <w:rsid w:val="000B36DD"/>
    <w:rsid w:val="000B3839"/>
    <w:rsid w:val="000B5AD1"/>
    <w:rsid w:val="000B63C6"/>
    <w:rsid w:val="000C0224"/>
    <w:rsid w:val="000C1CEE"/>
    <w:rsid w:val="000C5F16"/>
    <w:rsid w:val="000D03DA"/>
    <w:rsid w:val="000D1242"/>
    <w:rsid w:val="000D1F8D"/>
    <w:rsid w:val="000D2FAA"/>
    <w:rsid w:val="000D42F0"/>
    <w:rsid w:val="000D4AD4"/>
    <w:rsid w:val="000D62A3"/>
    <w:rsid w:val="000D74FD"/>
    <w:rsid w:val="000D7869"/>
    <w:rsid w:val="000E0D9A"/>
    <w:rsid w:val="000E36A5"/>
    <w:rsid w:val="000E6117"/>
    <w:rsid w:val="000E6728"/>
    <w:rsid w:val="000E755D"/>
    <w:rsid w:val="000F006B"/>
    <w:rsid w:val="000F0DA7"/>
    <w:rsid w:val="000F2DDA"/>
    <w:rsid w:val="000F3C8C"/>
    <w:rsid w:val="000F5595"/>
    <w:rsid w:val="000F5AB0"/>
    <w:rsid w:val="000F73FC"/>
    <w:rsid w:val="00101A97"/>
    <w:rsid w:val="0010246C"/>
    <w:rsid w:val="0010370E"/>
    <w:rsid w:val="00103BD1"/>
    <w:rsid w:val="00103D52"/>
    <w:rsid w:val="001049BE"/>
    <w:rsid w:val="00106962"/>
    <w:rsid w:val="00107F51"/>
    <w:rsid w:val="0011021D"/>
    <w:rsid w:val="00110694"/>
    <w:rsid w:val="001121BC"/>
    <w:rsid w:val="00112C34"/>
    <w:rsid w:val="00113721"/>
    <w:rsid w:val="001150A1"/>
    <w:rsid w:val="0011756F"/>
    <w:rsid w:val="00117773"/>
    <w:rsid w:val="001213D0"/>
    <w:rsid w:val="00122D0B"/>
    <w:rsid w:val="00124884"/>
    <w:rsid w:val="00124AEA"/>
    <w:rsid w:val="0012549B"/>
    <w:rsid w:val="001257A4"/>
    <w:rsid w:val="00127473"/>
    <w:rsid w:val="0013041F"/>
    <w:rsid w:val="00133861"/>
    <w:rsid w:val="00133878"/>
    <w:rsid w:val="00135770"/>
    <w:rsid w:val="00135D68"/>
    <w:rsid w:val="00135D77"/>
    <w:rsid w:val="00136208"/>
    <w:rsid w:val="00137CC5"/>
    <w:rsid w:val="00141AB9"/>
    <w:rsid w:val="00142726"/>
    <w:rsid w:val="0014333F"/>
    <w:rsid w:val="00144609"/>
    <w:rsid w:val="00145AC2"/>
    <w:rsid w:val="00150D08"/>
    <w:rsid w:val="00151623"/>
    <w:rsid w:val="0015190E"/>
    <w:rsid w:val="00152693"/>
    <w:rsid w:val="00152B89"/>
    <w:rsid w:val="00152E1B"/>
    <w:rsid w:val="00155E13"/>
    <w:rsid w:val="001561DB"/>
    <w:rsid w:val="00156282"/>
    <w:rsid w:val="00156BAE"/>
    <w:rsid w:val="0016453B"/>
    <w:rsid w:val="00164AC8"/>
    <w:rsid w:val="0016507A"/>
    <w:rsid w:val="00165639"/>
    <w:rsid w:val="00166FF6"/>
    <w:rsid w:val="00170FA1"/>
    <w:rsid w:val="00171155"/>
    <w:rsid w:val="00171CC3"/>
    <w:rsid w:val="00171DEF"/>
    <w:rsid w:val="00172540"/>
    <w:rsid w:val="0017376D"/>
    <w:rsid w:val="00175563"/>
    <w:rsid w:val="00175F7D"/>
    <w:rsid w:val="00176BC1"/>
    <w:rsid w:val="00177638"/>
    <w:rsid w:val="00180D35"/>
    <w:rsid w:val="001822F2"/>
    <w:rsid w:val="00183ED3"/>
    <w:rsid w:val="001860A4"/>
    <w:rsid w:val="00186BCD"/>
    <w:rsid w:val="00187193"/>
    <w:rsid w:val="00187ABA"/>
    <w:rsid w:val="00190DCD"/>
    <w:rsid w:val="0019300F"/>
    <w:rsid w:val="00193C2D"/>
    <w:rsid w:val="00194634"/>
    <w:rsid w:val="00194832"/>
    <w:rsid w:val="001958A5"/>
    <w:rsid w:val="00195BC2"/>
    <w:rsid w:val="0019620D"/>
    <w:rsid w:val="001962AD"/>
    <w:rsid w:val="00196CB1"/>
    <w:rsid w:val="00196F1E"/>
    <w:rsid w:val="001A013B"/>
    <w:rsid w:val="001A04AC"/>
    <w:rsid w:val="001A08F6"/>
    <w:rsid w:val="001A0D34"/>
    <w:rsid w:val="001A0E3F"/>
    <w:rsid w:val="001A2524"/>
    <w:rsid w:val="001A3845"/>
    <w:rsid w:val="001A47A9"/>
    <w:rsid w:val="001B3387"/>
    <w:rsid w:val="001B3B69"/>
    <w:rsid w:val="001B4734"/>
    <w:rsid w:val="001B5943"/>
    <w:rsid w:val="001C13F2"/>
    <w:rsid w:val="001C2894"/>
    <w:rsid w:val="001C42D5"/>
    <w:rsid w:val="001C436B"/>
    <w:rsid w:val="001C4490"/>
    <w:rsid w:val="001C6A14"/>
    <w:rsid w:val="001C756F"/>
    <w:rsid w:val="001D19F7"/>
    <w:rsid w:val="001D1BF7"/>
    <w:rsid w:val="001D1DED"/>
    <w:rsid w:val="001D1FA9"/>
    <w:rsid w:val="001D21D1"/>
    <w:rsid w:val="001D4C63"/>
    <w:rsid w:val="001D5895"/>
    <w:rsid w:val="001D6408"/>
    <w:rsid w:val="001D77B5"/>
    <w:rsid w:val="001E092E"/>
    <w:rsid w:val="001E1014"/>
    <w:rsid w:val="001E6C88"/>
    <w:rsid w:val="001E74E1"/>
    <w:rsid w:val="001E77ED"/>
    <w:rsid w:val="001F03FC"/>
    <w:rsid w:val="001F1CA1"/>
    <w:rsid w:val="001F2B4E"/>
    <w:rsid w:val="001F5949"/>
    <w:rsid w:val="001F7290"/>
    <w:rsid w:val="00201435"/>
    <w:rsid w:val="00201FBB"/>
    <w:rsid w:val="00207229"/>
    <w:rsid w:val="00212855"/>
    <w:rsid w:val="00215D11"/>
    <w:rsid w:val="0021679E"/>
    <w:rsid w:val="00220059"/>
    <w:rsid w:val="00221165"/>
    <w:rsid w:val="00222656"/>
    <w:rsid w:val="00224052"/>
    <w:rsid w:val="00225646"/>
    <w:rsid w:val="00230A68"/>
    <w:rsid w:val="002346B7"/>
    <w:rsid w:val="00234F6D"/>
    <w:rsid w:val="00237891"/>
    <w:rsid w:val="00237C85"/>
    <w:rsid w:val="00237D75"/>
    <w:rsid w:val="002405F5"/>
    <w:rsid w:val="002425E0"/>
    <w:rsid w:val="002431EB"/>
    <w:rsid w:val="002437DF"/>
    <w:rsid w:val="00243814"/>
    <w:rsid w:val="0024638C"/>
    <w:rsid w:val="0024644A"/>
    <w:rsid w:val="00247258"/>
    <w:rsid w:val="00251F27"/>
    <w:rsid w:val="00252D08"/>
    <w:rsid w:val="00253152"/>
    <w:rsid w:val="0025361E"/>
    <w:rsid w:val="00254470"/>
    <w:rsid w:val="0025499E"/>
    <w:rsid w:val="00256151"/>
    <w:rsid w:val="00256334"/>
    <w:rsid w:val="002608DA"/>
    <w:rsid w:val="002608E3"/>
    <w:rsid w:val="00260DCA"/>
    <w:rsid w:val="00261C13"/>
    <w:rsid w:val="00261F12"/>
    <w:rsid w:val="00263201"/>
    <w:rsid w:val="00263890"/>
    <w:rsid w:val="002655FC"/>
    <w:rsid w:val="00266815"/>
    <w:rsid w:val="002706F1"/>
    <w:rsid w:val="00270F7E"/>
    <w:rsid w:val="00272254"/>
    <w:rsid w:val="0027336F"/>
    <w:rsid w:val="00273E10"/>
    <w:rsid w:val="0027490F"/>
    <w:rsid w:val="00274C62"/>
    <w:rsid w:val="00275ADC"/>
    <w:rsid w:val="0027610D"/>
    <w:rsid w:val="002761C1"/>
    <w:rsid w:val="00276375"/>
    <w:rsid w:val="00276830"/>
    <w:rsid w:val="002779E8"/>
    <w:rsid w:val="00277A3F"/>
    <w:rsid w:val="002810B2"/>
    <w:rsid w:val="00282440"/>
    <w:rsid w:val="002831D6"/>
    <w:rsid w:val="00283705"/>
    <w:rsid w:val="00286D71"/>
    <w:rsid w:val="002871A9"/>
    <w:rsid w:val="00287574"/>
    <w:rsid w:val="00290846"/>
    <w:rsid w:val="0029442D"/>
    <w:rsid w:val="00296039"/>
    <w:rsid w:val="00297F6A"/>
    <w:rsid w:val="002A05AC"/>
    <w:rsid w:val="002A1364"/>
    <w:rsid w:val="002A1B1F"/>
    <w:rsid w:val="002A25AA"/>
    <w:rsid w:val="002A46B7"/>
    <w:rsid w:val="002A773E"/>
    <w:rsid w:val="002B01DF"/>
    <w:rsid w:val="002B09C9"/>
    <w:rsid w:val="002B0F4E"/>
    <w:rsid w:val="002B0FA3"/>
    <w:rsid w:val="002B27A6"/>
    <w:rsid w:val="002B3591"/>
    <w:rsid w:val="002B3C64"/>
    <w:rsid w:val="002B7FCE"/>
    <w:rsid w:val="002C1375"/>
    <w:rsid w:val="002C19B0"/>
    <w:rsid w:val="002C1A97"/>
    <w:rsid w:val="002C1D11"/>
    <w:rsid w:val="002C1FA1"/>
    <w:rsid w:val="002C2894"/>
    <w:rsid w:val="002D00EB"/>
    <w:rsid w:val="002D17F4"/>
    <w:rsid w:val="002D1CA9"/>
    <w:rsid w:val="002D2A56"/>
    <w:rsid w:val="002D338B"/>
    <w:rsid w:val="002D3D8E"/>
    <w:rsid w:val="002D5870"/>
    <w:rsid w:val="002D59E5"/>
    <w:rsid w:val="002D5DC4"/>
    <w:rsid w:val="002D7491"/>
    <w:rsid w:val="002E2CE0"/>
    <w:rsid w:val="002E305A"/>
    <w:rsid w:val="002E517D"/>
    <w:rsid w:val="002E54D5"/>
    <w:rsid w:val="002E5559"/>
    <w:rsid w:val="002E64ED"/>
    <w:rsid w:val="002E72DF"/>
    <w:rsid w:val="002F094B"/>
    <w:rsid w:val="002F09E6"/>
    <w:rsid w:val="002F2005"/>
    <w:rsid w:val="002F25F6"/>
    <w:rsid w:val="002F2605"/>
    <w:rsid w:val="002F3080"/>
    <w:rsid w:val="002F3580"/>
    <w:rsid w:val="002F3F0C"/>
    <w:rsid w:val="002F4EBC"/>
    <w:rsid w:val="002F67FF"/>
    <w:rsid w:val="0030125B"/>
    <w:rsid w:val="00301316"/>
    <w:rsid w:val="00301B73"/>
    <w:rsid w:val="00302035"/>
    <w:rsid w:val="003046B2"/>
    <w:rsid w:val="00306193"/>
    <w:rsid w:val="00307B3B"/>
    <w:rsid w:val="00310355"/>
    <w:rsid w:val="00312382"/>
    <w:rsid w:val="003130C1"/>
    <w:rsid w:val="003130D3"/>
    <w:rsid w:val="003131FF"/>
    <w:rsid w:val="00313422"/>
    <w:rsid w:val="00313B04"/>
    <w:rsid w:val="003148F5"/>
    <w:rsid w:val="0031570E"/>
    <w:rsid w:val="00316FF1"/>
    <w:rsid w:val="00320409"/>
    <w:rsid w:val="00320DD5"/>
    <w:rsid w:val="00321363"/>
    <w:rsid w:val="00321E6D"/>
    <w:rsid w:val="00322AA5"/>
    <w:rsid w:val="00322CD9"/>
    <w:rsid w:val="003244AC"/>
    <w:rsid w:val="00324B27"/>
    <w:rsid w:val="00324C58"/>
    <w:rsid w:val="00327077"/>
    <w:rsid w:val="0032782D"/>
    <w:rsid w:val="0033054C"/>
    <w:rsid w:val="003307E4"/>
    <w:rsid w:val="0033192B"/>
    <w:rsid w:val="00332B55"/>
    <w:rsid w:val="00335855"/>
    <w:rsid w:val="003364D1"/>
    <w:rsid w:val="003372AB"/>
    <w:rsid w:val="003402C6"/>
    <w:rsid w:val="003416D8"/>
    <w:rsid w:val="00342F7C"/>
    <w:rsid w:val="003441BD"/>
    <w:rsid w:val="00352A30"/>
    <w:rsid w:val="00352E14"/>
    <w:rsid w:val="00353435"/>
    <w:rsid w:val="00354095"/>
    <w:rsid w:val="00355991"/>
    <w:rsid w:val="00355C87"/>
    <w:rsid w:val="0035639B"/>
    <w:rsid w:val="00357B4F"/>
    <w:rsid w:val="00361351"/>
    <w:rsid w:val="00361CD9"/>
    <w:rsid w:val="003634D4"/>
    <w:rsid w:val="00363D88"/>
    <w:rsid w:val="00366563"/>
    <w:rsid w:val="00366BCE"/>
    <w:rsid w:val="00367487"/>
    <w:rsid w:val="00367D20"/>
    <w:rsid w:val="00372C47"/>
    <w:rsid w:val="00373657"/>
    <w:rsid w:val="00374741"/>
    <w:rsid w:val="003755FF"/>
    <w:rsid w:val="00377EE0"/>
    <w:rsid w:val="00380259"/>
    <w:rsid w:val="00380B82"/>
    <w:rsid w:val="00380DCA"/>
    <w:rsid w:val="003824A2"/>
    <w:rsid w:val="00383A58"/>
    <w:rsid w:val="003851C9"/>
    <w:rsid w:val="003876B0"/>
    <w:rsid w:val="00390EC5"/>
    <w:rsid w:val="003926F5"/>
    <w:rsid w:val="00393F07"/>
    <w:rsid w:val="00394B3E"/>
    <w:rsid w:val="0039585D"/>
    <w:rsid w:val="00396689"/>
    <w:rsid w:val="003974D0"/>
    <w:rsid w:val="003A1EEF"/>
    <w:rsid w:val="003A382D"/>
    <w:rsid w:val="003A7A08"/>
    <w:rsid w:val="003B165D"/>
    <w:rsid w:val="003B4146"/>
    <w:rsid w:val="003B736A"/>
    <w:rsid w:val="003C01A3"/>
    <w:rsid w:val="003C0EBE"/>
    <w:rsid w:val="003C23B3"/>
    <w:rsid w:val="003C28B4"/>
    <w:rsid w:val="003C394F"/>
    <w:rsid w:val="003C48C3"/>
    <w:rsid w:val="003C4E1F"/>
    <w:rsid w:val="003C4E35"/>
    <w:rsid w:val="003C536B"/>
    <w:rsid w:val="003C7488"/>
    <w:rsid w:val="003C799F"/>
    <w:rsid w:val="003D05D8"/>
    <w:rsid w:val="003D25EC"/>
    <w:rsid w:val="003D26A2"/>
    <w:rsid w:val="003D2A51"/>
    <w:rsid w:val="003D330F"/>
    <w:rsid w:val="003D4080"/>
    <w:rsid w:val="003D601B"/>
    <w:rsid w:val="003D78C6"/>
    <w:rsid w:val="003E0D11"/>
    <w:rsid w:val="003E2DC3"/>
    <w:rsid w:val="003E50C5"/>
    <w:rsid w:val="003E50D4"/>
    <w:rsid w:val="003E53AB"/>
    <w:rsid w:val="003E5BCD"/>
    <w:rsid w:val="003E71E6"/>
    <w:rsid w:val="003E7424"/>
    <w:rsid w:val="003E76ED"/>
    <w:rsid w:val="003E7B98"/>
    <w:rsid w:val="003F1B3F"/>
    <w:rsid w:val="003F25FF"/>
    <w:rsid w:val="003F300D"/>
    <w:rsid w:val="003F3B10"/>
    <w:rsid w:val="003F44CF"/>
    <w:rsid w:val="003F4A5F"/>
    <w:rsid w:val="003F5049"/>
    <w:rsid w:val="003F5B76"/>
    <w:rsid w:val="003F6200"/>
    <w:rsid w:val="003F6B83"/>
    <w:rsid w:val="003F6BEE"/>
    <w:rsid w:val="003F6CB8"/>
    <w:rsid w:val="003F7366"/>
    <w:rsid w:val="003F7CC0"/>
    <w:rsid w:val="0040036A"/>
    <w:rsid w:val="0040303F"/>
    <w:rsid w:val="00403452"/>
    <w:rsid w:val="00403520"/>
    <w:rsid w:val="00404F7C"/>
    <w:rsid w:val="00406392"/>
    <w:rsid w:val="00406B87"/>
    <w:rsid w:val="00413680"/>
    <w:rsid w:val="004140B5"/>
    <w:rsid w:val="00414436"/>
    <w:rsid w:val="00414697"/>
    <w:rsid w:val="00417F99"/>
    <w:rsid w:val="004232D3"/>
    <w:rsid w:val="0042382F"/>
    <w:rsid w:val="004255A5"/>
    <w:rsid w:val="00426FF9"/>
    <w:rsid w:val="00430CBA"/>
    <w:rsid w:val="0043135F"/>
    <w:rsid w:val="00432E86"/>
    <w:rsid w:val="00435D03"/>
    <w:rsid w:val="0043726B"/>
    <w:rsid w:val="00437569"/>
    <w:rsid w:val="0044651B"/>
    <w:rsid w:val="00450BEE"/>
    <w:rsid w:val="00450C02"/>
    <w:rsid w:val="004511E5"/>
    <w:rsid w:val="004511FD"/>
    <w:rsid w:val="00451DD0"/>
    <w:rsid w:val="00452A75"/>
    <w:rsid w:val="00453053"/>
    <w:rsid w:val="004546FD"/>
    <w:rsid w:val="00455153"/>
    <w:rsid w:val="00455892"/>
    <w:rsid w:val="00456DFB"/>
    <w:rsid w:val="00457490"/>
    <w:rsid w:val="00460329"/>
    <w:rsid w:val="00461815"/>
    <w:rsid w:val="00461E1B"/>
    <w:rsid w:val="00462615"/>
    <w:rsid w:val="00465FAC"/>
    <w:rsid w:val="004670A8"/>
    <w:rsid w:val="00467C59"/>
    <w:rsid w:val="004711CE"/>
    <w:rsid w:val="00471F51"/>
    <w:rsid w:val="00475BC7"/>
    <w:rsid w:val="00477945"/>
    <w:rsid w:val="004816B9"/>
    <w:rsid w:val="00482668"/>
    <w:rsid w:val="004829FB"/>
    <w:rsid w:val="00483380"/>
    <w:rsid w:val="00483502"/>
    <w:rsid w:val="00484D41"/>
    <w:rsid w:val="0048540B"/>
    <w:rsid w:val="004856AA"/>
    <w:rsid w:val="00487C4E"/>
    <w:rsid w:val="004911B0"/>
    <w:rsid w:val="00491328"/>
    <w:rsid w:val="00491900"/>
    <w:rsid w:val="00494C95"/>
    <w:rsid w:val="0049500C"/>
    <w:rsid w:val="004965CE"/>
    <w:rsid w:val="0049733E"/>
    <w:rsid w:val="004A25F0"/>
    <w:rsid w:val="004A2F10"/>
    <w:rsid w:val="004A3D7A"/>
    <w:rsid w:val="004A5066"/>
    <w:rsid w:val="004A6D5D"/>
    <w:rsid w:val="004A736F"/>
    <w:rsid w:val="004A75A4"/>
    <w:rsid w:val="004B2BC4"/>
    <w:rsid w:val="004B30FD"/>
    <w:rsid w:val="004B322B"/>
    <w:rsid w:val="004B4369"/>
    <w:rsid w:val="004B46AD"/>
    <w:rsid w:val="004B4B05"/>
    <w:rsid w:val="004B57B4"/>
    <w:rsid w:val="004B5BA9"/>
    <w:rsid w:val="004B61AB"/>
    <w:rsid w:val="004B6662"/>
    <w:rsid w:val="004C1725"/>
    <w:rsid w:val="004C1A4E"/>
    <w:rsid w:val="004C1EB7"/>
    <w:rsid w:val="004C6701"/>
    <w:rsid w:val="004C7E3E"/>
    <w:rsid w:val="004C7ED8"/>
    <w:rsid w:val="004D0ABA"/>
    <w:rsid w:val="004D15B7"/>
    <w:rsid w:val="004D3D1E"/>
    <w:rsid w:val="004D4521"/>
    <w:rsid w:val="004D4D2F"/>
    <w:rsid w:val="004D5080"/>
    <w:rsid w:val="004E155B"/>
    <w:rsid w:val="004E1790"/>
    <w:rsid w:val="004E281A"/>
    <w:rsid w:val="004E29CD"/>
    <w:rsid w:val="004E3E15"/>
    <w:rsid w:val="004E5CAC"/>
    <w:rsid w:val="004E69E8"/>
    <w:rsid w:val="004F0428"/>
    <w:rsid w:val="004F2857"/>
    <w:rsid w:val="004F4F44"/>
    <w:rsid w:val="004F510C"/>
    <w:rsid w:val="004F6EF8"/>
    <w:rsid w:val="004F706A"/>
    <w:rsid w:val="004F7841"/>
    <w:rsid w:val="0050386D"/>
    <w:rsid w:val="00506106"/>
    <w:rsid w:val="005100FA"/>
    <w:rsid w:val="00512565"/>
    <w:rsid w:val="00513175"/>
    <w:rsid w:val="00514214"/>
    <w:rsid w:val="0052290F"/>
    <w:rsid w:val="00524B65"/>
    <w:rsid w:val="00526259"/>
    <w:rsid w:val="00526D27"/>
    <w:rsid w:val="00530609"/>
    <w:rsid w:val="00530EC1"/>
    <w:rsid w:val="005321A0"/>
    <w:rsid w:val="00532B80"/>
    <w:rsid w:val="00536B1F"/>
    <w:rsid w:val="0053760A"/>
    <w:rsid w:val="00537FE4"/>
    <w:rsid w:val="00542501"/>
    <w:rsid w:val="005425FA"/>
    <w:rsid w:val="005449FE"/>
    <w:rsid w:val="00545677"/>
    <w:rsid w:val="0055172E"/>
    <w:rsid w:val="00552BB8"/>
    <w:rsid w:val="00553501"/>
    <w:rsid w:val="005564A1"/>
    <w:rsid w:val="005568A3"/>
    <w:rsid w:val="00556A16"/>
    <w:rsid w:val="00560354"/>
    <w:rsid w:val="0056098B"/>
    <w:rsid w:val="00560A6B"/>
    <w:rsid w:val="00560AF6"/>
    <w:rsid w:val="00561730"/>
    <w:rsid w:val="00562283"/>
    <w:rsid w:val="0056240E"/>
    <w:rsid w:val="005643B9"/>
    <w:rsid w:val="00566D4A"/>
    <w:rsid w:val="005701EB"/>
    <w:rsid w:val="00570B94"/>
    <w:rsid w:val="005711CF"/>
    <w:rsid w:val="0057212B"/>
    <w:rsid w:val="00572233"/>
    <w:rsid w:val="005729C7"/>
    <w:rsid w:val="0057367C"/>
    <w:rsid w:val="00573EFE"/>
    <w:rsid w:val="0057413C"/>
    <w:rsid w:val="00574C45"/>
    <w:rsid w:val="00574F03"/>
    <w:rsid w:val="00575F2C"/>
    <w:rsid w:val="0057613E"/>
    <w:rsid w:val="005765CD"/>
    <w:rsid w:val="005778FC"/>
    <w:rsid w:val="00580167"/>
    <w:rsid w:val="00581D46"/>
    <w:rsid w:val="005844F9"/>
    <w:rsid w:val="0058543F"/>
    <w:rsid w:val="00587AF7"/>
    <w:rsid w:val="00594716"/>
    <w:rsid w:val="00594F53"/>
    <w:rsid w:val="005954F4"/>
    <w:rsid w:val="00595614"/>
    <w:rsid w:val="005977A1"/>
    <w:rsid w:val="005A037F"/>
    <w:rsid w:val="005A0CF4"/>
    <w:rsid w:val="005A2180"/>
    <w:rsid w:val="005A53D2"/>
    <w:rsid w:val="005A71FA"/>
    <w:rsid w:val="005B1EF7"/>
    <w:rsid w:val="005B5AD1"/>
    <w:rsid w:val="005B6109"/>
    <w:rsid w:val="005B6947"/>
    <w:rsid w:val="005B7A41"/>
    <w:rsid w:val="005B7C74"/>
    <w:rsid w:val="005C07D8"/>
    <w:rsid w:val="005C089F"/>
    <w:rsid w:val="005C2092"/>
    <w:rsid w:val="005C76B5"/>
    <w:rsid w:val="005C77E4"/>
    <w:rsid w:val="005C78AA"/>
    <w:rsid w:val="005C7955"/>
    <w:rsid w:val="005C7B58"/>
    <w:rsid w:val="005D29B5"/>
    <w:rsid w:val="005D3CE4"/>
    <w:rsid w:val="005D43EC"/>
    <w:rsid w:val="005D47D8"/>
    <w:rsid w:val="005D4CF7"/>
    <w:rsid w:val="005D726C"/>
    <w:rsid w:val="005E00C6"/>
    <w:rsid w:val="005E0112"/>
    <w:rsid w:val="005E0283"/>
    <w:rsid w:val="005E35E7"/>
    <w:rsid w:val="005E3CCB"/>
    <w:rsid w:val="005E495D"/>
    <w:rsid w:val="005E5CEF"/>
    <w:rsid w:val="005E6E7D"/>
    <w:rsid w:val="005F12F5"/>
    <w:rsid w:val="005F367E"/>
    <w:rsid w:val="005F3F17"/>
    <w:rsid w:val="005F52EF"/>
    <w:rsid w:val="005F5948"/>
    <w:rsid w:val="00600645"/>
    <w:rsid w:val="00600FF4"/>
    <w:rsid w:val="00602ADB"/>
    <w:rsid w:val="006050E5"/>
    <w:rsid w:val="0060550F"/>
    <w:rsid w:val="006056E5"/>
    <w:rsid w:val="00607CDD"/>
    <w:rsid w:val="00611A9C"/>
    <w:rsid w:val="00611AB1"/>
    <w:rsid w:val="00611F7B"/>
    <w:rsid w:val="00612B5F"/>
    <w:rsid w:val="00614B62"/>
    <w:rsid w:val="00621488"/>
    <w:rsid w:val="0062150F"/>
    <w:rsid w:val="006218B4"/>
    <w:rsid w:val="00621D58"/>
    <w:rsid w:val="006249F8"/>
    <w:rsid w:val="00624F97"/>
    <w:rsid w:val="0062546F"/>
    <w:rsid w:val="00625CCC"/>
    <w:rsid w:val="006261ED"/>
    <w:rsid w:val="00626A6E"/>
    <w:rsid w:val="00626AFC"/>
    <w:rsid w:val="006271B5"/>
    <w:rsid w:val="00630242"/>
    <w:rsid w:val="006304EC"/>
    <w:rsid w:val="00630896"/>
    <w:rsid w:val="0063129E"/>
    <w:rsid w:val="006357D8"/>
    <w:rsid w:val="00636E3D"/>
    <w:rsid w:val="00637265"/>
    <w:rsid w:val="00637DB2"/>
    <w:rsid w:val="00640174"/>
    <w:rsid w:val="00641952"/>
    <w:rsid w:val="00641EC2"/>
    <w:rsid w:val="00642FDA"/>
    <w:rsid w:val="00643011"/>
    <w:rsid w:val="006518F7"/>
    <w:rsid w:val="006531C1"/>
    <w:rsid w:val="00654CF8"/>
    <w:rsid w:val="006618C4"/>
    <w:rsid w:val="00662106"/>
    <w:rsid w:val="0066324B"/>
    <w:rsid w:val="00664E0E"/>
    <w:rsid w:val="00666106"/>
    <w:rsid w:val="006714D5"/>
    <w:rsid w:val="00673A4E"/>
    <w:rsid w:val="0067540F"/>
    <w:rsid w:val="00680075"/>
    <w:rsid w:val="006803DA"/>
    <w:rsid w:val="00680AE4"/>
    <w:rsid w:val="00681EAA"/>
    <w:rsid w:val="006828CD"/>
    <w:rsid w:val="00683E78"/>
    <w:rsid w:val="00683F75"/>
    <w:rsid w:val="00684CE3"/>
    <w:rsid w:val="00690622"/>
    <w:rsid w:val="0069290A"/>
    <w:rsid w:val="00693294"/>
    <w:rsid w:val="00694CA8"/>
    <w:rsid w:val="006A04EA"/>
    <w:rsid w:val="006A16AB"/>
    <w:rsid w:val="006A35DA"/>
    <w:rsid w:val="006A4EE6"/>
    <w:rsid w:val="006A6618"/>
    <w:rsid w:val="006A7D55"/>
    <w:rsid w:val="006B2FB4"/>
    <w:rsid w:val="006B4527"/>
    <w:rsid w:val="006B481E"/>
    <w:rsid w:val="006B6D26"/>
    <w:rsid w:val="006B7637"/>
    <w:rsid w:val="006C0B54"/>
    <w:rsid w:val="006C21C2"/>
    <w:rsid w:val="006C2E4F"/>
    <w:rsid w:val="006C4CB3"/>
    <w:rsid w:val="006C5187"/>
    <w:rsid w:val="006C5C25"/>
    <w:rsid w:val="006C76D0"/>
    <w:rsid w:val="006D0711"/>
    <w:rsid w:val="006D3D7F"/>
    <w:rsid w:val="006D4974"/>
    <w:rsid w:val="006D6134"/>
    <w:rsid w:val="006E012A"/>
    <w:rsid w:val="006E0445"/>
    <w:rsid w:val="006E0678"/>
    <w:rsid w:val="006E0DC8"/>
    <w:rsid w:val="006E2AB2"/>
    <w:rsid w:val="006E3811"/>
    <w:rsid w:val="006E4AD2"/>
    <w:rsid w:val="006E52AF"/>
    <w:rsid w:val="006E65C7"/>
    <w:rsid w:val="006E6744"/>
    <w:rsid w:val="006E69DB"/>
    <w:rsid w:val="006E6D1F"/>
    <w:rsid w:val="006F03B7"/>
    <w:rsid w:val="006F1825"/>
    <w:rsid w:val="006F46A2"/>
    <w:rsid w:val="006F49BE"/>
    <w:rsid w:val="006F4D9F"/>
    <w:rsid w:val="006F5BF3"/>
    <w:rsid w:val="006F5D39"/>
    <w:rsid w:val="006F7173"/>
    <w:rsid w:val="006F74AE"/>
    <w:rsid w:val="006F7A22"/>
    <w:rsid w:val="00701AED"/>
    <w:rsid w:val="00703A44"/>
    <w:rsid w:val="007040FA"/>
    <w:rsid w:val="00704C3A"/>
    <w:rsid w:val="00706469"/>
    <w:rsid w:val="007068DA"/>
    <w:rsid w:val="007074AD"/>
    <w:rsid w:val="00710159"/>
    <w:rsid w:val="0071186B"/>
    <w:rsid w:val="00712418"/>
    <w:rsid w:val="00712C4B"/>
    <w:rsid w:val="00713E92"/>
    <w:rsid w:val="007147DC"/>
    <w:rsid w:val="00715B15"/>
    <w:rsid w:val="007172E2"/>
    <w:rsid w:val="0072179F"/>
    <w:rsid w:val="00721CC1"/>
    <w:rsid w:val="007238DA"/>
    <w:rsid w:val="00724AD7"/>
    <w:rsid w:val="00724BBE"/>
    <w:rsid w:val="00724D4F"/>
    <w:rsid w:val="0072506E"/>
    <w:rsid w:val="00725D38"/>
    <w:rsid w:val="007264E9"/>
    <w:rsid w:val="00726AD6"/>
    <w:rsid w:val="0072703C"/>
    <w:rsid w:val="00727C66"/>
    <w:rsid w:val="00731138"/>
    <w:rsid w:val="0073173B"/>
    <w:rsid w:val="00732A4E"/>
    <w:rsid w:val="00732C4D"/>
    <w:rsid w:val="00734004"/>
    <w:rsid w:val="00734FDA"/>
    <w:rsid w:val="00735A7B"/>
    <w:rsid w:val="00737C5D"/>
    <w:rsid w:val="007409CF"/>
    <w:rsid w:val="00741AA3"/>
    <w:rsid w:val="0074218F"/>
    <w:rsid w:val="007458D2"/>
    <w:rsid w:val="00746326"/>
    <w:rsid w:val="007463D9"/>
    <w:rsid w:val="00746E4E"/>
    <w:rsid w:val="00747CC2"/>
    <w:rsid w:val="00750B57"/>
    <w:rsid w:val="007527A4"/>
    <w:rsid w:val="00754576"/>
    <w:rsid w:val="00755148"/>
    <w:rsid w:val="007553BE"/>
    <w:rsid w:val="007561D4"/>
    <w:rsid w:val="007606D3"/>
    <w:rsid w:val="00762882"/>
    <w:rsid w:val="00763BF0"/>
    <w:rsid w:val="007644D0"/>
    <w:rsid w:val="00765E36"/>
    <w:rsid w:val="00770036"/>
    <w:rsid w:val="007705C8"/>
    <w:rsid w:val="00771566"/>
    <w:rsid w:val="00773F91"/>
    <w:rsid w:val="00774B01"/>
    <w:rsid w:val="00775704"/>
    <w:rsid w:val="007762C7"/>
    <w:rsid w:val="0077655F"/>
    <w:rsid w:val="00776A58"/>
    <w:rsid w:val="00777A50"/>
    <w:rsid w:val="007823DE"/>
    <w:rsid w:val="00782702"/>
    <w:rsid w:val="00783851"/>
    <w:rsid w:val="00783B93"/>
    <w:rsid w:val="007851D9"/>
    <w:rsid w:val="00785DD5"/>
    <w:rsid w:val="00787EF2"/>
    <w:rsid w:val="0079131B"/>
    <w:rsid w:val="007917C1"/>
    <w:rsid w:val="00792CB5"/>
    <w:rsid w:val="0079381F"/>
    <w:rsid w:val="00793EDA"/>
    <w:rsid w:val="00795BA3"/>
    <w:rsid w:val="00795F21"/>
    <w:rsid w:val="00796290"/>
    <w:rsid w:val="00797A7F"/>
    <w:rsid w:val="007A166F"/>
    <w:rsid w:val="007A3526"/>
    <w:rsid w:val="007A45C3"/>
    <w:rsid w:val="007A795D"/>
    <w:rsid w:val="007B0F4F"/>
    <w:rsid w:val="007B3262"/>
    <w:rsid w:val="007B3F98"/>
    <w:rsid w:val="007B41FD"/>
    <w:rsid w:val="007B4F4A"/>
    <w:rsid w:val="007B678D"/>
    <w:rsid w:val="007B715A"/>
    <w:rsid w:val="007C0BD2"/>
    <w:rsid w:val="007C30FF"/>
    <w:rsid w:val="007C383E"/>
    <w:rsid w:val="007C7F45"/>
    <w:rsid w:val="007D05FE"/>
    <w:rsid w:val="007D1B5E"/>
    <w:rsid w:val="007D1CA6"/>
    <w:rsid w:val="007D204A"/>
    <w:rsid w:val="007D48F1"/>
    <w:rsid w:val="007D4C01"/>
    <w:rsid w:val="007D5399"/>
    <w:rsid w:val="007D5576"/>
    <w:rsid w:val="007D65FF"/>
    <w:rsid w:val="007D6E82"/>
    <w:rsid w:val="007D757A"/>
    <w:rsid w:val="007E35F1"/>
    <w:rsid w:val="007E633D"/>
    <w:rsid w:val="007E6C6A"/>
    <w:rsid w:val="007F0D4A"/>
    <w:rsid w:val="00800717"/>
    <w:rsid w:val="00801A6E"/>
    <w:rsid w:val="0080437E"/>
    <w:rsid w:val="00804B35"/>
    <w:rsid w:val="00810CE7"/>
    <w:rsid w:val="00811B0F"/>
    <w:rsid w:val="00811FDF"/>
    <w:rsid w:val="00812020"/>
    <w:rsid w:val="0081254C"/>
    <w:rsid w:val="00812E7D"/>
    <w:rsid w:val="00813003"/>
    <w:rsid w:val="00814318"/>
    <w:rsid w:val="00814402"/>
    <w:rsid w:val="00815E97"/>
    <w:rsid w:val="00816B65"/>
    <w:rsid w:val="00820EAD"/>
    <w:rsid w:val="00820F6C"/>
    <w:rsid w:val="00821212"/>
    <w:rsid w:val="00821416"/>
    <w:rsid w:val="00822187"/>
    <w:rsid w:val="00822259"/>
    <w:rsid w:val="00823E07"/>
    <w:rsid w:val="00824005"/>
    <w:rsid w:val="008263D8"/>
    <w:rsid w:val="00826580"/>
    <w:rsid w:val="00827BCD"/>
    <w:rsid w:val="0083068A"/>
    <w:rsid w:val="008310A7"/>
    <w:rsid w:val="0083150E"/>
    <w:rsid w:val="00831DB6"/>
    <w:rsid w:val="00833611"/>
    <w:rsid w:val="00834BD5"/>
    <w:rsid w:val="00835242"/>
    <w:rsid w:val="00835281"/>
    <w:rsid w:val="00835482"/>
    <w:rsid w:val="00836900"/>
    <w:rsid w:val="008373B8"/>
    <w:rsid w:val="008416B7"/>
    <w:rsid w:val="00844632"/>
    <w:rsid w:val="00845EE6"/>
    <w:rsid w:val="00846080"/>
    <w:rsid w:val="00851517"/>
    <w:rsid w:val="0085391D"/>
    <w:rsid w:val="008544C2"/>
    <w:rsid w:val="00855B23"/>
    <w:rsid w:val="0085774B"/>
    <w:rsid w:val="00862735"/>
    <w:rsid w:val="00863657"/>
    <w:rsid w:val="00863E43"/>
    <w:rsid w:val="00864022"/>
    <w:rsid w:val="00864322"/>
    <w:rsid w:val="008656BE"/>
    <w:rsid w:val="00865FE5"/>
    <w:rsid w:val="00866D4A"/>
    <w:rsid w:val="00870190"/>
    <w:rsid w:val="0087151C"/>
    <w:rsid w:val="008715C8"/>
    <w:rsid w:val="008722F1"/>
    <w:rsid w:val="00872F85"/>
    <w:rsid w:val="008733E3"/>
    <w:rsid w:val="00873530"/>
    <w:rsid w:val="00873AAE"/>
    <w:rsid w:val="008746F1"/>
    <w:rsid w:val="00874AE4"/>
    <w:rsid w:val="00874FC3"/>
    <w:rsid w:val="00882736"/>
    <w:rsid w:val="008840B7"/>
    <w:rsid w:val="00884AB0"/>
    <w:rsid w:val="00885875"/>
    <w:rsid w:val="0088682E"/>
    <w:rsid w:val="00890261"/>
    <w:rsid w:val="00890A54"/>
    <w:rsid w:val="00891E10"/>
    <w:rsid w:val="008971F7"/>
    <w:rsid w:val="008978DF"/>
    <w:rsid w:val="008A0B72"/>
    <w:rsid w:val="008A21B9"/>
    <w:rsid w:val="008A27C7"/>
    <w:rsid w:val="008A69B0"/>
    <w:rsid w:val="008A7896"/>
    <w:rsid w:val="008A7AFC"/>
    <w:rsid w:val="008B0512"/>
    <w:rsid w:val="008B0AD8"/>
    <w:rsid w:val="008B1201"/>
    <w:rsid w:val="008B1215"/>
    <w:rsid w:val="008B63CB"/>
    <w:rsid w:val="008B7233"/>
    <w:rsid w:val="008C08CE"/>
    <w:rsid w:val="008C115F"/>
    <w:rsid w:val="008C52C4"/>
    <w:rsid w:val="008C6616"/>
    <w:rsid w:val="008C6C60"/>
    <w:rsid w:val="008C714B"/>
    <w:rsid w:val="008C7771"/>
    <w:rsid w:val="008D1478"/>
    <w:rsid w:val="008D1C4E"/>
    <w:rsid w:val="008D27AF"/>
    <w:rsid w:val="008D6031"/>
    <w:rsid w:val="008E133C"/>
    <w:rsid w:val="008E195F"/>
    <w:rsid w:val="008E19A4"/>
    <w:rsid w:val="008E1F6C"/>
    <w:rsid w:val="008E235D"/>
    <w:rsid w:val="008E3109"/>
    <w:rsid w:val="008E6ED8"/>
    <w:rsid w:val="008E7529"/>
    <w:rsid w:val="008F06D9"/>
    <w:rsid w:val="008F1CC7"/>
    <w:rsid w:val="008F2810"/>
    <w:rsid w:val="008F3282"/>
    <w:rsid w:val="008F6310"/>
    <w:rsid w:val="008F6339"/>
    <w:rsid w:val="008F68DE"/>
    <w:rsid w:val="008F6FAA"/>
    <w:rsid w:val="00900A37"/>
    <w:rsid w:val="00900BA1"/>
    <w:rsid w:val="00902394"/>
    <w:rsid w:val="00902503"/>
    <w:rsid w:val="00902938"/>
    <w:rsid w:val="00903961"/>
    <w:rsid w:val="009042B7"/>
    <w:rsid w:val="00906297"/>
    <w:rsid w:val="0090678C"/>
    <w:rsid w:val="00907F25"/>
    <w:rsid w:val="0091054F"/>
    <w:rsid w:val="00911B87"/>
    <w:rsid w:val="0091459E"/>
    <w:rsid w:val="009153A4"/>
    <w:rsid w:val="00915CB0"/>
    <w:rsid w:val="0091758A"/>
    <w:rsid w:val="00920B99"/>
    <w:rsid w:val="00921008"/>
    <w:rsid w:val="00922710"/>
    <w:rsid w:val="0092629A"/>
    <w:rsid w:val="00926688"/>
    <w:rsid w:val="00927DA4"/>
    <w:rsid w:val="009308B6"/>
    <w:rsid w:val="009310BD"/>
    <w:rsid w:val="0093119E"/>
    <w:rsid w:val="0093206D"/>
    <w:rsid w:val="0093207E"/>
    <w:rsid w:val="00932A65"/>
    <w:rsid w:val="00934540"/>
    <w:rsid w:val="009346ED"/>
    <w:rsid w:val="0093519A"/>
    <w:rsid w:val="00935D12"/>
    <w:rsid w:val="00940334"/>
    <w:rsid w:val="009419B6"/>
    <w:rsid w:val="0094268B"/>
    <w:rsid w:val="009445B8"/>
    <w:rsid w:val="0094485A"/>
    <w:rsid w:val="009478B7"/>
    <w:rsid w:val="00950727"/>
    <w:rsid w:val="00952E54"/>
    <w:rsid w:val="009565ED"/>
    <w:rsid w:val="00956607"/>
    <w:rsid w:val="009566BC"/>
    <w:rsid w:val="0096037D"/>
    <w:rsid w:val="0096150B"/>
    <w:rsid w:val="00961A0E"/>
    <w:rsid w:val="00964490"/>
    <w:rsid w:val="009651A9"/>
    <w:rsid w:val="00967290"/>
    <w:rsid w:val="00967504"/>
    <w:rsid w:val="00970F04"/>
    <w:rsid w:val="009710BD"/>
    <w:rsid w:val="00971882"/>
    <w:rsid w:val="0097246A"/>
    <w:rsid w:val="0097266F"/>
    <w:rsid w:val="00975C4B"/>
    <w:rsid w:val="00976D53"/>
    <w:rsid w:val="00977173"/>
    <w:rsid w:val="00984458"/>
    <w:rsid w:val="00986EFA"/>
    <w:rsid w:val="00987107"/>
    <w:rsid w:val="0099051E"/>
    <w:rsid w:val="0099152A"/>
    <w:rsid w:val="00993093"/>
    <w:rsid w:val="009931D4"/>
    <w:rsid w:val="00994C60"/>
    <w:rsid w:val="00994F0C"/>
    <w:rsid w:val="00994FD1"/>
    <w:rsid w:val="0099537F"/>
    <w:rsid w:val="00996D6E"/>
    <w:rsid w:val="009A0EC0"/>
    <w:rsid w:val="009A2249"/>
    <w:rsid w:val="009A2CAD"/>
    <w:rsid w:val="009A2F5D"/>
    <w:rsid w:val="009A307E"/>
    <w:rsid w:val="009A369D"/>
    <w:rsid w:val="009A3B35"/>
    <w:rsid w:val="009A3EE4"/>
    <w:rsid w:val="009A4445"/>
    <w:rsid w:val="009A6464"/>
    <w:rsid w:val="009A7453"/>
    <w:rsid w:val="009B04BA"/>
    <w:rsid w:val="009B390F"/>
    <w:rsid w:val="009B55A9"/>
    <w:rsid w:val="009C0B1D"/>
    <w:rsid w:val="009C15C7"/>
    <w:rsid w:val="009C4292"/>
    <w:rsid w:val="009C6665"/>
    <w:rsid w:val="009C7013"/>
    <w:rsid w:val="009D2637"/>
    <w:rsid w:val="009D28BB"/>
    <w:rsid w:val="009D4E1B"/>
    <w:rsid w:val="009D574E"/>
    <w:rsid w:val="009D5992"/>
    <w:rsid w:val="009D5A8A"/>
    <w:rsid w:val="009D5D05"/>
    <w:rsid w:val="009D5EBE"/>
    <w:rsid w:val="009D7479"/>
    <w:rsid w:val="009E02C1"/>
    <w:rsid w:val="009E05F1"/>
    <w:rsid w:val="009E24E1"/>
    <w:rsid w:val="009E2B36"/>
    <w:rsid w:val="009E5520"/>
    <w:rsid w:val="009E554C"/>
    <w:rsid w:val="009E5F90"/>
    <w:rsid w:val="009E5F9D"/>
    <w:rsid w:val="009E689E"/>
    <w:rsid w:val="009E7BC1"/>
    <w:rsid w:val="009F18C6"/>
    <w:rsid w:val="009F223C"/>
    <w:rsid w:val="009F36FA"/>
    <w:rsid w:val="009F3B9B"/>
    <w:rsid w:val="009F4F65"/>
    <w:rsid w:val="009F607D"/>
    <w:rsid w:val="009F6CCE"/>
    <w:rsid w:val="00A01E63"/>
    <w:rsid w:val="00A02976"/>
    <w:rsid w:val="00A03D93"/>
    <w:rsid w:val="00A06F6D"/>
    <w:rsid w:val="00A07317"/>
    <w:rsid w:val="00A10CE7"/>
    <w:rsid w:val="00A16DFE"/>
    <w:rsid w:val="00A20322"/>
    <w:rsid w:val="00A23238"/>
    <w:rsid w:val="00A2413E"/>
    <w:rsid w:val="00A24F99"/>
    <w:rsid w:val="00A258A7"/>
    <w:rsid w:val="00A26740"/>
    <w:rsid w:val="00A30C5D"/>
    <w:rsid w:val="00A31F28"/>
    <w:rsid w:val="00A327D4"/>
    <w:rsid w:val="00A36248"/>
    <w:rsid w:val="00A36CEA"/>
    <w:rsid w:val="00A41D02"/>
    <w:rsid w:val="00A420BD"/>
    <w:rsid w:val="00A4238C"/>
    <w:rsid w:val="00A4241E"/>
    <w:rsid w:val="00A42E93"/>
    <w:rsid w:val="00A4385E"/>
    <w:rsid w:val="00A44F27"/>
    <w:rsid w:val="00A451BD"/>
    <w:rsid w:val="00A464BD"/>
    <w:rsid w:val="00A46FBD"/>
    <w:rsid w:val="00A4716F"/>
    <w:rsid w:val="00A50051"/>
    <w:rsid w:val="00A506C3"/>
    <w:rsid w:val="00A51584"/>
    <w:rsid w:val="00A529DF"/>
    <w:rsid w:val="00A53AA1"/>
    <w:rsid w:val="00A53C96"/>
    <w:rsid w:val="00A55C1B"/>
    <w:rsid w:val="00A5788F"/>
    <w:rsid w:val="00A57D87"/>
    <w:rsid w:val="00A6160D"/>
    <w:rsid w:val="00A616F6"/>
    <w:rsid w:val="00A64226"/>
    <w:rsid w:val="00A6470E"/>
    <w:rsid w:val="00A6486C"/>
    <w:rsid w:val="00A65DCC"/>
    <w:rsid w:val="00A72F5C"/>
    <w:rsid w:val="00A75033"/>
    <w:rsid w:val="00A76D10"/>
    <w:rsid w:val="00A7795A"/>
    <w:rsid w:val="00A81A65"/>
    <w:rsid w:val="00A820C9"/>
    <w:rsid w:val="00A86514"/>
    <w:rsid w:val="00A907D5"/>
    <w:rsid w:val="00A919AE"/>
    <w:rsid w:val="00A942C1"/>
    <w:rsid w:val="00A95D7D"/>
    <w:rsid w:val="00A95DAA"/>
    <w:rsid w:val="00A9638E"/>
    <w:rsid w:val="00A966A7"/>
    <w:rsid w:val="00A96E3C"/>
    <w:rsid w:val="00A97BD2"/>
    <w:rsid w:val="00AA0ED1"/>
    <w:rsid w:val="00AA32E9"/>
    <w:rsid w:val="00AA4160"/>
    <w:rsid w:val="00AA4773"/>
    <w:rsid w:val="00AA4DE4"/>
    <w:rsid w:val="00AA62F4"/>
    <w:rsid w:val="00AA7D3B"/>
    <w:rsid w:val="00AB0867"/>
    <w:rsid w:val="00AB0B0B"/>
    <w:rsid w:val="00AB0CF5"/>
    <w:rsid w:val="00AB1196"/>
    <w:rsid w:val="00AB1230"/>
    <w:rsid w:val="00AB2393"/>
    <w:rsid w:val="00AB31B9"/>
    <w:rsid w:val="00AB54BD"/>
    <w:rsid w:val="00AB5D04"/>
    <w:rsid w:val="00AC1647"/>
    <w:rsid w:val="00AC16C7"/>
    <w:rsid w:val="00AC1788"/>
    <w:rsid w:val="00AC255D"/>
    <w:rsid w:val="00AC30D3"/>
    <w:rsid w:val="00AC3908"/>
    <w:rsid w:val="00AC3DF2"/>
    <w:rsid w:val="00AC6D43"/>
    <w:rsid w:val="00AC7D43"/>
    <w:rsid w:val="00AD0181"/>
    <w:rsid w:val="00AD06BE"/>
    <w:rsid w:val="00AD1E37"/>
    <w:rsid w:val="00AD2E5C"/>
    <w:rsid w:val="00AD34CE"/>
    <w:rsid w:val="00AD5531"/>
    <w:rsid w:val="00AD58B1"/>
    <w:rsid w:val="00AD69BB"/>
    <w:rsid w:val="00AE67DF"/>
    <w:rsid w:val="00AF0A76"/>
    <w:rsid w:val="00AF1E93"/>
    <w:rsid w:val="00AF2D94"/>
    <w:rsid w:val="00AF3CFA"/>
    <w:rsid w:val="00AF56DF"/>
    <w:rsid w:val="00AF5B30"/>
    <w:rsid w:val="00AF6A38"/>
    <w:rsid w:val="00B00B4C"/>
    <w:rsid w:val="00B06024"/>
    <w:rsid w:val="00B0629F"/>
    <w:rsid w:val="00B066AA"/>
    <w:rsid w:val="00B06F47"/>
    <w:rsid w:val="00B07038"/>
    <w:rsid w:val="00B07644"/>
    <w:rsid w:val="00B07795"/>
    <w:rsid w:val="00B14A84"/>
    <w:rsid w:val="00B15ABC"/>
    <w:rsid w:val="00B16F69"/>
    <w:rsid w:val="00B20B0E"/>
    <w:rsid w:val="00B23209"/>
    <w:rsid w:val="00B25443"/>
    <w:rsid w:val="00B25F3A"/>
    <w:rsid w:val="00B261D9"/>
    <w:rsid w:val="00B30563"/>
    <w:rsid w:val="00B310BA"/>
    <w:rsid w:val="00B311AF"/>
    <w:rsid w:val="00B3228D"/>
    <w:rsid w:val="00B332F4"/>
    <w:rsid w:val="00B337CE"/>
    <w:rsid w:val="00B33DC5"/>
    <w:rsid w:val="00B33FE8"/>
    <w:rsid w:val="00B3434A"/>
    <w:rsid w:val="00B36DA8"/>
    <w:rsid w:val="00B36E7B"/>
    <w:rsid w:val="00B4100A"/>
    <w:rsid w:val="00B413A1"/>
    <w:rsid w:val="00B419AE"/>
    <w:rsid w:val="00B41F6E"/>
    <w:rsid w:val="00B43EF7"/>
    <w:rsid w:val="00B44620"/>
    <w:rsid w:val="00B455A2"/>
    <w:rsid w:val="00B46CA6"/>
    <w:rsid w:val="00B475CF"/>
    <w:rsid w:val="00B47B73"/>
    <w:rsid w:val="00B502EC"/>
    <w:rsid w:val="00B503E1"/>
    <w:rsid w:val="00B50B71"/>
    <w:rsid w:val="00B52637"/>
    <w:rsid w:val="00B52CF3"/>
    <w:rsid w:val="00B52E74"/>
    <w:rsid w:val="00B536FD"/>
    <w:rsid w:val="00B53AEF"/>
    <w:rsid w:val="00B55A95"/>
    <w:rsid w:val="00B563A1"/>
    <w:rsid w:val="00B574D0"/>
    <w:rsid w:val="00B57966"/>
    <w:rsid w:val="00B6039B"/>
    <w:rsid w:val="00B60BFF"/>
    <w:rsid w:val="00B6251C"/>
    <w:rsid w:val="00B632E7"/>
    <w:rsid w:val="00B63B1F"/>
    <w:rsid w:val="00B63BA6"/>
    <w:rsid w:val="00B64ED7"/>
    <w:rsid w:val="00B66AB8"/>
    <w:rsid w:val="00B67FC8"/>
    <w:rsid w:val="00B70D2E"/>
    <w:rsid w:val="00B71BBD"/>
    <w:rsid w:val="00B73117"/>
    <w:rsid w:val="00B74327"/>
    <w:rsid w:val="00B75512"/>
    <w:rsid w:val="00B80810"/>
    <w:rsid w:val="00B814F3"/>
    <w:rsid w:val="00B81D01"/>
    <w:rsid w:val="00B83CBF"/>
    <w:rsid w:val="00B85B5D"/>
    <w:rsid w:val="00B86BA1"/>
    <w:rsid w:val="00B87A0F"/>
    <w:rsid w:val="00B87FA0"/>
    <w:rsid w:val="00B90898"/>
    <w:rsid w:val="00B92826"/>
    <w:rsid w:val="00B93E7C"/>
    <w:rsid w:val="00B94B02"/>
    <w:rsid w:val="00B9527A"/>
    <w:rsid w:val="00B97910"/>
    <w:rsid w:val="00BA1E07"/>
    <w:rsid w:val="00BA216F"/>
    <w:rsid w:val="00BA22BE"/>
    <w:rsid w:val="00BA26B2"/>
    <w:rsid w:val="00BA2861"/>
    <w:rsid w:val="00BA3259"/>
    <w:rsid w:val="00BA41B6"/>
    <w:rsid w:val="00BA5374"/>
    <w:rsid w:val="00BA5ABD"/>
    <w:rsid w:val="00BA5F83"/>
    <w:rsid w:val="00BA65B6"/>
    <w:rsid w:val="00BA6B58"/>
    <w:rsid w:val="00BA6D4E"/>
    <w:rsid w:val="00BA7263"/>
    <w:rsid w:val="00BB052F"/>
    <w:rsid w:val="00BB0A3C"/>
    <w:rsid w:val="00BB2406"/>
    <w:rsid w:val="00BB5F44"/>
    <w:rsid w:val="00BB7A0A"/>
    <w:rsid w:val="00BB7E04"/>
    <w:rsid w:val="00BC185A"/>
    <w:rsid w:val="00BC24A3"/>
    <w:rsid w:val="00BC2935"/>
    <w:rsid w:val="00BC2BA1"/>
    <w:rsid w:val="00BC3456"/>
    <w:rsid w:val="00BC39AF"/>
    <w:rsid w:val="00BC43E9"/>
    <w:rsid w:val="00BC5BB4"/>
    <w:rsid w:val="00BC74BA"/>
    <w:rsid w:val="00BC7932"/>
    <w:rsid w:val="00BD0675"/>
    <w:rsid w:val="00BD12AF"/>
    <w:rsid w:val="00BD18D9"/>
    <w:rsid w:val="00BD78EB"/>
    <w:rsid w:val="00BE0D49"/>
    <w:rsid w:val="00BE2B42"/>
    <w:rsid w:val="00BE364D"/>
    <w:rsid w:val="00BE4BFD"/>
    <w:rsid w:val="00BE7A60"/>
    <w:rsid w:val="00BE7B10"/>
    <w:rsid w:val="00BF6D29"/>
    <w:rsid w:val="00C00EA6"/>
    <w:rsid w:val="00C013F8"/>
    <w:rsid w:val="00C02525"/>
    <w:rsid w:val="00C034EA"/>
    <w:rsid w:val="00C044AD"/>
    <w:rsid w:val="00C0579E"/>
    <w:rsid w:val="00C102DB"/>
    <w:rsid w:val="00C10830"/>
    <w:rsid w:val="00C15039"/>
    <w:rsid w:val="00C1505F"/>
    <w:rsid w:val="00C158C4"/>
    <w:rsid w:val="00C1763B"/>
    <w:rsid w:val="00C201B2"/>
    <w:rsid w:val="00C20287"/>
    <w:rsid w:val="00C234FD"/>
    <w:rsid w:val="00C23B89"/>
    <w:rsid w:val="00C24FDD"/>
    <w:rsid w:val="00C2664E"/>
    <w:rsid w:val="00C26B7D"/>
    <w:rsid w:val="00C271B2"/>
    <w:rsid w:val="00C324A8"/>
    <w:rsid w:val="00C33A7A"/>
    <w:rsid w:val="00C33F62"/>
    <w:rsid w:val="00C349D3"/>
    <w:rsid w:val="00C35200"/>
    <w:rsid w:val="00C35779"/>
    <w:rsid w:val="00C35B91"/>
    <w:rsid w:val="00C37B6F"/>
    <w:rsid w:val="00C41410"/>
    <w:rsid w:val="00C41659"/>
    <w:rsid w:val="00C41DB3"/>
    <w:rsid w:val="00C42C20"/>
    <w:rsid w:val="00C45875"/>
    <w:rsid w:val="00C45F48"/>
    <w:rsid w:val="00C462FF"/>
    <w:rsid w:val="00C46CD6"/>
    <w:rsid w:val="00C47ABE"/>
    <w:rsid w:val="00C50313"/>
    <w:rsid w:val="00C52A05"/>
    <w:rsid w:val="00C5373B"/>
    <w:rsid w:val="00C54A06"/>
    <w:rsid w:val="00C54F37"/>
    <w:rsid w:val="00C552D1"/>
    <w:rsid w:val="00C557F1"/>
    <w:rsid w:val="00C561BA"/>
    <w:rsid w:val="00C60BBD"/>
    <w:rsid w:val="00C62F90"/>
    <w:rsid w:val="00C638A0"/>
    <w:rsid w:val="00C63AD4"/>
    <w:rsid w:val="00C64891"/>
    <w:rsid w:val="00C64F0C"/>
    <w:rsid w:val="00C65AC9"/>
    <w:rsid w:val="00C66AB2"/>
    <w:rsid w:val="00C71047"/>
    <w:rsid w:val="00C71289"/>
    <w:rsid w:val="00C7212B"/>
    <w:rsid w:val="00C72F29"/>
    <w:rsid w:val="00C7403D"/>
    <w:rsid w:val="00C7481E"/>
    <w:rsid w:val="00C7578B"/>
    <w:rsid w:val="00C75946"/>
    <w:rsid w:val="00C75BA1"/>
    <w:rsid w:val="00C76799"/>
    <w:rsid w:val="00C76EB8"/>
    <w:rsid w:val="00C7761F"/>
    <w:rsid w:val="00C80038"/>
    <w:rsid w:val="00C80DDD"/>
    <w:rsid w:val="00C81148"/>
    <w:rsid w:val="00C82196"/>
    <w:rsid w:val="00C84F81"/>
    <w:rsid w:val="00C85861"/>
    <w:rsid w:val="00C860B6"/>
    <w:rsid w:val="00C91098"/>
    <w:rsid w:val="00C92441"/>
    <w:rsid w:val="00C95606"/>
    <w:rsid w:val="00C968C0"/>
    <w:rsid w:val="00C96939"/>
    <w:rsid w:val="00C97ABC"/>
    <w:rsid w:val="00C97B8E"/>
    <w:rsid w:val="00CA0DCD"/>
    <w:rsid w:val="00CA1556"/>
    <w:rsid w:val="00CA2301"/>
    <w:rsid w:val="00CA500D"/>
    <w:rsid w:val="00CA7695"/>
    <w:rsid w:val="00CB15C0"/>
    <w:rsid w:val="00CB22F2"/>
    <w:rsid w:val="00CB3491"/>
    <w:rsid w:val="00CB3F1C"/>
    <w:rsid w:val="00CB444E"/>
    <w:rsid w:val="00CB4839"/>
    <w:rsid w:val="00CB5643"/>
    <w:rsid w:val="00CB6E37"/>
    <w:rsid w:val="00CB7C9D"/>
    <w:rsid w:val="00CC0A49"/>
    <w:rsid w:val="00CC1715"/>
    <w:rsid w:val="00CC3623"/>
    <w:rsid w:val="00CC36B5"/>
    <w:rsid w:val="00CC3FFF"/>
    <w:rsid w:val="00CC40D9"/>
    <w:rsid w:val="00CC508D"/>
    <w:rsid w:val="00CC7852"/>
    <w:rsid w:val="00CD28A5"/>
    <w:rsid w:val="00CD2D55"/>
    <w:rsid w:val="00CD36FF"/>
    <w:rsid w:val="00CD433B"/>
    <w:rsid w:val="00CD5879"/>
    <w:rsid w:val="00CD6778"/>
    <w:rsid w:val="00CD7EC4"/>
    <w:rsid w:val="00CE05E6"/>
    <w:rsid w:val="00CE0793"/>
    <w:rsid w:val="00CE2907"/>
    <w:rsid w:val="00CE36D9"/>
    <w:rsid w:val="00CE5C29"/>
    <w:rsid w:val="00CE66F9"/>
    <w:rsid w:val="00CF014F"/>
    <w:rsid w:val="00CF1017"/>
    <w:rsid w:val="00CF2745"/>
    <w:rsid w:val="00CF3EFE"/>
    <w:rsid w:val="00CF417A"/>
    <w:rsid w:val="00CF4DF3"/>
    <w:rsid w:val="00CF4FB7"/>
    <w:rsid w:val="00CF6915"/>
    <w:rsid w:val="00CF75C5"/>
    <w:rsid w:val="00CF7DD6"/>
    <w:rsid w:val="00D035CE"/>
    <w:rsid w:val="00D03723"/>
    <w:rsid w:val="00D04946"/>
    <w:rsid w:val="00D0629D"/>
    <w:rsid w:val="00D07FAA"/>
    <w:rsid w:val="00D10E02"/>
    <w:rsid w:val="00D118CA"/>
    <w:rsid w:val="00D12DBD"/>
    <w:rsid w:val="00D1360D"/>
    <w:rsid w:val="00D145E5"/>
    <w:rsid w:val="00D14F6A"/>
    <w:rsid w:val="00D20466"/>
    <w:rsid w:val="00D20A09"/>
    <w:rsid w:val="00D22574"/>
    <w:rsid w:val="00D241FF"/>
    <w:rsid w:val="00D25758"/>
    <w:rsid w:val="00D25889"/>
    <w:rsid w:val="00D262E7"/>
    <w:rsid w:val="00D26E3E"/>
    <w:rsid w:val="00D3016C"/>
    <w:rsid w:val="00D303E6"/>
    <w:rsid w:val="00D307E4"/>
    <w:rsid w:val="00D309FC"/>
    <w:rsid w:val="00D320AF"/>
    <w:rsid w:val="00D328D2"/>
    <w:rsid w:val="00D32D12"/>
    <w:rsid w:val="00D32F7F"/>
    <w:rsid w:val="00D33351"/>
    <w:rsid w:val="00D379CF"/>
    <w:rsid w:val="00D4225A"/>
    <w:rsid w:val="00D43FF7"/>
    <w:rsid w:val="00D44139"/>
    <w:rsid w:val="00D4413C"/>
    <w:rsid w:val="00D44CAF"/>
    <w:rsid w:val="00D452CA"/>
    <w:rsid w:val="00D4557F"/>
    <w:rsid w:val="00D4650B"/>
    <w:rsid w:val="00D4693A"/>
    <w:rsid w:val="00D46F3B"/>
    <w:rsid w:val="00D4786A"/>
    <w:rsid w:val="00D506F4"/>
    <w:rsid w:val="00D51DC8"/>
    <w:rsid w:val="00D52396"/>
    <w:rsid w:val="00D52C09"/>
    <w:rsid w:val="00D53D4F"/>
    <w:rsid w:val="00D55393"/>
    <w:rsid w:val="00D55D3F"/>
    <w:rsid w:val="00D60E13"/>
    <w:rsid w:val="00D6359F"/>
    <w:rsid w:val="00D64B7E"/>
    <w:rsid w:val="00D64F20"/>
    <w:rsid w:val="00D65F48"/>
    <w:rsid w:val="00D66427"/>
    <w:rsid w:val="00D66470"/>
    <w:rsid w:val="00D70841"/>
    <w:rsid w:val="00D7170A"/>
    <w:rsid w:val="00D71918"/>
    <w:rsid w:val="00D72931"/>
    <w:rsid w:val="00D72B5B"/>
    <w:rsid w:val="00D73457"/>
    <w:rsid w:val="00D74B33"/>
    <w:rsid w:val="00D75992"/>
    <w:rsid w:val="00D7728E"/>
    <w:rsid w:val="00D77B48"/>
    <w:rsid w:val="00D82B68"/>
    <w:rsid w:val="00D83CDC"/>
    <w:rsid w:val="00D8435D"/>
    <w:rsid w:val="00D84AEA"/>
    <w:rsid w:val="00D8640B"/>
    <w:rsid w:val="00D9148E"/>
    <w:rsid w:val="00D92342"/>
    <w:rsid w:val="00D92D37"/>
    <w:rsid w:val="00D939A2"/>
    <w:rsid w:val="00D94934"/>
    <w:rsid w:val="00D95D00"/>
    <w:rsid w:val="00D95D3B"/>
    <w:rsid w:val="00D96329"/>
    <w:rsid w:val="00D9785B"/>
    <w:rsid w:val="00D97EE6"/>
    <w:rsid w:val="00DA0CD9"/>
    <w:rsid w:val="00DA157E"/>
    <w:rsid w:val="00DA1DFF"/>
    <w:rsid w:val="00DA2A2D"/>
    <w:rsid w:val="00DA2BD4"/>
    <w:rsid w:val="00DA2F6E"/>
    <w:rsid w:val="00DA335A"/>
    <w:rsid w:val="00DB028D"/>
    <w:rsid w:val="00DB029D"/>
    <w:rsid w:val="00DB0B0E"/>
    <w:rsid w:val="00DB2664"/>
    <w:rsid w:val="00DB4658"/>
    <w:rsid w:val="00DB4B72"/>
    <w:rsid w:val="00DB5626"/>
    <w:rsid w:val="00DB5E9A"/>
    <w:rsid w:val="00DB6009"/>
    <w:rsid w:val="00DB6871"/>
    <w:rsid w:val="00DC066E"/>
    <w:rsid w:val="00DC19E7"/>
    <w:rsid w:val="00DC38AF"/>
    <w:rsid w:val="00DC467E"/>
    <w:rsid w:val="00DC6C36"/>
    <w:rsid w:val="00DD1FA2"/>
    <w:rsid w:val="00DD4B39"/>
    <w:rsid w:val="00DD554B"/>
    <w:rsid w:val="00DD7F15"/>
    <w:rsid w:val="00DE3907"/>
    <w:rsid w:val="00DE49C4"/>
    <w:rsid w:val="00DE4CCA"/>
    <w:rsid w:val="00DE51A4"/>
    <w:rsid w:val="00DE5858"/>
    <w:rsid w:val="00DE6942"/>
    <w:rsid w:val="00DE6A62"/>
    <w:rsid w:val="00DE7628"/>
    <w:rsid w:val="00DF1443"/>
    <w:rsid w:val="00DF294A"/>
    <w:rsid w:val="00DF2C2F"/>
    <w:rsid w:val="00DF4BEF"/>
    <w:rsid w:val="00DF529C"/>
    <w:rsid w:val="00DF5E52"/>
    <w:rsid w:val="00DF609D"/>
    <w:rsid w:val="00DF6D7E"/>
    <w:rsid w:val="00DF76A4"/>
    <w:rsid w:val="00DF7971"/>
    <w:rsid w:val="00E005DD"/>
    <w:rsid w:val="00E030C3"/>
    <w:rsid w:val="00E04B5B"/>
    <w:rsid w:val="00E0528B"/>
    <w:rsid w:val="00E05D05"/>
    <w:rsid w:val="00E05F30"/>
    <w:rsid w:val="00E07488"/>
    <w:rsid w:val="00E07B8B"/>
    <w:rsid w:val="00E1008E"/>
    <w:rsid w:val="00E124BE"/>
    <w:rsid w:val="00E1388F"/>
    <w:rsid w:val="00E13A17"/>
    <w:rsid w:val="00E13F49"/>
    <w:rsid w:val="00E13F92"/>
    <w:rsid w:val="00E16952"/>
    <w:rsid w:val="00E16B02"/>
    <w:rsid w:val="00E203C4"/>
    <w:rsid w:val="00E205FD"/>
    <w:rsid w:val="00E22339"/>
    <w:rsid w:val="00E256D4"/>
    <w:rsid w:val="00E25CB4"/>
    <w:rsid w:val="00E27733"/>
    <w:rsid w:val="00E30AF8"/>
    <w:rsid w:val="00E32931"/>
    <w:rsid w:val="00E330CE"/>
    <w:rsid w:val="00E33265"/>
    <w:rsid w:val="00E3470D"/>
    <w:rsid w:val="00E34C3B"/>
    <w:rsid w:val="00E36025"/>
    <w:rsid w:val="00E400F1"/>
    <w:rsid w:val="00E40823"/>
    <w:rsid w:val="00E413E2"/>
    <w:rsid w:val="00E41A8F"/>
    <w:rsid w:val="00E4459C"/>
    <w:rsid w:val="00E46909"/>
    <w:rsid w:val="00E46A28"/>
    <w:rsid w:val="00E511C0"/>
    <w:rsid w:val="00E5382A"/>
    <w:rsid w:val="00E5391B"/>
    <w:rsid w:val="00E55D73"/>
    <w:rsid w:val="00E602CD"/>
    <w:rsid w:val="00E6070F"/>
    <w:rsid w:val="00E61A2F"/>
    <w:rsid w:val="00E6279A"/>
    <w:rsid w:val="00E6361E"/>
    <w:rsid w:val="00E6409B"/>
    <w:rsid w:val="00E644BA"/>
    <w:rsid w:val="00E64988"/>
    <w:rsid w:val="00E67A56"/>
    <w:rsid w:val="00E67FCA"/>
    <w:rsid w:val="00E71791"/>
    <w:rsid w:val="00E74100"/>
    <w:rsid w:val="00E74C0B"/>
    <w:rsid w:val="00E75253"/>
    <w:rsid w:val="00E800AD"/>
    <w:rsid w:val="00E81525"/>
    <w:rsid w:val="00E817B5"/>
    <w:rsid w:val="00E819D1"/>
    <w:rsid w:val="00E81BE1"/>
    <w:rsid w:val="00E82219"/>
    <w:rsid w:val="00E82942"/>
    <w:rsid w:val="00E84574"/>
    <w:rsid w:val="00E87B63"/>
    <w:rsid w:val="00E974DA"/>
    <w:rsid w:val="00E97C12"/>
    <w:rsid w:val="00EA1476"/>
    <w:rsid w:val="00EA1801"/>
    <w:rsid w:val="00EA237E"/>
    <w:rsid w:val="00EA2495"/>
    <w:rsid w:val="00EA3200"/>
    <w:rsid w:val="00EA4E11"/>
    <w:rsid w:val="00EA58CF"/>
    <w:rsid w:val="00EA65D7"/>
    <w:rsid w:val="00EA78C2"/>
    <w:rsid w:val="00EB0927"/>
    <w:rsid w:val="00EB3049"/>
    <w:rsid w:val="00EB37FC"/>
    <w:rsid w:val="00EB40B9"/>
    <w:rsid w:val="00EB54FB"/>
    <w:rsid w:val="00EB6BF9"/>
    <w:rsid w:val="00EB73E1"/>
    <w:rsid w:val="00EB77E0"/>
    <w:rsid w:val="00EB7DF8"/>
    <w:rsid w:val="00EB7E8C"/>
    <w:rsid w:val="00EC2B9F"/>
    <w:rsid w:val="00EC2D78"/>
    <w:rsid w:val="00EC3B34"/>
    <w:rsid w:val="00EC7455"/>
    <w:rsid w:val="00EC781D"/>
    <w:rsid w:val="00ED0F10"/>
    <w:rsid w:val="00ED27EE"/>
    <w:rsid w:val="00ED37B7"/>
    <w:rsid w:val="00ED6CFF"/>
    <w:rsid w:val="00ED77D2"/>
    <w:rsid w:val="00EE00AE"/>
    <w:rsid w:val="00EE1899"/>
    <w:rsid w:val="00EE4497"/>
    <w:rsid w:val="00EE524E"/>
    <w:rsid w:val="00EE52F7"/>
    <w:rsid w:val="00EE62E5"/>
    <w:rsid w:val="00EE63A7"/>
    <w:rsid w:val="00EE64DE"/>
    <w:rsid w:val="00EE7E64"/>
    <w:rsid w:val="00EE7F3E"/>
    <w:rsid w:val="00EF0FA5"/>
    <w:rsid w:val="00EF1D0A"/>
    <w:rsid w:val="00EF341F"/>
    <w:rsid w:val="00EF4A3E"/>
    <w:rsid w:val="00EF653F"/>
    <w:rsid w:val="00F00555"/>
    <w:rsid w:val="00F0390E"/>
    <w:rsid w:val="00F03A2C"/>
    <w:rsid w:val="00F10323"/>
    <w:rsid w:val="00F11C05"/>
    <w:rsid w:val="00F146BD"/>
    <w:rsid w:val="00F15BBC"/>
    <w:rsid w:val="00F15DFF"/>
    <w:rsid w:val="00F16E9B"/>
    <w:rsid w:val="00F171BC"/>
    <w:rsid w:val="00F212F8"/>
    <w:rsid w:val="00F218B7"/>
    <w:rsid w:val="00F22FF5"/>
    <w:rsid w:val="00F248A2"/>
    <w:rsid w:val="00F25F40"/>
    <w:rsid w:val="00F2613F"/>
    <w:rsid w:val="00F26886"/>
    <w:rsid w:val="00F33E65"/>
    <w:rsid w:val="00F3507F"/>
    <w:rsid w:val="00F3514E"/>
    <w:rsid w:val="00F36639"/>
    <w:rsid w:val="00F3678D"/>
    <w:rsid w:val="00F443B7"/>
    <w:rsid w:val="00F44756"/>
    <w:rsid w:val="00F4482C"/>
    <w:rsid w:val="00F4538C"/>
    <w:rsid w:val="00F45E7E"/>
    <w:rsid w:val="00F46E1B"/>
    <w:rsid w:val="00F5022F"/>
    <w:rsid w:val="00F51514"/>
    <w:rsid w:val="00F52343"/>
    <w:rsid w:val="00F52BDB"/>
    <w:rsid w:val="00F5395D"/>
    <w:rsid w:val="00F54A47"/>
    <w:rsid w:val="00F572CA"/>
    <w:rsid w:val="00F61498"/>
    <w:rsid w:val="00F6149A"/>
    <w:rsid w:val="00F615F1"/>
    <w:rsid w:val="00F61D0C"/>
    <w:rsid w:val="00F62310"/>
    <w:rsid w:val="00F644B6"/>
    <w:rsid w:val="00F65076"/>
    <w:rsid w:val="00F66D7D"/>
    <w:rsid w:val="00F66EDD"/>
    <w:rsid w:val="00F67A86"/>
    <w:rsid w:val="00F67E62"/>
    <w:rsid w:val="00F71748"/>
    <w:rsid w:val="00F7360D"/>
    <w:rsid w:val="00F73A53"/>
    <w:rsid w:val="00F73ECB"/>
    <w:rsid w:val="00F762DC"/>
    <w:rsid w:val="00F76D4B"/>
    <w:rsid w:val="00F77386"/>
    <w:rsid w:val="00F7742F"/>
    <w:rsid w:val="00F77E7F"/>
    <w:rsid w:val="00F831B2"/>
    <w:rsid w:val="00F83927"/>
    <w:rsid w:val="00F83CF9"/>
    <w:rsid w:val="00F85655"/>
    <w:rsid w:val="00F86B99"/>
    <w:rsid w:val="00F86E6A"/>
    <w:rsid w:val="00F87A19"/>
    <w:rsid w:val="00F9002F"/>
    <w:rsid w:val="00F9192E"/>
    <w:rsid w:val="00F93524"/>
    <w:rsid w:val="00F93D8A"/>
    <w:rsid w:val="00F93ED0"/>
    <w:rsid w:val="00F93F74"/>
    <w:rsid w:val="00F9492B"/>
    <w:rsid w:val="00F954B1"/>
    <w:rsid w:val="00F9737E"/>
    <w:rsid w:val="00F97600"/>
    <w:rsid w:val="00FA10D1"/>
    <w:rsid w:val="00FA13AC"/>
    <w:rsid w:val="00FA1C15"/>
    <w:rsid w:val="00FA2F2C"/>
    <w:rsid w:val="00FA44C3"/>
    <w:rsid w:val="00FA4EC6"/>
    <w:rsid w:val="00FA517B"/>
    <w:rsid w:val="00FA5327"/>
    <w:rsid w:val="00FA7358"/>
    <w:rsid w:val="00FA7BED"/>
    <w:rsid w:val="00FB06AD"/>
    <w:rsid w:val="00FB0A4B"/>
    <w:rsid w:val="00FB0EDE"/>
    <w:rsid w:val="00FB23EA"/>
    <w:rsid w:val="00FB2559"/>
    <w:rsid w:val="00FB2D6F"/>
    <w:rsid w:val="00FB39DF"/>
    <w:rsid w:val="00FB3C28"/>
    <w:rsid w:val="00FB4AC6"/>
    <w:rsid w:val="00FB6CE4"/>
    <w:rsid w:val="00FB7793"/>
    <w:rsid w:val="00FB7AB4"/>
    <w:rsid w:val="00FC0ADD"/>
    <w:rsid w:val="00FC16C5"/>
    <w:rsid w:val="00FC1A5E"/>
    <w:rsid w:val="00FC1C70"/>
    <w:rsid w:val="00FC341D"/>
    <w:rsid w:val="00FC3FDE"/>
    <w:rsid w:val="00FC6AFC"/>
    <w:rsid w:val="00FC76A4"/>
    <w:rsid w:val="00FC77FF"/>
    <w:rsid w:val="00FC7F0B"/>
    <w:rsid w:val="00FD1DAD"/>
    <w:rsid w:val="00FD26C4"/>
    <w:rsid w:val="00FD2740"/>
    <w:rsid w:val="00FD5CC2"/>
    <w:rsid w:val="00FD7AE4"/>
    <w:rsid w:val="00FD7C10"/>
    <w:rsid w:val="00FE06C1"/>
    <w:rsid w:val="00FE0B0C"/>
    <w:rsid w:val="00FE0FCB"/>
    <w:rsid w:val="00FE2F1D"/>
    <w:rsid w:val="00FE35CE"/>
    <w:rsid w:val="00FE432F"/>
    <w:rsid w:val="00FE5407"/>
    <w:rsid w:val="00FE63D5"/>
    <w:rsid w:val="00FE7131"/>
    <w:rsid w:val="00FF016A"/>
    <w:rsid w:val="00FF02B2"/>
    <w:rsid w:val="00FF21FA"/>
    <w:rsid w:val="00FF268E"/>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CF3ED"/>
  <w15:docId w15:val="{57B67D5A-C6C2-47E2-A361-7E6DADFA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6"/>
    </w:rPr>
  </w:style>
  <w:style w:type="paragraph" w:styleId="Heading1">
    <w:name w:val="heading 1"/>
    <w:basedOn w:val="Normal"/>
    <w:next w:val="Normal"/>
    <w:qFormat/>
    <w:pPr>
      <w:keepNext/>
      <w:spacing w:before="240" w:after="60"/>
      <w:outlineLvl w:val="0"/>
    </w:pPr>
    <w:rPr>
      <w:kern w:val="28"/>
      <w:sz w:val="24"/>
    </w:rPr>
  </w:style>
  <w:style w:type="paragraph" w:styleId="Heading2">
    <w:name w:val="heading 2"/>
    <w:basedOn w:val="Normal"/>
    <w:next w:val="Normal"/>
    <w:qFormat/>
    <w:pPr>
      <w:keepNext/>
      <w:spacing w:before="240" w:after="60"/>
      <w:outlineLvl w:val="1"/>
    </w:pPr>
    <w:rPr>
      <w:sz w:val="24"/>
    </w:rPr>
  </w:style>
  <w:style w:type="paragraph" w:styleId="Heading3">
    <w:name w:val="heading 3"/>
    <w:basedOn w:val="Normal"/>
    <w:next w:val="Normal"/>
    <w:qFormat/>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TOC1"/>
    <w:pPr>
      <w:suppressAutoHyphens/>
      <w:spacing w:before="480"/>
      <w:ind w:left="720" w:right="720" w:hanging="720"/>
    </w:pPr>
    <w:rPr>
      <w:spacing w:val="-3"/>
      <w:sz w:val="24"/>
    </w:rPr>
  </w:style>
  <w:style w:type="paragraph" w:styleId="TOC1">
    <w:name w:val="toc 1"/>
    <w:basedOn w:val="Normal"/>
    <w:next w:val="Normal"/>
    <w:semiHidden/>
    <w:pPr>
      <w:tabs>
        <w:tab w:val="right" w:leader="dot" w:pos="9360"/>
      </w:tabs>
    </w:pPr>
  </w:style>
  <w:style w:type="paragraph" w:customStyle="1" w:styleId="Heading5">
    <w:name w:val="Heading5"/>
    <w:basedOn w:val="TOC1"/>
    <w:pPr>
      <w:suppressAutoHyphens/>
      <w:spacing w:before="480"/>
      <w:ind w:left="720" w:right="720" w:hanging="720"/>
    </w:pPr>
    <w:rPr>
      <w:spacing w:val="-3"/>
      <w:sz w:val="24"/>
    </w:rPr>
  </w:style>
  <w:style w:type="paragraph" w:customStyle="1" w:styleId="Heading6">
    <w:name w:val="Heading6"/>
    <w:basedOn w:val="TOC1"/>
    <w:pPr>
      <w:suppressAutoHyphens/>
      <w:spacing w:before="480"/>
      <w:ind w:left="720" w:right="720" w:hanging="720"/>
    </w:pPr>
    <w:rPr>
      <w:spacing w:val="-3"/>
      <w:sz w:val="24"/>
    </w:rPr>
  </w:style>
  <w:style w:type="paragraph" w:customStyle="1" w:styleId="doubleindent-5">
    <w:name w:val="double indent - .5&quot;"/>
    <w:basedOn w:val="Normal"/>
    <w:pPr>
      <w:ind w:left="720" w:right="720"/>
      <w:jc w:val="both"/>
    </w:pPr>
  </w:style>
  <w:style w:type="paragraph" w:customStyle="1" w:styleId="doubleindent-1">
    <w:name w:val="double indent - 1&quot;"/>
    <w:basedOn w:val="Normal"/>
    <w:pPr>
      <w:ind w:left="1440" w:right="1440"/>
      <w:jc w:val="both"/>
    </w:pPr>
  </w:style>
  <w:style w:type="paragraph" w:customStyle="1" w:styleId="numberedindent">
    <w:name w:val="numbered indent"/>
    <w:basedOn w:val="Normal"/>
    <w:pPr>
      <w:spacing w:after="240"/>
      <w:ind w:left="1440" w:hanging="144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B3387"/>
    <w:rPr>
      <w:rFonts w:ascii="Tahoma" w:hAnsi="Tahoma" w:cs="Tahoma"/>
      <w:sz w:val="16"/>
      <w:szCs w:val="16"/>
    </w:rPr>
  </w:style>
  <w:style w:type="paragraph" w:styleId="Header">
    <w:name w:val="header"/>
    <w:basedOn w:val="Normal"/>
    <w:rsid w:val="006F1825"/>
    <w:pPr>
      <w:tabs>
        <w:tab w:val="center" w:pos="4320"/>
        <w:tab w:val="right" w:pos="8640"/>
      </w:tabs>
    </w:pPr>
  </w:style>
  <w:style w:type="paragraph" w:styleId="BodyText">
    <w:name w:val="Body Text"/>
    <w:basedOn w:val="Normal"/>
    <w:rsid w:val="00D9785B"/>
    <w:pPr>
      <w:overflowPunct/>
      <w:autoSpaceDE/>
      <w:autoSpaceDN/>
      <w:adjustRightInd/>
      <w:spacing w:line="360" w:lineRule="auto"/>
      <w:jc w:val="both"/>
      <w:textAlignment w:val="auto"/>
    </w:pPr>
    <w:rPr>
      <w:rFonts w:eastAsia="SimSun"/>
    </w:rPr>
  </w:style>
  <w:style w:type="paragraph" w:styleId="FootnoteText">
    <w:name w:val="footnote text"/>
    <w:basedOn w:val="Normal"/>
    <w:semiHidden/>
    <w:rsid w:val="00E81BE1"/>
    <w:pPr>
      <w:overflowPunct/>
      <w:autoSpaceDE/>
      <w:autoSpaceDN/>
      <w:adjustRightInd/>
      <w:textAlignment w:val="auto"/>
    </w:pPr>
    <w:rPr>
      <w:sz w:val="20"/>
    </w:rPr>
  </w:style>
  <w:style w:type="character" w:styleId="FootnoteReference">
    <w:name w:val="footnote reference"/>
    <w:semiHidden/>
    <w:rsid w:val="00E81BE1"/>
    <w:rPr>
      <w:vertAlign w:val="superscript"/>
    </w:rPr>
  </w:style>
  <w:style w:type="paragraph" w:styleId="NormalWeb">
    <w:name w:val="Normal (Web)"/>
    <w:basedOn w:val="Normal"/>
    <w:rsid w:val="00750B57"/>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rsid w:val="00B31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E97"/>
    <w:rPr>
      <w:color w:val="0000FF"/>
      <w:u w:val="single"/>
    </w:rPr>
  </w:style>
  <w:style w:type="character" w:styleId="Emphasis">
    <w:name w:val="Emphasis"/>
    <w:qFormat/>
    <w:rsid w:val="00815E97"/>
    <w:rPr>
      <w:i/>
      <w:iCs/>
    </w:rPr>
  </w:style>
  <w:style w:type="character" w:styleId="PlaceholderText">
    <w:name w:val="Placeholder Text"/>
    <w:basedOn w:val="DefaultParagraphFont"/>
    <w:uiPriority w:val="99"/>
    <w:semiHidden/>
    <w:rsid w:val="00553501"/>
    <w:rPr>
      <w:color w:val="808080"/>
    </w:rPr>
  </w:style>
  <w:style w:type="paragraph" w:styleId="NoSpacing">
    <w:name w:val="No Spacing"/>
    <w:uiPriority w:val="1"/>
    <w:qFormat/>
    <w:rsid w:val="00626A6E"/>
    <w:rPr>
      <w:rFonts w:ascii="Calibri" w:eastAsia="Calibri" w:hAnsi="Calibri"/>
      <w:sz w:val="22"/>
      <w:szCs w:val="22"/>
    </w:rPr>
  </w:style>
  <w:style w:type="paragraph" w:styleId="ListParagraph">
    <w:name w:val="List Paragraph"/>
    <w:basedOn w:val="Normal"/>
    <w:uiPriority w:val="34"/>
    <w:qFormat/>
    <w:rsid w:val="00FA44C3"/>
    <w:pPr>
      <w:ind w:left="720"/>
      <w:contextualSpacing/>
    </w:pPr>
  </w:style>
  <w:style w:type="character" w:styleId="CommentReference">
    <w:name w:val="annotation reference"/>
    <w:basedOn w:val="DefaultParagraphFont"/>
    <w:rsid w:val="008A7AFC"/>
    <w:rPr>
      <w:sz w:val="16"/>
      <w:szCs w:val="16"/>
    </w:rPr>
  </w:style>
  <w:style w:type="paragraph" w:styleId="CommentText">
    <w:name w:val="annotation text"/>
    <w:basedOn w:val="Normal"/>
    <w:link w:val="CommentTextChar"/>
    <w:rsid w:val="008A7AFC"/>
    <w:rPr>
      <w:sz w:val="20"/>
    </w:rPr>
  </w:style>
  <w:style w:type="character" w:customStyle="1" w:styleId="CommentTextChar">
    <w:name w:val="Comment Text Char"/>
    <w:basedOn w:val="DefaultParagraphFont"/>
    <w:link w:val="CommentText"/>
    <w:rsid w:val="008A7AFC"/>
  </w:style>
  <w:style w:type="paragraph" w:styleId="CommentSubject">
    <w:name w:val="annotation subject"/>
    <w:basedOn w:val="CommentText"/>
    <w:next w:val="CommentText"/>
    <w:link w:val="CommentSubjectChar"/>
    <w:rsid w:val="008A7AFC"/>
    <w:rPr>
      <w:b/>
      <w:bCs/>
    </w:rPr>
  </w:style>
  <w:style w:type="character" w:customStyle="1" w:styleId="CommentSubjectChar">
    <w:name w:val="Comment Subject Char"/>
    <w:basedOn w:val="CommentTextChar"/>
    <w:link w:val="CommentSubject"/>
    <w:rsid w:val="008A7AFC"/>
    <w:rPr>
      <w:b/>
      <w:bCs/>
    </w:rPr>
  </w:style>
  <w:style w:type="paragraph" w:styleId="Revision">
    <w:name w:val="Revision"/>
    <w:hidden/>
    <w:uiPriority w:val="99"/>
    <w:semiHidden/>
    <w:rsid w:val="008A7AFC"/>
    <w:rPr>
      <w:sz w:val="26"/>
    </w:rPr>
  </w:style>
  <w:style w:type="paragraph" w:customStyle="1" w:styleId="Default">
    <w:name w:val="Default"/>
    <w:rsid w:val="009A3B35"/>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410719">
      <w:bodyDiv w:val="1"/>
      <w:marLeft w:val="0"/>
      <w:marRight w:val="0"/>
      <w:marTop w:val="0"/>
      <w:marBottom w:val="0"/>
      <w:divBdr>
        <w:top w:val="none" w:sz="0" w:space="0" w:color="auto"/>
        <w:left w:val="none" w:sz="0" w:space="0" w:color="auto"/>
        <w:bottom w:val="none" w:sz="0" w:space="0" w:color="auto"/>
        <w:right w:val="none" w:sz="0" w:space="0" w:color="auto"/>
      </w:divBdr>
      <w:divsChild>
        <w:div w:id="255938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474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A2858-65FD-46AA-992E-8F63D0A23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4229</Words>
  <Characters>24109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Template-for Review</vt:lpstr>
    </vt:vector>
  </TitlesOfParts>
  <Company>Pa Public Utility Commission</Company>
  <LinksUpToDate>false</LinksUpToDate>
  <CharactersWithSpaces>28282</CharactersWithSpaces>
  <SharedDoc>false</SharedDoc>
  <HLinks>
    <vt:vector size="12" baseType="variant">
      <vt:variant>
        <vt:i4>786442</vt:i4>
      </vt:variant>
      <vt:variant>
        <vt:i4>3</vt:i4>
      </vt:variant>
      <vt:variant>
        <vt:i4>0</vt:i4>
      </vt:variant>
      <vt:variant>
        <vt:i4>5</vt:i4>
      </vt:variant>
      <vt:variant>
        <vt:lpwstr>file://C:\research\buttonTFLink?_m=69761b6202cb4178e2a6e6fe02f5751b&amp;_xfercite=&lt;cite cc="USA"&gt;&lt;![CDATA[2000 Pa. PUC LEXIS 67 ]]&gt;&lt;\cite&gt;&amp;_butType=3&amp;_butStat=242&amp;_butNum=6&amp;_butInline=1&amp;_butinfo=&lt;cite cc="USA"&gt;&lt;![CDATA[485 A.2d 1217]]&gt;&lt;\cite&gt;&amp;_fmtstr=FULL&amp;docnum=5&amp;_startdoc=1&amp;_startchk=1&amp;wchp=dGLSzS-lSlbz&amp;_md5=9b1cc8319afd12440738bb82d74455ef</vt:lpwstr>
      </vt:variant>
      <vt:variant>
        <vt:lpwstr/>
      </vt:variant>
      <vt:variant>
        <vt:i4>5505037</vt:i4>
      </vt:variant>
      <vt:variant>
        <vt:i4>0</vt:i4>
      </vt:variant>
      <vt:variant>
        <vt:i4>0</vt:i4>
      </vt:variant>
      <vt:variant>
        <vt:i4>5</vt:i4>
      </vt:variant>
      <vt:variant>
        <vt:lpwstr>file://C:\research\buttonTFLink?_m=69761b6202cb4178e2a6e6fe02f5751b&amp;_xfercite=&lt;cite cc="USA"&gt;&lt;![CDATA[2000 Pa. PUC LEXIS 67 ]]&gt;&lt;\cite&gt;&amp;_butType=3&amp;_butStat=242&amp;_butNum=5&amp;_butInline=1&amp;_butinfo=&lt;cite cc="USA"&gt;&lt;![CDATA[625 A.2d 741]]&gt;&lt;\cite&gt;&amp;_fmtstr=FULL&amp;docnum=5&amp;_startdoc=1&amp;_startchk=1&amp;wchp=dGLSzS-lSlbz&amp;_md5=ad2b02d95c2a9216e83b92a3570d4785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Template-for Review</dc:title>
  <dc:creator>MAHER</dc:creator>
  <cp:lastModifiedBy>Reynolds, Doris</cp:lastModifiedBy>
  <cp:revision>2</cp:revision>
  <cp:lastPrinted>2018-03-08T16:02:00Z</cp:lastPrinted>
  <dcterms:created xsi:type="dcterms:W3CDTF">2018-03-08T16:04:00Z</dcterms:created>
  <dcterms:modified xsi:type="dcterms:W3CDTF">2018-03-08T16:04:00Z</dcterms:modified>
</cp:coreProperties>
</file>